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6F938383" w14:textId="77777777" w:rsidTr="00BF1190">
        <w:trPr>
          <w:trHeight w:val="1863"/>
        </w:trPr>
        <w:tc>
          <w:tcPr>
            <w:tcW w:w="3652" w:type="dxa"/>
            <w:tcBorders>
              <w:top w:val="nil"/>
              <w:left w:val="nil"/>
              <w:bottom w:val="nil"/>
              <w:right w:val="nil"/>
            </w:tcBorders>
          </w:tcPr>
          <w:p w14:paraId="5910AB96" w14:textId="6EB857F8" w:rsidR="008E7846" w:rsidRPr="00096AA7" w:rsidRDefault="00E31645" w:rsidP="00E31645">
            <w:pPr>
              <w:rPr>
                <w:rFonts w:ascii="Arial" w:hAnsi="Arial" w:cs="Arial"/>
                <w:b/>
                <w:color w:val="002C47"/>
                <w:sz w:val="36"/>
                <w:szCs w:val="36"/>
              </w:rPr>
            </w:pPr>
            <w:r>
              <w:rPr>
                <w:rFonts w:ascii="Arial" w:hAnsi="Arial" w:cs="Arial"/>
                <w:b/>
                <w:color w:val="002C47"/>
                <w:sz w:val="36"/>
                <w:szCs w:val="36"/>
              </w:rPr>
              <w:t>January</w:t>
            </w:r>
            <w:r w:rsidR="00C346AB">
              <w:rPr>
                <w:rFonts w:ascii="Arial" w:hAnsi="Arial" w:cs="Arial"/>
                <w:b/>
                <w:color w:val="002C47"/>
                <w:sz w:val="36"/>
                <w:szCs w:val="36"/>
              </w:rPr>
              <w:t xml:space="preserve"> </w:t>
            </w:r>
            <w:r>
              <w:rPr>
                <w:rFonts w:ascii="Arial" w:hAnsi="Arial" w:cs="Arial"/>
                <w:b/>
                <w:color w:val="002C47"/>
                <w:sz w:val="36"/>
                <w:szCs w:val="36"/>
              </w:rPr>
              <w:t>2021</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0D943426" w14:textId="77777777" w:rsidTr="0032583B">
        <w:trPr>
          <w:trHeight w:val="868"/>
        </w:trPr>
        <w:tc>
          <w:tcPr>
            <w:tcW w:w="9079" w:type="dxa"/>
          </w:tcPr>
          <w:p w14:paraId="0929399F" w14:textId="77777777" w:rsidR="0032583B" w:rsidRPr="00A964D1" w:rsidRDefault="0032583B" w:rsidP="007310DC">
            <w:pPr>
              <w:pStyle w:val="Title"/>
              <w:rPr>
                <w:color w:val="FFFFFF" w:themeColor="background1"/>
              </w:rPr>
            </w:pPr>
            <w:r w:rsidRPr="00A964D1">
              <w:rPr>
                <w:color w:val="FFFFFF" w:themeColor="background1"/>
              </w:rPr>
              <w:t>Australian Public Assessment Report for</w:t>
            </w:r>
            <w:r w:rsidR="007310DC">
              <w:rPr>
                <w:color w:val="FFFFFF" w:themeColor="background1"/>
              </w:rPr>
              <w:t xml:space="preserve"> </w:t>
            </w:r>
            <w:r w:rsidR="007310DC" w:rsidRPr="004434C8">
              <w:rPr>
                <w:color w:val="FFFFFF" w:themeColor="background1"/>
              </w:rPr>
              <w:t>D</w:t>
            </w:r>
            <w:r w:rsidR="004434C8">
              <w:rPr>
                <w:color w:val="FFFFFF" w:themeColor="background1"/>
              </w:rPr>
              <w:t>ecitabine and c</w:t>
            </w:r>
            <w:r w:rsidR="007310DC" w:rsidRPr="007310DC">
              <w:rPr>
                <w:color w:val="FFFFFF" w:themeColor="background1"/>
              </w:rPr>
              <w:t>edazuridine</w:t>
            </w:r>
          </w:p>
        </w:tc>
      </w:tr>
      <w:tr w:rsidR="0032583B" w:rsidRPr="00B64760" w14:paraId="0C7F3595" w14:textId="77777777" w:rsidTr="0032583B">
        <w:tc>
          <w:tcPr>
            <w:tcW w:w="9079" w:type="dxa"/>
          </w:tcPr>
          <w:p w14:paraId="09A14FCE" w14:textId="37A44C75" w:rsidR="0032583B" w:rsidRPr="008E7846" w:rsidRDefault="007310DC" w:rsidP="00954964">
            <w:pPr>
              <w:pStyle w:val="Subtitle"/>
              <w:rPr>
                <w:color w:val="FFFFFF" w:themeColor="background1"/>
              </w:rPr>
            </w:pPr>
            <w:r>
              <w:rPr>
                <w:color w:val="FFFFFF" w:themeColor="background1"/>
              </w:rPr>
              <w:t xml:space="preserve">Proprietary Product Name: </w:t>
            </w:r>
            <w:r w:rsidR="00954964" w:rsidRPr="007310DC">
              <w:rPr>
                <w:color w:val="FFFFFF" w:themeColor="background1"/>
              </w:rPr>
              <w:t>I</w:t>
            </w:r>
            <w:r w:rsidR="00954964">
              <w:rPr>
                <w:color w:val="FFFFFF" w:themeColor="background1"/>
              </w:rPr>
              <w:t>nqovi</w:t>
            </w:r>
            <w:r w:rsidR="00954964" w:rsidRPr="007310DC">
              <w:rPr>
                <w:color w:val="FFFFFF" w:themeColor="background1"/>
              </w:rPr>
              <w:t xml:space="preserve"> 35/100</w:t>
            </w:r>
          </w:p>
        </w:tc>
      </w:tr>
      <w:tr w:rsidR="0032583B" w:rsidRPr="00B64760" w14:paraId="6CDB2BA5" w14:textId="77777777" w:rsidTr="0032583B">
        <w:trPr>
          <w:trHeight w:val="486"/>
        </w:trPr>
        <w:tc>
          <w:tcPr>
            <w:tcW w:w="9079" w:type="dxa"/>
          </w:tcPr>
          <w:p w14:paraId="07373AE6" w14:textId="77777777" w:rsidR="0032583B" w:rsidRPr="008E7846" w:rsidRDefault="004434C8" w:rsidP="0032583B">
            <w:pPr>
              <w:pStyle w:val="Subtitle"/>
              <w:rPr>
                <w:color w:val="FFFFFF" w:themeColor="background1"/>
              </w:rPr>
            </w:pPr>
            <w:r>
              <w:rPr>
                <w:color w:val="FFFFFF" w:themeColor="background1"/>
              </w:rPr>
              <w:t xml:space="preserve">Sponsor: </w:t>
            </w:r>
            <w:r w:rsidRPr="004434C8">
              <w:rPr>
                <w:color w:val="FFFFFF" w:themeColor="background1"/>
              </w:rPr>
              <w:t>Otsuka Australia Pharmaceutical Pty Ltd</w:t>
            </w:r>
          </w:p>
        </w:tc>
      </w:tr>
    </w:tbl>
    <w:p w14:paraId="2F264B95" w14:textId="77777777" w:rsidR="008E7846" w:rsidRPr="0085156D" w:rsidRDefault="008E7846" w:rsidP="0085156D">
      <w:r w:rsidRPr="0085156D">
        <w:br w:type="page"/>
      </w:r>
    </w:p>
    <w:p w14:paraId="6B2E69AB" w14:textId="77777777" w:rsidR="008E7846" w:rsidRPr="001F6CBA" w:rsidRDefault="008E7846" w:rsidP="008E7846">
      <w:pPr>
        <w:pStyle w:val="NonTOCHeading2"/>
      </w:pPr>
      <w:r w:rsidRPr="001F6CBA">
        <w:lastRenderedPageBreak/>
        <w:t>About the Therapeutic Goods Administration (TGA)</w:t>
      </w:r>
    </w:p>
    <w:p w14:paraId="6E98BD74"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74A9008D"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12871357"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62FDBCA8"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3B3B60E2" w14:textId="2EA93499"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11" w:history="1">
        <w:r w:rsidR="00441C3F">
          <w:rPr>
            <w:rStyle w:val="Hyperlink"/>
          </w:rPr>
          <w:t>https://www.tga.gov.au</w:t>
        </w:r>
      </w:hyperlink>
      <w:r w:rsidR="00441C3F">
        <w:t>&gt;.</w:t>
      </w:r>
    </w:p>
    <w:p w14:paraId="70008E7F" w14:textId="77777777" w:rsidR="008E7846" w:rsidRDefault="008E7846" w:rsidP="00875A6B">
      <w:pPr>
        <w:pStyle w:val="NonTOCHeading2"/>
      </w:pPr>
      <w:r>
        <w:t>About AusPARs</w:t>
      </w:r>
    </w:p>
    <w:p w14:paraId="60679A84"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019FA7E1" w14:textId="77777777" w:rsidR="008E7846" w:rsidRDefault="008E7846" w:rsidP="008E7846">
      <w:pPr>
        <w:pStyle w:val="ListBullet"/>
        <w:numPr>
          <w:ilvl w:val="0"/>
          <w:numId w:val="3"/>
        </w:numPr>
        <w:ind w:left="357" w:hanging="357"/>
      </w:pPr>
      <w:r>
        <w:t>AusPARs are prepared and published by the TGA.</w:t>
      </w:r>
    </w:p>
    <w:p w14:paraId="64F801C2"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196850F6"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51F6B85F"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010BE789" w14:textId="77777777" w:rsidR="00924482" w:rsidRPr="00DF1D7F" w:rsidRDefault="00924482" w:rsidP="00F54B65">
      <w:pPr>
        <w:pStyle w:val="LegalSubheading"/>
        <w:spacing w:before="3120"/>
      </w:pPr>
      <w:r w:rsidRPr="00DF1D7F">
        <w:t>Copyright</w:t>
      </w:r>
    </w:p>
    <w:p w14:paraId="40BE3023" w14:textId="2C5396F8"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6E2636">
        <w:rPr>
          <w:rFonts w:cs="Arial"/>
          <w:lang w:val="en-GB"/>
        </w:rPr>
        <w:t>1</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2" w:history="1">
        <w:r w:rsidRPr="00191B3B">
          <w:rPr>
            <w:rStyle w:val="Hyperlink"/>
            <w:rFonts w:cs="Arial"/>
            <w:lang w:val="en-GB"/>
          </w:rPr>
          <w:t>tga.copyright@tga.gov.au</w:t>
        </w:r>
      </w:hyperlink>
      <w:r w:rsidRPr="00191B3B">
        <w:rPr>
          <w:rFonts w:cs="Arial"/>
        </w:rPr>
        <w:t>&gt;.</w:t>
      </w:r>
    </w:p>
    <w:p w14:paraId="5B497F7D" w14:textId="77777777" w:rsidR="00924482" w:rsidRDefault="00924482" w:rsidP="00924482">
      <w:pPr>
        <w:pStyle w:val="LegalCopy"/>
        <w:sectPr w:rsidR="00924482" w:rsidSect="003D1E62">
          <w:headerReference w:type="even" r:id="rId13"/>
          <w:headerReference w:type="default" r:id="rId14"/>
          <w:footerReference w:type="even" r:id="rId15"/>
          <w:footerReference w:type="default" r:id="rId16"/>
          <w:headerReference w:type="first" r:id="rId17"/>
          <w:footerReference w:type="first" r:id="rId18"/>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2DACBC5F" w14:textId="77777777" w:rsidR="0089635C" w:rsidRPr="0089635C" w:rsidRDefault="0089635C" w:rsidP="0010788A">
          <w:pPr>
            <w:pStyle w:val="Contents"/>
          </w:pPr>
          <w:r w:rsidRPr="0010788A">
            <w:t>Conte</w:t>
          </w:r>
          <w:bookmarkStart w:id="2" w:name="_GoBack"/>
          <w:bookmarkEnd w:id="2"/>
          <w:r w:rsidRPr="0010788A">
            <w:t>nts</w:t>
          </w:r>
        </w:p>
        <w:p w14:paraId="68212029" w14:textId="2F522FF0" w:rsidR="006C4A14"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63846808" w:history="1">
            <w:r w:rsidR="006C4A14" w:rsidRPr="00B64797">
              <w:rPr>
                <w:rStyle w:val="Hyperlink"/>
                <w:noProof/>
              </w:rPr>
              <w:t>Common abbreviations</w:t>
            </w:r>
            <w:r w:rsidR="006C4A14">
              <w:rPr>
                <w:noProof/>
                <w:webHidden/>
              </w:rPr>
              <w:tab/>
            </w:r>
            <w:r w:rsidR="006C4A14">
              <w:rPr>
                <w:noProof/>
                <w:webHidden/>
              </w:rPr>
              <w:fldChar w:fldCharType="begin"/>
            </w:r>
            <w:r w:rsidR="006C4A14">
              <w:rPr>
                <w:noProof/>
                <w:webHidden/>
              </w:rPr>
              <w:instrText xml:space="preserve"> PAGEREF _Toc63846808 \h </w:instrText>
            </w:r>
            <w:r w:rsidR="006C4A14">
              <w:rPr>
                <w:noProof/>
                <w:webHidden/>
              </w:rPr>
            </w:r>
            <w:r w:rsidR="006C4A14">
              <w:rPr>
                <w:noProof/>
                <w:webHidden/>
              </w:rPr>
              <w:fldChar w:fldCharType="separate"/>
            </w:r>
            <w:r w:rsidR="006C4A14">
              <w:rPr>
                <w:noProof/>
                <w:webHidden/>
              </w:rPr>
              <w:t>4</w:t>
            </w:r>
            <w:r w:rsidR="006C4A14">
              <w:rPr>
                <w:noProof/>
                <w:webHidden/>
              </w:rPr>
              <w:fldChar w:fldCharType="end"/>
            </w:r>
          </w:hyperlink>
        </w:p>
        <w:p w14:paraId="59DBB0F1" w14:textId="68C9B290" w:rsidR="006C4A14" w:rsidRDefault="006C4A14">
          <w:pPr>
            <w:pStyle w:val="TOC1"/>
            <w:rPr>
              <w:rFonts w:asciiTheme="minorHAnsi" w:eastAsiaTheme="minorEastAsia" w:hAnsiTheme="minorHAnsi" w:cstheme="minorBidi"/>
              <w:b w:val="0"/>
              <w:noProof/>
              <w:sz w:val="22"/>
              <w:lang w:eastAsia="en-AU"/>
            </w:rPr>
          </w:pPr>
          <w:hyperlink w:anchor="_Toc63846809" w:history="1">
            <w:r w:rsidRPr="00B64797">
              <w:rPr>
                <w:rStyle w:val="Hyperlink"/>
                <w:noProof/>
              </w:rPr>
              <w:t>I. Introduction to product submission</w:t>
            </w:r>
            <w:r>
              <w:rPr>
                <w:noProof/>
                <w:webHidden/>
              </w:rPr>
              <w:tab/>
            </w:r>
            <w:r>
              <w:rPr>
                <w:noProof/>
                <w:webHidden/>
              </w:rPr>
              <w:fldChar w:fldCharType="begin"/>
            </w:r>
            <w:r>
              <w:rPr>
                <w:noProof/>
                <w:webHidden/>
              </w:rPr>
              <w:instrText xml:space="preserve"> PAGEREF _Toc63846809 \h </w:instrText>
            </w:r>
            <w:r>
              <w:rPr>
                <w:noProof/>
                <w:webHidden/>
              </w:rPr>
            </w:r>
            <w:r>
              <w:rPr>
                <w:noProof/>
                <w:webHidden/>
              </w:rPr>
              <w:fldChar w:fldCharType="separate"/>
            </w:r>
            <w:r>
              <w:rPr>
                <w:noProof/>
                <w:webHidden/>
              </w:rPr>
              <w:t>7</w:t>
            </w:r>
            <w:r>
              <w:rPr>
                <w:noProof/>
                <w:webHidden/>
              </w:rPr>
              <w:fldChar w:fldCharType="end"/>
            </w:r>
          </w:hyperlink>
        </w:p>
        <w:p w14:paraId="5C1FFB8B" w14:textId="65B98B2A" w:rsidR="006C4A14" w:rsidRDefault="006C4A14">
          <w:pPr>
            <w:pStyle w:val="TOC2"/>
            <w:rPr>
              <w:rFonts w:asciiTheme="minorHAnsi" w:eastAsiaTheme="minorEastAsia" w:hAnsiTheme="minorHAnsi" w:cstheme="minorBidi"/>
              <w:b w:val="0"/>
              <w:noProof/>
              <w:sz w:val="22"/>
              <w:lang w:eastAsia="en-AU"/>
            </w:rPr>
          </w:pPr>
          <w:hyperlink w:anchor="_Toc63846810" w:history="1">
            <w:r w:rsidRPr="00B64797">
              <w:rPr>
                <w:rStyle w:val="Hyperlink"/>
                <w:noProof/>
                <w:lang w:eastAsia="en-AU"/>
              </w:rPr>
              <w:t>Submission details</w:t>
            </w:r>
            <w:r>
              <w:rPr>
                <w:noProof/>
                <w:webHidden/>
              </w:rPr>
              <w:tab/>
            </w:r>
            <w:r>
              <w:rPr>
                <w:noProof/>
                <w:webHidden/>
              </w:rPr>
              <w:fldChar w:fldCharType="begin"/>
            </w:r>
            <w:r>
              <w:rPr>
                <w:noProof/>
                <w:webHidden/>
              </w:rPr>
              <w:instrText xml:space="preserve"> PAGEREF _Toc63846810 \h </w:instrText>
            </w:r>
            <w:r>
              <w:rPr>
                <w:noProof/>
                <w:webHidden/>
              </w:rPr>
            </w:r>
            <w:r>
              <w:rPr>
                <w:noProof/>
                <w:webHidden/>
              </w:rPr>
              <w:fldChar w:fldCharType="separate"/>
            </w:r>
            <w:r>
              <w:rPr>
                <w:noProof/>
                <w:webHidden/>
              </w:rPr>
              <w:t>7</w:t>
            </w:r>
            <w:r>
              <w:rPr>
                <w:noProof/>
                <w:webHidden/>
              </w:rPr>
              <w:fldChar w:fldCharType="end"/>
            </w:r>
          </w:hyperlink>
        </w:p>
        <w:p w14:paraId="5201F636" w14:textId="2635932E" w:rsidR="006C4A14" w:rsidRDefault="006C4A14">
          <w:pPr>
            <w:pStyle w:val="TOC2"/>
            <w:rPr>
              <w:rFonts w:asciiTheme="minorHAnsi" w:eastAsiaTheme="minorEastAsia" w:hAnsiTheme="minorHAnsi" w:cstheme="minorBidi"/>
              <w:b w:val="0"/>
              <w:noProof/>
              <w:sz w:val="22"/>
              <w:lang w:eastAsia="en-AU"/>
            </w:rPr>
          </w:pPr>
          <w:hyperlink w:anchor="_Toc63846811" w:history="1">
            <w:r w:rsidRPr="00B64797">
              <w:rPr>
                <w:rStyle w:val="Hyperlink"/>
                <w:noProof/>
              </w:rPr>
              <w:t>Product background</w:t>
            </w:r>
            <w:r>
              <w:rPr>
                <w:noProof/>
                <w:webHidden/>
              </w:rPr>
              <w:tab/>
            </w:r>
            <w:r>
              <w:rPr>
                <w:noProof/>
                <w:webHidden/>
              </w:rPr>
              <w:fldChar w:fldCharType="begin"/>
            </w:r>
            <w:r>
              <w:rPr>
                <w:noProof/>
                <w:webHidden/>
              </w:rPr>
              <w:instrText xml:space="preserve"> PAGEREF _Toc63846811 \h </w:instrText>
            </w:r>
            <w:r>
              <w:rPr>
                <w:noProof/>
                <w:webHidden/>
              </w:rPr>
            </w:r>
            <w:r>
              <w:rPr>
                <w:noProof/>
                <w:webHidden/>
              </w:rPr>
              <w:fldChar w:fldCharType="separate"/>
            </w:r>
            <w:r>
              <w:rPr>
                <w:noProof/>
                <w:webHidden/>
              </w:rPr>
              <w:t>8</w:t>
            </w:r>
            <w:r>
              <w:rPr>
                <w:noProof/>
                <w:webHidden/>
              </w:rPr>
              <w:fldChar w:fldCharType="end"/>
            </w:r>
          </w:hyperlink>
        </w:p>
        <w:p w14:paraId="304F52FB" w14:textId="4264AD09" w:rsidR="006C4A14" w:rsidRDefault="006C4A14">
          <w:pPr>
            <w:pStyle w:val="TOC2"/>
            <w:rPr>
              <w:rFonts w:asciiTheme="minorHAnsi" w:eastAsiaTheme="minorEastAsia" w:hAnsiTheme="minorHAnsi" w:cstheme="minorBidi"/>
              <w:b w:val="0"/>
              <w:noProof/>
              <w:sz w:val="22"/>
              <w:lang w:eastAsia="en-AU"/>
            </w:rPr>
          </w:pPr>
          <w:hyperlink w:anchor="_Toc63846812" w:history="1">
            <w:r w:rsidRPr="00B64797">
              <w:rPr>
                <w:rStyle w:val="Hyperlink"/>
                <w:noProof/>
              </w:rPr>
              <w:t>Regulatory status</w:t>
            </w:r>
            <w:r>
              <w:rPr>
                <w:noProof/>
                <w:webHidden/>
              </w:rPr>
              <w:tab/>
            </w:r>
            <w:r>
              <w:rPr>
                <w:noProof/>
                <w:webHidden/>
              </w:rPr>
              <w:fldChar w:fldCharType="begin"/>
            </w:r>
            <w:r>
              <w:rPr>
                <w:noProof/>
                <w:webHidden/>
              </w:rPr>
              <w:instrText xml:space="preserve"> PAGEREF _Toc63846812 \h </w:instrText>
            </w:r>
            <w:r>
              <w:rPr>
                <w:noProof/>
                <w:webHidden/>
              </w:rPr>
            </w:r>
            <w:r>
              <w:rPr>
                <w:noProof/>
                <w:webHidden/>
              </w:rPr>
              <w:fldChar w:fldCharType="separate"/>
            </w:r>
            <w:r>
              <w:rPr>
                <w:noProof/>
                <w:webHidden/>
              </w:rPr>
              <w:t>9</w:t>
            </w:r>
            <w:r>
              <w:rPr>
                <w:noProof/>
                <w:webHidden/>
              </w:rPr>
              <w:fldChar w:fldCharType="end"/>
            </w:r>
          </w:hyperlink>
        </w:p>
        <w:p w14:paraId="6E2F2718" w14:textId="3544CF4B" w:rsidR="006C4A14" w:rsidRDefault="006C4A14">
          <w:pPr>
            <w:pStyle w:val="TOC2"/>
            <w:rPr>
              <w:rFonts w:asciiTheme="minorHAnsi" w:eastAsiaTheme="minorEastAsia" w:hAnsiTheme="minorHAnsi" w:cstheme="minorBidi"/>
              <w:b w:val="0"/>
              <w:noProof/>
              <w:sz w:val="22"/>
              <w:lang w:eastAsia="en-AU"/>
            </w:rPr>
          </w:pPr>
          <w:hyperlink w:anchor="_Toc63846813" w:history="1">
            <w:r w:rsidRPr="00B64797">
              <w:rPr>
                <w:rStyle w:val="Hyperlink"/>
                <w:noProof/>
              </w:rPr>
              <w:t>Product Information</w:t>
            </w:r>
            <w:r>
              <w:rPr>
                <w:noProof/>
                <w:webHidden/>
              </w:rPr>
              <w:tab/>
            </w:r>
            <w:r>
              <w:rPr>
                <w:noProof/>
                <w:webHidden/>
              </w:rPr>
              <w:fldChar w:fldCharType="begin"/>
            </w:r>
            <w:r>
              <w:rPr>
                <w:noProof/>
                <w:webHidden/>
              </w:rPr>
              <w:instrText xml:space="preserve"> PAGEREF _Toc63846813 \h </w:instrText>
            </w:r>
            <w:r>
              <w:rPr>
                <w:noProof/>
                <w:webHidden/>
              </w:rPr>
            </w:r>
            <w:r>
              <w:rPr>
                <w:noProof/>
                <w:webHidden/>
              </w:rPr>
              <w:fldChar w:fldCharType="separate"/>
            </w:r>
            <w:r>
              <w:rPr>
                <w:noProof/>
                <w:webHidden/>
              </w:rPr>
              <w:t>9</w:t>
            </w:r>
            <w:r>
              <w:rPr>
                <w:noProof/>
                <w:webHidden/>
              </w:rPr>
              <w:fldChar w:fldCharType="end"/>
            </w:r>
          </w:hyperlink>
        </w:p>
        <w:p w14:paraId="21FBC19A" w14:textId="24F28F3C" w:rsidR="006C4A14" w:rsidRDefault="006C4A14">
          <w:pPr>
            <w:pStyle w:val="TOC1"/>
            <w:rPr>
              <w:rFonts w:asciiTheme="minorHAnsi" w:eastAsiaTheme="minorEastAsia" w:hAnsiTheme="minorHAnsi" w:cstheme="minorBidi"/>
              <w:b w:val="0"/>
              <w:noProof/>
              <w:sz w:val="22"/>
              <w:lang w:eastAsia="en-AU"/>
            </w:rPr>
          </w:pPr>
          <w:hyperlink w:anchor="_Toc63846814" w:history="1">
            <w:r w:rsidRPr="00B64797">
              <w:rPr>
                <w:rStyle w:val="Hyperlink"/>
                <w:noProof/>
              </w:rPr>
              <w:t>II. Registration timeline</w:t>
            </w:r>
            <w:r>
              <w:rPr>
                <w:noProof/>
                <w:webHidden/>
              </w:rPr>
              <w:tab/>
            </w:r>
            <w:r>
              <w:rPr>
                <w:noProof/>
                <w:webHidden/>
              </w:rPr>
              <w:fldChar w:fldCharType="begin"/>
            </w:r>
            <w:r>
              <w:rPr>
                <w:noProof/>
                <w:webHidden/>
              </w:rPr>
              <w:instrText xml:space="preserve"> PAGEREF _Toc63846814 \h </w:instrText>
            </w:r>
            <w:r>
              <w:rPr>
                <w:noProof/>
                <w:webHidden/>
              </w:rPr>
            </w:r>
            <w:r>
              <w:rPr>
                <w:noProof/>
                <w:webHidden/>
              </w:rPr>
              <w:fldChar w:fldCharType="separate"/>
            </w:r>
            <w:r>
              <w:rPr>
                <w:noProof/>
                <w:webHidden/>
              </w:rPr>
              <w:t>9</w:t>
            </w:r>
            <w:r>
              <w:rPr>
                <w:noProof/>
                <w:webHidden/>
              </w:rPr>
              <w:fldChar w:fldCharType="end"/>
            </w:r>
          </w:hyperlink>
        </w:p>
        <w:p w14:paraId="523EEA6A" w14:textId="58C666BF" w:rsidR="006C4A14" w:rsidRDefault="006C4A14">
          <w:pPr>
            <w:pStyle w:val="TOC1"/>
            <w:rPr>
              <w:rFonts w:asciiTheme="minorHAnsi" w:eastAsiaTheme="minorEastAsia" w:hAnsiTheme="minorHAnsi" w:cstheme="minorBidi"/>
              <w:b w:val="0"/>
              <w:noProof/>
              <w:sz w:val="22"/>
              <w:lang w:eastAsia="en-AU"/>
            </w:rPr>
          </w:pPr>
          <w:hyperlink w:anchor="_Toc63846815" w:history="1">
            <w:r w:rsidRPr="00B64797">
              <w:rPr>
                <w:rStyle w:val="Hyperlink"/>
                <w:noProof/>
              </w:rPr>
              <w:t>III. Submission overview and risk/benefit assessment</w:t>
            </w:r>
            <w:r>
              <w:rPr>
                <w:noProof/>
                <w:webHidden/>
              </w:rPr>
              <w:tab/>
            </w:r>
            <w:r>
              <w:rPr>
                <w:noProof/>
                <w:webHidden/>
              </w:rPr>
              <w:fldChar w:fldCharType="begin"/>
            </w:r>
            <w:r>
              <w:rPr>
                <w:noProof/>
                <w:webHidden/>
              </w:rPr>
              <w:instrText xml:space="preserve"> PAGEREF _Toc63846815 \h </w:instrText>
            </w:r>
            <w:r>
              <w:rPr>
                <w:noProof/>
                <w:webHidden/>
              </w:rPr>
            </w:r>
            <w:r>
              <w:rPr>
                <w:noProof/>
                <w:webHidden/>
              </w:rPr>
              <w:fldChar w:fldCharType="separate"/>
            </w:r>
            <w:r>
              <w:rPr>
                <w:noProof/>
                <w:webHidden/>
              </w:rPr>
              <w:t>10</w:t>
            </w:r>
            <w:r>
              <w:rPr>
                <w:noProof/>
                <w:webHidden/>
              </w:rPr>
              <w:fldChar w:fldCharType="end"/>
            </w:r>
          </w:hyperlink>
        </w:p>
        <w:p w14:paraId="52B3CA8F" w14:textId="2B65D6F2" w:rsidR="006C4A14" w:rsidRDefault="006C4A14">
          <w:pPr>
            <w:pStyle w:val="TOC2"/>
            <w:rPr>
              <w:rFonts w:asciiTheme="minorHAnsi" w:eastAsiaTheme="minorEastAsia" w:hAnsiTheme="minorHAnsi" w:cstheme="minorBidi"/>
              <w:b w:val="0"/>
              <w:noProof/>
              <w:sz w:val="22"/>
              <w:lang w:eastAsia="en-AU"/>
            </w:rPr>
          </w:pPr>
          <w:hyperlink w:anchor="_Toc63846816" w:history="1">
            <w:r w:rsidRPr="00B64797">
              <w:rPr>
                <w:rStyle w:val="Hyperlink"/>
                <w:noProof/>
              </w:rPr>
              <w:t>Quality</w:t>
            </w:r>
            <w:r>
              <w:rPr>
                <w:noProof/>
                <w:webHidden/>
              </w:rPr>
              <w:tab/>
            </w:r>
            <w:r>
              <w:rPr>
                <w:noProof/>
                <w:webHidden/>
              </w:rPr>
              <w:fldChar w:fldCharType="begin"/>
            </w:r>
            <w:r>
              <w:rPr>
                <w:noProof/>
                <w:webHidden/>
              </w:rPr>
              <w:instrText xml:space="preserve"> PAGEREF _Toc63846816 \h </w:instrText>
            </w:r>
            <w:r>
              <w:rPr>
                <w:noProof/>
                <w:webHidden/>
              </w:rPr>
            </w:r>
            <w:r>
              <w:rPr>
                <w:noProof/>
                <w:webHidden/>
              </w:rPr>
              <w:fldChar w:fldCharType="separate"/>
            </w:r>
            <w:r>
              <w:rPr>
                <w:noProof/>
                <w:webHidden/>
              </w:rPr>
              <w:t>10</w:t>
            </w:r>
            <w:r>
              <w:rPr>
                <w:noProof/>
                <w:webHidden/>
              </w:rPr>
              <w:fldChar w:fldCharType="end"/>
            </w:r>
          </w:hyperlink>
        </w:p>
        <w:p w14:paraId="566EB8EC" w14:textId="1CCA2D5D" w:rsidR="006C4A14" w:rsidRDefault="006C4A14">
          <w:pPr>
            <w:pStyle w:val="TOC2"/>
            <w:rPr>
              <w:rFonts w:asciiTheme="minorHAnsi" w:eastAsiaTheme="minorEastAsia" w:hAnsiTheme="minorHAnsi" w:cstheme="minorBidi"/>
              <w:b w:val="0"/>
              <w:noProof/>
              <w:sz w:val="22"/>
              <w:lang w:eastAsia="en-AU"/>
            </w:rPr>
          </w:pPr>
          <w:hyperlink w:anchor="_Toc63846817" w:history="1">
            <w:r w:rsidRPr="00B64797">
              <w:rPr>
                <w:rStyle w:val="Hyperlink"/>
                <w:noProof/>
              </w:rPr>
              <w:t>Nonclinical</w:t>
            </w:r>
            <w:r>
              <w:rPr>
                <w:noProof/>
                <w:webHidden/>
              </w:rPr>
              <w:tab/>
            </w:r>
            <w:r>
              <w:rPr>
                <w:noProof/>
                <w:webHidden/>
              </w:rPr>
              <w:fldChar w:fldCharType="begin"/>
            </w:r>
            <w:r>
              <w:rPr>
                <w:noProof/>
                <w:webHidden/>
              </w:rPr>
              <w:instrText xml:space="preserve"> PAGEREF _Toc63846817 \h </w:instrText>
            </w:r>
            <w:r>
              <w:rPr>
                <w:noProof/>
                <w:webHidden/>
              </w:rPr>
            </w:r>
            <w:r>
              <w:rPr>
                <w:noProof/>
                <w:webHidden/>
              </w:rPr>
              <w:fldChar w:fldCharType="separate"/>
            </w:r>
            <w:r>
              <w:rPr>
                <w:noProof/>
                <w:webHidden/>
              </w:rPr>
              <w:t>11</w:t>
            </w:r>
            <w:r>
              <w:rPr>
                <w:noProof/>
                <w:webHidden/>
              </w:rPr>
              <w:fldChar w:fldCharType="end"/>
            </w:r>
          </w:hyperlink>
        </w:p>
        <w:p w14:paraId="70B921EE" w14:textId="6B7D6CCC" w:rsidR="006C4A14" w:rsidRDefault="006C4A14">
          <w:pPr>
            <w:pStyle w:val="TOC2"/>
            <w:rPr>
              <w:rFonts w:asciiTheme="minorHAnsi" w:eastAsiaTheme="minorEastAsia" w:hAnsiTheme="minorHAnsi" w:cstheme="minorBidi"/>
              <w:b w:val="0"/>
              <w:noProof/>
              <w:sz w:val="22"/>
              <w:lang w:eastAsia="en-AU"/>
            </w:rPr>
          </w:pPr>
          <w:hyperlink w:anchor="_Toc63846818" w:history="1">
            <w:r w:rsidRPr="00B64797">
              <w:rPr>
                <w:rStyle w:val="Hyperlink"/>
                <w:noProof/>
              </w:rPr>
              <w:t>Clinical</w:t>
            </w:r>
            <w:r>
              <w:rPr>
                <w:noProof/>
                <w:webHidden/>
              </w:rPr>
              <w:tab/>
            </w:r>
            <w:r>
              <w:rPr>
                <w:noProof/>
                <w:webHidden/>
              </w:rPr>
              <w:fldChar w:fldCharType="begin"/>
            </w:r>
            <w:r>
              <w:rPr>
                <w:noProof/>
                <w:webHidden/>
              </w:rPr>
              <w:instrText xml:space="preserve"> PAGEREF _Toc63846818 \h </w:instrText>
            </w:r>
            <w:r>
              <w:rPr>
                <w:noProof/>
                <w:webHidden/>
              </w:rPr>
            </w:r>
            <w:r>
              <w:rPr>
                <w:noProof/>
                <w:webHidden/>
              </w:rPr>
              <w:fldChar w:fldCharType="separate"/>
            </w:r>
            <w:r>
              <w:rPr>
                <w:noProof/>
                <w:webHidden/>
              </w:rPr>
              <w:t>13</w:t>
            </w:r>
            <w:r>
              <w:rPr>
                <w:noProof/>
                <w:webHidden/>
              </w:rPr>
              <w:fldChar w:fldCharType="end"/>
            </w:r>
          </w:hyperlink>
        </w:p>
        <w:p w14:paraId="09578C65" w14:textId="00AFD688" w:rsidR="006C4A14" w:rsidRDefault="006C4A14">
          <w:pPr>
            <w:pStyle w:val="TOC2"/>
            <w:rPr>
              <w:rFonts w:asciiTheme="minorHAnsi" w:eastAsiaTheme="minorEastAsia" w:hAnsiTheme="minorHAnsi" w:cstheme="minorBidi"/>
              <w:b w:val="0"/>
              <w:noProof/>
              <w:sz w:val="22"/>
              <w:lang w:eastAsia="en-AU"/>
            </w:rPr>
          </w:pPr>
          <w:hyperlink w:anchor="_Toc63846819" w:history="1">
            <w:r w:rsidRPr="00B64797">
              <w:rPr>
                <w:rStyle w:val="Hyperlink"/>
                <w:noProof/>
                <w:lang w:eastAsia="en-AU"/>
              </w:rPr>
              <w:t>Risk management plan</w:t>
            </w:r>
            <w:r>
              <w:rPr>
                <w:noProof/>
                <w:webHidden/>
              </w:rPr>
              <w:tab/>
            </w:r>
            <w:r>
              <w:rPr>
                <w:noProof/>
                <w:webHidden/>
              </w:rPr>
              <w:fldChar w:fldCharType="begin"/>
            </w:r>
            <w:r>
              <w:rPr>
                <w:noProof/>
                <w:webHidden/>
              </w:rPr>
              <w:instrText xml:space="preserve"> PAGEREF _Toc63846819 \h </w:instrText>
            </w:r>
            <w:r>
              <w:rPr>
                <w:noProof/>
                <w:webHidden/>
              </w:rPr>
            </w:r>
            <w:r>
              <w:rPr>
                <w:noProof/>
                <w:webHidden/>
              </w:rPr>
              <w:fldChar w:fldCharType="separate"/>
            </w:r>
            <w:r>
              <w:rPr>
                <w:noProof/>
                <w:webHidden/>
              </w:rPr>
              <w:t>25</w:t>
            </w:r>
            <w:r>
              <w:rPr>
                <w:noProof/>
                <w:webHidden/>
              </w:rPr>
              <w:fldChar w:fldCharType="end"/>
            </w:r>
          </w:hyperlink>
        </w:p>
        <w:p w14:paraId="7EB1A593" w14:textId="71CA3A47" w:rsidR="006C4A14" w:rsidRDefault="006C4A14">
          <w:pPr>
            <w:pStyle w:val="TOC2"/>
            <w:rPr>
              <w:rFonts w:asciiTheme="minorHAnsi" w:eastAsiaTheme="minorEastAsia" w:hAnsiTheme="minorHAnsi" w:cstheme="minorBidi"/>
              <w:b w:val="0"/>
              <w:noProof/>
              <w:sz w:val="22"/>
              <w:lang w:eastAsia="en-AU"/>
            </w:rPr>
          </w:pPr>
          <w:hyperlink w:anchor="_Toc63846820" w:history="1">
            <w:r w:rsidRPr="00B64797">
              <w:rPr>
                <w:rStyle w:val="Hyperlink"/>
                <w:noProof/>
              </w:rPr>
              <w:t>Risk-benefit analysis</w:t>
            </w:r>
            <w:r>
              <w:rPr>
                <w:noProof/>
                <w:webHidden/>
              </w:rPr>
              <w:tab/>
            </w:r>
            <w:r>
              <w:rPr>
                <w:noProof/>
                <w:webHidden/>
              </w:rPr>
              <w:fldChar w:fldCharType="begin"/>
            </w:r>
            <w:r>
              <w:rPr>
                <w:noProof/>
                <w:webHidden/>
              </w:rPr>
              <w:instrText xml:space="preserve"> PAGEREF _Toc63846820 \h </w:instrText>
            </w:r>
            <w:r>
              <w:rPr>
                <w:noProof/>
                <w:webHidden/>
              </w:rPr>
            </w:r>
            <w:r>
              <w:rPr>
                <w:noProof/>
                <w:webHidden/>
              </w:rPr>
              <w:fldChar w:fldCharType="separate"/>
            </w:r>
            <w:r>
              <w:rPr>
                <w:noProof/>
                <w:webHidden/>
              </w:rPr>
              <w:t>28</w:t>
            </w:r>
            <w:r>
              <w:rPr>
                <w:noProof/>
                <w:webHidden/>
              </w:rPr>
              <w:fldChar w:fldCharType="end"/>
            </w:r>
          </w:hyperlink>
        </w:p>
        <w:p w14:paraId="002A0306" w14:textId="7E5584CF" w:rsidR="006C4A14" w:rsidRDefault="006C4A14">
          <w:pPr>
            <w:pStyle w:val="TOC2"/>
            <w:rPr>
              <w:rFonts w:asciiTheme="minorHAnsi" w:eastAsiaTheme="minorEastAsia" w:hAnsiTheme="minorHAnsi" w:cstheme="minorBidi"/>
              <w:b w:val="0"/>
              <w:noProof/>
              <w:sz w:val="22"/>
              <w:lang w:eastAsia="en-AU"/>
            </w:rPr>
          </w:pPr>
          <w:hyperlink w:anchor="_Toc63846821" w:history="1">
            <w:r w:rsidRPr="00B64797">
              <w:rPr>
                <w:rStyle w:val="Hyperlink"/>
                <w:noProof/>
              </w:rPr>
              <w:t>Outcome</w:t>
            </w:r>
            <w:r>
              <w:rPr>
                <w:noProof/>
                <w:webHidden/>
              </w:rPr>
              <w:tab/>
            </w:r>
            <w:r>
              <w:rPr>
                <w:noProof/>
                <w:webHidden/>
              </w:rPr>
              <w:fldChar w:fldCharType="begin"/>
            </w:r>
            <w:r>
              <w:rPr>
                <w:noProof/>
                <w:webHidden/>
              </w:rPr>
              <w:instrText xml:space="preserve"> PAGEREF _Toc63846821 \h </w:instrText>
            </w:r>
            <w:r>
              <w:rPr>
                <w:noProof/>
                <w:webHidden/>
              </w:rPr>
            </w:r>
            <w:r>
              <w:rPr>
                <w:noProof/>
                <w:webHidden/>
              </w:rPr>
              <w:fldChar w:fldCharType="separate"/>
            </w:r>
            <w:r>
              <w:rPr>
                <w:noProof/>
                <w:webHidden/>
              </w:rPr>
              <w:t>29</w:t>
            </w:r>
            <w:r>
              <w:rPr>
                <w:noProof/>
                <w:webHidden/>
              </w:rPr>
              <w:fldChar w:fldCharType="end"/>
            </w:r>
          </w:hyperlink>
        </w:p>
        <w:p w14:paraId="66C2B227" w14:textId="13FF9E58" w:rsidR="006C4A14" w:rsidRDefault="006C4A14">
          <w:pPr>
            <w:pStyle w:val="TOC1"/>
            <w:rPr>
              <w:rFonts w:asciiTheme="minorHAnsi" w:eastAsiaTheme="minorEastAsia" w:hAnsiTheme="minorHAnsi" w:cstheme="minorBidi"/>
              <w:b w:val="0"/>
              <w:noProof/>
              <w:sz w:val="22"/>
              <w:lang w:eastAsia="en-AU"/>
            </w:rPr>
          </w:pPr>
          <w:hyperlink w:anchor="_Toc63846822" w:history="1">
            <w:r w:rsidRPr="00B64797">
              <w:rPr>
                <w:rStyle w:val="Hyperlink"/>
                <w:noProof/>
              </w:rPr>
              <w:t>Attachment 1. Product Information</w:t>
            </w:r>
            <w:r>
              <w:rPr>
                <w:noProof/>
                <w:webHidden/>
              </w:rPr>
              <w:tab/>
            </w:r>
            <w:r>
              <w:rPr>
                <w:noProof/>
                <w:webHidden/>
              </w:rPr>
              <w:fldChar w:fldCharType="begin"/>
            </w:r>
            <w:r>
              <w:rPr>
                <w:noProof/>
                <w:webHidden/>
              </w:rPr>
              <w:instrText xml:space="preserve"> PAGEREF _Toc63846822 \h </w:instrText>
            </w:r>
            <w:r>
              <w:rPr>
                <w:noProof/>
                <w:webHidden/>
              </w:rPr>
            </w:r>
            <w:r>
              <w:rPr>
                <w:noProof/>
                <w:webHidden/>
              </w:rPr>
              <w:fldChar w:fldCharType="separate"/>
            </w:r>
            <w:r>
              <w:rPr>
                <w:noProof/>
                <w:webHidden/>
              </w:rPr>
              <w:t>30</w:t>
            </w:r>
            <w:r>
              <w:rPr>
                <w:noProof/>
                <w:webHidden/>
              </w:rPr>
              <w:fldChar w:fldCharType="end"/>
            </w:r>
          </w:hyperlink>
        </w:p>
        <w:p w14:paraId="7D66D536" w14:textId="02D95F13" w:rsidR="003A7F6C" w:rsidRPr="00B811C6" w:rsidRDefault="00C525A2" w:rsidP="00B811C6">
          <w:pPr>
            <w:pStyle w:val="TOC2"/>
          </w:pPr>
          <w:r>
            <w:fldChar w:fldCharType="end"/>
          </w:r>
        </w:p>
      </w:sdtContent>
    </w:sdt>
    <w:bookmarkStart w:id="3" w:name="_Toc314842482" w:displacedByCustomXml="prev"/>
    <w:p w14:paraId="6D0E7F30" w14:textId="77777777" w:rsidR="00FD119B" w:rsidRDefault="00FD119B">
      <w:pPr>
        <w:spacing w:before="0" w:after="200" w:line="0" w:lineRule="auto"/>
      </w:pPr>
      <w:r>
        <w:br w:type="page"/>
      </w:r>
    </w:p>
    <w:p w14:paraId="60324E0B" w14:textId="77777777" w:rsidR="00C52E24" w:rsidRPr="00C52E24" w:rsidRDefault="00441C3F" w:rsidP="004434C8">
      <w:pPr>
        <w:pStyle w:val="Heading2"/>
      </w:pPr>
      <w:bookmarkStart w:id="4" w:name="_Toc351716269"/>
      <w:bookmarkStart w:id="5" w:name="_Toc351718881"/>
      <w:bookmarkStart w:id="6" w:name="_Toc355338616"/>
      <w:bookmarkStart w:id="7" w:name="_Toc356306144"/>
      <w:bookmarkStart w:id="8" w:name="_Toc63846808"/>
      <w:r>
        <w:lastRenderedPageBreak/>
        <w:t>Common</w:t>
      </w:r>
      <w:r w:rsidR="00FD119B" w:rsidRPr="00FD119B">
        <w:t xml:space="preserve"> abbreviations</w:t>
      </w:r>
      <w:bookmarkEnd w:id="4"/>
      <w:bookmarkEnd w:id="5"/>
      <w:bookmarkEnd w:id="6"/>
      <w:bookmarkEnd w:id="7"/>
      <w:bookmarkEnd w:id="8"/>
    </w:p>
    <w:tbl>
      <w:tblPr>
        <w:tblStyle w:val="TableTGAblue"/>
        <w:tblW w:w="8720" w:type="dxa"/>
        <w:tblInd w:w="113" w:type="dxa"/>
        <w:tblLook w:val="04A0" w:firstRow="1" w:lastRow="0" w:firstColumn="1" w:lastColumn="0" w:noHBand="0" w:noVBand="1"/>
      </w:tblPr>
      <w:tblGrid>
        <w:gridCol w:w="1809"/>
        <w:gridCol w:w="6911"/>
      </w:tblGrid>
      <w:tr w:rsidR="00A7143B" w:rsidRPr="00FD119B" w14:paraId="5395F05C" w14:textId="77777777" w:rsidTr="00E31645">
        <w:trPr>
          <w:cnfStyle w:val="100000000000" w:firstRow="1" w:lastRow="0" w:firstColumn="0" w:lastColumn="0" w:oddVBand="0" w:evenVBand="0" w:oddHBand="0" w:evenHBand="0" w:firstRowFirstColumn="0" w:firstRowLastColumn="0" w:lastRowFirstColumn="0" w:lastRowLastColumn="0"/>
        </w:trPr>
        <w:tc>
          <w:tcPr>
            <w:tcW w:w="1809" w:type="dxa"/>
            <w:tcBorders>
              <w:top w:val="single" w:sz="4" w:space="0" w:color="auto"/>
              <w:left w:val="single" w:sz="4" w:space="0" w:color="auto"/>
              <w:bottom w:val="single" w:sz="4" w:space="0" w:color="auto"/>
              <w:right w:val="single" w:sz="4" w:space="0" w:color="auto"/>
            </w:tcBorders>
          </w:tcPr>
          <w:p w14:paraId="67A80B3B" w14:textId="77777777" w:rsidR="00A7143B" w:rsidRPr="00FD119B" w:rsidRDefault="00A7143B" w:rsidP="00C54AA1">
            <w:pPr>
              <w:keepNext w:val="0"/>
              <w:ind w:left="0" w:right="0"/>
              <w:rPr>
                <w:szCs w:val="22"/>
                <w:lang w:eastAsia="en-US"/>
              </w:rPr>
            </w:pPr>
            <w:r w:rsidRPr="00FD119B">
              <w:rPr>
                <w:szCs w:val="22"/>
                <w:lang w:eastAsia="en-US"/>
              </w:rPr>
              <w:t>Abbreviation</w:t>
            </w:r>
          </w:p>
        </w:tc>
        <w:tc>
          <w:tcPr>
            <w:tcW w:w="6911" w:type="dxa"/>
            <w:tcBorders>
              <w:top w:val="single" w:sz="4" w:space="0" w:color="auto"/>
              <w:left w:val="single" w:sz="4" w:space="0" w:color="auto"/>
              <w:bottom w:val="single" w:sz="4" w:space="0" w:color="auto"/>
              <w:right w:val="single" w:sz="4" w:space="0" w:color="auto"/>
            </w:tcBorders>
          </w:tcPr>
          <w:p w14:paraId="34C3B8D1" w14:textId="77777777" w:rsidR="00A7143B" w:rsidRPr="00FD119B" w:rsidRDefault="00A7143B" w:rsidP="00C54AA1">
            <w:pPr>
              <w:keepNext w:val="0"/>
              <w:ind w:left="0" w:right="0"/>
              <w:rPr>
                <w:szCs w:val="22"/>
                <w:lang w:eastAsia="en-US"/>
              </w:rPr>
            </w:pPr>
            <w:r w:rsidRPr="00FD119B">
              <w:rPr>
                <w:szCs w:val="22"/>
                <w:lang w:eastAsia="en-US"/>
              </w:rPr>
              <w:t>Meaning</w:t>
            </w:r>
          </w:p>
        </w:tc>
      </w:tr>
      <w:tr w:rsidR="00A7143B" w:rsidRPr="00FD119B" w14:paraId="1F6349EA" w14:textId="77777777" w:rsidTr="00E31645">
        <w:tc>
          <w:tcPr>
            <w:tcW w:w="1809" w:type="dxa"/>
          </w:tcPr>
          <w:p w14:paraId="3A32C95F" w14:textId="77777777" w:rsidR="00A7143B" w:rsidRDefault="00A7143B" w:rsidP="00C54AA1">
            <w:pPr>
              <w:ind w:left="0"/>
            </w:pPr>
            <w:r>
              <w:t>%CV</w:t>
            </w:r>
          </w:p>
        </w:tc>
        <w:tc>
          <w:tcPr>
            <w:tcW w:w="6911" w:type="dxa"/>
          </w:tcPr>
          <w:p w14:paraId="49641415" w14:textId="77777777" w:rsidR="00A7143B" w:rsidRDefault="00A7143B" w:rsidP="00C54AA1">
            <w:pPr>
              <w:ind w:left="0"/>
            </w:pPr>
            <w:r>
              <w:t>Geometric mean</w:t>
            </w:r>
          </w:p>
        </w:tc>
      </w:tr>
      <w:tr w:rsidR="00A7143B" w:rsidRPr="00FD119B" w14:paraId="575E3E61" w14:textId="77777777" w:rsidTr="00E31645">
        <w:tc>
          <w:tcPr>
            <w:tcW w:w="1809" w:type="dxa"/>
          </w:tcPr>
          <w:p w14:paraId="3F175925" w14:textId="77777777" w:rsidR="00A7143B" w:rsidRDefault="00A7143B" w:rsidP="00C54AA1">
            <w:pPr>
              <w:ind w:left="0"/>
            </w:pPr>
            <w:r w:rsidRPr="008813CB">
              <w:rPr>
                <w:vertAlign w:val="superscript"/>
              </w:rPr>
              <w:t>14</w:t>
            </w:r>
            <w:r w:rsidRPr="008813CB">
              <w:t>C</w:t>
            </w:r>
          </w:p>
        </w:tc>
        <w:tc>
          <w:tcPr>
            <w:tcW w:w="6911" w:type="dxa"/>
          </w:tcPr>
          <w:p w14:paraId="7DC3B0B0" w14:textId="77777777" w:rsidR="00A7143B" w:rsidRDefault="00A7143B" w:rsidP="00C54AA1">
            <w:pPr>
              <w:ind w:left="0"/>
            </w:pPr>
            <w:r>
              <w:t>Carbon -14</w:t>
            </w:r>
          </w:p>
        </w:tc>
      </w:tr>
      <w:tr w:rsidR="00A7143B" w:rsidRPr="00FD119B" w14:paraId="46338007" w14:textId="77777777" w:rsidTr="00E31645">
        <w:tc>
          <w:tcPr>
            <w:tcW w:w="1809" w:type="dxa"/>
            <w:tcBorders>
              <w:top w:val="single" w:sz="4" w:space="0" w:color="auto"/>
            </w:tcBorders>
          </w:tcPr>
          <w:p w14:paraId="558C058D" w14:textId="77777777" w:rsidR="00A7143B" w:rsidRPr="00FD119B" w:rsidRDefault="00A7143B" w:rsidP="00C54AA1">
            <w:pPr>
              <w:ind w:left="0" w:right="0"/>
            </w:pPr>
            <w:r>
              <w:t>ACM</w:t>
            </w:r>
          </w:p>
        </w:tc>
        <w:tc>
          <w:tcPr>
            <w:tcW w:w="6911" w:type="dxa"/>
            <w:tcBorders>
              <w:top w:val="single" w:sz="4" w:space="0" w:color="auto"/>
            </w:tcBorders>
          </w:tcPr>
          <w:p w14:paraId="77BDC4CA" w14:textId="77777777" w:rsidR="00A7143B" w:rsidRPr="00FD119B" w:rsidRDefault="00A7143B" w:rsidP="00C54AA1">
            <w:pPr>
              <w:ind w:left="0" w:right="0"/>
            </w:pPr>
            <w:r w:rsidRPr="00460036">
              <w:t>Advisory Committee on Medicines</w:t>
            </w:r>
          </w:p>
        </w:tc>
      </w:tr>
      <w:tr w:rsidR="00A7143B" w:rsidRPr="00FD119B" w14:paraId="34B726DC" w14:textId="77777777" w:rsidTr="00E31645">
        <w:tc>
          <w:tcPr>
            <w:tcW w:w="1809" w:type="dxa"/>
          </w:tcPr>
          <w:p w14:paraId="40C3761E" w14:textId="77777777" w:rsidR="00A7143B" w:rsidRDefault="00A7143B" w:rsidP="00C54AA1">
            <w:pPr>
              <w:ind w:left="0"/>
            </w:pPr>
            <w:r>
              <w:t>ADME</w:t>
            </w:r>
          </w:p>
        </w:tc>
        <w:tc>
          <w:tcPr>
            <w:tcW w:w="6911" w:type="dxa"/>
          </w:tcPr>
          <w:p w14:paraId="2597341E" w14:textId="66AF7C73" w:rsidR="00A7143B" w:rsidRDefault="00A7143B" w:rsidP="00F91464">
            <w:pPr>
              <w:ind w:left="0"/>
            </w:pPr>
            <w:r>
              <w:t>Absorp</w:t>
            </w:r>
            <w:r w:rsidR="00F91464">
              <w:t xml:space="preserve">tion, distribution, metabolism, and </w:t>
            </w:r>
            <w:r w:rsidR="00F91464" w:rsidRPr="00F91464">
              <w:t>excretion</w:t>
            </w:r>
          </w:p>
        </w:tc>
      </w:tr>
      <w:tr w:rsidR="00A7143B" w:rsidRPr="00FD119B" w14:paraId="2DF09829" w14:textId="77777777" w:rsidTr="00E31645">
        <w:tc>
          <w:tcPr>
            <w:tcW w:w="1809" w:type="dxa"/>
          </w:tcPr>
          <w:p w14:paraId="715A9618" w14:textId="77777777" w:rsidR="00A7143B" w:rsidRDefault="00A7143B" w:rsidP="00C54AA1">
            <w:pPr>
              <w:ind w:left="0"/>
            </w:pPr>
            <w:r>
              <w:t>AE</w:t>
            </w:r>
          </w:p>
        </w:tc>
        <w:tc>
          <w:tcPr>
            <w:tcW w:w="6911" w:type="dxa"/>
          </w:tcPr>
          <w:p w14:paraId="3B3CFE32" w14:textId="77777777" w:rsidR="00A7143B" w:rsidRDefault="00A7143B" w:rsidP="00C54AA1">
            <w:pPr>
              <w:ind w:left="0"/>
            </w:pPr>
            <w:r>
              <w:t>Adverse event</w:t>
            </w:r>
          </w:p>
        </w:tc>
      </w:tr>
      <w:tr w:rsidR="00A7143B" w:rsidRPr="00FD119B" w14:paraId="7CE3A9CE" w14:textId="77777777" w:rsidTr="00E31645">
        <w:tc>
          <w:tcPr>
            <w:tcW w:w="1809" w:type="dxa"/>
          </w:tcPr>
          <w:p w14:paraId="020A2820" w14:textId="77777777" w:rsidR="00A7143B" w:rsidRDefault="00A7143B" w:rsidP="00C54AA1">
            <w:pPr>
              <w:ind w:left="0"/>
            </w:pPr>
            <w:r>
              <w:t>AML</w:t>
            </w:r>
          </w:p>
        </w:tc>
        <w:tc>
          <w:tcPr>
            <w:tcW w:w="6911" w:type="dxa"/>
          </w:tcPr>
          <w:p w14:paraId="5AB21530" w14:textId="66992B45" w:rsidR="00A7143B" w:rsidRDefault="00A7143B" w:rsidP="00C54AA1">
            <w:pPr>
              <w:ind w:left="0"/>
            </w:pPr>
            <w:r>
              <w:t>Acute myeloid leuk</w:t>
            </w:r>
            <w:r w:rsidR="006E2636">
              <w:t>a</w:t>
            </w:r>
            <w:r>
              <w:t>emia</w:t>
            </w:r>
          </w:p>
        </w:tc>
      </w:tr>
      <w:tr w:rsidR="00A7143B" w:rsidRPr="00FD119B" w14:paraId="4956B6BB" w14:textId="77777777" w:rsidTr="00E31645">
        <w:tc>
          <w:tcPr>
            <w:tcW w:w="1809" w:type="dxa"/>
          </w:tcPr>
          <w:p w14:paraId="44F62CBC" w14:textId="77777777" w:rsidR="00A7143B" w:rsidRPr="00FD119B" w:rsidRDefault="00A7143B" w:rsidP="00C54AA1">
            <w:pPr>
              <w:ind w:left="0" w:right="0"/>
            </w:pPr>
            <w:r>
              <w:t>ARTG</w:t>
            </w:r>
          </w:p>
        </w:tc>
        <w:tc>
          <w:tcPr>
            <w:tcW w:w="6911" w:type="dxa"/>
          </w:tcPr>
          <w:p w14:paraId="331F0D87" w14:textId="77777777" w:rsidR="00A7143B" w:rsidRPr="00FD119B" w:rsidRDefault="00A7143B" w:rsidP="00C54AA1">
            <w:pPr>
              <w:ind w:left="0" w:right="0"/>
            </w:pPr>
            <w:r w:rsidRPr="00460036">
              <w:t>Australian Register of Therapeutic Goods</w:t>
            </w:r>
          </w:p>
        </w:tc>
      </w:tr>
      <w:tr w:rsidR="00A7143B" w:rsidRPr="00FD119B" w14:paraId="63E1025C" w14:textId="77777777" w:rsidTr="00E31645">
        <w:tc>
          <w:tcPr>
            <w:tcW w:w="1809" w:type="dxa"/>
          </w:tcPr>
          <w:p w14:paraId="1EACF0BD" w14:textId="77777777" w:rsidR="00A7143B" w:rsidRDefault="00A7143B" w:rsidP="00C54AA1">
            <w:pPr>
              <w:ind w:left="0"/>
            </w:pPr>
            <w:r>
              <w:t>ASA</w:t>
            </w:r>
          </w:p>
        </w:tc>
        <w:tc>
          <w:tcPr>
            <w:tcW w:w="6911" w:type="dxa"/>
          </w:tcPr>
          <w:p w14:paraId="6B9C3D1A" w14:textId="77777777" w:rsidR="00A7143B" w:rsidRDefault="00A7143B" w:rsidP="00C54AA1">
            <w:pPr>
              <w:ind w:left="0"/>
            </w:pPr>
            <w:r>
              <w:t>Australia specific annex</w:t>
            </w:r>
          </w:p>
        </w:tc>
      </w:tr>
      <w:tr w:rsidR="00A7143B" w:rsidRPr="00FD119B" w14:paraId="49393D7B" w14:textId="77777777" w:rsidTr="00E31645">
        <w:tc>
          <w:tcPr>
            <w:tcW w:w="1809" w:type="dxa"/>
          </w:tcPr>
          <w:p w14:paraId="4A245D43" w14:textId="77777777" w:rsidR="00A7143B" w:rsidRDefault="00A7143B" w:rsidP="00C54AA1">
            <w:pPr>
              <w:ind w:left="0"/>
            </w:pPr>
            <w:r>
              <w:t>ASTX727</w:t>
            </w:r>
          </w:p>
        </w:tc>
        <w:tc>
          <w:tcPr>
            <w:tcW w:w="6911" w:type="dxa"/>
          </w:tcPr>
          <w:p w14:paraId="701AA502" w14:textId="4F144F94" w:rsidR="00A7143B" w:rsidRDefault="00A7143B" w:rsidP="00B05DC0">
            <w:pPr>
              <w:ind w:left="0"/>
            </w:pPr>
            <w:r>
              <w:t xml:space="preserve">Drug development code for </w:t>
            </w:r>
            <w:r w:rsidR="00B05DC0">
              <w:t>Inqovi</w:t>
            </w:r>
          </w:p>
        </w:tc>
      </w:tr>
      <w:tr w:rsidR="00A7143B" w:rsidRPr="00FD119B" w14:paraId="0A53E9ED" w14:textId="77777777" w:rsidTr="00E31645">
        <w:tc>
          <w:tcPr>
            <w:tcW w:w="1809" w:type="dxa"/>
          </w:tcPr>
          <w:p w14:paraId="33F865FC" w14:textId="77777777" w:rsidR="00A7143B" w:rsidRDefault="00A7143B" w:rsidP="00C54AA1">
            <w:pPr>
              <w:ind w:left="0"/>
            </w:pPr>
            <w:r>
              <w:t>AUC</w:t>
            </w:r>
          </w:p>
        </w:tc>
        <w:tc>
          <w:tcPr>
            <w:tcW w:w="6911" w:type="dxa"/>
          </w:tcPr>
          <w:p w14:paraId="5B6D4744" w14:textId="77777777" w:rsidR="00A7143B" w:rsidRDefault="00A7143B" w:rsidP="00C54AA1">
            <w:pPr>
              <w:ind w:left="0"/>
            </w:pPr>
            <w:r>
              <w:rPr>
                <w:rFonts w:cs="Calibri"/>
                <w:color w:val="000000"/>
                <w:szCs w:val="22"/>
              </w:rPr>
              <w:t>A</w:t>
            </w:r>
            <w:r w:rsidRPr="002B01B1">
              <w:rPr>
                <w:rFonts w:cs="Calibri"/>
                <w:color w:val="000000"/>
                <w:szCs w:val="22"/>
              </w:rPr>
              <w:t>rea under the plasma concentration time curve</w:t>
            </w:r>
          </w:p>
        </w:tc>
      </w:tr>
      <w:tr w:rsidR="00A7143B" w:rsidRPr="00FD119B" w14:paraId="0F4B3679" w14:textId="77777777" w:rsidTr="00E31645">
        <w:tc>
          <w:tcPr>
            <w:tcW w:w="1809" w:type="dxa"/>
          </w:tcPr>
          <w:p w14:paraId="5041E3FE" w14:textId="77777777" w:rsidR="00A7143B" w:rsidRDefault="00A7143B" w:rsidP="006A110B">
            <w:pPr>
              <w:ind w:left="0"/>
            </w:pPr>
            <w:r>
              <w:t>AUC</w:t>
            </w:r>
            <w:r w:rsidRPr="008366BC">
              <w:rPr>
                <w:vertAlign w:val="subscript"/>
              </w:rPr>
              <w:t>0-24</w:t>
            </w:r>
          </w:p>
        </w:tc>
        <w:tc>
          <w:tcPr>
            <w:tcW w:w="6911" w:type="dxa"/>
          </w:tcPr>
          <w:p w14:paraId="0AD45846" w14:textId="7E46E756" w:rsidR="00A7143B" w:rsidRDefault="00A7143B" w:rsidP="006A110B">
            <w:pPr>
              <w:ind w:left="0"/>
              <w:rPr>
                <w:rFonts w:cs="Calibri"/>
                <w:color w:val="000000"/>
              </w:rPr>
            </w:pPr>
            <w:r>
              <w:t>Area under the plasma concentration time curve from time zero to 24</w:t>
            </w:r>
            <w:r w:rsidR="006E2636">
              <w:t> </w:t>
            </w:r>
            <w:r>
              <w:t>hours</w:t>
            </w:r>
          </w:p>
        </w:tc>
      </w:tr>
      <w:tr w:rsidR="00A7143B" w:rsidRPr="00FD119B" w14:paraId="46C6FCD5" w14:textId="77777777" w:rsidTr="00E31645">
        <w:tc>
          <w:tcPr>
            <w:tcW w:w="1809" w:type="dxa"/>
          </w:tcPr>
          <w:p w14:paraId="5375668B" w14:textId="77777777" w:rsidR="00A7143B" w:rsidRDefault="00A7143B" w:rsidP="00C54AA1">
            <w:pPr>
              <w:ind w:left="0"/>
            </w:pPr>
            <w:proofErr w:type="spellStart"/>
            <w:r>
              <w:t>AUC</w:t>
            </w:r>
            <w:r w:rsidRPr="002D458C">
              <w:rPr>
                <w:vertAlign w:val="subscript"/>
              </w:rPr>
              <w:t>tau</w:t>
            </w:r>
            <w:proofErr w:type="spellEnd"/>
          </w:p>
        </w:tc>
        <w:tc>
          <w:tcPr>
            <w:tcW w:w="6911" w:type="dxa"/>
          </w:tcPr>
          <w:p w14:paraId="59EBD13D" w14:textId="6882AEF6" w:rsidR="00A7143B" w:rsidRDefault="00A7143B" w:rsidP="00C54AA1">
            <w:pPr>
              <w:ind w:left="0"/>
            </w:pPr>
            <w:r>
              <w:t>A</w:t>
            </w:r>
            <w:r w:rsidRPr="002D458C">
              <w:t xml:space="preserve">rea under </w:t>
            </w:r>
            <w:r w:rsidR="006E2636">
              <w:t xml:space="preserve">the plasma </w:t>
            </w:r>
            <w:r w:rsidRPr="002D458C">
              <w:t>concentration time curve during the dosing interval</w:t>
            </w:r>
          </w:p>
        </w:tc>
      </w:tr>
      <w:tr w:rsidR="00A7143B" w:rsidRPr="00FD119B" w14:paraId="619A62DB" w14:textId="77777777" w:rsidTr="00E31645">
        <w:tc>
          <w:tcPr>
            <w:tcW w:w="1809" w:type="dxa"/>
          </w:tcPr>
          <w:p w14:paraId="5ADE51E4" w14:textId="77777777" w:rsidR="00A7143B" w:rsidRDefault="00A7143B" w:rsidP="00C54AA1">
            <w:pPr>
              <w:ind w:left="0"/>
            </w:pPr>
            <w:r>
              <w:t>AusPAR</w:t>
            </w:r>
          </w:p>
        </w:tc>
        <w:tc>
          <w:tcPr>
            <w:tcW w:w="6911" w:type="dxa"/>
          </w:tcPr>
          <w:p w14:paraId="1DF881DB" w14:textId="77777777" w:rsidR="00A7143B" w:rsidRDefault="00A7143B" w:rsidP="00C54AA1">
            <w:pPr>
              <w:ind w:left="0"/>
            </w:pPr>
            <w:r>
              <w:t>Australian public a</w:t>
            </w:r>
            <w:r w:rsidRPr="004222EF">
              <w:t xml:space="preserve">ssessment </w:t>
            </w:r>
            <w:r>
              <w:t>report</w:t>
            </w:r>
          </w:p>
        </w:tc>
      </w:tr>
      <w:tr w:rsidR="00A7143B" w:rsidRPr="00FD119B" w14:paraId="387AA002" w14:textId="77777777" w:rsidTr="00E31645">
        <w:tc>
          <w:tcPr>
            <w:tcW w:w="1809" w:type="dxa"/>
          </w:tcPr>
          <w:p w14:paraId="7ACF6384" w14:textId="77777777" w:rsidR="00A7143B" w:rsidRDefault="00A7143B" w:rsidP="00C54AA1">
            <w:pPr>
              <w:ind w:left="0"/>
            </w:pPr>
            <w:r>
              <w:t>C1D1</w:t>
            </w:r>
          </w:p>
        </w:tc>
        <w:tc>
          <w:tcPr>
            <w:tcW w:w="6911" w:type="dxa"/>
          </w:tcPr>
          <w:p w14:paraId="0129B7BE" w14:textId="77777777" w:rsidR="00A7143B" w:rsidRDefault="00A7143B" w:rsidP="00C54AA1">
            <w:pPr>
              <w:ind w:left="0"/>
            </w:pPr>
            <w:r>
              <w:t>Course 1 assessments at B</w:t>
            </w:r>
            <w:r w:rsidRPr="007B69BB">
              <w:t>aseline</w:t>
            </w:r>
          </w:p>
        </w:tc>
      </w:tr>
      <w:tr w:rsidR="00A7143B" w:rsidRPr="00FD119B" w14:paraId="09D6F90A" w14:textId="77777777" w:rsidTr="00E31645">
        <w:tc>
          <w:tcPr>
            <w:tcW w:w="1809" w:type="dxa"/>
          </w:tcPr>
          <w:p w14:paraId="5359381B" w14:textId="77777777" w:rsidR="00A7143B" w:rsidRDefault="00A7143B" w:rsidP="00C54AA1">
            <w:pPr>
              <w:ind w:left="0"/>
            </w:pPr>
            <w:r>
              <w:t>C2D1</w:t>
            </w:r>
          </w:p>
        </w:tc>
        <w:tc>
          <w:tcPr>
            <w:tcW w:w="6911" w:type="dxa"/>
          </w:tcPr>
          <w:p w14:paraId="20CA3EC6" w14:textId="77777777" w:rsidR="00A7143B" w:rsidRDefault="00A7143B" w:rsidP="00C54AA1">
            <w:pPr>
              <w:ind w:left="0"/>
            </w:pPr>
            <w:r>
              <w:t>Course 2 assessments at B</w:t>
            </w:r>
            <w:r w:rsidRPr="007B69BB">
              <w:t>aseline</w:t>
            </w:r>
          </w:p>
        </w:tc>
      </w:tr>
      <w:tr w:rsidR="00A7143B" w:rsidRPr="00FD119B" w14:paraId="3F6B0BC2" w14:textId="77777777" w:rsidTr="00E31645">
        <w:tc>
          <w:tcPr>
            <w:tcW w:w="1809" w:type="dxa"/>
          </w:tcPr>
          <w:p w14:paraId="171CB693" w14:textId="77777777" w:rsidR="00A7143B" w:rsidRDefault="00A7143B" w:rsidP="00C54AA1">
            <w:pPr>
              <w:ind w:left="0"/>
            </w:pPr>
            <w:r>
              <w:t>CDA</w:t>
            </w:r>
          </w:p>
        </w:tc>
        <w:tc>
          <w:tcPr>
            <w:tcW w:w="6911" w:type="dxa"/>
          </w:tcPr>
          <w:p w14:paraId="4394D2E2" w14:textId="77777777" w:rsidR="00A7143B" w:rsidRDefault="00A7143B" w:rsidP="00C54AA1">
            <w:pPr>
              <w:ind w:left="0"/>
            </w:pPr>
            <w:r>
              <w:t>C</w:t>
            </w:r>
            <w:r w:rsidRPr="004222EF">
              <w:t>ytidine deaminase</w:t>
            </w:r>
          </w:p>
        </w:tc>
      </w:tr>
      <w:tr w:rsidR="00A7143B" w:rsidRPr="00FD119B" w14:paraId="427897DF" w14:textId="77777777" w:rsidTr="00E31645">
        <w:tc>
          <w:tcPr>
            <w:tcW w:w="1809" w:type="dxa"/>
          </w:tcPr>
          <w:p w14:paraId="08AEDB49" w14:textId="77777777" w:rsidR="00A7143B" w:rsidRDefault="00A7143B" w:rsidP="006A110B">
            <w:pPr>
              <w:ind w:left="0"/>
            </w:pPr>
            <w:r>
              <w:t>CI</w:t>
            </w:r>
          </w:p>
        </w:tc>
        <w:tc>
          <w:tcPr>
            <w:tcW w:w="6911" w:type="dxa"/>
          </w:tcPr>
          <w:p w14:paraId="371F2FC6" w14:textId="77777777" w:rsidR="00A7143B" w:rsidRDefault="00A7143B" w:rsidP="006A110B">
            <w:pPr>
              <w:ind w:left="0"/>
            </w:pPr>
            <w:r>
              <w:t>Confidence interval</w:t>
            </w:r>
          </w:p>
        </w:tc>
      </w:tr>
      <w:tr w:rsidR="00A7143B" w:rsidRPr="00FD119B" w14:paraId="58AD5D03" w14:textId="77777777" w:rsidTr="00E31645">
        <w:tc>
          <w:tcPr>
            <w:tcW w:w="1809" w:type="dxa"/>
          </w:tcPr>
          <w:p w14:paraId="276710CB" w14:textId="77777777" w:rsidR="00A7143B" w:rsidRDefault="00A7143B" w:rsidP="00C54AA1">
            <w:pPr>
              <w:ind w:left="0"/>
            </w:pPr>
            <w:r>
              <w:t>CL/F</w:t>
            </w:r>
          </w:p>
        </w:tc>
        <w:tc>
          <w:tcPr>
            <w:tcW w:w="6911" w:type="dxa"/>
          </w:tcPr>
          <w:p w14:paraId="37FBF9DD" w14:textId="34161D93" w:rsidR="00A7143B" w:rsidRDefault="006E2636" w:rsidP="00C54AA1">
            <w:pPr>
              <w:ind w:left="0"/>
            </w:pPr>
            <w:r>
              <w:t>Oral c</w:t>
            </w:r>
            <w:r w:rsidR="00A7143B">
              <w:t>learance</w:t>
            </w:r>
          </w:p>
        </w:tc>
      </w:tr>
      <w:tr w:rsidR="00A7143B" w:rsidRPr="00FD119B" w14:paraId="3B1A01A2" w14:textId="77777777" w:rsidTr="00E31645">
        <w:tc>
          <w:tcPr>
            <w:tcW w:w="1809" w:type="dxa"/>
          </w:tcPr>
          <w:p w14:paraId="0DD6321B" w14:textId="77777777" w:rsidR="00A7143B" w:rsidRDefault="00A7143B" w:rsidP="00C54AA1">
            <w:pPr>
              <w:ind w:left="0"/>
            </w:pPr>
            <w:proofErr w:type="spellStart"/>
            <w:r>
              <w:t>C</w:t>
            </w:r>
            <w:r w:rsidRPr="002D458C">
              <w:rPr>
                <w:vertAlign w:val="subscript"/>
              </w:rPr>
              <w:t>max</w:t>
            </w:r>
            <w:proofErr w:type="spellEnd"/>
          </w:p>
        </w:tc>
        <w:tc>
          <w:tcPr>
            <w:tcW w:w="6911" w:type="dxa"/>
          </w:tcPr>
          <w:p w14:paraId="6D4CEC81" w14:textId="77777777" w:rsidR="00A7143B" w:rsidRDefault="00A7143B" w:rsidP="00C54AA1">
            <w:pPr>
              <w:ind w:left="0"/>
            </w:pPr>
            <w:r>
              <w:t>Maximum plasma concentration</w:t>
            </w:r>
          </w:p>
        </w:tc>
      </w:tr>
      <w:tr w:rsidR="00A7143B" w:rsidRPr="00FD119B" w14:paraId="7EE5B90D" w14:textId="77777777" w:rsidTr="00E31645">
        <w:tc>
          <w:tcPr>
            <w:tcW w:w="1809" w:type="dxa"/>
          </w:tcPr>
          <w:p w14:paraId="6FBD6590" w14:textId="77777777" w:rsidR="00A7143B" w:rsidRDefault="00A7143B" w:rsidP="00C54AA1">
            <w:pPr>
              <w:ind w:left="0"/>
            </w:pPr>
            <w:r>
              <w:t>CMI</w:t>
            </w:r>
          </w:p>
        </w:tc>
        <w:tc>
          <w:tcPr>
            <w:tcW w:w="6911" w:type="dxa"/>
          </w:tcPr>
          <w:p w14:paraId="4FEE2A9D" w14:textId="77777777" w:rsidR="00A7143B" w:rsidRDefault="00A7143B" w:rsidP="00C54AA1">
            <w:pPr>
              <w:ind w:left="0"/>
            </w:pPr>
            <w:r>
              <w:t>Consumer medicine information</w:t>
            </w:r>
          </w:p>
        </w:tc>
      </w:tr>
      <w:tr w:rsidR="00A7143B" w:rsidRPr="00FD119B" w14:paraId="46CAE5BC" w14:textId="77777777" w:rsidTr="00E31645">
        <w:tc>
          <w:tcPr>
            <w:tcW w:w="1809" w:type="dxa"/>
          </w:tcPr>
          <w:p w14:paraId="4DF916C4" w14:textId="77777777" w:rsidR="00A7143B" w:rsidRPr="00FD119B" w:rsidRDefault="00A7143B" w:rsidP="00C54AA1">
            <w:pPr>
              <w:ind w:left="0" w:right="0"/>
              <w:rPr>
                <w:color w:val="auto"/>
                <w:szCs w:val="22"/>
                <w:lang w:eastAsia="en-US"/>
              </w:rPr>
            </w:pPr>
            <w:r>
              <w:rPr>
                <w:color w:val="auto"/>
                <w:szCs w:val="22"/>
                <w:lang w:eastAsia="en-US"/>
              </w:rPr>
              <w:t>CMML</w:t>
            </w:r>
          </w:p>
        </w:tc>
        <w:tc>
          <w:tcPr>
            <w:tcW w:w="6911" w:type="dxa"/>
          </w:tcPr>
          <w:p w14:paraId="67EB3E88" w14:textId="77777777" w:rsidR="00A7143B" w:rsidRPr="00FD119B" w:rsidRDefault="00A7143B" w:rsidP="00C54AA1">
            <w:pPr>
              <w:ind w:left="0" w:right="0"/>
              <w:rPr>
                <w:color w:val="auto"/>
                <w:szCs w:val="22"/>
                <w:lang w:eastAsia="en-US"/>
              </w:rPr>
            </w:pPr>
            <w:r>
              <w:rPr>
                <w:color w:val="auto"/>
                <w:szCs w:val="22"/>
                <w:lang w:eastAsia="en-US"/>
              </w:rPr>
              <w:t>C</w:t>
            </w:r>
            <w:r w:rsidRPr="004222EF">
              <w:rPr>
                <w:color w:val="auto"/>
                <w:szCs w:val="22"/>
                <w:lang w:eastAsia="en-US"/>
              </w:rPr>
              <w:t xml:space="preserve">hronic </w:t>
            </w:r>
            <w:proofErr w:type="spellStart"/>
            <w:r w:rsidRPr="004222EF">
              <w:rPr>
                <w:color w:val="auto"/>
                <w:szCs w:val="22"/>
                <w:lang w:eastAsia="en-US"/>
              </w:rPr>
              <w:t>myelomonocytic</w:t>
            </w:r>
            <w:proofErr w:type="spellEnd"/>
            <w:r w:rsidRPr="004222EF">
              <w:rPr>
                <w:color w:val="auto"/>
                <w:szCs w:val="22"/>
                <w:lang w:eastAsia="en-US"/>
              </w:rPr>
              <w:t xml:space="preserve"> leukaemia</w:t>
            </w:r>
          </w:p>
        </w:tc>
      </w:tr>
      <w:tr w:rsidR="00A7143B" w:rsidRPr="00FD119B" w14:paraId="2035CC95" w14:textId="77777777" w:rsidTr="00E31645">
        <w:tc>
          <w:tcPr>
            <w:tcW w:w="1809" w:type="dxa"/>
          </w:tcPr>
          <w:p w14:paraId="70DC4093" w14:textId="77777777" w:rsidR="00A7143B" w:rsidRDefault="00A7143B" w:rsidP="00C54AA1">
            <w:pPr>
              <w:ind w:left="0"/>
            </w:pPr>
            <w:r>
              <w:t>CNS</w:t>
            </w:r>
          </w:p>
        </w:tc>
        <w:tc>
          <w:tcPr>
            <w:tcW w:w="6911" w:type="dxa"/>
          </w:tcPr>
          <w:p w14:paraId="4CA63B17" w14:textId="77777777" w:rsidR="00A7143B" w:rsidRDefault="00A7143B" w:rsidP="00C54AA1">
            <w:pPr>
              <w:ind w:left="0"/>
            </w:pPr>
            <w:r>
              <w:t>Central nervous system</w:t>
            </w:r>
          </w:p>
        </w:tc>
      </w:tr>
      <w:tr w:rsidR="00A7143B" w:rsidRPr="00FD119B" w14:paraId="10D7A29F" w14:textId="77777777" w:rsidTr="00E31645">
        <w:tc>
          <w:tcPr>
            <w:tcW w:w="1809" w:type="dxa"/>
          </w:tcPr>
          <w:p w14:paraId="4AF620D5" w14:textId="77777777" w:rsidR="00A7143B" w:rsidRDefault="00A7143B" w:rsidP="00C54AA1">
            <w:pPr>
              <w:ind w:left="0"/>
            </w:pPr>
            <w:r>
              <w:t>CR</w:t>
            </w:r>
          </w:p>
        </w:tc>
        <w:tc>
          <w:tcPr>
            <w:tcW w:w="6911" w:type="dxa"/>
          </w:tcPr>
          <w:p w14:paraId="5F5667C4" w14:textId="77777777" w:rsidR="00A7143B" w:rsidRDefault="00A7143B" w:rsidP="00C54AA1">
            <w:pPr>
              <w:ind w:left="0"/>
            </w:pPr>
            <w:r>
              <w:t>Complete response</w:t>
            </w:r>
          </w:p>
        </w:tc>
      </w:tr>
      <w:tr w:rsidR="00A7143B" w:rsidRPr="00FD119B" w14:paraId="1CF313F7" w14:textId="77777777" w:rsidTr="00E31645">
        <w:tc>
          <w:tcPr>
            <w:tcW w:w="1809" w:type="dxa"/>
          </w:tcPr>
          <w:p w14:paraId="3B866E20" w14:textId="77777777" w:rsidR="00A7143B" w:rsidRDefault="00A7143B" w:rsidP="00C54AA1">
            <w:pPr>
              <w:ind w:left="0"/>
            </w:pPr>
            <w:r>
              <w:t>CSR</w:t>
            </w:r>
          </w:p>
        </w:tc>
        <w:tc>
          <w:tcPr>
            <w:tcW w:w="6911" w:type="dxa"/>
          </w:tcPr>
          <w:p w14:paraId="2F3B9C97" w14:textId="77777777" w:rsidR="00A7143B" w:rsidRDefault="00A7143B" w:rsidP="00C54AA1">
            <w:pPr>
              <w:ind w:left="0"/>
            </w:pPr>
            <w:r>
              <w:t>Clinical study report</w:t>
            </w:r>
          </w:p>
        </w:tc>
      </w:tr>
      <w:tr w:rsidR="00A7143B" w:rsidRPr="00FD119B" w14:paraId="6157BA62" w14:textId="77777777" w:rsidTr="00E31645">
        <w:tc>
          <w:tcPr>
            <w:tcW w:w="1809" w:type="dxa"/>
          </w:tcPr>
          <w:p w14:paraId="3451ACAB" w14:textId="77777777" w:rsidR="00A7143B" w:rsidRDefault="00A7143B" w:rsidP="006A110B">
            <w:pPr>
              <w:ind w:left="0"/>
            </w:pPr>
            <w:r>
              <w:t>CYP</w:t>
            </w:r>
          </w:p>
        </w:tc>
        <w:tc>
          <w:tcPr>
            <w:tcW w:w="6911" w:type="dxa"/>
          </w:tcPr>
          <w:p w14:paraId="3C59EFF7" w14:textId="77777777" w:rsidR="00A7143B" w:rsidRDefault="00A7143B" w:rsidP="006A110B">
            <w:pPr>
              <w:ind w:left="0"/>
            </w:pPr>
            <w:r>
              <w:t>Cytochrome enzyme</w:t>
            </w:r>
          </w:p>
        </w:tc>
      </w:tr>
      <w:tr w:rsidR="00A7143B" w:rsidRPr="00FD119B" w14:paraId="4F38C903" w14:textId="77777777" w:rsidTr="00E31645">
        <w:tc>
          <w:tcPr>
            <w:tcW w:w="1809" w:type="dxa"/>
          </w:tcPr>
          <w:p w14:paraId="7D9631C4" w14:textId="77777777" w:rsidR="00A7143B" w:rsidRDefault="00A7143B" w:rsidP="00C54AA1">
            <w:pPr>
              <w:ind w:left="0"/>
            </w:pPr>
            <w:r>
              <w:t>DAC</w:t>
            </w:r>
          </w:p>
        </w:tc>
        <w:tc>
          <w:tcPr>
            <w:tcW w:w="6911" w:type="dxa"/>
          </w:tcPr>
          <w:p w14:paraId="06002930" w14:textId="77777777" w:rsidR="00A7143B" w:rsidRDefault="00A7143B" w:rsidP="00C54AA1">
            <w:pPr>
              <w:ind w:left="0"/>
            </w:pPr>
            <w:r>
              <w:t>Intravenous decitabine</w:t>
            </w:r>
          </w:p>
        </w:tc>
      </w:tr>
      <w:tr w:rsidR="00A7143B" w:rsidRPr="00FD119B" w14:paraId="7C523ABC" w14:textId="77777777" w:rsidTr="00E31645">
        <w:tc>
          <w:tcPr>
            <w:tcW w:w="1809" w:type="dxa"/>
          </w:tcPr>
          <w:p w14:paraId="5084693B" w14:textId="77777777" w:rsidR="00A7143B" w:rsidRDefault="00A7143B" w:rsidP="00C54AA1">
            <w:pPr>
              <w:ind w:left="0"/>
            </w:pPr>
            <w:r>
              <w:t>DLP</w:t>
            </w:r>
          </w:p>
        </w:tc>
        <w:tc>
          <w:tcPr>
            <w:tcW w:w="6911" w:type="dxa"/>
          </w:tcPr>
          <w:p w14:paraId="02C5E0EB" w14:textId="77777777" w:rsidR="00A7143B" w:rsidRDefault="00A7143B" w:rsidP="00C54AA1">
            <w:pPr>
              <w:ind w:left="0"/>
            </w:pPr>
            <w:r>
              <w:t>Data lock point</w:t>
            </w:r>
          </w:p>
        </w:tc>
      </w:tr>
      <w:tr w:rsidR="00A7143B" w:rsidRPr="00FD119B" w14:paraId="2978569E" w14:textId="77777777" w:rsidTr="00E31645">
        <w:tc>
          <w:tcPr>
            <w:tcW w:w="1809" w:type="dxa"/>
          </w:tcPr>
          <w:p w14:paraId="79A4344F" w14:textId="77777777" w:rsidR="00A7143B" w:rsidRDefault="00A7143B" w:rsidP="00C54AA1">
            <w:pPr>
              <w:ind w:left="0"/>
            </w:pPr>
            <w:r>
              <w:t>DNA</w:t>
            </w:r>
          </w:p>
        </w:tc>
        <w:tc>
          <w:tcPr>
            <w:tcW w:w="6911" w:type="dxa"/>
          </w:tcPr>
          <w:p w14:paraId="2B77AEC4" w14:textId="77777777" w:rsidR="00A7143B" w:rsidRDefault="00A7143B" w:rsidP="00C54AA1">
            <w:pPr>
              <w:ind w:left="0"/>
            </w:pPr>
            <w:r w:rsidRPr="004222EF">
              <w:t>Deoxyribonucleic acid</w:t>
            </w:r>
          </w:p>
        </w:tc>
      </w:tr>
      <w:tr w:rsidR="00A7143B" w:rsidRPr="00FD119B" w14:paraId="132ADCB7" w14:textId="77777777" w:rsidTr="00E31645">
        <w:tc>
          <w:tcPr>
            <w:tcW w:w="1809" w:type="dxa"/>
          </w:tcPr>
          <w:p w14:paraId="089FB4D5" w14:textId="77777777" w:rsidR="00A7143B" w:rsidRDefault="00A7143B" w:rsidP="00C54AA1">
            <w:pPr>
              <w:ind w:left="0"/>
            </w:pPr>
            <w:r>
              <w:t>ECOG-PS</w:t>
            </w:r>
          </w:p>
        </w:tc>
        <w:tc>
          <w:tcPr>
            <w:tcW w:w="6911" w:type="dxa"/>
          </w:tcPr>
          <w:p w14:paraId="71E90327" w14:textId="77777777" w:rsidR="00A7143B" w:rsidRDefault="00A7143B" w:rsidP="00C54AA1">
            <w:pPr>
              <w:ind w:left="0"/>
            </w:pPr>
            <w:r>
              <w:t>Eastern Cooperative Oncology Group performance status</w:t>
            </w:r>
          </w:p>
        </w:tc>
      </w:tr>
      <w:tr w:rsidR="00A7143B" w:rsidRPr="00FD119B" w14:paraId="27A5F1E6" w14:textId="77777777" w:rsidTr="00E31645">
        <w:tc>
          <w:tcPr>
            <w:tcW w:w="1809" w:type="dxa"/>
          </w:tcPr>
          <w:p w14:paraId="6E622188" w14:textId="77777777" w:rsidR="00A7143B" w:rsidRDefault="00A7143B" w:rsidP="00C54AA1">
            <w:pPr>
              <w:ind w:left="0"/>
            </w:pPr>
            <w:r>
              <w:t>EU</w:t>
            </w:r>
          </w:p>
        </w:tc>
        <w:tc>
          <w:tcPr>
            <w:tcW w:w="6911" w:type="dxa"/>
          </w:tcPr>
          <w:p w14:paraId="45AD626E" w14:textId="77777777" w:rsidR="00A7143B" w:rsidRDefault="00A7143B" w:rsidP="00C54AA1">
            <w:pPr>
              <w:ind w:left="0"/>
            </w:pPr>
            <w:r>
              <w:t>European Union</w:t>
            </w:r>
          </w:p>
        </w:tc>
      </w:tr>
      <w:tr w:rsidR="00A7143B" w:rsidRPr="00FD119B" w14:paraId="5E12D848" w14:textId="77777777" w:rsidTr="00E31645">
        <w:tc>
          <w:tcPr>
            <w:tcW w:w="1809" w:type="dxa"/>
          </w:tcPr>
          <w:p w14:paraId="243DD987" w14:textId="77777777" w:rsidR="00A7143B" w:rsidRDefault="00A7143B" w:rsidP="00C54AA1">
            <w:pPr>
              <w:ind w:left="0"/>
            </w:pPr>
            <w:r>
              <w:t>FDA</w:t>
            </w:r>
          </w:p>
        </w:tc>
        <w:tc>
          <w:tcPr>
            <w:tcW w:w="6911" w:type="dxa"/>
          </w:tcPr>
          <w:p w14:paraId="73CEC2C4" w14:textId="77777777" w:rsidR="00A7143B" w:rsidRDefault="00A7143B" w:rsidP="00C54AA1">
            <w:pPr>
              <w:ind w:left="0"/>
            </w:pPr>
            <w:r>
              <w:t>Food and Drug Administration (United States)</w:t>
            </w:r>
          </w:p>
        </w:tc>
      </w:tr>
      <w:tr w:rsidR="00A7143B" w:rsidRPr="00FD119B" w14:paraId="45A40797" w14:textId="77777777" w:rsidTr="00E31645">
        <w:tc>
          <w:tcPr>
            <w:tcW w:w="1809" w:type="dxa"/>
          </w:tcPr>
          <w:p w14:paraId="14001E65" w14:textId="77777777" w:rsidR="00A7143B" w:rsidRDefault="00A7143B" w:rsidP="00C54AA1">
            <w:pPr>
              <w:ind w:left="0"/>
            </w:pPr>
            <w:r>
              <w:t>FDC</w:t>
            </w:r>
          </w:p>
        </w:tc>
        <w:tc>
          <w:tcPr>
            <w:tcW w:w="6911" w:type="dxa"/>
          </w:tcPr>
          <w:p w14:paraId="639AD32B" w14:textId="77777777" w:rsidR="00A7143B" w:rsidRDefault="00A7143B" w:rsidP="00C54AA1">
            <w:pPr>
              <w:ind w:left="0"/>
            </w:pPr>
            <w:r>
              <w:t>Fixed dose combination</w:t>
            </w:r>
          </w:p>
        </w:tc>
      </w:tr>
      <w:tr w:rsidR="00A7143B" w:rsidRPr="00FD119B" w14:paraId="491F8116" w14:textId="77777777" w:rsidTr="00E31645">
        <w:tc>
          <w:tcPr>
            <w:tcW w:w="1809" w:type="dxa"/>
          </w:tcPr>
          <w:p w14:paraId="40C40612" w14:textId="77777777" w:rsidR="00A7143B" w:rsidRDefault="00A7143B" w:rsidP="00C54AA1">
            <w:pPr>
              <w:ind w:left="0"/>
            </w:pPr>
            <w:r>
              <w:t>GI</w:t>
            </w:r>
          </w:p>
        </w:tc>
        <w:tc>
          <w:tcPr>
            <w:tcW w:w="6911" w:type="dxa"/>
          </w:tcPr>
          <w:p w14:paraId="3B29AEB1" w14:textId="77777777" w:rsidR="00A7143B" w:rsidRDefault="00A7143B" w:rsidP="00C54AA1">
            <w:pPr>
              <w:ind w:left="0"/>
            </w:pPr>
            <w:r>
              <w:t>Gastrointestinal</w:t>
            </w:r>
          </w:p>
        </w:tc>
      </w:tr>
      <w:tr w:rsidR="00A7143B" w:rsidRPr="00FD119B" w14:paraId="41FF4153" w14:textId="77777777" w:rsidTr="00E31645">
        <w:tc>
          <w:tcPr>
            <w:tcW w:w="1809" w:type="dxa"/>
          </w:tcPr>
          <w:p w14:paraId="58A7F917" w14:textId="768C03C4" w:rsidR="00A7143B" w:rsidRDefault="00A7143B" w:rsidP="00C54AA1">
            <w:pPr>
              <w:ind w:left="0"/>
            </w:pPr>
            <w:r>
              <w:t>GV</w:t>
            </w:r>
            <w:r w:rsidR="006E2636">
              <w:t>P</w:t>
            </w:r>
          </w:p>
        </w:tc>
        <w:tc>
          <w:tcPr>
            <w:tcW w:w="6911" w:type="dxa"/>
          </w:tcPr>
          <w:p w14:paraId="3F0BC7DD" w14:textId="77777777" w:rsidR="00A7143B" w:rsidRDefault="00A7143B" w:rsidP="00C54AA1">
            <w:pPr>
              <w:ind w:left="0"/>
            </w:pPr>
            <w:r>
              <w:t>Good pharmacovigilance practice</w:t>
            </w:r>
          </w:p>
        </w:tc>
      </w:tr>
      <w:tr w:rsidR="00A7143B" w:rsidRPr="00FD119B" w14:paraId="10D30670" w14:textId="77777777" w:rsidTr="00E31645">
        <w:tc>
          <w:tcPr>
            <w:tcW w:w="1809" w:type="dxa"/>
          </w:tcPr>
          <w:p w14:paraId="7879F766" w14:textId="77777777" w:rsidR="00A7143B" w:rsidRDefault="00A7143B" w:rsidP="00C54AA1">
            <w:pPr>
              <w:ind w:left="0"/>
            </w:pPr>
            <w:r>
              <w:t>HI</w:t>
            </w:r>
          </w:p>
        </w:tc>
        <w:tc>
          <w:tcPr>
            <w:tcW w:w="6911" w:type="dxa"/>
          </w:tcPr>
          <w:p w14:paraId="7A14F39F" w14:textId="70E03A0E" w:rsidR="00A7143B" w:rsidRDefault="00A7143B" w:rsidP="00C54AA1">
            <w:pPr>
              <w:ind w:left="0"/>
            </w:pPr>
            <w:proofErr w:type="spellStart"/>
            <w:r>
              <w:t>H</w:t>
            </w:r>
            <w:r w:rsidR="006E2636">
              <w:t>a</w:t>
            </w:r>
            <w:r w:rsidRPr="007B69BB">
              <w:t>ematologic</w:t>
            </w:r>
            <w:proofErr w:type="spellEnd"/>
            <w:r w:rsidRPr="007B69BB">
              <w:t xml:space="preserve"> improvement</w:t>
            </w:r>
          </w:p>
        </w:tc>
      </w:tr>
      <w:tr w:rsidR="00A7143B" w:rsidRPr="00FD119B" w14:paraId="4B8B4CC2" w14:textId="77777777" w:rsidTr="00E31645">
        <w:tc>
          <w:tcPr>
            <w:tcW w:w="1809" w:type="dxa"/>
          </w:tcPr>
          <w:p w14:paraId="0AAAAAEB" w14:textId="77777777" w:rsidR="00A7143B" w:rsidRDefault="00A7143B" w:rsidP="00C54AA1">
            <w:pPr>
              <w:ind w:left="0"/>
            </w:pPr>
            <w:r>
              <w:t>IC</w:t>
            </w:r>
            <w:r w:rsidRPr="00095DEF">
              <w:rPr>
                <w:vertAlign w:val="subscript"/>
              </w:rPr>
              <w:t>50</w:t>
            </w:r>
          </w:p>
        </w:tc>
        <w:tc>
          <w:tcPr>
            <w:tcW w:w="6911" w:type="dxa"/>
          </w:tcPr>
          <w:p w14:paraId="506B9DA3" w14:textId="77777777" w:rsidR="00A7143B" w:rsidRDefault="00A7143B" w:rsidP="00C54AA1">
            <w:pPr>
              <w:ind w:left="0"/>
            </w:pPr>
            <w:r>
              <w:t>Concentration giving half maximum inhibition</w:t>
            </w:r>
          </w:p>
        </w:tc>
      </w:tr>
      <w:tr w:rsidR="00A7143B" w:rsidRPr="00FD119B" w14:paraId="38DCF2F4" w14:textId="77777777" w:rsidTr="00E31645">
        <w:tc>
          <w:tcPr>
            <w:tcW w:w="1809" w:type="dxa"/>
          </w:tcPr>
          <w:p w14:paraId="3A0C8073" w14:textId="77777777" w:rsidR="00A7143B" w:rsidRDefault="00A7143B" w:rsidP="00C54AA1">
            <w:pPr>
              <w:ind w:left="0"/>
            </w:pPr>
            <w:r>
              <w:t>ILD</w:t>
            </w:r>
          </w:p>
        </w:tc>
        <w:tc>
          <w:tcPr>
            <w:tcW w:w="6911" w:type="dxa"/>
          </w:tcPr>
          <w:p w14:paraId="0CA88AAE" w14:textId="77777777" w:rsidR="00A7143B" w:rsidRDefault="00A7143B" w:rsidP="00C54AA1">
            <w:pPr>
              <w:ind w:left="0"/>
            </w:pPr>
            <w:r>
              <w:t>Interstitial lung disease</w:t>
            </w:r>
          </w:p>
        </w:tc>
      </w:tr>
      <w:tr w:rsidR="00A7143B" w:rsidRPr="00FD119B" w14:paraId="552E32D1" w14:textId="77777777" w:rsidTr="00E31645">
        <w:tc>
          <w:tcPr>
            <w:tcW w:w="1809" w:type="dxa"/>
          </w:tcPr>
          <w:p w14:paraId="0F6147E5" w14:textId="77777777" w:rsidR="00A7143B" w:rsidRDefault="00A7143B" w:rsidP="00C54AA1">
            <w:pPr>
              <w:ind w:left="0"/>
            </w:pPr>
            <w:r w:rsidRPr="008813CB">
              <w:t>IPSS</w:t>
            </w:r>
          </w:p>
        </w:tc>
        <w:tc>
          <w:tcPr>
            <w:tcW w:w="6911" w:type="dxa"/>
          </w:tcPr>
          <w:p w14:paraId="220FDA16" w14:textId="77777777" w:rsidR="00A7143B" w:rsidRDefault="00A7143B" w:rsidP="00C54AA1">
            <w:pPr>
              <w:ind w:left="0"/>
            </w:pPr>
            <w:r>
              <w:t>International Prognostic Scoring System</w:t>
            </w:r>
          </w:p>
        </w:tc>
      </w:tr>
      <w:tr w:rsidR="00A7143B" w:rsidRPr="00FD119B" w14:paraId="37FF9698" w14:textId="77777777" w:rsidTr="00E31645">
        <w:tc>
          <w:tcPr>
            <w:tcW w:w="1809" w:type="dxa"/>
          </w:tcPr>
          <w:p w14:paraId="686057F0" w14:textId="77777777" w:rsidR="00A7143B" w:rsidRDefault="00A7143B" w:rsidP="00C54AA1">
            <w:pPr>
              <w:ind w:left="0"/>
            </w:pPr>
            <w:r>
              <w:t>IV</w:t>
            </w:r>
          </w:p>
        </w:tc>
        <w:tc>
          <w:tcPr>
            <w:tcW w:w="6911" w:type="dxa"/>
          </w:tcPr>
          <w:p w14:paraId="531A6E20" w14:textId="77777777" w:rsidR="00A7143B" w:rsidRDefault="00A7143B" w:rsidP="00C54AA1">
            <w:pPr>
              <w:ind w:left="0"/>
            </w:pPr>
            <w:r>
              <w:t>Intravenous</w:t>
            </w:r>
          </w:p>
        </w:tc>
      </w:tr>
      <w:tr w:rsidR="00A7143B" w:rsidRPr="00FD119B" w14:paraId="0054DFC0" w14:textId="77777777" w:rsidTr="00E31645">
        <w:tc>
          <w:tcPr>
            <w:tcW w:w="1809" w:type="dxa"/>
          </w:tcPr>
          <w:p w14:paraId="63411E4F" w14:textId="77777777" w:rsidR="00A7143B" w:rsidRDefault="00A7143B" w:rsidP="00C54AA1">
            <w:pPr>
              <w:ind w:left="0"/>
            </w:pPr>
            <w:r>
              <w:t>IWG</w:t>
            </w:r>
          </w:p>
        </w:tc>
        <w:tc>
          <w:tcPr>
            <w:tcW w:w="6911" w:type="dxa"/>
          </w:tcPr>
          <w:p w14:paraId="5434956A" w14:textId="77777777" w:rsidR="00A7143B" w:rsidRDefault="00A7143B" w:rsidP="00C54AA1">
            <w:pPr>
              <w:ind w:left="0"/>
            </w:pPr>
            <w:r>
              <w:t>International Working Group</w:t>
            </w:r>
          </w:p>
        </w:tc>
      </w:tr>
      <w:tr w:rsidR="00A7143B" w:rsidRPr="00FD119B" w14:paraId="2AA82B37" w14:textId="77777777" w:rsidTr="00E31645">
        <w:tc>
          <w:tcPr>
            <w:tcW w:w="1809" w:type="dxa"/>
          </w:tcPr>
          <w:p w14:paraId="53186CDD" w14:textId="77777777" w:rsidR="00A7143B" w:rsidRDefault="00A7143B" w:rsidP="006A110B">
            <w:pPr>
              <w:ind w:left="0"/>
            </w:pPr>
            <w:r>
              <w:t>LSM</w:t>
            </w:r>
          </w:p>
        </w:tc>
        <w:tc>
          <w:tcPr>
            <w:tcW w:w="6911" w:type="dxa"/>
          </w:tcPr>
          <w:p w14:paraId="6B154941" w14:textId="59AD433B" w:rsidR="00A7143B" w:rsidRDefault="00A7143B" w:rsidP="006A110B">
            <w:pPr>
              <w:ind w:left="0"/>
            </w:pPr>
            <w:r>
              <w:t>Least square</w:t>
            </w:r>
            <w:r w:rsidR="006E2636">
              <w:t>s</w:t>
            </w:r>
            <w:r>
              <w:t xml:space="preserve"> mean</w:t>
            </w:r>
          </w:p>
        </w:tc>
      </w:tr>
      <w:tr w:rsidR="00A7143B" w:rsidRPr="00FD119B" w14:paraId="6F0621CF" w14:textId="77777777" w:rsidTr="00E31645">
        <w:tc>
          <w:tcPr>
            <w:tcW w:w="1809" w:type="dxa"/>
          </w:tcPr>
          <w:p w14:paraId="108EA657" w14:textId="77777777" w:rsidR="00A7143B" w:rsidRDefault="00A7143B" w:rsidP="00C54AA1">
            <w:pPr>
              <w:ind w:left="0"/>
            </w:pPr>
            <w:proofErr w:type="spellStart"/>
            <w:r>
              <w:t>mCR</w:t>
            </w:r>
            <w:proofErr w:type="spellEnd"/>
          </w:p>
        </w:tc>
        <w:tc>
          <w:tcPr>
            <w:tcW w:w="6911" w:type="dxa"/>
          </w:tcPr>
          <w:p w14:paraId="4B90046A" w14:textId="77777777" w:rsidR="00A7143B" w:rsidRDefault="00A7143B" w:rsidP="00C54AA1">
            <w:pPr>
              <w:ind w:left="0"/>
            </w:pPr>
            <w:r>
              <w:t>Marrow complete response</w:t>
            </w:r>
          </w:p>
        </w:tc>
      </w:tr>
      <w:tr w:rsidR="00A7143B" w:rsidRPr="00FD119B" w14:paraId="5C97EE00" w14:textId="77777777" w:rsidTr="00E31645">
        <w:tc>
          <w:tcPr>
            <w:tcW w:w="1809" w:type="dxa"/>
          </w:tcPr>
          <w:p w14:paraId="594BF118" w14:textId="77777777" w:rsidR="00A7143B" w:rsidRPr="00FD119B" w:rsidRDefault="00A7143B" w:rsidP="00C54AA1">
            <w:pPr>
              <w:ind w:left="0" w:right="0"/>
              <w:rPr>
                <w:color w:val="auto"/>
                <w:szCs w:val="22"/>
                <w:lang w:eastAsia="en-US"/>
              </w:rPr>
            </w:pPr>
            <w:r>
              <w:rPr>
                <w:color w:val="auto"/>
                <w:szCs w:val="22"/>
                <w:lang w:eastAsia="en-US"/>
              </w:rPr>
              <w:t>MDS</w:t>
            </w:r>
          </w:p>
        </w:tc>
        <w:tc>
          <w:tcPr>
            <w:tcW w:w="6911" w:type="dxa"/>
          </w:tcPr>
          <w:p w14:paraId="516CF8F7" w14:textId="77777777" w:rsidR="00A7143B" w:rsidRPr="00FD119B" w:rsidRDefault="00A7143B" w:rsidP="00C54AA1">
            <w:pPr>
              <w:ind w:left="0" w:right="0"/>
              <w:rPr>
                <w:color w:val="auto"/>
                <w:szCs w:val="22"/>
                <w:lang w:eastAsia="en-US"/>
              </w:rPr>
            </w:pPr>
            <w:r>
              <w:rPr>
                <w:color w:val="auto"/>
                <w:szCs w:val="22"/>
                <w:lang w:eastAsia="en-US"/>
              </w:rPr>
              <w:t>M</w:t>
            </w:r>
            <w:r w:rsidRPr="004222EF">
              <w:rPr>
                <w:color w:val="auto"/>
                <w:szCs w:val="22"/>
                <w:lang w:eastAsia="en-US"/>
              </w:rPr>
              <w:t>yelodysplastic syndromes</w:t>
            </w:r>
          </w:p>
        </w:tc>
      </w:tr>
      <w:tr w:rsidR="00A7143B" w:rsidRPr="00FD119B" w14:paraId="4F3972F9" w14:textId="77777777" w:rsidTr="00E31645">
        <w:tc>
          <w:tcPr>
            <w:tcW w:w="1809" w:type="dxa"/>
          </w:tcPr>
          <w:p w14:paraId="4B9260C6" w14:textId="47A36146" w:rsidR="00A7143B" w:rsidRDefault="00A7143B" w:rsidP="006A110B">
            <w:pPr>
              <w:ind w:left="0"/>
            </w:pPr>
            <w:r>
              <w:t>NA</w:t>
            </w:r>
          </w:p>
        </w:tc>
        <w:tc>
          <w:tcPr>
            <w:tcW w:w="6911" w:type="dxa"/>
          </w:tcPr>
          <w:p w14:paraId="49975F8D" w14:textId="77777777" w:rsidR="00A7143B" w:rsidRDefault="00A7143B" w:rsidP="006A110B">
            <w:pPr>
              <w:ind w:left="0"/>
            </w:pPr>
            <w:r>
              <w:t>Not applicable</w:t>
            </w:r>
          </w:p>
        </w:tc>
      </w:tr>
      <w:tr w:rsidR="00A7143B" w:rsidRPr="00FD119B" w14:paraId="0BDAD3E8" w14:textId="77777777" w:rsidTr="00E31645">
        <w:tc>
          <w:tcPr>
            <w:tcW w:w="1809" w:type="dxa"/>
          </w:tcPr>
          <w:p w14:paraId="69FC909F" w14:textId="142932D4" w:rsidR="00A7143B" w:rsidRDefault="00A7143B" w:rsidP="00C54AA1">
            <w:pPr>
              <w:ind w:left="0"/>
            </w:pPr>
            <w:r>
              <w:t>NYHA</w:t>
            </w:r>
          </w:p>
        </w:tc>
        <w:tc>
          <w:tcPr>
            <w:tcW w:w="6911" w:type="dxa"/>
          </w:tcPr>
          <w:p w14:paraId="19451F9F" w14:textId="5B0B2322" w:rsidR="00A7143B" w:rsidRDefault="00A7143B" w:rsidP="006E2636">
            <w:pPr>
              <w:ind w:left="0"/>
            </w:pPr>
            <w:r>
              <w:t>New York Heart Association</w:t>
            </w:r>
          </w:p>
        </w:tc>
      </w:tr>
      <w:tr w:rsidR="00A7143B" w:rsidRPr="00FD119B" w14:paraId="352E40F3" w14:textId="77777777" w:rsidTr="00E31645">
        <w:tc>
          <w:tcPr>
            <w:tcW w:w="1809" w:type="dxa"/>
          </w:tcPr>
          <w:p w14:paraId="65002726" w14:textId="77777777" w:rsidR="00A7143B" w:rsidRDefault="00A7143B" w:rsidP="00C54AA1">
            <w:pPr>
              <w:ind w:left="0"/>
            </w:pPr>
            <w:r>
              <w:t>OCE</w:t>
            </w:r>
          </w:p>
        </w:tc>
        <w:tc>
          <w:tcPr>
            <w:tcW w:w="6911" w:type="dxa"/>
          </w:tcPr>
          <w:p w14:paraId="51EABBAA" w14:textId="452548C0" w:rsidR="00A7143B" w:rsidRDefault="00A7143B" w:rsidP="00C54AA1">
            <w:pPr>
              <w:ind w:left="0"/>
            </w:pPr>
            <w:r>
              <w:t xml:space="preserve">Oncology </w:t>
            </w:r>
            <w:proofErr w:type="spellStart"/>
            <w:r>
              <w:t>Center</w:t>
            </w:r>
            <w:proofErr w:type="spellEnd"/>
            <w:r>
              <w:t xml:space="preserve"> of Excellence (of Food and Drug Administration</w:t>
            </w:r>
            <w:r w:rsidR="006E2636">
              <w:t>, United States</w:t>
            </w:r>
            <w:r>
              <w:t>)</w:t>
            </w:r>
          </w:p>
        </w:tc>
      </w:tr>
      <w:tr w:rsidR="00A7143B" w:rsidRPr="00FD119B" w14:paraId="4BA82C21" w14:textId="77777777" w:rsidTr="00E31645">
        <w:tc>
          <w:tcPr>
            <w:tcW w:w="1809" w:type="dxa"/>
          </w:tcPr>
          <w:p w14:paraId="4A7E7C19" w14:textId="77777777" w:rsidR="00A7143B" w:rsidRDefault="00A7143B" w:rsidP="00C54AA1">
            <w:pPr>
              <w:ind w:left="0"/>
            </w:pPr>
            <w:r>
              <w:t>PD</w:t>
            </w:r>
          </w:p>
        </w:tc>
        <w:tc>
          <w:tcPr>
            <w:tcW w:w="6911" w:type="dxa"/>
          </w:tcPr>
          <w:p w14:paraId="716BB268" w14:textId="77777777" w:rsidR="00A7143B" w:rsidRDefault="00A7143B" w:rsidP="00C54AA1">
            <w:pPr>
              <w:ind w:left="0"/>
            </w:pPr>
            <w:r>
              <w:t>Pharmacodynamics</w:t>
            </w:r>
          </w:p>
        </w:tc>
      </w:tr>
      <w:tr w:rsidR="00A7143B" w:rsidRPr="00FD119B" w14:paraId="41B52992" w14:textId="77777777" w:rsidTr="00E31645">
        <w:tc>
          <w:tcPr>
            <w:tcW w:w="1809" w:type="dxa"/>
          </w:tcPr>
          <w:p w14:paraId="0DB1BAA5" w14:textId="77777777" w:rsidR="00A7143B" w:rsidRDefault="00A7143B" w:rsidP="00C54AA1">
            <w:pPr>
              <w:ind w:left="0"/>
            </w:pPr>
            <w:r>
              <w:t>PI</w:t>
            </w:r>
          </w:p>
        </w:tc>
        <w:tc>
          <w:tcPr>
            <w:tcW w:w="6911" w:type="dxa"/>
          </w:tcPr>
          <w:p w14:paraId="7651F872" w14:textId="77777777" w:rsidR="00A7143B" w:rsidRDefault="00A7143B" w:rsidP="00C54AA1">
            <w:pPr>
              <w:ind w:left="0"/>
            </w:pPr>
            <w:r>
              <w:t>Product Information</w:t>
            </w:r>
          </w:p>
        </w:tc>
      </w:tr>
      <w:tr w:rsidR="00A7143B" w:rsidRPr="00FD119B" w14:paraId="67C20EA0" w14:textId="77777777" w:rsidTr="00E31645">
        <w:tc>
          <w:tcPr>
            <w:tcW w:w="1809" w:type="dxa"/>
          </w:tcPr>
          <w:p w14:paraId="5E089F21" w14:textId="77777777" w:rsidR="00A7143B" w:rsidRDefault="00A7143B" w:rsidP="00C54AA1">
            <w:pPr>
              <w:ind w:left="0"/>
            </w:pPr>
            <w:r>
              <w:t>PK</w:t>
            </w:r>
          </w:p>
        </w:tc>
        <w:tc>
          <w:tcPr>
            <w:tcW w:w="6911" w:type="dxa"/>
          </w:tcPr>
          <w:p w14:paraId="0BCD8DB5" w14:textId="77777777" w:rsidR="00A7143B" w:rsidRDefault="00A7143B" w:rsidP="00C54AA1">
            <w:pPr>
              <w:ind w:left="0"/>
            </w:pPr>
            <w:r>
              <w:t>Pharmacokinetic</w:t>
            </w:r>
          </w:p>
        </w:tc>
      </w:tr>
      <w:tr w:rsidR="00A7143B" w:rsidRPr="00FD119B" w14:paraId="38B0973E" w14:textId="77777777" w:rsidTr="00E31645">
        <w:tc>
          <w:tcPr>
            <w:tcW w:w="1809" w:type="dxa"/>
          </w:tcPr>
          <w:p w14:paraId="1AB800F8" w14:textId="77777777" w:rsidR="00A7143B" w:rsidRDefault="00A7143B" w:rsidP="00C54AA1">
            <w:pPr>
              <w:ind w:left="0"/>
            </w:pPr>
            <w:r>
              <w:t>PO</w:t>
            </w:r>
          </w:p>
        </w:tc>
        <w:tc>
          <w:tcPr>
            <w:tcW w:w="6911" w:type="dxa"/>
          </w:tcPr>
          <w:p w14:paraId="2009F2B4" w14:textId="77777777" w:rsidR="00A7143B" w:rsidRDefault="00A7143B" w:rsidP="00C54AA1">
            <w:pPr>
              <w:ind w:left="0"/>
            </w:pPr>
            <w:r>
              <w:t>Orally</w:t>
            </w:r>
          </w:p>
        </w:tc>
      </w:tr>
      <w:tr w:rsidR="00A7143B" w:rsidRPr="00FD119B" w14:paraId="38F52EF3" w14:textId="77777777" w:rsidTr="00E31645">
        <w:tc>
          <w:tcPr>
            <w:tcW w:w="1809" w:type="dxa"/>
          </w:tcPr>
          <w:p w14:paraId="69A6F3AC" w14:textId="77777777" w:rsidR="00A7143B" w:rsidRDefault="00A7143B" w:rsidP="00C54AA1">
            <w:pPr>
              <w:ind w:left="0"/>
            </w:pPr>
            <w:r>
              <w:t>PR</w:t>
            </w:r>
          </w:p>
        </w:tc>
        <w:tc>
          <w:tcPr>
            <w:tcW w:w="6911" w:type="dxa"/>
          </w:tcPr>
          <w:p w14:paraId="44DEF8A2" w14:textId="77777777" w:rsidR="00A7143B" w:rsidRDefault="00A7143B" w:rsidP="00C54AA1">
            <w:pPr>
              <w:ind w:left="0"/>
            </w:pPr>
            <w:r>
              <w:t>Partial response</w:t>
            </w:r>
          </w:p>
        </w:tc>
      </w:tr>
      <w:tr w:rsidR="00A7143B" w:rsidRPr="00FD119B" w14:paraId="6063E4B2" w14:textId="77777777" w:rsidTr="00E31645">
        <w:tc>
          <w:tcPr>
            <w:tcW w:w="1809" w:type="dxa"/>
          </w:tcPr>
          <w:p w14:paraId="311700C9" w14:textId="77777777" w:rsidR="00A7143B" w:rsidRDefault="00A7143B" w:rsidP="00C54AA1">
            <w:pPr>
              <w:ind w:left="0"/>
            </w:pPr>
            <w:r>
              <w:t>PSURs</w:t>
            </w:r>
          </w:p>
        </w:tc>
        <w:tc>
          <w:tcPr>
            <w:tcW w:w="6911" w:type="dxa"/>
          </w:tcPr>
          <w:p w14:paraId="5A85F70F" w14:textId="77777777" w:rsidR="00A7143B" w:rsidRDefault="00A7143B" w:rsidP="00C54AA1">
            <w:pPr>
              <w:ind w:left="0"/>
            </w:pPr>
            <w:r>
              <w:t>Periodic safety update reports</w:t>
            </w:r>
          </w:p>
        </w:tc>
      </w:tr>
      <w:tr w:rsidR="00A7143B" w:rsidRPr="00FD119B" w14:paraId="7940CD73" w14:textId="77777777" w:rsidTr="00E31645">
        <w:tc>
          <w:tcPr>
            <w:tcW w:w="1809" w:type="dxa"/>
          </w:tcPr>
          <w:p w14:paraId="7349703B" w14:textId="77777777" w:rsidR="00A7143B" w:rsidRDefault="00A7143B" w:rsidP="00C54AA1">
            <w:pPr>
              <w:ind w:left="0"/>
            </w:pPr>
            <w:r>
              <w:t>RBC</w:t>
            </w:r>
          </w:p>
        </w:tc>
        <w:tc>
          <w:tcPr>
            <w:tcW w:w="6911" w:type="dxa"/>
          </w:tcPr>
          <w:p w14:paraId="63637307" w14:textId="77777777" w:rsidR="00A7143B" w:rsidRDefault="00A7143B" w:rsidP="00C54AA1">
            <w:pPr>
              <w:ind w:left="0"/>
            </w:pPr>
            <w:r>
              <w:t>Red blood cell</w:t>
            </w:r>
          </w:p>
        </w:tc>
      </w:tr>
      <w:tr w:rsidR="00A7143B" w:rsidRPr="00FD119B" w14:paraId="3F47050A" w14:textId="77777777" w:rsidTr="00E31645">
        <w:tc>
          <w:tcPr>
            <w:tcW w:w="1809" w:type="dxa"/>
          </w:tcPr>
          <w:p w14:paraId="4616A2EC" w14:textId="77777777" w:rsidR="00A7143B" w:rsidRDefault="00A7143B" w:rsidP="00C54AA1">
            <w:pPr>
              <w:ind w:left="0"/>
            </w:pPr>
            <w:r>
              <w:t>RMP</w:t>
            </w:r>
          </w:p>
        </w:tc>
        <w:tc>
          <w:tcPr>
            <w:tcW w:w="6911" w:type="dxa"/>
          </w:tcPr>
          <w:p w14:paraId="6D75122C" w14:textId="77777777" w:rsidR="00A7143B" w:rsidRDefault="00A7143B" w:rsidP="00C54AA1">
            <w:pPr>
              <w:ind w:left="0"/>
            </w:pPr>
            <w:r>
              <w:t>Risk management plan</w:t>
            </w:r>
          </w:p>
        </w:tc>
      </w:tr>
      <w:tr w:rsidR="00A7143B" w:rsidRPr="00FD119B" w14:paraId="6C6D5B71" w14:textId="77777777" w:rsidTr="00E31645">
        <w:tc>
          <w:tcPr>
            <w:tcW w:w="1809" w:type="dxa"/>
          </w:tcPr>
          <w:p w14:paraId="22992F92" w14:textId="77777777" w:rsidR="00A7143B" w:rsidRDefault="00A7143B" w:rsidP="00C54AA1">
            <w:pPr>
              <w:ind w:left="0"/>
            </w:pPr>
            <w:r>
              <w:t>SEM</w:t>
            </w:r>
          </w:p>
        </w:tc>
        <w:tc>
          <w:tcPr>
            <w:tcW w:w="6911" w:type="dxa"/>
          </w:tcPr>
          <w:p w14:paraId="69C2ACD5" w14:textId="77777777" w:rsidR="00A7143B" w:rsidRDefault="00A7143B" w:rsidP="00C54AA1">
            <w:pPr>
              <w:ind w:left="0"/>
            </w:pPr>
            <w:r>
              <w:t>S</w:t>
            </w:r>
            <w:r w:rsidRPr="007B69BB">
              <w:t>tandard error of the mean</w:t>
            </w:r>
          </w:p>
        </w:tc>
      </w:tr>
      <w:tr w:rsidR="00A7143B" w:rsidRPr="00FD119B" w14:paraId="32C0E8AA" w14:textId="77777777" w:rsidTr="00E31645">
        <w:tc>
          <w:tcPr>
            <w:tcW w:w="1809" w:type="dxa"/>
          </w:tcPr>
          <w:p w14:paraId="3A59E5C1" w14:textId="77777777" w:rsidR="00A7143B" w:rsidRDefault="00A7143B" w:rsidP="00C54AA1">
            <w:pPr>
              <w:ind w:left="0"/>
            </w:pPr>
            <w:r>
              <w:t>t</w:t>
            </w:r>
            <w:r w:rsidRPr="00095DEF">
              <w:rPr>
                <w:vertAlign w:val="subscript"/>
              </w:rPr>
              <w:t>1/2</w:t>
            </w:r>
          </w:p>
        </w:tc>
        <w:tc>
          <w:tcPr>
            <w:tcW w:w="6911" w:type="dxa"/>
          </w:tcPr>
          <w:p w14:paraId="25CFDF94" w14:textId="77777777" w:rsidR="00A7143B" w:rsidRDefault="00A7143B" w:rsidP="00C54AA1">
            <w:pPr>
              <w:ind w:left="0"/>
            </w:pPr>
            <w:r>
              <w:t>Elimination half-time</w:t>
            </w:r>
          </w:p>
        </w:tc>
      </w:tr>
      <w:tr w:rsidR="00A7143B" w:rsidRPr="00FD119B" w14:paraId="4FF29CC6" w14:textId="77777777" w:rsidTr="00E31645">
        <w:tc>
          <w:tcPr>
            <w:tcW w:w="1809" w:type="dxa"/>
          </w:tcPr>
          <w:p w14:paraId="2DAA8891" w14:textId="77777777" w:rsidR="00A7143B" w:rsidRDefault="00A7143B" w:rsidP="00C54AA1">
            <w:pPr>
              <w:ind w:left="0"/>
            </w:pPr>
            <w:r>
              <w:t>TDS</w:t>
            </w:r>
          </w:p>
        </w:tc>
        <w:tc>
          <w:tcPr>
            <w:tcW w:w="6911" w:type="dxa"/>
          </w:tcPr>
          <w:p w14:paraId="0245EF1B" w14:textId="513F36D0" w:rsidR="00A7143B" w:rsidRDefault="00A7143B" w:rsidP="00C54AA1">
            <w:pPr>
              <w:ind w:left="0"/>
            </w:pPr>
            <w:r>
              <w:t>Thrice daily; Lati</w:t>
            </w:r>
            <w:r w:rsidR="006E2636">
              <w:t xml:space="preserve">n: </w:t>
            </w:r>
            <w:proofErr w:type="spellStart"/>
            <w:r w:rsidRPr="006C0355">
              <w:rPr>
                <w:i/>
              </w:rPr>
              <w:t>ter</w:t>
            </w:r>
            <w:proofErr w:type="spellEnd"/>
            <w:r w:rsidRPr="006C0355">
              <w:rPr>
                <w:i/>
              </w:rPr>
              <w:t xml:space="preserve"> die </w:t>
            </w:r>
            <w:proofErr w:type="spellStart"/>
            <w:r w:rsidRPr="006C0355">
              <w:rPr>
                <w:i/>
              </w:rPr>
              <w:t>sumendum</w:t>
            </w:r>
            <w:proofErr w:type="spellEnd"/>
          </w:p>
        </w:tc>
      </w:tr>
      <w:tr w:rsidR="00A7143B" w:rsidRPr="00FD119B" w14:paraId="378C73B6" w14:textId="77777777" w:rsidTr="00E31645">
        <w:tc>
          <w:tcPr>
            <w:tcW w:w="1809" w:type="dxa"/>
          </w:tcPr>
          <w:p w14:paraId="29753A17" w14:textId="77777777" w:rsidR="00A7143B" w:rsidRDefault="00A7143B" w:rsidP="00C54AA1">
            <w:pPr>
              <w:ind w:left="0"/>
            </w:pPr>
            <w:r>
              <w:t>TEAE</w:t>
            </w:r>
          </w:p>
        </w:tc>
        <w:tc>
          <w:tcPr>
            <w:tcW w:w="6911" w:type="dxa"/>
          </w:tcPr>
          <w:p w14:paraId="11424CE4" w14:textId="77777777" w:rsidR="00A7143B" w:rsidRDefault="00A7143B" w:rsidP="00C54AA1">
            <w:pPr>
              <w:ind w:left="0"/>
            </w:pPr>
            <w:r>
              <w:t>Treatment emergent adverse event</w:t>
            </w:r>
          </w:p>
        </w:tc>
      </w:tr>
      <w:tr w:rsidR="00A7143B" w:rsidRPr="00FD119B" w14:paraId="7F86FD47" w14:textId="77777777" w:rsidTr="00E31645">
        <w:tc>
          <w:tcPr>
            <w:tcW w:w="1809" w:type="dxa"/>
          </w:tcPr>
          <w:p w14:paraId="223FDF64" w14:textId="77777777" w:rsidR="00A7143B" w:rsidRDefault="00A7143B" w:rsidP="00C54AA1">
            <w:pPr>
              <w:ind w:left="0"/>
            </w:pPr>
            <w:r>
              <w:t>TGA</w:t>
            </w:r>
          </w:p>
        </w:tc>
        <w:tc>
          <w:tcPr>
            <w:tcW w:w="6911" w:type="dxa"/>
          </w:tcPr>
          <w:p w14:paraId="0769C3BE" w14:textId="77777777" w:rsidR="00A7143B" w:rsidRDefault="00A7143B" w:rsidP="00C54AA1">
            <w:pPr>
              <w:ind w:left="0"/>
            </w:pPr>
            <w:r w:rsidRPr="004222EF">
              <w:t>Therapeutic Goods Administration</w:t>
            </w:r>
          </w:p>
        </w:tc>
      </w:tr>
      <w:tr w:rsidR="00A7143B" w:rsidRPr="00FD119B" w14:paraId="1F512C38" w14:textId="77777777" w:rsidTr="00E31645">
        <w:tc>
          <w:tcPr>
            <w:tcW w:w="1809" w:type="dxa"/>
          </w:tcPr>
          <w:p w14:paraId="78AF81E7" w14:textId="77777777" w:rsidR="00A7143B" w:rsidRDefault="00A7143B" w:rsidP="00C54AA1">
            <w:pPr>
              <w:ind w:left="0"/>
            </w:pPr>
            <w:r>
              <w:t>TI</w:t>
            </w:r>
          </w:p>
        </w:tc>
        <w:tc>
          <w:tcPr>
            <w:tcW w:w="6911" w:type="dxa"/>
          </w:tcPr>
          <w:p w14:paraId="00177787" w14:textId="77777777" w:rsidR="00A7143B" w:rsidRDefault="00A7143B" w:rsidP="00C54AA1">
            <w:pPr>
              <w:ind w:left="0"/>
            </w:pPr>
            <w:r>
              <w:t>Transfusion independence</w:t>
            </w:r>
          </w:p>
        </w:tc>
      </w:tr>
      <w:tr w:rsidR="00A7143B" w:rsidRPr="00FD119B" w14:paraId="489862F6" w14:textId="77777777" w:rsidTr="00E31645">
        <w:tc>
          <w:tcPr>
            <w:tcW w:w="1809" w:type="dxa"/>
          </w:tcPr>
          <w:p w14:paraId="081A2056" w14:textId="77777777" w:rsidR="00A7143B" w:rsidRDefault="00A7143B" w:rsidP="00C54AA1">
            <w:pPr>
              <w:ind w:left="0"/>
            </w:pPr>
            <w:proofErr w:type="spellStart"/>
            <w:r>
              <w:t>T</w:t>
            </w:r>
            <w:r w:rsidRPr="002D458C">
              <w:rPr>
                <w:vertAlign w:val="subscript"/>
              </w:rPr>
              <w:t>max</w:t>
            </w:r>
            <w:proofErr w:type="spellEnd"/>
          </w:p>
        </w:tc>
        <w:tc>
          <w:tcPr>
            <w:tcW w:w="6911" w:type="dxa"/>
          </w:tcPr>
          <w:p w14:paraId="6D5748FF" w14:textId="39B38FD5" w:rsidR="00A7143B" w:rsidRDefault="006E2636" w:rsidP="00C54AA1">
            <w:pPr>
              <w:ind w:left="0"/>
            </w:pPr>
            <w:r>
              <w:t>Time of</w:t>
            </w:r>
            <w:r w:rsidR="00A7143B" w:rsidRPr="002D458C">
              <w:t xml:space="preserve"> maximum plasma concentration</w:t>
            </w:r>
          </w:p>
        </w:tc>
      </w:tr>
      <w:tr w:rsidR="00A7143B" w:rsidRPr="00FD119B" w14:paraId="1C661CBC" w14:textId="77777777" w:rsidTr="00E31645">
        <w:tc>
          <w:tcPr>
            <w:tcW w:w="1809" w:type="dxa"/>
          </w:tcPr>
          <w:p w14:paraId="191948D1" w14:textId="77777777" w:rsidR="00A7143B" w:rsidRDefault="00A7143B" w:rsidP="00C54AA1">
            <w:pPr>
              <w:ind w:left="0"/>
            </w:pPr>
            <w:r>
              <w:t>US(A)</w:t>
            </w:r>
          </w:p>
        </w:tc>
        <w:tc>
          <w:tcPr>
            <w:tcW w:w="6911" w:type="dxa"/>
          </w:tcPr>
          <w:p w14:paraId="7A0B3E68" w14:textId="77777777" w:rsidR="00A7143B" w:rsidRDefault="00A7143B" w:rsidP="00C54AA1">
            <w:pPr>
              <w:ind w:left="0"/>
            </w:pPr>
            <w:r>
              <w:t>United States (of America)</w:t>
            </w:r>
          </w:p>
        </w:tc>
      </w:tr>
      <w:tr w:rsidR="00A7143B" w:rsidRPr="00FD119B" w14:paraId="19FE3371" w14:textId="77777777" w:rsidTr="00E31645">
        <w:tc>
          <w:tcPr>
            <w:tcW w:w="1809" w:type="dxa"/>
          </w:tcPr>
          <w:p w14:paraId="14692301" w14:textId="77777777" w:rsidR="00A7143B" w:rsidRDefault="00A7143B" w:rsidP="00C54AA1">
            <w:pPr>
              <w:ind w:left="0"/>
            </w:pPr>
            <w:r>
              <w:t>V/F</w:t>
            </w:r>
          </w:p>
        </w:tc>
        <w:tc>
          <w:tcPr>
            <w:tcW w:w="6911" w:type="dxa"/>
          </w:tcPr>
          <w:p w14:paraId="20709483" w14:textId="77777777" w:rsidR="00A7143B" w:rsidRDefault="00A7143B" w:rsidP="00C54AA1">
            <w:pPr>
              <w:ind w:left="0"/>
            </w:pPr>
            <w:r>
              <w:t>Apparent volume of distribution</w:t>
            </w:r>
          </w:p>
        </w:tc>
      </w:tr>
    </w:tbl>
    <w:p w14:paraId="33622335" w14:textId="77777777" w:rsidR="00FD119B" w:rsidRDefault="00FD119B" w:rsidP="00FD119B"/>
    <w:p w14:paraId="56ED6DF0" w14:textId="77777777" w:rsidR="00FD119B" w:rsidRPr="00FD119B" w:rsidRDefault="00FD119B" w:rsidP="00FD119B">
      <w:pPr>
        <w:spacing w:before="0" w:after="200" w:line="0" w:lineRule="auto"/>
        <w:rPr>
          <w:b/>
          <w:i/>
          <w:sz w:val="24"/>
          <w:szCs w:val="24"/>
        </w:rPr>
      </w:pPr>
      <w:r w:rsidRPr="00FD119B">
        <w:rPr>
          <w:b/>
          <w:i/>
          <w:sz w:val="24"/>
          <w:szCs w:val="24"/>
        </w:rPr>
        <w:br w:type="page"/>
      </w:r>
    </w:p>
    <w:p w14:paraId="6D9F672D" w14:textId="77777777" w:rsidR="008E7846" w:rsidRDefault="00F53C07" w:rsidP="008E7846">
      <w:pPr>
        <w:pStyle w:val="Heading2"/>
      </w:pPr>
      <w:bookmarkStart w:id="9" w:name="_Toc63846809"/>
      <w:r>
        <w:t>I.</w:t>
      </w:r>
      <w:r w:rsidR="008E7846">
        <w:t xml:space="preserve"> Introduction to product submission</w:t>
      </w:r>
      <w:bookmarkEnd w:id="0"/>
      <w:bookmarkEnd w:id="3"/>
      <w:bookmarkEnd w:id="9"/>
    </w:p>
    <w:p w14:paraId="17462522" w14:textId="77777777" w:rsidR="008E7846" w:rsidRDefault="008E7846" w:rsidP="008E7846">
      <w:pPr>
        <w:pStyle w:val="Heading3"/>
        <w:rPr>
          <w:lang w:eastAsia="en-AU"/>
        </w:rPr>
      </w:pPr>
      <w:bookmarkStart w:id="10" w:name="_Toc247691502"/>
      <w:bookmarkStart w:id="11" w:name="_Toc314842483"/>
      <w:bookmarkStart w:id="12" w:name="_Toc63846810"/>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33A2B78B" w14:textId="77777777" w:rsidTr="003735BC">
        <w:tc>
          <w:tcPr>
            <w:tcW w:w="2907" w:type="dxa"/>
          </w:tcPr>
          <w:p w14:paraId="790B3F86"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3F90DE08" w14:textId="77777777" w:rsidR="008E7846" w:rsidRPr="003D1E62" w:rsidRDefault="004434C8" w:rsidP="004434C8">
            <w:r w:rsidRPr="004434C8">
              <w:t>New chemical entity in a new combination of active ingredients</w:t>
            </w:r>
          </w:p>
        </w:tc>
      </w:tr>
      <w:tr w:rsidR="00460036" w:rsidRPr="003D1E62" w14:paraId="0E80FE50" w14:textId="77777777" w:rsidTr="003735BC">
        <w:tc>
          <w:tcPr>
            <w:tcW w:w="2907" w:type="dxa"/>
          </w:tcPr>
          <w:p w14:paraId="046812C9" w14:textId="77777777" w:rsidR="00460036" w:rsidRPr="003D1E62" w:rsidRDefault="00460036" w:rsidP="003D1E62">
            <w:pPr>
              <w:rPr>
                <w:i/>
              </w:rPr>
            </w:pPr>
            <w:r w:rsidRPr="00460036">
              <w:rPr>
                <w:i/>
              </w:rPr>
              <w:t xml:space="preserve">Product </w:t>
            </w:r>
            <w:r w:rsidR="004434C8">
              <w:rPr>
                <w:i/>
              </w:rPr>
              <w:t>name</w:t>
            </w:r>
            <w:r w:rsidRPr="00460036">
              <w:rPr>
                <w:i/>
              </w:rPr>
              <w:t>:</w:t>
            </w:r>
          </w:p>
        </w:tc>
        <w:tc>
          <w:tcPr>
            <w:tcW w:w="6307" w:type="dxa"/>
          </w:tcPr>
          <w:p w14:paraId="27A560D8" w14:textId="31F59D8E" w:rsidR="00460036" w:rsidRPr="003D1E62" w:rsidRDefault="00B05DC0" w:rsidP="00B05DC0">
            <w:r>
              <w:t xml:space="preserve">Inqovi </w:t>
            </w:r>
            <w:r w:rsidR="004434C8" w:rsidRPr="004434C8">
              <w:t>35/100</w:t>
            </w:r>
          </w:p>
        </w:tc>
      </w:tr>
      <w:tr w:rsidR="00460036" w:rsidRPr="003D1E62" w14:paraId="3E5CB6C9" w14:textId="77777777" w:rsidTr="003735BC">
        <w:tc>
          <w:tcPr>
            <w:tcW w:w="2907" w:type="dxa"/>
          </w:tcPr>
          <w:p w14:paraId="05A8ED40" w14:textId="77777777" w:rsidR="00460036" w:rsidRPr="003D1E62" w:rsidRDefault="004434C8" w:rsidP="004434C8">
            <w:pPr>
              <w:rPr>
                <w:i/>
              </w:rPr>
            </w:pPr>
            <w:r>
              <w:rPr>
                <w:i/>
              </w:rPr>
              <w:t>Active ingredient</w:t>
            </w:r>
            <w:r w:rsidR="00460036" w:rsidRPr="00460036">
              <w:rPr>
                <w:i/>
              </w:rPr>
              <w:t>s:</w:t>
            </w:r>
          </w:p>
        </w:tc>
        <w:tc>
          <w:tcPr>
            <w:tcW w:w="6307" w:type="dxa"/>
          </w:tcPr>
          <w:p w14:paraId="3CA26DD7" w14:textId="77777777" w:rsidR="00460036" w:rsidRPr="003D1E62" w:rsidRDefault="004434C8" w:rsidP="001B5C90">
            <w:r>
              <w:rPr>
                <w:rFonts w:eastAsiaTheme="minorHAnsi" w:cs="Cambria"/>
              </w:rPr>
              <w:t>Decitabine and cedazuridine</w:t>
            </w:r>
          </w:p>
        </w:tc>
      </w:tr>
      <w:tr w:rsidR="008E7846" w:rsidRPr="003D1E62" w14:paraId="3A19225D" w14:textId="77777777" w:rsidTr="003735BC">
        <w:tc>
          <w:tcPr>
            <w:tcW w:w="2907" w:type="dxa"/>
          </w:tcPr>
          <w:p w14:paraId="05DD0328" w14:textId="77777777" w:rsidR="008E7846" w:rsidRPr="003D1E62" w:rsidRDefault="008E7846" w:rsidP="003D1E62">
            <w:r w:rsidRPr="003D1E62">
              <w:rPr>
                <w:i/>
              </w:rPr>
              <w:t>Decision</w:t>
            </w:r>
            <w:r w:rsidRPr="003D1E62">
              <w:t>:</w:t>
            </w:r>
          </w:p>
        </w:tc>
        <w:tc>
          <w:tcPr>
            <w:tcW w:w="6307" w:type="dxa"/>
          </w:tcPr>
          <w:p w14:paraId="0ACEC99C" w14:textId="77777777" w:rsidR="008E7846" w:rsidRPr="003D1E62" w:rsidRDefault="004434C8" w:rsidP="004434C8">
            <w:r>
              <w:t>Approved</w:t>
            </w:r>
          </w:p>
        </w:tc>
      </w:tr>
      <w:tr w:rsidR="008E7846" w:rsidRPr="003D1E62" w14:paraId="2C4CF249" w14:textId="77777777" w:rsidTr="003735BC">
        <w:tc>
          <w:tcPr>
            <w:tcW w:w="2907" w:type="dxa"/>
          </w:tcPr>
          <w:p w14:paraId="71482891"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78493A42" w14:textId="77777777" w:rsidR="008E7846" w:rsidRPr="003D1E62" w:rsidRDefault="004434C8" w:rsidP="001B5C90">
            <w:r>
              <w:t>29 October 2020</w:t>
            </w:r>
          </w:p>
        </w:tc>
      </w:tr>
      <w:tr w:rsidR="00ED2922" w:rsidRPr="003D1E62" w14:paraId="26B219D9" w14:textId="77777777" w:rsidTr="003735BC">
        <w:tc>
          <w:tcPr>
            <w:tcW w:w="2907" w:type="dxa"/>
          </w:tcPr>
          <w:p w14:paraId="1EF79B2F" w14:textId="77777777" w:rsidR="00ED2922" w:rsidRPr="00441C3F" w:rsidRDefault="00ED2922" w:rsidP="001B5C90">
            <w:pPr>
              <w:rPr>
                <w:i/>
              </w:rPr>
            </w:pPr>
            <w:r w:rsidRPr="00441C3F">
              <w:rPr>
                <w:i/>
              </w:rPr>
              <w:t>Date of entry onto ARTG</w:t>
            </w:r>
            <w:r w:rsidR="00500337">
              <w:rPr>
                <w:i/>
              </w:rPr>
              <w:t>:</w:t>
            </w:r>
          </w:p>
        </w:tc>
        <w:tc>
          <w:tcPr>
            <w:tcW w:w="6307" w:type="dxa"/>
          </w:tcPr>
          <w:p w14:paraId="1C092A8D" w14:textId="77777777" w:rsidR="00ED2922" w:rsidRPr="00441C3F" w:rsidRDefault="004434C8" w:rsidP="00D153D8">
            <w:pPr>
              <w:rPr>
                <w:i/>
              </w:rPr>
            </w:pPr>
            <w:r>
              <w:t>2 November 2020</w:t>
            </w:r>
          </w:p>
        </w:tc>
      </w:tr>
      <w:tr w:rsidR="00500337" w:rsidRPr="003D1E62" w14:paraId="5D71AD9C" w14:textId="77777777" w:rsidTr="003735BC">
        <w:tc>
          <w:tcPr>
            <w:tcW w:w="2907" w:type="dxa"/>
          </w:tcPr>
          <w:p w14:paraId="19965D45" w14:textId="77777777" w:rsidR="00500337" w:rsidRPr="00441C3F" w:rsidRDefault="004434C8" w:rsidP="001B5C90">
            <w:pPr>
              <w:rPr>
                <w:i/>
              </w:rPr>
            </w:pPr>
            <w:r>
              <w:rPr>
                <w:i/>
              </w:rPr>
              <w:t>ARTG number</w:t>
            </w:r>
            <w:r w:rsidR="00500337">
              <w:rPr>
                <w:i/>
              </w:rPr>
              <w:t>:</w:t>
            </w:r>
          </w:p>
        </w:tc>
        <w:tc>
          <w:tcPr>
            <w:tcW w:w="6307" w:type="dxa"/>
          </w:tcPr>
          <w:p w14:paraId="3884E5D3" w14:textId="77777777" w:rsidR="00500337" w:rsidRPr="00441C3F" w:rsidRDefault="004434C8" w:rsidP="00EC463D">
            <w:r w:rsidRPr="004434C8">
              <w:t>328904</w:t>
            </w:r>
          </w:p>
        </w:tc>
      </w:tr>
      <w:tr w:rsidR="003735BC" w:rsidRPr="003D1E62" w14:paraId="509FA5DC" w14:textId="77777777" w:rsidTr="003735BC">
        <w:tc>
          <w:tcPr>
            <w:tcW w:w="2907" w:type="dxa"/>
          </w:tcPr>
          <w:p w14:paraId="6D1E3154"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r w:rsidR="004C4FBE">
              <w:rPr>
                <w:i/>
              </w:rPr>
              <w:t>:</w:t>
            </w:r>
            <w:r w:rsidR="00460036">
              <w:rPr>
                <w:rStyle w:val="FootnoteReference"/>
                <w:i/>
              </w:rPr>
              <w:footnoteReference w:id="2"/>
            </w:r>
          </w:p>
        </w:tc>
        <w:tc>
          <w:tcPr>
            <w:tcW w:w="6307" w:type="dxa"/>
          </w:tcPr>
          <w:p w14:paraId="3A5766CA" w14:textId="6CB21266" w:rsidR="003735BC" w:rsidRDefault="00D324CC" w:rsidP="003735BC">
            <w:r>
              <w:t>Yes</w:t>
            </w:r>
          </w:p>
          <w:p w14:paraId="460F3637" w14:textId="77777777" w:rsidR="003735BC" w:rsidRPr="00487162" w:rsidRDefault="003735BC" w:rsidP="003735BC">
            <w:r>
              <w:t xml:space="preserve">This product will remain in the scheme for 5 years, starting on the date the product is first supplied in </w:t>
            </w:r>
            <w:r w:rsidR="004434C8">
              <w:t>Australia.</w:t>
            </w:r>
          </w:p>
        </w:tc>
      </w:tr>
      <w:tr w:rsidR="008E7846" w:rsidRPr="00487162" w14:paraId="34FC88DB" w14:textId="77777777" w:rsidTr="00BF1190">
        <w:tc>
          <w:tcPr>
            <w:tcW w:w="2907" w:type="dxa"/>
          </w:tcPr>
          <w:p w14:paraId="0D8E3E0C"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24EF1D84" w14:textId="77777777" w:rsidR="00607A47" w:rsidRDefault="00607A47" w:rsidP="00607A47">
            <w:r>
              <w:t>Otsuka Australia Pharmaceutical Pty Ltd</w:t>
            </w:r>
          </w:p>
          <w:p w14:paraId="044C0B8D" w14:textId="77777777" w:rsidR="00607A47" w:rsidRDefault="00607A47" w:rsidP="00607A47">
            <w:r>
              <w:t>Suite 2.03, Level 2, 9 Help Street</w:t>
            </w:r>
          </w:p>
          <w:p w14:paraId="7463D558" w14:textId="77777777" w:rsidR="008E7846" w:rsidRPr="00487162" w:rsidRDefault="00607A47" w:rsidP="00607A47">
            <w:r>
              <w:t>Chatswood NSW 2067</w:t>
            </w:r>
          </w:p>
        </w:tc>
      </w:tr>
      <w:tr w:rsidR="008E7846" w:rsidRPr="00487162" w14:paraId="79B3AAF3" w14:textId="77777777" w:rsidTr="00BF1190">
        <w:tc>
          <w:tcPr>
            <w:tcW w:w="2907" w:type="dxa"/>
          </w:tcPr>
          <w:p w14:paraId="571B0503" w14:textId="77777777" w:rsidR="008E7846" w:rsidRPr="00487162" w:rsidRDefault="00607A47" w:rsidP="00E45619">
            <w:pPr>
              <w:rPr>
                <w:i/>
              </w:rPr>
            </w:pPr>
            <w:r>
              <w:rPr>
                <w:i/>
              </w:rPr>
              <w:t>Dose form</w:t>
            </w:r>
            <w:r w:rsidR="001B5C90">
              <w:rPr>
                <w:i/>
              </w:rPr>
              <w:t>:</w:t>
            </w:r>
          </w:p>
        </w:tc>
        <w:tc>
          <w:tcPr>
            <w:tcW w:w="6307" w:type="dxa"/>
          </w:tcPr>
          <w:p w14:paraId="429C1A8F" w14:textId="77777777" w:rsidR="008E7846" w:rsidRPr="00487162" w:rsidRDefault="00607A47" w:rsidP="00E45619">
            <w:r>
              <w:t>Tablet</w:t>
            </w:r>
            <w:r w:rsidR="0009669D">
              <w:t>, film coated</w:t>
            </w:r>
          </w:p>
        </w:tc>
      </w:tr>
      <w:tr w:rsidR="008E7846" w:rsidRPr="00487162" w14:paraId="2C4DA479" w14:textId="77777777" w:rsidTr="00BF1190">
        <w:tc>
          <w:tcPr>
            <w:tcW w:w="2907" w:type="dxa"/>
          </w:tcPr>
          <w:p w14:paraId="7CB225A8" w14:textId="77777777" w:rsidR="008E7846" w:rsidRPr="00487162" w:rsidRDefault="008E7846" w:rsidP="00607A47">
            <w:pPr>
              <w:rPr>
                <w:i/>
              </w:rPr>
            </w:pPr>
            <w:r w:rsidRPr="00487162">
              <w:rPr>
                <w:i/>
              </w:rPr>
              <w:t xml:space="preserve">Strength: </w:t>
            </w:r>
          </w:p>
        </w:tc>
        <w:tc>
          <w:tcPr>
            <w:tcW w:w="6307" w:type="dxa"/>
          </w:tcPr>
          <w:p w14:paraId="595BA81F" w14:textId="77777777" w:rsidR="008E7846" w:rsidRPr="00487162" w:rsidRDefault="00607A47" w:rsidP="00607A47">
            <w:r>
              <w:t>35 mg of decitabine and 100 mg of cedazuridine</w:t>
            </w:r>
          </w:p>
        </w:tc>
      </w:tr>
      <w:tr w:rsidR="008E7846" w:rsidRPr="00487162" w14:paraId="6485FE97" w14:textId="77777777" w:rsidTr="00BF1190">
        <w:tc>
          <w:tcPr>
            <w:tcW w:w="2907" w:type="dxa"/>
          </w:tcPr>
          <w:p w14:paraId="39AB8F6C" w14:textId="77777777" w:rsidR="008E7846" w:rsidRPr="00487162" w:rsidRDefault="0009669D" w:rsidP="00E45619">
            <w:pPr>
              <w:rPr>
                <w:i/>
              </w:rPr>
            </w:pPr>
            <w:r>
              <w:rPr>
                <w:i/>
              </w:rPr>
              <w:t>Container</w:t>
            </w:r>
            <w:r w:rsidR="008E7846" w:rsidRPr="00487162">
              <w:rPr>
                <w:i/>
              </w:rPr>
              <w:t>:</w:t>
            </w:r>
          </w:p>
        </w:tc>
        <w:tc>
          <w:tcPr>
            <w:tcW w:w="6307" w:type="dxa"/>
          </w:tcPr>
          <w:p w14:paraId="05A9F76F" w14:textId="77777777" w:rsidR="008E7846" w:rsidRPr="00487162" w:rsidRDefault="0009669D" w:rsidP="00E45619">
            <w:r>
              <w:t>Bottle</w:t>
            </w:r>
          </w:p>
        </w:tc>
      </w:tr>
      <w:tr w:rsidR="008E7846" w:rsidRPr="00487162" w14:paraId="5D729655" w14:textId="77777777" w:rsidTr="00BF1190">
        <w:tc>
          <w:tcPr>
            <w:tcW w:w="2907" w:type="dxa"/>
          </w:tcPr>
          <w:p w14:paraId="0384D993" w14:textId="77777777" w:rsidR="008E7846" w:rsidRPr="00487162" w:rsidRDefault="0009669D" w:rsidP="00E45619">
            <w:pPr>
              <w:rPr>
                <w:i/>
              </w:rPr>
            </w:pPr>
            <w:r>
              <w:rPr>
                <w:i/>
              </w:rPr>
              <w:t>Pack size</w:t>
            </w:r>
            <w:r w:rsidR="008E7846" w:rsidRPr="00487162">
              <w:rPr>
                <w:i/>
              </w:rPr>
              <w:t>:</w:t>
            </w:r>
          </w:p>
        </w:tc>
        <w:tc>
          <w:tcPr>
            <w:tcW w:w="6307" w:type="dxa"/>
          </w:tcPr>
          <w:p w14:paraId="1A9B9367" w14:textId="77777777" w:rsidR="008E7846" w:rsidRPr="00487162" w:rsidRDefault="0009669D" w:rsidP="00E45619">
            <w:r>
              <w:t>5</w:t>
            </w:r>
          </w:p>
        </w:tc>
      </w:tr>
      <w:tr w:rsidR="008E7846" w:rsidRPr="00487162" w14:paraId="2C5FD6BC" w14:textId="77777777" w:rsidTr="00BF1190">
        <w:tc>
          <w:tcPr>
            <w:tcW w:w="2907" w:type="dxa"/>
          </w:tcPr>
          <w:p w14:paraId="0FFE1266"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21148C87" w14:textId="15AB0BA8" w:rsidR="008E7846" w:rsidRPr="0009669D" w:rsidRDefault="00B05DC0" w:rsidP="00B05DC0">
            <w:pPr>
              <w:rPr>
                <w:i/>
              </w:rPr>
            </w:pPr>
            <w:r>
              <w:rPr>
                <w:i/>
              </w:rPr>
              <w:t xml:space="preserve">Inqovi </w:t>
            </w:r>
            <w:r w:rsidR="0009669D" w:rsidRPr="0009669D">
              <w:rPr>
                <w:i/>
              </w:rPr>
              <w:t xml:space="preserve">35/100 is indicated for the treatment of adult patients with myelodysplastic syndromes (MDS) intermediate-1, intermediate-2, and high-risk International Prognostic Scoring System groups, and patients with chronic </w:t>
            </w:r>
            <w:proofErr w:type="spellStart"/>
            <w:r w:rsidR="0009669D" w:rsidRPr="0009669D">
              <w:rPr>
                <w:i/>
              </w:rPr>
              <w:t>myelomonocytic</w:t>
            </w:r>
            <w:proofErr w:type="spellEnd"/>
            <w:r w:rsidR="0009669D" w:rsidRPr="0009669D">
              <w:rPr>
                <w:i/>
              </w:rPr>
              <w:t xml:space="preserve"> </w:t>
            </w:r>
            <w:r w:rsidR="0009669D">
              <w:rPr>
                <w:i/>
              </w:rPr>
              <w:t>leukaemia (CMML)</w:t>
            </w:r>
          </w:p>
        </w:tc>
      </w:tr>
      <w:tr w:rsidR="008E7846" w:rsidRPr="00487162" w14:paraId="4B7A2940" w14:textId="77777777" w:rsidTr="00BF1190">
        <w:tc>
          <w:tcPr>
            <w:tcW w:w="2907" w:type="dxa"/>
          </w:tcPr>
          <w:p w14:paraId="73BDACE8" w14:textId="77777777" w:rsidR="008E7846" w:rsidRPr="00487162" w:rsidRDefault="0009669D" w:rsidP="00E45619">
            <w:pPr>
              <w:rPr>
                <w:i/>
              </w:rPr>
            </w:pPr>
            <w:r>
              <w:rPr>
                <w:i/>
              </w:rPr>
              <w:t>Route</w:t>
            </w:r>
            <w:r w:rsidR="008E7846" w:rsidRPr="00487162">
              <w:rPr>
                <w:i/>
              </w:rPr>
              <w:t xml:space="preserve"> of administration:</w:t>
            </w:r>
          </w:p>
        </w:tc>
        <w:tc>
          <w:tcPr>
            <w:tcW w:w="6307" w:type="dxa"/>
          </w:tcPr>
          <w:p w14:paraId="4E9F2C7A" w14:textId="77777777" w:rsidR="008E7846" w:rsidRPr="00487162" w:rsidRDefault="0009669D" w:rsidP="00E45619">
            <w:r>
              <w:t>Oral</w:t>
            </w:r>
          </w:p>
        </w:tc>
      </w:tr>
      <w:tr w:rsidR="008E7846" w:rsidRPr="00487162" w14:paraId="2F8CAB1E" w14:textId="77777777" w:rsidTr="00BF1190">
        <w:tc>
          <w:tcPr>
            <w:tcW w:w="2907" w:type="dxa"/>
          </w:tcPr>
          <w:p w14:paraId="288D496E" w14:textId="77777777" w:rsidR="008E7846" w:rsidRPr="00487162" w:rsidRDefault="008E7846" w:rsidP="00E45619">
            <w:pPr>
              <w:rPr>
                <w:i/>
              </w:rPr>
            </w:pPr>
            <w:r w:rsidRPr="00487162">
              <w:rPr>
                <w:i/>
              </w:rPr>
              <w:t>Dosage:</w:t>
            </w:r>
          </w:p>
        </w:tc>
        <w:tc>
          <w:tcPr>
            <w:tcW w:w="6307" w:type="dxa"/>
          </w:tcPr>
          <w:p w14:paraId="4F46B7E2" w14:textId="08BF274E" w:rsidR="00607A47" w:rsidRDefault="00607A47" w:rsidP="00607A47">
            <w:r>
              <w:t xml:space="preserve">The recommended dose of </w:t>
            </w:r>
            <w:r w:rsidR="00B05DC0">
              <w:t>Inqovi</w:t>
            </w:r>
            <w:r>
              <w:t xml:space="preserve"> 35/100 is 1</w:t>
            </w:r>
            <w:r w:rsidR="00E018DA">
              <w:t> </w:t>
            </w:r>
            <w:r>
              <w:t>tablet containing 35 mg of decitabine and 100</w:t>
            </w:r>
            <w:r w:rsidR="00E018DA">
              <w:t> </w:t>
            </w:r>
            <w:r>
              <w:t>mg of cedazuridine taken orally once daily</w:t>
            </w:r>
            <w:r w:rsidR="006601B5">
              <w:t xml:space="preserve"> on Days 1 through 5 of each 28 </w:t>
            </w:r>
            <w:r>
              <w:t>day</w:t>
            </w:r>
            <w:r w:rsidR="006601B5">
              <w:t>s</w:t>
            </w:r>
            <w:r>
              <w:t xml:space="preserve"> cycle for a minimum of 4 </w:t>
            </w:r>
            <w:proofErr w:type="spellStart"/>
            <w:r>
              <w:t>cycles.Best</w:t>
            </w:r>
            <w:proofErr w:type="spellEnd"/>
            <w:r>
              <w:t xml:space="preserve"> response may take longer than 4 cycles. Continue treatment as long as the patient continues to benefit. Repeat cycles every 28 days in the absence of </w:t>
            </w:r>
            <w:proofErr w:type="spellStart"/>
            <w:r>
              <w:t>haematologic</w:t>
            </w:r>
            <w:proofErr w:type="spellEnd"/>
            <w:r>
              <w:t xml:space="preserve"> toxicities not attributed to active disease and blood counts show absolute n</w:t>
            </w:r>
            <w:r w:rsidR="0009669D">
              <w:t>eutrophil count at least 1,000/µ</w:t>
            </w:r>
            <w:r>
              <w:t>L and platelets at least 5</w:t>
            </w:r>
            <w:r w:rsidR="0009669D">
              <w:t>0,000/µ</w:t>
            </w:r>
            <w:r>
              <w:t xml:space="preserve">L, or at least return to </w:t>
            </w:r>
            <w:proofErr w:type="spellStart"/>
            <w:r>
              <w:t>pretreatment</w:t>
            </w:r>
            <w:proofErr w:type="spellEnd"/>
            <w:r>
              <w:t xml:space="preserve"> levels. Delay or reduce the dose per cycle </w:t>
            </w:r>
            <w:r w:rsidR="00D324CC">
              <w:t xml:space="preserve">for </w:t>
            </w:r>
            <w:proofErr w:type="spellStart"/>
            <w:r w:rsidR="00D324CC">
              <w:t>haematologic</w:t>
            </w:r>
            <w:proofErr w:type="spellEnd"/>
            <w:r w:rsidR="00D324CC">
              <w:t xml:space="preserve"> toxicity (see </w:t>
            </w:r>
            <w:r w:rsidR="00E018DA">
              <w:t xml:space="preserve">the Product Information (PI), sections: </w:t>
            </w:r>
            <w:r w:rsidR="00D324CC">
              <w:t xml:space="preserve">dosage adjustment, </w:t>
            </w:r>
            <w:r w:rsidR="00E018DA">
              <w:t xml:space="preserve">and </w:t>
            </w:r>
            <w:r w:rsidR="00D324CC">
              <w:t>h</w:t>
            </w:r>
            <w:r>
              <w:t>aematological toxicity</w:t>
            </w:r>
            <w:r w:rsidR="00E018DA">
              <w:t xml:space="preserve"> for more information</w:t>
            </w:r>
            <w:r>
              <w:t>).</w:t>
            </w:r>
          </w:p>
          <w:p w14:paraId="67093869" w14:textId="5FFF36A0" w:rsidR="008E7846" w:rsidRDefault="00607A47" w:rsidP="00607A47">
            <w:r>
              <w:t xml:space="preserve">Prior to initiation of </w:t>
            </w:r>
            <w:r w:rsidR="00B05DC0">
              <w:t>Inqovi</w:t>
            </w:r>
            <w:r>
              <w:t xml:space="preserve"> 35/100, conduct baseline laboratory testing including complete blood cell counts with platelets, serum hepatic panel, and serum creatinine. Obtain complete blood cell counts prior to initiation of </w:t>
            </w:r>
            <w:r w:rsidR="00B05DC0">
              <w:t>Inqovi</w:t>
            </w:r>
            <w:r>
              <w:t xml:space="preserve"> 35/100 and prior to each cycle (se</w:t>
            </w:r>
            <w:r w:rsidR="00D324CC">
              <w:t xml:space="preserve">e dosage adjustment, </w:t>
            </w:r>
            <w:r w:rsidR="00E018DA">
              <w:t xml:space="preserve">and </w:t>
            </w:r>
            <w:r w:rsidR="00D324CC">
              <w:t>h</w:t>
            </w:r>
            <w:r>
              <w:t>aematological toxicity).</w:t>
            </w:r>
          </w:p>
          <w:p w14:paraId="67C5EFC8" w14:textId="77777777" w:rsidR="00460036" w:rsidRPr="00487162" w:rsidRDefault="00460036" w:rsidP="00E45619">
            <w:r w:rsidRPr="00460036">
              <w:t>For further information regarding dosage, refer to the Product Information</w:t>
            </w:r>
            <w:r w:rsidR="0009669D">
              <w:t xml:space="preserve"> (PI)</w:t>
            </w:r>
            <w:r w:rsidRPr="00460036">
              <w:t>.</w:t>
            </w:r>
          </w:p>
        </w:tc>
      </w:tr>
      <w:tr w:rsidR="00460036" w:rsidRPr="00487162" w14:paraId="1D6209B7" w14:textId="77777777" w:rsidTr="00BF1190">
        <w:tc>
          <w:tcPr>
            <w:tcW w:w="2907" w:type="dxa"/>
          </w:tcPr>
          <w:p w14:paraId="428D611C" w14:textId="77777777" w:rsidR="00460036" w:rsidRPr="00487162" w:rsidRDefault="00460036" w:rsidP="00E45619">
            <w:pPr>
              <w:rPr>
                <w:i/>
              </w:rPr>
            </w:pPr>
            <w:r w:rsidRPr="00460036">
              <w:rPr>
                <w:i/>
              </w:rPr>
              <w:t>Pregnancy category</w:t>
            </w:r>
            <w:r>
              <w:rPr>
                <w:i/>
              </w:rPr>
              <w:t>:</w:t>
            </w:r>
          </w:p>
        </w:tc>
        <w:tc>
          <w:tcPr>
            <w:tcW w:w="6307" w:type="dxa"/>
          </w:tcPr>
          <w:p w14:paraId="44D34663" w14:textId="77777777" w:rsidR="00781517" w:rsidRDefault="00781517" w:rsidP="00781517">
            <w:r>
              <w:t>X</w:t>
            </w:r>
          </w:p>
          <w:p w14:paraId="78402E49" w14:textId="77777777" w:rsidR="00781517" w:rsidRDefault="00781517" w:rsidP="00781517">
            <w:r>
              <w:t>Drugs which have such a high risk of causing permanent damage to the fetus that they should not be used in pregnancy or when there is a possibility of pregnancy.</w:t>
            </w:r>
          </w:p>
          <w:p w14:paraId="513C9D0E" w14:textId="77777777" w:rsidR="00460036" w:rsidRPr="00487162" w:rsidRDefault="00460036" w:rsidP="00781517">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w:t>
            </w:r>
            <w:r w:rsidR="00781517">
              <w:t>ices in your State or Territory.</w:t>
            </w:r>
          </w:p>
        </w:tc>
      </w:tr>
    </w:tbl>
    <w:p w14:paraId="551B6CF9" w14:textId="77777777" w:rsidR="008E7846" w:rsidRDefault="008E7846" w:rsidP="008E7846">
      <w:pPr>
        <w:pStyle w:val="Heading3"/>
      </w:pPr>
      <w:bookmarkStart w:id="13" w:name="_Toc247691503"/>
      <w:bookmarkStart w:id="14" w:name="_Toc314842484"/>
      <w:bookmarkStart w:id="15" w:name="_Toc63846811"/>
      <w:r>
        <w:t>Product background</w:t>
      </w:r>
      <w:bookmarkEnd w:id="13"/>
      <w:bookmarkEnd w:id="14"/>
      <w:bookmarkEnd w:id="15"/>
    </w:p>
    <w:p w14:paraId="18306ED7" w14:textId="4A428B1D" w:rsidR="008E7846" w:rsidRDefault="00250271" w:rsidP="00940A89">
      <w:r w:rsidRPr="00250271">
        <w:t xml:space="preserve">This AusPAR describes </w:t>
      </w:r>
      <w:r w:rsidR="00E94EF1">
        <w:t>the application by Otsuka Australia Pharmaceutical Pty Ltd (the sponsor) to register</w:t>
      </w:r>
      <w:r w:rsidR="00C87093">
        <w:t xml:space="preserve"> </w:t>
      </w:r>
      <w:r w:rsidR="00B05DC0">
        <w:t xml:space="preserve">Inqovi </w:t>
      </w:r>
      <w:r w:rsidR="00E94EF1">
        <w:t xml:space="preserve">35/100 </w:t>
      </w:r>
      <w:r w:rsidRPr="00250271">
        <w:t>(</w:t>
      </w:r>
      <w:r w:rsidR="00E94EF1">
        <w:t>35 mg decitabine and 100 mg cedazuridine</w:t>
      </w:r>
      <w:r w:rsidRPr="00250271">
        <w:t>)</w:t>
      </w:r>
      <w:r w:rsidR="00E94EF1">
        <w:t xml:space="preserve"> tablet</w:t>
      </w:r>
      <w:r w:rsidR="00E018DA">
        <w:t>s</w:t>
      </w:r>
      <w:r w:rsidRPr="00250271">
        <w:t xml:space="preserve"> for the following proposed indication</w:t>
      </w:r>
      <w:r w:rsidR="00CF5DAD">
        <w:t>:</w:t>
      </w:r>
    </w:p>
    <w:p w14:paraId="1518F48A" w14:textId="77777777" w:rsidR="0025578F" w:rsidRPr="0025578F" w:rsidRDefault="0025578F" w:rsidP="0025578F">
      <w:pPr>
        <w:ind w:left="720"/>
        <w:rPr>
          <w:i/>
        </w:rPr>
      </w:pPr>
      <w:r w:rsidRPr="0025578F">
        <w:rPr>
          <w:i/>
        </w:rPr>
        <w:t xml:space="preserve">Treatment of adult patients with myelodysplastic syndromes (MDS) intermediate-1, intermediate-2, and high-risk International Prognostic Scoring System groups, and patients with chronic </w:t>
      </w:r>
      <w:proofErr w:type="spellStart"/>
      <w:r w:rsidRPr="0025578F">
        <w:rPr>
          <w:i/>
        </w:rPr>
        <w:t>myelomonocytic</w:t>
      </w:r>
      <w:proofErr w:type="spellEnd"/>
      <w:r w:rsidRPr="0025578F">
        <w:rPr>
          <w:i/>
        </w:rPr>
        <w:t xml:space="preserve"> leukaemia (CMML).</w:t>
      </w:r>
    </w:p>
    <w:p w14:paraId="796A2214" w14:textId="31478E9A" w:rsidR="0066663C" w:rsidRDefault="00B05DC0" w:rsidP="0025578F">
      <w:r>
        <w:t xml:space="preserve">Inqovi 35/100 </w:t>
      </w:r>
      <w:r w:rsidR="0025578F">
        <w:t>is an oral fixed dose combination prod</w:t>
      </w:r>
      <w:r w:rsidR="00340E25">
        <w:t>uct comprising two components; d</w:t>
      </w:r>
      <w:r w:rsidR="0025578F">
        <w:t>ec</w:t>
      </w:r>
      <w:r w:rsidR="00340E25">
        <w:t>itabine and c</w:t>
      </w:r>
      <w:r w:rsidR="0025578F">
        <w:t xml:space="preserve">edazuridine. Decitabine is a </w:t>
      </w:r>
      <w:r w:rsidR="00FF68C8">
        <w:t>d</w:t>
      </w:r>
      <w:r w:rsidR="00FF68C8" w:rsidRPr="00FF68C8">
        <w:t xml:space="preserve">eoxyribonucleic acid </w:t>
      </w:r>
      <w:r w:rsidR="00FF68C8">
        <w:t>(</w:t>
      </w:r>
      <w:r w:rsidR="0025578F">
        <w:t>DNA</w:t>
      </w:r>
      <w:r w:rsidR="00FF68C8">
        <w:t>)</w:t>
      </w:r>
      <w:r w:rsidR="0025578F">
        <w:t xml:space="preserve"> methyl-transferase inhibitor agent which has been used for several decades in the treatment of myelodysplastic syndrome and </w:t>
      </w:r>
      <w:r w:rsidR="00340E25" w:rsidRPr="00340E25">
        <w:t xml:space="preserve">chronic </w:t>
      </w:r>
      <w:proofErr w:type="spellStart"/>
      <w:r w:rsidR="00340E25" w:rsidRPr="00340E25">
        <w:t>myelomonocytic</w:t>
      </w:r>
      <w:proofErr w:type="spellEnd"/>
      <w:r w:rsidR="00340E25" w:rsidRPr="00340E25">
        <w:t xml:space="preserve"> leukaemia </w:t>
      </w:r>
      <w:r w:rsidR="00340E25">
        <w:t>(</w:t>
      </w:r>
      <w:r w:rsidR="0025578F">
        <w:t>CMML</w:t>
      </w:r>
      <w:r w:rsidR="00340E25">
        <w:t>)</w:t>
      </w:r>
      <w:r w:rsidR="0025578F">
        <w:t xml:space="preserve">. However, when administered orally, decitabine is metabolised by </w:t>
      </w:r>
      <w:r w:rsidR="00340E25">
        <w:t>cytidine d</w:t>
      </w:r>
      <w:r w:rsidR="0025578F">
        <w:t xml:space="preserve">eaminase (CDA) in the gut. This lowers oral bioavailability and necessitates </w:t>
      </w:r>
      <w:r w:rsidR="00E018DA">
        <w:t>the administration of d</w:t>
      </w:r>
      <w:r w:rsidR="0025578F">
        <w:t>ecitabine</w:t>
      </w:r>
      <w:r w:rsidR="00E018DA">
        <w:t xml:space="preserve"> via the </w:t>
      </w:r>
      <w:r w:rsidR="00FF68C8">
        <w:t xml:space="preserve">intravenous (IV) </w:t>
      </w:r>
      <w:r w:rsidR="00E018DA">
        <w:t>route in order</w:t>
      </w:r>
      <w:r w:rsidR="00FF68C8">
        <w:t xml:space="preserve"> to obtain therapeutic levels.</w:t>
      </w:r>
    </w:p>
    <w:p w14:paraId="77AA5232" w14:textId="77777777" w:rsidR="0025578F" w:rsidRDefault="0025578F" w:rsidP="0025578F">
      <w:r>
        <w:t>Cedazuridine is an inhibitor of CDA with no inherent anti-neoplastic activity.</w:t>
      </w:r>
      <w:r w:rsidR="00340E25">
        <w:t xml:space="preserve"> When administered orally with decitabine, c</w:t>
      </w:r>
      <w:r>
        <w:t>edazuridine re</w:t>
      </w:r>
      <w:r w:rsidR="00340E25">
        <w:t>duces first-pass metabolism of d</w:t>
      </w:r>
      <w:r>
        <w:t xml:space="preserve">ecitabine sufficiently </w:t>
      </w:r>
      <w:r w:rsidR="00340E25">
        <w:t>to allow therapeutic levels of d</w:t>
      </w:r>
      <w:r>
        <w:t>ecitabine to be obtained from oral administration. This has potential advantages in terms of convenience and safety for patients who do not require IV administration of their chemotherapy.</w:t>
      </w:r>
    </w:p>
    <w:p w14:paraId="5C204EF5" w14:textId="3565EDE0" w:rsidR="0025578F" w:rsidRDefault="0025578F" w:rsidP="0025578F">
      <w:r>
        <w:t xml:space="preserve">Decitabine was first registered by the </w:t>
      </w:r>
      <w:r w:rsidR="00FC4B92">
        <w:t>United States of America</w:t>
      </w:r>
      <w:r w:rsidR="00E018DA">
        <w:t xml:space="preserve"> </w:t>
      </w:r>
      <w:r w:rsidR="00FC4B92">
        <w:t>(US</w:t>
      </w:r>
      <w:r w:rsidR="0066663C">
        <w:t>A</w:t>
      </w:r>
      <w:r w:rsidR="00FC4B92">
        <w:t>) Food and Drug Administration (FDA)</w:t>
      </w:r>
      <w:r>
        <w:t xml:space="preserve"> in 2006. This combination product is the</w:t>
      </w:r>
      <w:r w:rsidR="00340E25">
        <w:t xml:space="preserve"> first application to register d</w:t>
      </w:r>
      <w:r>
        <w:t>ecitabine in Australia.</w:t>
      </w:r>
    </w:p>
    <w:p w14:paraId="5E820483" w14:textId="459B3B69" w:rsidR="00250271" w:rsidRDefault="00250271" w:rsidP="0025578F">
      <w:r>
        <w:t xml:space="preserve">This evaluation was facilitated through Project </w:t>
      </w:r>
      <w:proofErr w:type="spellStart"/>
      <w:r>
        <w:t>Orbis</w:t>
      </w:r>
      <w:proofErr w:type="spellEnd"/>
      <w:r>
        <w:t xml:space="preserve">, an initiative of the US </w:t>
      </w:r>
      <w:r w:rsidR="00FF68C8">
        <w:t>FDA</w:t>
      </w:r>
      <w:r>
        <w:t xml:space="preserve"> Oncology </w:t>
      </w:r>
      <w:proofErr w:type="spellStart"/>
      <w:r>
        <w:t>Center</w:t>
      </w:r>
      <w:proofErr w:type="spellEnd"/>
      <w:r>
        <w:t xml:space="preserve"> of Excellence (OCE).</w:t>
      </w:r>
      <w:r w:rsidR="0039300D">
        <w:rPr>
          <w:rStyle w:val="FootnoteReference"/>
        </w:rPr>
        <w:footnoteReference w:id="3"/>
      </w:r>
      <w:r>
        <w:t xml:space="preserve"> Under this p</w:t>
      </w:r>
      <w:r w:rsidR="00FC4B92">
        <w:t xml:space="preserve">roject, the FDA and the TGA </w:t>
      </w:r>
      <w:r>
        <w:t>collaboratively reviewed the application. This innovative evaluation process provided a framework for process alignment and management of evaluation issues in real-time across jurisdictions.</w:t>
      </w:r>
    </w:p>
    <w:p w14:paraId="3CF40AEE" w14:textId="77777777" w:rsidR="00250271" w:rsidRDefault="00250271" w:rsidP="0025578F">
      <w:r>
        <w:t xml:space="preserve">Each regulator agency maintained its regulatory process to make independent decisions about the </w:t>
      </w:r>
      <w:r w:rsidR="00E13A0B">
        <w:t>approval (market authorisation).</w:t>
      </w:r>
    </w:p>
    <w:p w14:paraId="7954112B" w14:textId="77777777" w:rsidR="008E7846" w:rsidRPr="003F31A2" w:rsidRDefault="00386150" w:rsidP="008E7846">
      <w:pPr>
        <w:pStyle w:val="Heading3"/>
      </w:pPr>
      <w:bookmarkStart w:id="16" w:name="_Toc314842485"/>
      <w:bookmarkStart w:id="17" w:name="_Toc247691504"/>
      <w:bookmarkStart w:id="18" w:name="_Toc63846812"/>
      <w:r>
        <w:t>Regulatory s</w:t>
      </w:r>
      <w:r w:rsidR="008E7846">
        <w:t>tatus</w:t>
      </w:r>
      <w:bookmarkEnd w:id="16"/>
      <w:bookmarkEnd w:id="17"/>
      <w:bookmarkEnd w:id="18"/>
    </w:p>
    <w:p w14:paraId="29238E1E" w14:textId="77777777" w:rsidR="00940A89" w:rsidRDefault="00006FAB" w:rsidP="00940A89">
      <w:bookmarkStart w:id="19" w:name="_Toc247691505"/>
      <w:bookmarkStart w:id="20" w:name="_Toc314842486"/>
      <w:r w:rsidRPr="00006FAB">
        <w:t xml:space="preserve">This product is considered a </w:t>
      </w:r>
      <w:r w:rsidR="0066663C">
        <w:t>n</w:t>
      </w:r>
      <w:r w:rsidR="0066663C" w:rsidRPr="004434C8">
        <w:t>ew chemical entity in a new combination of active ingredients</w:t>
      </w:r>
      <w:r w:rsidR="0066663C" w:rsidRPr="00006FAB">
        <w:t xml:space="preserve"> </w:t>
      </w:r>
      <w:r w:rsidRPr="00006FAB">
        <w:t>for Australian regulatory purposes.</w:t>
      </w:r>
    </w:p>
    <w:p w14:paraId="540FD32A" w14:textId="09A80A49" w:rsidR="00940A89" w:rsidRDefault="00006FAB" w:rsidP="0066663C">
      <w:r>
        <w:t xml:space="preserve">At the time the TGA considered this application, a similar application </w:t>
      </w:r>
      <w:r w:rsidR="0066663C">
        <w:t>was under consideration</w:t>
      </w:r>
      <w:r>
        <w:t xml:space="preserve"> in </w:t>
      </w:r>
      <w:r w:rsidR="00D330D6">
        <w:t>US</w:t>
      </w:r>
      <w:r w:rsidR="006A110B">
        <w:t>A</w:t>
      </w:r>
      <w:r w:rsidR="0066663C">
        <w:t xml:space="preserve"> </w:t>
      </w:r>
      <w:r>
        <w:t>(</w:t>
      </w:r>
      <w:r w:rsidR="0066663C">
        <w:t>12 December 2019</w:t>
      </w:r>
      <w:r>
        <w:t xml:space="preserve">) </w:t>
      </w:r>
      <w:r w:rsidR="0066663C">
        <w:t xml:space="preserve">and in Canada (19 December </w:t>
      </w:r>
      <w:r w:rsidR="00516E09">
        <w:t>2019</w:t>
      </w:r>
      <w:r w:rsidR="0066663C">
        <w:t>).</w:t>
      </w:r>
    </w:p>
    <w:p w14:paraId="7E24C9EC" w14:textId="77777777" w:rsidR="008E7846" w:rsidRDefault="008E7846" w:rsidP="00940A89">
      <w:pPr>
        <w:pStyle w:val="Heading3"/>
      </w:pPr>
      <w:bookmarkStart w:id="21" w:name="_Toc63846813"/>
      <w:r>
        <w:t>Product Information</w:t>
      </w:r>
      <w:bookmarkEnd w:id="19"/>
      <w:bookmarkEnd w:id="20"/>
      <w:bookmarkEnd w:id="21"/>
    </w:p>
    <w:p w14:paraId="64635081" w14:textId="1066C30D" w:rsidR="00940A89" w:rsidRDefault="006136D7" w:rsidP="00940A89">
      <w:bookmarkStart w:id="22" w:name="_Toc247691506"/>
      <w:bookmarkStart w:id="23"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9" w:history="1">
        <w:r w:rsidR="00441C3F" w:rsidRPr="00441C3F">
          <w:rPr>
            <w:rStyle w:val="Hyperlink"/>
          </w:rPr>
          <w:t>https://www.tga.gov.au/product-information-pi</w:t>
        </w:r>
      </w:hyperlink>
      <w:r w:rsidR="00441C3F">
        <w:t>&gt;</w:t>
      </w:r>
      <w:r w:rsidR="00940A89" w:rsidRPr="00940A89">
        <w:t>.</w:t>
      </w:r>
    </w:p>
    <w:p w14:paraId="511442BF" w14:textId="77777777" w:rsidR="00500337" w:rsidRDefault="00500337" w:rsidP="00500337">
      <w:pPr>
        <w:pStyle w:val="Heading2"/>
      </w:pPr>
      <w:bookmarkStart w:id="24" w:name="_Toc504480011"/>
      <w:bookmarkStart w:id="25" w:name="_Toc63846814"/>
      <w:r>
        <w:t>II. Registration timeline</w:t>
      </w:r>
      <w:bookmarkEnd w:id="24"/>
      <w:bookmarkEnd w:id="25"/>
    </w:p>
    <w:p w14:paraId="11518A15" w14:textId="77777777" w:rsidR="00500337" w:rsidRDefault="00500337" w:rsidP="00500337">
      <w:r>
        <w:t>The following table captures the key steps and dates for this application and which are detailed and discussed in this AusPAR.</w:t>
      </w:r>
    </w:p>
    <w:p w14:paraId="002B024D" w14:textId="5D9ABF16" w:rsidR="00500337" w:rsidRDefault="008203C0" w:rsidP="008203C0">
      <w:pPr>
        <w:pStyle w:val="TableTitle"/>
      </w:pPr>
      <w:r w:rsidRPr="008203C0">
        <w:t xml:space="preserve">Table </w:t>
      </w:r>
      <w:fldSimple w:instr=" SEQ Table \* ARABIC ">
        <w:r w:rsidR="00BC61E1">
          <w:rPr>
            <w:noProof/>
          </w:rPr>
          <w:t>1</w:t>
        </w:r>
      </w:fldSimple>
      <w:r w:rsidR="00006FAB">
        <w:t>:</w:t>
      </w:r>
      <w:r w:rsidR="006A58A8" w:rsidRPr="006A58A8">
        <w:t xml:space="preserve"> Timeline f</w:t>
      </w:r>
      <w:r w:rsidR="0066663C">
        <w:t>or Submission PM-2020-00088-1-6</w:t>
      </w:r>
    </w:p>
    <w:tbl>
      <w:tblPr>
        <w:tblStyle w:val="TableTGAblue"/>
        <w:tblW w:w="0" w:type="auto"/>
        <w:tblLook w:val="04A0" w:firstRow="1" w:lastRow="0" w:firstColumn="1" w:lastColumn="0" w:noHBand="0" w:noVBand="1"/>
      </w:tblPr>
      <w:tblGrid>
        <w:gridCol w:w="6345"/>
        <w:gridCol w:w="2375"/>
      </w:tblGrid>
      <w:tr w:rsidR="00500337" w14:paraId="63105CF8" w14:textId="77777777" w:rsidTr="005A69A8">
        <w:trPr>
          <w:cnfStyle w:val="100000000000" w:firstRow="1" w:lastRow="0" w:firstColumn="0" w:lastColumn="0" w:oddVBand="0" w:evenVBand="0" w:oddHBand="0" w:evenHBand="0" w:firstRowFirstColumn="0" w:firstRowLastColumn="0" w:lastRowFirstColumn="0" w:lastRowLastColumn="0"/>
          <w:cantSplit/>
        </w:trPr>
        <w:tc>
          <w:tcPr>
            <w:tcW w:w="6345" w:type="dxa"/>
            <w:tcBorders>
              <w:top w:val="single" w:sz="4" w:space="0" w:color="auto"/>
              <w:left w:val="single" w:sz="4" w:space="0" w:color="auto"/>
              <w:bottom w:val="single" w:sz="4" w:space="0" w:color="auto"/>
              <w:right w:val="single" w:sz="4" w:space="0" w:color="auto"/>
            </w:tcBorders>
          </w:tcPr>
          <w:p w14:paraId="0D040012" w14:textId="77777777" w:rsidR="00500337" w:rsidRDefault="00500337" w:rsidP="00500337">
            <w:pPr>
              <w:ind w:left="0" w:right="0"/>
            </w:pPr>
            <w:r>
              <w:t>Description</w:t>
            </w:r>
          </w:p>
        </w:tc>
        <w:tc>
          <w:tcPr>
            <w:tcW w:w="2375" w:type="dxa"/>
            <w:tcBorders>
              <w:top w:val="single" w:sz="4" w:space="0" w:color="auto"/>
              <w:left w:val="single" w:sz="4" w:space="0" w:color="auto"/>
              <w:bottom w:val="single" w:sz="4" w:space="0" w:color="auto"/>
              <w:right w:val="single" w:sz="4" w:space="0" w:color="auto"/>
            </w:tcBorders>
          </w:tcPr>
          <w:p w14:paraId="6D835993" w14:textId="77777777" w:rsidR="00500337" w:rsidRDefault="00500337" w:rsidP="00500337">
            <w:pPr>
              <w:ind w:left="0" w:right="0"/>
            </w:pPr>
            <w:r>
              <w:t>Date</w:t>
            </w:r>
          </w:p>
        </w:tc>
      </w:tr>
      <w:tr w:rsidR="00500337" w14:paraId="18DF95B1" w14:textId="77777777" w:rsidTr="005A69A8">
        <w:tc>
          <w:tcPr>
            <w:tcW w:w="6345" w:type="dxa"/>
            <w:tcBorders>
              <w:top w:val="single" w:sz="4" w:space="0" w:color="auto"/>
            </w:tcBorders>
          </w:tcPr>
          <w:p w14:paraId="05CB7B7A" w14:textId="18817B25" w:rsidR="00500337" w:rsidRDefault="0066663C" w:rsidP="0066663C">
            <w:pPr>
              <w:ind w:left="0" w:right="0"/>
            </w:pPr>
            <w:r>
              <w:t>Designation: Orphan</w:t>
            </w:r>
            <w:r w:rsidR="0039300D">
              <w:rPr>
                <w:rStyle w:val="FootnoteReference"/>
              </w:rPr>
              <w:footnoteReference w:id="4"/>
            </w:r>
          </w:p>
        </w:tc>
        <w:tc>
          <w:tcPr>
            <w:tcW w:w="2375" w:type="dxa"/>
            <w:tcBorders>
              <w:top w:val="single" w:sz="4" w:space="0" w:color="auto"/>
            </w:tcBorders>
          </w:tcPr>
          <w:p w14:paraId="6A4CA194" w14:textId="77777777" w:rsidR="00500337" w:rsidRDefault="00E73739" w:rsidP="00500337">
            <w:pPr>
              <w:ind w:left="0" w:right="0"/>
            </w:pPr>
            <w:r>
              <w:t>9 January 2020</w:t>
            </w:r>
          </w:p>
        </w:tc>
      </w:tr>
      <w:tr w:rsidR="00500337" w14:paraId="71DC58DB" w14:textId="77777777" w:rsidTr="005A69A8">
        <w:tc>
          <w:tcPr>
            <w:tcW w:w="6345" w:type="dxa"/>
          </w:tcPr>
          <w:p w14:paraId="547E627E" w14:textId="77777777" w:rsidR="00500337" w:rsidRDefault="00500337" w:rsidP="00500337">
            <w:pPr>
              <w:ind w:left="0" w:right="0"/>
            </w:pPr>
            <w:r>
              <w:t>Submission dossier accepted and first round evaluation commenced</w:t>
            </w:r>
          </w:p>
        </w:tc>
        <w:tc>
          <w:tcPr>
            <w:tcW w:w="2375" w:type="dxa"/>
          </w:tcPr>
          <w:p w14:paraId="0F9568A6" w14:textId="77777777" w:rsidR="00500337" w:rsidRDefault="0066663C" w:rsidP="00500337">
            <w:pPr>
              <w:ind w:left="0" w:right="0"/>
            </w:pPr>
            <w:r>
              <w:t>2 March 2020</w:t>
            </w:r>
          </w:p>
        </w:tc>
      </w:tr>
      <w:tr w:rsidR="00500337" w14:paraId="3C69EE78" w14:textId="77777777" w:rsidTr="005A69A8">
        <w:tc>
          <w:tcPr>
            <w:tcW w:w="6345" w:type="dxa"/>
          </w:tcPr>
          <w:p w14:paraId="2D49BE60" w14:textId="77777777" w:rsidR="00500337" w:rsidRDefault="00500337" w:rsidP="00500337">
            <w:pPr>
              <w:ind w:left="0" w:right="0"/>
            </w:pPr>
            <w:r>
              <w:t>First round evaluation completed</w:t>
            </w:r>
          </w:p>
        </w:tc>
        <w:tc>
          <w:tcPr>
            <w:tcW w:w="2375" w:type="dxa"/>
          </w:tcPr>
          <w:p w14:paraId="01192340" w14:textId="77777777" w:rsidR="00500337" w:rsidRDefault="00E73739" w:rsidP="00500337">
            <w:pPr>
              <w:ind w:left="0" w:right="0"/>
            </w:pPr>
            <w:r>
              <w:t>31 July 2020</w:t>
            </w:r>
          </w:p>
        </w:tc>
      </w:tr>
      <w:tr w:rsidR="00500337" w14:paraId="2C01DC56" w14:textId="77777777" w:rsidTr="005A69A8">
        <w:tc>
          <w:tcPr>
            <w:tcW w:w="6345" w:type="dxa"/>
          </w:tcPr>
          <w:p w14:paraId="46EE4F7B" w14:textId="77777777" w:rsidR="00500337" w:rsidRDefault="00500337" w:rsidP="00500337">
            <w:pPr>
              <w:ind w:left="0" w:right="0"/>
            </w:pPr>
            <w:r>
              <w:t>Sponsor provides responses on questions raised in first round evaluation</w:t>
            </w:r>
          </w:p>
        </w:tc>
        <w:tc>
          <w:tcPr>
            <w:tcW w:w="2375" w:type="dxa"/>
          </w:tcPr>
          <w:p w14:paraId="3F6BF77A" w14:textId="77777777" w:rsidR="00500337" w:rsidRDefault="00E73739" w:rsidP="00500337">
            <w:pPr>
              <w:ind w:left="0" w:right="0"/>
            </w:pPr>
            <w:r>
              <w:t>30 September 2020</w:t>
            </w:r>
          </w:p>
        </w:tc>
      </w:tr>
      <w:tr w:rsidR="00500337" w14:paraId="3782232C" w14:textId="77777777" w:rsidTr="005A69A8">
        <w:tc>
          <w:tcPr>
            <w:tcW w:w="6345" w:type="dxa"/>
          </w:tcPr>
          <w:p w14:paraId="5E6EA0FD" w14:textId="77777777" w:rsidR="00500337" w:rsidRDefault="00500337" w:rsidP="00500337">
            <w:pPr>
              <w:ind w:left="0" w:right="0"/>
            </w:pPr>
            <w:r>
              <w:t>Second round evaluation completed</w:t>
            </w:r>
          </w:p>
        </w:tc>
        <w:tc>
          <w:tcPr>
            <w:tcW w:w="2375" w:type="dxa"/>
          </w:tcPr>
          <w:p w14:paraId="5522EA44" w14:textId="77777777" w:rsidR="00500337" w:rsidRDefault="00E73739" w:rsidP="00500337">
            <w:pPr>
              <w:ind w:left="0" w:right="0"/>
            </w:pPr>
            <w:r>
              <w:t>28 October 2020</w:t>
            </w:r>
          </w:p>
        </w:tc>
      </w:tr>
      <w:tr w:rsidR="00500337" w14:paraId="441BAF8D" w14:textId="77777777" w:rsidTr="005A69A8">
        <w:tc>
          <w:tcPr>
            <w:tcW w:w="6345" w:type="dxa"/>
          </w:tcPr>
          <w:p w14:paraId="168C1B1D" w14:textId="77777777" w:rsidR="00500337" w:rsidRDefault="00500337" w:rsidP="00E73739">
            <w:pPr>
              <w:ind w:left="0" w:right="0"/>
            </w:pPr>
            <w:r>
              <w:t xml:space="preserve">Delegate’s </w:t>
            </w:r>
            <w:r w:rsidR="00E73739">
              <w:t>Overall benefit-risk assessment</w:t>
            </w:r>
          </w:p>
        </w:tc>
        <w:tc>
          <w:tcPr>
            <w:tcW w:w="2375" w:type="dxa"/>
          </w:tcPr>
          <w:p w14:paraId="17F8EFFE" w14:textId="77777777" w:rsidR="00500337" w:rsidRDefault="00E73739" w:rsidP="00500337">
            <w:pPr>
              <w:ind w:left="0" w:right="0"/>
            </w:pPr>
            <w:r>
              <w:t>19 October 2020</w:t>
            </w:r>
          </w:p>
        </w:tc>
      </w:tr>
      <w:tr w:rsidR="00500337" w14:paraId="3C68E077" w14:textId="77777777" w:rsidTr="005A69A8">
        <w:tc>
          <w:tcPr>
            <w:tcW w:w="6345" w:type="dxa"/>
          </w:tcPr>
          <w:p w14:paraId="752A8A9D" w14:textId="77777777" w:rsidR="00500337" w:rsidRDefault="00500337" w:rsidP="00500337">
            <w:pPr>
              <w:ind w:left="0" w:right="0"/>
            </w:pPr>
            <w:r>
              <w:t>Sponsor’s pre-Advisory Committee response</w:t>
            </w:r>
          </w:p>
        </w:tc>
        <w:tc>
          <w:tcPr>
            <w:tcW w:w="2375" w:type="dxa"/>
          </w:tcPr>
          <w:p w14:paraId="7C14936E" w14:textId="77777777" w:rsidR="00500337" w:rsidRDefault="00E73739" w:rsidP="00500337">
            <w:pPr>
              <w:ind w:left="0" w:right="0"/>
            </w:pPr>
            <w:r>
              <w:t>Nil</w:t>
            </w:r>
          </w:p>
        </w:tc>
      </w:tr>
      <w:tr w:rsidR="00500337" w14:paraId="20DB9E04" w14:textId="77777777" w:rsidTr="005A69A8">
        <w:tc>
          <w:tcPr>
            <w:tcW w:w="6345" w:type="dxa"/>
          </w:tcPr>
          <w:p w14:paraId="1E7818AA" w14:textId="77777777" w:rsidR="00500337" w:rsidRDefault="00500337" w:rsidP="00500337">
            <w:pPr>
              <w:ind w:left="0" w:right="0"/>
            </w:pPr>
            <w:r>
              <w:t>Advisory Committee meeting</w:t>
            </w:r>
          </w:p>
        </w:tc>
        <w:tc>
          <w:tcPr>
            <w:tcW w:w="2375" w:type="dxa"/>
          </w:tcPr>
          <w:p w14:paraId="0056E6A9" w14:textId="77777777" w:rsidR="00500337" w:rsidRDefault="00E73739" w:rsidP="00500337">
            <w:pPr>
              <w:ind w:left="0" w:right="0"/>
            </w:pPr>
            <w:r>
              <w:t>Nil</w:t>
            </w:r>
          </w:p>
        </w:tc>
      </w:tr>
      <w:tr w:rsidR="00500337" w14:paraId="43187BDD" w14:textId="77777777" w:rsidTr="005A69A8">
        <w:tc>
          <w:tcPr>
            <w:tcW w:w="6345" w:type="dxa"/>
          </w:tcPr>
          <w:p w14:paraId="2449B0E9" w14:textId="77777777" w:rsidR="00500337" w:rsidRDefault="00500337" w:rsidP="00500337">
            <w:pPr>
              <w:ind w:left="0" w:right="0"/>
            </w:pPr>
            <w:r>
              <w:t>Registration decision (Outcome)</w:t>
            </w:r>
          </w:p>
        </w:tc>
        <w:tc>
          <w:tcPr>
            <w:tcW w:w="2375" w:type="dxa"/>
          </w:tcPr>
          <w:p w14:paraId="3A149803" w14:textId="77777777" w:rsidR="00500337" w:rsidRDefault="00E73739" w:rsidP="00500337">
            <w:pPr>
              <w:ind w:left="0" w:right="0"/>
            </w:pPr>
            <w:r>
              <w:t>29 October 2020</w:t>
            </w:r>
          </w:p>
        </w:tc>
      </w:tr>
      <w:tr w:rsidR="00500337" w14:paraId="7699DBB6" w14:textId="77777777" w:rsidTr="005A69A8">
        <w:tc>
          <w:tcPr>
            <w:tcW w:w="6345" w:type="dxa"/>
          </w:tcPr>
          <w:p w14:paraId="1D549FC9" w14:textId="77777777" w:rsidR="00500337" w:rsidRDefault="00500337" w:rsidP="00500337">
            <w:pPr>
              <w:ind w:left="0" w:right="0"/>
            </w:pPr>
            <w:r>
              <w:t xml:space="preserve">Completion of administrative activities and registration on </w:t>
            </w:r>
            <w:r w:rsidR="00006FAB">
              <w:t xml:space="preserve">the </w:t>
            </w:r>
            <w:r>
              <w:t>ARTG</w:t>
            </w:r>
          </w:p>
        </w:tc>
        <w:tc>
          <w:tcPr>
            <w:tcW w:w="2375" w:type="dxa"/>
          </w:tcPr>
          <w:p w14:paraId="528294F8" w14:textId="77777777" w:rsidR="00500337" w:rsidRDefault="00E73739" w:rsidP="00500337">
            <w:pPr>
              <w:ind w:left="0" w:right="0"/>
            </w:pPr>
            <w:r>
              <w:t>2 November 2020</w:t>
            </w:r>
          </w:p>
        </w:tc>
      </w:tr>
      <w:tr w:rsidR="00500337" w14:paraId="3016508B" w14:textId="77777777" w:rsidTr="005A69A8">
        <w:tc>
          <w:tcPr>
            <w:tcW w:w="6345" w:type="dxa"/>
          </w:tcPr>
          <w:p w14:paraId="078ECB5C" w14:textId="77777777" w:rsidR="00500337" w:rsidRDefault="00500337" w:rsidP="00500337">
            <w:pPr>
              <w:ind w:left="0" w:right="0"/>
            </w:pPr>
            <w:r>
              <w:t>Number of working days from submission dossier acceptance to registration decision*</w:t>
            </w:r>
          </w:p>
        </w:tc>
        <w:tc>
          <w:tcPr>
            <w:tcW w:w="2375" w:type="dxa"/>
          </w:tcPr>
          <w:p w14:paraId="0C1C2DD1" w14:textId="77777777" w:rsidR="00500337" w:rsidRDefault="00E73739" w:rsidP="00500337">
            <w:pPr>
              <w:ind w:left="0" w:right="0"/>
            </w:pPr>
            <w:r>
              <w:t>123</w:t>
            </w:r>
          </w:p>
        </w:tc>
      </w:tr>
    </w:tbl>
    <w:p w14:paraId="631C9F03" w14:textId="77777777" w:rsidR="00500337" w:rsidRDefault="00500337" w:rsidP="00500337">
      <w:pPr>
        <w:pStyle w:val="TableDescription"/>
      </w:pPr>
      <w:r>
        <w:t>*</w:t>
      </w:r>
      <w:r w:rsidR="006603BC" w:rsidRPr="006603BC">
        <w:t>Statutory timeframe for standard applications is 255 working days</w:t>
      </w:r>
    </w:p>
    <w:p w14:paraId="5C0D30F9" w14:textId="77777777" w:rsidR="008E7846" w:rsidRPr="00792A32" w:rsidRDefault="00456765" w:rsidP="008E7846">
      <w:pPr>
        <w:pStyle w:val="Heading2"/>
      </w:pPr>
      <w:bookmarkStart w:id="26" w:name="_Toc196046504"/>
      <w:bookmarkStart w:id="27" w:name="_Toc247691527"/>
      <w:bookmarkStart w:id="28" w:name="_Toc314842510"/>
      <w:bookmarkStart w:id="29" w:name="_Toc163441390"/>
      <w:bookmarkStart w:id="30" w:name="_Toc63846815"/>
      <w:bookmarkEnd w:id="22"/>
      <w:bookmarkEnd w:id="23"/>
      <w:bookmarkEnd w:id="1"/>
      <w:r>
        <w:t>I</w:t>
      </w:r>
      <w:r w:rsidR="00DA64CB">
        <w:t>I</w:t>
      </w:r>
      <w:r w:rsidR="008E7846">
        <w:t xml:space="preserve">I. </w:t>
      </w:r>
      <w:r w:rsidR="00006FAB"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26"/>
      <w:bookmarkEnd w:id="27"/>
      <w:bookmarkEnd w:id="28"/>
      <w:bookmarkEnd w:id="30"/>
    </w:p>
    <w:p w14:paraId="011C961B" w14:textId="77777777" w:rsidR="00006FAB" w:rsidRDefault="00006FAB" w:rsidP="00006FAB">
      <w:bookmarkStart w:id="31" w:name="_Toc247691528"/>
      <w:r>
        <w:t>This section is a TGA summary of wording used in TGA’s evaluation report, which discussed numerous aspects of overseas evaluation reports and included some information that was commercial-in-confidence.</w:t>
      </w:r>
    </w:p>
    <w:p w14:paraId="40B72E86" w14:textId="77777777" w:rsidR="008E7846" w:rsidRDefault="008E7846" w:rsidP="008E7846">
      <w:pPr>
        <w:pStyle w:val="Heading3"/>
      </w:pPr>
      <w:bookmarkStart w:id="32" w:name="_Toc314842511"/>
      <w:bookmarkStart w:id="33" w:name="_Toc63846816"/>
      <w:r>
        <w:t>Quality</w:t>
      </w:r>
      <w:bookmarkEnd w:id="31"/>
      <w:bookmarkEnd w:id="32"/>
      <w:bookmarkEnd w:id="33"/>
    </w:p>
    <w:p w14:paraId="4E80A4AB" w14:textId="2775DA36" w:rsidR="0038384D" w:rsidRDefault="0038384D" w:rsidP="0038384D">
      <w:r>
        <w:t xml:space="preserve">A tablet of </w:t>
      </w:r>
      <w:r w:rsidR="00B05DC0">
        <w:t>Inqovi</w:t>
      </w:r>
      <w:r>
        <w:t xml:space="preserve"> 35/100 consists of 35 mg of decitabine and 100 mg of cedazuridine. The chemical structures of decitabine and cedazuridine are </w:t>
      </w:r>
      <w:r w:rsidR="005E681D">
        <w:t xml:space="preserve">displayed </w:t>
      </w:r>
      <w:r>
        <w:t>in Figure</w:t>
      </w:r>
      <w:r w:rsidR="005E681D">
        <w:t>s</w:t>
      </w:r>
      <w:r>
        <w:t xml:space="preserve"> 1 and 2 respectively.</w:t>
      </w:r>
      <w:r w:rsidR="00027D1C">
        <w:t xml:space="preserve"> Its proposed container is h</w:t>
      </w:r>
      <w:r w:rsidR="00027D1C" w:rsidRPr="00027D1C">
        <w:t>igh-den</w:t>
      </w:r>
      <w:r w:rsidR="00D330D6">
        <w:t>sity polyethylene</w:t>
      </w:r>
      <w:r w:rsidR="00027D1C">
        <w:t xml:space="preserve"> bottle</w:t>
      </w:r>
      <w:r w:rsidR="00027D1C" w:rsidRPr="00027D1C">
        <w:t xml:space="preserve"> with child resistant closure</w:t>
      </w:r>
      <w:r w:rsidR="00027D1C">
        <w:t>.</w:t>
      </w:r>
    </w:p>
    <w:p w14:paraId="383A1F32" w14:textId="204A3521" w:rsidR="0038384D" w:rsidRDefault="0038384D" w:rsidP="0038384D">
      <w:pPr>
        <w:pStyle w:val="FigureTitle"/>
      </w:pPr>
      <w:r w:rsidRPr="0038384D">
        <w:t xml:space="preserve">Figure </w:t>
      </w:r>
      <w:fldSimple w:instr=" SEQ Figure \* ARABIC ">
        <w:r w:rsidR="00BC61E1">
          <w:rPr>
            <w:noProof/>
          </w:rPr>
          <w:t>1</w:t>
        </w:r>
      </w:fldSimple>
      <w:r w:rsidRPr="0038384D">
        <w:t>:</w:t>
      </w:r>
      <w:r>
        <w:t xml:space="preserve"> Chemical structure of decitabine</w:t>
      </w:r>
    </w:p>
    <w:p w14:paraId="28CB8A4C" w14:textId="77777777" w:rsidR="0038384D" w:rsidRDefault="0038384D" w:rsidP="0038384D">
      <w:r w:rsidRPr="0038384D">
        <w:rPr>
          <w:noProof/>
          <w:lang w:eastAsia="en-AU"/>
        </w:rPr>
        <w:drawing>
          <wp:inline distT="0" distB="0" distL="0" distR="0" wp14:anchorId="1704A225" wp14:editId="64323722">
            <wp:extent cx="2674189" cy="1216298"/>
            <wp:effectExtent l="0" t="0" r="0" b="3175"/>
            <wp:docPr id="1" name="Picture 1" descr="Chemical structure of decita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82728" cy="1220182"/>
                    </a:xfrm>
                    <a:prstGeom prst="rect">
                      <a:avLst/>
                    </a:prstGeom>
                  </pic:spPr>
                </pic:pic>
              </a:graphicData>
            </a:graphic>
          </wp:inline>
        </w:drawing>
      </w:r>
    </w:p>
    <w:p w14:paraId="238543E0" w14:textId="5CB18281" w:rsidR="0038384D" w:rsidRDefault="0038384D" w:rsidP="0038384D">
      <w:pPr>
        <w:pStyle w:val="FigureTitle"/>
      </w:pPr>
      <w:r w:rsidRPr="0038384D">
        <w:t xml:space="preserve">Figure </w:t>
      </w:r>
      <w:fldSimple w:instr=" SEQ Figure \* ARABIC ">
        <w:r w:rsidR="00BC61E1">
          <w:rPr>
            <w:noProof/>
          </w:rPr>
          <w:t>2</w:t>
        </w:r>
      </w:fldSimple>
      <w:r w:rsidRPr="0038384D">
        <w:t>:</w:t>
      </w:r>
      <w:r>
        <w:t xml:space="preserve"> Chemical structure of cedazuridine</w:t>
      </w:r>
    </w:p>
    <w:p w14:paraId="4A89C00A" w14:textId="77777777" w:rsidR="0038384D" w:rsidRDefault="0038384D" w:rsidP="0038384D">
      <w:r w:rsidRPr="0038384D">
        <w:rPr>
          <w:noProof/>
          <w:lang w:eastAsia="en-AU"/>
        </w:rPr>
        <w:drawing>
          <wp:inline distT="0" distB="0" distL="0" distR="0" wp14:anchorId="0269FF3D" wp14:editId="5B3E0386">
            <wp:extent cx="2708694" cy="1217669"/>
            <wp:effectExtent l="0" t="0" r="0" b="1905"/>
            <wp:docPr id="2" name="Picture 2" descr="Chemical structure of cedazurid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26558" cy="1225699"/>
                    </a:xfrm>
                    <a:prstGeom prst="rect">
                      <a:avLst/>
                    </a:prstGeom>
                  </pic:spPr>
                </pic:pic>
              </a:graphicData>
            </a:graphic>
          </wp:inline>
        </w:drawing>
      </w:r>
    </w:p>
    <w:p w14:paraId="21992D68" w14:textId="77777777" w:rsidR="00027D1C" w:rsidRPr="0038384D" w:rsidRDefault="00027D1C" w:rsidP="00027D1C">
      <w:r w:rsidRPr="00027D1C">
        <w:t xml:space="preserve">Both components are synthetic chemicals that were evaluated by the pharmaceutical chemistry section. The </w:t>
      </w:r>
      <w:r>
        <w:t>quality</w:t>
      </w:r>
      <w:r w:rsidRPr="00027D1C">
        <w:t xml:space="preserve"> evaluator has raised no objections to registration of the product.</w:t>
      </w:r>
    </w:p>
    <w:p w14:paraId="0C6FA63B" w14:textId="77777777" w:rsidR="008E7846" w:rsidRDefault="008E7846" w:rsidP="008E7846">
      <w:pPr>
        <w:pStyle w:val="Heading3"/>
      </w:pPr>
      <w:bookmarkStart w:id="34" w:name="_Toc314842512"/>
      <w:bookmarkStart w:id="35" w:name="_Toc63846817"/>
      <w:r>
        <w:t>Nonclinical</w:t>
      </w:r>
      <w:bookmarkEnd w:id="34"/>
      <w:bookmarkEnd w:id="35"/>
    </w:p>
    <w:p w14:paraId="321798E7" w14:textId="4E1EDC74" w:rsidR="003622DB" w:rsidRDefault="00027D1C" w:rsidP="00F47693">
      <w:r>
        <w:t>The nonclinical evaluator has raised no objections to registration and has noted</w:t>
      </w:r>
      <w:r w:rsidR="00F47693">
        <w:t xml:space="preserve"> that </w:t>
      </w:r>
      <w:r w:rsidR="005E681D">
        <w:t xml:space="preserve">the sponsor </w:t>
      </w:r>
      <w:r w:rsidR="003622DB">
        <w:t xml:space="preserve">has applied to register a new fixed-dose combination product, </w:t>
      </w:r>
      <w:r w:rsidR="00B05DC0">
        <w:t xml:space="preserve">Inqovi </w:t>
      </w:r>
      <w:r w:rsidR="00D06CEC">
        <w:t>35/100</w:t>
      </w:r>
      <w:r w:rsidR="003622DB">
        <w:t xml:space="preserve">, containing cedazuridine and decitabine as the active ingredients. Both cedazuridine and decitabine are new chemical entities in Australia. </w:t>
      </w:r>
      <w:r w:rsidR="00B05DC0">
        <w:t xml:space="preserve">Inqovi </w:t>
      </w:r>
      <w:r w:rsidR="00D06CEC">
        <w:t>35/100</w:t>
      </w:r>
      <w:r w:rsidR="003622DB">
        <w:t xml:space="preserve"> is proposed to be used for the treatment of adult patients with </w:t>
      </w:r>
      <w:r w:rsidR="00D57B9C">
        <w:t>MDS</w:t>
      </w:r>
      <w:r w:rsidR="003622DB">
        <w:t xml:space="preserve"> intermediate-1, intermediate-2, and high-risk International Prognostic Scoring System</w:t>
      </w:r>
      <w:r w:rsidR="00D57B9C">
        <w:t xml:space="preserve"> (IPSS)</w:t>
      </w:r>
      <w:r w:rsidR="003622DB">
        <w:t xml:space="preserve"> groups, and patients with CMML. The proposed dosing regimen involves oral administration of 100 mg cedazuridine and 35 mg decitab</w:t>
      </w:r>
      <w:r w:rsidR="00D57B9C">
        <w:t>ine (one tablet) once daily on Day</w:t>
      </w:r>
      <w:r w:rsidR="003622DB">
        <w:t xml:space="preserve"> 1 through </w:t>
      </w:r>
      <w:r w:rsidR="00D57B9C">
        <w:t xml:space="preserve">Day </w:t>
      </w:r>
      <w:r w:rsidR="003622DB">
        <w:t>5 of each 28 day</w:t>
      </w:r>
      <w:r w:rsidR="00D57B9C">
        <w:t>s</w:t>
      </w:r>
      <w:r w:rsidR="003622DB">
        <w:t xml:space="preserve"> cycle for a minimum of 4 cycles. The draft </w:t>
      </w:r>
      <w:r w:rsidR="00D57B9C">
        <w:t>PI</w:t>
      </w:r>
      <w:r w:rsidR="003622DB">
        <w:t xml:space="preserve"> document states that treatment should continue as long as the patient continues to benefit.</w:t>
      </w:r>
    </w:p>
    <w:p w14:paraId="4E5191A3" w14:textId="7EAA4F88" w:rsidR="003622DB" w:rsidRDefault="00F47693" w:rsidP="00F47693">
      <w:pPr>
        <w:pStyle w:val="ListBullet"/>
        <w:numPr>
          <w:ilvl w:val="0"/>
          <w:numId w:val="0"/>
        </w:numPr>
      </w:pPr>
      <w:r w:rsidRPr="00F47693">
        <w:t>The s</w:t>
      </w:r>
      <w:r w:rsidR="00D06CEC" w:rsidRPr="00F47693">
        <w:t>ubmitted nonclinical dossier</w:t>
      </w:r>
      <w:r w:rsidR="003622DB" w:rsidRPr="00F47693">
        <w:t xml:space="preserve"> was of high overall qualit</w:t>
      </w:r>
      <w:r w:rsidRPr="00F47693">
        <w:t xml:space="preserve">y. The scope of the nonclinical </w:t>
      </w:r>
      <w:r w:rsidR="003622DB" w:rsidRPr="00F47693">
        <w:t>program was consistent with the relevant TGA adopted guideline on the nonclinical evaluation of ant</w:t>
      </w:r>
      <w:r w:rsidR="00D57B9C" w:rsidRPr="00F47693">
        <w:t>icancer pharmaceuticals</w:t>
      </w:r>
      <w:r w:rsidR="003622DB">
        <w:t>.</w:t>
      </w:r>
      <w:r w:rsidR="00D57B9C">
        <w:rPr>
          <w:rStyle w:val="FootnoteReference"/>
        </w:rPr>
        <w:footnoteReference w:id="5"/>
      </w:r>
    </w:p>
    <w:p w14:paraId="63E57E25" w14:textId="3C988D68" w:rsidR="003622DB" w:rsidRDefault="003622DB" w:rsidP="00F47693">
      <w:pPr>
        <w:pStyle w:val="ListBullet"/>
        <w:numPr>
          <w:ilvl w:val="0"/>
          <w:numId w:val="0"/>
        </w:numPr>
      </w:pPr>
      <w:r>
        <w:t xml:space="preserve">Decitabine is a nucleoside metabolic inhibitor that exerts its anti-neoplastic effects after phosphorylation and direct incorporation into DNA. Anti-tumour activity has been demonstrated with decitabine </w:t>
      </w:r>
      <w:r w:rsidRPr="00D06CEC">
        <w:rPr>
          <w:i/>
        </w:rPr>
        <w:t>in vitro</w:t>
      </w:r>
      <w:r>
        <w:t xml:space="preserve"> and </w:t>
      </w:r>
      <w:r w:rsidRPr="00D06CEC">
        <w:rPr>
          <w:i/>
        </w:rPr>
        <w:t>in vivo</w:t>
      </w:r>
      <w:r>
        <w:t xml:space="preserve">, with the most pronounced effects observed in </w:t>
      </w:r>
      <w:proofErr w:type="spellStart"/>
      <w:r>
        <w:t>leukaemic</w:t>
      </w:r>
      <w:proofErr w:type="spellEnd"/>
      <w:r>
        <w:t xml:space="preserve"> cell lines.</w:t>
      </w:r>
      <w:r w:rsidR="00F47693">
        <w:t xml:space="preserve"> </w:t>
      </w:r>
      <w:r>
        <w:t>Cedazuridine is an inhibitor of cytidine deaminase, the enzyme chiefly responsible for the degradation of decitabine (and other nucleosides). By inhibiti</w:t>
      </w:r>
      <w:r w:rsidR="00D57B9C">
        <w:t>ng first-pass metabolism, co-</w:t>
      </w:r>
      <w:r>
        <w:t>administration of cedazuridine improves the otherwise limited oral bioavailability of decitabine.</w:t>
      </w:r>
    </w:p>
    <w:p w14:paraId="762548E0" w14:textId="77777777" w:rsidR="003622DB" w:rsidRDefault="003622DB" w:rsidP="00F47693">
      <w:pPr>
        <w:pStyle w:val="ListBullet"/>
        <w:numPr>
          <w:ilvl w:val="0"/>
          <w:numId w:val="0"/>
        </w:numPr>
      </w:pPr>
      <w:r>
        <w:t xml:space="preserve">Competitive inhibition of cytidine deaminase by cedazuridine was demonstrated </w:t>
      </w:r>
      <w:r w:rsidRPr="00D06CEC">
        <w:rPr>
          <w:i/>
        </w:rPr>
        <w:t>in vitro</w:t>
      </w:r>
      <w:r>
        <w:t xml:space="preserve">, associated with an extension of the </w:t>
      </w:r>
      <w:r w:rsidRPr="00D06CEC">
        <w:rPr>
          <w:i/>
        </w:rPr>
        <w:t>in vitro</w:t>
      </w:r>
      <w:r>
        <w:t xml:space="preserve"> half-life of gemcitabine (another nucleoside analogue) by more than two orders of magnitude. </w:t>
      </w:r>
      <w:r w:rsidRPr="00D06CEC">
        <w:rPr>
          <w:i/>
        </w:rPr>
        <w:t>In vivo</w:t>
      </w:r>
      <w:r>
        <w:t>, cedazuridine was shown to significantly enhance the anti-tumour activity of oral decitabine in mouse models of acute myeloid leukaemia and acute lymphocytic leukaemia.</w:t>
      </w:r>
    </w:p>
    <w:p w14:paraId="51D1F3F8" w14:textId="58AD0358" w:rsidR="003622DB" w:rsidRDefault="003622DB" w:rsidP="00F47693">
      <w:pPr>
        <w:pStyle w:val="ListBullet"/>
        <w:numPr>
          <w:ilvl w:val="0"/>
          <w:numId w:val="0"/>
        </w:numPr>
      </w:pPr>
      <w:r>
        <w:t xml:space="preserve">The primary pharmacology studies offer support for the rationale for the combination and its utility for </w:t>
      </w:r>
      <w:r w:rsidR="00D06CEC">
        <w:t>the proposed indications.</w:t>
      </w:r>
      <w:r w:rsidR="00F47693">
        <w:t xml:space="preserve"> </w:t>
      </w:r>
      <w:r>
        <w:t>Screening assays revealed no significant secondary pharmacological targets for cedazuridine, and none were apparent for decitabine.</w:t>
      </w:r>
      <w:r w:rsidR="00F47693">
        <w:t xml:space="preserve"> </w:t>
      </w:r>
      <w:r>
        <w:t>Specialised safety pharmacology and other studies with cedazuridine and decitabine revealed no clinically relevant effects on central nervous, cardiovascular or respiratory function.</w:t>
      </w:r>
    </w:p>
    <w:p w14:paraId="7E89551F" w14:textId="5EE03084" w:rsidR="003622DB" w:rsidRDefault="003622DB" w:rsidP="001D3022">
      <w:pPr>
        <w:pStyle w:val="ListBullet"/>
        <w:numPr>
          <w:ilvl w:val="0"/>
          <w:numId w:val="0"/>
        </w:numPr>
      </w:pPr>
      <w:r>
        <w:t>A generally similar pharmacokinetic profile in laboratory animal species and humans was seen for both cedazuridine and decitabine. For cedazuridine, this was characterised by rapid absorption after oral administration, but with low bioavailability, and short plasma half-life. The oral bioavailability of decitabine was low or moderate in laboratory animal species and low in humans. Oral absorption of decitabine was rapid and plas</w:t>
      </w:r>
      <w:r w:rsidR="00D57B9C">
        <w:t>ma half-life was short. Oral co-</w:t>
      </w:r>
      <w:r>
        <w:t>administration with cedazuridine was shown to produce large increases in syste</w:t>
      </w:r>
      <w:r w:rsidR="00D06CEC">
        <w:t xml:space="preserve">mic exposure to decitabine (5.6 to </w:t>
      </w:r>
      <w:r>
        <w:t>69</w:t>
      </w:r>
      <w:r w:rsidR="00D06CEC">
        <w:t xml:space="preserve"> </w:t>
      </w:r>
      <w:r>
        <w:t>fold in la</w:t>
      </w:r>
      <w:r w:rsidR="00D06CEC">
        <w:t xml:space="preserve">boratory animal species and 7.6 </w:t>
      </w:r>
      <w:r>
        <w:t>fold in patients).</w:t>
      </w:r>
    </w:p>
    <w:p w14:paraId="759372E8" w14:textId="0AB19FF7" w:rsidR="003622DB" w:rsidRDefault="003622DB" w:rsidP="001D3022">
      <w:pPr>
        <w:pStyle w:val="ListBullet"/>
        <w:numPr>
          <w:ilvl w:val="0"/>
          <w:numId w:val="0"/>
        </w:numPr>
      </w:pPr>
      <w:r>
        <w:t>Plasma protein binding was low for cedazuridine and very low for decitabine, and similar across laboratory animal species and humans. Tissue distribution of</w:t>
      </w:r>
      <w:r w:rsidR="00D57B9C">
        <w:t xml:space="preserve"> carbon-14 (</w:t>
      </w:r>
      <w:r w:rsidRPr="00D06CEC">
        <w:rPr>
          <w:vertAlign w:val="superscript"/>
        </w:rPr>
        <w:t>14</w:t>
      </w:r>
      <w:r w:rsidR="00D06CEC">
        <w:t>C</w:t>
      </w:r>
      <w:r w:rsidR="00D57B9C">
        <w:t>)</w:t>
      </w:r>
      <w:r w:rsidR="00D06CEC">
        <w:t xml:space="preserve"> cedazuridine </w:t>
      </w:r>
      <w:r>
        <w:t xml:space="preserve">derived radioactivity was limited in mice, with penetration of the blood-brain barrier not seen. For decitabine, though, tissue distribution in mice was extensive and included significant entry into the </w:t>
      </w:r>
      <w:r w:rsidR="00B112D9">
        <w:t>central nervous system (</w:t>
      </w:r>
      <w:r>
        <w:t>CNS</w:t>
      </w:r>
      <w:r w:rsidR="00B112D9">
        <w:t>)</w:t>
      </w:r>
      <w:r>
        <w:t>.</w:t>
      </w:r>
    </w:p>
    <w:p w14:paraId="34AC16CF" w14:textId="7BEC1949" w:rsidR="003622DB" w:rsidRDefault="003622DB" w:rsidP="001D3022">
      <w:pPr>
        <w:pStyle w:val="ListBullet"/>
        <w:numPr>
          <w:ilvl w:val="0"/>
          <w:numId w:val="0"/>
        </w:numPr>
      </w:pPr>
      <w:r>
        <w:t xml:space="preserve">The </w:t>
      </w:r>
      <w:proofErr w:type="spellStart"/>
      <w:r>
        <w:t>epimer</w:t>
      </w:r>
      <w:proofErr w:type="spellEnd"/>
      <w:r>
        <w:t xml:space="preserve"> of cedazuridine was identified as the only significant circulating metabolite in laboratory animal species and humans. It is formed non-enzymatically, and possesses much </w:t>
      </w:r>
      <w:r w:rsidR="00B112D9">
        <w:t>weaker pharmacological activity compare to</w:t>
      </w:r>
      <w:r>
        <w:t xml:space="preserve"> its parent. Decitabine is mainly metabolised via deamination by cytidine deaminase, and is also subject to chemical degradation, involving oxidation, ring opening and </w:t>
      </w:r>
      <w:proofErr w:type="spellStart"/>
      <w:r>
        <w:t>deformylation</w:t>
      </w:r>
      <w:proofErr w:type="spellEnd"/>
      <w:r>
        <w:t>. Excretion of orally administered cedazuridine was predominantly via the faeces in laboratory animal species and humans; urine was the major route of excretion for decitabine.</w:t>
      </w:r>
    </w:p>
    <w:p w14:paraId="48F3C5A9" w14:textId="42C7C296" w:rsidR="003622DB" w:rsidRDefault="003622DB" w:rsidP="001D3022">
      <w:pPr>
        <w:pStyle w:val="ListBullet"/>
        <w:numPr>
          <w:ilvl w:val="0"/>
          <w:numId w:val="0"/>
        </w:numPr>
      </w:pPr>
      <w:r w:rsidRPr="00D2728B">
        <w:rPr>
          <w:i/>
        </w:rPr>
        <w:t>In vitro</w:t>
      </w:r>
      <w:r>
        <w:t xml:space="preserve"> studies indicate limited potential for pharmacokinetic drug interactions by cedazuridine and decitabine involving </w:t>
      </w:r>
      <w:r w:rsidR="00180C61">
        <w:t>cytochrome enzymes (</w:t>
      </w:r>
      <w:r>
        <w:t>CYP</w:t>
      </w:r>
      <w:r w:rsidR="00180C61">
        <w:t>)</w:t>
      </w:r>
      <w:r w:rsidR="00D2728B">
        <w:t>;</w:t>
      </w:r>
      <w:bookmarkStart w:id="36" w:name="_Ref59448699"/>
      <w:r w:rsidR="00D2728B">
        <w:rPr>
          <w:rStyle w:val="FootnoteReference"/>
        </w:rPr>
        <w:footnoteReference w:id="6"/>
      </w:r>
      <w:bookmarkEnd w:id="36"/>
      <w:r>
        <w:t xml:space="preserve"> and transporters. Of note, though, the potential for interactions caused by the </w:t>
      </w:r>
      <w:proofErr w:type="spellStart"/>
      <w:r>
        <w:t>epimer</w:t>
      </w:r>
      <w:proofErr w:type="spellEnd"/>
      <w:r>
        <w:t xml:space="preserve"> of cedazuridine — a major metabolite for which exposure is only slightly less than half that o</w:t>
      </w:r>
      <w:r w:rsidR="00180C61">
        <w:t>f the parent drug in patients </w:t>
      </w:r>
      <w:r>
        <w:t xml:space="preserve">has not been explored. The primary pharmacological activity of cedazuridine means that </w:t>
      </w:r>
      <w:r w:rsidR="00B05DC0">
        <w:t xml:space="preserve">Inqovi </w:t>
      </w:r>
      <w:r w:rsidR="00D2728B">
        <w:t>35/100</w:t>
      </w:r>
      <w:r>
        <w:t xml:space="preserve"> has the potential to increase exposure of additional drugs besides decitabine that are substrates of cytidine deaminase.</w:t>
      </w:r>
    </w:p>
    <w:p w14:paraId="5E226DD6" w14:textId="3E4FC5B0" w:rsidR="003622DB" w:rsidRDefault="003622DB" w:rsidP="001D3022">
      <w:pPr>
        <w:pStyle w:val="ListBullet"/>
        <w:numPr>
          <w:ilvl w:val="0"/>
          <w:numId w:val="0"/>
        </w:numPr>
      </w:pPr>
      <w:r>
        <w:t>Cedazuridine showed a low to moderate order of acute toxicity in mice and monkeys after oral administration. A moderate to high order of acute toxicity was evident for decitabine after IV administration in mice, dogs and monkeys.</w:t>
      </w:r>
      <w:r w:rsidR="001D3022">
        <w:t xml:space="preserve"> </w:t>
      </w:r>
      <w:r>
        <w:t>Pivotal repeat-dose toxicity studies involved oral</w:t>
      </w:r>
      <w:r w:rsidR="00D2728B">
        <w:t xml:space="preserve"> administration once daily for five or seven</w:t>
      </w:r>
      <w:r>
        <w:t xml:space="preserve"> days on a 28 day</w:t>
      </w:r>
      <w:r w:rsidR="00180C61">
        <w:t>s</w:t>
      </w:r>
      <w:r>
        <w:t xml:space="preserve"> cycle (the same or simila</w:t>
      </w:r>
      <w:r w:rsidR="00D2728B">
        <w:t>r to the clinical regimen) for three</w:t>
      </w:r>
      <w:r>
        <w:t xml:space="preserve"> months in mice and </w:t>
      </w:r>
      <w:proofErr w:type="spellStart"/>
      <w:r>
        <w:t>cynomolgus</w:t>
      </w:r>
      <w:proofErr w:type="spellEnd"/>
      <w:r>
        <w:t xml:space="preserve"> monkeys for cedazuridine, and in rats for decitabine. The major targets for toxicity were largely shared for the two drugs, comprising the bone marrow, haematopoietic system, lymphoid tissues, </w:t>
      </w:r>
      <w:r w:rsidR="00D2728B">
        <w:t>gastrointestinal (</w:t>
      </w:r>
      <w:r>
        <w:t>GI</w:t>
      </w:r>
      <w:r w:rsidR="00D2728B">
        <w:t>)</w:t>
      </w:r>
      <w:r>
        <w:t xml:space="preserve"> tract and male and female reproductive tract. A single</w:t>
      </w:r>
      <w:r w:rsidR="00180C61">
        <w:t xml:space="preserve"> </w:t>
      </w:r>
      <w:r>
        <w:t>cycle study with cedazuridine and decitabine in combination in monkeys did not identify novel toxicity (although examination was limited).</w:t>
      </w:r>
    </w:p>
    <w:p w14:paraId="69DC9D88" w14:textId="77777777" w:rsidR="003622DB" w:rsidRDefault="003622DB" w:rsidP="001D3022">
      <w:pPr>
        <w:pStyle w:val="ListBullet"/>
        <w:numPr>
          <w:ilvl w:val="0"/>
          <w:numId w:val="0"/>
        </w:numPr>
      </w:pPr>
      <w:proofErr w:type="spellStart"/>
      <w:r>
        <w:t>Leukopaenia</w:t>
      </w:r>
      <w:proofErr w:type="spellEnd"/>
      <w:r>
        <w:t xml:space="preserve"> was observed in animals treated with cedazuridine and decitabine. An increased risk for infections is expected in patients.</w:t>
      </w:r>
    </w:p>
    <w:p w14:paraId="079D6475" w14:textId="75F3CA93" w:rsidR="003622DB" w:rsidRDefault="003622DB" w:rsidP="001D3022">
      <w:pPr>
        <w:pStyle w:val="ListBullet"/>
        <w:numPr>
          <w:ilvl w:val="0"/>
          <w:numId w:val="0"/>
        </w:numPr>
      </w:pPr>
      <w:r>
        <w:t>Cedazuridine and decitabine are both genotoxic. Positive results were obtained for cedazuridine in the bacterial reverse mutation assay (Ames test)</w:t>
      </w:r>
      <w:r w:rsidR="005E681D">
        <w:t>;</w:t>
      </w:r>
      <w:r w:rsidR="008921E3">
        <w:rPr>
          <w:rStyle w:val="FootnoteReference"/>
        </w:rPr>
        <w:footnoteReference w:id="7"/>
      </w:r>
      <w:r>
        <w:t xml:space="preserve"> and in the </w:t>
      </w:r>
      <w:r w:rsidRPr="00D2728B">
        <w:rPr>
          <w:i/>
        </w:rPr>
        <w:t>in vitro</w:t>
      </w:r>
      <w:r>
        <w:t xml:space="preserve"> chromosomal aberration assay in human lymphocytes; and with decitabine in assays for mutagenicity in L5178Y mouse lymphoma cells and in mice </w:t>
      </w:r>
      <w:r w:rsidRPr="00D2728B">
        <w:rPr>
          <w:i/>
        </w:rPr>
        <w:t>in vivo</w:t>
      </w:r>
      <w:r>
        <w:t xml:space="preserve">, and for chromosomal rearrangements in </w:t>
      </w:r>
      <w:r w:rsidRPr="00337237">
        <w:rPr>
          <w:i/>
        </w:rPr>
        <w:t>Drosophila melanogaster</w:t>
      </w:r>
      <w:r>
        <w:t xml:space="preserve"> larvae.</w:t>
      </w:r>
      <w:r w:rsidR="001D3022">
        <w:t xml:space="preserve"> </w:t>
      </w:r>
      <w:r>
        <w:t>No carcinogenicity studies have been conducted with either cedazuridine or decitabine. This is acceptable given the proposed indication.</w:t>
      </w:r>
    </w:p>
    <w:p w14:paraId="3B0CA538" w14:textId="418226ED" w:rsidR="003622DB" w:rsidRDefault="003622DB" w:rsidP="001D3022">
      <w:pPr>
        <w:pStyle w:val="ListBullet"/>
        <w:numPr>
          <w:ilvl w:val="0"/>
          <w:numId w:val="0"/>
        </w:numPr>
      </w:pPr>
      <w:r>
        <w:t>The decitabine component of</w:t>
      </w:r>
      <w:r w:rsidR="00C87093">
        <w:t xml:space="preserve"> </w:t>
      </w:r>
      <w:r w:rsidR="00B05DC0">
        <w:t xml:space="preserve">Inqovi </w:t>
      </w:r>
      <w:r w:rsidR="00D2728B">
        <w:t xml:space="preserve">35/100 </w:t>
      </w:r>
      <w:r>
        <w:t>is expected to impair male fertility. Decitabine reduced fertility in male mice at dose levels well below the clinical dose. This was accompanied by reduced testes weights, abnormal histology and marked decreases in sperm count. Pre implantation loss was significantly increased in females that were mated with treated males.</w:t>
      </w:r>
      <w:r w:rsidR="001D3022">
        <w:t xml:space="preserve"> </w:t>
      </w:r>
      <w:r>
        <w:t>Decitabine is teratogenic, with malformations and embryofetal lethality observed in mice and rats at subclinical doses. Multiple fetal malformations have also been reported in a pregnant woman treated with IV decitabine. Ass</w:t>
      </w:r>
      <w:r w:rsidR="00D2728B">
        <w:t>ignment to Pregnancy Category X;</w:t>
      </w:r>
      <w:r w:rsidR="00D2728B">
        <w:rPr>
          <w:rStyle w:val="FootnoteReference"/>
        </w:rPr>
        <w:footnoteReference w:id="8"/>
      </w:r>
      <w:r>
        <w:t xml:space="preserve"> as the sponsor proposes, is appropriate.</w:t>
      </w:r>
    </w:p>
    <w:p w14:paraId="6F2B26CA" w14:textId="77777777" w:rsidR="008E7846" w:rsidRDefault="008E7846" w:rsidP="008E7846">
      <w:pPr>
        <w:pStyle w:val="Heading3"/>
      </w:pPr>
      <w:bookmarkStart w:id="37" w:name="_Toc247691530"/>
      <w:bookmarkStart w:id="38" w:name="_Toc314842513"/>
      <w:bookmarkStart w:id="39" w:name="_Toc63846818"/>
      <w:r>
        <w:t>Clinical</w:t>
      </w:r>
      <w:bookmarkEnd w:id="37"/>
      <w:bookmarkEnd w:id="38"/>
      <w:bookmarkEnd w:id="39"/>
    </w:p>
    <w:p w14:paraId="657BFE3B" w14:textId="77777777" w:rsidR="007B6132" w:rsidRDefault="008203C0" w:rsidP="008203C0">
      <w:bookmarkStart w:id="40" w:name="_Toc314842514"/>
      <w:r w:rsidRPr="00F91464">
        <w:t>The</w:t>
      </w:r>
      <w:r w:rsidR="00006FAB" w:rsidRPr="00F91464">
        <w:t xml:space="preserve"> clinical d</w:t>
      </w:r>
      <w:r w:rsidRPr="00F91464">
        <w:t>ossier consisted of:</w:t>
      </w:r>
    </w:p>
    <w:p w14:paraId="60D4F82C" w14:textId="2FAC3714" w:rsidR="008203C0" w:rsidRDefault="0076011F" w:rsidP="008203C0">
      <w:pPr>
        <w:pStyle w:val="ListBullet"/>
      </w:pPr>
      <w:r>
        <w:t xml:space="preserve">one </w:t>
      </w:r>
      <w:r w:rsidR="00F91464">
        <w:t>Phase I study</w:t>
      </w:r>
      <w:r>
        <w:t>;</w:t>
      </w:r>
    </w:p>
    <w:p w14:paraId="6D55AC15" w14:textId="537917B0" w:rsidR="00F91464" w:rsidRDefault="0076011F" w:rsidP="008203C0">
      <w:pPr>
        <w:pStyle w:val="ListBullet"/>
      </w:pPr>
      <w:r>
        <w:t xml:space="preserve">one </w:t>
      </w:r>
      <w:r w:rsidR="00F91464">
        <w:t>Phase II study</w:t>
      </w:r>
      <w:r>
        <w:t xml:space="preserve"> (Study ASTX727-01);</w:t>
      </w:r>
    </w:p>
    <w:p w14:paraId="472D1D79" w14:textId="0EDF9844" w:rsidR="00F91464" w:rsidRDefault="0076011F" w:rsidP="008203C0">
      <w:pPr>
        <w:pStyle w:val="ListBullet"/>
      </w:pPr>
      <w:r>
        <w:t xml:space="preserve">one </w:t>
      </w:r>
      <w:r w:rsidR="00F91464">
        <w:t>Phase III study</w:t>
      </w:r>
      <w:r>
        <w:t xml:space="preserve"> (Study ASTX727-02);</w:t>
      </w:r>
    </w:p>
    <w:p w14:paraId="78DC8AF6" w14:textId="149CF97A" w:rsidR="00F91464" w:rsidRDefault="0076011F" w:rsidP="008203C0">
      <w:pPr>
        <w:pStyle w:val="ListBullet"/>
      </w:pPr>
      <w:r>
        <w:t xml:space="preserve">one </w:t>
      </w:r>
      <w:r w:rsidR="00F91464">
        <w:t>study on food effect with ASTX727;</w:t>
      </w:r>
      <w:bookmarkStart w:id="41" w:name="_Ref59448656"/>
      <w:r w:rsidR="00F91464">
        <w:rPr>
          <w:rStyle w:val="FootnoteReference"/>
        </w:rPr>
        <w:footnoteReference w:id="9"/>
      </w:r>
      <w:bookmarkEnd w:id="41"/>
      <w:r>
        <w:t xml:space="preserve"> and</w:t>
      </w:r>
    </w:p>
    <w:p w14:paraId="257FF9E7" w14:textId="3F5B2BE6" w:rsidR="00F91464" w:rsidRDefault="0076011F" w:rsidP="008203C0">
      <w:pPr>
        <w:pStyle w:val="ListBullet"/>
      </w:pPr>
      <w:r>
        <w:t xml:space="preserve">one </w:t>
      </w:r>
      <w:r w:rsidR="00F91464">
        <w:t xml:space="preserve">study on absorption, distribution, metabolism, and </w:t>
      </w:r>
      <w:r w:rsidR="00F91464" w:rsidRPr="00F91464">
        <w:t>excretion</w:t>
      </w:r>
      <w:r w:rsidR="00F91464">
        <w:t xml:space="preserve"> of ASTX727</w:t>
      </w:r>
      <w:r>
        <w:t>.</w:t>
      </w:r>
    </w:p>
    <w:p w14:paraId="6541888C" w14:textId="77777777" w:rsidR="008203C0" w:rsidRDefault="008203C0" w:rsidP="008203C0">
      <w:pPr>
        <w:pStyle w:val="Heading4"/>
      </w:pPr>
      <w:r>
        <w:t>Pharmacology</w:t>
      </w:r>
    </w:p>
    <w:p w14:paraId="1E205786" w14:textId="77777777" w:rsidR="008203C0" w:rsidRDefault="008203C0" w:rsidP="008203C0">
      <w:r>
        <w:t>The main focus of the assessment of pharmacology was demonstrating the equivalence of decitabine levels when given IV and orally in combination with cedazuridine.</w:t>
      </w:r>
    </w:p>
    <w:p w14:paraId="59CA8266" w14:textId="6CBF6CE5" w:rsidR="008203C0" w:rsidRDefault="008203C0" w:rsidP="008203C0">
      <w:r>
        <w:t xml:space="preserve">Decitabine </w:t>
      </w:r>
      <w:r w:rsidR="00AC4127">
        <w:t>a</w:t>
      </w:r>
      <w:r w:rsidR="00AC4127" w:rsidRPr="00F91CC2">
        <w:t xml:space="preserve">rea under the plasma concentration time curve </w:t>
      </w:r>
      <w:r w:rsidR="00AC4127">
        <w:t>(</w:t>
      </w:r>
      <w:r>
        <w:t>AUC</w:t>
      </w:r>
      <w:r w:rsidR="00AC4127">
        <w:t>)</w:t>
      </w:r>
      <w:r>
        <w:t xml:space="preserve"> was demonstrated to be similar between IV administration and administration in oral ASTX727 (see Table 2).</w:t>
      </w:r>
    </w:p>
    <w:p w14:paraId="48F97146" w14:textId="19E813B5" w:rsidR="008203C0" w:rsidRDefault="008203C0" w:rsidP="005A69A8">
      <w:pPr>
        <w:pStyle w:val="TableTitle"/>
        <w:pageBreakBefore/>
      </w:pPr>
      <w:r w:rsidRPr="008203C0">
        <w:t xml:space="preserve">Table </w:t>
      </w:r>
      <w:fldSimple w:instr=" SEQ Table \* ARABIC ">
        <w:r w:rsidR="00BC61E1">
          <w:rPr>
            <w:noProof/>
          </w:rPr>
          <w:t>2</w:t>
        </w:r>
      </w:fldSimple>
      <w:r w:rsidR="00D9417A">
        <w:t xml:space="preserve">: </w:t>
      </w:r>
      <w:r w:rsidR="0076011F">
        <w:t xml:space="preserve">Study ASTX727-02 </w:t>
      </w:r>
      <w:r w:rsidR="00D9417A">
        <w:t xml:space="preserve">Comparative area under </w:t>
      </w:r>
      <w:r w:rsidR="00D9417A" w:rsidRPr="002B01B1">
        <w:rPr>
          <w:rFonts w:cs="Calibri"/>
          <w:color w:val="000000"/>
        </w:rPr>
        <w:t>the plasma concentration time curve</w:t>
      </w:r>
      <w:r w:rsidR="00D9417A">
        <w:t xml:space="preserve"> </w:t>
      </w:r>
      <w:r>
        <w:t>of intravenous decitabine and ASTX727</w:t>
      </w:r>
    </w:p>
    <w:p w14:paraId="247B6BB0" w14:textId="77777777" w:rsidR="008203C0" w:rsidRDefault="00FD6643" w:rsidP="005A69A8">
      <w:r>
        <w:rPr>
          <w:noProof/>
          <w:lang w:eastAsia="en-AU"/>
        </w:rPr>
        <w:drawing>
          <wp:inline distT="0" distB="0" distL="0" distR="0" wp14:anchorId="1483B309" wp14:editId="6B65500E">
            <wp:extent cx="5283200" cy="1010121"/>
            <wp:effectExtent l="0" t="0" r="0" b="0"/>
            <wp:docPr id="5" name="Picture 5" descr="Comparative are under the plasma concentration time curve of intravenous decitabine and ASTX727 in Phase III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478" t="1808" r="4752" b="29789"/>
                    <a:stretch/>
                  </pic:blipFill>
                  <pic:spPr bwMode="auto">
                    <a:xfrm>
                      <a:off x="0" y="0"/>
                      <a:ext cx="5320263" cy="1017207"/>
                    </a:xfrm>
                    <a:prstGeom prst="rect">
                      <a:avLst/>
                    </a:prstGeom>
                    <a:noFill/>
                    <a:ln>
                      <a:noFill/>
                    </a:ln>
                    <a:extLst>
                      <a:ext uri="{53640926-AAD7-44D8-BBD7-CCE9431645EC}">
                        <a14:shadowObscured xmlns:a14="http://schemas.microsoft.com/office/drawing/2010/main"/>
                      </a:ext>
                    </a:extLst>
                  </pic:spPr>
                </pic:pic>
              </a:graphicData>
            </a:graphic>
          </wp:inline>
        </w:drawing>
      </w:r>
    </w:p>
    <w:p w14:paraId="2DDF0FF0" w14:textId="7921D7CF" w:rsidR="00FD6643" w:rsidRPr="008203C0" w:rsidRDefault="0076011F" w:rsidP="005A69A8">
      <w:pPr>
        <w:pStyle w:val="TableDescription"/>
      </w:pPr>
      <w:r>
        <w:t xml:space="preserve">Study ASTX727-02, a Phase III study. </w:t>
      </w:r>
      <w:r w:rsidR="00FD6643">
        <w:t>AUC</w:t>
      </w:r>
      <w:r w:rsidR="00FD6643" w:rsidRPr="008366BC">
        <w:rPr>
          <w:vertAlign w:val="subscript"/>
        </w:rPr>
        <w:t>0-24</w:t>
      </w:r>
      <w:r w:rsidR="00C87093">
        <w:rPr>
          <w:vertAlign w:val="subscript"/>
        </w:rPr>
        <w:t xml:space="preserve"> </w:t>
      </w:r>
      <w:r w:rsidR="00FD6643">
        <w:t>= area under the plasma concentration time curve from time zero to 24 hours; CI = confidence interval; CSR = clinical study report; LSM = least square mean, N</w:t>
      </w:r>
      <w:r>
        <w:t> </w:t>
      </w:r>
      <w:r w:rsidR="00FD6643">
        <w:t>=</w:t>
      </w:r>
      <w:r w:rsidR="00C87093">
        <w:t xml:space="preserve"> </w:t>
      </w:r>
      <w:r w:rsidR="00FD6643">
        <w:t xml:space="preserve">number of </w:t>
      </w:r>
      <w:r w:rsidR="00723EFC">
        <w:t>subjects.</w:t>
      </w:r>
    </w:p>
    <w:p w14:paraId="61732B39" w14:textId="4013ED74" w:rsidR="008203C0" w:rsidRDefault="008203C0" w:rsidP="008203C0">
      <w:r>
        <w:t>Following o</w:t>
      </w:r>
      <w:r w:rsidR="00723EFC">
        <w:t>ral administration of ASTX727;</w:t>
      </w:r>
      <w:r w:rsidR="00723EFC" w:rsidRPr="00723EFC">
        <w:rPr>
          <w:vertAlign w:val="superscript"/>
        </w:rPr>
        <w:fldChar w:fldCharType="begin"/>
      </w:r>
      <w:r w:rsidR="00723EFC" w:rsidRPr="00723EFC">
        <w:rPr>
          <w:vertAlign w:val="superscript"/>
        </w:rPr>
        <w:instrText xml:space="preserve"> NOTEREF _Ref59448656 \h </w:instrText>
      </w:r>
      <w:r w:rsidR="00723EFC">
        <w:rPr>
          <w:vertAlign w:val="superscript"/>
        </w:rPr>
        <w:instrText xml:space="preserve"> \* MERGEFORMAT </w:instrText>
      </w:r>
      <w:r w:rsidR="00723EFC" w:rsidRPr="00723EFC">
        <w:rPr>
          <w:vertAlign w:val="superscript"/>
        </w:rPr>
      </w:r>
      <w:r w:rsidR="00723EFC" w:rsidRPr="00723EFC">
        <w:rPr>
          <w:vertAlign w:val="superscript"/>
        </w:rPr>
        <w:fldChar w:fldCharType="separate"/>
      </w:r>
      <w:r w:rsidR="00BC61E1">
        <w:rPr>
          <w:vertAlign w:val="superscript"/>
        </w:rPr>
        <w:t>8</w:t>
      </w:r>
      <w:r w:rsidR="00723EFC" w:rsidRPr="00723EFC">
        <w:rPr>
          <w:vertAlign w:val="superscript"/>
        </w:rPr>
        <w:fldChar w:fldCharType="end"/>
      </w:r>
      <w:r>
        <w:t xml:space="preserve"> cedazuridine was rapidly absorbed with a median </w:t>
      </w:r>
      <w:r w:rsidR="00F91CC2" w:rsidRPr="002D458C">
        <w:t>time after administration of a drug when the maximum plasma concentration is reached</w:t>
      </w:r>
      <w:r w:rsidR="00F91CC2">
        <w:t xml:space="preserve"> (</w:t>
      </w:r>
      <w:proofErr w:type="spellStart"/>
      <w:r>
        <w:t>T</w:t>
      </w:r>
      <w:r w:rsidRPr="00F91CC2">
        <w:rPr>
          <w:vertAlign w:val="subscript"/>
        </w:rPr>
        <w:t>max</w:t>
      </w:r>
      <w:proofErr w:type="spellEnd"/>
      <w:r w:rsidR="00F91CC2" w:rsidRPr="00F91CC2">
        <w:t>)</w:t>
      </w:r>
      <w:r>
        <w:t xml:space="preserve"> of 3 hours and an oral bioavailability of 20%. Decitabine was also rapidly absorbed with a median </w:t>
      </w:r>
      <w:proofErr w:type="spellStart"/>
      <w:r>
        <w:t>T</w:t>
      </w:r>
      <w:r w:rsidRPr="008203C0">
        <w:rPr>
          <w:vertAlign w:val="subscript"/>
        </w:rPr>
        <w:t>max</w:t>
      </w:r>
      <w:proofErr w:type="spellEnd"/>
      <w:r>
        <w:t xml:space="preserve"> of 1 hour. </w:t>
      </w:r>
      <w:r w:rsidR="0076011F">
        <w:t>C</w:t>
      </w:r>
      <w:r>
        <w:t>edazuridine 40</w:t>
      </w:r>
      <w:r w:rsidR="00F91CC2">
        <w:t xml:space="preserve"> </w:t>
      </w:r>
      <w:r>
        <w:t>mg, 60</w:t>
      </w:r>
      <w:r w:rsidR="00F91CC2">
        <w:t xml:space="preserve"> </w:t>
      </w:r>
      <w:r>
        <w:t>mg and 100</w:t>
      </w:r>
      <w:r w:rsidR="00F91CC2">
        <w:t xml:space="preserve"> </w:t>
      </w:r>
      <w:r>
        <w:t xml:space="preserve">mg increased the oral availability of decitabine by 3.68 to </w:t>
      </w:r>
      <w:r w:rsidR="00723EFC">
        <w:t>12 fold compared to oral d</w:t>
      </w:r>
      <w:r>
        <w:t xml:space="preserve">ecitabine alone. Administration of a high fat meal had little effect on cedazuridine absorption, but reduced the decitabine AUC by 40 to 54%. Cedazuridine and decitabine were mainly </w:t>
      </w:r>
      <w:proofErr w:type="spellStart"/>
      <w:r>
        <w:t>renally</w:t>
      </w:r>
      <w:proofErr w:type="spellEnd"/>
      <w:r>
        <w:t xml:space="preserve"> excreted.</w:t>
      </w:r>
    </w:p>
    <w:p w14:paraId="1A4E1D06" w14:textId="4AF56E33" w:rsidR="008203C0" w:rsidRDefault="008203C0" w:rsidP="008203C0">
      <w:r>
        <w:t>Age, sex and weight did not affect the pharmacokinetics of either component of ASTX727.</w:t>
      </w:r>
      <w:r w:rsidR="002028DA">
        <w:fldChar w:fldCharType="begin"/>
      </w:r>
      <w:r w:rsidR="002028DA">
        <w:instrText xml:space="preserve"> NOTEREF _Ref59448656 \f \h </w:instrText>
      </w:r>
      <w:r w:rsidR="002028DA">
        <w:fldChar w:fldCharType="separate"/>
      </w:r>
      <w:r w:rsidR="00BC61E1" w:rsidRPr="00BC61E1">
        <w:rPr>
          <w:rStyle w:val="FootnoteReference"/>
        </w:rPr>
        <w:t>8</w:t>
      </w:r>
      <w:r w:rsidR="002028DA">
        <w:fldChar w:fldCharType="end"/>
      </w:r>
      <w:r w:rsidR="00F91CC2">
        <w:t xml:space="preserve"> C</w:t>
      </w:r>
      <w:r>
        <w:t>edazuridine levels were increased in mild to moderate renal impairment, but this was of small magnitude and not considered clinically relevant. The effect of severe renal or moderate to severe hepatic impairment was not adequately studied.</w:t>
      </w:r>
    </w:p>
    <w:p w14:paraId="41BC3790" w14:textId="1BDC43CE" w:rsidR="008203C0" w:rsidRDefault="008203C0" w:rsidP="008203C0">
      <w:r w:rsidRPr="008203C0">
        <w:rPr>
          <w:i/>
        </w:rPr>
        <w:t>In vitro</w:t>
      </w:r>
      <w:r w:rsidR="002028DA">
        <w:t xml:space="preserve"> studies suggest that c</w:t>
      </w:r>
      <w:r>
        <w:t>edazuridine is not a substrate or modulator of CYP</w:t>
      </w:r>
      <w:r w:rsidR="002028DA">
        <w:t>;</w:t>
      </w:r>
      <w:r w:rsidR="002028DA">
        <w:fldChar w:fldCharType="begin"/>
      </w:r>
      <w:r w:rsidR="002028DA">
        <w:instrText xml:space="preserve"> NOTEREF _Ref59448699 \f \h </w:instrText>
      </w:r>
      <w:r w:rsidR="002028DA">
        <w:fldChar w:fldCharType="separate"/>
      </w:r>
      <w:r w:rsidR="00BC61E1" w:rsidRPr="00BC61E1">
        <w:rPr>
          <w:rStyle w:val="FootnoteReference"/>
        </w:rPr>
        <w:t>5</w:t>
      </w:r>
      <w:r w:rsidR="002028DA">
        <w:fldChar w:fldCharType="end"/>
      </w:r>
      <w:r>
        <w:t xml:space="preserve"> enzymes or major transporters and, as such, specific advice to avoid co</w:t>
      </w:r>
      <w:r w:rsidR="00F91CC2">
        <w:t>ncomitant drugs is recommended.</w:t>
      </w:r>
    </w:p>
    <w:p w14:paraId="6CAC549E" w14:textId="6DE35E01" w:rsidR="008203C0" w:rsidRDefault="008203C0" w:rsidP="008203C0">
      <w:r>
        <w:t>The Delegate notes that advice regarding use of ASTX727</w:t>
      </w:r>
      <w:r w:rsidR="002028DA">
        <w:t>;</w:t>
      </w:r>
      <w:r w:rsidR="002028DA">
        <w:fldChar w:fldCharType="begin"/>
      </w:r>
      <w:r w:rsidR="002028DA">
        <w:instrText xml:space="preserve"> NOTEREF _Ref59448656 \f \h </w:instrText>
      </w:r>
      <w:r w:rsidR="002028DA">
        <w:fldChar w:fldCharType="separate"/>
      </w:r>
      <w:r w:rsidR="00BC61E1" w:rsidRPr="00BC61E1">
        <w:rPr>
          <w:rStyle w:val="FootnoteReference"/>
        </w:rPr>
        <w:t>8</w:t>
      </w:r>
      <w:r w:rsidR="002028DA">
        <w:fldChar w:fldCharType="end"/>
      </w:r>
      <w:r>
        <w:t xml:space="preserve"> in renal and hepatic impairment has been included </w:t>
      </w:r>
      <w:r w:rsidR="00F91CC2">
        <w:t>in the draft PI</w:t>
      </w:r>
      <w:r>
        <w:t>.</w:t>
      </w:r>
    </w:p>
    <w:p w14:paraId="2A373247" w14:textId="3C72A6A5" w:rsidR="008203C0" w:rsidRDefault="008203C0" w:rsidP="008203C0">
      <w:r>
        <w:t>The Delegate notes that advice to avoid agents which increase gastric pH within four hours of administration of ASTX727</w:t>
      </w:r>
      <w:r w:rsidR="002028DA">
        <w:t>;</w:t>
      </w:r>
      <w:r w:rsidR="002028DA">
        <w:fldChar w:fldCharType="begin"/>
      </w:r>
      <w:r w:rsidR="002028DA">
        <w:instrText xml:space="preserve"> NOTEREF _Ref59448656 \f \h </w:instrText>
      </w:r>
      <w:r w:rsidR="002028DA">
        <w:fldChar w:fldCharType="separate"/>
      </w:r>
      <w:r w:rsidR="00BC61E1" w:rsidRPr="00BC61E1">
        <w:rPr>
          <w:rStyle w:val="FootnoteReference"/>
        </w:rPr>
        <w:t>8</w:t>
      </w:r>
      <w:r w:rsidR="002028DA">
        <w:fldChar w:fldCharType="end"/>
      </w:r>
      <w:r>
        <w:t xml:space="preserve"> and food within two hours of administration of ASTX727</w:t>
      </w:r>
      <w:r w:rsidR="002028DA">
        <w:t>;</w:t>
      </w:r>
      <w:r w:rsidR="002028DA">
        <w:fldChar w:fldCharType="begin"/>
      </w:r>
      <w:r w:rsidR="002028DA">
        <w:instrText xml:space="preserve"> NOTEREF _Ref59448656 \f \h </w:instrText>
      </w:r>
      <w:r w:rsidR="002028DA">
        <w:fldChar w:fldCharType="separate"/>
      </w:r>
      <w:r w:rsidR="00BC61E1" w:rsidRPr="00BC61E1">
        <w:rPr>
          <w:rStyle w:val="FootnoteReference"/>
        </w:rPr>
        <w:t>8</w:t>
      </w:r>
      <w:r w:rsidR="002028DA">
        <w:fldChar w:fldCharType="end"/>
      </w:r>
      <w:r>
        <w:t xml:space="preserve"> has been included in the draft </w:t>
      </w:r>
      <w:r w:rsidR="002028DA">
        <w:t>PI</w:t>
      </w:r>
      <w:r>
        <w:t xml:space="preserve"> on the basis of the food</w:t>
      </w:r>
      <w:r w:rsidR="002028DA">
        <w:t xml:space="preserve"> </w:t>
      </w:r>
      <w:r>
        <w:t>effect-study.</w:t>
      </w:r>
    </w:p>
    <w:p w14:paraId="22909175" w14:textId="7DDBB177" w:rsidR="008203C0" w:rsidRDefault="008203C0" w:rsidP="008203C0">
      <w:r>
        <w:t>A summary of the pharmacokinetic</w:t>
      </w:r>
      <w:r w:rsidR="007B69FB">
        <w:t xml:space="preserve"> (PK)</w:t>
      </w:r>
      <w:r>
        <w:t xml:space="preserve"> characteristics of ASTX727</w:t>
      </w:r>
      <w:r w:rsidR="002028DA">
        <w:t>;</w:t>
      </w:r>
      <w:r w:rsidR="002028DA">
        <w:fldChar w:fldCharType="begin"/>
      </w:r>
      <w:r w:rsidR="002028DA">
        <w:instrText xml:space="preserve"> NOTEREF _Ref59448656 \f \h </w:instrText>
      </w:r>
      <w:r w:rsidR="002028DA">
        <w:fldChar w:fldCharType="separate"/>
      </w:r>
      <w:r w:rsidR="00BC61E1" w:rsidRPr="00BC61E1">
        <w:rPr>
          <w:rStyle w:val="FootnoteReference"/>
        </w:rPr>
        <w:t>8</w:t>
      </w:r>
      <w:r w:rsidR="002028DA">
        <w:fldChar w:fldCharType="end"/>
      </w:r>
      <w:r w:rsidR="00784263">
        <w:t xml:space="preserve"> is listed in </w:t>
      </w:r>
      <w:r w:rsidR="00784263">
        <w:fldChar w:fldCharType="begin"/>
      </w:r>
      <w:r w:rsidR="00784263">
        <w:instrText xml:space="preserve"> REF _Ref59519998 \h </w:instrText>
      </w:r>
      <w:r w:rsidR="00784263">
        <w:fldChar w:fldCharType="separate"/>
      </w:r>
      <w:r w:rsidR="00BC61E1" w:rsidRPr="002028DA">
        <w:t xml:space="preserve">Table </w:t>
      </w:r>
      <w:r w:rsidR="00BC61E1">
        <w:rPr>
          <w:noProof/>
        </w:rPr>
        <w:t>3</w:t>
      </w:r>
      <w:r w:rsidR="00784263">
        <w:fldChar w:fldCharType="end"/>
      </w:r>
      <w:r w:rsidR="00784263">
        <w:t>.</w:t>
      </w:r>
    </w:p>
    <w:p w14:paraId="1F28E9CE" w14:textId="72F2941C" w:rsidR="002028DA" w:rsidRDefault="002028DA" w:rsidP="002028DA">
      <w:pPr>
        <w:pStyle w:val="TableTitle"/>
      </w:pPr>
      <w:bookmarkStart w:id="42" w:name="_Ref59519998"/>
      <w:r w:rsidRPr="002028DA">
        <w:t xml:space="preserve">Table </w:t>
      </w:r>
      <w:fldSimple w:instr=" SEQ Table \* ARABIC ">
        <w:r w:rsidR="00BC61E1">
          <w:rPr>
            <w:noProof/>
          </w:rPr>
          <w:t>3</w:t>
        </w:r>
      </w:fldSimple>
      <w:bookmarkEnd w:id="42"/>
      <w:r>
        <w:t xml:space="preserve">: </w:t>
      </w:r>
      <w:r w:rsidRPr="002028DA">
        <w:t>Summary of pharmacology and pharmacokinetic characteristics of ASTX727</w:t>
      </w:r>
    </w:p>
    <w:p w14:paraId="7F9E556E" w14:textId="5F16FF2B" w:rsidR="002028DA" w:rsidRDefault="008366BC" w:rsidP="002028DA">
      <w:r w:rsidRPr="008366BC">
        <w:rPr>
          <w:noProof/>
          <w:lang w:eastAsia="en-AU"/>
        </w:rPr>
        <w:drawing>
          <wp:inline distT="0" distB="0" distL="0" distR="0" wp14:anchorId="684CBB8C" wp14:editId="48F66CB5">
            <wp:extent cx="5400040" cy="6351270"/>
            <wp:effectExtent l="0" t="0" r="0" b="0"/>
            <wp:docPr id="3" name="Picture 3" descr="Summary of pharmacology and pharmacokinetic characteristics of ASTX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5400040" cy="6351270"/>
                    </a:xfrm>
                    <a:prstGeom prst="rect">
                      <a:avLst/>
                    </a:prstGeom>
                  </pic:spPr>
                </pic:pic>
              </a:graphicData>
            </a:graphic>
          </wp:inline>
        </w:drawing>
      </w:r>
    </w:p>
    <w:p w14:paraId="10480FF5" w14:textId="76B696D0" w:rsidR="0076011F" w:rsidRDefault="0076011F" w:rsidP="00337237">
      <w:pPr>
        <w:pStyle w:val="TableTitle"/>
      </w:pPr>
      <w:r>
        <w:t xml:space="preserve">Table 3 (continued): </w:t>
      </w:r>
      <w:r w:rsidRPr="002028DA">
        <w:t>Summary of pharmacology and pharmacokinetic characteristics of ASTX727</w:t>
      </w:r>
    </w:p>
    <w:p w14:paraId="784055BE" w14:textId="77777777" w:rsidR="008366BC" w:rsidRDefault="008366BC" w:rsidP="008366BC">
      <w:pPr>
        <w:pStyle w:val="TableDescription"/>
      </w:pPr>
      <w:r w:rsidRPr="008366BC">
        <w:rPr>
          <w:noProof/>
          <w:lang w:eastAsia="en-AU"/>
        </w:rPr>
        <w:drawing>
          <wp:inline distT="0" distB="0" distL="0" distR="0" wp14:anchorId="105360DC" wp14:editId="5FC934D8">
            <wp:extent cx="5400040" cy="3781016"/>
            <wp:effectExtent l="0" t="0" r="0" b="0"/>
            <wp:docPr id="4" name="Picture 4" descr="Summary of pharmacology and pharmacokinetic characteristics of ASTX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15264"/>
                    <a:stretch/>
                  </pic:blipFill>
                  <pic:spPr bwMode="auto">
                    <a:xfrm>
                      <a:off x="0" y="0"/>
                      <a:ext cx="5400040" cy="3781016"/>
                    </a:xfrm>
                    <a:prstGeom prst="rect">
                      <a:avLst/>
                    </a:prstGeom>
                    <a:ln>
                      <a:noFill/>
                    </a:ln>
                    <a:extLst>
                      <a:ext uri="{53640926-AAD7-44D8-BBD7-CCE9431645EC}">
                        <a14:shadowObscured xmlns:a14="http://schemas.microsoft.com/office/drawing/2010/main"/>
                      </a:ext>
                    </a:extLst>
                  </pic:spPr>
                </pic:pic>
              </a:graphicData>
            </a:graphic>
          </wp:inline>
        </w:drawing>
      </w:r>
    </w:p>
    <w:p w14:paraId="572652BB" w14:textId="4098CE31" w:rsidR="008366BC" w:rsidRDefault="008366BC" w:rsidP="008366BC">
      <w:pPr>
        <w:pStyle w:val="TableDescription"/>
      </w:pPr>
      <w:proofErr w:type="spellStart"/>
      <w:r>
        <w:t>AUC</w:t>
      </w:r>
      <w:r w:rsidRPr="008366BC">
        <w:rPr>
          <w:vertAlign w:val="subscript"/>
        </w:rPr>
        <w:t>tau</w:t>
      </w:r>
      <w:proofErr w:type="spellEnd"/>
      <w:r>
        <w:t xml:space="preserve"> = </w:t>
      </w:r>
      <w:r w:rsidR="00095DEF">
        <w:t xml:space="preserve">area under concentration time curve during the dosing interval; CDA = cytidine deaminase; </w:t>
      </w:r>
      <w:proofErr w:type="spellStart"/>
      <w:r w:rsidR="00095DEF">
        <w:t>C</w:t>
      </w:r>
      <w:r w:rsidR="00095DEF" w:rsidRPr="00095DEF">
        <w:rPr>
          <w:vertAlign w:val="subscript"/>
        </w:rPr>
        <w:t>max</w:t>
      </w:r>
      <w:proofErr w:type="spellEnd"/>
      <w:r w:rsidR="00095DEF">
        <w:t xml:space="preserve"> = maximum plasma concentration; IC</w:t>
      </w:r>
      <w:r w:rsidR="00095DEF" w:rsidRPr="00095DEF">
        <w:rPr>
          <w:vertAlign w:val="subscript"/>
        </w:rPr>
        <w:t>50</w:t>
      </w:r>
      <w:r w:rsidR="00095DEF">
        <w:t xml:space="preserve"> = concentration giving half maximum inhibition; t</w:t>
      </w:r>
      <w:r w:rsidR="00095DEF" w:rsidRPr="00095DEF">
        <w:rPr>
          <w:vertAlign w:val="subscript"/>
        </w:rPr>
        <w:t>1/2</w:t>
      </w:r>
      <w:r w:rsidR="00112DF0">
        <w:t xml:space="preserve"> = elimination half-time; </w:t>
      </w:r>
      <w:proofErr w:type="spellStart"/>
      <w:r w:rsidR="00112DF0">
        <w:t>T</w:t>
      </w:r>
      <w:r w:rsidR="00095DEF" w:rsidRPr="00095DEF">
        <w:rPr>
          <w:vertAlign w:val="subscript"/>
        </w:rPr>
        <w:t>max</w:t>
      </w:r>
      <w:proofErr w:type="spellEnd"/>
      <w:r w:rsidR="00095DEF">
        <w:t xml:space="preserve"> = time to maximum plasma concentration; CL/F = clearance; V/F = apparent volume of distribution. Note: PK </w:t>
      </w:r>
      <w:proofErr w:type="spellStart"/>
      <w:r w:rsidR="00095DEF">
        <w:t>paramaters</w:t>
      </w:r>
      <w:proofErr w:type="spellEnd"/>
      <w:r w:rsidR="00095DEF">
        <w:t xml:space="preserve"> are presented as geometric mean (%CV) or median (minimum, maximum) unless otherwise noted.</w:t>
      </w:r>
    </w:p>
    <w:p w14:paraId="7440C1BF" w14:textId="77777777" w:rsidR="00784263" w:rsidRDefault="00784263" w:rsidP="005A69A8">
      <w:pPr>
        <w:pStyle w:val="Heading4"/>
        <w:pageBreakBefore/>
      </w:pPr>
      <w:r>
        <w:t>Efficacy</w:t>
      </w:r>
    </w:p>
    <w:p w14:paraId="7355B937" w14:textId="5BC6DFB2" w:rsidR="00095DEF" w:rsidRDefault="00784263" w:rsidP="00784263">
      <w:r>
        <w:t xml:space="preserve">A summary listing of studies considered in this application is </w:t>
      </w:r>
      <w:r w:rsidR="000E180A">
        <w:fldChar w:fldCharType="begin"/>
      </w:r>
      <w:r w:rsidR="000E180A">
        <w:instrText xml:space="preserve"> REF _Ref59525150 \h </w:instrText>
      </w:r>
      <w:r w:rsidR="000E180A">
        <w:fldChar w:fldCharType="separate"/>
      </w:r>
      <w:r w:rsidR="00BC61E1" w:rsidRPr="000E180A">
        <w:t xml:space="preserve">Table </w:t>
      </w:r>
      <w:r w:rsidR="00BC61E1">
        <w:rPr>
          <w:noProof/>
        </w:rPr>
        <w:t>4</w:t>
      </w:r>
      <w:r w:rsidR="000E180A">
        <w:fldChar w:fldCharType="end"/>
      </w:r>
      <w:r w:rsidR="000E180A">
        <w:t>.</w:t>
      </w:r>
    </w:p>
    <w:p w14:paraId="3AAF647F" w14:textId="4B0BE175" w:rsidR="00784263" w:rsidRDefault="00784263" w:rsidP="000E180A">
      <w:pPr>
        <w:pStyle w:val="TableTitle"/>
      </w:pPr>
      <w:bookmarkStart w:id="43" w:name="_Ref59525150"/>
      <w:r w:rsidRPr="000E180A">
        <w:t xml:space="preserve">Table </w:t>
      </w:r>
      <w:fldSimple w:instr=" SEQ Table \* ARABIC ">
        <w:r w:rsidR="00BC61E1">
          <w:rPr>
            <w:noProof/>
          </w:rPr>
          <w:t>4</w:t>
        </w:r>
      </w:fldSimple>
      <w:bookmarkEnd w:id="43"/>
      <w:r>
        <w:t>: Summary of clinical trials relevant to</w:t>
      </w:r>
      <w:r w:rsidR="00C87093">
        <w:t xml:space="preserve"> </w:t>
      </w:r>
      <w:r w:rsidR="00B05DC0">
        <w:t xml:space="preserve">Inqovi </w:t>
      </w:r>
      <w:r w:rsidR="000E180A">
        <w:t>35/100</w:t>
      </w:r>
    </w:p>
    <w:p w14:paraId="75AF3D2A" w14:textId="0040D75A" w:rsidR="000E180A" w:rsidRDefault="00784263" w:rsidP="000E180A">
      <w:r w:rsidRPr="00784263">
        <w:rPr>
          <w:noProof/>
          <w:lang w:eastAsia="en-AU"/>
        </w:rPr>
        <w:drawing>
          <wp:inline distT="0" distB="0" distL="0" distR="0" wp14:anchorId="420F725B" wp14:editId="431DDB2C">
            <wp:extent cx="5400040" cy="5908675"/>
            <wp:effectExtent l="0" t="0" r="0" b="0"/>
            <wp:docPr id="6" name="Picture 6" descr="Summary of clinical trials relevant to Inqovi 3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5908675"/>
                    </a:xfrm>
                    <a:prstGeom prst="rect">
                      <a:avLst/>
                    </a:prstGeom>
                  </pic:spPr>
                </pic:pic>
              </a:graphicData>
            </a:graphic>
          </wp:inline>
        </w:drawing>
      </w:r>
    </w:p>
    <w:p w14:paraId="52924BB2" w14:textId="74DAFEE7" w:rsidR="002A03E0" w:rsidRDefault="002A03E0" w:rsidP="00337237">
      <w:pPr>
        <w:pStyle w:val="TableTitle"/>
      </w:pPr>
      <w:r>
        <w:t>Table 4 (continued): Summary of clinical trials relevant to Inqovi 35/100</w:t>
      </w:r>
    </w:p>
    <w:p w14:paraId="5ECA7D13" w14:textId="77777777" w:rsidR="000E180A" w:rsidRDefault="000E180A" w:rsidP="000E180A">
      <w:r w:rsidRPr="000E180A">
        <w:rPr>
          <w:noProof/>
          <w:lang w:eastAsia="en-AU"/>
        </w:rPr>
        <w:drawing>
          <wp:inline distT="0" distB="0" distL="0" distR="0" wp14:anchorId="34BA8027" wp14:editId="6AFD8714">
            <wp:extent cx="5399306" cy="4561672"/>
            <wp:effectExtent l="0" t="0" r="0" b="0"/>
            <wp:docPr id="10" name="Picture 10" descr="Summary of clinical trials relevant to Inqovi 3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708" b="12035"/>
                    <a:stretch/>
                  </pic:blipFill>
                  <pic:spPr bwMode="auto">
                    <a:xfrm>
                      <a:off x="0" y="0"/>
                      <a:ext cx="5400040" cy="4562292"/>
                    </a:xfrm>
                    <a:prstGeom prst="rect">
                      <a:avLst/>
                    </a:prstGeom>
                    <a:ln>
                      <a:noFill/>
                    </a:ln>
                    <a:extLst>
                      <a:ext uri="{53640926-AAD7-44D8-BBD7-CCE9431645EC}">
                        <a14:shadowObscured xmlns:a14="http://schemas.microsoft.com/office/drawing/2010/main"/>
                      </a:ext>
                    </a:extLst>
                  </pic:spPr>
                </pic:pic>
              </a:graphicData>
            </a:graphic>
          </wp:inline>
        </w:drawing>
      </w:r>
    </w:p>
    <w:p w14:paraId="192D35D2" w14:textId="449DC3C3" w:rsidR="000E180A" w:rsidRDefault="002A03E0" w:rsidP="000E180A">
      <w:pPr>
        <w:pStyle w:val="TableDescription"/>
      </w:pPr>
      <w:r>
        <w:t xml:space="preserve">NCT no. = US National Library of Medicine clinical trial number. </w:t>
      </w:r>
      <w:r w:rsidR="000E180A">
        <w:t xml:space="preserve">ADME = </w:t>
      </w:r>
      <w:r w:rsidR="00F91464">
        <w:t xml:space="preserve">absorption, distribution, metabolism, and </w:t>
      </w:r>
      <w:r w:rsidR="00F91464" w:rsidRPr="00F91464">
        <w:t>excretion</w:t>
      </w:r>
      <w:r w:rsidR="000E180A">
        <w:t xml:space="preserve">; AML = acute myeloid </w:t>
      </w:r>
      <w:proofErr w:type="spellStart"/>
      <w:r w:rsidR="000E180A">
        <w:t>leukemia</w:t>
      </w:r>
      <w:proofErr w:type="spellEnd"/>
      <w:r w:rsidR="000E180A">
        <w:t xml:space="preserve">; CMML = chronic </w:t>
      </w:r>
      <w:proofErr w:type="spellStart"/>
      <w:r w:rsidR="000E180A">
        <w:t>myelomonocytic</w:t>
      </w:r>
      <w:proofErr w:type="spellEnd"/>
      <w:r w:rsidR="000E180A">
        <w:t xml:space="preserve"> leuk</w:t>
      </w:r>
      <w:r>
        <w:t>a</w:t>
      </w:r>
      <w:r w:rsidR="000E180A">
        <w:t>emia; CS</w:t>
      </w:r>
      <w:r w:rsidR="00F0085E">
        <w:t>R</w:t>
      </w:r>
      <w:r w:rsidR="00D2415D">
        <w:t xml:space="preserve"> = clinical study report; FDC = fixed dose combination; IPSS = International Prognostic Scoring System; Int-1 = IPSS intermediate 1 risk; Int-2 = IPSS intermediate 2 risk; IV = intravenous; MDS</w:t>
      </w:r>
      <w:r>
        <w:t> </w:t>
      </w:r>
      <w:r w:rsidR="00D2415D">
        <w:t>=</w:t>
      </w:r>
      <w:r>
        <w:t> </w:t>
      </w:r>
      <w:r w:rsidR="00D2415D">
        <w:t xml:space="preserve">myelodysplastic syndrome; PK = </w:t>
      </w:r>
      <w:proofErr w:type="spellStart"/>
      <w:r w:rsidR="00D2415D">
        <w:t>pha</w:t>
      </w:r>
      <w:r w:rsidR="007B69FB">
        <w:t>ramcokinet</w:t>
      </w:r>
      <w:r w:rsidR="00AC4127">
        <w:t>i</w:t>
      </w:r>
      <w:r w:rsidR="007B69FB">
        <w:t>c</w:t>
      </w:r>
      <w:proofErr w:type="spellEnd"/>
      <w:r w:rsidR="00D2415D">
        <w:t>(s); PO = orally.</w:t>
      </w:r>
    </w:p>
    <w:p w14:paraId="76766CB0" w14:textId="5760DB0C" w:rsidR="00D2415D" w:rsidRDefault="00D2415D" w:rsidP="000E180A">
      <w:pPr>
        <w:pStyle w:val="TableDescription"/>
      </w:pPr>
      <w:r>
        <w:t>Study ASTX727-01 was a two part Phase I and II study conducted under a single protocol. The result of this study have been reported in two separate CSRs (</w:t>
      </w:r>
      <w:r w:rsidR="00112DF0">
        <w:t xml:space="preserve">Study </w:t>
      </w:r>
      <w:r>
        <w:t xml:space="preserve">ASTX727-01-A and </w:t>
      </w:r>
      <w:r w:rsidR="00112DF0">
        <w:t xml:space="preserve">Study </w:t>
      </w:r>
      <w:r>
        <w:t>ASTX727-01-B)</w:t>
      </w:r>
      <w:r w:rsidR="00B9660C">
        <w:t>.</w:t>
      </w:r>
    </w:p>
    <w:p w14:paraId="38348D01" w14:textId="77777777" w:rsidR="00792C75" w:rsidRDefault="00792C75" w:rsidP="00792C75">
      <w:pPr>
        <w:pStyle w:val="Heading4"/>
      </w:pPr>
      <w:r>
        <w:t>P</w:t>
      </w:r>
      <w:r w:rsidRPr="00792C75">
        <w:t>ivotal</w:t>
      </w:r>
      <w:r>
        <w:t xml:space="preserve"> study</w:t>
      </w:r>
    </w:p>
    <w:p w14:paraId="53123CF3" w14:textId="776318C9" w:rsidR="00792C75" w:rsidRDefault="00792C75" w:rsidP="00792C75">
      <w:pPr>
        <w:pStyle w:val="Heading5"/>
      </w:pPr>
      <w:r>
        <w:t>Study ASTX727-02</w:t>
      </w:r>
    </w:p>
    <w:p w14:paraId="7DB90B18" w14:textId="7325C1E7" w:rsidR="00792C75" w:rsidRDefault="00792C75" w:rsidP="00792C75">
      <w:r>
        <w:t>Study ASTX727-02 was a</w:t>
      </w:r>
      <w:r w:rsidR="002A03E0">
        <w:t xml:space="preserve"> Phase III,</w:t>
      </w:r>
      <w:r w:rsidR="00C87093">
        <w:t xml:space="preserve"> </w:t>
      </w:r>
      <w:r>
        <w:t xml:space="preserve">open label, randomised two arm cross-over trial between IV decitabine and ASTX727 followed by a single arm continuation of ASTX727 treatment. It was designed to assess the PK, </w:t>
      </w:r>
      <w:r w:rsidR="00996F10">
        <w:t>pharmacodynamics (</w:t>
      </w:r>
      <w:r>
        <w:t>PD</w:t>
      </w:r>
      <w:r w:rsidR="00996F10">
        <w:t>)</w:t>
      </w:r>
      <w:r>
        <w:t>, safety and effic</w:t>
      </w:r>
      <w:r w:rsidR="00544B8A">
        <w:t>acy of ASTX727 compared to IV d</w:t>
      </w:r>
      <w:r>
        <w:t>ecitabine 20</w:t>
      </w:r>
      <w:r w:rsidR="00544B8A">
        <w:t xml:space="preserve"> </w:t>
      </w:r>
      <w:r>
        <w:t>mg/m</w:t>
      </w:r>
      <w:r w:rsidRPr="00544B8A">
        <w:rPr>
          <w:vertAlign w:val="superscript"/>
        </w:rPr>
        <w:t>2</w:t>
      </w:r>
      <w:r>
        <w:t xml:space="preserve"> daily.</w:t>
      </w:r>
      <w:r w:rsidR="002A03E0">
        <w:t xml:space="preserve"> Figure 3 </w:t>
      </w:r>
      <w:r w:rsidR="00022DA1">
        <w:t>is a schema of the Study ASTX727-02 trial design.</w:t>
      </w:r>
    </w:p>
    <w:p w14:paraId="3EEB893C" w14:textId="3E583F07" w:rsidR="00544B8A" w:rsidRDefault="00544B8A" w:rsidP="00544B8A">
      <w:pPr>
        <w:pStyle w:val="FigureTitle"/>
      </w:pPr>
      <w:bookmarkStart w:id="44" w:name="_Ref59609310"/>
      <w:r w:rsidRPr="00544B8A">
        <w:t xml:space="preserve">Figure </w:t>
      </w:r>
      <w:fldSimple w:instr=" SEQ Figure \* ARABIC ">
        <w:r w:rsidR="00BC61E1">
          <w:rPr>
            <w:noProof/>
          </w:rPr>
          <w:t>3</w:t>
        </w:r>
      </w:fldSimple>
      <w:bookmarkEnd w:id="44"/>
      <w:r>
        <w:t>: Study ASTX727-02 trial design</w:t>
      </w:r>
    </w:p>
    <w:p w14:paraId="6CFCA3D4" w14:textId="77777777" w:rsidR="00544B8A" w:rsidRDefault="007A0F3C" w:rsidP="00792C75">
      <w:r w:rsidRPr="007A0F3C">
        <w:rPr>
          <w:noProof/>
          <w:lang w:eastAsia="en-AU"/>
        </w:rPr>
        <w:drawing>
          <wp:inline distT="0" distB="0" distL="0" distR="0" wp14:anchorId="4D6FB089" wp14:editId="0B53C8C5">
            <wp:extent cx="5105299" cy="5089485"/>
            <wp:effectExtent l="0" t="0" r="635" b="0"/>
            <wp:docPr id="13" name="Picture 13" descr="Study ASTX727-02 trial design&#10;Study participants were randomised 1:1. N = at least 42 for Dose confirmation stage, N = 18-24 for fized dose combination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133" t="1277"/>
                    <a:stretch/>
                  </pic:blipFill>
                  <pic:spPr bwMode="auto">
                    <a:xfrm>
                      <a:off x="0" y="0"/>
                      <a:ext cx="5119336" cy="5103479"/>
                    </a:xfrm>
                    <a:prstGeom prst="rect">
                      <a:avLst/>
                    </a:prstGeom>
                    <a:ln>
                      <a:noFill/>
                    </a:ln>
                    <a:extLst>
                      <a:ext uri="{53640926-AAD7-44D8-BBD7-CCE9431645EC}">
                        <a14:shadowObscured xmlns:a14="http://schemas.microsoft.com/office/drawing/2010/main"/>
                      </a:ext>
                    </a:extLst>
                  </pic:spPr>
                </pic:pic>
              </a:graphicData>
            </a:graphic>
          </wp:inline>
        </w:drawing>
      </w:r>
    </w:p>
    <w:p w14:paraId="3325DE79" w14:textId="1974570A" w:rsidR="00712C43" w:rsidRDefault="00712C43" w:rsidP="00712C43">
      <w:r>
        <w:t xml:space="preserve">Included in the trial were adults with new or previously treated MDS or CMML consistent with the proposed indications, but who had not previously received more than 1 cycle of </w:t>
      </w:r>
      <w:proofErr w:type="spellStart"/>
      <w:r>
        <w:t>azacitidine</w:t>
      </w:r>
      <w:proofErr w:type="spellEnd"/>
      <w:r>
        <w:t xml:space="preserve"> or decitabine</w:t>
      </w:r>
      <w:r w:rsidR="00DF49F8">
        <w:t xml:space="preserve"> (</w:t>
      </w:r>
      <w:r w:rsidR="00DF49F8">
        <w:fldChar w:fldCharType="begin"/>
      </w:r>
      <w:r w:rsidR="00DF49F8">
        <w:instrText xml:space="preserve"> REF _Ref59609310 \h </w:instrText>
      </w:r>
      <w:r w:rsidR="00DF49F8">
        <w:fldChar w:fldCharType="separate"/>
      </w:r>
      <w:r w:rsidR="00BC61E1" w:rsidRPr="00544B8A">
        <w:t xml:space="preserve">Figure </w:t>
      </w:r>
      <w:r w:rsidR="00BC61E1">
        <w:rPr>
          <w:noProof/>
        </w:rPr>
        <w:t>3</w:t>
      </w:r>
      <w:r w:rsidR="00DF49F8">
        <w:fldChar w:fldCharType="end"/>
      </w:r>
      <w:r w:rsidR="00DF49F8">
        <w:t>)</w:t>
      </w:r>
      <w:r>
        <w:t>.</w:t>
      </w:r>
    </w:p>
    <w:p w14:paraId="4ED49582" w14:textId="77D30544" w:rsidR="00712C43" w:rsidRDefault="00712C43" w:rsidP="00712C43">
      <w:r>
        <w:t xml:space="preserve">The primary endpoint was a </w:t>
      </w:r>
      <w:r w:rsidR="00D9417A">
        <w:t xml:space="preserve">pharmacokinetic comparison of 5 </w:t>
      </w:r>
      <w:r>
        <w:t>day</w:t>
      </w:r>
      <w:r w:rsidR="00D9417A">
        <w:t>s</w:t>
      </w:r>
      <w:r>
        <w:t xml:space="preserve"> AUC of decitabine after IV or ASTX727 administration in the cross-over arm of the trial. The secondary endpoints were clinical and included:</w:t>
      </w:r>
    </w:p>
    <w:p w14:paraId="4C7875FD" w14:textId="45728B48" w:rsidR="00712C43" w:rsidRDefault="00712C43" w:rsidP="00712C43">
      <w:pPr>
        <w:pStyle w:val="ListBullet"/>
      </w:pPr>
      <w:r>
        <w:t>Safety a</w:t>
      </w:r>
      <w:r w:rsidR="00022DA1">
        <w:t>s</w:t>
      </w:r>
      <w:r>
        <w:t xml:space="preserve"> assessed by </w:t>
      </w:r>
      <w:r w:rsidR="00D9417A">
        <w:t>adverse events (AE)</w:t>
      </w:r>
      <w:r>
        <w:t>, concomitant medications, physical examination, clinical laboratory tests (h</w:t>
      </w:r>
      <w:r w:rsidR="00022DA1">
        <w:t>a</w:t>
      </w:r>
      <w:r>
        <w:t xml:space="preserve">ematology, serum chemistry, and urinalysis), vital signs, </w:t>
      </w:r>
      <w:r w:rsidR="0002005B">
        <w:t>Eastern Cooperative Oncology Group</w:t>
      </w:r>
      <w:r>
        <w:t xml:space="preserve"> performance status</w:t>
      </w:r>
      <w:r w:rsidR="0002005B">
        <w:t xml:space="preserve"> (ECOG-PS)</w:t>
      </w:r>
      <w:r>
        <w:t>,</w:t>
      </w:r>
      <w:r w:rsidR="0002005B">
        <w:rPr>
          <w:rStyle w:val="FootnoteReference"/>
        </w:rPr>
        <w:footnoteReference w:id="10"/>
      </w:r>
      <w:r>
        <w:t xml:space="preserve"> and electrocardiogram.</w:t>
      </w:r>
    </w:p>
    <w:p w14:paraId="44535BFA" w14:textId="77777777" w:rsidR="00712C43" w:rsidRDefault="00712C43" w:rsidP="00712C43">
      <w:pPr>
        <w:pStyle w:val="ListBullet"/>
      </w:pPr>
      <w:r>
        <w:t>Maximum %</w:t>
      </w:r>
      <w:r w:rsidRPr="0002005B">
        <w:rPr>
          <w:i/>
        </w:rPr>
        <w:t>LINE-1</w:t>
      </w:r>
      <w:r>
        <w:t xml:space="preserve"> demethylation.</w:t>
      </w:r>
    </w:p>
    <w:p w14:paraId="4CFC6355" w14:textId="77777777" w:rsidR="00712C43" w:rsidRDefault="00712C43" w:rsidP="00712C43">
      <w:pPr>
        <w:pStyle w:val="ListBullet"/>
      </w:pPr>
      <w:r>
        <w:t>Additional secondary PK parameters.</w:t>
      </w:r>
    </w:p>
    <w:p w14:paraId="097B81BC" w14:textId="1EF39FDD" w:rsidR="00712C43" w:rsidRDefault="0002005B" w:rsidP="00712C43">
      <w:pPr>
        <w:pStyle w:val="ListBullet"/>
      </w:pPr>
      <w:r>
        <w:t>Clinical response (complete response (CR)</w:t>
      </w:r>
      <w:r w:rsidR="00712C43">
        <w:t>, m</w:t>
      </w:r>
      <w:r>
        <w:t xml:space="preserve">arrow </w:t>
      </w:r>
      <w:r w:rsidR="00712C43">
        <w:t xml:space="preserve">CR, </w:t>
      </w:r>
      <w:r>
        <w:t>partial response (</w:t>
      </w:r>
      <w:r w:rsidR="00712C43">
        <w:t>PR</w:t>
      </w:r>
      <w:r>
        <w:t>)</w:t>
      </w:r>
      <w:r w:rsidR="00712C43">
        <w:t xml:space="preserve">, and </w:t>
      </w:r>
      <w:proofErr w:type="spellStart"/>
      <w:r>
        <w:t>h</w:t>
      </w:r>
      <w:r w:rsidR="00022DA1">
        <w:t>a</w:t>
      </w:r>
      <w:r>
        <w:t>ematologic</w:t>
      </w:r>
      <w:proofErr w:type="spellEnd"/>
      <w:r>
        <w:t xml:space="preserve"> improvement (</w:t>
      </w:r>
      <w:r w:rsidR="00712C43">
        <w:t>HI</w:t>
      </w:r>
      <w:r>
        <w:t>)</w:t>
      </w:r>
      <w:r w:rsidR="00712C43">
        <w:t>) based on International Working Group (IWG) 2006 MDS response criteria.</w:t>
      </w:r>
    </w:p>
    <w:p w14:paraId="622CB235" w14:textId="77777777" w:rsidR="00712C43" w:rsidRDefault="00712C43" w:rsidP="00712C43">
      <w:pPr>
        <w:pStyle w:val="ListBullet"/>
      </w:pPr>
      <w:r>
        <w:t>Red blood cell (RBC) or platelet transfusion indepen</w:t>
      </w:r>
      <w:r w:rsidR="0060019F">
        <w:t>dence (TI).</w:t>
      </w:r>
    </w:p>
    <w:p w14:paraId="67BD7BD6" w14:textId="67701418" w:rsidR="0060019F" w:rsidRDefault="0060019F" w:rsidP="00712C43">
      <w:pPr>
        <w:pStyle w:val="ListBullet"/>
      </w:pPr>
      <w:r>
        <w:t>Leuk</w:t>
      </w:r>
      <w:r w:rsidR="00022DA1">
        <w:t>a</w:t>
      </w:r>
      <w:r>
        <w:t xml:space="preserve">emia free survival, defined as the number of days from the date of randomisation to the date when bone marrow or peripheral blood blasts reach ≥ 20%, or death from any cause. </w:t>
      </w:r>
    </w:p>
    <w:p w14:paraId="6B449FC0" w14:textId="380D426C" w:rsidR="0060019F" w:rsidRDefault="0060019F" w:rsidP="00712C43">
      <w:pPr>
        <w:pStyle w:val="ListBullet"/>
      </w:pPr>
      <w:r>
        <w:t>Overall survival, defined as the number of days from the date of randomisation to the date of death from any cause.</w:t>
      </w:r>
    </w:p>
    <w:p w14:paraId="6FBA09E4" w14:textId="1364AA8D" w:rsidR="00022DA1" w:rsidRPr="00022DA1" w:rsidRDefault="00022DA1" w:rsidP="00337237">
      <w:r>
        <w:t>Table 5, below, gives the results for the clinical endpoints of Study ASTX727-02.</w:t>
      </w:r>
    </w:p>
    <w:p w14:paraId="42B16EE1" w14:textId="72E81BA8" w:rsidR="0060019F" w:rsidRDefault="0060019F" w:rsidP="0060019F">
      <w:pPr>
        <w:pStyle w:val="TableTitle"/>
      </w:pPr>
      <w:bookmarkStart w:id="45" w:name="_Ref59609282"/>
      <w:r w:rsidRPr="0060019F">
        <w:t xml:space="preserve">Table </w:t>
      </w:r>
      <w:fldSimple w:instr=" SEQ Table \* ARABIC ">
        <w:r w:rsidR="00BC61E1">
          <w:rPr>
            <w:noProof/>
          </w:rPr>
          <w:t>5</w:t>
        </w:r>
      </w:fldSimple>
      <w:bookmarkEnd w:id="45"/>
      <w:r w:rsidRPr="0060019F">
        <w:t>:</w:t>
      </w:r>
      <w:r>
        <w:t xml:space="preserve"> Study ASTX727-02 Clinical endpoints, interim analysis</w:t>
      </w:r>
    </w:p>
    <w:p w14:paraId="2BF77765" w14:textId="77777777" w:rsidR="0060019F" w:rsidRDefault="00A425CC" w:rsidP="0060019F">
      <w:r>
        <w:rPr>
          <w:noProof/>
          <w:lang w:eastAsia="en-AU"/>
        </w:rPr>
        <w:drawing>
          <wp:inline distT="0" distB="0" distL="0" distR="0" wp14:anchorId="4FCEE82A" wp14:editId="5AD48611">
            <wp:extent cx="4290719" cy="2576945"/>
            <wp:effectExtent l="0" t="0" r="0" b="0"/>
            <wp:docPr id="12" name="Picture 12" descr="Study ASTX727-02 Clinical endpoints, interim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1635" t="988" r="5289" b="4620"/>
                    <a:stretch/>
                  </pic:blipFill>
                  <pic:spPr bwMode="auto">
                    <a:xfrm>
                      <a:off x="0" y="0"/>
                      <a:ext cx="4303316" cy="2584510"/>
                    </a:xfrm>
                    <a:prstGeom prst="rect">
                      <a:avLst/>
                    </a:prstGeom>
                    <a:noFill/>
                    <a:ln>
                      <a:noFill/>
                    </a:ln>
                    <a:extLst>
                      <a:ext uri="{53640926-AAD7-44D8-BBD7-CCE9431645EC}">
                        <a14:shadowObscured xmlns:a14="http://schemas.microsoft.com/office/drawing/2010/main"/>
                      </a:ext>
                    </a:extLst>
                  </pic:spPr>
                </pic:pic>
              </a:graphicData>
            </a:graphic>
          </wp:inline>
        </w:drawing>
      </w:r>
    </w:p>
    <w:p w14:paraId="4FAC265F" w14:textId="280DE081" w:rsidR="00A425CC" w:rsidRDefault="00A425CC" w:rsidP="00A425CC">
      <w:r w:rsidRPr="00A425CC">
        <w:t>The median duration on therapy in this analysis was 5.1 months. A subsequent 120 day update provided data with a median duration of follow-up of 12.6 months and time on ther</w:t>
      </w:r>
      <w:r>
        <w:t xml:space="preserve">apy of 8.1 months. </w:t>
      </w:r>
      <w:r w:rsidRPr="00A425CC">
        <w:t>This was generally confirmatory of the response rate</w:t>
      </w:r>
      <w:r w:rsidR="00670EBC">
        <w:t xml:space="preserve"> (</w:t>
      </w:r>
      <w:r w:rsidR="00022DA1">
        <w:t xml:space="preserve">see </w:t>
      </w:r>
      <w:r w:rsidR="00670EBC">
        <w:fldChar w:fldCharType="begin"/>
      </w:r>
      <w:r w:rsidR="00670EBC">
        <w:instrText xml:space="preserve"> REF _Ref59609282 \h </w:instrText>
      </w:r>
      <w:r w:rsidR="00670EBC">
        <w:fldChar w:fldCharType="separate"/>
      </w:r>
      <w:r w:rsidR="00BC61E1" w:rsidRPr="0060019F">
        <w:t xml:space="preserve">Table </w:t>
      </w:r>
      <w:r w:rsidR="00BC61E1">
        <w:rPr>
          <w:noProof/>
        </w:rPr>
        <w:t>5</w:t>
      </w:r>
      <w:r w:rsidR="00670EBC">
        <w:fldChar w:fldCharType="end"/>
      </w:r>
      <w:r w:rsidR="00670EBC">
        <w:t>)</w:t>
      </w:r>
      <w:r w:rsidRPr="00A425CC">
        <w:t>.</w:t>
      </w:r>
    </w:p>
    <w:p w14:paraId="1A48EBB2" w14:textId="28236132" w:rsidR="00A425CC" w:rsidRDefault="00A425CC" w:rsidP="00A425CC">
      <w:pPr>
        <w:pStyle w:val="Heading5"/>
      </w:pPr>
      <w:r>
        <w:t>S</w:t>
      </w:r>
      <w:r w:rsidRPr="00A425CC">
        <w:t>tudy ASTX727-01</w:t>
      </w:r>
    </w:p>
    <w:p w14:paraId="7A86D5B1" w14:textId="50EC85A9" w:rsidR="00A425CC" w:rsidRDefault="00A425CC" w:rsidP="00A425CC">
      <w:r>
        <w:t>S</w:t>
      </w:r>
      <w:r w:rsidRPr="00A425CC">
        <w:t>tudy ASTX727-01</w:t>
      </w:r>
      <w:r>
        <w:t xml:space="preserve">, </w:t>
      </w:r>
      <w:r w:rsidR="00275F32">
        <w:t xml:space="preserve">a </w:t>
      </w:r>
      <w:r>
        <w:t>P</w:t>
      </w:r>
      <w:r w:rsidRPr="00A425CC">
        <w:t>hase II study</w:t>
      </w:r>
      <w:r w:rsidR="00275F32">
        <w:t>,</w:t>
      </w:r>
      <w:r w:rsidRPr="00A425CC">
        <w:t xml:space="preserve"> </w:t>
      </w:r>
      <w:r>
        <w:t xml:space="preserve">has the same design as the </w:t>
      </w:r>
      <w:r w:rsidRPr="00A425CC">
        <w:t>Study ASTX727-02</w:t>
      </w:r>
      <w:r>
        <w:t>, P</w:t>
      </w:r>
      <w:r w:rsidRPr="00A425CC">
        <w:t xml:space="preserve">hase III </w:t>
      </w:r>
      <w:r>
        <w:t xml:space="preserve">trial </w:t>
      </w:r>
      <w:r w:rsidRPr="00A425CC">
        <w:t>and is mainly of significance in that it presented data from a longer duration of follow-up, including overall survival</w:t>
      </w:r>
      <w:r>
        <w:t>.</w:t>
      </w:r>
    </w:p>
    <w:p w14:paraId="21C0D2D3" w14:textId="177F4B2F" w:rsidR="001C6DAC" w:rsidRDefault="001C6DAC" w:rsidP="001C6DAC">
      <w:pPr>
        <w:pStyle w:val="FigureTitle"/>
      </w:pPr>
      <w:bookmarkStart w:id="46" w:name="_Ref59609260"/>
      <w:r w:rsidRPr="001C6DAC">
        <w:t xml:space="preserve">Figure </w:t>
      </w:r>
      <w:fldSimple w:instr=" SEQ Figure \* ARABIC ">
        <w:r w:rsidR="00BC61E1">
          <w:rPr>
            <w:noProof/>
          </w:rPr>
          <w:t>4</w:t>
        </w:r>
      </w:fldSimple>
      <w:bookmarkEnd w:id="46"/>
      <w:r>
        <w:t xml:space="preserve">: </w:t>
      </w:r>
      <w:r w:rsidR="00022DA1">
        <w:t xml:space="preserve">Study ASTX727-01 </w:t>
      </w:r>
      <w:r>
        <w:t>Overall survival of patients (Phase II trial)</w:t>
      </w:r>
    </w:p>
    <w:p w14:paraId="7D64B54D" w14:textId="77777777" w:rsidR="001C6DAC" w:rsidRDefault="001C6DAC" w:rsidP="00A425CC">
      <w:r w:rsidRPr="001C6DAC">
        <w:rPr>
          <w:noProof/>
          <w:lang w:eastAsia="en-AU"/>
        </w:rPr>
        <w:drawing>
          <wp:inline distT="0" distB="0" distL="0" distR="0" wp14:anchorId="73F2D4B1" wp14:editId="2E80AA02">
            <wp:extent cx="3818534" cy="2842155"/>
            <wp:effectExtent l="0" t="0" r="0" b="0"/>
            <wp:docPr id="14" name="Picture 14" descr="Overall survival of patients in Study ASTX727-01 (Phase II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458" t="2303" r="1861" b="3795"/>
                    <a:stretch/>
                  </pic:blipFill>
                  <pic:spPr bwMode="auto">
                    <a:xfrm>
                      <a:off x="0" y="0"/>
                      <a:ext cx="3842586" cy="2860057"/>
                    </a:xfrm>
                    <a:prstGeom prst="rect">
                      <a:avLst/>
                    </a:prstGeom>
                    <a:ln>
                      <a:noFill/>
                    </a:ln>
                    <a:extLst>
                      <a:ext uri="{53640926-AAD7-44D8-BBD7-CCE9431645EC}">
                        <a14:shadowObscured xmlns:a14="http://schemas.microsoft.com/office/drawing/2010/main"/>
                      </a:ext>
                    </a:extLst>
                  </pic:spPr>
                </pic:pic>
              </a:graphicData>
            </a:graphic>
          </wp:inline>
        </w:drawing>
      </w:r>
    </w:p>
    <w:p w14:paraId="1B8C4436" w14:textId="618ABF45" w:rsidR="001C6DAC" w:rsidRDefault="001C6DAC" w:rsidP="00A425CC">
      <w:r w:rsidRPr="001C6DAC">
        <w:t>Of 80 treated patients, the median survival was 18.3 months</w:t>
      </w:r>
      <w:r w:rsidR="00670EBC">
        <w:t xml:space="preserve"> (</w:t>
      </w:r>
      <w:r w:rsidR="00670EBC">
        <w:fldChar w:fldCharType="begin"/>
      </w:r>
      <w:r w:rsidR="00670EBC">
        <w:instrText xml:space="preserve"> REF _Ref59609260 \h </w:instrText>
      </w:r>
      <w:r w:rsidR="00670EBC">
        <w:fldChar w:fldCharType="separate"/>
      </w:r>
      <w:r w:rsidR="00BC61E1" w:rsidRPr="001C6DAC">
        <w:t xml:space="preserve">Figure </w:t>
      </w:r>
      <w:r w:rsidR="00BC61E1">
        <w:rPr>
          <w:noProof/>
        </w:rPr>
        <w:t>4</w:t>
      </w:r>
      <w:r w:rsidR="00670EBC">
        <w:fldChar w:fldCharType="end"/>
      </w:r>
      <w:r w:rsidR="00670EBC">
        <w:t>)</w:t>
      </w:r>
      <w:r>
        <w:t>.</w:t>
      </w:r>
    </w:p>
    <w:p w14:paraId="6F217B32" w14:textId="03EEAEA8" w:rsidR="001C6DAC" w:rsidRDefault="006C200E" w:rsidP="006C200E">
      <w:pPr>
        <w:pStyle w:val="FigureTitle"/>
      </w:pPr>
      <w:bookmarkStart w:id="47" w:name="_Ref59609248"/>
      <w:r w:rsidRPr="006C200E">
        <w:t xml:space="preserve">Figure </w:t>
      </w:r>
      <w:fldSimple w:instr=" SEQ Figure \* ARABIC ">
        <w:r w:rsidR="00BC61E1">
          <w:rPr>
            <w:noProof/>
          </w:rPr>
          <w:t>5</w:t>
        </w:r>
      </w:fldSimple>
      <w:bookmarkEnd w:id="47"/>
      <w:r>
        <w:t>: Study ASTX727-02 Comparative LINE-1 methylation in cross over period</w:t>
      </w:r>
    </w:p>
    <w:p w14:paraId="7280141D" w14:textId="77777777" w:rsidR="006C200E" w:rsidRDefault="006C200E" w:rsidP="006C200E">
      <w:r>
        <w:rPr>
          <w:noProof/>
          <w:lang w:eastAsia="en-AU"/>
        </w:rPr>
        <w:drawing>
          <wp:inline distT="0" distB="0" distL="0" distR="0" wp14:anchorId="79AFDDC1" wp14:editId="5C9276F1">
            <wp:extent cx="4138796" cy="4250131"/>
            <wp:effectExtent l="0" t="0" r="0" b="0"/>
            <wp:docPr id="16" name="Picture 16" descr="Study ASTX727-02 Comparative LINE-1 methylation in cross over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extLst>
                        <a:ext uri="{28A0092B-C50C-407E-A947-70E740481C1C}">
                          <a14:useLocalDpi xmlns:a14="http://schemas.microsoft.com/office/drawing/2010/main" val="0"/>
                        </a:ext>
                      </a:extLst>
                    </a:blip>
                    <a:srcRect l="992" t="2207" r="9868" b="13881"/>
                    <a:stretch/>
                  </pic:blipFill>
                  <pic:spPr bwMode="auto">
                    <a:xfrm>
                      <a:off x="0" y="0"/>
                      <a:ext cx="4174211" cy="4286499"/>
                    </a:xfrm>
                    <a:prstGeom prst="rect">
                      <a:avLst/>
                    </a:prstGeom>
                    <a:noFill/>
                    <a:ln>
                      <a:noFill/>
                    </a:ln>
                    <a:extLst>
                      <a:ext uri="{53640926-AAD7-44D8-BBD7-CCE9431645EC}">
                        <a14:shadowObscured xmlns:a14="http://schemas.microsoft.com/office/drawing/2010/main"/>
                      </a:ext>
                    </a:extLst>
                  </pic:spPr>
                </pic:pic>
              </a:graphicData>
            </a:graphic>
          </wp:inline>
        </w:drawing>
      </w:r>
    </w:p>
    <w:p w14:paraId="36908C8E" w14:textId="04669B04" w:rsidR="006C200E" w:rsidRDefault="006C200E" w:rsidP="006C4A14">
      <w:pPr>
        <w:pStyle w:val="FigureDescription"/>
      </w:pPr>
      <w:r>
        <w:t>N = 78.</w:t>
      </w:r>
      <w:r w:rsidR="00022DA1">
        <w:t xml:space="preserve"> </w:t>
      </w:r>
      <w:r>
        <w:t>Sequence A = ASTX727 in course 1; IV decitabine in course 2. Dosing was Day 1 to 5 of each 28 day</w:t>
      </w:r>
      <w:r w:rsidR="0002005B">
        <w:t>s</w:t>
      </w:r>
      <w:r>
        <w:t xml:space="preserve"> course. DAC = IV decitabine. Error bars are </w:t>
      </w:r>
      <w:r w:rsidR="0002005B">
        <w:t>s</w:t>
      </w:r>
      <w:r w:rsidR="0002005B" w:rsidRPr="0002005B">
        <w:t xml:space="preserve">tandard error of the mean </w:t>
      </w:r>
      <w:r w:rsidR="0002005B">
        <w:t>(</w:t>
      </w:r>
      <w:r>
        <w:t>SEM</w:t>
      </w:r>
      <w:r w:rsidR="0002005B">
        <w:t>)</w:t>
      </w:r>
      <w:r>
        <w:t>.</w:t>
      </w:r>
    </w:p>
    <w:p w14:paraId="626CEC57" w14:textId="1EF04B40" w:rsidR="006C200E" w:rsidRDefault="001D3022" w:rsidP="006C4A14">
      <w:pPr>
        <w:pStyle w:val="FigureDescription"/>
      </w:pPr>
      <w:r>
        <w:t>Note: Course 1 assessments at B</w:t>
      </w:r>
      <w:r w:rsidR="006C200E">
        <w:t xml:space="preserve">aseline (for example latest available value on or before C1D1) and on Days 8, </w:t>
      </w:r>
      <w:r>
        <w:t>15,22. Course 2 assessments at B</w:t>
      </w:r>
      <w:r w:rsidR="006C200E">
        <w:t>aseline (C2D1) and on Days 8, 15, 22.</w:t>
      </w:r>
    </w:p>
    <w:p w14:paraId="07B3ADC2" w14:textId="7FF2448F" w:rsidR="0092548C" w:rsidRDefault="0092548C" w:rsidP="0092548C">
      <w:r w:rsidRPr="0092548C">
        <w:t xml:space="preserve">Methylation of </w:t>
      </w:r>
      <w:r w:rsidRPr="0002005B">
        <w:rPr>
          <w:i/>
        </w:rPr>
        <w:t>LINE-</w:t>
      </w:r>
      <w:r w:rsidRPr="00133BFA">
        <w:rPr>
          <w:i/>
        </w:rPr>
        <w:t>1</w:t>
      </w:r>
      <w:r w:rsidRPr="0092548C">
        <w:t xml:space="preserve"> gene sequences was compared between oral and IV products in the cross-over part of the trial as a proxy for pharmacodynamics effect. This was equ</w:t>
      </w:r>
      <w:r>
        <w:t>ivalent between ASTX727 and IV d</w:t>
      </w:r>
      <w:r w:rsidRPr="0092548C">
        <w:t>ecitabine, indicating a similar target effect of the two products</w:t>
      </w:r>
      <w:r w:rsidR="00670EBC">
        <w:t xml:space="preserve"> (</w:t>
      </w:r>
      <w:r w:rsidR="00670EBC">
        <w:fldChar w:fldCharType="begin"/>
      </w:r>
      <w:r w:rsidR="00670EBC">
        <w:instrText xml:space="preserve"> REF _Ref59609248 \h </w:instrText>
      </w:r>
      <w:r w:rsidR="00670EBC">
        <w:fldChar w:fldCharType="separate"/>
      </w:r>
      <w:r w:rsidR="00BC61E1" w:rsidRPr="006C200E">
        <w:t xml:space="preserve">Figure </w:t>
      </w:r>
      <w:r w:rsidR="00BC61E1">
        <w:rPr>
          <w:noProof/>
        </w:rPr>
        <w:t>5</w:t>
      </w:r>
      <w:r w:rsidR="00670EBC">
        <w:fldChar w:fldCharType="end"/>
      </w:r>
      <w:r w:rsidR="00670EBC">
        <w:t>)</w:t>
      </w:r>
      <w:r w:rsidRPr="0092548C">
        <w:t>.</w:t>
      </w:r>
    </w:p>
    <w:p w14:paraId="131DB163" w14:textId="77777777" w:rsidR="0092548C" w:rsidRDefault="0092548C" w:rsidP="0092548C">
      <w:pPr>
        <w:pStyle w:val="Heading4"/>
      </w:pPr>
      <w:r>
        <w:t>Safety</w:t>
      </w:r>
    </w:p>
    <w:p w14:paraId="752AE87F" w14:textId="77777777" w:rsidR="0092548C" w:rsidRDefault="0092548C" w:rsidP="0092548C">
      <w:r w:rsidRPr="0092548C">
        <w:t>The safety analysis was based</w:t>
      </w:r>
      <w:r>
        <w:t xml:space="preserve"> on the single arm portions of S</w:t>
      </w:r>
      <w:r w:rsidRPr="0092548C">
        <w:t>tudies ASTX727-01 and ASTX727-02</w:t>
      </w:r>
      <w:r>
        <w:t>.</w:t>
      </w:r>
    </w:p>
    <w:p w14:paraId="0A263F8F" w14:textId="0F372E44" w:rsidR="0092548C" w:rsidRDefault="0092548C" w:rsidP="0092548C">
      <w:pPr>
        <w:pStyle w:val="TableTitle"/>
      </w:pPr>
      <w:r w:rsidRPr="0092548C">
        <w:t xml:space="preserve">Table </w:t>
      </w:r>
      <w:fldSimple w:instr=" SEQ Table \* ARABIC ">
        <w:r w:rsidR="00BC61E1">
          <w:rPr>
            <w:noProof/>
          </w:rPr>
          <w:t>6</w:t>
        </w:r>
      </w:fldSimple>
      <w:r>
        <w:t>: Studies contributing to safety analysis</w:t>
      </w:r>
    </w:p>
    <w:p w14:paraId="78610851" w14:textId="77777777" w:rsidR="0092548C" w:rsidRDefault="0051043B" w:rsidP="006C4A14">
      <w:r w:rsidRPr="0051043B">
        <w:rPr>
          <w:noProof/>
          <w:lang w:eastAsia="en-AU"/>
        </w:rPr>
        <w:drawing>
          <wp:inline distT="0" distB="0" distL="0" distR="0" wp14:anchorId="0BFE66B4" wp14:editId="04F9D0D4">
            <wp:extent cx="5400040" cy="2620954"/>
            <wp:effectExtent l="0" t="0" r="0" b="8255"/>
            <wp:docPr id="11" name="Picture 11" descr="Studies contributing to safet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21186"/>
                    <a:stretch/>
                  </pic:blipFill>
                  <pic:spPr bwMode="auto">
                    <a:xfrm>
                      <a:off x="0" y="0"/>
                      <a:ext cx="5400040" cy="2620954"/>
                    </a:xfrm>
                    <a:prstGeom prst="rect">
                      <a:avLst/>
                    </a:prstGeom>
                    <a:ln>
                      <a:noFill/>
                    </a:ln>
                    <a:extLst>
                      <a:ext uri="{53640926-AAD7-44D8-BBD7-CCE9431645EC}">
                        <a14:shadowObscured xmlns:a14="http://schemas.microsoft.com/office/drawing/2010/main"/>
                      </a:ext>
                    </a:extLst>
                  </pic:spPr>
                </pic:pic>
              </a:graphicData>
            </a:graphic>
          </wp:inline>
        </w:drawing>
      </w:r>
    </w:p>
    <w:p w14:paraId="3D89148C" w14:textId="269B9EFB" w:rsidR="0051043B" w:rsidRDefault="00117FEA" w:rsidP="0051043B">
      <w:pPr>
        <w:pStyle w:val="TableDescription"/>
      </w:pPr>
      <w:r>
        <w:t xml:space="preserve">NDA = United States Food and Drug Administration (FDA) New Drug Application; CSR = clinical study report; </w:t>
      </w:r>
      <w:r w:rsidR="0051043B">
        <w:t>ADME = absorp</w:t>
      </w:r>
      <w:r w:rsidR="00F91464">
        <w:t xml:space="preserve">tion, distribution, metabolism, and </w:t>
      </w:r>
      <w:r w:rsidR="0051043B">
        <w:t>excretion; NA = not applicable; PK</w:t>
      </w:r>
      <w:r>
        <w:t> </w:t>
      </w:r>
      <w:r w:rsidR="0051043B">
        <w:t>=</w:t>
      </w:r>
      <w:r>
        <w:t> </w:t>
      </w:r>
      <w:r w:rsidR="0051043B">
        <w:t>pharmacokinetics</w:t>
      </w:r>
      <w:r>
        <w:t>; PD = pharmacodynamics</w:t>
      </w:r>
      <w:r w:rsidR="0051043B">
        <w:t>.</w:t>
      </w:r>
    </w:p>
    <w:p w14:paraId="68E48403" w14:textId="63068F34" w:rsidR="0051043B" w:rsidRDefault="0051043B" w:rsidP="006C4A14">
      <w:pPr>
        <w:pStyle w:val="TableDescription"/>
      </w:pPr>
      <w:r w:rsidRPr="0051043B">
        <w:rPr>
          <w:vertAlign w:val="superscript"/>
        </w:rPr>
        <w:t>a</w:t>
      </w:r>
      <w:r>
        <w:t xml:space="preserve"> As of the data </w:t>
      </w:r>
      <w:proofErr w:type="spellStart"/>
      <w:r>
        <w:t>cutoff</w:t>
      </w:r>
      <w:proofErr w:type="spellEnd"/>
      <w:r>
        <w:t xml:space="preserve"> date for respective CSRs.</w:t>
      </w:r>
    </w:p>
    <w:p w14:paraId="21A959A8" w14:textId="5A198C0B" w:rsidR="0051043B" w:rsidRDefault="0051043B" w:rsidP="006C4A14">
      <w:r>
        <w:t xml:space="preserve">The safety analysis was based on the single arm portions of </w:t>
      </w:r>
      <w:r w:rsidR="00117FEA">
        <w:t>S</w:t>
      </w:r>
      <w:r>
        <w:t>tudies ASTX727-01 and -02.</w:t>
      </w:r>
    </w:p>
    <w:p w14:paraId="292E9059" w14:textId="300B97F1" w:rsidR="00117FEA" w:rsidRPr="00337237" w:rsidRDefault="00117FEA" w:rsidP="00337237">
      <w:r w:rsidRPr="0051043B">
        <w:t>A total of 208 patients were exposed to ASTX727 and available for safety review, representing 1342 cycles of therapy with a mean of 5 cycles per patient. Th</w:t>
      </w:r>
      <w:r>
        <w:t>e duration of follow-up in the Phase II study was longer, 12 to 24 months, than in the P</w:t>
      </w:r>
      <w:r w:rsidRPr="0051043B">
        <w:t>hase III study, in which it was a median of 5 months. 81% of the pooled pat</w:t>
      </w:r>
      <w:r>
        <w:t>ients had MDS and 19% had CMML (</w:t>
      </w:r>
      <w:r>
        <w:fldChar w:fldCharType="begin"/>
      </w:r>
      <w:r>
        <w:instrText xml:space="preserve"> REF _Ref59609219 \h </w:instrText>
      </w:r>
      <w:r>
        <w:fldChar w:fldCharType="separate"/>
      </w:r>
      <w:r w:rsidR="00BC61E1" w:rsidRPr="0051043B">
        <w:t xml:space="preserve">Table </w:t>
      </w:r>
      <w:r w:rsidR="00BC61E1">
        <w:rPr>
          <w:noProof/>
        </w:rPr>
        <w:t>7</w:t>
      </w:r>
      <w:r>
        <w:fldChar w:fldCharType="end"/>
      </w:r>
      <w:r>
        <w:t>).</w:t>
      </w:r>
    </w:p>
    <w:p w14:paraId="78E15174" w14:textId="2A8F93C1" w:rsidR="0051043B" w:rsidRDefault="0051043B" w:rsidP="006C4A14">
      <w:pPr>
        <w:pStyle w:val="TableTitle"/>
        <w:pageBreakBefore/>
      </w:pPr>
      <w:bookmarkStart w:id="48" w:name="_Ref59609219"/>
      <w:r w:rsidRPr="0051043B">
        <w:t xml:space="preserve">Table </w:t>
      </w:r>
      <w:fldSimple w:instr=" SEQ Table \* ARABIC ">
        <w:r w:rsidR="00BC61E1">
          <w:rPr>
            <w:noProof/>
          </w:rPr>
          <w:t>7</w:t>
        </w:r>
      </w:fldSimple>
      <w:bookmarkEnd w:id="48"/>
      <w:r>
        <w:t>: Exposure of patients in safety analysis to ASTX727</w:t>
      </w:r>
    </w:p>
    <w:p w14:paraId="76FEBDA8" w14:textId="77777777" w:rsidR="00E0726D" w:rsidRDefault="00E0726D" w:rsidP="006C4A14">
      <w:r w:rsidRPr="00E0726D">
        <w:rPr>
          <w:noProof/>
          <w:lang w:eastAsia="en-AU"/>
        </w:rPr>
        <w:drawing>
          <wp:inline distT="0" distB="0" distL="0" distR="0" wp14:anchorId="4EADD069" wp14:editId="59778D32">
            <wp:extent cx="5188119" cy="2310373"/>
            <wp:effectExtent l="0" t="0" r="0" b="0"/>
            <wp:docPr id="9" name="Picture 9" descr="Exposure of patients in safety analysis to ASTX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08922" cy="2319637"/>
                    </a:xfrm>
                    <a:prstGeom prst="rect">
                      <a:avLst/>
                    </a:prstGeom>
                  </pic:spPr>
                </pic:pic>
              </a:graphicData>
            </a:graphic>
          </wp:inline>
        </w:drawing>
      </w:r>
    </w:p>
    <w:p w14:paraId="54930669" w14:textId="4DD03037" w:rsidR="003C7AB3" w:rsidRDefault="003C7AB3" w:rsidP="00337237">
      <w:pPr>
        <w:pStyle w:val="TableDescription"/>
        <w:keepNext/>
      </w:pPr>
      <w:r>
        <w:t>FDC = fixed dose combination; SD = standard deviation.</w:t>
      </w:r>
    </w:p>
    <w:p w14:paraId="25BED33D" w14:textId="1AB60964" w:rsidR="00E0726D" w:rsidRDefault="00E0726D" w:rsidP="00337237">
      <w:pPr>
        <w:pStyle w:val="TableDescription"/>
        <w:keepNext/>
      </w:pPr>
      <w:r>
        <w:t>Note: Exposure data are included through the data cut</w:t>
      </w:r>
      <w:r w:rsidR="003C7AB3">
        <w:t>-</w:t>
      </w:r>
      <w:r>
        <w:t>off dates for the respective CSRs.</w:t>
      </w:r>
    </w:p>
    <w:p w14:paraId="24BA92B8" w14:textId="77777777" w:rsidR="00E0726D" w:rsidRDefault="00E0726D" w:rsidP="00337237">
      <w:pPr>
        <w:pStyle w:val="TableDescription"/>
        <w:keepNext/>
      </w:pPr>
      <w:proofErr w:type="spellStart"/>
      <w:r>
        <w:rPr>
          <w:vertAlign w:val="superscript"/>
        </w:rPr>
        <w:t>a</w:t>
      </w:r>
      <w:proofErr w:type="spellEnd"/>
      <w:r w:rsidRPr="00E0726D">
        <w:rPr>
          <w:vertAlign w:val="superscript"/>
        </w:rPr>
        <w:t xml:space="preserve"> </w:t>
      </w:r>
      <w:r>
        <w:t>Includes all subjects who received 100 mg cedazuridine and 35 mg decitabine, either administered concomitantly as separate capsule or as the AST727 FDC tablet.</w:t>
      </w:r>
    </w:p>
    <w:p w14:paraId="249B623B" w14:textId="3D69F71E" w:rsidR="00E0726D" w:rsidRDefault="00E0726D" w:rsidP="00337237">
      <w:pPr>
        <w:pStyle w:val="TableDescription"/>
        <w:keepNext/>
      </w:pPr>
      <w:r>
        <w:rPr>
          <w:vertAlign w:val="superscript"/>
        </w:rPr>
        <w:t>b</w:t>
      </w:r>
      <w:r w:rsidRPr="00E0726D">
        <w:rPr>
          <w:vertAlign w:val="superscript"/>
        </w:rPr>
        <w:t xml:space="preserve"> </w:t>
      </w:r>
      <w:r>
        <w:t xml:space="preserve">Includes all subjects who received any treatment in Study ASTX727-01 </w:t>
      </w:r>
      <w:r w:rsidR="003C7AB3">
        <w:t>(</w:t>
      </w:r>
      <w:r>
        <w:t>Phase II</w:t>
      </w:r>
      <w:r w:rsidR="003C7AB3">
        <w:t xml:space="preserve"> part)</w:t>
      </w:r>
      <w:r>
        <w:t xml:space="preserve"> or Study</w:t>
      </w:r>
      <w:r w:rsidR="003C7AB3">
        <w:t> </w:t>
      </w:r>
      <w:r>
        <w:t>ASTX727-02</w:t>
      </w:r>
      <w:r w:rsidR="003C7AB3">
        <w:t xml:space="preserve"> (Phase III)</w:t>
      </w:r>
      <w:r>
        <w:t>, including 5 subjects who only received IV decitabine.</w:t>
      </w:r>
    </w:p>
    <w:p w14:paraId="78142C8D" w14:textId="77777777" w:rsidR="00E0726D" w:rsidRDefault="00E0726D" w:rsidP="00E0726D">
      <w:pPr>
        <w:pStyle w:val="TableDescription"/>
      </w:pPr>
      <w:r w:rsidRPr="00E0726D">
        <w:rPr>
          <w:vertAlign w:val="superscript"/>
        </w:rPr>
        <w:t>c</w:t>
      </w:r>
      <w:r>
        <w:t xml:space="preserve"> Completed or partially completed cycles.</w:t>
      </w:r>
    </w:p>
    <w:p w14:paraId="37798683" w14:textId="23C0F27A" w:rsidR="00275F32" w:rsidRDefault="00275F32" w:rsidP="0051043B">
      <w:r w:rsidRPr="0051043B">
        <w:t>A total of 17 patients in th</w:t>
      </w:r>
      <w:r>
        <w:t>e safety population suffered a treatment emergency cause of d</w:t>
      </w:r>
      <w:r w:rsidRPr="0051043B">
        <w:t xml:space="preserve">eath, 3 in the IV </w:t>
      </w:r>
      <w:r>
        <w:t>d</w:t>
      </w:r>
      <w:r w:rsidRPr="0051043B">
        <w:t>ecitabine and 14 in the ASTX727 population respectively</w:t>
      </w:r>
      <w:r>
        <w:t xml:space="preserve"> (</w:t>
      </w:r>
      <w:r>
        <w:fldChar w:fldCharType="begin"/>
      </w:r>
      <w:r>
        <w:instrText xml:space="preserve"> REF _Ref59609195 \h </w:instrText>
      </w:r>
      <w:r>
        <w:fldChar w:fldCharType="separate"/>
      </w:r>
      <w:r w:rsidR="00BC61E1" w:rsidRPr="0051043B">
        <w:t xml:space="preserve">Table </w:t>
      </w:r>
      <w:r w:rsidR="00BC61E1">
        <w:rPr>
          <w:noProof/>
        </w:rPr>
        <w:t>8</w:t>
      </w:r>
      <w:r>
        <w:fldChar w:fldCharType="end"/>
      </w:r>
      <w:r>
        <w:t>)</w:t>
      </w:r>
      <w:r w:rsidRPr="0051043B">
        <w:t>.</w:t>
      </w:r>
    </w:p>
    <w:p w14:paraId="03CABDAB" w14:textId="114CE1A4" w:rsidR="0051043B" w:rsidRDefault="0051043B" w:rsidP="0051043B">
      <w:pPr>
        <w:pStyle w:val="TableTitle"/>
      </w:pPr>
      <w:bookmarkStart w:id="49" w:name="_Ref59609195"/>
      <w:r w:rsidRPr="0051043B">
        <w:t xml:space="preserve">Table </w:t>
      </w:r>
      <w:fldSimple w:instr=" SEQ Table \* ARABIC ">
        <w:r w:rsidR="00BC61E1">
          <w:rPr>
            <w:noProof/>
          </w:rPr>
          <w:t>8</w:t>
        </w:r>
      </w:fldSimple>
      <w:bookmarkEnd w:id="49"/>
      <w:r>
        <w:t xml:space="preserve">: </w:t>
      </w:r>
      <w:r w:rsidRPr="0051043B">
        <w:t>Treatment emergent adverse events with death as an outcome</w:t>
      </w:r>
      <w:r>
        <w:t xml:space="preserve"> </w:t>
      </w:r>
      <w:r w:rsidR="003C7AB3">
        <w:t>(</w:t>
      </w:r>
      <w:r>
        <w:t>ASTX727</w:t>
      </w:r>
      <w:r w:rsidR="003C7AB3">
        <w:t> </w:t>
      </w:r>
      <w:r>
        <w:t>integrated population</w:t>
      </w:r>
      <w:r w:rsidR="003C7AB3">
        <w:t>)</w:t>
      </w:r>
    </w:p>
    <w:p w14:paraId="13DAF0D6" w14:textId="77777777" w:rsidR="0051043B" w:rsidRDefault="0051043B" w:rsidP="006C4A14">
      <w:r w:rsidRPr="0051043B">
        <w:rPr>
          <w:noProof/>
          <w:lang w:eastAsia="en-AU"/>
        </w:rPr>
        <w:drawing>
          <wp:inline distT="0" distB="0" distL="0" distR="0" wp14:anchorId="7642706A" wp14:editId="220C12FA">
            <wp:extent cx="5400040" cy="2523281"/>
            <wp:effectExtent l="0" t="0" r="0" b="0"/>
            <wp:docPr id="15" name="Picture 15" descr="Treatment emergent adverse events with death as an outcome in ASTX727 integrat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21531"/>
                    <a:stretch/>
                  </pic:blipFill>
                  <pic:spPr bwMode="auto">
                    <a:xfrm>
                      <a:off x="0" y="0"/>
                      <a:ext cx="5400040" cy="2523281"/>
                    </a:xfrm>
                    <a:prstGeom prst="rect">
                      <a:avLst/>
                    </a:prstGeom>
                    <a:ln>
                      <a:noFill/>
                    </a:ln>
                    <a:extLst>
                      <a:ext uri="{53640926-AAD7-44D8-BBD7-CCE9431645EC}">
                        <a14:shadowObscured xmlns:a14="http://schemas.microsoft.com/office/drawing/2010/main"/>
                      </a:ext>
                    </a:extLst>
                  </pic:spPr>
                </pic:pic>
              </a:graphicData>
            </a:graphic>
          </wp:inline>
        </w:drawing>
      </w:r>
    </w:p>
    <w:p w14:paraId="5155FF8F" w14:textId="445B43EA" w:rsidR="0051043B" w:rsidRDefault="0051043B" w:rsidP="0051043B">
      <w:pPr>
        <w:pStyle w:val="TableDescription"/>
      </w:pPr>
      <w:r w:rsidRPr="0051043B">
        <w:t>Treatment emergent</w:t>
      </w:r>
      <w:r w:rsidR="00133BFA">
        <w:t xml:space="preserve"> adverse events (TE</w:t>
      </w:r>
      <w:r w:rsidRPr="0051043B">
        <w:t>AE</w:t>
      </w:r>
      <w:r w:rsidR="00133BFA">
        <w:t>)</w:t>
      </w:r>
      <w:r w:rsidRPr="0051043B">
        <w:t xml:space="preserve"> included those occurring up to 30 days after the last dose and events that </w:t>
      </w:r>
      <w:r>
        <w:t>occurred more than 30 days after the last dose that were both serious and related to study treatment.</w:t>
      </w:r>
    </w:p>
    <w:p w14:paraId="6B39E52B" w14:textId="476D579B" w:rsidR="0051043B" w:rsidRPr="0051043B" w:rsidRDefault="00670EBC" w:rsidP="0051043B">
      <w:pPr>
        <w:pStyle w:val="TableDescription"/>
      </w:pPr>
      <w:r w:rsidRPr="00670EBC">
        <w:rPr>
          <w:vertAlign w:val="superscript"/>
        </w:rPr>
        <w:t>a</w:t>
      </w:r>
      <w:r w:rsidR="0051043B">
        <w:t xml:space="preserve"> One event of septic shock reported with ASTX727 in Cycle 2 was considered by the investigator to be related to IV </w:t>
      </w:r>
      <w:proofErr w:type="spellStart"/>
      <w:r w:rsidR="0051043B">
        <w:t>decitabnine</w:t>
      </w:r>
      <w:proofErr w:type="spellEnd"/>
      <w:r w:rsidR="0051043B">
        <w:t xml:space="preserve"> received in Cycle 1</w:t>
      </w:r>
      <w:r w:rsidR="00B05DC0">
        <w:t>.</w:t>
      </w:r>
    </w:p>
    <w:p w14:paraId="054E26DA" w14:textId="333F3E96" w:rsidR="00275F32" w:rsidRDefault="00275F32" w:rsidP="0051043B">
      <w:r w:rsidRPr="00670EBC">
        <w:t xml:space="preserve">The sponsor has noted that overall these were primarily infections and are consistent with prolonged </w:t>
      </w:r>
      <w:proofErr w:type="spellStart"/>
      <w:r w:rsidRPr="00670EBC">
        <w:t>neutrop</w:t>
      </w:r>
      <w:r>
        <w:t>a</w:t>
      </w:r>
      <w:r w:rsidRPr="00670EBC">
        <w:t>enia</w:t>
      </w:r>
      <w:proofErr w:type="spellEnd"/>
      <w:r w:rsidRPr="00670EBC">
        <w:t xml:space="preserve"> typical </w:t>
      </w:r>
      <w:r>
        <w:t xml:space="preserve">of the diseases being treated. </w:t>
      </w:r>
      <w:r w:rsidRPr="00670EBC">
        <w:t xml:space="preserve">The most common non-fatal serious adverse events were febrile </w:t>
      </w:r>
      <w:proofErr w:type="spellStart"/>
      <w:r w:rsidRPr="00670EBC">
        <w:t>neutrop</w:t>
      </w:r>
      <w:r>
        <w:t>a</w:t>
      </w:r>
      <w:r w:rsidRPr="00670EBC">
        <w:t>enia</w:t>
      </w:r>
      <w:proofErr w:type="spellEnd"/>
      <w:r w:rsidRPr="00670EBC">
        <w:t>, pneumonia and sepsis</w:t>
      </w:r>
      <w:r>
        <w:t xml:space="preserve">, as shown in </w:t>
      </w:r>
      <w:r>
        <w:fldChar w:fldCharType="begin"/>
      </w:r>
      <w:r>
        <w:instrText xml:space="preserve"> REF _Ref59609204 \h </w:instrText>
      </w:r>
      <w:r>
        <w:fldChar w:fldCharType="separate"/>
      </w:r>
      <w:r w:rsidR="00BC61E1" w:rsidRPr="00670EBC">
        <w:t xml:space="preserve">Table </w:t>
      </w:r>
      <w:r w:rsidR="00BC61E1">
        <w:rPr>
          <w:noProof/>
        </w:rPr>
        <w:t>9</w:t>
      </w:r>
      <w:r>
        <w:fldChar w:fldCharType="end"/>
      </w:r>
      <w:r w:rsidRPr="00670EBC">
        <w:t>.</w:t>
      </w:r>
    </w:p>
    <w:p w14:paraId="18BA01C1" w14:textId="0CAE9D74" w:rsidR="00670EBC" w:rsidRDefault="00670EBC" w:rsidP="00670EBC">
      <w:pPr>
        <w:pStyle w:val="TableTitle"/>
      </w:pPr>
      <w:bookmarkStart w:id="50" w:name="_Ref59609204"/>
      <w:r w:rsidRPr="00670EBC">
        <w:t xml:space="preserve">Table </w:t>
      </w:r>
      <w:fldSimple w:instr=" SEQ Table \* ARABIC ">
        <w:r w:rsidR="00BC61E1">
          <w:rPr>
            <w:noProof/>
          </w:rPr>
          <w:t>9</w:t>
        </w:r>
      </w:fldSimple>
      <w:bookmarkEnd w:id="50"/>
      <w:r>
        <w:t xml:space="preserve">: </w:t>
      </w:r>
      <w:r w:rsidRPr="00670EBC">
        <w:t>Serious adverse events occurring in &gt;</w:t>
      </w:r>
      <w:r w:rsidR="00133BFA">
        <w:t xml:space="preserve"> </w:t>
      </w:r>
      <w:r w:rsidRPr="00670EBC">
        <w:t>1% of subjects</w:t>
      </w:r>
      <w:r w:rsidR="00314FD7">
        <w:t xml:space="preserve"> by System Organ Class and Preferred Term</w:t>
      </w:r>
      <w:r w:rsidRPr="00670EBC">
        <w:t xml:space="preserve"> </w:t>
      </w:r>
      <w:r w:rsidR="003C7AB3">
        <w:t>(</w:t>
      </w:r>
      <w:r w:rsidRPr="00670EBC">
        <w:t>integrated safety population</w:t>
      </w:r>
      <w:r w:rsidR="003C7AB3">
        <w:t>)</w:t>
      </w:r>
    </w:p>
    <w:p w14:paraId="32E20236" w14:textId="77777777" w:rsidR="00670EBC" w:rsidRDefault="00670EBC" w:rsidP="006C4A14">
      <w:r w:rsidRPr="00670EBC">
        <w:rPr>
          <w:noProof/>
          <w:lang w:eastAsia="en-AU"/>
        </w:rPr>
        <w:drawing>
          <wp:inline distT="0" distB="0" distL="0" distR="0" wp14:anchorId="315D4C49" wp14:editId="1B4D69F0">
            <wp:extent cx="5400040" cy="3869690"/>
            <wp:effectExtent l="0" t="0" r="0" b="0"/>
            <wp:docPr id="18" name="Picture 18" descr="Serious adverse events occurring in &gt; 1% of subjects in integrate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040" cy="3869690"/>
                    </a:xfrm>
                    <a:prstGeom prst="rect">
                      <a:avLst/>
                    </a:prstGeom>
                  </pic:spPr>
                </pic:pic>
              </a:graphicData>
            </a:graphic>
          </wp:inline>
        </w:drawing>
      </w:r>
    </w:p>
    <w:p w14:paraId="237B94D4" w14:textId="77777777" w:rsidR="00670EBC" w:rsidRDefault="00670EBC" w:rsidP="00670EBC">
      <w:pPr>
        <w:pStyle w:val="TableDescription"/>
      </w:pPr>
      <w:r w:rsidRPr="00670EBC">
        <w:rPr>
          <w:vertAlign w:val="superscript"/>
        </w:rPr>
        <w:t>a</w:t>
      </w:r>
      <w:r>
        <w:t xml:space="preserve"> Septic shock is included despite occurring at an incidence below the cut off for this table because of its </w:t>
      </w:r>
      <w:r w:rsidR="008B762D">
        <w:t>medical</w:t>
      </w:r>
      <w:r>
        <w:t xml:space="preserve"> relatedness to sepsis.</w:t>
      </w:r>
    </w:p>
    <w:p w14:paraId="7E6BF847" w14:textId="09486AC2" w:rsidR="00314FD7" w:rsidRDefault="00314FD7" w:rsidP="00670EBC">
      <w:r w:rsidRPr="006770CE">
        <w:t xml:space="preserve">The most common adverse events resulting in interruption to therapy were related to </w:t>
      </w:r>
      <w:proofErr w:type="spellStart"/>
      <w:r w:rsidRPr="006770CE">
        <w:t>neutrop</w:t>
      </w:r>
      <w:r>
        <w:t>a</w:t>
      </w:r>
      <w:r w:rsidRPr="006770CE">
        <w:t>enia</w:t>
      </w:r>
      <w:proofErr w:type="spellEnd"/>
      <w:r w:rsidRPr="006770CE">
        <w:t>, which occurred in less than 10% of cases</w:t>
      </w:r>
      <w:r>
        <w:t>, as shown in Table 10.</w:t>
      </w:r>
    </w:p>
    <w:p w14:paraId="1DBDA1C2" w14:textId="118C9092" w:rsidR="008B762D" w:rsidRDefault="008B762D" w:rsidP="008B762D">
      <w:pPr>
        <w:pStyle w:val="TableTitle"/>
      </w:pPr>
      <w:r w:rsidRPr="008B762D">
        <w:t xml:space="preserve">Table </w:t>
      </w:r>
      <w:fldSimple w:instr=" SEQ Table \* ARABIC ">
        <w:r w:rsidR="00BC61E1">
          <w:rPr>
            <w:noProof/>
          </w:rPr>
          <w:t>10</w:t>
        </w:r>
      </w:fldSimple>
      <w:r>
        <w:t xml:space="preserve">: Adverse events leading to interruption of treatment in &gt; 1% of subjects </w:t>
      </w:r>
      <w:r w:rsidR="00314FD7">
        <w:t>by System Organ Class and Preferred Term(</w:t>
      </w:r>
      <w:r>
        <w:t>integrated safety population</w:t>
      </w:r>
      <w:r w:rsidR="00314FD7">
        <w:t>)</w:t>
      </w:r>
    </w:p>
    <w:p w14:paraId="0EF35FA7" w14:textId="77777777" w:rsidR="008B762D" w:rsidRDefault="008B762D" w:rsidP="006770CE">
      <w:r w:rsidRPr="003D3E19">
        <w:rPr>
          <w:rFonts w:asciiTheme="minorHAnsi" w:hAnsiTheme="minorHAnsi"/>
          <w:noProof/>
          <w:lang w:eastAsia="en-AU"/>
        </w:rPr>
        <w:drawing>
          <wp:inline distT="0" distB="0" distL="0" distR="0" wp14:anchorId="22EB480F" wp14:editId="64A4D817">
            <wp:extent cx="5400040" cy="3198309"/>
            <wp:effectExtent l="19050" t="19050" r="10160" b="21590"/>
            <wp:docPr id="32" name="Picture 32" descr="Adverse events leading to interruption of treatment in &gt; 1% of subjects in integrate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40" cy="3198309"/>
                    </a:xfrm>
                    <a:prstGeom prst="rect">
                      <a:avLst/>
                    </a:prstGeom>
                    <a:noFill/>
                    <a:ln>
                      <a:solidFill>
                        <a:schemeClr val="accent1"/>
                      </a:solidFill>
                    </a:ln>
                  </pic:spPr>
                </pic:pic>
              </a:graphicData>
            </a:graphic>
          </wp:inline>
        </w:drawing>
      </w:r>
    </w:p>
    <w:p w14:paraId="228B105A" w14:textId="70F19AF5" w:rsidR="00314FD7" w:rsidRDefault="00314FD7" w:rsidP="006770CE">
      <w:r w:rsidRPr="00017E70">
        <w:t>As noted</w:t>
      </w:r>
      <w:r>
        <w:t>,</w:t>
      </w:r>
      <w:r w:rsidRPr="00017E70">
        <w:t xml:space="preserve"> the most common adverse events were related to haematological endpoints or infections consistent with both the underlying conditions and expected potential adverse effects of cytotoxic therapy</w:t>
      </w:r>
      <w:r>
        <w:t xml:space="preserve">, (see </w:t>
      </w:r>
      <w:r>
        <w:fldChar w:fldCharType="begin"/>
      </w:r>
      <w:r>
        <w:instrText xml:space="preserve"> REF _Ref59613177 \h </w:instrText>
      </w:r>
      <w:r>
        <w:fldChar w:fldCharType="separate"/>
      </w:r>
      <w:r w:rsidR="00BC61E1" w:rsidRPr="006770CE">
        <w:t xml:space="preserve">Table </w:t>
      </w:r>
      <w:r w:rsidR="00BC61E1">
        <w:rPr>
          <w:noProof/>
        </w:rPr>
        <w:t>11</w:t>
      </w:r>
      <w:r>
        <w:fldChar w:fldCharType="end"/>
      </w:r>
      <w:r>
        <w:t>, below)</w:t>
      </w:r>
      <w:r w:rsidRPr="00017E70">
        <w:t>.</w:t>
      </w:r>
    </w:p>
    <w:p w14:paraId="5EA6AE93" w14:textId="3A6D06EB" w:rsidR="006770CE" w:rsidRDefault="006770CE" w:rsidP="006770CE">
      <w:pPr>
        <w:pStyle w:val="TableTitle"/>
      </w:pPr>
      <w:bookmarkStart w:id="51" w:name="_Ref59613177"/>
      <w:r w:rsidRPr="006770CE">
        <w:t xml:space="preserve">Table </w:t>
      </w:r>
      <w:fldSimple w:instr=" SEQ Table \* ARABIC ">
        <w:r w:rsidR="00BC61E1">
          <w:rPr>
            <w:noProof/>
          </w:rPr>
          <w:t>11</w:t>
        </w:r>
      </w:fldSimple>
      <w:bookmarkEnd w:id="51"/>
      <w:r>
        <w:t>: All grade adverse events occurring in &gt; 10% of patients in integrated safety population</w:t>
      </w:r>
    </w:p>
    <w:p w14:paraId="3B842807" w14:textId="77777777" w:rsidR="006770CE" w:rsidRDefault="006770CE" w:rsidP="006770CE">
      <w:r w:rsidRPr="006770CE">
        <w:rPr>
          <w:noProof/>
          <w:lang w:eastAsia="en-AU"/>
        </w:rPr>
        <w:drawing>
          <wp:inline distT="0" distB="0" distL="0" distR="0" wp14:anchorId="685D290E" wp14:editId="60A5ABA1">
            <wp:extent cx="5400040" cy="4157980"/>
            <wp:effectExtent l="0" t="0" r="0" b="0"/>
            <wp:docPr id="19" name="Picture 19" descr="All grade adverse events occurring in &gt; 10% of patients in integrate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4157980"/>
                    </a:xfrm>
                    <a:prstGeom prst="rect">
                      <a:avLst/>
                    </a:prstGeom>
                  </pic:spPr>
                </pic:pic>
              </a:graphicData>
            </a:graphic>
          </wp:inline>
        </w:drawing>
      </w:r>
    </w:p>
    <w:p w14:paraId="58005A3A" w14:textId="77777777" w:rsidR="006770CE" w:rsidRDefault="006770CE" w:rsidP="006770CE">
      <w:r w:rsidRPr="006770CE">
        <w:rPr>
          <w:noProof/>
          <w:lang w:eastAsia="en-AU"/>
        </w:rPr>
        <w:drawing>
          <wp:inline distT="0" distB="0" distL="0" distR="0" wp14:anchorId="7B9D5B19" wp14:editId="5EBCB794">
            <wp:extent cx="5367867" cy="1445722"/>
            <wp:effectExtent l="0" t="0" r="444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743"/>
                    <a:stretch/>
                  </pic:blipFill>
                  <pic:spPr bwMode="auto">
                    <a:xfrm>
                      <a:off x="0" y="0"/>
                      <a:ext cx="5427081" cy="1461670"/>
                    </a:xfrm>
                    <a:prstGeom prst="rect">
                      <a:avLst/>
                    </a:prstGeom>
                    <a:ln>
                      <a:noFill/>
                    </a:ln>
                    <a:extLst>
                      <a:ext uri="{53640926-AAD7-44D8-BBD7-CCE9431645EC}">
                        <a14:shadowObscured xmlns:a14="http://schemas.microsoft.com/office/drawing/2010/main"/>
                      </a:ext>
                    </a:extLst>
                  </pic:spPr>
                </pic:pic>
              </a:graphicData>
            </a:graphic>
          </wp:inline>
        </w:drawing>
      </w:r>
    </w:p>
    <w:p w14:paraId="5B558C72" w14:textId="77777777" w:rsidR="008E7846" w:rsidRDefault="00386150" w:rsidP="007B6132">
      <w:pPr>
        <w:pStyle w:val="Heading3"/>
        <w:rPr>
          <w:lang w:eastAsia="en-AU"/>
        </w:rPr>
      </w:pPr>
      <w:bookmarkStart w:id="52" w:name="_Toc63846819"/>
      <w:r>
        <w:rPr>
          <w:lang w:eastAsia="en-AU"/>
        </w:rPr>
        <w:t>Risk m</w:t>
      </w:r>
      <w:r w:rsidR="008E7846">
        <w:rPr>
          <w:lang w:eastAsia="en-AU"/>
        </w:rPr>
        <w:t xml:space="preserve">anagement </w:t>
      </w:r>
      <w:r>
        <w:rPr>
          <w:lang w:eastAsia="en-AU"/>
        </w:rPr>
        <w:t>p</w:t>
      </w:r>
      <w:r w:rsidR="008E7846">
        <w:rPr>
          <w:lang w:eastAsia="en-AU"/>
        </w:rPr>
        <w:t>lan</w:t>
      </w:r>
      <w:bookmarkEnd w:id="40"/>
      <w:bookmarkEnd w:id="52"/>
    </w:p>
    <w:p w14:paraId="189E1B40" w14:textId="124423CA" w:rsidR="0070387B" w:rsidRPr="0070387B" w:rsidRDefault="00314FD7" w:rsidP="0070387B">
      <w:r>
        <w:t xml:space="preserve">The sponsor </w:t>
      </w:r>
      <w:r w:rsidR="0070387B">
        <w:t>has submitted a c</w:t>
      </w:r>
      <w:r w:rsidR="0070387B" w:rsidRPr="0070387B">
        <w:t>ore-</w:t>
      </w:r>
      <w:r w:rsidR="0070387B">
        <w:t>risk management plan (</w:t>
      </w:r>
      <w:r w:rsidR="0070387B" w:rsidRPr="0070387B">
        <w:t>RMP</w:t>
      </w:r>
      <w:r w:rsidR="0070387B">
        <w:t>)</w:t>
      </w:r>
      <w:r w:rsidR="0070387B" w:rsidRPr="0070387B">
        <w:t xml:space="preserve"> </w:t>
      </w:r>
      <w:r w:rsidR="0070387B">
        <w:t>version 1.0 (16 December 2019; data lock point (DLP)</w:t>
      </w:r>
      <w:r w:rsidR="0070387B" w:rsidRPr="0070387B">
        <w:t xml:space="preserve"> 19</w:t>
      </w:r>
      <w:r>
        <w:t> </w:t>
      </w:r>
      <w:r w:rsidR="0070387B" w:rsidRPr="0070387B">
        <w:t>March</w:t>
      </w:r>
      <w:r>
        <w:t> </w:t>
      </w:r>
      <w:r w:rsidR="0070387B" w:rsidRPr="0070387B">
        <w:t>2019) and A</w:t>
      </w:r>
      <w:r w:rsidR="0070387B">
        <w:t>ustralia specific annex (ASA)</w:t>
      </w:r>
      <w:r w:rsidR="0070387B" w:rsidRPr="0070387B">
        <w:t xml:space="preserve"> version 1.0 (09 January 2020) in support of this application. </w:t>
      </w:r>
      <w:r w:rsidR="0070387B">
        <w:t>In response to questions raised by TGA</w:t>
      </w:r>
      <w:r w:rsidR="0070387B" w:rsidRPr="0070387B">
        <w:t>, t</w:t>
      </w:r>
      <w:r w:rsidR="0070387B">
        <w:t>he sponsor provided an updated c</w:t>
      </w:r>
      <w:r w:rsidR="0070387B" w:rsidRPr="0070387B">
        <w:t>ore-RMP version 1.1 (25 August 2020; DLP 19 March 2019) and an ASA version 1.1 (September 2020).</w:t>
      </w:r>
    </w:p>
    <w:p w14:paraId="04882F75" w14:textId="2D14C9E2" w:rsidR="0070387B" w:rsidRPr="0070387B" w:rsidRDefault="0070387B" w:rsidP="0070387B">
      <w:r w:rsidRPr="0070387B">
        <w:t>Later in the evaluation phase, the product name was changed to</w:t>
      </w:r>
      <w:r w:rsidR="00C87093">
        <w:t xml:space="preserve"> </w:t>
      </w:r>
      <w:r w:rsidR="00B05DC0">
        <w:t xml:space="preserve">Inqovi </w:t>
      </w:r>
      <w:r>
        <w:t>35/100</w:t>
      </w:r>
      <w:r w:rsidRPr="0070387B">
        <w:t xml:space="preserve"> to depict 35 mg of decitabine and 100 mg of cedazuridine.</w:t>
      </w:r>
    </w:p>
    <w:p w14:paraId="39A99421" w14:textId="5B9E2850" w:rsidR="007D53B6" w:rsidRDefault="007D53B6" w:rsidP="007D53B6">
      <w:r>
        <w:t>The summary of safety concerns and their associated risk monitoring and mitigation strat</w:t>
      </w:r>
      <w:r w:rsidR="0070387B">
        <w:t xml:space="preserve">egies are summarised in </w:t>
      </w:r>
      <w:r w:rsidR="0070387B">
        <w:fldChar w:fldCharType="begin"/>
      </w:r>
      <w:r w:rsidR="0070387B">
        <w:instrText xml:space="preserve"> REF _Ref59613758 \h </w:instrText>
      </w:r>
      <w:r w:rsidR="0070387B">
        <w:fldChar w:fldCharType="separate"/>
      </w:r>
      <w:r w:rsidR="00BC61E1" w:rsidRPr="0070387B">
        <w:t xml:space="preserve">Table </w:t>
      </w:r>
      <w:r w:rsidR="00BC61E1">
        <w:rPr>
          <w:noProof/>
        </w:rPr>
        <w:t>12</w:t>
      </w:r>
      <w:r w:rsidR="0070387B">
        <w:fldChar w:fldCharType="end"/>
      </w:r>
      <w:r>
        <w:t>.</w:t>
      </w:r>
      <w:r>
        <w:rPr>
          <w:rStyle w:val="FootnoteReference"/>
        </w:rPr>
        <w:footnoteReference w:id="11"/>
      </w:r>
    </w:p>
    <w:p w14:paraId="1CEDE2A8" w14:textId="22E078F7" w:rsidR="0070387B" w:rsidRDefault="0070387B" w:rsidP="0070387B">
      <w:pPr>
        <w:pStyle w:val="TableTitle"/>
      </w:pPr>
      <w:bookmarkStart w:id="53" w:name="_Ref59613758"/>
      <w:r w:rsidRPr="0070387B">
        <w:t xml:space="preserve">Table </w:t>
      </w:r>
      <w:fldSimple w:instr=" SEQ Table \* ARABIC ">
        <w:r w:rsidR="00BC61E1">
          <w:rPr>
            <w:noProof/>
          </w:rPr>
          <w:t>12</w:t>
        </w:r>
      </w:fldSimple>
      <w:bookmarkEnd w:id="53"/>
      <w:r>
        <w:t xml:space="preserve">: Summary of </w:t>
      </w:r>
      <w:r w:rsidRPr="0070387B">
        <w:t>safety concerns and their associated risk monitoring and mitigation strategies</w:t>
      </w:r>
    </w:p>
    <w:tbl>
      <w:tblPr>
        <w:tblStyle w:val="TableTGAblue"/>
        <w:tblW w:w="4964" w:type="pct"/>
        <w:tblLayout w:type="fixed"/>
        <w:tblLook w:val="04A0" w:firstRow="1" w:lastRow="0" w:firstColumn="1" w:lastColumn="0" w:noHBand="0" w:noVBand="1"/>
      </w:tblPr>
      <w:tblGrid>
        <w:gridCol w:w="1642"/>
        <w:gridCol w:w="2157"/>
        <w:gridCol w:w="1170"/>
        <w:gridCol w:w="1262"/>
        <w:gridCol w:w="1082"/>
        <w:gridCol w:w="1344"/>
      </w:tblGrid>
      <w:tr w:rsidR="002B1CC7" w:rsidRPr="00BF52F4" w14:paraId="39299E9B" w14:textId="77777777" w:rsidTr="002B1CC7">
        <w:trPr>
          <w:cnfStyle w:val="100000000000" w:firstRow="1" w:lastRow="0" w:firstColumn="0" w:lastColumn="0" w:oddVBand="0" w:evenVBand="0" w:oddHBand="0" w:evenHBand="0" w:firstRowFirstColumn="0" w:firstRowLastColumn="0" w:lastRowFirstColumn="0" w:lastRowLastColumn="0"/>
          <w:trHeight w:val="128"/>
        </w:trPr>
        <w:tc>
          <w:tcPr>
            <w:tcW w:w="2194" w:type="pct"/>
            <w:gridSpan w:val="2"/>
            <w:vMerge w:val="restart"/>
            <w:tcBorders>
              <w:top w:val="single" w:sz="4" w:space="0" w:color="auto"/>
              <w:left w:val="single" w:sz="4" w:space="0" w:color="auto"/>
              <w:bottom w:val="single" w:sz="4" w:space="0" w:color="auto"/>
              <w:right w:val="single" w:sz="4" w:space="0" w:color="auto"/>
            </w:tcBorders>
          </w:tcPr>
          <w:p w14:paraId="6590DBF8" w14:textId="77777777" w:rsidR="0070387B" w:rsidRPr="0070387B" w:rsidRDefault="0070387B" w:rsidP="00D324CC">
            <w:pPr>
              <w:pStyle w:val="Tabletext"/>
              <w:rPr>
                <w:b w:val="0"/>
              </w:rPr>
            </w:pPr>
            <w:r w:rsidRPr="0070387B">
              <w:t>Summary of safety concerns</w:t>
            </w:r>
          </w:p>
        </w:tc>
        <w:tc>
          <w:tcPr>
            <w:tcW w:w="1405" w:type="pct"/>
            <w:gridSpan w:val="2"/>
            <w:tcBorders>
              <w:top w:val="single" w:sz="4" w:space="0" w:color="auto"/>
              <w:left w:val="single" w:sz="4" w:space="0" w:color="auto"/>
              <w:bottom w:val="single" w:sz="4" w:space="0" w:color="auto"/>
              <w:right w:val="single" w:sz="4" w:space="0" w:color="auto"/>
            </w:tcBorders>
          </w:tcPr>
          <w:p w14:paraId="0153AD9D" w14:textId="77777777" w:rsidR="0070387B" w:rsidRPr="0070387B" w:rsidRDefault="0070387B" w:rsidP="00337237">
            <w:pPr>
              <w:pStyle w:val="Tabletext"/>
              <w:ind w:left="0"/>
              <w:rPr>
                <w:b w:val="0"/>
                <w:sz w:val="18"/>
              </w:rPr>
            </w:pPr>
            <w:r w:rsidRPr="0070387B">
              <w:rPr>
                <w:sz w:val="18"/>
              </w:rPr>
              <w:t>Pharmacovigilance</w:t>
            </w:r>
          </w:p>
        </w:tc>
        <w:tc>
          <w:tcPr>
            <w:tcW w:w="1402" w:type="pct"/>
            <w:gridSpan w:val="2"/>
            <w:tcBorders>
              <w:top w:val="single" w:sz="4" w:space="0" w:color="auto"/>
              <w:left w:val="single" w:sz="4" w:space="0" w:color="auto"/>
              <w:bottom w:val="single" w:sz="4" w:space="0" w:color="auto"/>
              <w:right w:val="single" w:sz="4" w:space="0" w:color="auto"/>
            </w:tcBorders>
          </w:tcPr>
          <w:p w14:paraId="0237FE76" w14:textId="77777777" w:rsidR="0070387B" w:rsidRPr="0070387B" w:rsidRDefault="0070387B" w:rsidP="00337237">
            <w:pPr>
              <w:pStyle w:val="Tabletext"/>
              <w:ind w:left="0"/>
              <w:rPr>
                <w:b w:val="0"/>
                <w:sz w:val="18"/>
              </w:rPr>
            </w:pPr>
            <w:r w:rsidRPr="0070387B">
              <w:rPr>
                <w:sz w:val="18"/>
              </w:rPr>
              <w:t>Risk Minimisation</w:t>
            </w:r>
          </w:p>
        </w:tc>
      </w:tr>
      <w:tr w:rsidR="002B1CC7" w:rsidRPr="00BF52F4" w14:paraId="2899A84E" w14:textId="77777777" w:rsidTr="002B1CC7">
        <w:trPr>
          <w:trHeight w:val="146"/>
        </w:trPr>
        <w:tc>
          <w:tcPr>
            <w:tcW w:w="2194" w:type="pct"/>
            <w:gridSpan w:val="2"/>
            <w:vMerge/>
            <w:tcBorders>
              <w:top w:val="single" w:sz="4" w:space="0" w:color="auto"/>
            </w:tcBorders>
          </w:tcPr>
          <w:p w14:paraId="0CB665F5" w14:textId="77777777" w:rsidR="0070387B" w:rsidRPr="0070387B" w:rsidRDefault="0070387B" w:rsidP="00D324CC">
            <w:pPr>
              <w:pStyle w:val="Tabletext"/>
              <w:rPr>
                <w:b/>
                <w:color w:val="FFFFFF" w:themeColor="background1"/>
              </w:rPr>
            </w:pPr>
          </w:p>
        </w:tc>
        <w:tc>
          <w:tcPr>
            <w:tcW w:w="676" w:type="pct"/>
            <w:tcBorders>
              <w:top w:val="single" w:sz="4" w:space="0" w:color="auto"/>
            </w:tcBorders>
            <w:shd w:val="clear" w:color="auto" w:fill="006DA7"/>
          </w:tcPr>
          <w:p w14:paraId="4C72115D" w14:textId="77777777" w:rsidR="0070387B" w:rsidRPr="0070387B" w:rsidRDefault="0070387B" w:rsidP="00337237">
            <w:pPr>
              <w:pStyle w:val="Tabletext"/>
              <w:ind w:left="0"/>
              <w:rPr>
                <w:b/>
                <w:color w:val="FFFFFF" w:themeColor="background1"/>
                <w:sz w:val="18"/>
              </w:rPr>
            </w:pPr>
            <w:r w:rsidRPr="0070387B">
              <w:rPr>
                <w:b/>
                <w:color w:val="FFFFFF" w:themeColor="background1"/>
                <w:sz w:val="18"/>
              </w:rPr>
              <w:t>Routine</w:t>
            </w:r>
          </w:p>
        </w:tc>
        <w:tc>
          <w:tcPr>
            <w:tcW w:w="729" w:type="pct"/>
            <w:tcBorders>
              <w:top w:val="single" w:sz="4" w:space="0" w:color="auto"/>
            </w:tcBorders>
            <w:shd w:val="clear" w:color="auto" w:fill="006DA7"/>
          </w:tcPr>
          <w:p w14:paraId="4F1100D0" w14:textId="77777777" w:rsidR="0070387B" w:rsidRPr="0070387B" w:rsidRDefault="0070387B" w:rsidP="00337237">
            <w:pPr>
              <w:pStyle w:val="Tabletext"/>
              <w:ind w:left="0"/>
              <w:rPr>
                <w:b/>
                <w:color w:val="FFFFFF" w:themeColor="background1"/>
                <w:sz w:val="18"/>
              </w:rPr>
            </w:pPr>
            <w:r w:rsidRPr="0070387B">
              <w:rPr>
                <w:b/>
                <w:color w:val="FFFFFF" w:themeColor="background1"/>
                <w:sz w:val="18"/>
              </w:rPr>
              <w:t>Additional</w:t>
            </w:r>
          </w:p>
        </w:tc>
        <w:tc>
          <w:tcPr>
            <w:tcW w:w="625" w:type="pct"/>
            <w:tcBorders>
              <w:top w:val="single" w:sz="4" w:space="0" w:color="auto"/>
            </w:tcBorders>
            <w:shd w:val="clear" w:color="auto" w:fill="006DA7"/>
          </w:tcPr>
          <w:p w14:paraId="5A591835" w14:textId="77777777" w:rsidR="0070387B" w:rsidRPr="0070387B" w:rsidRDefault="0070387B" w:rsidP="00337237">
            <w:pPr>
              <w:pStyle w:val="Tabletext"/>
              <w:ind w:left="0"/>
              <w:rPr>
                <w:b/>
                <w:color w:val="FFFFFF" w:themeColor="background1"/>
                <w:sz w:val="18"/>
              </w:rPr>
            </w:pPr>
            <w:r w:rsidRPr="0070387B">
              <w:rPr>
                <w:b/>
                <w:color w:val="FFFFFF" w:themeColor="background1"/>
                <w:sz w:val="18"/>
              </w:rPr>
              <w:t>Routine</w:t>
            </w:r>
          </w:p>
        </w:tc>
        <w:tc>
          <w:tcPr>
            <w:tcW w:w="777" w:type="pct"/>
            <w:tcBorders>
              <w:top w:val="single" w:sz="4" w:space="0" w:color="auto"/>
            </w:tcBorders>
            <w:shd w:val="clear" w:color="auto" w:fill="006DA7"/>
          </w:tcPr>
          <w:p w14:paraId="270291A2" w14:textId="77777777" w:rsidR="0070387B" w:rsidRPr="0070387B" w:rsidRDefault="0070387B" w:rsidP="00337237">
            <w:pPr>
              <w:pStyle w:val="Tabletext"/>
              <w:ind w:left="0"/>
              <w:rPr>
                <w:b/>
                <w:color w:val="FFFFFF" w:themeColor="background1"/>
                <w:sz w:val="18"/>
              </w:rPr>
            </w:pPr>
            <w:r w:rsidRPr="0070387B">
              <w:rPr>
                <w:b/>
                <w:color w:val="FFFFFF" w:themeColor="background1"/>
                <w:sz w:val="18"/>
              </w:rPr>
              <w:t>Additional</w:t>
            </w:r>
          </w:p>
        </w:tc>
      </w:tr>
      <w:tr w:rsidR="002B1CC7" w:rsidRPr="00BF52F4" w14:paraId="06F99B4D" w14:textId="77777777" w:rsidTr="00337237">
        <w:trPr>
          <w:trHeight w:val="133"/>
        </w:trPr>
        <w:tc>
          <w:tcPr>
            <w:tcW w:w="948" w:type="pct"/>
          </w:tcPr>
          <w:p w14:paraId="29DA7182" w14:textId="77777777" w:rsidR="0070387B" w:rsidRPr="00BF52F4" w:rsidRDefault="0070387B" w:rsidP="00D324CC">
            <w:pPr>
              <w:pStyle w:val="Tabletext"/>
              <w:rPr>
                <w:b/>
              </w:rPr>
            </w:pPr>
            <w:r w:rsidRPr="00BF52F4">
              <w:rPr>
                <w:b/>
              </w:rPr>
              <w:t>Important identified risks</w:t>
            </w:r>
          </w:p>
        </w:tc>
        <w:tc>
          <w:tcPr>
            <w:tcW w:w="1245" w:type="pct"/>
          </w:tcPr>
          <w:p w14:paraId="3C415268" w14:textId="77777777" w:rsidR="0070387B" w:rsidRPr="00BF52F4" w:rsidRDefault="0070387B" w:rsidP="00D324CC">
            <w:pPr>
              <w:pStyle w:val="Tabletext"/>
            </w:pPr>
            <w:r>
              <w:t>None</w:t>
            </w:r>
          </w:p>
        </w:tc>
        <w:tc>
          <w:tcPr>
            <w:tcW w:w="676" w:type="pct"/>
          </w:tcPr>
          <w:p w14:paraId="310332E1" w14:textId="77777777" w:rsidR="0070387B" w:rsidRPr="00474988" w:rsidRDefault="0070387B" w:rsidP="00D324CC">
            <w:pPr>
              <w:pStyle w:val="Tabletext"/>
              <w:jc w:val="center"/>
              <w:rPr>
                <w:color w:val="auto"/>
              </w:rPr>
            </w:pPr>
          </w:p>
        </w:tc>
        <w:tc>
          <w:tcPr>
            <w:tcW w:w="729" w:type="pct"/>
          </w:tcPr>
          <w:p w14:paraId="62C3A612" w14:textId="77777777" w:rsidR="0070387B" w:rsidRPr="00474988" w:rsidRDefault="0070387B" w:rsidP="00D324CC">
            <w:pPr>
              <w:pStyle w:val="Tabletext"/>
              <w:jc w:val="center"/>
              <w:rPr>
                <w:color w:val="auto"/>
              </w:rPr>
            </w:pPr>
          </w:p>
        </w:tc>
        <w:tc>
          <w:tcPr>
            <w:tcW w:w="625" w:type="pct"/>
          </w:tcPr>
          <w:p w14:paraId="06C6F38F" w14:textId="77777777" w:rsidR="0070387B" w:rsidRPr="00474988" w:rsidRDefault="0070387B" w:rsidP="00D324CC">
            <w:pPr>
              <w:pStyle w:val="Tabletext"/>
              <w:jc w:val="center"/>
              <w:rPr>
                <w:color w:val="auto"/>
              </w:rPr>
            </w:pPr>
          </w:p>
        </w:tc>
        <w:tc>
          <w:tcPr>
            <w:tcW w:w="777" w:type="pct"/>
          </w:tcPr>
          <w:p w14:paraId="197A6176" w14:textId="77777777" w:rsidR="0070387B" w:rsidRPr="00474988" w:rsidRDefault="0070387B" w:rsidP="00D324CC">
            <w:pPr>
              <w:pStyle w:val="Tabletext"/>
              <w:jc w:val="center"/>
              <w:rPr>
                <w:color w:val="auto"/>
              </w:rPr>
            </w:pPr>
          </w:p>
        </w:tc>
      </w:tr>
      <w:tr w:rsidR="002B1CC7" w:rsidRPr="00BF52F4" w14:paraId="69E08E2E" w14:textId="77777777" w:rsidTr="00337237">
        <w:trPr>
          <w:trHeight w:val="155"/>
        </w:trPr>
        <w:tc>
          <w:tcPr>
            <w:tcW w:w="948" w:type="pct"/>
          </w:tcPr>
          <w:p w14:paraId="30C78BA0" w14:textId="77777777" w:rsidR="0070387B" w:rsidRPr="00BF52F4" w:rsidRDefault="0070387B" w:rsidP="00D324CC">
            <w:pPr>
              <w:pStyle w:val="Tabletext"/>
              <w:rPr>
                <w:b/>
              </w:rPr>
            </w:pPr>
            <w:r w:rsidRPr="00BF52F4">
              <w:rPr>
                <w:b/>
              </w:rPr>
              <w:t>Important potential risks</w:t>
            </w:r>
          </w:p>
        </w:tc>
        <w:tc>
          <w:tcPr>
            <w:tcW w:w="1245" w:type="pct"/>
          </w:tcPr>
          <w:p w14:paraId="72444ADE" w14:textId="77777777" w:rsidR="0070387B" w:rsidRPr="00BF52F4" w:rsidRDefault="0070387B" w:rsidP="00D324CC">
            <w:pPr>
              <w:pStyle w:val="Tabletext"/>
            </w:pPr>
            <w:r>
              <w:t>Interstitial lung disease (ILD)</w:t>
            </w:r>
          </w:p>
        </w:tc>
        <w:tc>
          <w:tcPr>
            <w:tcW w:w="676" w:type="pct"/>
          </w:tcPr>
          <w:p w14:paraId="40F92D5F" w14:textId="77777777" w:rsidR="0070387B" w:rsidRPr="00474988" w:rsidRDefault="0070387B" w:rsidP="00D324CC">
            <w:pPr>
              <w:pStyle w:val="Tabletext"/>
              <w:jc w:val="center"/>
              <w:rPr>
                <w:color w:val="auto"/>
              </w:rPr>
            </w:pPr>
            <w:r w:rsidRPr="00474988">
              <w:rPr>
                <w:color w:val="auto"/>
              </w:rPr>
              <w:sym w:font="Wingdings" w:char="F0FC"/>
            </w:r>
          </w:p>
        </w:tc>
        <w:tc>
          <w:tcPr>
            <w:tcW w:w="729" w:type="pct"/>
          </w:tcPr>
          <w:p w14:paraId="324E5FC4" w14:textId="77777777" w:rsidR="0070387B" w:rsidRPr="00474988" w:rsidRDefault="0070387B" w:rsidP="00D324CC">
            <w:pPr>
              <w:pStyle w:val="Tabletext"/>
              <w:jc w:val="center"/>
              <w:rPr>
                <w:color w:val="auto"/>
              </w:rPr>
            </w:pPr>
            <w:r w:rsidRPr="00474988">
              <w:rPr>
                <w:color w:val="auto"/>
              </w:rPr>
              <w:t>–</w:t>
            </w:r>
          </w:p>
        </w:tc>
        <w:tc>
          <w:tcPr>
            <w:tcW w:w="625" w:type="pct"/>
          </w:tcPr>
          <w:p w14:paraId="03BCBC45" w14:textId="77777777" w:rsidR="0070387B" w:rsidRPr="00474988" w:rsidRDefault="0070387B" w:rsidP="00D324CC">
            <w:pPr>
              <w:pStyle w:val="Tabletext"/>
              <w:jc w:val="center"/>
              <w:rPr>
                <w:color w:val="auto"/>
              </w:rPr>
            </w:pPr>
            <w:r w:rsidRPr="00474988">
              <w:rPr>
                <w:color w:val="auto"/>
              </w:rPr>
              <w:sym w:font="Wingdings" w:char="F0FC"/>
            </w:r>
          </w:p>
        </w:tc>
        <w:tc>
          <w:tcPr>
            <w:tcW w:w="777" w:type="pct"/>
          </w:tcPr>
          <w:p w14:paraId="7A8F6347" w14:textId="77777777" w:rsidR="0070387B" w:rsidRPr="00474988" w:rsidRDefault="0070387B" w:rsidP="00D324CC">
            <w:pPr>
              <w:pStyle w:val="Tabletext"/>
              <w:jc w:val="center"/>
              <w:rPr>
                <w:color w:val="auto"/>
              </w:rPr>
            </w:pPr>
            <w:r w:rsidRPr="00474988">
              <w:rPr>
                <w:color w:val="auto"/>
              </w:rPr>
              <w:t>–</w:t>
            </w:r>
          </w:p>
        </w:tc>
      </w:tr>
      <w:tr w:rsidR="002B1CC7" w:rsidRPr="00BF52F4" w14:paraId="0C39137A" w14:textId="77777777" w:rsidTr="00337237">
        <w:trPr>
          <w:trHeight w:val="174"/>
        </w:trPr>
        <w:tc>
          <w:tcPr>
            <w:tcW w:w="948" w:type="pct"/>
            <w:vMerge w:val="restart"/>
          </w:tcPr>
          <w:p w14:paraId="66BB706C" w14:textId="77777777" w:rsidR="0070387B" w:rsidRPr="00BF52F4" w:rsidRDefault="0070387B" w:rsidP="00D324CC">
            <w:pPr>
              <w:pStyle w:val="Tabletext"/>
              <w:rPr>
                <w:b/>
              </w:rPr>
            </w:pPr>
            <w:r w:rsidRPr="00BF52F4">
              <w:rPr>
                <w:b/>
              </w:rPr>
              <w:t>Missing information</w:t>
            </w:r>
          </w:p>
        </w:tc>
        <w:tc>
          <w:tcPr>
            <w:tcW w:w="1245" w:type="pct"/>
          </w:tcPr>
          <w:p w14:paraId="3FD4C6C9" w14:textId="77777777" w:rsidR="0070387B" w:rsidRPr="00BF52F4" w:rsidRDefault="0070387B" w:rsidP="00D324CC">
            <w:pPr>
              <w:pStyle w:val="Tabletext"/>
            </w:pPr>
            <w:r>
              <w:t>Use in severe renal impairment</w:t>
            </w:r>
          </w:p>
        </w:tc>
        <w:tc>
          <w:tcPr>
            <w:tcW w:w="676" w:type="pct"/>
          </w:tcPr>
          <w:p w14:paraId="60DAE7E8" w14:textId="77777777" w:rsidR="0070387B" w:rsidRPr="00474988" w:rsidRDefault="0070387B" w:rsidP="00D324CC">
            <w:pPr>
              <w:pStyle w:val="Tabletext"/>
              <w:jc w:val="center"/>
              <w:rPr>
                <w:color w:val="auto"/>
              </w:rPr>
            </w:pPr>
            <w:r w:rsidRPr="00474988">
              <w:rPr>
                <w:color w:val="auto"/>
              </w:rPr>
              <w:sym w:font="Wingdings" w:char="F0FC"/>
            </w:r>
          </w:p>
        </w:tc>
        <w:tc>
          <w:tcPr>
            <w:tcW w:w="729" w:type="pct"/>
          </w:tcPr>
          <w:p w14:paraId="48FF95C8" w14:textId="77777777" w:rsidR="0070387B" w:rsidRPr="00474988" w:rsidRDefault="0070387B" w:rsidP="00D324CC">
            <w:pPr>
              <w:pStyle w:val="Tabletext"/>
              <w:jc w:val="center"/>
              <w:rPr>
                <w:color w:val="auto"/>
              </w:rPr>
            </w:pPr>
            <w:r w:rsidRPr="00474988">
              <w:rPr>
                <w:color w:val="auto"/>
              </w:rPr>
              <w:t>–</w:t>
            </w:r>
          </w:p>
        </w:tc>
        <w:tc>
          <w:tcPr>
            <w:tcW w:w="625" w:type="pct"/>
          </w:tcPr>
          <w:p w14:paraId="10220615" w14:textId="77777777" w:rsidR="0070387B" w:rsidRPr="00474988" w:rsidRDefault="0070387B" w:rsidP="00D324CC">
            <w:pPr>
              <w:pStyle w:val="Tabletext"/>
              <w:jc w:val="center"/>
              <w:rPr>
                <w:color w:val="auto"/>
              </w:rPr>
            </w:pPr>
            <w:r w:rsidRPr="00474988">
              <w:rPr>
                <w:color w:val="auto"/>
              </w:rPr>
              <w:sym w:font="Wingdings" w:char="F0FC"/>
            </w:r>
            <w:r w:rsidRPr="00474988">
              <w:rPr>
                <w:color w:val="auto"/>
              </w:rPr>
              <w:t>*</w:t>
            </w:r>
          </w:p>
        </w:tc>
        <w:tc>
          <w:tcPr>
            <w:tcW w:w="777" w:type="pct"/>
          </w:tcPr>
          <w:p w14:paraId="045000BD" w14:textId="77777777" w:rsidR="0070387B" w:rsidRPr="00474988" w:rsidRDefault="0070387B" w:rsidP="00D324CC">
            <w:pPr>
              <w:pStyle w:val="Tabletext"/>
              <w:jc w:val="center"/>
              <w:rPr>
                <w:color w:val="auto"/>
              </w:rPr>
            </w:pPr>
            <w:r w:rsidRPr="00474988">
              <w:rPr>
                <w:color w:val="auto"/>
              </w:rPr>
              <w:t>–</w:t>
            </w:r>
          </w:p>
        </w:tc>
      </w:tr>
      <w:tr w:rsidR="002B1CC7" w:rsidRPr="00BF52F4" w14:paraId="57815812" w14:textId="77777777" w:rsidTr="00337237">
        <w:trPr>
          <w:trHeight w:val="100"/>
        </w:trPr>
        <w:tc>
          <w:tcPr>
            <w:tcW w:w="948" w:type="pct"/>
            <w:vMerge/>
          </w:tcPr>
          <w:p w14:paraId="04ACE75F" w14:textId="77777777" w:rsidR="0070387B" w:rsidRPr="00BF52F4" w:rsidRDefault="0070387B" w:rsidP="00D324CC">
            <w:pPr>
              <w:pStyle w:val="Tabletext"/>
            </w:pPr>
          </w:p>
        </w:tc>
        <w:tc>
          <w:tcPr>
            <w:tcW w:w="1245" w:type="pct"/>
          </w:tcPr>
          <w:p w14:paraId="7834D5E4" w14:textId="77777777" w:rsidR="0070387B" w:rsidRPr="00BF52F4" w:rsidRDefault="0070387B" w:rsidP="00D324CC">
            <w:pPr>
              <w:pStyle w:val="Tabletext"/>
            </w:pPr>
            <w:r>
              <w:t>Use in hepatic impairment</w:t>
            </w:r>
          </w:p>
        </w:tc>
        <w:tc>
          <w:tcPr>
            <w:tcW w:w="676" w:type="pct"/>
          </w:tcPr>
          <w:p w14:paraId="1DFE7661" w14:textId="77777777" w:rsidR="0070387B" w:rsidRPr="00474988" w:rsidRDefault="0070387B" w:rsidP="00D324CC">
            <w:pPr>
              <w:pStyle w:val="Tabletext"/>
              <w:jc w:val="center"/>
              <w:rPr>
                <w:color w:val="auto"/>
              </w:rPr>
            </w:pPr>
            <w:r w:rsidRPr="00474988">
              <w:rPr>
                <w:color w:val="auto"/>
              </w:rPr>
              <w:sym w:font="Wingdings" w:char="F0FC"/>
            </w:r>
          </w:p>
        </w:tc>
        <w:tc>
          <w:tcPr>
            <w:tcW w:w="729" w:type="pct"/>
          </w:tcPr>
          <w:p w14:paraId="4610261A" w14:textId="77777777" w:rsidR="0070387B" w:rsidRPr="00474988" w:rsidRDefault="0070387B" w:rsidP="00D324CC">
            <w:pPr>
              <w:pStyle w:val="Tabletext"/>
              <w:jc w:val="center"/>
              <w:rPr>
                <w:color w:val="auto"/>
              </w:rPr>
            </w:pPr>
            <w:r w:rsidRPr="00474988">
              <w:rPr>
                <w:color w:val="auto"/>
              </w:rPr>
              <w:t>–</w:t>
            </w:r>
          </w:p>
        </w:tc>
        <w:tc>
          <w:tcPr>
            <w:tcW w:w="625" w:type="pct"/>
          </w:tcPr>
          <w:p w14:paraId="74929C7E" w14:textId="77777777" w:rsidR="0070387B" w:rsidRPr="00474988" w:rsidRDefault="0070387B" w:rsidP="00D324CC">
            <w:pPr>
              <w:pStyle w:val="Tabletext"/>
              <w:jc w:val="center"/>
              <w:rPr>
                <w:color w:val="auto"/>
              </w:rPr>
            </w:pPr>
            <w:r w:rsidRPr="00474988">
              <w:rPr>
                <w:color w:val="auto"/>
              </w:rPr>
              <w:sym w:font="Wingdings" w:char="F0FC"/>
            </w:r>
            <w:r w:rsidRPr="00474988">
              <w:rPr>
                <w:color w:val="auto"/>
              </w:rPr>
              <w:t>*</w:t>
            </w:r>
          </w:p>
        </w:tc>
        <w:tc>
          <w:tcPr>
            <w:tcW w:w="777" w:type="pct"/>
          </w:tcPr>
          <w:p w14:paraId="378A80F0" w14:textId="77777777" w:rsidR="0070387B" w:rsidRPr="00474988" w:rsidRDefault="0070387B" w:rsidP="00D324CC">
            <w:pPr>
              <w:pStyle w:val="Tabletext"/>
              <w:jc w:val="center"/>
              <w:rPr>
                <w:color w:val="auto"/>
              </w:rPr>
            </w:pPr>
            <w:r w:rsidRPr="00474988">
              <w:rPr>
                <w:color w:val="auto"/>
              </w:rPr>
              <w:t>–</w:t>
            </w:r>
          </w:p>
        </w:tc>
      </w:tr>
      <w:tr w:rsidR="002B1CC7" w:rsidRPr="00BF52F4" w14:paraId="21CE7AC1" w14:textId="77777777" w:rsidTr="00337237">
        <w:trPr>
          <w:trHeight w:val="136"/>
        </w:trPr>
        <w:tc>
          <w:tcPr>
            <w:tcW w:w="948" w:type="pct"/>
            <w:vMerge/>
          </w:tcPr>
          <w:p w14:paraId="181C7F10" w14:textId="77777777" w:rsidR="0070387B" w:rsidRPr="00BF52F4" w:rsidRDefault="0070387B" w:rsidP="00D324CC">
            <w:pPr>
              <w:pStyle w:val="Tabletext"/>
            </w:pPr>
          </w:p>
        </w:tc>
        <w:tc>
          <w:tcPr>
            <w:tcW w:w="1245" w:type="pct"/>
          </w:tcPr>
          <w:p w14:paraId="18433818" w14:textId="2B2B4170" w:rsidR="0070387B" w:rsidRPr="00BF52F4" w:rsidRDefault="0070387B" w:rsidP="00D324CC">
            <w:pPr>
              <w:pStyle w:val="Tabletext"/>
            </w:pPr>
            <w:r>
              <w:t>Use</w:t>
            </w:r>
            <w:r w:rsidR="001D3022">
              <w:t xml:space="preserve"> in severe cardiac disease (for example</w:t>
            </w:r>
            <w:r>
              <w:t xml:space="preserve"> uncontrolled angina or severe congestive heart failure, New York Heart Association Grades III-IV (NYHA III-IV))</w:t>
            </w:r>
            <w:r w:rsidR="002B1CC7">
              <w:rPr>
                <w:rStyle w:val="FootnoteReference"/>
              </w:rPr>
              <w:footnoteReference w:id="12"/>
            </w:r>
          </w:p>
        </w:tc>
        <w:tc>
          <w:tcPr>
            <w:tcW w:w="676" w:type="pct"/>
          </w:tcPr>
          <w:p w14:paraId="65CBBBCB" w14:textId="77777777" w:rsidR="0070387B" w:rsidRPr="00474988" w:rsidRDefault="0070387B" w:rsidP="00D324CC">
            <w:pPr>
              <w:pStyle w:val="Tabletext"/>
              <w:jc w:val="center"/>
              <w:rPr>
                <w:color w:val="auto"/>
              </w:rPr>
            </w:pPr>
            <w:r w:rsidRPr="00474988">
              <w:rPr>
                <w:color w:val="auto"/>
              </w:rPr>
              <w:sym w:font="Wingdings" w:char="F0FC"/>
            </w:r>
          </w:p>
        </w:tc>
        <w:tc>
          <w:tcPr>
            <w:tcW w:w="729" w:type="pct"/>
          </w:tcPr>
          <w:p w14:paraId="53F05B19" w14:textId="77777777" w:rsidR="0070387B" w:rsidRPr="00474988" w:rsidRDefault="0070387B" w:rsidP="00D324CC">
            <w:pPr>
              <w:pStyle w:val="Tabletext"/>
              <w:jc w:val="center"/>
              <w:rPr>
                <w:color w:val="auto"/>
              </w:rPr>
            </w:pPr>
            <w:r w:rsidRPr="00474988">
              <w:rPr>
                <w:color w:val="auto"/>
              </w:rPr>
              <w:t>–</w:t>
            </w:r>
          </w:p>
        </w:tc>
        <w:tc>
          <w:tcPr>
            <w:tcW w:w="625" w:type="pct"/>
          </w:tcPr>
          <w:p w14:paraId="46E3ADB1" w14:textId="77777777" w:rsidR="0070387B" w:rsidRPr="00474988" w:rsidRDefault="0070387B" w:rsidP="00D324CC">
            <w:pPr>
              <w:pStyle w:val="Tabletext"/>
              <w:jc w:val="center"/>
              <w:rPr>
                <w:color w:val="auto"/>
              </w:rPr>
            </w:pPr>
            <w:r w:rsidRPr="00474988">
              <w:rPr>
                <w:color w:val="auto"/>
              </w:rPr>
              <w:sym w:font="Wingdings" w:char="F0FC"/>
            </w:r>
            <w:r w:rsidRPr="00474988">
              <w:rPr>
                <w:color w:val="auto"/>
              </w:rPr>
              <w:t>*</w:t>
            </w:r>
          </w:p>
        </w:tc>
        <w:tc>
          <w:tcPr>
            <w:tcW w:w="777" w:type="pct"/>
          </w:tcPr>
          <w:p w14:paraId="278B3073" w14:textId="77777777" w:rsidR="0070387B" w:rsidRPr="00474988" w:rsidRDefault="0070387B" w:rsidP="00D324CC">
            <w:pPr>
              <w:pStyle w:val="Tabletext"/>
              <w:jc w:val="center"/>
              <w:rPr>
                <w:color w:val="auto"/>
              </w:rPr>
            </w:pPr>
            <w:r w:rsidRPr="00474988">
              <w:rPr>
                <w:color w:val="auto"/>
              </w:rPr>
              <w:t>–</w:t>
            </w:r>
          </w:p>
        </w:tc>
      </w:tr>
    </w:tbl>
    <w:p w14:paraId="2088E142" w14:textId="6B758AB8" w:rsidR="0070387B" w:rsidRDefault="00A37E1F" w:rsidP="00A37E1F">
      <w:pPr>
        <w:pStyle w:val="TableDescription"/>
      </w:pPr>
      <w:r>
        <w:t>* Clinical trials</w:t>
      </w:r>
    </w:p>
    <w:p w14:paraId="6C92EFC4" w14:textId="1071F732" w:rsidR="00A37E1F" w:rsidRDefault="00A37E1F" w:rsidP="00A37E1F">
      <w:r>
        <w:t>The summary of safety concerns is acceptable from an RMP perspective.</w:t>
      </w:r>
    </w:p>
    <w:p w14:paraId="5C052524" w14:textId="23AB374A" w:rsidR="00A37E1F" w:rsidRDefault="00A37E1F" w:rsidP="00A37E1F">
      <w:r>
        <w:t>The sponsor has proposed routine pharmacovigilance activities for all safety concern. Additional pharmacovigilance activities are planned for all of the missing information. The pharmacovigilance plan is acceptable from an RMP perspective.</w:t>
      </w:r>
    </w:p>
    <w:p w14:paraId="1757949B" w14:textId="52F65155" w:rsidR="00A37E1F" w:rsidRDefault="00A37E1F" w:rsidP="00A37E1F">
      <w:r>
        <w:t xml:space="preserve">The sponsor has proposed routine risk minimisation activities for all safety concerns. The </w:t>
      </w:r>
      <w:r w:rsidR="002B1CC7">
        <w:t>Consumer M</w:t>
      </w:r>
      <w:r w:rsidR="006A110B">
        <w:t xml:space="preserve">edicine </w:t>
      </w:r>
      <w:r w:rsidR="002B1CC7">
        <w:t>I</w:t>
      </w:r>
      <w:r w:rsidR="006A110B">
        <w:t>nformation (</w:t>
      </w:r>
      <w:r>
        <w:t>CMI</w:t>
      </w:r>
      <w:r w:rsidR="006A110B">
        <w:t>)</w:t>
      </w:r>
      <w:r>
        <w:t xml:space="preserve"> will be included in the pack. No additional risk minimisation activities have been </w:t>
      </w:r>
      <w:r w:rsidRPr="00A37E1F">
        <w:t>proposed. Routine risk minimisation measures are considered acceptable to address the risk associated with this product.</w:t>
      </w:r>
    </w:p>
    <w:p w14:paraId="253B1473" w14:textId="77777777" w:rsidR="00A37E1F" w:rsidRDefault="00A37E1F" w:rsidP="00A37E1F">
      <w:pPr>
        <w:pStyle w:val="Heading4"/>
      </w:pPr>
      <w:r>
        <w:t>Wording for conditions of registration</w:t>
      </w:r>
    </w:p>
    <w:p w14:paraId="668C4755" w14:textId="77777777" w:rsidR="00A37E1F" w:rsidRDefault="00A37E1F" w:rsidP="00A37E1F">
      <w:r>
        <w:t xml:space="preserve">Any changes to which the sponsor has agreed should be included in a revised RMP and ASA. However, irrespective of whether or not they are included in the currently available version of the RMP document, the agreed changes become part of the risk management system. </w:t>
      </w:r>
    </w:p>
    <w:p w14:paraId="2E9973A1" w14:textId="165D33CE" w:rsidR="00A37E1F" w:rsidRDefault="00C87093" w:rsidP="00A37E1F">
      <w:r>
        <w:t>The suggested wording is:</w:t>
      </w:r>
    </w:p>
    <w:p w14:paraId="4FF5A29B" w14:textId="2B9B6514" w:rsidR="00A37E1F" w:rsidRDefault="00A37E1F" w:rsidP="00A37E1F">
      <w:pPr>
        <w:ind w:left="720"/>
      </w:pPr>
      <w:r>
        <w:t xml:space="preserve">‘The </w:t>
      </w:r>
      <w:r w:rsidR="00C81180">
        <w:t xml:space="preserve">Inqovi </w:t>
      </w:r>
      <w:r>
        <w:t>35/100 Core Management Plan (RMP) (version 1.1, dated 25 August 2020, data lock point 19 March 2019), with Australian Specific Annex (version 1.1, dated September 2020), included with submission PM</w:t>
      </w:r>
      <w:r w:rsidR="002B1CC7">
        <w:noBreakHyphen/>
      </w:r>
      <w:r>
        <w:t>2020</w:t>
      </w:r>
      <w:r w:rsidR="002B1CC7">
        <w:noBreakHyphen/>
      </w:r>
      <w:r>
        <w:t>00088-1-6, and any subsequent revisions, as agreed with the TGA will be implemented in Australia.</w:t>
      </w:r>
    </w:p>
    <w:p w14:paraId="1D6BFA37" w14:textId="7F17E12B" w:rsidR="00A37E1F" w:rsidRDefault="00A37E1F" w:rsidP="00A37E1F">
      <w:pPr>
        <w:ind w:left="720"/>
      </w:pPr>
      <w:r>
        <w:t>An obligatory component of risk management plans is routine pharmacovigilance. Routine pharmacovigilance includes the submission of perio</w:t>
      </w:r>
      <w:r w:rsidR="00F04679">
        <w:t>dic safety update reports (PSUR</w:t>
      </w:r>
      <w:r>
        <w:t>).</w:t>
      </w:r>
    </w:p>
    <w:p w14:paraId="526AC4A7" w14:textId="77777777" w:rsidR="00A37E1F" w:rsidRDefault="00A37E1F" w:rsidP="00A37E1F">
      <w:pPr>
        <w:ind w:left="720"/>
      </w:pPr>
      <w:r>
        <w:t>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The annual submission may be made up of two PSURs each covering six months. If the sponsor wishes, the six monthly reports may be submitted separately as they become available.</w:t>
      </w:r>
    </w:p>
    <w:p w14:paraId="65072F1B" w14:textId="1EAC0B59" w:rsidR="00A37E1F" w:rsidRDefault="00A37E1F" w:rsidP="00A37E1F">
      <w:pPr>
        <w:ind w:left="720"/>
      </w:pPr>
      <w:r>
        <w:t xml:space="preserve">If the product is approved in the </w:t>
      </w:r>
      <w:r w:rsidR="00F04679">
        <w:t>European Union (</w:t>
      </w:r>
      <w:r>
        <w:t>EU</w:t>
      </w:r>
      <w:r w:rsidR="00F04679">
        <w:t>)</w:t>
      </w:r>
      <w:r>
        <w:t xml:space="preserve"> during the three years period, reports can be provided in line with the published list of EU reference dates no less frequently than annually from the date of the first submitted report until the period covered by such reports is not less than three years from the date of this approval letter.</w:t>
      </w:r>
    </w:p>
    <w:p w14:paraId="5FA702FC" w14:textId="2C912297" w:rsidR="00A37E1F" w:rsidRDefault="00A37E1F" w:rsidP="00A37E1F">
      <w:pPr>
        <w:ind w:left="720"/>
      </w:pPr>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252A7822" w14:textId="43C9E675" w:rsidR="00A37E1F" w:rsidRDefault="00A37E1F" w:rsidP="00A37E1F">
      <w:r>
        <w:t xml:space="preserve">As </w:t>
      </w:r>
      <w:r w:rsidR="00C81180">
        <w:t xml:space="preserve">Inqovi </w:t>
      </w:r>
      <w:r>
        <w:t>35/100 contains a new chemical entity, it should be included in the Black Triangle Scheme as a condition of registration. The following wording is recommended for</w:t>
      </w:r>
      <w:r w:rsidR="00F04679">
        <w:t xml:space="preserve"> the condition of registration:</w:t>
      </w:r>
    </w:p>
    <w:p w14:paraId="608FF408" w14:textId="572273CB" w:rsidR="00A37E1F" w:rsidRPr="00A37E1F" w:rsidRDefault="00A37E1F" w:rsidP="00A37E1F">
      <w:pPr>
        <w:ind w:left="720"/>
      </w:pPr>
      <w:r>
        <w:t>‘</w:t>
      </w:r>
      <w:r w:rsidR="00C81180">
        <w:t xml:space="preserve">Inqovi </w:t>
      </w:r>
      <w:r>
        <w:t xml:space="preserve">35/100 (decitabine/ cedazuridine) is to be included in the Black Triangle Scheme. The PI and CMI for </w:t>
      </w:r>
      <w:r w:rsidR="00C81180">
        <w:t xml:space="preserve">Inqovi </w:t>
      </w:r>
      <w:r>
        <w:t>35/100 must include the black triangle symbol and mandatory accompanying text for five years, which starts from the date that the sponsor notifies the TGA of supply of the product.’</w:t>
      </w:r>
    </w:p>
    <w:p w14:paraId="640AEE0B" w14:textId="77777777" w:rsidR="008E7846" w:rsidRDefault="00AA0ED0" w:rsidP="008E7846">
      <w:pPr>
        <w:pStyle w:val="Heading3"/>
      </w:pPr>
      <w:bookmarkStart w:id="54" w:name="_Toc247691531"/>
      <w:bookmarkStart w:id="55" w:name="_Toc314842515"/>
      <w:bookmarkStart w:id="56" w:name="_Toc196046505"/>
      <w:bookmarkStart w:id="57" w:name="_Toc196046949"/>
      <w:bookmarkStart w:id="58" w:name="_Toc63846820"/>
      <w:r>
        <w:t>Risk-benefit a</w:t>
      </w:r>
      <w:r w:rsidR="008E7846">
        <w:t>nalysis</w:t>
      </w:r>
      <w:bookmarkEnd w:id="54"/>
      <w:bookmarkEnd w:id="55"/>
      <w:bookmarkEnd w:id="58"/>
    </w:p>
    <w:p w14:paraId="125B03ED" w14:textId="77777777" w:rsidR="00D23139" w:rsidRDefault="007D53B6" w:rsidP="00D23139">
      <w:pPr>
        <w:pStyle w:val="Heading4"/>
      </w:pPr>
      <w:r>
        <w:t>Delegate’s considerations</w:t>
      </w:r>
    </w:p>
    <w:p w14:paraId="2ED43788" w14:textId="3A275644" w:rsidR="00A37E1F" w:rsidRDefault="00A37E1F" w:rsidP="00A37E1F">
      <w:r>
        <w:t xml:space="preserve">The Delegate notes that the US FDA assessment of this submission was grounded largely in PK-bridging to a well-established agent, where as in Australia decitabine was a new chemical entity for which there is no existing regulatory foundation as a sole agent. In Australia the place of decitabine has been taken by </w:t>
      </w:r>
      <w:proofErr w:type="spellStart"/>
      <w:r>
        <w:t>azac</w:t>
      </w:r>
      <w:r w:rsidR="00B92BC0">
        <w:t>i</w:t>
      </w:r>
      <w:r>
        <w:t>tidine</w:t>
      </w:r>
      <w:proofErr w:type="spellEnd"/>
      <w:r>
        <w:t xml:space="preserve">, which has a similar mechanism of action but can be administered daily rather than </w:t>
      </w:r>
      <w:r w:rsidR="00D9753D">
        <w:t xml:space="preserve">three times a </w:t>
      </w:r>
      <w:r w:rsidR="00F04679">
        <w:t>day (</w:t>
      </w:r>
      <w:r>
        <w:t>TDS</w:t>
      </w:r>
      <w:r w:rsidR="00F04679">
        <w:t>).</w:t>
      </w:r>
    </w:p>
    <w:p w14:paraId="5D0E389D" w14:textId="5B41DAE5" w:rsidR="00A37E1F" w:rsidRDefault="00A37E1F" w:rsidP="00A37E1F">
      <w:r>
        <w:t>The Delegate notes, however, that the sponsor has provided a substantial body of data that supports for comparative efficacy of ASTX727 and decitabine IV, including clinical endpoint and PD data. The PD data suggests that the demethylation effect (on LINE-1) is equivalent between the two dosage forms, and exposure to decitabi</w:t>
      </w:r>
      <w:r w:rsidR="00F04679">
        <w:t xml:space="preserve">ne is bioequivalent. The single </w:t>
      </w:r>
      <w:r>
        <w:t>arm clinical endpoint data would, in the Delegate’s view, be considered immature for a standard new</w:t>
      </w:r>
      <w:r w:rsidR="00F04679">
        <w:t xml:space="preserve"> </w:t>
      </w:r>
      <w:r>
        <w:t>chemical entity. However, the Delegate accepts that in the context of an agent with a long history of regulatory approval by a comparable regulator, these studies are sufficiently supportive of efficacy to warrant registration of ASTX727.</w:t>
      </w:r>
    </w:p>
    <w:p w14:paraId="34F93D1E" w14:textId="6CFFA6B1" w:rsidR="00A37E1F" w:rsidRDefault="00A37E1F" w:rsidP="00A37E1F">
      <w:r>
        <w:t>The safety analysis is consistent with the known cytotoxic effects of decitabine as well as the underlying manifestations of CMML and MDS. It does not suggest any additional toxicities as a result of the combination of decitabine and cedazuridine and the Delegate again refers to the long post-market history of decitabine in foreign markets.</w:t>
      </w:r>
    </w:p>
    <w:p w14:paraId="48B24C1A" w14:textId="65A88815" w:rsidR="00456765" w:rsidRPr="00456765" w:rsidRDefault="00A37E1F" w:rsidP="00A37E1F">
      <w:r>
        <w:t>The Delegate notes, however, that while there is a long clinical history of using decitabine, the only safety data regarding cedazuridine is provided from the clinical trials submitted in this application. Although the safety data does not suggest new cytotoxic effects from the combination of the two components of ASTX727, the Delegate notes that cedazuridine is not a cytotoxic agent itself. The potential long term effects of inhibiting the endogenous effect of CDA in humans is not characterised in this data. Against this concern, the Delegate notes that the likely duration of use of ASTX727 in the indications proposed is 5 to 10</w:t>
      </w:r>
      <w:r w:rsidR="00D9753D">
        <w:t> </w:t>
      </w:r>
      <w:r>
        <w:t>years in an older population. Therefore</w:t>
      </w:r>
      <w:r w:rsidR="00A14BAF">
        <w:t>,</w:t>
      </w:r>
      <w:r>
        <w:t xml:space="preserve"> it is considered that the unknown potential long term toxicity of cedazuridine is not a barrier to registration in these indications. The Delegate also notes that there were no concerns raised in this regard by the pre-clinical toxicology assessment.</w:t>
      </w:r>
    </w:p>
    <w:p w14:paraId="7B1E5357" w14:textId="77777777" w:rsidR="00D23139" w:rsidRDefault="00D23139" w:rsidP="00D23139">
      <w:pPr>
        <w:pStyle w:val="Heading4"/>
      </w:pPr>
      <w:r w:rsidRPr="00D23139">
        <w:t>Proposed action</w:t>
      </w:r>
    </w:p>
    <w:p w14:paraId="2A7753A8" w14:textId="70BBAD8E" w:rsidR="00E2673D" w:rsidRDefault="00E2673D" w:rsidP="00E2673D">
      <w:r>
        <w:t>The Delegate proposes to register</w:t>
      </w:r>
      <w:r w:rsidR="00C81180">
        <w:t xml:space="preserve"> Inqovi</w:t>
      </w:r>
      <w:r w:rsidR="00C87093">
        <w:t xml:space="preserve"> </w:t>
      </w:r>
      <w:r>
        <w:t>35/100 for the indication:</w:t>
      </w:r>
    </w:p>
    <w:p w14:paraId="4EE27D4A" w14:textId="41F9C8B3" w:rsidR="00E2673D" w:rsidRPr="00E2673D" w:rsidRDefault="00E2673D" w:rsidP="00E2673D">
      <w:pPr>
        <w:ind w:left="720"/>
        <w:rPr>
          <w:i/>
        </w:rPr>
      </w:pPr>
      <w:r w:rsidRPr="0025578F">
        <w:rPr>
          <w:i/>
        </w:rPr>
        <w:t xml:space="preserve">Treatment of adult patients with myelodysplastic syndromes (MDS) intermediate-1, intermediate-2, and high-risk International Prognostic Scoring System groups, and patients with chronic </w:t>
      </w:r>
      <w:proofErr w:type="spellStart"/>
      <w:r w:rsidRPr="0025578F">
        <w:rPr>
          <w:i/>
        </w:rPr>
        <w:t>m</w:t>
      </w:r>
      <w:r>
        <w:rPr>
          <w:i/>
        </w:rPr>
        <w:t>yelomonocytic</w:t>
      </w:r>
      <w:proofErr w:type="spellEnd"/>
      <w:r>
        <w:rPr>
          <w:i/>
        </w:rPr>
        <w:t xml:space="preserve"> leukaemia (CMML).</w:t>
      </w:r>
    </w:p>
    <w:p w14:paraId="310123F8" w14:textId="647AEBEC" w:rsidR="00E2673D" w:rsidRDefault="00E2673D" w:rsidP="00E2673D">
      <w:r>
        <w:t xml:space="preserve">With the product information as provided to TGA amended in line with the </w:t>
      </w:r>
      <w:r w:rsidR="00F04679">
        <w:t xml:space="preserve">quality and non-clinical evaluations by Health Canada and </w:t>
      </w:r>
      <w:r w:rsidR="00D9753D">
        <w:t xml:space="preserve">the US </w:t>
      </w:r>
      <w:r w:rsidR="00F04679">
        <w:t>FDA.</w:t>
      </w:r>
    </w:p>
    <w:p w14:paraId="6C3C2E1D" w14:textId="77777777" w:rsidR="00DF676B" w:rsidRPr="00DF676B" w:rsidRDefault="00DF676B" w:rsidP="00DF676B">
      <w:pPr>
        <w:keepNext/>
        <w:spacing w:before="360" w:after="0" w:line="220" w:lineRule="atLeast"/>
        <w:outlineLvl w:val="3"/>
        <w:rPr>
          <w:b/>
          <w:bCs/>
          <w:szCs w:val="21"/>
        </w:rPr>
      </w:pPr>
      <w:r w:rsidRPr="00DF676B">
        <w:rPr>
          <w:b/>
          <w:bCs/>
          <w:szCs w:val="21"/>
        </w:rPr>
        <w:t>Advisory Committee considerations</w:t>
      </w:r>
      <w:r w:rsidRPr="00DF676B">
        <w:rPr>
          <w:b/>
          <w:bCs/>
          <w:szCs w:val="21"/>
          <w:vertAlign w:val="superscript"/>
        </w:rPr>
        <w:footnoteReference w:id="13"/>
      </w:r>
    </w:p>
    <w:p w14:paraId="5AB9ADA6" w14:textId="6DB5F0C9" w:rsidR="00DF676B" w:rsidRPr="00456765" w:rsidRDefault="00DF676B" w:rsidP="00E2673D">
      <w:r w:rsidRPr="00DF676B">
        <w:t>The Delegate did not refer this application to the Advisory Committee on Medicines (ACM) for advice.</w:t>
      </w:r>
    </w:p>
    <w:p w14:paraId="7F6EB32F" w14:textId="77777777" w:rsidR="008E7846" w:rsidRPr="002E238E" w:rsidRDefault="008E7846" w:rsidP="008E7846">
      <w:pPr>
        <w:pStyle w:val="Heading3"/>
      </w:pPr>
      <w:bookmarkStart w:id="59" w:name="_Toc247691532"/>
      <w:bookmarkStart w:id="60" w:name="_Toc314842516"/>
      <w:bookmarkStart w:id="61" w:name="_Toc63846821"/>
      <w:bookmarkEnd w:id="29"/>
      <w:bookmarkEnd w:id="56"/>
      <w:bookmarkEnd w:id="57"/>
      <w:r>
        <w:t>Outcome</w:t>
      </w:r>
      <w:bookmarkEnd w:id="59"/>
      <w:bookmarkEnd w:id="60"/>
      <w:bookmarkEnd w:id="61"/>
    </w:p>
    <w:p w14:paraId="41BC6C66" w14:textId="324C6B67" w:rsidR="007D53B6" w:rsidRDefault="007D53B6" w:rsidP="007D53B6">
      <w:bookmarkStart w:id="62" w:name="_Toc247691533"/>
      <w:bookmarkStart w:id="63" w:name="_Toc314842517"/>
      <w:r>
        <w:t xml:space="preserve">Based on a review of quality, safety and efficacy, </w:t>
      </w:r>
      <w:r w:rsidR="00DF676B">
        <w:t xml:space="preserve">the </w:t>
      </w:r>
      <w:r>
        <w:t xml:space="preserve">TGA approved the registration of </w:t>
      </w:r>
      <w:r w:rsidR="00C81180">
        <w:t>Inqovi</w:t>
      </w:r>
      <w:r w:rsidR="00BB419F">
        <w:t xml:space="preserve"> 35/100</w:t>
      </w:r>
      <w:r w:rsidR="00C87093">
        <w:t>,</w:t>
      </w:r>
      <w:r w:rsidR="00BB419F">
        <w:t xml:space="preserve"> 35 mg decitabine and 100 mg cedazuridine tablet</w:t>
      </w:r>
      <w:r>
        <w:t xml:space="preserve">, indicated </w:t>
      </w:r>
      <w:r w:rsidR="00BB419F">
        <w:t>for:</w:t>
      </w:r>
    </w:p>
    <w:p w14:paraId="071EC57D" w14:textId="0C1EC5BB" w:rsidR="00BB419F" w:rsidRPr="00BB419F" w:rsidRDefault="00C81180" w:rsidP="00BB419F">
      <w:pPr>
        <w:ind w:left="720"/>
        <w:rPr>
          <w:i/>
        </w:rPr>
      </w:pPr>
      <w:r w:rsidRPr="00C87093">
        <w:rPr>
          <w:i/>
        </w:rPr>
        <w:t>Inqovi</w:t>
      </w:r>
      <w:r w:rsidDel="00C81180">
        <w:rPr>
          <w:i/>
        </w:rPr>
        <w:t xml:space="preserve"> </w:t>
      </w:r>
      <w:r w:rsidR="00BB419F" w:rsidRPr="00BB419F">
        <w:rPr>
          <w:i/>
        </w:rPr>
        <w:t xml:space="preserve">35/100 is indicated for the treatment of adult patients with myelodysplastic syndromes (MDS) intermediate-1, intermediate-2, and high-risk International Prognostic Scoring System groups, and patients with chronic </w:t>
      </w:r>
      <w:proofErr w:type="spellStart"/>
      <w:r w:rsidR="00BB419F" w:rsidRPr="00BB419F">
        <w:rPr>
          <w:i/>
        </w:rPr>
        <w:t>myelomonocytic</w:t>
      </w:r>
      <w:proofErr w:type="spellEnd"/>
      <w:r w:rsidR="00BB419F" w:rsidRPr="00BB419F">
        <w:rPr>
          <w:i/>
        </w:rPr>
        <w:t xml:space="preserve"> leukaemia (CMML).</w:t>
      </w:r>
    </w:p>
    <w:p w14:paraId="05D524B6" w14:textId="26618B03" w:rsidR="00D23139" w:rsidRPr="00D23139" w:rsidRDefault="00D23139" w:rsidP="00BB419F">
      <w:pPr>
        <w:pStyle w:val="Heading4"/>
      </w:pPr>
      <w:r w:rsidRPr="00D23139">
        <w:t>Specific conditions of registration applying to these goods</w:t>
      </w:r>
    </w:p>
    <w:p w14:paraId="32DFD9A7" w14:textId="7D849906" w:rsidR="00456765" w:rsidRDefault="00C81180" w:rsidP="00601CF8">
      <w:pPr>
        <w:pStyle w:val="ListBullet"/>
      </w:pPr>
      <w:r>
        <w:t xml:space="preserve">Inqovi </w:t>
      </w:r>
      <w:r w:rsidR="00601CF8">
        <w:t xml:space="preserve">35/100 (decitabine 35 mg and cedazuridine 100 mg) is to be included in the Black Triangle Scheme. The PI and CMI for </w:t>
      </w:r>
      <w:r w:rsidR="00C87093">
        <w:t>Inqovi</w:t>
      </w:r>
      <w:r w:rsidR="00601CF8">
        <w:t xml:space="preserve"> 35/100 must include the black triangle symbol and mandatory accompanying text for five years, which starts from the date that the sponsor notifies the TGA of supply of the product.</w:t>
      </w:r>
    </w:p>
    <w:p w14:paraId="300FDBBA" w14:textId="4E0ED6C7" w:rsidR="00601CF8" w:rsidRDefault="00601CF8" w:rsidP="00601CF8">
      <w:pPr>
        <w:pStyle w:val="ListBullet"/>
      </w:pPr>
      <w:r>
        <w:t>The</w:t>
      </w:r>
      <w:r w:rsidR="00C81180" w:rsidRPr="00C81180">
        <w:t xml:space="preserve"> </w:t>
      </w:r>
      <w:r w:rsidR="00C81180">
        <w:t>Inqovi</w:t>
      </w:r>
      <w:r>
        <w:t xml:space="preserve"> 35/100 Core Management Plan (RMP) (version 1.1, dated 25 August 2020, </w:t>
      </w:r>
      <w:r w:rsidR="00E31645">
        <w:t xml:space="preserve">DLP </w:t>
      </w:r>
      <w:r>
        <w:t xml:space="preserve">19 March 2019), with </w:t>
      </w:r>
      <w:r w:rsidR="00E31645">
        <w:t>ASA</w:t>
      </w:r>
      <w:r>
        <w:t xml:space="preserve"> (version 1.1, dated September 2020), included with submission PM-2020-00088-1-6, and any subsequent revisions, as agreed with the TGA will be implemented in Australia.</w:t>
      </w:r>
    </w:p>
    <w:p w14:paraId="3FDE4259" w14:textId="36ABBB26" w:rsidR="00601CF8" w:rsidRDefault="00601CF8" w:rsidP="00601CF8">
      <w:pPr>
        <w:pStyle w:val="ListBullet"/>
        <w:numPr>
          <w:ilvl w:val="0"/>
          <w:numId w:val="0"/>
        </w:numPr>
        <w:ind w:left="360"/>
      </w:pPr>
      <w:r>
        <w:t xml:space="preserve">An obligatory component of risk management plans is routine pharmacovigilance. Routine pharmacovigilance includes the submission of </w:t>
      </w:r>
      <w:r w:rsidR="00E31645">
        <w:t>PSURs</w:t>
      </w:r>
      <w:r>
        <w:t>.</w:t>
      </w:r>
    </w:p>
    <w:p w14:paraId="7AA97A48" w14:textId="08EA0FBB" w:rsidR="00601CF8" w:rsidRDefault="00601CF8" w:rsidP="00601CF8">
      <w:pPr>
        <w:pStyle w:val="ListBullet"/>
        <w:numPr>
          <w:ilvl w:val="0"/>
          <w:numId w:val="0"/>
        </w:numPr>
        <w:ind w:left="360"/>
      </w:pPr>
      <w:r>
        <w:t>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The annual submission may be made up of two PSURs each covering six months. If the sponsor wishes, the six monthly reports may be submitted separately as they become available.</w:t>
      </w:r>
    </w:p>
    <w:p w14:paraId="131BF9AE" w14:textId="3F8D9168" w:rsidR="00601CF8" w:rsidRDefault="00601CF8" w:rsidP="00601CF8">
      <w:pPr>
        <w:pStyle w:val="ListBullet"/>
        <w:numPr>
          <w:ilvl w:val="0"/>
          <w:numId w:val="0"/>
        </w:numPr>
        <w:ind w:left="360"/>
      </w:pPr>
      <w:r>
        <w:t>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this approval letter.</w:t>
      </w:r>
    </w:p>
    <w:p w14:paraId="4243724F" w14:textId="0CCE3790" w:rsidR="00601CF8" w:rsidRDefault="00601CF8" w:rsidP="000910D1">
      <w:pPr>
        <w:pStyle w:val="ListBullet"/>
        <w:numPr>
          <w:ilvl w:val="0"/>
          <w:numId w:val="0"/>
        </w:numPr>
        <w:ind w:left="360"/>
      </w:pPr>
      <w:r>
        <w:t>The reports are to at least meet the requirements for PSURs as described in the</w:t>
      </w:r>
      <w:r w:rsidR="000910D1">
        <w:t xml:space="preserve"> </w:t>
      </w:r>
      <w:r>
        <w:t>European Medicines Agency’s Guideline on good pharmacovigilance practices</w:t>
      </w:r>
      <w:r w:rsidR="000910D1">
        <w:t xml:space="preserve"> </w:t>
      </w:r>
      <w:r>
        <w:t>(GVP) Module VII-periodic safety update report (Rev 1), Part VII.B Structures</w:t>
      </w:r>
      <w:r w:rsidR="000910D1">
        <w:t xml:space="preserve"> </w:t>
      </w:r>
      <w:r>
        <w:t>and processes. Note that submission of a PSUR does not constitute an application</w:t>
      </w:r>
      <w:r w:rsidR="000910D1">
        <w:t xml:space="preserve"> </w:t>
      </w:r>
      <w:r>
        <w:t>to vary the registration. Each report must have been prepared within ninety</w:t>
      </w:r>
      <w:r w:rsidR="000910D1">
        <w:t xml:space="preserve"> </w:t>
      </w:r>
      <w:r>
        <w:t>calendar days of the data lock point for that report.</w:t>
      </w:r>
    </w:p>
    <w:p w14:paraId="7588F271" w14:textId="77777777" w:rsidR="008E7846" w:rsidRDefault="00A80B5B" w:rsidP="00D23139">
      <w:pPr>
        <w:pStyle w:val="Heading2"/>
      </w:pPr>
      <w:bookmarkStart w:id="64" w:name="_Toc63846822"/>
      <w:r>
        <w:t xml:space="preserve">Attachment 1. </w:t>
      </w:r>
      <w:r w:rsidR="008E7846">
        <w:t xml:space="preserve">Product </w:t>
      </w:r>
      <w:r w:rsidR="00AA0ED0">
        <w:t>I</w:t>
      </w:r>
      <w:r w:rsidR="008E7846">
        <w:t>nformation</w:t>
      </w:r>
      <w:bookmarkEnd w:id="62"/>
      <w:bookmarkEnd w:id="63"/>
      <w:bookmarkEnd w:id="64"/>
    </w:p>
    <w:p w14:paraId="606AD7E1" w14:textId="49C86743" w:rsidR="00291957" w:rsidRPr="000910D1" w:rsidRDefault="006136D7" w:rsidP="000910D1">
      <w:pPr>
        <w:rPr>
          <w:color w:val="000000"/>
          <w:lang w:eastAsia="en-AU"/>
        </w:rPr>
      </w:pPr>
      <w:r w:rsidRPr="002B3624">
        <w:t xml:space="preserve">The </w:t>
      </w:r>
      <w:r>
        <w:t>PI</w:t>
      </w:r>
      <w:r w:rsidRPr="002B3624">
        <w:t xml:space="preserve"> for</w:t>
      </w:r>
      <w:r w:rsidR="00C87093">
        <w:t xml:space="preserve"> </w:t>
      </w:r>
      <w:r w:rsidR="00C81180">
        <w:t>Inqovi</w:t>
      </w:r>
      <w:r w:rsidR="000910D1">
        <w:t xml:space="preserve"> 35/100</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39" w:history="1">
        <w:r w:rsidR="007C6B9B" w:rsidRPr="007C6B9B">
          <w:rPr>
            <w:rStyle w:val="Hyperlink"/>
          </w:rPr>
          <w:t>https://www.tga.gov.au/product-information-pi</w:t>
        </w:r>
      </w:hyperlink>
      <w:r w:rsidR="000910D1">
        <w:t>&gt;.</w:t>
      </w:r>
    </w:p>
    <w:p w14:paraId="7DE8CC45" w14:textId="77777777" w:rsidR="00C80137" w:rsidRPr="001D043B" w:rsidRDefault="00C80137" w:rsidP="003A7F6C">
      <w:pPr>
        <w:pStyle w:val="TableTitle"/>
        <w:sectPr w:rsidR="00C80137" w:rsidRPr="001D043B" w:rsidSect="00B452CE">
          <w:headerReference w:type="even" r:id="rId40"/>
          <w:headerReference w:type="default" r:id="rId41"/>
          <w:headerReference w:type="first" r:id="rId42"/>
          <w:footerReference w:type="first" r:id="rId43"/>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55B248E7" w14:textId="77777777" w:rsidTr="00A05FA4">
        <w:trPr>
          <w:trHeight w:hRule="exact" w:val="704"/>
        </w:trPr>
        <w:tc>
          <w:tcPr>
            <w:tcW w:w="9175" w:type="dxa"/>
          </w:tcPr>
          <w:p w14:paraId="66F164BB" w14:textId="77777777" w:rsidR="001C32CD" w:rsidRPr="00487162" w:rsidRDefault="001C32CD" w:rsidP="00A05FA4">
            <w:pPr>
              <w:pStyle w:val="TGASignoff"/>
            </w:pPr>
            <w:r w:rsidRPr="00487162">
              <w:t>Therapeutic Goods Administration</w:t>
            </w:r>
          </w:p>
        </w:tc>
      </w:tr>
      <w:tr w:rsidR="001C32CD" w:rsidRPr="004C239D" w14:paraId="02927B68" w14:textId="77777777" w:rsidTr="00A05FA4">
        <w:trPr>
          <w:trHeight w:val="1221"/>
        </w:trPr>
        <w:tc>
          <w:tcPr>
            <w:tcW w:w="9175" w:type="dxa"/>
            <w:tcMar>
              <w:top w:w="28" w:type="dxa"/>
            </w:tcMar>
          </w:tcPr>
          <w:p w14:paraId="33A3A022" w14:textId="77777777" w:rsidR="001C32CD" w:rsidRPr="00487162" w:rsidRDefault="001C32CD" w:rsidP="00A05FA4">
            <w:pPr>
              <w:pStyle w:val="Address"/>
            </w:pPr>
            <w:r w:rsidRPr="00487162">
              <w:t>PO Box 100 Woden ACT 2606 Australia</w:t>
            </w:r>
          </w:p>
          <w:p w14:paraId="27430681" w14:textId="282E5BD8" w:rsidR="001C32CD" w:rsidRPr="00487162" w:rsidRDefault="001C32CD" w:rsidP="00A05FA4">
            <w:pPr>
              <w:pStyle w:val="Address"/>
            </w:pPr>
            <w:r w:rsidRPr="00487162">
              <w:t xml:space="preserve">Email: </w:t>
            </w:r>
            <w:hyperlink r:id="rId44" w:history="1">
              <w:r w:rsidRPr="004C239D">
                <w:rPr>
                  <w:rStyle w:val="Hyperlink"/>
                </w:rPr>
                <w:t>info@tga.gov.au</w:t>
              </w:r>
            </w:hyperlink>
            <w:r w:rsidRPr="00487162">
              <w:t xml:space="preserve">  Phone: 1800 020 653  Fax: 02 6232 8605</w:t>
            </w:r>
          </w:p>
          <w:p w14:paraId="515D47A6" w14:textId="15863388" w:rsidR="001C32CD" w:rsidRPr="004C239D" w:rsidRDefault="005A69A8" w:rsidP="00A05FA4">
            <w:pPr>
              <w:pStyle w:val="Address"/>
              <w:spacing w:line="260" w:lineRule="atLeast"/>
              <w:rPr>
                <w:b/>
                <w:color w:val="0000FF"/>
                <w:u w:val="single"/>
              </w:rPr>
            </w:pPr>
            <w:hyperlink r:id="rId45" w:history="1">
              <w:r w:rsidR="007C6B9B" w:rsidRPr="007C6B9B">
                <w:rPr>
                  <w:rStyle w:val="Hyperlink"/>
                  <w:b/>
                </w:rPr>
                <w:t>https://www.tga.gov.au</w:t>
              </w:r>
            </w:hyperlink>
          </w:p>
        </w:tc>
      </w:tr>
    </w:tbl>
    <w:p w14:paraId="4894FEED" w14:textId="77777777" w:rsidR="00774E1D" w:rsidRPr="008A5E0B" w:rsidRDefault="00774E1D" w:rsidP="004C239D"/>
    <w:sectPr w:rsidR="00774E1D" w:rsidRPr="008A5E0B" w:rsidSect="001C32CD">
      <w:headerReference w:type="even" r:id="rId46"/>
      <w:headerReference w:type="default" r:id="rId47"/>
      <w:footerReference w:type="default" r:id="rId48"/>
      <w:headerReference w:type="first" r:id="rId49"/>
      <w:footerReference w:type="first" r:id="rId50"/>
      <w:pgSz w:w="11906" w:h="16838" w:code="9"/>
      <w:pgMar w:top="13467" w:right="1701" w:bottom="426" w:left="1701" w:header="907" w:footer="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5499E" w16cex:dateUtc="2021-01-22T01:54:00Z"/>
  <w16cex:commentExtensible w16cex:durableId="23B55B5B" w16cex:dateUtc="2021-01-22T03:10:00Z"/>
  <w16cex:commentExtensible w16cex:durableId="23B54A73" w16cex:dateUtc="2021-01-22T01:58:00Z"/>
  <w16cex:commentExtensible w16cex:durableId="23B54B0B" w16cex:dateUtc="2021-01-22T02: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82D6323" w16cid:durableId="23B5499E"/>
  <w16cid:commentId w16cid:paraId="65170F28" w16cid:durableId="23B55B5B"/>
  <w16cid:commentId w16cid:paraId="28B130E0" w16cid:durableId="23B54A73"/>
  <w16cid:commentId w16cid:paraId="59344F85" w16cid:durableId="23B54B0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D83D3C" w14:textId="77777777" w:rsidR="005A69A8" w:rsidRDefault="005A69A8" w:rsidP="00C40A36">
      <w:pPr>
        <w:spacing w:after="0"/>
      </w:pPr>
      <w:r>
        <w:separator/>
      </w:r>
    </w:p>
  </w:endnote>
  <w:endnote w:type="continuationSeparator" w:id="0">
    <w:p w14:paraId="41096A57" w14:textId="77777777" w:rsidR="005A69A8" w:rsidRDefault="005A69A8" w:rsidP="00C40A36">
      <w:pPr>
        <w:spacing w:after="0"/>
      </w:pPr>
      <w:r>
        <w:continuationSeparator/>
      </w:r>
    </w:p>
  </w:endnote>
  <w:endnote w:type="continuationNotice" w:id="1">
    <w:p w14:paraId="655652A7" w14:textId="77777777" w:rsidR="005A69A8" w:rsidRDefault="005A69A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230BD" w14:textId="77777777" w:rsidR="005A69A8" w:rsidRDefault="005A69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5A69A8" w:rsidRPr="00487162" w14:paraId="7A8E39CC" w14:textId="77777777" w:rsidTr="00DB750B">
      <w:trPr>
        <w:trHeight w:val="269"/>
      </w:trPr>
      <w:tc>
        <w:tcPr>
          <w:tcW w:w="7371" w:type="dxa"/>
          <w:tcMar>
            <w:top w:w="142" w:type="dxa"/>
            <w:bottom w:w="0" w:type="dxa"/>
          </w:tcMar>
        </w:tcPr>
        <w:p w14:paraId="14B138EC" w14:textId="7EFA279C" w:rsidR="005A69A8" w:rsidRPr="00487162" w:rsidRDefault="005A69A8" w:rsidP="00B05DC0">
          <w:pPr>
            <w:pStyle w:val="Footer"/>
          </w:pPr>
          <w:r w:rsidRPr="00487162">
            <w:t>AusPA</w:t>
          </w:r>
          <w:r>
            <w:t xml:space="preserve">R –Inqovi 35/100 </w:t>
          </w:r>
          <w:r w:rsidRPr="00460036">
            <w:t xml:space="preserve">– </w:t>
          </w:r>
          <w:r>
            <w:t>Decitabine and cedazuridine</w:t>
          </w:r>
          <w:r w:rsidRPr="00460036">
            <w:t xml:space="preserve"> </w:t>
          </w:r>
          <w:r>
            <w:t>– Otsuka Australia Pharmaceutical Pty Ltd PM-2020-00088-1-6</w:t>
          </w:r>
          <w:r>
            <w:br/>
            <w:t>FINAL</w:t>
          </w:r>
          <w:r w:rsidRPr="00487162">
            <w:t xml:space="preserve"> </w:t>
          </w:r>
          <w:r>
            <w:t>28 January 2021</w:t>
          </w:r>
        </w:p>
      </w:tc>
      <w:tc>
        <w:tcPr>
          <w:tcW w:w="1490" w:type="dxa"/>
          <w:tcMar>
            <w:top w:w="142" w:type="dxa"/>
            <w:bottom w:w="0" w:type="dxa"/>
          </w:tcMar>
        </w:tcPr>
        <w:p w14:paraId="6DE1628A" w14:textId="7A939704" w:rsidR="005A69A8" w:rsidRPr="00487162" w:rsidRDefault="005A69A8" w:rsidP="00DB750B">
          <w:pPr>
            <w:pStyle w:val="Footer"/>
            <w:jc w:val="right"/>
          </w:pPr>
          <w:r w:rsidRPr="00487162">
            <w:t xml:space="preserve">Page </w:t>
          </w:r>
          <w:r>
            <w:fldChar w:fldCharType="begin"/>
          </w:r>
          <w:r>
            <w:instrText xml:space="preserve"> PAGE  \* Arabic </w:instrText>
          </w:r>
          <w:r>
            <w:fldChar w:fldCharType="separate"/>
          </w:r>
          <w:r w:rsidR="006C4A14">
            <w:rPr>
              <w:noProof/>
            </w:rPr>
            <w:t>26</w:t>
          </w:r>
          <w:r>
            <w:fldChar w:fldCharType="end"/>
          </w:r>
          <w:r w:rsidRPr="00487162">
            <w:t xml:space="preserve"> of </w:t>
          </w:r>
          <w:fldSimple w:instr=" NUMPAGES  \* Arabic ">
            <w:r w:rsidR="006C4A14">
              <w:rPr>
                <w:noProof/>
              </w:rPr>
              <w:t>31</w:t>
            </w:r>
          </w:fldSimple>
        </w:p>
      </w:tc>
    </w:tr>
  </w:tbl>
  <w:p w14:paraId="3D4C3614" w14:textId="77777777" w:rsidR="005A69A8" w:rsidRDefault="005A69A8"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74FFA" w14:textId="77777777" w:rsidR="005A69A8" w:rsidRDefault="005A69A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5A69A8" w:rsidRPr="00487162" w14:paraId="3185C23B" w14:textId="77777777" w:rsidTr="00E45619">
      <w:trPr>
        <w:trHeight w:val="269"/>
      </w:trPr>
      <w:tc>
        <w:tcPr>
          <w:tcW w:w="4519" w:type="dxa"/>
          <w:tcBorders>
            <w:top w:val="single" w:sz="4" w:space="0" w:color="auto"/>
          </w:tcBorders>
          <w:tcMar>
            <w:top w:w="142" w:type="dxa"/>
            <w:bottom w:w="0" w:type="dxa"/>
          </w:tcMar>
        </w:tcPr>
        <w:p w14:paraId="383C7893" w14:textId="77777777" w:rsidR="005A69A8" w:rsidRPr="00487162" w:rsidRDefault="005A69A8" w:rsidP="00FE1DEE">
          <w:pPr>
            <w:pStyle w:val="Footer"/>
          </w:pPr>
          <w:r w:rsidRPr="00487162">
            <w:t>Document title, Part #, Section # - Section title</w:t>
          </w:r>
        </w:p>
        <w:p w14:paraId="02EA7978" w14:textId="77777777" w:rsidR="005A69A8" w:rsidRPr="00487162" w:rsidRDefault="005A69A8" w:rsidP="00FE1DEE">
          <w:pPr>
            <w:pStyle w:val="Footer"/>
          </w:pPr>
          <w:r w:rsidRPr="00487162">
            <w:t>V1.0 October 2010</w:t>
          </w:r>
        </w:p>
      </w:tc>
      <w:tc>
        <w:tcPr>
          <w:tcW w:w="4342" w:type="dxa"/>
          <w:tcBorders>
            <w:top w:val="single" w:sz="4" w:space="0" w:color="auto"/>
          </w:tcBorders>
          <w:tcMar>
            <w:top w:w="142" w:type="dxa"/>
            <w:bottom w:w="0" w:type="dxa"/>
          </w:tcMar>
        </w:tcPr>
        <w:p w14:paraId="7842B0CE" w14:textId="77777777" w:rsidR="005A69A8" w:rsidRPr="00487162" w:rsidRDefault="005A69A8"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w:t>
            </w:r>
          </w:fldSimple>
        </w:p>
      </w:tc>
    </w:tr>
  </w:tbl>
  <w:p w14:paraId="7379117F" w14:textId="77777777" w:rsidR="005A69A8" w:rsidRDefault="005A69A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B6F78" w14:textId="77777777" w:rsidR="005A69A8" w:rsidRPr="001C32CD" w:rsidRDefault="005A69A8"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5A69A8" w14:paraId="1B23377E" w14:textId="77777777" w:rsidTr="0010601F">
      <w:trPr>
        <w:trHeight w:val="108"/>
      </w:trPr>
      <w:tc>
        <w:tcPr>
          <w:tcW w:w="8875" w:type="dxa"/>
          <w:gridSpan w:val="2"/>
          <w:tcBorders>
            <w:bottom w:val="single" w:sz="4" w:space="0" w:color="auto"/>
          </w:tcBorders>
          <w:tcMar>
            <w:right w:w="284" w:type="dxa"/>
          </w:tcMar>
        </w:tcPr>
        <w:p w14:paraId="2A479420" w14:textId="77777777" w:rsidR="005A69A8" w:rsidRDefault="005A69A8" w:rsidP="006E08B3">
          <w:pPr>
            <w:pStyle w:val="Heading3"/>
          </w:pPr>
          <w:r>
            <w:t>Copyright</w:t>
          </w:r>
        </w:p>
        <w:p w14:paraId="170A6545" w14:textId="77777777" w:rsidR="005A69A8" w:rsidRDefault="005A69A8" w:rsidP="006E08B3">
          <w:r>
            <w:rPr>
              <w:rFonts w:cs="Arial"/>
            </w:rPr>
            <w:t>©</w:t>
          </w:r>
          <w:r>
            <w:t xml:space="preserve"> Commonwealth of Australia [add year]</w:t>
          </w:r>
        </w:p>
        <w:p w14:paraId="04DBD326" w14:textId="77777777" w:rsidR="005A69A8" w:rsidRDefault="005A69A8" w:rsidP="006E08B3"/>
        <w:p w14:paraId="00400C6F" w14:textId="77777777" w:rsidR="005A69A8" w:rsidRDefault="005A69A8"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3429B792" w14:textId="77777777" w:rsidR="005A69A8" w:rsidRDefault="005A69A8" w:rsidP="006E08B3"/>
        <w:p w14:paraId="3F742D30" w14:textId="77777777" w:rsidR="005A69A8" w:rsidRDefault="005A69A8" w:rsidP="006E08B3">
          <w:pPr>
            <w:pStyle w:val="Heading3"/>
          </w:pPr>
          <w:r>
            <w:t>Confidentiality</w:t>
          </w:r>
        </w:p>
        <w:p w14:paraId="66F667CC" w14:textId="77777777" w:rsidR="005A69A8" w:rsidRDefault="005A69A8"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15F8E364" w14:textId="77777777" w:rsidR="005A69A8" w:rsidRDefault="005A69A8" w:rsidP="006E08B3"/>
        <w:p w14:paraId="0838247C" w14:textId="77777777" w:rsidR="005A69A8" w:rsidRDefault="005A69A8" w:rsidP="006E08B3">
          <w:r>
            <w:t>For submission made by individuals, all personal details, other than your name, will be removed from your submission before it is published on the TGA’s Internet site.</w:t>
          </w:r>
        </w:p>
        <w:p w14:paraId="6CDC6284" w14:textId="77777777" w:rsidR="005A69A8" w:rsidRDefault="005A69A8" w:rsidP="006E08B3"/>
        <w:p w14:paraId="5DBC4801" w14:textId="77777777" w:rsidR="005A69A8" w:rsidRDefault="005A69A8"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5A69A8" w14:paraId="35E0AC6D" w14:textId="77777777" w:rsidTr="0010601F">
      <w:trPr>
        <w:trHeight w:val="417"/>
      </w:trPr>
      <w:tc>
        <w:tcPr>
          <w:tcW w:w="4519" w:type="dxa"/>
          <w:tcBorders>
            <w:top w:val="single" w:sz="4" w:space="0" w:color="auto"/>
          </w:tcBorders>
          <w:tcMar>
            <w:top w:w="142" w:type="dxa"/>
            <w:bottom w:w="0" w:type="dxa"/>
          </w:tcMar>
        </w:tcPr>
        <w:p w14:paraId="31148A2E" w14:textId="77777777" w:rsidR="005A69A8" w:rsidRDefault="005A69A8" w:rsidP="006E08B3">
          <w:r>
            <w:t>Document title, Part #, Section # - Section title</w:t>
          </w:r>
        </w:p>
        <w:p w14:paraId="7C05E365" w14:textId="77777777" w:rsidR="005A69A8" w:rsidRDefault="005A69A8" w:rsidP="006E08B3">
          <w:r>
            <w:t>V1.0 October 2010</w:t>
          </w:r>
        </w:p>
      </w:tc>
      <w:tc>
        <w:tcPr>
          <w:tcW w:w="4356" w:type="dxa"/>
          <w:tcBorders>
            <w:top w:val="single" w:sz="4" w:space="0" w:color="auto"/>
          </w:tcBorders>
          <w:tcMar>
            <w:top w:w="142" w:type="dxa"/>
            <w:bottom w:w="0" w:type="dxa"/>
          </w:tcMar>
        </w:tcPr>
        <w:p w14:paraId="08F18DFC" w14:textId="77777777" w:rsidR="005A69A8" w:rsidRDefault="005A69A8"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w:t>
            </w:r>
          </w:fldSimple>
          <w:r>
            <w:t xml:space="preserve">  </w:t>
          </w:r>
        </w:p>
      </w:tc>
    </w:tr>
  </w:tbl>
  <w:p w14:paraId="0743AE10" w14:textId="77777777" w:rsidR="005A69A8" w:rsidRDefault="005A69A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32A6AB" w14:textId="77777777" w:rsidR="005A69A8" w:rsidRDefault="005A69A8" w:rsidP="00C40A36">
      <w:pPr>
        <w:spacing w:after="0"/>
      </w:pPr>
      <w:r>
        <w:separator/>
      </w:r>
    </w:p>
  </w:footnote>
  <w:footnote w:type="continuationSeparator" w:id="0">
    <w:p w14:paraId="437787F3" w14:textId="77777777" w:rsidR="005A69A8" w:rsidRDefault="005A69A8" w:rsidP="00C40A36">
      <w:pPr>
        <w:spacing w:after="0"/>
      </w:pPr>
      <w:r>
        <w:continuationSeparator/>
      </w:r>
    </w:p>
  </w:footnote>
  <w:footnote w:type="continuationNotice" w:id="1">
    <w:p w14:paraId="3D4826E3" w14:textId="77777777" w:rsidR="005A69A8" w:rsidRDefault="005A69A8">
      <w:pPr>
        <w:spacing w:before="0" w:after="0" w:line="240" w:lineRule="auto"/>
      </w:pPr>
    </w:p>
  </w:footnote>
  <w:footnote w:id="2">
    <w:p w14:paraId="3F8971E7" w14:textId="77777777" w:rsidR="005A69A8" w:rsidRDefault="005A69A8">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3">
    <w:p w14:paraId="6F4300EF" w14:textId="1E1C6797" w:rsidR="005A69A8" w:rsidRPr="00337237" w:rsidRDefault="005A69A8">
      <w:pPr>
        <w:pStyle w:val="FootnoteText"/>
        <w:rPr>
          <w:lang w:val="en-US"/>
        </w:rPr>
      </w:pPr>
      <w:r>
        <w:rPr>
          <w:rStyle w:val="FootnoteReference"/>
        </w:rPr>
        <w:footnoteRef/>
      </w:r>
      <w:r>
        <w:t xml:space="preserve"> </w:t>
      </w:r>
      <w:r w:rsidRPr="00C87093">
        <w:rPr>
          <w:b/>
        </w:rPr>
        <w:t xml:space="preserve">Project </w:t>
      </w:r>
      <w:proofErr w:type="spellStart"/>
      <w:r w:rsidRPr="00C87093">
        <w:rPr>
          <w:b/>
        </w:rPr>
        <w:t>Orbis</w:t>
      </w:r>
      <w:proofErr w:type="spellEnd"/>
      <w:r w:rsidRPr="0039300D">
        <w:t xml:space="preserve"> seeks to increase collaboration among international regulators, which may in turn allow patients with cancer to receive earlier access to products in other countries where there may be significant delays in regulatory submissions, regardless of whether the product has received approval. Pivotal clinical trials in oncology are commonly conducted internationally and these global trials are increasingly important for investigating the safety and effectiveness of cancer drugs for approval across jurisdictions. Future drug development may benefit by establishing a greater uniformity of new global standards of treatment, leading to the optimal design of th</w:t>
      </w:r>
      <w:r>
        <w:t>ese important trials.</w:t>
      </w:r>
    </w:p>
  </w:footnote>
  <w:footnote w:id="4">
    <w:p w14:paraId="3A5DEAC5" w14:textId="5D5C85C7" w:rsidR="005A69A8" w:rsidRPr="00337237" w:rsidRDefault="005A69A8">
      <w:pPr>
        <w:pStyle w:val="FootnoteText"/>
        <w:rPr>
          <w:lang w:val="en-US"/>
        </w:rPr>
      </w:pPr>
      <w:r>
        <w:rPr>
          <w:rStyle w:val="FootnoteReference"/>
        </w:rPr>
        <w:footnoteRef/>
      </w:r>
      <w:r>
        <w:t xml:space="preserve"> </w:t>
      </w:r>
      <w:r w:rsidRPr="00337237">
        <w:rPr>
          <w:b/>
        </w:rPr>
        <w:t>'Orphan drugs'</w:t>
      </w:r>
      <w:r w:rsidRPr="0039300D">
        <w:t xml:space="preserve"> are often developed to treat small and very specific patient populations who suffer from rare diseases and conditions. In order to facilitate orphan drug access to the Australian marketplace and help offset orphan drug development costs the TGA waives application and evaluation fees for prescription medicine registration applications if a related orphan designation is in force. A medicine may be eligible for orphan drug designation if all orphan criteria set by the TGA are met. The orphan designation application precedes the registration application and the designation is specific to the sponsor, orphan indication for which designation was granted and dosage form of the medicine.</w:t>
      </w:r>
    </w:p>
  </w:footnote>
  <w:footnote w:id="5">
    <w:p w14:paraId="762DD794" w14:textId="37CDA7C9" w:rsidR="005A69A8" w:rsidRDefault="005A69A8">
      <w:pPr>
        <w:pStyle w:val="FootnoteText"/>
      </w:pPr>
      <w:r>
        <w:rPr>
          <w:rStyle w:val="FootnoteReference"/>
        </w:rPr>
        <w:footnoteRef/>
      </w:r>
      <w:r>
        <w:t xml:space="preserve"> </w:t>
      </w:r>
      <w:r w:rsidRPr="00D57B9C">
        <w:t xml:space="preserve">The International Council for Harmonisation of Technical Requirements for Registration of Pharmaceuticals for Human Use (ICH) </w:t>
      </w:r>
      <w:r>
        <w:t>S9: N</w:t>
      </w:r>
      <w:r w:rsidRPr="00D57B9C">
        <w:t>on-clinical evaluation for anticancer pharmaceuticals</w:t>
      </w:r>
      <w:r>
        <w:t>. This guidance</w:t>
      </w:r>
      <w:r w:rsidRPr="00D57B9C">
        <w:t xml:space="preserve"> aims to assist in the design of non-clinical studies for the development of anticancer pharmaceuticals. It provides recommendations for non-clinical evaluations to support the development of anticancer pharmaceuticals in clinical trials for the treatment of patients with advanced disease and limited therapeutic option</w:t>
      </w:r>
      <w:r>
        <w:t>.</w:t>
      </w:r>
    </w:p>
  </w:footnote>
  <w:footnote w:id="6">
    <w:p w14:paraId="16E380CA" w14:textId="77777777" w:rsidR="005A69A8" w:rsidRPr="00B41C85" w:rsidRDefault="005A69A8" w:rsidP="00D2728B">
      <w:pPr>
        <w:pStyle w:val="FootnoteText"/>
        <w:spacing w:before="120" w:after="120"/>
        <w:rPr>
          <w:b/>
          <w:lang w:eastAsia="ja-JP"/>
        </w:rPr>
      </w:pPr>
      <w:r>
        <w:rPr>
          <w:rStyle w:val="FootnoteReference"/>
        </w:rPr>
        <w:footnoteRef/>
      </w:r>
      <w:r>
        <w:t xml:space="preserve"> </w:t>
      </w:r>
      <w:r w:rsidRPr="00B41C85">
        <w:rPr>
          <w:b/>
          <w:lang w:eastAsia="ja-JP"/>
        </w:rPr>
        <w:t>Cytochrome P450 (CYP) enzymes:</w:t>
      </w:r>
    </w:p>
    <w:p w14:paraId="30D09602" w14:textId="77777777" w:rsidR="005A69A8" w:rsidRDefault="005A69A8" w:rsidP="00D2728B">
      <w:pPr>
        <w:pStyle w:val="FootnoteText"/>
        <w:spacing w:before="120" w:after="120"/>
        <w:rPr>
          <w:lang w:eastAsia="ja-JP"/>
        </w:rPr>
      </w:pPr>
      <w:r>
        <w:rPr>
          <w:lang w:eastAsia="ja-JP"/>
        </w:rPr>
        <w:t xml:space="preserve">CYPs are the major enzymes involved in drug metabolism, accounting for large part of the total metabolism. Most drugs undergo deactivation by CYPs, either directly or by facilitated excretion from the body. Also, many substances are </w:t>
      </w:r>
      <w:proofErr w:type="spellStart"/>
      <w:r>
        <w:rPr>
          <w:lang w:eastAsia="ja-JP"/>
        </w:rPr>
        <w:t>bioactivated</w:t>
      </w:r>
      <w:proofErr w:type="spellEnd"/>
      <w:r>
        <w:rPr>
          <w:lang w:eastAsia="ja-JP"/>
        </w:rPr>
        <w:t xml:space="preserve"> by CYPs to form their active compounds.</w:t>
      </w:r>
    </w:p>
    <w:p w14:paraId="1BE0C514" w14:textId="55403E93" w:rsidR="005A69A8" w:rsidRDefault="005A69A8" w:rsidP="00D2728B">
      <w:pPr>
        <w:pStyle w:val="FootnoteText"/>
        <w:rPr>
          <w:lang w:eastAsia="ja-JP"/>
        </w:rPr>
      </w:pPr>
      <w:r>
        <w:rPr>
          <w:lang w:eastAsia="ja-JP"/>
        </w:rPr>
        <w:t>Many drugs may increase or decrease the activity of various CYP isozymes either by inducing the biosynthesis of an isozyme (enzyme induction) or by directly inhibiting the activity of the CYP (enzyme inhibition). This is a major source of adverse drug interactions, since changes in CYP enzyme activity may affect the metabolism and clearance of various drugs. Such drug interactions are especially important to take into account when using drugs of vital importance to the patient, drugs with important side-effects and drugs with small therapeutic windows, but any drug may be subject to an altered plasma concentration due to altered drug metabolism</w:t>
      </w:r>
    </w:p>
  </w:footnote>
  <w:footnote w:id="7">
    <w:p w14:paraId="7971C365" w14:textId="43B3CA58" w:rsidR="005A69A8" w:rsidRDefault="005A69A8">
      <w:pPr>
        <w:pStyle w:val="FootnoteText"/>
      </w:pPr>
      <w:r>
        <w:rPr>
          <w:rStyle w:val="FootnoteReference"/>
        </w:rPr>
        <w:footnoteRef/>
      </w:r>
      <w:r>
        <w:t xml:space="preserve"> </w:t>
      </w:r>
      <w:r w:rsidRPr="00337237">
        <w:t xml:space="preserve">An </w:t>
      </w:r>
      <w:r w:rsidRPr="003371F7">
        <w:rPr>
          <w:b/>
        </w:rPr>
        <w:t>A</w:t>
      </w:r>
      <w:r>
        <w:rPr>
          <w:b/>
        </w:rPr>
        <w:t>m</w:t>
      </w:r>
      <w:r w:rsidRPr="003371F7">
        <w:rPr>
          <w:b/>
        </w:rPr>
        <w:t>es test</w:t>
      </w:r>
      <w:r>
        <w:t xml:space="preserve"> i</w:t>
      </w:r>
      <w:r w:rsidRPr="008921E3">
        <w:t>s a biological assay to assess the mutagenic potential of chemical compounds.</w:t>
      </w:r>
    </w:p>
  </w:footnote>
  <w:footnote w:id="8">
    <w:p w14:paraId="18F556C7" w14:textId="1D865A74" w:rsidR="005A69A8" w:rsidRDefault="005A69A8">
      <w:pPr>
        <w:pStyle w:val="FootnoteText"/>
      </w:pPr>
      <w:r>
        <w:rPr>
          <w:rStyle w:val="FootnoteReference"/>
        </w:rPr>
        <w:footnoteRef/>
      </w:r>
      <w:r>
        <w:t xml:space="preserve"> </w:t>
      </w:r>
      <w:r w:rsidRPr="003324FB">
        <w:rPr>
          <w:b/>
        </w:rPr>
        <w:t>Pregnancy Category X</w:t>
      </w:r>
      <w:r>
        <w:t xml:space="preserve">: </w:t>
      </w:r>
      <w:r w:rsidRPr="00D2728B">
        <w:t>Drugs which have such a high risk of causing permanent damage to the fetus that they should not be used in pregnancy or when there is a possibility of pregnancy.</w:t>
      </w:r>
    </w:p>
  </w:footnote>
  <w:footnote w:id="9">
    <w:p w14:paraId="212BFBD4" w14:textId="13430B2B" w:rsidR="005A69A8" w:rsidRDefault="005A69A8" w:rsidP="00F91464">
      <w:pPr>
        <w:pStyle w:val="FootnoteText"/>
      </w:pPr>
      <w:r>
        <w:rPr>
          <w:rStyle w:val="FootnoteReference"/>
        </w:rPr>
        <w:footnoteRef/>
      </w:r>
      <w:r>
        <w:t xml:space="preserve"> </w:t>
      </w:r>
      <w:r w:rsidRPr="00337237">
        <w:rPr>
          <w:b/>
        </w:rPr>
        <w:t>ASTX727</w:t>
      </w:r>
      <w:r>
        <w:t xml:space="preserve"> is the development code used by sponsor for Inqovi 35/100</w:t>
      </w:r>
    </w:p>
  </w:footnote>
  <w:footnote w:id="10">
    <w:p w14:paraId="57586A93" w14:textId="77777777" w:rsidR="005A69A8" w:rsidRDefault="005A69A8" w:rsidP="0002005B">
      <w:pPr>
        <w:pStyle w:val="FootnoteText"/>
      </w:pPr>
      <w:r>
        <w:rPr>
          <w:rStyle w:val="FootnoteReference"/>
        </w:rPr>
        <w:footnoteRef/>
      </w:r>
      <w:r>
        <w:t xml:space="preserve"> </w:t>
      </w:r>
      <w:r w:rsidRPr="003371F7">
        <w:rPr>
          <w:b/>
        </w:rPr>
        <w:t>ECOG Performance Status:</w:t>
      </w:r>
      <w:r>
        <w:t xml:space="preserve"> The Eastern Cooperative Oncology Group (ECOG) has developed criteria used by doctors and researchers to assess how a patient's disease is progressing, assess how the disease affects the daily living abilities of the patient, and determine appropriate treatment and prognosis. The following are used: </w:t>
      </w:r>
    </w:p>
    <w:p w14:paraId="75FD742C" w14:textId="77777777" w:rsidR="005A69A8" w:rsidRDefault="005A69A8" w:rsidP="0002005B">
      <w:pPr>
        <w:pStyle w:val="FootnoteText"/>
      </w:pPr>
      <w:r>
        <w:t>0 - Fully active, able to carry on all pre-disease performance without restriction</w:t>
      </w:r>
    </w:p>
    <w:p w14:paraId="175EB5F8" w14:textId="3F042573" w:rsidR="005A69A8" w:rsidRDefault="005A69A8" w:rsidP="0002005B">
      <w:pPr>
        <w:pStyle w:val="FootnoteText"/>
      </w:pPr>
      <w:r>
        <w:t>1- Restricted in physically strenuous activity but ambulatory and able to carry out work of a light or sedentary nature, for example., light house work, office work</w:t>
      </w:r>
    </w:p>
    <w:p w14:paraId="372169A3" w14:textId="28F9E19E" w:rsidR="005A69A8" w:rsidRDefault="005A69A8" w:rsidP="0002005B">
      <w:pPr>
        <w:pStyle w:val="FootnoteText"/>
      </w:pPr>
      <w:r>
        <w:t xml:space="preserve">2 - Ambulatory and capable of all </w:t>
      </w:r>
      <w:proofErr w:type="spellStart"/>
      <w:r>
        <w:t>selfcare</w:t>
      </w:r>
      <w:proofErr w:type="spellEnd"/>
      <w:r>
        <w:t xml:space="preserve"> but unable to carry out any work activities. Up and about more than 50% of waking hours3 - Capable of only limited </w:t>
      </w:r>
      <w:proofErr w:type="spellStart"/>
      <w:r>
        <w:t>selfcare</w:t>
      </w:r>
      <w:proofErr w:type="spellEnd"/>
      <w:r>
        <w:t>, confined to bed or chair more than 50% of waking hours</w:t>
      </w:r>
    </w:p>
    <w:p w14:paraId="17DE67B6" w14:textId="77777777" w:rsidR="005A69A8" w:rsidRDefault="005A69A8" w:rsidP="0002005B">
      <w:pPr>
        <w:pStyle w:val="FootnoteText"/>
      </w:pPr>
      <w:r>
        <w:t xml:space="preserve">4 - Completely disabled. Cannot carry on any </w:t>
      </w:r>
      <w:proofErr w:type="spellStart"/>
      <w:r>
        <w:t>selfcare</w:t>
      </w:r>
      <w:proofErr w:type="spellEnd"/>
      <w:r>
        <w:t>. Totally confined to bed or chair</w:t>
      </w:r>
    </w:p>
    <w:p w14:paraId="47A042B0" w14:textId="4A3D6E42" w:rsidR="005A69A8" w:rsidRDefault="005A69A8" w:rsidP="0002005B">
      <w:pPr>
        <w:pStyle w:val="FootnoteText"/>
      </w:pPr>
      <w:r>
        <w:t>5 – Dead</w:t>
      </w:r>
    </w:p>
  </w:footnote>
  <w:footnote w:id="11">
    <w:p w14:paraId="2C091349" w14:textId="77777777" w:rsidR="005A69A8" w:rsidRDefault="005A69A8" w:rsidP="007D53B6">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733591D0" w14:textId="77777777" w:rsidR="005A69A8" w:rsidRDefault="005A69A8" w:rsidP="007D53B6">
      <w:pPr>
        <w:pStyle w:val="FootnoteText"/>
      </w:pPr>
      <w:r w:rsidRPr="007D53B6">
        <w:rPr>
          <w:i/>
        </w:rPr>
        <w:t>Routine pharmacovigilance</w:t>
      </w:r>
      <w:r>
        <w:t xml:space="preserve"> practices involve the following activities:</w:t>
      </w:r>
    </w:p>
    <w:p w14:paraId="6927BE8A" w14:textId="77777777" w:rsidR="005A69A8" w:rsidRDefault="005A69A8" w:rsidP="007D53B6">
      <w:pPr>
        <w:pStyle w:val="FootnoteText"/>
        <w:numPr>
          <w:ilvl w:val="0"/>
          <w:numId w:val="32"/>
        </w:numPr>
        <w:ind w:left="284" w:hanging="284"/>
      </w:pPr>
      <w:r>
        <w:t>All suspected adverse reactions that are reported to the personnel of the company are collected and collated in an accessible manner;</w:t>
      </w:r>
    </w:p>
    <w:p w14:paraId="34C59637" w14:textId="77777777" w:rsidR="005A69A8" w:rsidRDefault="005A69A8" w:rsidP="007D53B6">
      <w:pPr>
        <w:pStyle w:val="FootnoteText"/>
        <w:numPr>
          <w:ilvl w:val="0"/>
          <w:numId w:val="32"/>
        </w:numPr>
        <w:ind w:left="284" w:hanging="284"/>
      </w:pPr>
      <w:r>
        <w:t>Reporting to regulatory authorities;</w:t>
      </w:r>
    </w:p>
    <w:p w14:paraId="1B208CE8" w14:textId="77777777" w:rsidR="005A69A8" w:rsidRDefault="005A69A8" w:rsidP="007D53B6">
      <w:pPr>
        <w:pStyle w:val="FootnoteText"/>
        <w:numPr>
          <w:ilvl w:val="0"/>
          <w:numId w:val="32"/>
        </w:numPr>
        <w:ind w:left="284" w:hanging="284"/>
      </w:pPr>
      <w:r>
        <w:t>Continuous monitoring of the safety profiles of approved products including signal detection and updating of labelling;</w:t>
      </w:r>
    </w:p>
    <w:p w14:paraId="4ACA5A5A" w14:textId="77777777" w:rsidR="005A69A8" w:rsidRDefault="005A69A8" w:rsidP="007D53B6">
      <w:pPr>
        <w:pStyle w:val="FootnoteText"/>
        <w:numPr>
          <w:ilvl w:val="0"/>
          <w:numId w:val="32"/>
        </w:numPr>
        <w:ind w:left="284" w:hanging="284"/>
      </w:pPr>
      <w:r>
        <w:t>Submission of PSURs;</w:t>
      </w:r>
    </w:p>
    <w:p w14:paraId="4FF8FFC4" w14:textId="77777777" w:rsidR="005A69A8" w:rsidRDefault="005A69A8" w:rsidP="007D53B6">
      <w:pPr>
        <w:pStyle w:val="FootnoteText"/>
        <w:numPr>
          <w:ilvl w:val="0"/>
          <w:numId w:val="32"/>
        </w:numPr>
        <w:ind w:left="284" w:hanging="284"/>
      </w:pPr>
      <w:r>
        <w:t>Meeting other local regulatory agency requirements.</w:t>
      </w:r>
    </w:p>
  </w:footnote>
  <w:footnote w:id="12">
    <w:p w14:paraId="357A3483" w14:textId="53E26550" w:rsidR="005A69A8" w:rsidRPr="002B1CC7" w:rsidRDefault="005A69A8" w:rsidP="002B1CC7">
      <w:pPr>
        <w:pStyle w:val="FootnoteText"/>
      </w:pPr>
      <w:r>
        <w:rPr>
          <w:rStyle w:val="FootnoteReference"/>
        </w:rPr>
        <w:footnoteRef/>
      </w:r>
      <w:r>
        <w:t xml:space="preserve"> The </w:t>
      </w:r>
      <w:r w:rsidRPr="00337237">
        <w:rPr>
          <w:b/>
        </w:rPr>
        <w:t>New York Heart Association (NYHA) Classification</w:t>
      </w:r>
      <w:r>
        <w:t xml:space="preserve"> classifies patients based on limitations of physical activity and presence and severity of symptoms. Class I: No limitation of physical activity. Ordinary physical activity does not cause undue fatigue, palpitation, dyspnoea (shortness of breath). Class II: Slight limitation of physical activity. Comfortable at rest. Ordinary physical activity results in fatigue, palpitation, dyspnoea (shortness of breath). Class III: Marked limitation of physical activity. Comfortable at rest. Less than ordinary activity causes fatigue, palpitation, or dyspnoea. Class IV: Unable to carry on any physical activity without discomfort. Symptoms of heart failure at rest. If any physical activity is undertaken, discomfort increases.</w:t>
      </w:r>
    </w:p>
  </w:footnote>
  <w:footnote w:id="13">
    <w:p w14:paraId="6B357A6E" w14:textId="77777777" w:rsidR="005A69A8" w:rsidRDefault="005A69A8" w:rsidP="00DF676B">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7DA6BC40" w14:textId="77777777" w:rsidR="005A69A8" w:rsidRPr="00456765" w:rsidRDefault="005A69A8" w:rsidP="00DF676B">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14CBB" w14:textId="77777777" w:rsidR="005A69A8" w:rsidRDefault="005A69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FEDAE" w14:textId="77777777" w:rsidR="005A69A8" w:rsidRDefault="005A69A8"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E57B4" w14:textId="77777777" w:rsidR="005A69A8" w:rsidRDefault="005A69A8">
    <w:pPr>
      <w:rPr>
        <w:noProof/>
        <w:lang w:eastAsia="en-AU"/>
      </w:rPr>
    </w:pPr>
    <w:r w:rsidRPr="00347824">
      <w:rPr>
        <w:noProof/>
        <w:lang w:eastAsia="en-AU"/>
      </w:rPr>
      <w:drawing>
        <wp:anchor distT="0" distB="0" distL="114300" distR="114300" simplePos="0" relativeHeight="251658240" behindDoc="1" locked="0" layoutInCell="1" allowOverlap="1" wp14:anchorId="592E0BE2" wp14:editId="568AC70D">
          <wp:simplePos x="0" y="0"/>
          <wp:positionH relativeFrom="column">
            <wp:posOffset>-1089660</wp:posOffset>
          </wp:positionH>
          <wp:positionV relativeFrom="paragraph">
            <wp:posOffset>-585470</wp:posOffset>
          </wp:positionV>
          <wp:extent cx="7572375" cy="10706100"/>
          <wp:effectExtent l="19050" t="0" r="0" b="0"/>
          <wp:wrapNone/>
          <wp:docPr id="17"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1F077B6B" w14:textId="77777777" w:rsidR="005A69A8" w:rsidRDefault="005A69A8" w:rsidP="00593AD1">
    <w:pPr>
      <w:pStyle w:val="HeaderNoLine"/>
    </w:pPr>
    <w:r>
      <w:rPr>
        <w:noProof/>
        <w:lang w:eastAsia="en-AU"/>
      </w:rPr>
      <w:drawing>
        <wp:inline distT="0" distB="0" distL="0" distR="0" wp14:anchorId="2503116B" wp14:editId="01C00B98">
          <wp:extent cx="5400675" cy="7639050"/>
          <wp:effectExtent l="0" t="0" r="9525" b="0"/>
          <wp:docPr id="21" name="Picture 2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C54D3" w14:textId="77777777" w:rsidR="005A69A8" w:rsidRDefault="005A69A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52AC0" w14:textId="77777777" w:rsidR="005A69A8" w:rsidRDefault="005A69A8">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6BA93" w14:textId="77777777" w:rsidR="005A69A8" w:rsidRDefault="005A69A8">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5EA98" w14:textId="77777777" w:rsidR="005A69A8" w:rsidRDefault="005A69A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539D8" w14:textId="77777777" w:rsidR="005A69A8" w:rsidRDefault="005A69A8"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E700B" w14:textId="77777777" w:rsidR="005A69A8" w:rsidRDefault="005A69A8" w:rsidP="006E08B3">
    <w:r>
      <w:t>Therapeutic Goods Administration</w:t>
    </w:r>
  </w:p>
  <w:p w14:paraId="600D21F9" w14:textId="77777777" w:rsidR="005A69A8" w:rsidRDefault="005A69A8"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23C5780"/>
    <w:multiLevelType w:val="hybridMultilevel"/>
    <w:tmpl w:val="47BED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E919C9"/>
    <w:multiLevelType w:val="hybridMultilevel"/>
    <w:tmpl w:val="B1AED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8F13E9"/>
    <w:multiLevelType w:val="multilevel"/>
    <w:tmpl w:val="33F4877E"/>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9"/>
  </w:num>
  <w:num w:numId="4">
    <w:abstractNumId w:val="9"/>
  </w:num>
  <w:num w:numId="5">
    <w:abstractNumId w:val="0"/>
  </w:num>
  <w:num w:numId="6">
    <w:abstractNumId w:val="9"/>
  </w:num>
  <w:num w:numId="7">
    <w:abstractNumId w:val="9"/>
  </w:num>
  <w:num w:numId="8">
    <w:abstractNumId w:val="7"/>
  </w:num>
  <w:num w:numId="9">
    <w:abstractNumId w:val="7"/>
  </w:num>
  <w:num w:numId="10">
    <w:abstractNumId w:val="7"/>
  </w:num>
  <w:num w:numId="11">
    <w:abstractNumId w:val="7"/>
  </w:num>
  <w:num w:numId="12">
    <w:abstractNumId w:val="3"/>
    <w:lvlOverride w:ilvl="0">
      <w:lvl w:ilvl="0">
        <w:numFmt w:val="bullet"/>
        <w:lvlText w:val="•"/>
        <w:legacy w:legacy="1" w:legacySpace="0" w:legacyIndent="0"/>
        <w:lvlJc w:val="left"/>
        <w:rPr>
          <w:rFonts w:ascii="Helv" w:hAnsi="Helv" w:hint="default"/>
        </w:rPr>
      </w:lvl>
    </w:lvlOverride>
  </w:num>
  <w:num w:numId="13">
    <w:abstractNumId w:val="9"/>
  </w:num>
  <w:num w:numId="14">
    <w:abstractNumId w:val="9"/>
  </w:num>
  <w:num w:numId="15">
    <w:abstractNumId w:val="9"/>
  </w:num>
  <w:num w:numId="16">
    <w:abstractNumId w:val="7"/>
  </w:num>
  <w:num w:numId="17">
    <w:abstractNumId w:val="7"/>
  </w:num>
  <w:num w:numId="18">
    <w:abstractNumId w:val="7"/>
  </w:num>
  <w:num w:numId="19">
    <w:abstractNumId w:val="9"/>
  </w:num>
  <w:num w:numId="20">
    <w:abstractNumId w:val="9"/>
  </w:num>
  <w:num w:numId="21">
    <w:abstractNumId w:val="9"/>
  </w:num>
  <w:num w:numId="22">
    <w:abstractNumId w:val="7"/>
  </w:num>
  <w:num w:numId="23">
    <w:abstractNumId w:val="7"/>
  </w:num>
  <w:num w:numId="24">
    <w:abstractNumId w:val="7"/>
  </w:num>
  <w:num w:numId="25">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1"/>
  </w:num>
  <w:num w:numId="28">
    <w:abstractNumId w:val="13"/>
  </w:num>
  <w:num w:numId="29">
    <w:abstractNumId w:val="8"/>
  </w:num>
  <w:num w:numId="30">
    <w:abstractNumId w:val="10"/>
  </w:num>
  <w:num w:numId="31">
    <w:abstractNumId w:val="5"/>
  </w:num>
  <w:num w:numId="32">
    <w:abstractNumId w:val="12"/>
  </w:num>
  <w:num w:numId="33">
    <w:abstractNumId w:val="4"/>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0DC"/>
    <w:rsid w:val="00002031"/>
    <w:rsid w:val="00004734"/>
    <w:rsid w:val="00006B22"/>
    <w:rsid w:val="00006FAB"/>
    <w:rsid w:val="0001276A"/>
    <w:rsid w:val="00017E70"/>
    <w:rsid w:val="0002005B"/>
    <w:rsid w:val="00022DA1"/>
    <w:rsid w:val="000246AE"/>
    <w:rsid w:val="00025C67"/>
    <w:rsid w:val="00027D1C"/>
    <w:rsid w:val="00044772"/>
    <w:rsid w:val="0004541C"/>
    <w:rsid w:val="0005559E"/>
    <w:rsid w:val="000604D6"/>
    <w:rsid w:val="000734D8"/>
    <w:rsid w:val="00077775"/>
    <w:rsid w:val="00090471"/>
    <w:rsid w:val="000910D1"/>
    <w:rsid w:val="00095DEF"/>
    <w:rsid w:val="0009669D"/>
    <w:rsid w:val="00096AA7"/>
    <w:rsid w:val="000A3AED"/>
    <w:rsid w:val="000B3532"/>
    <w:rsid w:val="000B3A75"/>
    <w:rsid w:val="000C00C2"/>
    <w:rsid w:val="000C690F"/>
    <w:rsid w:val="000D1295"/>
    <w:rsid w:val="000D391B"/>
    <w:rsid w:val="000D3D6D"/>
    <w:rsid w:val="000D4FC7"/>
    <w:rsid w:val="000E180A"/>
    <w:rsid w:val="000E6196"/>
    <w:rsid w:val="000F4869"/>
    <w:rsid w:val="000F5B42"/>
    <w:rsid w:val="000F6E6F"/>
    <w:rsid w:val="0010601F"/>
    <w:rsid w:val="0010788A"/>
    <w:rsid w:val="00107A31"/>
    <w:rsid w:val="00110EA5"/>
    <w:rsid w:val="00112DF0"/>
    <w:rsid w:val="00112F56"/>
    <w:rsid w:val="00117FEA"/>
    <w:rsid w:val="00124ACD"/>
    <w:rsid w:val="00125318"/>
    <w:rsid w:val="001305A2"/>
    <w:rsid w:val="00133238"/>
    <w:rsid w:val="00133A1B"/>
    <w:rsid w:val="00133BFA"/>
    <w:rsid w:val="0014197B"/>
    <w:rsid w:val="001447CD"/>
    <w:rsid w:val="001516B1"/>
    <w:rsid w:val="00154EBB"/>
    <w:rsid w:val="00156316"/>
    <w:rsid w:val="00161181"/>
    <w:rsid w:val="00162D14"/>
    <w:rsid w:val="00163780"/>
    <w:rsid w:val="00165389"/>
    <w:rsid w:val="00173D3C"/>
    <w:rsid w:val="0017693F"/>
    <w:rsid w:val="00180C61"/>
    <w:rsid w:val="0018110E"/>
    <w:rsid w:val="00181684"/>
    <w:rsid w:val="00183E06"/>
    <w:rsid w:val="001843C6"/>
    <w:rsid w:val="001850E0"/>
    <w:rsid w:val="001A03AF"/>
    <w:rsid w:val="001A2158"/>
    <w:rsid w:val="001A525F"/>
    <w:rsid w:val="001B09F9"/>
    <w:rsid w:val="001B5C90"/>
    <w:rsid w:val="001B6448"/>
    <w:rsid w:val="001C32CD"/>
    <w:rsid w:val="001C6DAC"/>
    <w:rsid w:val="001D2984"/>
    <w:rsid w:val="001D3022"/>
    <w:rsid w:val="001E07CF"/>
    <w:rsid w:val="001E59F1"/>
    <w:rsid w:val="001F2CEE"/>
    <w:rsid w:val="001F49EB"/>
    <w:rsid w:val="001F6CBA"/>
    <w:rsid w:val="002019CF"/>
    <w:rsid w:val="00201D4E"/>
    <w:rsid w:val="002028DA"/>
    <w:rsid w:val="00204AA0"/>
    <w:rsid w:val="002076C9"/>
    <w:rsid w:val="00213A40"/>
    <w:rsid w:val="00220B8A"/>
    <w:rsid w:val="002257F3"/>
    <w:rsid w:val="002317DF"/>
    <w:rsid w:val="00233456"/>
    <w:rsid w:val="002339A5"/>
    <w:rsid w:val="00235309"/>
    <w:rsid w:val="00250271"/>
    <w:rsid w:val="0025578F"/>
    <w:rsid w:val="00257848"/>
    <w:rsid w:val="002578E8"/>
    <w:rsid w:val="0027084A"/>
    <w:rsid w:val="00275F32"/>
    <w:rsid w:val="00280265"/>
    <w:rsid w:val="00286434"/>
    <w:rsid w:val="00286C59"/>
    <w:rsid w:val="00291957"/>
    <w:rsid w:val="002942D1"/>
    <w:rsid w:val="0029501A"/>
    <w:rsid w:val="002A03E0"/>
    <w:rsid w:val="002A3721"/>
    <w:rsid w:val="002B1638"/>
    <w:rsid w:val="002B1CC7"/>
    <w:rsid w:val="002B3624"/>
    <w:rsid w:val="002D0952"/>
    <w:rsid w:val="002E40B3"/>
    <w:rsid w:val="002E4C9A"/>
    <w:rsid w:val="002F11F8"/>
    <w:rsid w:val="002F3F56"/>
    <w:rsid w:val="002F44B5"/>
    <w:rsid w:val="002F5122"/>
    <w:rsid w:val="00311AC0"/>
    <w:rsid w:val="00314FD7"/>
    <w:rsid w:val="003176FC"/>
    <w:rsid w:val="0032583B"/>
    <w:rsid w:val="00327883"/>
    <w:rsid w:val="003324FB"/>
    <w:rsid w:val="00335504"/>
    <w:rsid w:val="003371F7"/>
    <w:rsid w:val="00337237"/>
    <w:rsid w:val="00340C18"/>
    <w:rsid w:val="00340E25"/>
    <w:rsid w:val="003442FD"/>
    <w:rsid w:val="00347824"/>
    <w:rsid w:val="00350567"/>
    <w:rsid w:val="003521E8"/>
    <w:rsid w:val="003622DB"/>
    <w:rsid w:val="00370CE3"/>
    <w:rsid w:val="003728F3"/>
    <w:rsid w:val="003735BC"/>
    <w:rsid w:val="0037496E"/>
    <w:rsid w:val="00383221"/>
    <w:rsid w:val="0038384D"/>
    <w:rsid w:val="00386150"/>
    <w:rsid w:val="003874CE"/>
    <w:rsid w:val="00390900"/>
    <w:rsid w:val="00390B0D"/>
    <w:rsid w:val="0039300D"/>
    <w:rsid w:val="003A7F6C"/>
    <w:rsid w:val="003B4D60"/>
    <w:rsid w:val="003B7E39"/>
    <w:rsid w:val="003C0F1B"/>
    <w:rsid w:val="003C58DC"/>
    <w:rsid w:val="003C7AB3"/>
    <w:rsid w:val="003D0B61"/>
    <w:rsid w:val="003D1E62"/>
    <w:rsid w:val="003E0B99"/>
    <w:rsid w:val="003E2486"/>
    <w:rsid w:val="003E3208"/>
    <w:rsid w:val="003E5A47"/>
    <w:rsid w:val="003F0B04"/>
    <w:rsid w:val="0040134E"/>
    <w:rsid w:val="004334C7"/>
    <w:rsid w:val="00440A2D"/>
    <w:rsid w:val="00441C3F"/>
    <w:rsid w:val="004434C8"/>
    <w:rsid w:val="00444D1A"/>
    <w:rsid w:val="0045186A"/>
    <w:rsid w:val="004564A7"/>
    <w:rsid w:val="00456765"/>
    <w:rsid w:val="00460036"/>
    <w:rsid w:val="004617BF"/>
    <w:rsid w:val="00463658"/>
    <w:rsid w:val="004637A0"/>
    <w:rsid w:val="004722CC"/>
    <w:rsid w:val="00474988"/>
    <w:rsid w:val="00487ACA"/>
    <w:rsid w:val="00490483"/>
    <w:rsid w:val="004936E4"/>
    <w:rsid w:val="00494E60"/>
    <w:rsid w:val="00497487"/>
    <w:rsid w:val="004A2771"/>
    <w:rsid w:val="004A4A8A"/>
    <w:rsid w:val="004A6189"/>
    <w:rsid w:val="004A7390"/>
    <w:rsid w:val="004B7B76"/>
    <w:rsid w:val="004C239D"/>
    <w:rsid w:val="004C2DCA"/>
    <w:rsid w:val="004C4FBE"/>
    <w:rsid w:val="004C61D2"/>
    <w:rsid w:val="004F0C4A"/>
    <w:rsid w:val="004F0F38"/>
    <w:rsid w:val="004F47D6"/>
    <w:rsid w:val="00500337"/>
    <w:rsid w:val="00501921"/>
    <w:rsid w:val="0051043B"/>
    <w:rsid w:val="00516E09"/>
    <w:rsid w:val="00530354"/>
    <w:rsid w:val="0053625B"/>
    <w:rsid w:val="005434C6"/>
    <w:rsid w:val="00543B39"/>
    <w:rsid w:val="00544B8A"/>
    <w:rsid w:val="00546154"/>
    <w:rsid w:val="00550096"/>
    <w:rsid w:val="00555280"/>
    <w:rsid w:val="00557FF9"/>
    <w:rsid w:val="00562327"/>
    <w:rsid w:val="005711D5"/>
    <w:rsid w:val="00576378"/>
    <w:rsid w:val="00577130"/>
    <w:rsid w:val="00577945"/>
    <w:rsid w:val="00577E38"/>
    <w:rsid w:val="00585322"/>
    <w:rsid w:val="005857C6"/>
    <w:rsid w:val="00592F6E"/>
    <w:rsid w:val="00593AD1"/>
    <w:rsid w:val="005A68B6"/>
    <w:rsid w:val="005A69A8"/>
    <w:rsid w:val="005C5570"/>
    <w:rsid w:val="005C5B66"/>
    <w:rsid w:val="005C79A4"/>
    <w:rsid w:val="005D5442"/>
    <w:rsid w:val="005E681D"/>
    <w:rsid w:val="0060019F"/>
    <w:rsid w:val="00601CF8"/>
    <w:rsid w:val="00603F32"/>
    <w:rsid w:val="00605AD4"/>
    <w:rsid w:val="00607A47"/>
    <w:rsid w:val="006136D7"/>
    <w:rsid w:val="00625A6E"/>
    <w:rsid w:val="00632398"/>
    <w:rsid w:val="00640FC3"/>
    <w:rsid w:val="00642020"/>
    <w:rsid w:val="006430EE"/>
    <w:rsid w:val="0065337B"/>
    <w:rsid w:val="0065419D"/>
    <w:rsid w:val="006601B5"/>
    <w:rsid w:val="006603BC"/>
    <w:rsid w:val="006604D8"/>
    <w:rsid w:val="00664A5B"/>
    <w:rsid w:val="0066663C"/>
    <w:rsid w:val="0066735C"/>
    <w:rsid w:val="00670EBC"/>
    <w:rsid w:val="006763D2"/>
    <w:rsid w:val="006768B9"/>
    <w:rsid w:val="006770CE"/>
    <w:rsid w:val="00680C08"/>
    <w:rsid w:val="006815C0"/>
    <w:rsid w:val="006916A0"/>
    <w:rsid w:val="006931B1"/>
    <w:rsid w:val="006A110B"/>
    <w:rsid w:val="006A15C0"/>
    <w:rsid w:val="006A58A8"/>
    <w:rsid w:val="006C200E"/>
    <w:rsid w:val="006C3E2A"/>
    <w:rsid w:val="006C4A14"/>
    <w:rsid w:val="006C642F"/>
    <w:rsid w:val="006C6D4E"/>
    <w:rsid w:val="006D03E5"/>
    <w:rsid w:val="006D5D3E"/>
    <w:rsid w:val="006D6F41"/>
    <w:rsid w:val="006E08B3"/>
    <w:rsid w:val="006E2636"/>
    <w:rsid w:val="006F17AC"/>
    <w:rsid w:val="006F25B8"/>
    <w:rsid w:val="006F572E"/>
    <w:rsid w:val="0070387B"/>
    <w:rsid w:val="007046D6"/>
    <w:rsid w:val="00705DB0"/>
    <w:rsid w:val="00712C43"/>
    <w:rsid w:val="00722B57"/>
    <w:rsid w:val="00723EFC"/>
    <w:rsid w:val="0072722E"/>
    <w:rsid w:val="00730F8A"/>
    <w:rsid w:val="007310DC"/>
    <w:rsid w:val="00735A8C"/>
    <w:rsid w:val="0074253D"/>
    <w:rsid w:val="0074429B"/>
    <w:rsid w:val="0076011F"/>
    <w:rsid w:val="007615BC"/>
    <w:rsid w:val="00762F05"/>
    <w:rsid w:val="007652FF"/>
    <w:rsid w:val="00770CAC"/>
    <w:rsid w:val="00770EF1"/>
    <w:rsid w:val="00773EF7"/>
    <w:rsid w:val="00774E1D"/>
    <w:rsid w:val="007765D8"/>
    <w:rsid w:val="0077675A"/>
    <w:rsid w:val="00780355"/>
    <w:rsid w:val="00781517"/>
    <w:rsid w:val="007819FD"/>
    <w:rsid w:val="00784263"/>
    <w:rsid w:val="00785717"/>
    <w:rsid w:val="00785721"/>
    <w:rsid w:val="00792C75"/>
    <w:rsid w:val="00793A59"/>
    <w:rsid w:val="007A0F3C"/>
    <w:rsid w:val="007A46F5"/>
    <w:rsid w:val="007A6505"/>
    <w:rsid w:val="007B6132"/>
    <w:rsid w:val="007B69FB"/>
    <w:rsid w:val="007B6E9F"/>
    <w:rsid w:val="007C1216"/>
    <w:rsid w:val="007C1AF7"/>
    <w:rsid w:val="007C6B9B"/>
    <w:rsid w:val="007D53B6"/>
    <w:rsid w:val="007E620F"/>
    <w:rsid w:val="00804392"/>
    <w:rsid w:val="00805D27"/>
    <w:rsid w:val="00806DCB"/>
    <w:rsid w:val="008203C0"/>
    <w:rsid w:val="00821776"/>
    <w:rsid w:val="008321F5"/>
    <w:rsid w:val="00832369"/>
    <w:rsid w:val="00834660"/>
    <w:rsid w:val="008366BC"/>
    <w:rsid w:val="00836BC2"/>
    <w:rsid w:val="0085156D"/>
    <w:rsid w:val="00852B28"/>
    <w:rsid w:val="0085641B"/>
    <w:rsid w:val="00857136"/>
    <w:rsid w:val="00875A6B"/>
    <w:rsid w:val="00885B11"/>
    <w:rsid w:val="00886D15"/>
    <w:rsid w:val="00887DD8"/>
    <w:rsid w:val="00891BA9"/>
    <w:rsid w:val="008921E3"/>
    <w:rsid w:val="00896018"/>
    <w:rsid w:val="008960DD"/>
    <w:rsid w:val="0089635C"/>
    <w:rsid w:val="008A2B9D"/>
    <w:rsid w:val="008A3D9F"/>
    <w:rsid w:val="008A5E0B"/>
    <w:rsid w:val="008A6D59"/>
    <w:rsid w:val="008B4B03"/>
    <w:rsid w:val="008B596F"/>
    <w:rsid w:val="008B762D"/>
    <w:rsid w:val="008C159F"/>
    <w:rsid w:val="008C1623"/>
    <w:rsid w:val="008C1850"/>
    <w:rsid w:val="008C51A9"/>
    <w:rsid w:val="008E7846"/>
    <w:rsid w:val="008F02E5"/>
    <w:rsid w:val="008F1CCC"/>
    <w:rsid w:val="008F2967"/>
    <w:rsid w:val="008F6943"/>
    <w:rsid w:val="00902A21"/>
    <w:rsid w:val="0091523F"/>
    <w:rsid w:val="00920330"/>
    <w:rsid w:val="009219D7"/>
    <w:rsid w:val="00922D53"/>
    <w:rsid w:val="00923B70"/>
    <w:rsid w:val="00924482"/>
    <w:rsid w:val="0092548C"/>
    <w:rsid w:val="00930237"/>
    <w:rsid w:val="00937C17"/>
    <w:rsid w:val="00940A89"/>
    <w:rsid w:val="00941F77"/>
    <w:rsid w:val="00946EA5"/>
    <w:rsid w:val="00946F1B"/>
    <w:rsid w:val="00954964"/>
    <w:rsid w:val="00960520"/>
    <w:rsid w:val="00963C08"/>
    <w:rsid w:val="009752A5"/>
    <w:rsid w:val="0098585A"/>
    <w:rsid w:val="00996F10"/>
    <w:rsid w:val="009A4CED"/>
    <w:rsid w:val="009A690D"/>
    <w:rsid w:val="009B1D12"/>
    <w:rsid w:val="009B416B"/>
    <w:rsid w:val="009C4BD5"/>
    <w:rsid w:val="009D602F"/>
    <w:rsid w:val="009D7B77"/>
    <w:rsid w:val="009E0BB0"/>
    <w:rsid w:val="009E3FBB"/>
    <w:rsid w:val="009F7353"/>
    <w:rsid w:val="00A04F85"/>
    <w:rsid w:val="00A05FA4"/>
    <w:rsid w:val="00A102E4"/>
    <w:rsid w:val="00A1219C"/>
    <w:rsid w:val="00A12C42"/>
    <w:rsid w:val="00A14BAF"/>
    <w:rsid w:val="00A14DF7"/>
    <w:rsid w:val="00A21722"/>
    <w:rsid w:val="00A22D57"/>
    <w:rsid w:val="00A3246D"/>
    <w:rsid w:val="00A36FA7"/>
    <w:rsid w:val="00A37E1F"/>
    <w:rsid w:val="00A40085"/>
    <w:rsid w:val="00A425CC"/>
    <w:rsid w:val="00A44DDB"/>
    <w:rsid w:val="00A475B7"/>
    <w:rsid w:val="00A47AF7"/>
    <w:rsid w:val="00A47C3E"/>
    <w:rsid w:val="00A50226"/>
    <w:rsid w:val="00A60BAD"/>
    <w:rsid w:val="00A7143B"/>
    <w:rsid w:val="00A77F87"/>
    <w:rsid w:val="00A80B5B"/>
    <w:rsid w:val="00A84E36"/>
    <w:rsid w:val="00A964D1"/>
    <w:rsid w:val="00AA0ED0"/>
    <w:rsid w:val="00AA4FFB"/>
    <w:rsid w:val="00AC2B40"/>
    <w:rsid w:val="00AC2BB2"/>
    <w:rsid w:val="00AC2C3C"/>
    <w:rsid w:val="00AC4127"/>
    <w:rsid w:val="00AC512D"/>
    <w:rsid w:val="00AD0083"/>
    <w:rsid w:val="00AD3935"/>
    <w:rsid w:val="00AE5D93"/>
    <w:rsid w:val="00AE65EB"/>
    <w:rsid w:val="00AE67A7"/>
    <w:rsid w:val="00AE6E8E"/>
    <w:rsid w:val="00AF1AC8"/>
    <w:rsid w:val="00AF1D94"/>
    <w:rsid w:val="00AF1FCE"/>
    <w:rsid w:val="00AF60C5"/>
    <w:rsid w:val="00B009C6"/>
    <w:rsid w:val="00B01548"/>
    <w:rsid w:val="00B05DC0"/>
    <w:rsid w:val="00B112D9"/>
    <w:rsid w:val="00B130C5"/>
    <w:rsid w:val="00B13EBD"/>
    <w:rsid w:val="00B21D29"/>
    <w:rsid w:val="00B25034"/>
    <w:rsid w:val="00B33588"/>
    <w:rsid w:val="00B33863"/>
    <w:rsid w:val="00B37D17"/>
    <w:rsid w:val="00B4175E"/>
    <w:rsid w:val="00B41C85"/>
    <w:rsid w:val="00B452CE"/>
    <w:rsid w:val="00B54C25"/>
    <w:rsid w:val="00B60156"/>
    <w:rsid w:val="00B76B91"/>
    <w:rsid w:val="00B77EB1"/>
    <w:rsid w:val="00B811C6"/>
    <w:rsid w:val="00B855B0"/>
    <w:rsid w:val="00B90658"/>
    <w:rsid w:val="00B92BC0"/>
    <w:rsid w:val="00B92E08"/>
    <w:rsid w:val="00B9660C"/>
    <w:rsid w:val="00BB419F"/>
    <w:rsid w:val="00BC61E1"/>
    <w:rsid w:val="00BC622A"/>
    <w:rsid w:val="00BE0A78"/>
    <w:rsid w:val="00BE79F0"/>
    <w:rsid w:val="00BF046D"/>
    <w:rsid w:val="00BF1190"/>
    <w:rsid w:val="00BF3774"/>
    <w:rsid w:val="00BF5D04"/>
    <w:rsid w:val="00C009AA"/>
    <w:rsid w:val="00C1164D"/>
    <w:rsid w:val="00C16861"/>
    <w:rsid w:val="00C315C9"/>
    <w:rsid w:val="00C346AB"/>
    <w:rsid w:val="00C404A6"/>
    <w:rsid w:val="00C40A36"/>
    <w:rsid w:val="00C44419"/>
    <w:rsid w:val="00C45E7B"/>
    <w:rsid w:val="00C471B1"/>
    <w:rsid w:val="00C525A2"/>
    <w:rsid w:val="00C52E24"/>
    <w:rsid w:val="00C54AA1"/>
    <w:rsid w:val="00C6316B"/>
    <w:rsid w:val="00C634A9"/>
    <w:rsid w:val="00C64586"/>
    <w:rsid w:val="00C70A36"/>
    <w:rsid w:val="00C70D53"/>
    <w:rsid w:val="00C73D0B"/>
    <w:rsid w:val="00C74F5C"/>
    <w:rsid w:val="00C772FF"/>
    <w:rsid w:val="00C80137"/>
    <w:rsid w:val="00C801AF"/>
    <w:rsid w:val="00C80256"/>
    <w:rsid w:val="00C81180"/>
    <w:rsid w:val="00C87093"/>
    <w:rsid w:val="00C94CD4"/>
    <w:rsid w:val="00C9747E"/>
    <w:rsid w:val="00CB6BC0"/>
    <w:rsid w:val="00CC1B7C"/>
    <w:rsid w:val="00CC727F"/>
    <w:rsid w:val="00CD0DB4"/>
    <w:rsid w:val="00CF15C3"/>
    <w:rsid w:val="00CF2B6F"/>
    <w:rsid w:val="00CF2F3E"/>
    <w:rsid w:val="00CF58B6"/>
    <w:rsid w:val="00CF5DAD"/>
    <w:rsid w:val="00D0062D"/>
    <w:rsid w:val="00D017ED"/>
    <w:rsid w:val="00D040D3"/>
    <w:rsid w:val="00D04C65"/>
    <w:rsid w:val="00D06CEC"/>
    <w:rsid w:val="00D153D8"/>
    <w:rsid w:val="00D201D2"/>
    <w:rsid w:val="00D224FE"/>
    <w:rsid w:val="00D23139"/>
    <w:rsid w:val="00D2415D"/>
    <w:rsid w:val="00D2728B"/>
    <w:rsid w:val="00D2782F"/>
    <w:rsid w:val="00D324CC"/>
    <w:rsid w:val="00D330D6"/>
    <w:rsid w:val="00D425BB"/>
    <w:rsid w:val="00D453FA"/>
    <w:rsid w:val="00D57B9C"/>
    <w:rsid w:val="00D6493E"/>
    <w:rsid w:val="00D7195D"/>
    <w:rsid w:val="00D7301E"/>
    <w:rsid w:val="00D83AE1"/>
    <w:rsid w:val="00D855D4"/>
    <w:rsid w:val="00D902C9"/>
    <w:rsid w:val="00D93466"/>
    <w:rsid w:val="00D9417A"/>
    <w:rsid w:val="00D9753D"/>
    <w:rsid w:val="00DA1124"/>
    <w:rsid w:val="00DA64CB"/>
    <w:rsid w:val="00DB06B8"/>
    <w:rsid w:val="00DB6124"/>
    <w:rsid w:val="00DB750B"/>
    <w:rsid w:val="00DB75B7"/>
    <w:rsid w:val="00DC0A2F"/>
    <w:rsid w:val="00DC1948"/>
    <w:rsid w:val="00DC6E02"/>
    <w:rsid w:val="00DD28CD"/>
    <w:rsid w:val="00DE02AE"/>
    <w:rsid w:val="00DE39D1"/>
    <w:rsid w:val="00DF0A16"/>
    <w:rsid w:val="00DF1D7F"/>
    <w:rsid w:val="00DF49F8"/>
    <w:rsid w:val="00DF4BE4"/>
    <w:rsid w:val="00DF676B"/>
    <w:rsid w:val="00E018DA"/>
    <w:rsid w:val="00E02382"/>
    <w:rsid w:val="00E02FB4"/>
    <w:rsid w:val="00E0726D"/>
    <w:rsid w:val="00E138DB"/>
    <w:rsid w:val="00E13A0B"/>
    <w:rsid w:val="00E13FC7"/>
    <w:rsid w:val="00E20571"/>
    <w:rsid w:val="00E235F7"/>
    <w:rsid w:val="00E23659"/>
    <w:rsid w:val="00E239D4"/>
    <w:rsid w:val="00E26130"/>
    <w:rsid w:val="00E2673D"/>
    <w:rsid w:val="00E31645"/>
    <w:rsid w:val="00E40B22"/>
    <w:rsid w:val="00E44ED1"/>
    <w:rsid w:val="00E45619"/>
    <w:rsid w:val="00E4588F"/>
    <w:rsid w:val="00E46DA3"/>
    <w:rsid w:val="00E51826"/>
    <w:rsid w:val="00E51BB1"/>
    <w:rsid w:val="00E55CB0"/>
    <w:rsid w:val="00E624A5"/>
    <w:rsid w:val="00E64BA4"/>
    <w:rsid w:val="00E7344E"/>
    <w:rsid w:val="00E73739"/>
    <w:rsid w:val="00E82665"/>
    <w:rsid w:val="00E94EF1"/>
    <w:rsid w:val="00EB0798"/>
    <w:rsid w:val="00EB40AD"/>
    <w:rsid w:val="00EB586E"/>
    <w:rsid w:val="00EB5FC8"/>
    <w:rsid w:val="00EC463D"/>
    <w:rsid w:val="00EC7A85"/>
    <w:rsid w:val="00ED2922"/>
    <w:rsid w:val="00ED3CAD"/>
    <w:rsid w:val="00ED5A41"/>
    <w:rsid w:val="00EE1DE8"/>
    <w:rsid w:val="00EE27C2"/>
    <w:rsid w:val="00EF4BAD"/>
    <w:rsid w:val="00EF59DC"/>
    <w:rsid w:val="00F0085E"/>
    <w:rsid w:val="00F033EC"/>
    <w:rsid w:val="00F04679"/>
    <w:rsid w:val="00F04F68"/>
    <w:rsid w:val="00F12670"/>
    <w:rsid w:val="00F14B27"/>
    <w:rsid w:val="00F3148D"/>
    <w:rsid w:val="00F325C5"/>
    <w:rsid w:val="00F32FE0"/>
    <w:rsid w:val="00F35298"/>
    <w:rsid w:val="00F47333"/>
    <w:rsid w:val="00F47693"/>
    <w:rsid w:val="00F47E37"/>
    <w:rsid w:val="00F53C07"/>
    <w:rsid w:val="00F54B65"/>
    <w:rsid w:val="00F640B6"/>
    <w:rsid w:val="00F66DF2"/>
    <w:rsid w:val="00F80E40"/>
    <w:rsid w:val="00F848D9"/>
    <w:rsid w:val="00F91464"/>
    <w:rsid w:val="00F91CC2"/>
    <w:rsid w:val="00FA5069"/>
    <w:rsid w:val="00FA5B82"/>
    <w:rsid w:val="00FA639E"/>
    <w:rsid w:val="00FC1FCA"/>
    <w:rsid w:val="00FC25E4"/>
    <w:rsid w:val="00FC4B92"/>
    <w:rsid w:val="00FC4EF7"/>
    <w:rsid w:val="00FC7F3D"/>
    <w:rsid w:val="00FD0824"/>
    <w:rsid w:val="00FD119B"/>
    <w:rsid w:val="00FD1EDC"/>
    <w:rsid w:val="00FD6643"/>
    <w:rsid w:val="00FE1DEE"/>
    <w:rsid w:val="00FE74C6"/>
    <w:rsid w:val="00FF2126"/>
    <w:rsid w:val="00FF5755"/>
    <w:rsid w:val="00FF68C8"/>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508B43D"/>
  <w15:docId w15:val="{B277411F-8FBE-46EC-8690-0895CD558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5A69A8"/>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rsid w:val="00027D1C"/>
    <w:pPr>
      <w:ind w:left="720"/>
      <w:contextualSpacing/>
    </w:pPr>
  </w:style>
  <w:style w:type="character" w:customStyle="1" w:styleId="TabletextChar">
    <w:name w:val="Table text Char"/>
    <w:basedOn w:val="DefaultParagraphFont"/>
    <w:link w:val="Tabletext"/>
    <w:rsid w:val="0070387B"/>
    <w:rPr>
      <w:rFonts w:ascii="Cambria" w:eastAsia="Cambria" w:hAnsi="Cambria" w:cs="Times New Roman"/>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0876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hyperlink" Target="https://www.tga.gov.au/product-information-pi"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header" Target="header6.xml"/><Relationship Id="rId47" Type="http://schemas.openxmlformats.org/officeDocument/2006/relationships/header" Target="header8.xml"/><Relationship Id="rId50"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yperlink" Target="mailto:tga.copyright@tga.gov.au" TargetMode="Externa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image" Target="media/image11.png"/><Relationship Id="rId41" Type="http://schemas.openxmlformats.org/officeDocument/2006/relationships/header" Target="header5.xml"/><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ga.gov.au" TargetMode="External"/><Relationship Id="rId24" Type="http://schemas.microsoft.com/office/2007/relationships/hdphoto" Target="media/hdphoto1.wdp"/><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eader" Target="header4.xml"/><Relationship Id="rId45" Type="http://schemas.openxmlformats.org/officeDocument/2006/relationships/hyperlink" Target="https://www.tga.gov.au" TargetMode="External"/><Relationship Id="rId53"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8.emf"/><Relationship Id="rId49"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hyperlink" Target="https://www.tga.gov.au/product-information-pi" TargetMode="External"/><Relationship Id="rId31" Type="http://schemas.openxmlformats.org/officeDocument/2006/relationships/image" Target="media/image13.png"/><Relationship Id="rId44" Type="http://schemas.openxmlformats.org/officeDocument/2006/relationships/hyperlink" Target="mailto:info@tga.gov.au"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oter" Target="footer4.xml"/><Relationship Id="rId48"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YYIN\AppData\Local\Hewlett-Packard\HP%20TRIM\TEMP\HPTRIM.80740\D19-5975236%20%20AusPAR%20-%20template%20-%20streamlined.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340E763AB2564EB3C2E51B6B341A8E" ma:contentTypeVersion="11" ma:contentTypeDescription="Create a new document." ma:contentTypeScope="" ma:versionID="87588c07a1728c6bec53179195b4eba4">
  <xsd:schema xmlns:xsd="http://www.w3.org/2001/XMLSchema" xmlns:xs="http://www.w3.org/2001/XMLSchema" xmlns:p="http://schemas.microsoft.com/office/2006/metadata/properties" xmlns:ns2="d359beb6-62a6-4b86-b31c-97f65bfe3e2f" targetNamespace="http://schemas.microsoft.com/office/2006/metadata/properties" ma:root="true" ma:fieldsID="5296a30b9e060249ddae02814df599f2" ns2:_="">
    <xsd:import namespace="d359beb6-62a6-4b86-b31c-97f65bfe3e2f"/>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59beb6-62a6-4b86-b31c-97f65bfe3e2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632F0-2E20-42DF-B3FB-1BD52B9AAE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59beb6-62a6-4b86-b31c-97f65bfe3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556579-B5BE-43F3-A727-6D7E4E35CBCE}">
  <ds:schemaRefs>
    <ds:schemaRef ds:uri="http://schemas.microsoft.com/sharepoint/v3/contenttype/forms"/>
  </ds:schemaRefs>
</ds:datastoreItem>
</file>

<file path=customXml/itemProps3.xml><?xml version="1.0" encoding="utf-8"?>
<ds:datastoreItem xmlns:ds="http://schemas.openxmlformats.org/officeDocument/2006/customXml" ds:itemID="{54AB6F9A-5AFB-4AE4-85C3-53A728436185}">
  <ds:schemaRefs>
    <ds:schemaRef ds:uri="http://schemas.microsoft.com/office/2006/documentManagement/types"/>
    <ds:schemaRef ds:uri="http://schemas.microsoft.com/office/infopath/2007/PartnerControls"/>
    <ds:schemaRef ds:uri="http://purl.org/dc/elements/1.1/"/>
    <ds:schemaRef ds:uri="http://www.w3.org/XML/1998/namespace"/>
    <ds:schemaRef ds:uri="http://schemas.microsoft.com/office/2006/metadata/properties"/>
    <ds:schemaRef ds:uri="d359beb6-62a6-4b86-b31c-97f65bfe3e2f"/>
    <ds:schemaRef ds:uri="http://purl.org/dc/term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BA65526B-D804-4BEE-911E-C03C931DE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D19-5975236  AusPAR - template - streamlined.DOTX</Template>
  <TotalTime>22</TotalTime>
  <Pages>31</Pages>
  <Words>6412</Words>
  <Characters>36553</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Australian public assessment report for Decitabine and cedazuridine</vt:lpstr>
    </vt:vector>
  </TitlesOfParts>
  <Company>Department of Health Therapeutic Goods Administration</Company>
  <LinksUpToDate>false</LinksUpToDate>
  <CharactersWithSpaces>42880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Decitabine and cedazuridine</dc:title>
  <dc:subject>prescription medicines</dc:subject>
  <dc:creator>Therapeutic Goods Administration</dc:creator>
  <cp:keywords/>
  <cp:lastPrinted>2019-08-14T04:30:00Z</cp:lastPrinted>
  <dcterms:created xsi:type="dcterms:W3CDTF">2021-02-09T23:32:00Z</dcterms:created>
  <dcterms:modified xsi:type="dcterms:W3CDTF">2021-02-09T23:54:00Z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0x010100CA340E763AB2564EB3C2E51B6B341A8E</vt:lpwstr>
  </property>
</Properties>
</file>