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591A299" w14:textId="77777777" w:rsidTr="00BF1190">
        <w:trPr>
          <w:trHeight w:val="1863"/>
        </w:trPr>
        <w:tc>
          <w:tcPr>
            <w:tcW w:w="3652" w:type="dxa"/>
            <w:tcBorders>
              <w:top w:val="nil"/>
              <w:left w:val="nil"/>
              <w:bottom w:val="nil"/>
              <w:right w:val="nil"/>
            </w:tcBorders>
          </w:tcPr>
          <w:p w14:paraId="63364F6B" w14:textId="7AF068AD" w:rsidR="008E7846" w:rsidRPr="00096AA7" w:rsidRDefault="000D5F80" w:rsidP="00096AA7">
            <w:pPr>
              <w:rPr>
                <w:rFonts w:ascii="Arial" w:hAnsi="Arial" w:cs="Arial"/>
                <w:b/>
                <w:color w:val="002C47"/>
                <w:sz w:val="36"/>
                <w:szCs w:val="36"/>
              </w:rPr>
            </w:pPr>
            <w:r>
              <w:rPr>
                <w:rFonts w:ascii="Arial" w:hAnsi="Arial" w:cs="Arial"/>
                <w:b/>
                <w:color w:val="002C47"/>
                <w:sz w:val="36"/>
                <w:szCs w:val="36"/>
              </w:rPr>
              <w:t>January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8C39BF8" w14:textId="77777777" w:rsidTr="0032583B">
        <w:trPr>
          <w:trHeight w:val="868"/>
        </w:trPr>
        <w:tc>
          <w:tcPr>
            <w:tcW w:w="9079" w:type="dxa"/>
          </w:tcPr>
          <w:p w14:paraId="2F17A28C" w14:textId="77777777" w:rsidR="0032583B" w:rsidRPr="00A964D1" w:rsidRDefault="0032583B" w:rsidP="00F20324">
            <w:pPr>
              <w:pStyle w:val="Title"/>
              <w:rPr>
                <w:color w:val="FFFFFF" w:themeColor="background1"/>
              </w:rPr>
            </w:pPr>
            <w:r w:rsidRPr="00A964D1">
              <w:rPr>
                <w:color w:val="FFFFFF" w:themeColor="background1"/>
              </w:rPr>
              <w:t xml:space="preserve">Australian Public Assessment Report for </w:t>
            </w:r>
            <w:r w:rsidR="00F20324">
              <w:rPr>
                <w:color w:val="FFFFFF" w:themeColor="background1"/>
              </w:rPr>
              <w:t>Dasatinib</w:t>
            </w:r>
          </w:p>
        </w:tc>
      </w:tr>
      <w:tr w:rsidR="0032583B" w:rsidRPr="00B64760" w14:paraId="053C75C1" w14:textId="77777777" w:rsidTr="0032583B">
        <w:tc>
          <w:tcPr>
            <w:tcW w:w="9079" w:type="dxa"/>
          </w:tcPr>
          <w:p w14:paraId="43433B08"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79571B">
              <w:rPr>
                <w:color w:val="FFFFFF" w:themeColor="background1"/>
              </w:rPr>
              <w:t>Sprycel</w:t>
            </w:r>
          </w:p>
        </w:tc>
      </w:tr>
      <w:tr w:rsidR="0032583B" w:rsidRPr="00B64760" w14:paraId="322DA196" w14:textId="77777777" w:rsidTr="0032583B">
        <w:trPr>
          <w:trHeight w:val="486"/>
        </w:trPr>
        <w:tc>
          <w:tcPr>
            <w:tcW w:w="9079" w:type="dxa"/>
          </w:tcPr>
          <w:p w14:paraId="7B7E2A67"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F20324" w:rsidRPr="00F20324">
              <w:rPr>
                <w:color w:val="FFFFFF" w:themeColor="background1"/>
              </w:rPr>
              <w:t>Bristol</w:t>
            </w:r>
            <w:r w:rsidR="00F20324">
              <w:rPr>
                <w:color w:val="FFFFFF" w:themeColor="background1"/>
              </w:rPr>
              <w:t>-Myers Squibb Australia Pty Ltd</w:t>
            </w:r>
          </w:p>
        </w:tc>
      </w:tr>
    </w:tbl>
    <w:p w14:paraId="1B9CCE30" w14:textId="77777777" w:rsidR="008E7846" w:rsidRPr="0085156D" w:rsidRDefault="008E7846" w:rsidP="0085156D">
      <w:r w:rsidRPr="0085156D">
        <w:br w:type="page"/>
      </w:r>
      <w:bookmarkStart w:id="0" w:name="_GoBack"/>
      <w:bookmarkEnd w:id="0"/>
    </w:p>
    <w:p w14:paraId="699EC0FB" w14:textId="77777777" w:rsidR="008E7846" w:rsidRPr="001F6CBA" w:rsidRDefault="008E7846" w:rsidP="008E7846">
      <w:pPr>
        <w:pStyle w:val="NonTOCHeading2"/>
      </w:pPr>
      <w:r w:rsidRPr="001F6CBA">
        <w:lastRenderedPageBreak/>
        <w:t>About the Therapeutic Goods Administration (TGA)</w:t>
      </w:r>
    </w:p>
    <w:p w14:paraId="0A5E4A35" w14:textId="77777777" w:rsidR="008E7846" w:rsidRDefault="008E7846" w:rsidP="00856DA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E5191BE" w14:textId="77777777" w:rsidR="008E7846" w:rsidRDefault="00C80137" w:rsidP="00856DA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A511297" w14:textId="77777777" w:rsidR="008E7846" w:rsidRDefault="008E7846" w:rsidP="00856DA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34332A1" w14:textId="77777777" w:rsidR="008E7846" w:rsidRDefault="008E7846" w:rsidP="00856DA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3FA0310" w14:textId="2710C886" w:rsidR="00441C3F" w:rsidRDefault="008E7846" w:rsidP="00856DAB">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B90B8B">
        <w:t xml:space="preserve">&lt; </w:t>
      </w:r>
      <w:hyperlink r:id="rId8" w:history="1">
        <w:r w:rsidR="00441C3F">
          <w:rPr>
            <w:rStyle w:val="Hyperlink"/>
          </w:rPr>
          <w:t>https://www.tga.gov.au</w:t>
        </w:r>
      </w:hyperlink>
      <w:r w:rsidR="00B90B8B">
        <w:t xml:space="preserve">&gt; </w:t>
      </w:r>
    </w:p>
    <w:p w14:paraId="7954359B" w14:textId="77777777" w:rsidR="008E7846" w:rsidRDefault="008E7846" w:rsidP="00875A6B">
      <w:pPr>
        <w:pStyle w:val="NonTOCHeading2"/>
      </w:pPr>
      <w:r>
        <w:t>About AusPARs</w:t>
      </w:r>
    </w:p>
    <w:p w14:paraId="2E996F60" w14:textId="77777777" w:rsidR="008E7846" w:rsidRDefault="008E7846" w:rsidP="00856DA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F527749" w14:textId="77777777" w:rsidR="008E7846" w:rsidRDefault="008E7846" w:rsidP="00856DAB">
      <w:pPr>
        <w:pStyle w:val="ListBullet"/>
        <w:numPr>
          <w:ilvl w:val="0"/>
          <w:numId w:val="1"/>
        </w:numPr>
        <w:ind w:left="357" w:hanging="357"/>
      </w:pPr>
      <w:r>
        <w:t>AusPARs are prepared and published by the TGA.</w:t>
      </w:r>
    </w:p>
    <w:p w14:paraId="29B71B50" w14:textId="77777777" w:rsidR="008E7846" w:rsidRDefault="008E7846" w:rsidP="00856DAB">
      <w:pPr>
        <w:pStyle w:val="ListBullet"/>
        <w:numPr>
          <w:ilvl w:val="0"/>
          <w:numId w:val="1"/>
        </w:numPr>
        <w:ind w:left="357" w:hanging="357"/>
      </w:pPr>
      <w:r>
        <w:t>An AusPAR is prepared for submissions that relate to new chemical entities, generic medicines, major variations and extensions of indications.</w:t>
      </w:r>
    </w:p>
    <w:p w14:paraId="709FA633" w14:textId="77777777" w:rsidR="008E7846" w:rsidRDefault="008E7846" w:rsidP="00856DA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7B7E013" w14:textId="77777777" w:rsidR="00B452CE" w:rsidRDefault="008E7846" w:rsidP="00856DAB">
      <w:pPr>
        <w:pStyle w:val="ListBullet"/>
        <w:numPr>
          <w:ilvl w:val="0"/>
          <w:numId w:val="1"/>
        </w:numPr>
        <w:ind w:left="357" w:hanging="357"/>
      </w:pPr>
      <w:r>
        <w:t>A new AusPAR will be developed to reflect changes to indications and/or major variations to a prescription medicine subject to evaluation by the TGA.</w:t>
      </w:r>
    </w:p>
    <w:p w14:paraId="241C01F6" w14:textId="77777777" w:rsidR="00924482" w:rsidRPr="00DF1D7F" w:rsidRDefault="00924482" w:rsidP="00F54B65">
      <w:pPr>
        <w:pStyle w:val="LegalSubheading"/>
        <w:spacing w:before="3120"/>
      </w:pPr>
      <w:r w:rsidRPr="00DF1D7F">
        <w:t>Copyright</w:t>
      </w:r>
    </w:p>
    <w:p w14:paraId="6183F1AA" w14:textId="2539E230" w:rsidR="00924482" w:rsidRDefault="00924482" w:rsidP="00924482">
      <w:pPr>
        <w:pStyle w:val="LegalCopy"/>
      </w:pPr>
      <w:r w:rsidRPr="00191B3B">
        <w:rPr>
          <w:rFonts w:cs="Arial"/>
          <w:lang w:val="en-GB"/>
        </w:rPr>
        <w:t>© Comm</w:t>
      </w:r>
      <w:r>
        <w:rPr>
          <w:rFonts w:cs="Arial"/>
          <w:lang w:val="en-GB"/>
        </w:rPr>
        <w:t>onwealth of Australia 201</w:t>
      </w:r>
      <w:r w:rsidR="00400300">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B90B8B">
        <w:rPr>
          <w:rFonts w:cs="Arial"/>
          <w:lang w:val="en-GB"/>
        </w:rPr>
        <w:t xml:space="preserve">&lt; </w:t>
      </w:r>
      <w:hyperlink r:id="rId9" w:history="1">
        <w:r w:rsidRPr="00191B3B">
          <w:rPr>
            <w:rStyle w:val="Hyperlink"/>
            <w:rFonts w:cs="Arial"/>
            <w:lang w:val="en-GB"/>
          </w:rPr>
          <w:t>tga.copyright@tga.gov.au</w:t>
        </w:r>
      </w:hyperlink>
      <w:r w:rsidR="00B90B8B">
        <w:rPr>
          <w:rFonts w:cs="Arial"/>
        </w:rPr>
        <w:t xml:space="preserve">&gt; </w:t>
      </w:r>
      <w:r w:rsidRPr="00191B3B">
        <w:rPr>
          <w:rFonts w:cs="Arial"/>
        </w:rPr>
        <w:t>.</w:t>
      </w:r>
    </w:p>
    <w:p w14:paraId="1DDAE28C"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131DBE4" w14:textId="77777777" w:rsidR="0089635C" w:rsidRPr="0089635C" w:rsidRDefault="0089635C" w:rsidP="0010788A">
          <w:pPr>
            <w:pStyle w:val="Contents"/>
          </w:pPr>
          <w:r w:rsidRPr="0010788A">
            <w:t>Contents</w:t>
          </w:r>
        </w:p>
        <w:p w14:paraId="20EE0762" w14:textId="2996D884" w:rsidR="00F13EF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0401721" w:history="1">
            <w:r w:rsidR="00F13EFF" w:rsidRPr="00B31A20">
              <w:rPr>
                <w:rStyle w:val="Hyperlink"/>
                <w:noProof/>
              </w:rPr>
              <w:t>Common abbreviations</w:t>
            </w:r>
            <w:r w:rsidR="00F13EFF">
              <w:rPr>
                <w:noProof/>
                <w:webHidden/>
              </w:rPr>
              <w:tab/>
            </w:r>
            <w:r w:rsidR="00F13EFF">
              <w:rPr>
                <w:noProof/>
                <w:webHidden/>
              </w:rPr>
              <w:fldChar w:fldCharType="begin"/>
            </w:r>
            <w:r w:rsidR="00F13EFF">
              <w:rPr>
                <w:noProof/>
                <w:webHidden/>
              </w:rPr>
              <w:instrText xml:space="preserve"> PAGEREF _Toc20401721 \h </w:instrText>
            </w:r>
            <w:r w:rsidR="00F13EFF">
              <w:rPr>
                <w:noProof/>
                <w:webHidden/>
              </w:rPr>
            </w:r>
            <w:r w:rsidR="00F13EFF">
              <w:rPr>
                <w:noProof/>
                <w:webHidden/>
              </w:rPr>
              <w:fldChar w:fldCharType="separate"/>
            </w:r>
            <w:r w:rsidR="00F13EFF">
              <w:rPr>
                <w:noProof/>
                <w:webHidden/>
              </w:rPr>
              <w:t>4</w:t>
            </w:r>
            <w:r w:rsidR="00F13EFF">
              <w:rPr>
                <w:noProof/>
                <w:webHidden/>
              </w:rPr>
              <w:fldChar w:fldCharType="end"/>
            </w:r>
          </w:hyperlink>
        </w:p>
        <w:p w14:paraId="669DF7AB" w14:textId="508D1DF1" w:rsidR="00F13EFF" w:rsidRDefault="00795BEF">
          <w:pPr>
            <w:pStyle w:val="TOC2"/>
            <w:rPr>
              <w:rFonts w:asciiTheme="minorHAnsi" w:eastAsiaTheme="minorEastAsia" w:hAnsiTheme="minorHAnsi" w:cstheme="minorBidi"/>
              <w:b w:val="0"/>
              <w:noProof/>
              <w:sz w:val="22"/>
              <w:lang w:eastAsia="en-AU"/>
            </w:rPr>
          </w:pPr>
          <w:hyperlink w:anchor="_Toc20401722" w:history="1">
            <w:r w:rsidR="00F13EFF" w:rsidRPr="00B31A20">
              <w:rPr>
                <w:rStyle w:val="Hyperlink"/>
                <w:noProof/>
              </w:rPr>
              <w:t>I. Introduction to product submission</w:t>
            </w:r>
            <w:r w:rsidR="00F13EFF">
              <w:rPr>
                <w:noProof/>
                <w:webHidden/>
              </w:rPr>
              <w:tab/>
            </w:r>
            <w:r w:rsidR="00F13EFF">
              <w:rPr>
                <w:noProof/>
                <w:webHidden/>
              </w:rPr>
              <w:fldChar w:fldCharType="begin"/>
            </w:r>
            <w:r w:rsidR="00F13EFF">
              <w:rPr>
                <w:noProof/>
                <w:webHidden/>
              </w:rPr>
              <w:instrText xml:space="preserve"> PAGEREF _Toc20401722 \h </w:instrText>
            </w:r>
            <w:r w:rsidR="00F13EFF">
              <w:rPr>
                <w:noProof/>
                <w:webHidden/>
              </w:rPr>
            </w:r>
            <w:r w:rsidR="00F13EFF">
              <w:rPr>
                <w:noProof/>
                <w:webHidden/>
              </w:rPr>
              <w:fldChar w:fldCharType="separate"/>
            </w:r>
            <w:r w:rsidR="00F13EFF">
              <w:rPr>
                <w:noProof/>
                <w:webHidden/>
              </w:rPr>
              <w:t>7</w:t>
            </w:r>
            <w:r w:rsidR="00F13EFF">
              <w:rPr>
                <w:noProof/>
                <w:webHidden/>
              </w:rPr>
              <w:fldChar w:fldCharType="end"/>
            </w:r>
          </w:hyperlink>
        </w:p>
        <w:p w14:paraId="55333662" w14:textId="5C93436A" w:rsidR="00F13EFF" w:rsidRDefault="00795BEF">
          <w:pPr>
            <w:pStyle w:val="TOC3"/>
            <w:rPr>
              <w:rFonts w:asciiTheme="minorHAnsi" w:eastAsiaTheme="minorEastAsia" w:hAnsiTheme="minorHAnsi" w:cstheme="minorBidi"/>
              <w:noProof/>
              <w:lang w:eastAsia="en-AU"/>
            </w:rPr>
          </w:pPr>
          <w:hyperlink w:anchor="_Toc20401723" w:history="1">
            <w:r w:rsidR="00F13EFF" w:rsidRPr="00B31A20">
              <w:rPr>
                <w:rStyle w:val="Hyperlink"/>
                <w:noProof/>
                <w:lang w:eastAsia="en-AU"/>
              </w:rPr>
              <w:t>Submission details</w:t>
            </w:r>
            <w:r w:rsidR="00F13EFF">
              <w:rPr>
                <w:noProof/>
                <w:webHidden/>
              </w:rPr>
              <w:tab/>
            </w:r>
            <w:r w:rsidR="00F13EFF">
              <w:rPr>
                <w:noProof/>
                <w:webHidden/>
              </w:rPr>
              <w:fldChar w:fldCharType="begin"/>
            </w:r>
            <w:r w:rsidR="00F13EFF">
              <w:rPr>
                <w:noProof/>
                <w:webHidden/>
              </w:rPr>
              <w:instrText xml:space="preserve"> PAGEREF _Toc20401723 \h </w:instrText>
            </w:r>
            <w:r w:rsidR="00F13EFF">
              <w:rPr>
                <w:noProof/>
                <w:webHidden/>
              </w:rPr>
            </w:r>
            <w:r w:rsidR="00F13EFF">
              <w:rPr>
                <w:noProof/>
                <w:webHidden/>
              </w:rPr>
              <w:fldChar w:fldCharType="separate"/>
            </w:r>
            <w:r w:rsidR="00F13EFF">
              <w:rPr>
                <w:noProof/>
                <w:webHidden/>
              </w:rPr>
              <w:t>7</w:t>
            </w:r>
            <w:r w:rsidR="00F13EFF">
              <w:rPr>
                <w:noProof/>
                <w:webHidden/>
              </w:rPr>
              <w:fldChar w:fldCharType="end"/>
            </w:r>
          </w:hyperlink>
        </w:p>
        <w:p w14:paraId="28BA3095" w14:textId="58222BE5" w:rsidR="00F13EFF" w:rsidRDefault="00795BEF">
          <w:pPr>
            <w:pStyle w:val="TOC3"/>
            <w:rPr>
              <w:rFonts w:asciiTheme="minorHAnsi" w:eastAsiaTheme="minorEastAsia" w:hAnsiTheme="minorHAnsi" w:cstheme="minorBidi"/>
              <w:noProof/>
              <w:lang w:eastAsia="en-AU"/>
            </w:rPr>
          </w:pPr>
          <w:hyperlink w:anchor="_Toc20401724" w:history="1">
            <w:r w:rsidR="00F13EFF" w:rsidRPr="00B31A20">
              <w:rPr>
                <w:rStyle w:val="Hyperlink"/>
                <w:noProof/>
              </w:rPr>
              <w:t>Product background</w:t>
            </w:r>
            <w:r w:rsidR="00F13EFF">
              <w:rPr>
                <w:noProof/>
                <w:webHidden/>
              </w:rPr>
              <w:tab/>
            </w:r>
            <w:r w:rsidR="00F13EFF">
              <w:rPr>
                <w:noProof/>
                <w:webHidden/>
              </w:rPr>
              <w:fldChar w:fldCharType="begin"/>
            </w:r>
            <w:r w:rsidR="00F13EFF">
              <w:rPr>
                <w:noProof/>
                <w:webHidden/>
              </w:rPr>
              <w:instrText xml:space="preserve"> PAGEREF _Toc20401724 \h </w:instrText>
            </w:r>
            <w:r w:rsidR="00F13EFF">
              <w:rPr>
                <w:noProof/>
                <w:webHidden/>
              </w:rPr>
            </w:r>
            <w:r w:rsidR="00F13EFF">
              <w:rPr>
                <w:noProof/>
                <w:webHidden/>
              </w:rPr>
              <w:fldChar w:fldCharType="separate"/>
            </w:r>
            <w:r w:rsidR="00F13EFF">
              <w:rPr>
                <w:noProof/>
                <w:webHidden/>
              </w:rPr>
              <w:t>7</w:t>
            </w:r>
            <w:r w:rsidR="00F13EFF">
              <w:rPr>
                <w:noProof/>
                <w:webHidden/>
              </w:rPr>
              <w:fldChar w:fldCharType="end"/>
            </w:r>
          </w:hyperlink>
        </w:p>
        <w:p w14:paraId="09E69BF3" w14:textId="2C8B5F92" w:rsidR="00F13EFF" w:rsidRDefault="00795BEF">
          <w:pPr>
            <w:pStyle w:val="TOC3"/>
            <w:rPr>
              <w:rFonts w:asciiTheme="minorHAnsi" w:eastAsiaTheme="minorEastAsia" w:hAnsiTheme="minorHAnsi" w:cstheme="minorBidi"/>
              <w:noProof/>
              <w:lang w:eastAsia="en-AU"/>
            </w:rPr>
          </w:pPr>
          <w:hyperlink w:anchor="_Toc20401725" w:history="1">
            <w:r w:rsidR="00F13EFF" w:rsidRPr="00B31A20">
              <w:rPr>
                <w:rStyle w:val="Hyperlink"/>
                <w:noProof/>
              </w:rPr>
              <w:t>Regulatory status</w:t>
            </w:r>
            <w:r w:rsidR="00F13EFF">
              <w:rPr>
                <w:noProof/>
                <w:webHidden/>
              </w:rPr>
              <w:tab/>
            </w:r>
            <w:r w:rsidR="00F13EFF">
              <w:rPr>
                <w:noProof/>
                <w:webHidden/>
              </w:rPr>
              <w:fldChar w:fldCharType="begin"/>
            </w:r>
            <w:r w:rsidR="00F13EFF">
              <w:rPr>
                <w:noProof/>
                <w:webHidden/>
              </w:rPr>
              <w:instrText xml:space="preserve"> PAGEREF _Toc20401725 \h </w:instrText>
            </w:r>
            <w:r w:rsidR="00F13EFF">
              <w:rPr>
                <w:noProof/>
                <w:webHidden/>
              </w:rPr>
            </w:r>
            <w:r w:rsidR="00F13EFF">
              <w:rPr>
                <w:noProof/>
                <w:webHidden/>
              </w:rPr>
              <w:fldChar w:fldCharType="separate"/>
            </w:r>
            <w:r w:rsidR="00F13EFF">
              <w:rPr>
                <w:noProof/>
                <w:webHidden/>
              </w:rPr>
              <w:t>8</w:t>
            </w:r>
            <w:r w:rsidR="00F13EFF">
              <w:rPr>
                <w:noProof/>
                <w:webHidden/>
              </w:rPr>
              <w:fldChar w:fldCharType="end"/>
            </w:r>
          </w:hyperlink>
        </w:p>
        <w:p w14:paraId="6EF96841" w14:textId="41DF3972" w:rsidR="00F13EFF" w:rsidRDefault="00795BEF">
          <w:pPr>
            <w:pStyle w:val="TOC3"/>
            <w:rPr>
              <w:rFonts w:asciiTheme="minorHAnsi" w:eastAsiaTheme="minorEastAsia" w:hAnsiTheme="minorHAnsi" w:cstheme="minorBidi"/>
              <w:noProof/>
              <w:lang w:eastAsia="en-AU"/>
            </w:rPr>
          </w:pPr>
          <w:hyperlink w:anchor="_Toc20401726" w:history="1">
            <w:r w:rsidR="00F13EFF" w:rsidRPr="00B31A20">
              <w:rPr>
                <w:rStyle w:val="Hyperlink"/>
                <w:noProof/>
              </w:rPr>
              <w:t>Product Information</w:t>
            </w:r>
            <w:r w:rsidR="00F13EFF">
              <w:rPr>
                <w:noProof/>
                <w:webHidden/>
              </w:rPr>
              <w:tab/>
            </w:r>
            <w:r w:rsidR="00F13EFF">
              <w:rPr>
                <w:noProof/>
                <w:webHidden/>
              </w:rPr>
              <w:fldChar w:fldCharType="begin"/>
            </w:r>
            <w:r w:rsidR="00F13EFF">
              <w:rPr>
                <w:noProof/>
                <w:webHidden/>
              </w:rPr>
              <w:instrText xml:space="preserve"> PAGEREF _Toc20401726 \h </w:instrText>
            </w:r>
            <w:r w:rsidR="00F13EFF">
              <w:rPr>
                <w:noProof/>
                <w:webHidden/>
              </w:rPr>
            </w:r>
            <w:r w:rsidR="00F13EFF">
              <w:rPr>
                <w:noProof/>
                <w:webHidden/>
              </w:rPr>
              <w:fldChar w:fldCharType="separate"/>
            </w:r>
            <w:r w:rsidR="00F13EFF">
              <w:rPr>
                <w:noProof/>
                <w:webHidden/>
              </w:rPr>
              <w:t>8</w:t>
            </w:r>
            <w:r w:rsidR="00F13EFF">
              <w:rPr>
                <w:noProof/>
                <w:webHidden/>
              </w:rPr>
              <w:fldChar w:fldCharType="end"/>
            </w:r>
          </w:hyperlink>
        </w:p>
        <w:p w14:paraId="7121818B" w14:textId="5E51A24A" w:rsidR="00F13EFF" w:rsidRDefault="00795BEF">
          <w:pPr>
            <w:pStyle w:val="TOC2"/>
            <w:rPr>
              <w:rFonts w:asciiTheme="minorHAnsi" w:eastAsiaTheme="minorEastAsia" w:hAnsiTheme="minorHAnsi" w:cstheme="minorBidi"/>
              <w:b w:val="0"/>
              <w:noProof/>
              <w:sz w:val="22"/>
              <w:lang w:eastAsia="en-AU"/>
            </w:rPr>
          </w:pPr>
          <w:hyperlink w:anchor="_Toc20401727" w:history="1">
            <w:r w:rsidR="00F13EFF" w:rsidRPr="00B31A20">
              <w:rPr>
                <w:rStyle w:val="Hyperlink"/>
                <w:noProof/>
              </w:rPr>
              <w:t>II. Registration time line</w:t>
            </w:r>
            <w:r w:rsidR="00F13EFF">
              <w:rPr>
                <w:noProof/>
                <w:webHidden/>
              </w:rPr>
              <w:tab/>
            </w:r>
            <w:r w:rsidR="00F13EFF">
              <w:rPr>
                <w:noProof/>
                <w:webHidden/>
              </w:rPr>
              <w:fldChar w:fldCharType="begin"/>
            </w:r>
            <w:r w:rsidR="00F13EFF">
              <w:rPr>
                <w:noProof/>
                <w:webHidden/>
              </w:rPr>
              <w:instrText xml:space="preserve"> PAGEREF _Toc20401727 \h </w:instrText>
            </w:r>
            <w:r w:rsidR="00F13EFF">
              <w:rPr>
                <w:noProof/>
                <w:webHidden/>
              </w:rPr>
            </w:r>
            <w:r w:rsidR="00F13EFF">
              <w:rPr>
                <w:noProof/>
                <w:webHidden/>
              </w:rPr>
              <w:fldChar w:fldCharType="separate"/>
            </w:r>
            <w:r w:rsidR="00F13EFF">
              <w:rPr>
                <w:noProof/>
                <w:webHidden/>
              </w:rPr>
              <w:t>9</w:t>
            </w:r>
            <w:r w:rsidR="00F13EFF">
              <w:rPr>
                <w:noProof/>
                <w:webHidden/>
              </w:rPr>
              <w:fldChar w:fldCharType="end"/>
            </w:r>
          </w:hyperlink>
        </w:p>
        <w:p w14:paraId="2D739C1F" w14:textId="64EC4825" w:rsidR="00F13EFF" w:rsidRDefault="00795BEF">
          <w:pPr>
            <w:pStyle w:val="TOC2"/>
            <w:rPr>
              <w:rFonts w:asciiTheme="minorHAnsi" w:eastAsiaTheme="minorEastAsia" w:hAnsiTheme="minorHAnsi" w:cstheme="minorBidi"/>
              <w:b w:val="0"/>
              <w:noProof/>
              <w:sz w:val="22"/>
              <w:lang w:eastAsia="en-AU"/>
            </w:rPr>
          </w:pPr>
          <w:hyperlink w:anchor="_Toc20401728" w:history="1">
            <w:r w:rsidR="00F13EFF" w:rsidRPr="00B31A20">
              <w:rPr>
                <w:rStyle w:val="Hyperlink"/>
                <w:noProof/>
              </w:rPr>
              <w:t>III. Quality findings</w:t>
            </w:r>
            <w:r w:rsidR="00F13EFF">
              <w:rPr>
                <w:noProof/>
                <w:webHidden/>
              </w:rPr>
              <w:tab/>
            </w:r>
            <w:r w:rsidR="00F13EFF">
              <w:rPr>
                <w:noProof/>
                <w:webHidden/>
              </w:rPr>
              <w:fldChar w:fldCharType="begin"/>
            </w:r>
            <w:r w:rsidR="00F13EFF">
              <w:rPr>
                <w:noProof/>
                <w:webHidden/>
              </w:rPr>
              <w:instrText xml:space="preserve"> PAGEREF _Toc20401728 \h </w:instrText>
            </w:r>
            <w:r w:rsidR="00F13EFF">
              <w:rPr>
                <w:noProof/>
                <w:webHidden/>
              </w:rPr>
            </w:r>
            <w:r w:rsidR="00F13EFF">
              <w:rPr>
                <w:noProof/>
                <w:webHidden/>
              </w:rPr>
              <w:fldChar w:fldCharType="separate"/>
            </w:r>
            <w:r w:rsidR="00F13EFF">
              <w:rPr>
                <w:noProof/>
                <w:webHidden/>
              </w:rPr>
              <w:t>9</w:t>
            </w:r>
            <w:r w:rsidR="00F13EFF">
              <w:rPr>
                <w:noProof/>
                <w:webHidden/>
              </w:rPr>
              <w:fldChar w:fldCharType="end"/>
            </w:r>
          </w:hyperlink>
        </w:p>
        <w:p w14:paraId="47391705" w14:textId="40FF18DE" w:rsidR="00F13EFF" w:rsidRDefault="00795BEF">
          <w:pPr>
            <w:pStyle w:val="TOC2"/>
            <w:rPr>
              <w:rFonts w:asciiTheme="minorHAnsi" w:eastAsiaTheme="minorEastAsia" w:hAnsiTheme="minorHAnsi" w:cstheme="minorBidi"/>
              <w:b w:val="0"/>
              <w:noProof/>
              <w:sz w:val="22"/>
              <w:lang w:eastAsia="en-AU"/>
            </w:rPr>
          </w:pPr>
          <w:hyperlink w:anchor="_Toc20401729" w:history="1">
            <w:r w:rsidR="00F13EFF" w:rsidRPr="00B31A20">
              <w:rPr>
                <w:rStyle w:val="Hyperlink"/>
                <w:noProof/>
              </w:rPr>
              <w:t>IV. Nonclinical findings</w:t>
            </w:r>
            <w:r w:rsidR="00F13EFF">
              <w:rPr>
                <w:noProof/>
                <w:webHidden/>
              </w:rPr>
              <w:tab/>
            </w:r>
            <w:r w:rsidR="00F13EFF">
              <w:rPr>
                <w:noProof/>
                <w:webHidden/>
              </w:rPr>
              <w:fldChar w:fldCharType="begin"/>
            </w:r>
            <w:r w:rsidR="00F13EFF">
              <w:rPr>
                <w:noProof/>
                <w:webHidden/>
              </w:rPr>
              <w:instrText xml:space="preserve"> PAGEREF _Toc20401729 \h </w:instrText>
            </w:r>
            <w:r w:rsidR="00F13EFF">
              <w:rPr>
                <w:noProof/>
                <w:webHidden/>
              </w:rPr>
            </w:r>
            <w:r w:rsidR="00F13EFF">
              <w:rPr>
                <w:noProof/>
                <w:webHidden/>
              </w:rPr>
              <w:fldChar w:fldCharType="separate"/>
            </w:r>
            <w:r w:rsidR="00F13EFF">
              <w:rPr>
                <w:noProof/>
                <w:webHidden/>
              </w:rPr>
              <w:t>9</w:t>
            </w:r>
            <w:r w:rsidR="00F13EFF">
              <w:rPr>
                <w:noProof/>
                <w:webHidden/>
              </w:rPr>
              <w:fldChar w:fldCharType="end"/>
            </w:r>
          </w:hyperlink>
        </w:p>
        <w:p w14:paraId="7434F8C6" w14:textId="52314F4F" w:rsidR="00F13EFF" w:rsidRDefault="00795BEF">
          <w:pPr>
            <w:pStyle w:val="TOC2"/>
            <w:rPr>
              <w:rFonts w:asciiTheme="minorHAnsi" w:eastAsiaTheme="minorEastAsia" w:hAnsiTheme="minorHAnsi" w:cstheme="minorBidi"/>
              <w:b w:val="0"/>
              <w:noProof/>
              <w:sz w:val="22"/>
              <w:lang w:eastAsia="en-AU"/>
            </w:rPr>
          </w:pPr>
          <w:hyperlink w:anchor="_Toc20401730" w:history="1">
            <w:r w:rsidR="00F13EFF" w:rsidRPr="00B31A20">
              <w:rPr>
                <w:rStyle w:val="Hyperlink"/>
                <w:noProof/>
              </w:rPr>
              <w:t>V. Clinical findings</w:t>
            </w:r>
            <w:r w:rsidR="00F13EFF">
              <w:rPr>
                <w:noProof/>
                <w:webHidden/>
              </w:rPr>
              <w:tab/>
            </w:r>
            <w:r w:rsidR="00F13EFF">
              <w:rPr>
                <w:noProof/>
                <w:webHidden/>
              </w:rPr>
              <w:fldChar w:fldCharType="begin"/>
            </w:r>
            <w:r w:rsidR="00F13EFF">
              <w:rPr>
                <w:noProof/>
                <w:webHidden/>
              </w:rPr>
              <w:instrText xml:space="preserve"> PAGEREF _Toc20401730 \h </w:instrText>
            </w:r>
            <w:r w:rsidR="00F13EFF">
              <w:rPr>
                <w:noProof/>
                <w:webHidden/>
              </w:rPr>
            </w:r>
            <w:r w:rsidR="00F13EFF">
              <w:rPr>
                <w:noProof/>
                <w:webHidden/>
              </w:rPr>
              <w:fldChar w:fldCharType="separate"/>
            </w:r>
            <w:r w:rsidR="00F13EFF">
              <w:rPr>
                <w:noProof/>
                <w:webHidden/>
              </w:rPr>
              <w:t>9</w:t>
            </w:r>
            <w:r w:rsidR="00F13EFF">
              <w:rPr>
                <w:noProof/>
                <w:webHidden/>
              </w:rPr>
              <w:fldChar w:fldCharType="end"/>
            </w:r>
          </w:hyperlink>
        </w:p>
        <w:p w14:paraId="2F38BB97" w14:textId="5B1EE7D0" w:rsidR="00F13EFF" w:rsidRDefault="00795BEF">
          <w:pPr>
            <w:pStyle w:val="TOC3"/>
            <w:rPr>
              <w:rFonts w:asciiTheme="minorHAnsi" w:eastAsiaTheme="minorEastAsia" w:hAnsiTheme="minorHAnsi" w:cstheme="minorBidi"/>
              <w:noProof/>
              <w:lang w:eastAsia="en-AU"/>
            </w:rPr>
          </w:pPr>
          <w:hyperlink w:anchor="_Toc20401731" w:history="1">
            <w:r w:rsidR="00F13EFF" w:rsidRPr="00B31A20">
              <w:rPr>
                <w:rStyle w:val="Hyperlink"/>
                <w:noProof/>
              </w:rPr>
              <w:t>Introduction</w:t>
            </w:r>
            <w:r w:rsidR="00F13EFF">
              <w:rPr>
                <w:noProof/>
                <w:webHidden/>
              </w:rPr>
              <w:tab/>
            </w:r>
            <w:r w:rsidR="00F13EFF">
              <w:rPr>
                <w:noProof/>
                <w:webHidden/>
              </w:rPr>
              <w:fldChar w:fldCharType="begin"/>
            </w:r>
            <w:r w:rsidR="00F13EFF">
              <w:rPr>
                <w:noProof/>
                <w:webHidden/>
              </w:rPr>
              <w:instrText xml:space="preserve"> PAGEREF _Toc20401731 \h </w:instrText>
            </w:r>
            <w:r w:rsidR="00F13EFF">
              <w:rPr>
                <w:noProof/>
                <w:webHidden/>
              </w:rPr>
            </w:r>
            <w:r w:rsidR="00F13EFF">
              <w:rPr>
                <w:noProof/>
                <w:webHidden/>
              </w:rPr>
              <w:fldChar w:fldCharType="separate"/>
            </w:r>
            <w:r w:rsidR="00F13EFF">
              <w:rPr>
                <w:noProof/>
                <w:webHidden/>
              </w:rPr>
              <w:t>10</w:t>
            </w:r>
            <w:r w:rsidR="00F13EFF">
              <w:rPr>
                <w:noProof/>
                <w:webHidden/>
              </w:rPr>
              <w:fldChar w:fldCharType="end"/>
            </w:r>
          </w:hyperlink>
        </w:p>
        <w:p w14:paraId="2E816CD8" w14:textId="33745949" w:rsidR="00F13EFF" w:rsidRDefault="00795BEF">
          <w:pPr>
            <w:pStyle w:val="TOC3"/>
            <w:rPr>
              <w:rFonts w:asciiTheme="minorHAnsi" w:eastAsiaTheme="minorEastAsia" w:hAnsiTheme="minorHAnsi" w:cstheme="minorBidi"/>
              <w:noProof/>
              <w:lang w:eastAsia="en-AU"/>
            </w:rPr>
          </w:pPr>
          <w:hyperlink w:anchor="_Toc20401732" w:history="1">
            <w:r w:rsidR="00F13EFF" w:rsidRPr="00B31A20">
              <w:rPr>
                <w:rStyle w:val="Hyperlink"/>
                <w:noProof/>
              </w:rPr>
              <w:t>Pharmacokinetics</w:t>
            </w:r>
            <w:r w:rsidR="00F13EFF">
              <w:rPr>
                <w:noProof/>
                <w:webHidden/>
              </w:rPr>
              <w:tab/>
            </w:r>
            <w:r w:rsidR="00F13EFF">
              <w:rPr>
                <w:noProof/>
                <w:webHidden/>
              </w:rPr>
              <w:fldChar w:fldCharType="begin"/>
            </w:r>
            <w:r w:rsidR="00F13EFF">
              <w:rPr>
                <w:noProof/>
                <w:webHidden/>
              </w:rPr>
              <w:instrText xml:space="preserve"> PAGEREF _Toc20401732 \h </w:instrText>
            </w:r>
            <w:r w:rsidR="00F13EFF">
              <w:rPr>
                <w:noProof/>
                <w:webHidden/>
              </w:rPr>
            </w:r>
            <w:r w:rsidR="00F13EFF">
              <w:rPr>
                <w:noProof/>
                <w:webHidden/>
              </w:rPr>
              <w:fldChar w:fldCharType="separate"/>
            </w:r>
            <w:r w:rsidR="00F13EFF">
              <w:rPr>
                <w:noProof/>
                <w:webHidden/>
              </w:rPr>
              <w:t>13</w:t>
            </w:r>
            <w:r w:rsidR="00F13EFF">
              <w:rPr>
                <w:noProof/>
                <w:webHidden/>
              </w:rPr>
              <w:fldChar w:fldCharType="end"/>
            </w:r>
          </w:hyperlink>
        </w:p>
        <w:p w14:paraId="36395DE8" w14:textId="0C806AF1" w:rsidR="00F13EFF" w:rsidRDefault="00795BEF">
          <w:pPr>
            <w:pStyle w:val="TOC3"/>
            <w:rPr>
              <w:rFonts w:asciiTheme="minorHAnsi" w:eastAsiaTheme="minorEastAsia" w:hAnsiTheme="minorHAnsi" w:cstheme="minorBidi"/>
              <w:noProof/>
              <w:lang w:eastAsia="en-AU"/>
            </w:rPr>
          </w:pPr>
          <w:hyperlink w:anchor="_Toc20401733" w:history="1">
            <w:r w:rsidR="00F13EFF" w:rsidRPr="00B31A20">
              <w:rPr>
                <w:rStyle w:val="Hyperlink"/>
                <w:noProof/>
              </w:rPr>
              <w:t>Pharmacodynamics</w:t>
            </w:r>
            <w:r w:rsidR="00F13EFF">
              <w:rPr>
                <w:noProof/>
                <w:webHidden/>
              </w:rPr>
              <w:tab/>
            </w:r>
            <w:r w:rsidR="00F13EFF">
              <w:rPr>
                <w:noProof/>
                <w:webHidden/>
              </w:rPr>
              <w:fldChar w:fldCharType="begin"/>
            </w:r>
            <w:r w:rsidR="00F13EFF">
              <w:rPr>
                <w:noProof/>
                <w:webHidden/>
              </w:rPr>
              <w:instrText xml:space="preserve"> PAGEREF _Toc20401733 \h </w:instrText>
            </w:r>
            <w:r w:rsidR="00F13EFF">
              <w:rPr>
                <w:noProof/>
                <w:webHidden/>
              </w:rPr>
            </w:r>
            <w:r w:rsidR="00F13EFF">
              <w:rPr>
                <w:noProof/>
                <w:webHidden/>
              </w:rPr>
              <w:fldChar w:fldCharType="separate"/>
            </w:r>
            <w:r w:rsidR="00F13EFF">
              <w:rPr>
                <w:noProof/>
                <w:webHidden/>
              </w:rPr>
              <w:t>13</w:t>
            </w:r>
            <w:r w:rsidR="00F13EFF">
              <w:rPr>
                <w:noProof/>
                <w:webHidden/>
              </w:rPr>
              <w:fldChar w:fldCharType="end"/>
            </w:r>
          </w:hyperlink>
        </w:p>
        <w:p w14:paraId="51D4530A" w14:textId="1D40E3F6" w:rsidR="00F13EFF" w:rsidRDefault="00795BEF">
          <w:pPr>
            <w:pStyle w:val="TOC3"/>
            <w:rPr>
              <w:rFonts w:asciiTheme="minorHAnsi" w:eastAsiaTheme="minorEastAsia" w:hAnsiTheme="minorHAnsi" w:cstheme="minorBidi"/>
              <w:noProof/>
              <w:lang w:eastAsia="en-AU"/>
            </w:rPr>
          </w:pPr>
          <w:hyperlink w:anchor="_Toc20401734" w:history="1">
            <w:r w:rsidR="00F13EFF" w:rsidRPr="00B31A20">
              <w:rPr>
                <w:rStyle w:val="Hyperlink"/>
                <w:noProof/>
              </w:rPr>
              <w:t>Dosage selection for the pivotal studies</w:t>
            </w:r>
            <w:r w:rsidR="00F13EFF">
              <w:rPr>
                <w:noProof/>
                <w:webHidden/>
              </w:rPr>
              <w:tab/>
            </w:r>
            <w:r w:rsidR="00F13EFF">
              <w:rPr>
                <w:noProof/>
                <w:webHidden/>
              </w:rPr>
              <w:fldChar w:fldCharType="begin"/>
            </w:r>
            <w:r w:rsidR="00F13EFF">
              <w:rPr>
                <w:noProof/>
                <w:webHidden/>
              </w:rPr>
              <w:instrText xml:space="preserve"> PAGEREF _Toc20401734 \h </w:instrText>
            </w:r>
            <w:r w:rsidR="00F13EFF">
              <w:rPr>
                <w:noProof/>
                <w:webHidden/>
              </w:rPr>
            </w:r>
            <w:r w:rsidR="00F13EFF">
              <w:rPr>
                <w:noProof/>
                <w:webHidden/>
              </w:rPr>
              <w:fldChar w:fldCharType="separate"/>
            </w:r>
            <w:r w:rsidR="00F13EFF">
              <w:rPr>
                <w:noProof/>
                <w:webHidden/>
              </w:rPr>
              <w:t>13</w:t>
            </w:r>
            <w:r w:rsidR="00F13EFF">
              <w:rPr>
                <w:noProof/>
                <w:webHidden/>
              </w:rPr>
              <w:fldChar w:fldCharType="end"/>
            </w:r>
          </w:hyperlink>
        </w:p>
        <w:p w14:paraId="59828497" w14:textId="3CB33A11" w:rsidR="00F13EFF" w:rsidRDefault="00795BEF">
          <w:pPr>
            <w:pStyle w:val="TOC3"/>
            <w:rPr>
              <w:rFonts w:asciiTheme="minorHAnsi" w:eastAsiaTheme="minorEastAsia" w:hAnsiTheme="minorHAnsi" w:cstheme="minorBidi"/>
              <w:noProof/>
              <w:lang w:eastAsia="en-AU"/>
            </w:rPr>
          </w:pPr>
          <w:hyperlink w:anchor="_Toc20401735" w:history="1">
            <w:r w:rsidR="00F13EFF" w:rsidRPr="00B31A20">
              <w:rPr>
                <w:rStyle w:val="Hyperlink"/>
                <w:noProof/>
              </w:rPr>
              <w:t>Efficacy</w:t>
            </w:r>
            <w:r w:rsidR="00F13EFF">
              <w:rPr>
                <w:noProof/>
                <w:webHidden/>
              </w:rPr>
              <w:tab/>
            </w:r>
            <w:r w:rsidR="00F13EFF">
              <w:rPr>
                <w:noProof/>
                <w:webHidden/>
              </w:rPr>
              <w:fldChar w:fldCharType="begin"/>
            </w:r>
            <w:r w:rsidR="00F13EFF">
              <w:rPr>
                <w:noProof/>
                <w:webHidden/>
              </w:rPr>
              <w:instrText xml:space="preserve"> PAGEREF _Toc20401735 \h </w:instrText>
            </w:r>
            <w:r w:rsidR="00F13EFF">
              <w:rPr>
                <w:noProof/>
                <w:webHidden/>
              </w:rPr>
            </w:r>
            <w:r w:rsidR="00F13EFF">
              <w:rPr>
                <w:noProof/>
                <w:webHidden/>
              </w:rPr>
              <w:fldChar w:fldCharType="separate"/>
            </w:r>
            <w:r w:rsidR="00F13EFF">
              <w:rPr>
                <w:noProof/>
                <w:webHidden/>
              </w:rPr>
              <w:t>13</w:t>
            </w:r>
            <w:r w:rsidR="00F13EFF">
              <w:rPr>
                <w:noProof/>
                <w:webHidden/>
              </w:rPr>
              <w:fldChar w:fldCharType="end"/>
            </w:r>
          </w:hyperlink>
        </w:p>
        <w:p w14:paraId="7F258C83" w14:textId="6B6D7D03" w:rsidR="00F13EFF" w:rsidRDefault="00795BEF">
          <w:pPr>
            <w:pStyle w:val="TOC3"/>
            <w:rPr>
              <w:rFonts w:asciiTheme="minorHAnsi" w:eastAsiaTheme="minorEastAsia" w:hAnsiTheme="minorHAnsi" w:cstheme="minorBidi"/>
              <w:noProof/>
              <w:lang w:eastAsia="en-AU"/>
            </w:rPr>
          </w:pPr>
          <w:hyperlink w:anchor="_Toc20401736" w:history="1">
            <w:r w:rsidR="00F13EFF" w:rsidRPr="00B31A20">
              <w:rPr>
                <w:rStyle w:val="Hyperlink"/>
                <w:noProof/>
              </w:rPr>
              <w:t>Safety</w:t>
            </w:r>
            <w:r w:rsidR="00F13EFF">
              <w:rPr>
                <w:noProof/>
                <w:webHidden/>
              </w:rPr>
              <w:tab/>
            </w:r>
            <w:r w:rsidR="00F13EFF">
              <w:rPr>
                <w:noProof/>
                <w:webHidden/>
              </w:rPr>
              <w:fldChar w:fldCharType="begin"/>
            </w:r>
            <w:r w:rsidR="00F13EFF">
              <w:rPr>
                <w:noProof/>
                <w:webHidden/>
              </w:rPr>
              <w:instrText xml:space="preserve"> PAGEREF _Toc20401736 \h </w:instrText>
            </w:r>
            <w:r w:rsidR="00F13EFF">
              <w:rPr>
                <w:noProof/>
                <w:webHidden/>
              </w:rPr>
            </w:r>
            <w:r w:rsidR="00F13EFF">
              <w:rPr>
                <w:noProof/>
                <w:webHidden/>
              </w:rPr>
              <w:fldChar w:fldCharType="separate"/>
            </w:r>
            <w:r w:rsidR="00F13EFF">
              <w:rPr>
                <w:noProof/>
                <w:webHidden/>
              </w:rPr>
              <w:t>14</w:t>
            </w:r>
            <w:r w:rsidR="00F13EFF">
              <w:rPr>
                <w:noProof/>
                <w:webHidden/>
              </w:rPr>
              <w:fldChar w:fldCharType="end"/>
            </w:r>
          </w:hyperlink>
        </w:p>
        <w:p w14:paraId="5E8C80DD" w14:textId="5DEE97EE" w:rsidR="00F13EFF" w:rsidRDefault="00795BEF">
          <w:pPr>
            <w:pStyle w:val="TOC3"/>
            <w:rPr>
              <w:rFonts w:asciiTheme="minorHAnsi" w:eastAsiaTheme="minorEastAsia" w:hAnsiTheme="minorHAnsi" w:cstheme="minorBidi"/>
              <w:noProof/>
              <w:lang w:eastAsia="en-AU"/>
            </w:rPr>
          </w:pPr>
          <w:hyperlink w:anchor="_Toc20401737" w:history="1">
            <w:r w:rsidR="00F13EFF" w:rsidRPr="00B31A20">
              <w:rPr>
                <w:rStyle w:val="Hyperlink"/>
                <w:noProof/>
              </w:rPr>
              <w:t>Studies that assessed safety as the sole primary outcome</w:t>
            </w:r>
            <w:r w:rsidR="00F13EFF">
              <w:rPr>
                <w:noProof/>
                <w:webHidden/>
              </w:rPr>
              <w:tab/>
            </w:r>
            <w:r w:rsidR="00F13EFF">
              <w:rPr>
                <w:noProof/>
                <w:webHidden/>
              </w:rPr>
              <w:fldChar w:fldCharType="begin"/>
            </w:r>
            <w:r w:rsidR="00F13EFF">
              <w:rPr>
                <w:noProof/>
                <w:webHidden/>
              </w:rPr>
              <w:instrText xml:space="preserve"> PAGEREF _Toc20401737 \h </w:instrText>
            </w:r>
            <w:r w:rsidR="00F13EFF">
              <w:rPr>
                <w:noProof/>
                <w:webHidden/>
              </w:rPr>
            </w:r>
            <w:r w:rsidR="00F13EFF">
              <w:rPr>
                <w:noProof/>
                <w:webHidden/>
              </w:rPr>
              <w:fldChar w:fldCharType="separate"/>
            </w:r>
            <w:r w:rsidR="00F13EFF">
              <w:rPr>
                <w:noProof/>
                <w:webHidden/>
              </w:rPr>
              <w:t>16</w:t>
            </w:r>
            <w:r w:rsidR="00F13EFF">
              <w:rPr>
                <w:noProof/>
                <w:webHidden/>
              </w:rPr>
              <w:fldChar w:fldCharType="end"/>
            </w:r>
          </w:hyperlink>
        </w:p>
        <w:p w14:paraId="4F38811D" w14:textId="2A054071" w:rsidR="00F13EFF" w:rsidRDefault="00795BEF">
          <w:pPr>
            <w:pStyle w:val="TOC3"/>
            <w:rPr>
              <w:rFonts w:asciiTheme="minorHAnsi" w:eastAsiaTheme="minorEastAsia" w:hAnsiTheme="minorHAnsi" w:cstheme="minorBidi"/>
              <w:noProof/>
              <w:lang w:eastAsia="en-AU"/>
            </w:rPr>
          </w:pPr>
          <w:hyperlink w:anchor="_Toc20401738" w:history="1">
            <w:r w:rsidR="00F13EFF" w:rsidRPr="00B31A20">
              <w:rPr>
                <w:rStyle w:val="Hyperlink"/>
                <w:noProof/>
              </w:rPr>
              <w:t>First round benefit-risk assessment</w:t>
            </w:r>
            <w:r w:rsidR="00F13EFF">
              <w:rPr>
                <w:noProof/>
                <w:webHidden/>
              </w:rPr>
              <w:tab/>
            </w:r>
            <w:r w:rsidR="00F13EFF">
              <w:rPr>
                <w:noProof/>
                <w:webHidden/>
              </w:rPr>
              <w:fldChar w:fldCharType="begin"/>
            </w:r>
            <w:r w:rsidR="00F13EFF">
              <w:rPr>
                <w:noProof/>
                <w:webHidden/>
              </w:rPr>
              <w:instrText xml:space="preserve"> PAGEREF _Toc20401738 \h </w:instrText>
            </w:r>
            <w:r w:rsidR="00F13EFF">
              <w:rPr>
                <w:noProof/>
                <w:webHidden/>
              </w:rPr>
            </w:r>
            <w:r w:rsidR="00F13EFF">
              <w:rPr>
                <w:noProof/>
                <w:webHidden/>
              </w:rPr>
              <w:fldChar w:fldCharType="separate"/>
            </w:r>
            <w:r w:rsidR="00F13EFF">
              <w:rPr>
                <w:noProof/>
                <w:webHidden/>
              </w:rPr>
              <w:t>20</w:t>
            </w:r>
            <w:r w:rsidR="00F13EFF">
              <w:rPr>
                <w:noProof/>
                <w:webHidden/>
              </w:rPr>
              <w:fldChar w:fldCharType="end"/>
            </w:r>
          </w:hyperlink>
        </w:p>
        <w:p w14:paraId="45BE25C7" w14:textId="28DDDA7E" w:rsidR="00F13EFF" w:rsidRDefault="00795BEF">
          <w:pPr>
            <w:pStyle w:val="TOC3"/>
            <w:rPr>
              <w:rFonts w:asciiTheme="minorHAnsi" w:eastAsiaTheme="minorEastAsia" w:hAnsiTheme="minorHAnsi" w:cstheme="minorBidi"/>
              <w:noProof/>
              <w:lang w:eastAsia="en-AU"/>
            </w:rPr>
          </w:pPr>
          <w:hyperlink w:anchor="_Toc20401739" w:history="1">
            <w:r w:rsidR="00F13EFF" w:rsidRPr="00B31A20">
              <w:rPr>
                <w:rStyle w:val="Hyperlink"/>
                <w:noProof/>
              </w:rPr>
              <w:t>First round recommendation regarding authorisation</w:t>
            </w:r>
            <w:r w:rsidR="00F13EFF">
              <w:rPr>
                <w:noProof/>
                <w:webHidden/>
              </w:rPr>
              <w:tab/>
            </w:r>
            <w:r w:rsidR="00F13EFF">
              <w:rPr>
                <w:noProof/>
                <w:webHidden/>
              </w:rPr>
              <w:fldChar w:fldCharType="begin"/>
            </w:r>
            <w:r w:rsidR="00F13EFF">
              <w:rPr>
                <w:noProof/>
                <w:webHidden/>
              </w:rPr>
              <w:instrText xml:space="preserve"> PAGEREF _Toc20401739 \h </w:instrText>
            </w:r>
            <w:r w:rsidR="00F13EFF">
              <w:rPr>
                <w:noProof/>
                <w:webHidden/>
              </w:rPr>
            </w:r>
            <w:r w:rsidR="00F13EFF">
              <w:rPr>
                <w:noProof/>
                <w:webHidden/>
              </w:rPr>
              <w:fldChar w:fldCharType="separate"/>
            </w:r>
            <w:r w:rsidR="00F13EFF">
              <w:rPr>
                <w:noProof/>
                <w:webHidden/>
              </w:rPr>
              <w:t>21</w:t>
            </w:r>
            <w:r w:rsidR="00F13EFF">
              <w:rPr>
                <w:noProof/>
                <w:webHidden/>
              </w:rPr>
              <w:fldChar w:fldCharType="end"/>
            </w:r>
          </w:hyperlink>
        </w:p>
        <w:p w14:paraId="2ABC20E1" w14:textId="6AFF75E2" w:rsidR="00F13EFF" w:rsidRDefault="00795BEF">
          <w:pPr>
            <w:pStyle w:val="TOC2"/>
            <w:rPr>
              <w:rFonts w:asciiTheme="minorHAnsi" w:eastAsiaTheme="minorEastAsia" w:hAnsiTheme="minorHAnsi" w:cstheme="minorBidi"/>
              <w:b w:val="0"/>
              <w:noProof/>
              <w:sz w:val="22"/>
              <w:lang w:eastAsia="en-AU"/>
            </w:rPr>
          </w:pPr>
          <w:hyperlink w:anchor="_Toc20401740" w:history="1">
            <w:r w:rsidR="00F13EFF" w:rsidRPr="00B31A20">
              <w:rPr>
                <w:rStyle w:val="Hyperlink"/>
                <w:noProof/>
              </w:rPr>
              <w:t>VI. Pharmacovigilance findings</w:t>
            </w:r>
            <w:r w:rsidR="00F13EFF">
              <w:rPr>
                <w:noProof/>
                <w:webHidden/>
              </w:rPr>
              <w:tab/>
            </w:r>
            <w:r w:rsidR="00F13EFF">
              <w:rPr>
                <w:noProof/>
                <w:webHidden/>
              </w:rPr>
              <w:fldChar w:fldCharType="begin"/>
            </w:r>
            <w:r w:rsidR="00F13EFF">
              <w:rPr>
                <w:noProof/>
                <w:webHidden/>
              </w:rPr>
              <w:instrText xml:space="preserve"> PAGEREF _Toc20401740 \h </w:instrText>
            </w:r>
            <w:r w:rsidR="00F13EFF">
              <w:rPr>
                <w:noProof/>
                <w:webHidden/>
              </w:rPr>
            </w:r>
            <w:r w:rsidR="00F13EFF">
              <w:rPr>
                <w:noProof/>
                <w:webHidden/>
              </w:rPr>
              <w:fldChar w:fldCharType="separate"/>
            </w:r>
            <w:r w:rsidR="00F13EFF">
              <w:rPr>
                <w:noProof/>
                <w:webHidden/>
              </w:rPr>
              <w:t>22</w:t>
            </w:r>
            <w:r w:rsidR="00F13EFF">
              <w:rPr>
                <w:noProof/>
                <w:webHidden/>
              </w:rPr>
              <w:fldChar w:fldCharType="end"/>
            </w:r>
          </w:hyperlink>
        </w:p>
        <w:p w14:paraId="0E462C8F" w14:textId="01A8EAF1" w:rsidR="00F13EFF" w:rsidRDefault="00795BEF">
          <w:pPr>
            <w:pStyle w:val="TOC3"/>
            <w:rPr>
              <w:rFonts w:asciiTheme="minorHAnsi" w:eastAsiaTheme="minorEastAsia" w:hAnsiTheme="minorHAnsi" w:cstheme="minorBidi"/>
              <w:noProof/>
              <w:lang w:eastAsia="en-AU"/>
            </w:rPr>
          </w:pPr>
          <w:hyperlink w:anchor="_Toc20401741" w:history="1">
            <w:r w:rsidR="00F13EFF" w:rsidRPr="00B31A20">
              <w:rPr>
                <w:rStyle w:val="Hyperlink"/>
                <w:noProof/>
                <w:lang w:eastAsia="en-AU"/>
              </w:rPr>
              <w:t>Risk management plan</w:t>
            </w:r>
            <w:r w:rsidR="00F13EFF">
              <w:rPr>
                <w:noProof/>
                <w:webHidden/>
              </w:rPr>
              <w:tab/>
            </w:r>
            <w:r w:rsidR="00F13EFF">
              <w:rPr>
                <w:noProof/>
                <w:webHidden/>
              </w:rPr>
              <w:fldChar w:fldCharType="begin"/>
            </w:r>
            <w:r w:rsidR="00F13EFF">
              <w:rPr>
                <w:noProof/>
                <w:webHidden/>
              </w:rPr>
              <w:instrText xml:space="preserve"> PAGEREF _Toc20401741 \h </w:instrText>
            </w:r>
            <w:r w:rsidR="00F13EFF">
              <w:rPr>
                <w:noProof/>
                <w:webHidden/>
              </w:rPr>
            </w:r>
            <w:r w:rsidR="00F13EFF">
              <w:rPr>
                <w:noProof/>
                <w:webHidden/>
              </w:rPr>
              <w:fldChar w:fldCharType="separate"/>
            </w:r>
            <w:r w:rsidR="00F13EFF">
              <w:rPr>
                <w:noProof/>
                <w:webHidden/>
              </w:rPr>
              <w:t>22</w:t>
            </w:r>
            <w:r w:rsidR="00F13EFF">
              <w:rPr>
                <w:noProof/>
                <w:webHidden/>
              </w:rPr>
              <w:fldChar w:fldCharType="end"/>
            </w:r>
          </w:hyperlink>
        </w:p>
        <w:p w14:paraId="3528351A" w14:textId="2A334441" w:rsidR="00F13EFF" w:rsidRDefault="00795BEF">
          <w:pPr>
            <w:pStyle w:val="TOC2"/>
            <w:rPr>
              <w:rFonts w:asciiTheme="minorHAnsi" w:eastAsiaTheme="minorEastAsia" w:hAnsiTheme="minorHAnsi" w:cstheme="minorBidi"/>
              <w:b w:val="0"/>
              <w:noProof/>
              <w:sz w:val="22"/>
              <w:lang w:eastAsia="en-AU"/>
            </w:rPr>
          </w:pPr>
          <w:hyperlink w:anchor="_Toc20401742" w:history="1">
            <w:r w:rsidR="00F13EFF" w:rsidRPr="00B31A20">
              <w:rPr>
                <w:rStyle w:val="Hyperlink"/>
                <w:noProof/>
              </w:rPr>
              <w:t>VII. Overall conclusion and risk/benefit assessment</w:t>
            </w:r>
            <w:r w:rsidR="00F13EFF">
              <w:rPr>
                <w:noProof/>
                <w:webHidden/>
              </w:rPr>
              <w:tab/>
            </w:r>
            <w:r w:rsidR="00F13EFF">
              <w:rPr>
                <w:noProof/>
                <w:webHidden/>
              </w:rPr>
              <w:fldChar w:fldCharType="begin"/>
            </w:r>
            <w:r w:rsidR="00F13EFF">
              <w:rPr>
                <w:noProof/>
                <w:webHidden/>
              </w:rPr>
              <w:instrText xml:space="preserve"> PAGEREF _Toc20401742 \h </w:instrText>
            </w:r>
            <w:r w:rsidR="00F13EFF">
              <w:rPr>
                <w:noProof/>
                <w:webHidden/>
              </w:rPr>
            </w:r>
            <w:r w:rsidR="00F13EFF">
              <w:rPr>
                <w:noProof/>
                <w:webHidden/>
              </w:rPr>
              <w:fldChar w:fldCharType="separate"/>
            </w:r>
            <w:r w:rsidR="00F13EFF">
              <w:rPr>
                <w:noProof/>
                <w:webHidden/>
              </w:rPr>
              <w:t>23</w:t>
            </w:r>
            <w:r w:rsidR="00F13EFF">
              <w:rPr>
                <w:noProof/>
                <w:webHidden/>
              </w:rPr>
              <w:fldChar w:fldCharType="end"/>
            </w:r>
          </w:hyperlink>
        </w:p>
        <w:p w14:paraId="628A0767" w14:textId="27336E10" w:rsidR="00F13EFF" w:rsidRDefault="00795BEF">
          <w:pPr>
            <w:pStyle w:val="TOC3"/>
            <w:rPr>
              <w:rFonts w:asciiTheme="minorHAnsi" w:eastAsiaTheme="minorEastAsia" w:hAnsiTheme="minorHAnsi" w:cstheme="minorBidi"/>
              <w:noProof/>
              <w:lang w:eastAsia="en-AU"/>
            </w:rPr>
          </w:pPr>
          <w:hyperlink w:anchor="_Toc20401743" w:history="1">
            <w:r w:rsidR="00F13EFF" w:rsidRPr="00B31A20">
              <w:rPr>
                <w:rStyle w:val="Hyperlink"/>
                <w:noProof/>
              </w:rPr>
              <w:t>Background</w:t>
            </w:r>
            <w:r w:rsidR="00F13EFF">
              <w:rPr>
                <w:noProof/>
                <w:webHidden/>
              </w:rPr>
              <w:tab/>
            </w:r>
            <w:r w:rsidR="00F13EFF">
              <w:rPr>
                <w:noProof/>
                <w:webHidden/>
              </w:rPr>
              <w:fldChar w:fldCharType="begin"/>
            </w:r>
            <w:r w:rsidR="00F13EFF">
              <w:rPr>
                <w:noProof/>
                <w:webHidden/>
              </w:rPr>
              <w:instrText xml:space="preserve"> PAGEREF _Toc20401743 \h </w:instrText>
            </w:r>
            <w:r w:rsidR="00F13EFF">
              <w:rPr>
                <w:noProof/>
                <w:webHidden/>
              </w:rPr>
            </w:r>
            <w:r w:rsidR="00F13EFF">
              <w:rPr>
                <w:noProof/>
                <w:webHidden/>
              </w:rPr>
              <w:fldChar w:fldCharType="separate"/>
            </w:r>
            <w:r w:rsidR="00F13EFF">
              <w:rPr>
                <w:noProof/>
                <w:webHidden/>
              </w:rPr>
              <w:t>23</w:t>
            </w:r>
            <w:r w:rsidR="00F13EFF">
              <w:rPr>
                <w:noProof/>
                <w:webHidden/>
              </w:rPr>
              <w:fldChar w:fldCharType="end"/>
            </w:r>
          </w:hyperlink>
        </w:p>
        <w:p w14:paraId="644AD5E7" w14:textId="49919B34" w:rsidR="00F13EFF" w:rsidRDefault="00795BEF">
          <w:pPr>
            <w:pStyle w:val="TOC3"/>
            <w:rPr>
              <w:rFonts w:asciiTheme="minorHAnsi" w:eastAsiaTheme="minorEastAsia" w:hAnsiTheme="minorHAnsi" w:cstheme="minorBidi"/>
              <w:noProof/>
              <w:lang w:eastAsia="en-AU"/>
            </w:rPr>
          </w:pPr>
          <w:hyperlink w:anchor="_Toc20401744" w:history="1">
            <w:r w:rsidR="00F13EFF" w:rsidRPr="00B31A20">
              <w:rPr>
                <w:rStyle w:val="Hyperlink"/>
                <w:noProof/>
              </w:rPr>
              <w:t>Quality</w:t>
            </w:r>
            <w:r w:rsidR="00F13EFF">
              <w:rPr>
                <w:noProof/>
                <w:webHidden/>
              </w:rPr>
              <w:tab/>
            </w:r>
            <w:r w:rsidR="00F13EFF">
              <w:rPr>
                <w:noProof/>
                <w:webHidden/>
              </w:rPr>
              <w:fldChar w:fldCharType="begin"/>
            </w:r>
            <w:r w:rsidR="00F13EFF">
              <w:rPr>
                <w:noProof/>
                <w:webHidden/>
              </w:rPr>
              <w:instrText xml:space="preserve"> PAGEREF _Toc20401744 \h </w:instrText>
            </w:r>
            <w:r w:rsidR="00F13EFF">
              <w:rPr>
                <w:noProof/>
                <w:webHidden/>
              </w:rPr>
            </w:r>
            <w:r w:rsidR="00F13EFF">
              <w:rPr>
                <w:noProof/>
                <w:webHidden/>
              </w:rPr>
              <w:fldChar w:fldCharType="separate"/>
            </w:r>
            <w:r w:rsidR="00F13EFF">
              <w:rPr>
                <w:noProof/>
                <w:webHidden/>
              </w:rPr>
              <w:t>25</w:t>
            </w:r>
            <w:r w:rsidR="00F13EFF">
              <w:rPr>
                <w:noProof/>
                <w:webHidden/>
              </w:rPr>
              <w:fldChar w:fldCharType="end"/>
            </w:r>
          </w:hyperlink>
        </w:p>
        <w:p w14:paraId="25FCF6CE" w14:textId="07A2D4D8" w:rsidR="00F13EFF" w:rsidRDefault="00795BEF">
          <w:pPr>
            <w:pStyle w:val="TOC3"/>
            <w:rPr>
              <w:rFonts w:asciiTheme="minorHAnsi" w:eastAsiaTheme="minorEastAsia" w:hAnsiTheme="minorHAnsi" w:cstheme="minorBidi"/>
              <w:noProof/>
              <w:lang w:eastAsia="en-AU"/>
            </w:rPr>
          </w:pPr>
          <w:hyperlink w:anchor="_Toc20401745" w:history="1">
            <w:r w:rsidR="00F13EFF" w:rsidRPr="00B31A20">
              <w:rPr>
                <w:rStyle w:val="Hyperlink"/>
                <w:noProof/>
              </w:rPr>
              <w:t>Nonclinical</w:t>
            </w:r>
            <w:r w:rsidR="00F13EFF">
              <w:rPr>
                <w:noProof/>
                <w:webHidden/>
              </w:rPr>
              <w:tab/>
            </w:r>
            <w:r w:rsidR="00F13EFF">
              <w:rPr>
                <w:noProof/>
                <w:webHidden/>
              </w:rPr>
              <w:fldChar w:fldCharType="begin"/>
            </w:r>
            <w:r w:rsidR="00F13EFF">
              <w:rPr>
                <w:noProof/>
                <w:webHidden/>
              </w:rPr>
              <w:instrText xml:space="preserve"> PAGEREF _Toc20401745 \h </w:instrText>
            </w:r>
            <w:r w:rsidR="00F13EFF">
              <w:rPr>
                <w:noProof/>
                <w:webHidden/>
              </w:rPr>
            </w:r>
            <w:r w:rsidR="00F13EFF">
              <w:rPr>
                <w:noProof/>
                <w:webHidden/>
              </w:rPr>
              <w:fldChar w:fldCharType="separate"/>
            </w:r>
            <w:r w:rsidR="00F13EFF">
              <w:rPr>
                <w:noProof/>
                <w:webHidden/>
              </w:rPr>
              <w:t>25</w:t>
            </w:r>
            <w:r w:rsidR="00F13EFF">
              <w:rPr>
                <w:noProof/>
                <w:webHidden/>
              </w:rPr>
              <w:fldChar w:fldCharType="end"/>
            </w:r>
          </w:hyperlink>
        </w:p>
        <w:p w14:paraId="74950849" w14:textId="1D36A33D" w:rsidR="00F13EFF" w:rsidRDefault="00795BEF">
          <w:pPr>
            <w:pStyle w:val="TOC3"/>
            <w:rPr>
              <w:rFonts w:asciiTheme="minorHAnsi" w:eastAsiaTheme="minorEastAsia" w:hAnsiTheme="minorHAnsi" w:cstheme="minorBidi"/>
              <w:noProof/>
              <w:lang w:eastAsia="en-AU"/>
            </w:rPr>
          </w:pPr>
          <w:hyperlink w:anchor="_Toc20401746" w:history="1">
            <w:r w:rsidR="00F13EFF" w:rsidRPr="00B31A20">
              <w:rPr>
                <w:rStyle w:val="Hyperlink"/>
                <w:noProof/>
              </w:rPr>
              <w:t>Clinical</w:t>
            </w:r>
            <w:r w:rsidR="00F13EFF">
              <w:rPr>
                <w:noProof/>
                <w:webHidden/>
              </w:rPr>
              <w:tab/>
            </w:r>
            <w:r w:rsidR="00F13EFF">
              <w:rPr>
                <w:noProof/>
                <w:webHidden/>
              </w:rPr>
              <w:fldChar w:fldCharType="begin"/>
            </w:r>
            <w:r w:rsidR="00F13EFF">
              <w:rPr>
                <w:noProof/>
                <w:webHidden/>
              </w:rPr>
              <w:instrText xml:space="preserve"> PAGEREF _Toc20401746 \h </w:instrText>
            </w:r>
            <w:r w:rsidR="00F13EFF">
              <w:rPr>
                <w:noProof/>
                <w:webHidden/>
              </w:rPr>
            </w:r>
            <w:r w:rsidR="00F13EFF">
              <w:rPr>
                <w:noProof/>
                <w:webHidden/>
              </w:rPr>
              <w:fldChar w:fldCharType="separate"/>
            </w:r>
            <w:r w:rsidR="00F13EFF">
              <w:rPr>
                <w:noProof/>
                <w:webHidden/>
              </w:rPr>
              <w:t>25</w:t>
            </w:r>
            <w:r w:rsidR="00F13EFF">
              <w:rPr>
                <w:noProof/>
                <w:webHidden/>
              </w:rPr>
              <w:fldChar w:fldCharType="end"/>
            </w:r>
          </w:hyperlink>
        </w:p>
        <w:p w14:paraId="146BD55A" w14:textId="67C234BD" w:rsidR="00F13EFF" w:rsidRDefault="00795BEF">
          <w:pPr>
            <w:pStyle w:val="TOC3"/>
            <w:rPr>
              <w:rFonts w:asciiTheme="minorHAnsi" w:eastAsiaTheme="minorEastAsia" w:hAnsiTheme="minorHAnsi" w:cstheme="minorBidi"/>
              <w:noProof/>
              <w:lang w:eastAsia="en-AU"/>
            </w:rPr>
          </w:pPr>
          <w:hyperlink w:anchor="_Toc20401747" w:history="1">
            <w:r w:rsidR="00F13EFF" w:rsidRPr="00B31A20">
              <w:rPr>
                <w:rStyle w:val="Hyperlink"/>
                <w:noProof/>
                <w:lang w:eastAsia="en-AU"/>
              </w:rPr>
              <w:t>Risk management plan</w:t>
            </w:r>
            <w:r w:rsidR="00F13EFF">
              <w:rPr>
                <w:noProof/>
                <w:webHidden/>
              </w:rPr>
              <w:tab/>
            </w:r>
            <w:r w:rsidR="00F13EFF">
              <w:rPr>
                <w:noProof/>
                <w:webHidden/>
              </w:rPr>
              <w:fldChar w:fldCharType="begin"/>
            </w:r>
            <w:r w:rsidR="00F13EFF">
              <w:rPr>
                <w:noProof/>
                <w:webHidden/>
              </w:rPr>
              <w:instrText xml:space="preserve"> PAGEREF _Toc20401747 \h </w:instrText>
            </w:r>
            <w:r w:rsidR="00F13EFF">
              <w:rPr>
                <w:noProof/>
                <w:webHidden/>
              </w:rPr>
            </w:r>
            <w:r w:rsidR="00F13EFF">
              <w:rPr>
                <w:noProof/>
                <w:webHidden/>
              </w:rPr>
              <w:fldChar w:fldCharType="separate"/>
            </w:r>
            <w:r w:rsidR="00F13EFF">
              <w:rPr>
                <w:noProof/>
                <w:webHidden/>
              </w:rPr>
              <w:t>33</w:t>
            </w:r>
            <w:r w:rsidR="00F13EFF">
              <w:rPr>
                <w:noProof/>
                <w:webHidden/>
              </w:rPr>
              <w:fldChar w:fldCharType="end"/>
            </w:r>
          </w:hyperlink>
        </w:p>
        <w:p w14:paraId="07E4A8DA" w14:textId="7ED21824" w:rsidR="00F13EFF" w:rsidRDefault="00795BEF">
          <w:pPr>
            <w:pStyle w:val="TOC3"/>
            <w:rPr>
              <w:rFonts w:asciiTheme="minorHAnsi" w:eastAsiaTheme="minorEastAsia" w:hAnsiTheme="minorHAnsi" w:cstheme="minorBidi"/>
              <w:noProof/>
              <w:lang w:eastAsia="en-AU"/>
            </w:rPr>
          </w:pPr>
          <w:hyperlink w:anchor="_Toc20401748" w:history="1">
            <w:r w:rsidR="00F13EFF" w:rsidRPr="00B31A20">
              <w:rPr>
                <w:rStyle w:val="Hyperlink"/>
                <w:noProof/>
              </w:rPr>
              <w:t>Risk-benefit analysis</w:t>
            </w:r>
            <w:r w:rsidR="00F13EFF">
              <w:rPr>
                <w:noProof/>
                <w:webHidden/>
              </w:rPr>
              <w:tab/>
            </w:r>
            <w:r w:rsidR="00F13EFF">
              <w:rPr>
                <w:noProof/>
                <w:webHidden/>
              </w:rPr>
              <w:fldChar w:fldCharType="begin"/>
            </w:r>
            <w:r w:rsidR="00F13EFF">
              <w:rPr>
                <w:noProof/>
                <w:webHidden/>
              </w:rPr>
              <w:instrText xml:space="preserve"> PAGEREF _Toc20401748 \h </w:instrText>
            </w:r>
            <w:r w:rsidR="00F13EFF">
              <w:rPr>
                <w:noProof/>
                <w:webHidden/>
              </w:rPr>
            </w:r>
            <w:r w:rsidR="00F13EFF">
              <w:rPr>
                <w:noProof/>
                <w:webHidden/>
              </w:rPr>
              <w:fldChar w:fldCharType="separate"/>
            </w:r>
            <w:r w:rsidR="00F13EFF">
              <w:rPr>
                <w:noProof/>
                <w:webHidden/>
              </w:rPr>
              <w:t>33</w:t>
            </w:r>
            <w:r w:rsidR="00F13EFF">
              <w:rPr>
                <w:noProof/>
                <w:webHidden/>
              </w:rPr>
              <w:fldChar w:fldCharType="end"/>
            </w:r>
          </w:hyperlink>
        </w:p>
        <w:p w14:paraId="6A2E6DC9" w14:textId="2E83DFFA" w:rsidR="00F13EFF" w:rsidRDefault="00795BEF">
          <w:pPr>
            <w:pStyle w:val="TOC3"/>
            <w:rPr>
              <w:rFonts w:asciiTheme="minorHAnsi" w:eastAsiaTheme="minorEastAsia" w:hAnsiTheme="minorHAnsi" w:cstheme="minorBidi"/>
              <w:noProof/>
              <w:lang w:eastAsia="en-AU"/>
            </w:rPr>
          </w:pPr>
          <w:hyperlink w:anchor="_Toc20401749" w:history="1">
            <w:r w:rsidR="00F13EFF" w:rsidRPr="00B31A20">
              <w:rPr>
                <w:rStyle w:val="Hyperlink"/>
                <w:noProof/>
              </w:rPr>
              <w:t>Outcome</w:t>
            </w:r>
            <w:r w:rsidR="00F13EFF">
              <w:rPr>
                <w:noProof/>
                <w:webHidden/>
              </w:rPr>
              <w:tab/>
            </w:r>
            <w:r w:rsidR="00F13EFF">
              <w:rPr>
                <w:noProof/>
                <w:webHidden/>
              </w:rPr>
              <w:fldChar w:fldCharType="begin"/>
            </w:r>
            <w:r w:rsidR="00F13EFF">
              <w:rPr>
                <w:noProof/>
                <w:webHidden/>
              </w:rPr>
              <w:instrText xml:space="preserve"> PAGEREF _Toc20401749 \h </w:instrText>
            </w:r>
            <w:r w:rsidR="00F13EFF">
              <w:rPr>
                <w:noProof/>
                <w:webHidden/>
              </w:rPr>
            </w:r>
            <w:r w:rsidR="00F13EFF">
              <w:rPr>
                <w:noProof/>
                <w:webHidden/>
              </w:rPr>
              <w:fldChar w:fldCharType="separate"/>
            </w:r>
            <w:r w:rsidR="00F13EFF">
              <w:rPr>
                <w:noProof/>
                <w:webHidden/>
              </w:rPr>
              <w:t>47</w:t>
            </w:r>
            <w:r w:rsidR="00F13EFF">
              <w:rPr>
                <w:noProof/>
                <w:webHidden/>
              </w:rPr>
              <w:fldChar w:fldCharType="end"/>
            </w:r>
          </w:hyperlink>
        </w:p>
        <w:p w14:paraId="1236B9E0" w14:textId="4F133C74" w:rsidR="00F13EFF" w:rsidRDefault="00795BEF">
          <w:pPr>
            <w:pStyle w:val="TOC2"/>
            <w:rPr>
              <w:rFonts w:asciiTheme="minorHAnsi" w:eastAsiaTheme="minorEastAsia" w:hAnsiTheme="minorHAnsi" w:cstheme="minorBidi"/>
              <w:b w:val="0"/>
              <w:noProof/>
              <w:sz w:val="22"/>
              <w:lang w:eastAsia="en-AU"/>
            </w:rPr>
          </w:pPr>
          <w:hyperlink w:anchor="_Toc20401750" w:history="1">
            <w:r w:rsidR="00F13EFF" w:rsidRPr="00B31A20">
              <w:rPr>
                <w:rStyle w:val="Hyperlink"/>
                <w:noProof/>
              </w:rPr>
              <w:t>Attachment 1. Product Information</w:t>
            </w:r>
            <w:r w:rsidR="00F13EFF">
              <w:rPr>
                <w:noProof/>
                <w:webHidden/>
              </w:rPr>
              <w:tab/>
            </w:r>
            <w:r w:rsidR="00F13EFF">
              <w:rPr>
                <w:noProof/>
                <w:webHidden/>
              </w:rPr>
              <w:fldChar w:fldCharType="begin"/>
            </w:r>
            <w:r w:rsidR="00F13EFF">
              <w:rPr>
                <w:noProof/>
                <w:webHidden/>
              </w:rPr>
              <w:instrText xml:space="preserve"> PAGEREF _Toc20401750 \h </w:instrText>
            </w:r>
            <w:r w:rsidR="00F13EFF">
              <w:rPr>
                <w:noProof/>
                <w:webHidden/>
              </w:rPr>
            </w:r>
            <w:r w:rsidR="00F13EFF">
              <w:rPr>
                <w:noProof/>
                <w:webHidden/>
              </w:rPr>
              <w:fldChar w:fldCharType="separate"/>
            </w:r>
            <w:r w:rsidR="00F13EFF">
              <w:rPr>
                <w:noProof/>
                <w:webHidden/>
              </w:rPr>
              <w:t>47</w:t>
            </w:r>
            <w:r w:rsidR="00F13EFF">
              <w:rPr>
                <w:noProof/>
                <w:webHidden/>
              </w:rPr>
              <w:fldChar w:fldCharType="end"/>
            </w:r>
          </w:hyperlink>
        </w:p>
        <w:p w14:paraId="387ED5CF" w14:textId="56EEC450" w:rsidR="003A7F6C" w:rsidRPr="00B811C6" w:rsidRDefault="00DB6124" w:rsidP="00B811C6">
          <w:pPr>
            <w:pStyle w:val="TOC2"/>
          </w:pPr>
          <w:r>
            <w:fldChar w:fldCharType="end"/>
          </w:r>
        </w:p>
      </w:sdtContent>
    </w:sdt>
    <w:bookmarkStart w:id="3" w:name="_Toc314842482" w:displacedByCustomXml="prev"/>
    <w:p w14:paraId="74DD3997" w14:textId="77777777" w:rsidR="00FD119B" w:rsidRDefault="00FD119B">
      <w:pPr>
        <w:spacing w:before="0" w:after="200" w:line="0" w:lineRule="auto"/>
      </w:pPr>
      <w:r>
        <w:br w:type="page"/>
      </w:r>
    </w:p>
    <w:p w14:paraId="174809D7" w14:textId="77777777" w:rsidR="00404916" w:rsidRPr="00FD119B" w:rsidRDefault="00404916" w:rsidP="00404916">
      <w:pPr>
        <w:pStyle w:val="Heading2"/>
      </w:pPr>
      <w:bookmarkStart w:id="4" w:name="_Toc20401721"/>
      <w:r>
        <w:lastRenderedPageBreak/>
        <w:t>Common</w:t>
      </w:r>
      <w:r w:rsidRPr="00FD119B">
        <w:t xml:space="preserve"> abbreviations</w:t>
      </w:r>
      <w:bookmarkEnd w:id="4"/>
    </w:p>
    <w:tbl>
      <w:tblPr>
        <w:tblStyle w:val="TableTGAblue"/>
        <w:tblW w:w="0" w:type="auto"/>
        <w:tblLook w:val="04A0" w:firstRow="1" w:lastRow="0" w:firstColumn="1" w:lastColumn="0" w:noHBand="0" w:noVBand="1"/>
      </w:tblPr>
      <w:tblGrid>
        <w:gridCol w:w="1809"/>
        <w:gridCol w:w="6911"/>
      </w:tblGrid>
      <w:tr w:rsidR="00404916" w:rsidRPr="00FD119B" w14:paraId="374F46A1" w14:textId="77777777" w:rsidTr="000D5F80">
        <w:trPr>
          <w:cnfStyle w:val="100000000000" w:firstRow="1" w:lastRow="0" w:firstColumn="0" w:lastColumn="0" w:oddVBand="0" w:evenVBand="0" w:oddHBand="0" w:evenHBand="0" w:firstRowFirstColumn="0" w:firstRowLastColumn="0" w:lastRowFirstColumn="0" w:lastRowLastColumn="0"/>
        </w:trPr>
        <w:tc>
          <w:tcPr>
            <w:tcW w:w="1809" w:type="dxa"/>
          </w:tcPr>
          <w:p w14:paraId="41AE34DA" w14:textId="77777777" w:rsidR="00404916" w:rsidRPr="00FD119B" w:rsidRDefault="00404916" w:rsidP="000D5F80">
            <w:pPr>
              <w:keepNext w:val="0"/>
              <w:ind w:left="0" w:right="0"/>
              <w:rPr>
                <w:szCs w:val="22"/>
                <w:lang w:eastAsia="en-US"/>
              </w:rPr>
            </w:pPr>
            <w:r w:rsidRPr="00FD119B">
              <w:rPr>
                <w:szCs w:val="22"/>
                <w:lang w:eastAsia="en-US"/>
              </w:rPr>
              <w:t>Abbreviation</w:t>
            </w:r>
          </w:p>
        </w:tc>
        <w:tc>
          <w:tcPr>
            <w:tcW w:w="6911" w:type="dxa"/>
          </w:tcPr>
          <w:p w14:paraId="532E6E6E" w14:textId="77777777" w:rsidR="00404916" w:rsidRPr="00FD119B" w:rsidRDefault="00404916" w:rsidP="000D5F80">
            <w:pPr>
              <w:keepNext w:val="0"/>
              <w:ind w:left="0" w:right="0"/>
              <w:rPr>
                <w:szCs w:val="22"/>
                <w:lang w:eastAsia="en-US"/>
              </w:rPr>
            </w:pPr>
            <w:r w:rsidRPr="00FD119B">
              <w:rPr>
                <w:szCs w:val="22"/>
                <w:lang w:eastAsia="en-US"/>
              </w:rPr>
              <w:t>Meaning</w:t>
            </w:r>
          </w:p>
        </w:tc>
      </w:tr>
      <w:tr w:rsidR="00404916" w:rsidRPr="00FD119B" w14:paraId="1057409E" w14:textId="77777777" w:rsidTr="000D5F80">
        <w:tc>
          <w:tcPr>
            <w:tcW w:w="1809" w:type="dxa"/>
          </w:tcPr>
          <w:p w14:paraId="77557211" w14:textId="77777777" w:rsidR="00404916" w:rsidRDefault="00404916" w:rsidP="000D5F80">
            <w:r w:rsidRPr="00AA3C7C">
              <w:t>ADR</w:t>
            </w:r>
          </w:p>
        </w:tc>
        <w:tc>
          <w:tcPr>
            <w:tcW w:w="6911" w:type="dxa"/>
          </w:tcPr>
          <w:p w14:paraId="2405DF61" w14:textId="77777777" w:rsidR="00404916" w:rsidRDefault="00404916" w:rsidP="000D5F80">
            <w:r>
              <w:t>Adverse drug reaction</w:t>
            </w:r>
          </w:p>
        </w:tc>
      </w:tr>
      <w:tr w:rsidR="00404916" w:rsidRPr="00FD119B" w14:paraId="111134B0" w14:textId="77777777" w:rsidTr="000D5F80">
        <w:tc>
          <w:tcPr>
            <w:tcW w:w="1809" w:type="dxa"/>
          </w:tcPr>
          <w:p w14:paraId="7E569F99" w14:textId="77777777" w:rsidR="00404916" w:rsidRDefault="00404916" w:rsidP="000D5F80">
            <w:r>
              <w:t>AE</w:t>
            </w:r>
          </w:p>
        </w:tc>
        <w:tc>
          <w:tcPr>
            <w:tcW w:w="6911" w:type="dxa"/>
          </w:tcPr>
          <w:p w14:paraId="5C35A53E" w14:textId="77777777" w:rsidR="00404916" w:rsidRDefault="00404916" w:rsidP="000D5F80">
            <w:r>
              <w:t>Adverse event</w:t>
            </w:r>
          </w:p>
        </w:tc>
      </w:tr>
      <w:tr w:rsidR="00404916" w:rsidRPr="00FD119B" w14:paraId="5E75432C" w14:textId="77777777" w:rsidTr="000D5F80">
        <w:tc>
          <w:tcPr>
            <w:tcW w:w="1809" w:type="dxa"/>
          </w:tcPr>
          <w:p w14:paraId="5C1EEC66" w14:textId="77777777" w:rsidR="00404916" w:rsidRDefault="00404916" w:rsidP="000D5F80">
            <w:r>
              <w:t>ALL</w:t>
            </w:r>
          </w:p>
        </w:tc>
        <w:tc>
          <w:tcPr>
            <w:tcW w:w="6911" w:type="dxa"/>
          </w:tcPr>
          <w:p w14:paraId="295FE231" w14:textId="6553E890" w:rsidR="00404916" w:rsidRDefault="00404916" w:rsidP="000D5F80">
            <w:r>
              <w:t xml:space="preserve">Acute </w:t>
            </w:r>
            <w:r w:rsidR="00050F5E">
              <w:t>lymphoblastic leukaemia</w:t>
            </w:r>
          </w:p>
        </w:tc>
      </w:tr>
      <w:tr w:rsidR="00404916" w:rsidRPr="00FD119B" w14:paraId="650C6EE4" w14:textId="77777777" w:rsidTr="000D5F80">
        <w:tc>
          <w:tcPr>
            <w:tcW w:w="1809" w:type="dxa"/>
          </w:tcPr>
          <w:p w14:paraId="539ED2DD" w14:textId="34102CEF" w:rsidR="00404916" w:rsidRDefault="00F23F71" w:rsidP="000D5F80">
            <w:r>
              <w:t>A</w:t>
            </w:r>
            <w:r w:rsidR="00404916">
              <w:t>llo-HCT</w:t>
            </w:r>
          </w:p>
        </w:tc>
        <w:tc>
          <w:tcPr>
            <w:tcW w:w="6911" w:type="dxa"/>
          </w:tcPr>
          <w:p w14:paraId="0F0C46FF" w14:textId="2F52019A" w:rsidR="00404916" w:rsidRDefault="00404916" w:rsidP="000D5F80">
            <w:r>
              <w:t>Allogeneic h</w:t>
            </w:r>
            <w:r w:rsidR="000D5F80">
              <w:t>a</w:t>
            </w:r>
            <w:r>
              <w:t>ematopoietic cell transplantation</w:t>
            </w:r>
          </w:p>
        </w:tc>
      </w:tr>
      <w:tr w:rsidR="00404916" w:rsidRPr="00FD119B" w14:paraId="5AC7D9CE" w14:textId="77777777" w:rsidTr="000D5F80">
        <w:tc>
          <w:tcPr>
            <w:tcW w:w="1809" w:type="dxa"/>
          </w:tcPr>
          <w:p w14:paraId="2906FAE5" w14:textId="77777777" w:rsidR="00404916" w:rsidRDefault="00404916" w:rsidP="000D5F80">
            <w:r w:rsidRPr="00454721">
              <w:t>ASA</w:t>
            </w:r>
          </w:p>
        </w:tc>
        <w:tc>
          <w:tcPr>
            <w:tcW w:w="6911" w:type="dxa"/>
          </w:tcPr>
          <w:p w14:paraId="0BD3E369" w14:textId="2E988ABE" w:rsidR="00404916" w:rsidRDefault="00404916" w:rsidP="000D5F80">
            <w:r>
              <w:t xml:space="preserve">Australian </w:t>
            </w:r>
            <w:r w:rsidR="00050F5E">
              <w:t>specific annex</w:t>
            </w:r>
          </w:p>
        </w:tc>
      </w:tr>
      <w:tr w:rsidR="00404916" w:rsidRPr="00FD119B" w14:paraId="1D546209" w14:textId="77777777" w:rsidTr="000D5F80">
        <w:tc>
          <w:tcPr>
            <w:tcW w:w="1809" w:type="dxa"/>
          </w:tcPr>
          <w:p w14:paraId="3FFBA98C" w14:textId="77777777" w:rsidR="00404916" w:rsidRDefault="00404916" w:rsidP="000D5F80">
            <w:r>
              <w:t>ASCT</w:t>
            </w:r>
          </w:p>
        </w:tc>
        <w:tc>
          <w:tcPr>
            <w:tcW w:w="6911" w:type="dxa"/>
          </w:tcPr>
          <w:p w14:paraId="34A44769" w14:textId="43F7BFFC" w:rsidR="00404916" w:rsidRDefault="00404916" w:rsidP="000D5F80">
            <w:r>
              <w:t xml:space="preserve">Allogeneic </w:t>
            </w:r>
            <w:r w:rsidR="00050F5E">
              <w:t>stem cell transplant</w:t>
            </w:r>
          </w:p>
        </w:tc>
      </w:tr>
      <w:tr w:rsidR="00404916" w:rsidRPr="00FD119B" w14:paraId="4278635C" w14:textId="77777777" w:rsidTr="000D5F80">
        <w:tc>
          <w:tcPr>
            <w:tcW w:w="1809" w:type="dxa"/>
          </w:tcPr>
          <w:p w14:paraId="4941B368" w14:textId="77777777" w:rsidR="00404916" w:rsidRDefault="00404916" w:rsidP="000D5F80">
            <w:r>
              <w:t>BCR-ABL</w:t>
            </w:r>
          </w:p>
        </w:tc>
        <w:tc>
          <w:tcPr>
            <w:tcW w:w="6911" w:type="dxa"/>
          </w:tcPr>
          <w:p w14:paraId="788C8933" w14:textId="77777777" w:rsidR="00404916" w:rsidRDefault="00404916" w:rsidP="000D5F80">
            <w:r>
              <w:t>A protein tyrosine kinase</w:t>
            </w:r>
          </w:p>
        </w:tc>
      </w:tr>
      <w:tr w:rsidR="00404916" w:rsidRPr="00FD119B" w14:paraId="05EBC305" w14:textId="77777777" w:rsidTr="000D5F80">
        <w:tc>
          <w:tcPr>
            <w:tcW w:w="1809" w:type="dxa"/>
          </w:tcPr>
          <w:p w14:paraId="1F88A79A" w14:textId="77777777" w:rsidR="00404916" w:rsidRDefault="00404916" w:rsidP="000D5F80">
            <w:r w:rsidRPr="003959D1">
              <w:rPr>
                <w:rFonts w:asciiTheme="minorHAnsi" w:hAnsiTheme="minorHAnsi" w:cs="Calibri"/>
                <w:bCs/>
              </w:rPr>
              <w:t>BM</w:t>
            </w:r>
          </w:p>
        </w:tc>
        <w:tc>
          <w:tcPr>
            <w:tcW w:w="6911" w:type="dxa"/>
          </w:tcPr>
          <w:p w14:paraId="589276FE" w14:textId="4635090F" w:rsidR="00404916" w:rsidRDefault="00404916" w:rsidP="00400300">
            <w:pPr>
              <w:rPr>
                <w:color w:val="auto"/>
                <w:szCs w:val="22"/>
                <w:lang w:eastAsia="en-US"/>
              </w:rPr>
            </w:pPr>
            <w:r>
              <w:t xml:space="preserve">Bone </w:t>
            </w:r>
            <w:r w:rsidR="00050F5E">
              <w:t>m</w:t>
            </w:r>
            <w:r>
              <w:t>arrow</w:t>
            </w:r>
          </w:p>
        </w:tc>
      </w:tr>
      <w:tr w:rsidR="00404916" w:rsidRPr="00FD119B" w14:paraId="13C07E62" w14:textId="77777777" w:rsidTr="000D5F80">
        <w:tc>
          <w:tcPr>
            <w:tcW w:w="1809" w:type="dxa"/>
          </w:tcPr>
          <w:p w14:paraId="40A55B00" w14:textId="77777777" w:rsidR="00404916" w:rsidRDefault="00404916" w:rsidP="000D5F80">
            <w:r>
              <w:t>CHR</w:t>
            </w:r>
          </w:p>
        </w:tc>
        <w:tc>
          <w:tcPr>
            <w:tcW w:w="6911" w:type="dxa"/>
          </w:tcPr>
          <w:p w14:paraId="22A0F415" w14:textId="2C8D234E" w:rsidR="00404916" w:rsidRDefault="00404916" w:rsidP="000D5F80">
            <w:r>
              <w:t xml:space="preserve">Complete </w:t>
            </w:r>
            <w:r w:rsidR="00050F5E">
              <w:t>haematologic r</w:t>
            </w:r>
            <w:r>
              <w:t>esponse</w:t>
            </w:r>
          </w:p>
        </w:tc>
      </w:tr>
      <w:tr w:rsidR="00404916" w:rsidRPr="00FD119B" w14:paraId="33FF1893" w14:textId="77777777" w:rsidTr="000D5F80">
        <w:tc>
          <w:tcPr>
            <w:tcW w:w="1809" w:type="dxa"/>
          </w:tcPr>
          <w:p w14:paraId="5ABD2448" w14:textId="77777777" w:rsidR="00404916" w:rsidRDefault="00404916" w:rsidP="000D5F80">
            <w:r>
              <w:t>CML</w:t>
            </w:r>
          </w:p>
        </w:tc>
        <w:tc>
          <w:tcPr>
            <w:tcW w:w="6911" w:type="dxa"/>
          </w:tcPr>
          <w:p w14:paraId="2525BE37" w14:textId="6016048E" w:rsidR="00404916" w:rsidRDefault="00404916" w:rsidP="000D5F80">
            <w:r>
              <w:t xml:space="preserve">Chronic </w:t>
            </w:r>
            <w:r w:rsidR="00050F5E">
              <w:t>myeloid leukaemia</w:t>
            </w:r>
          </w:p>
        </w:tc>
      </w:tr>
      <w:tr w:rsidR="00404916" w:rsidRPr="00FD119B" w14:paraId="2EACF282" w14:textId="77777777" w:rsidTr="000D5F80">
        <w:tc>
          <w:tcPr>
            <w:tcW w:w="1809" w:type="dxa"/>
          </w:tcPr>
          <w:p w14:paraId="5C5E9C03" w14:textId="77777777" w:rsidR="00404916" w:rsidRDefault="00404916" w:rsidP="000D5F80">
            <w:r>
              <w:rPr>
                <w:rFonts w:cs="Calibri"/>
                <w:bCs/>
              </w:rPr>
              <w:t>CNS</w:t>
            </w:r>
          </w:p>
        </w:tc>
        <w:tc>
          <w:tcPr>
            <w:tcW w:w="6911" w:type="dxa"/>
          </w:tcPr>
          <w:p w14:paraId="34940C69" w14:textId="38BFA494" w:rsidR="00404916" w:rsidRDefault="00404916" w:rsidP="000D5F80">
            <w:r>
              <w:t xml:space="preserve">Central </w:t>
            </w:r>
            <w:r w:rsidR="00050F5E">
              <w:t>nervous system</w:t>
            </w:r>
          </w:p>
        </w:tc>
      </w:tr>
      <w:tr w:rsidR="00404916" w:rsidRPr="00FD119B" w14:paraId="366506F1" w14:textId="77777777" w:rsidTr="000D5F80">
        <w:tc>
          <w:tcPr>
            <w:tcW w:w="1809" w:type="dxa"/>
          </w:tcPr>
          <w:p w14:paraId="3BE04150" w14:textId="77777777" w:rsidR="00404916" w:rsidRDefault="00404916" w:rsidP="000D5F80">
            <w:r>
              <w:t>CR</w:t>
            </w:r>
          </w:p>
        </w:tc>
        <w:tc>
          <w:tcPr>
            <w:tcW w:w="6911" w:type="dxa"/>
          </w:tcPr>
          <w:p w14:paraId="25367CF8" w14:textId="0CA7C6B2" w:rsidR="00404916" w:rsidRDefault="00404916" w:rsidP="000D5F80">
            <w:r>
              <w:t xml:space="preserve">Complete </w:t>
            </w:r>
            <w:r w:rsidR="00050F5E">
              <w:t>remission/response</w:t>
            </w:r>
          </w:p>
        </w:tc>
      </w:tr>
      <w:tr w:rsidR="00404916" w:rsidRPr="00FD119B" w14:paraId="24D0AAF0" w14:textId="77777777" w:rsidTr="000D5F80">
        <w:tc>
          <w:tcPr>
            <w:tcW w:w="1809" w:type="dxa"/>
          </w:tcPr>
          <w:p w14:paraId="5CC82504" w14:textId="77777777" w:rsidR="00404916" w:rsidRDefault="00404916" w:rsidP="000D5F80">
            <w:r>
              <w:t>CRD</w:t>
            </w:r>
          </w:p>
        </w:tc>
        <w:tc>
          <w:tcPr>
            <w:tcW w:w="6911" w:type="dxa"/>
          </w:tcPr>
          <w:p w14:paraId="0540DFA7" w14:textId="593D7917" w:rsidR="00404916" w:rsidRDefault="00404916" w:rsidP="000D5F80">
            <w:r>
              <w:t xml:space="preserve">Complete </w:t>
            </w:r>
            <w:r w:rsidR="00050F5E">
              <w:t>remission d</w:t>
            </w:r>
            <w:r>
              <w:t>uration</w:t>
            </w:r>
          </w:p>
        </w:tc>
      </w:tr>
      <w:tr w:rsidR="00404916" w:rsidRPr="00FD119B" w14:paraId="2214B40D" w14:textId="77777777" w:rsidTr="000D5F80">
        <w:tc>
          <w:tcPr>
            <w:tcW w:w="1809" w:type="dxa"/>
          </w:tcPr>
          <w:p w14:paraId="743A8589" w14:textId="77777777" w:rsidR="00404916" w:rsidRDefault="00404916" w:rsidP="000D5F80">
            <w:r>
              <w:t>DFS</w:t>
            </w:r>
          </w:p>
        </w:tc>
        <w:tc>
          <w:tcPr>
            <w:tcW w:w="6911" w:type="dxa"/>
          </w:tcPr>
          <w:p w14:paraId="0421DC7F" w14:textId="19AC8120" w:rsidR="00404916" w:rsidRDefault="00404916" w:rsidP="00400300">
            <w:pPr>
              <w:rPr>
                <w:color w:val="auto"/>
                <w:szCs w:val="22"/>
                <w:lang w:eastAsia="en-US"/>
              </w:rPr>
            </w:pPr>
            <w:r>
              <w:t xml:space="preserve">Disease-free </w:t>
            </w:r>
            <w:r w:rsidR="00050F5E">
              <w:t>s</w:t>
            </w:r>
            <w:r>
              <w:t>urvival</w:t>
            </w:r>
          </w:p>
        </w:tc>
      </w:tr>
      <w:tr w:rsidR="00404916" w:rsidRPr="00FD119B" w14:paraId="496A2B53" w14:textId="77777777" w:rsidTr="000D5F80">
        <w:tc>
          <w:tcPr>
            <w:tcW w:w="1809" w:type="dxa"/>
          </w:tcPr>
          <w:p w14:paraId="0F4C2E3E" w14:textId="77777777" w:rsidR="00404916" w:rsidRDefault="00404916" w:rsidP="000D5F80">
            <w:r>
              <w:t>DVT</w:t>
            </w:r>
          </w:p>
        </w:tc>
        <w:tc>
          <w:tcPr>
            <w:tcW w:w="6911" w:type="dxa"/>
          </w:tcPr>
          <w:p w14:paraId="7896B9FE" w14:textId="77777777" w:rsidR="00404916" w:rsidRDefault="00404916" w:rsidP="000D5F80">
            <w:r>
              <w:t>Deep vein thrombosis</w:t>
            </w:r>
          </w:p>
        </w:tc>
      </w:tr>
      <w:tr w:rsidR="00404916" w:rsidRPr="00FD119B" w14:paraId="480C9038" w14:textId="77777777" w:rsidTr="000D5F80">
        <w:tc>
          <w:tcPr>
            <w:tcW w:w="1809" w:type="dxa"/>
          </w:tcPr>
          <w:p w14:paraId="090CF821" w14:textId="77777777" w:rsidR="00404916" w:rsidRDefault="00404916" w:rsidP="000D5F80">
            <w:r>
              <w:rPr>
                <w:lang w:eastAsia="ja-JP"/>
              </w:rPr>
              <w:t>EB05</w:t>
            </w:r>
          </w:p>
        </w:tc>
        <w:tc>
          <w:tcPr>
            <w:tcW w:w="6911" w:type="dxa"/>
          </w:tcPr>
          <w:p w14:paraId="5197CFD2" w14:textId="77777777" w:rsidR="00404916" w:rsidRDefault="00404916" w:rsidP="000D5F80">
            <w:r>
              <w:rPr>
                <w:lang w:eastAsia="ja-JP"/>
              </w:rPr>
              <w:t>Empirical Bayesian 5%</w:t>
            </w:r>
          </w:p>
        </w:tc>
      </w:tr>
      <w:tr w:rsidR="00404916" w:rsidRPr="00FD119B" w14:paraId="34BEFB41" w14:textId="77777777" w:rsidTr="000D5F80">
        <w:tc>
          <w:tcPr>
            <w:tcW w:w="1809" w:type="dxa"/>
          </w:tcPr>
          <w:p w14:paraId="25058186" w14:textId="77777777" w:rsidR="00404916" w:rsidRDefault="00404916" w:rsidP="000D5F80">
            <w:pPr>
              <w:rPr>
                <w:lang w:eastAsia="ja-JP"/>
              </w:rPr>
            </w:pPr>
            <w:r>
              <w:rPr>
                <w:lang w:eastAsia="ja-JP"/>
              </w:rPr>
              <w:t>EB95</w:t>
            </w:r>
          </w:p>
        </w:tc>
        <w:tc>
          <w:tcPr>
            <w:tcW w:w="6911" w:type="dxa"/>
          </w:tcPr>
          <w:p w14:paraId="5F46A89A" w14:textId="77777777" w:rsidR="00404916" w:rsidRDefault="00404916" w:rsidP="000D5F80">
            <w:r>
              <w:rPr>
                <w:lang w:eastAsia="ja-JP"/>
              </w:rPr>
              <w:t>Empirical Bayesian 95%</w:t>
            </w:r>
          </w:p>
        </w:tc>
      </w:tr>
      <w:tr w:rsidR="00404916" w:rsidRPr="00FD119B" w14:paraId="7F5AEF53" w14:textId="77777777" w:rsidTr="000D5F80">
        <w:tc>
          <w:tcPr>
            <w:tcW w:w="1809" w:type="dxa"/>
          </w:tcPr>
          <w:p w14:paraId="1DB9C841" w14:textId="77777777" w:rsidR="00404916" w:rsidRDefault="00404916" w:rsidP="000D5F80">
            <w:r>
              <w:rPr>
                <w:lang w:eastAsia="ja-JP"/>
              </w:rPr>
              <w:t>EBGM</w:t>
            </w:r>
          </w:p>
        </w:tc>
        <w:tc>
          <w:tcPr>
            <w:tcW w:w="6911" w:type="dxa"/>
          </w:tcPr>
          <w:p w14:paraId="7B441EB5" w14:textId="6F7D3C67" w:rsidR="00404916" w:rsidRDefault="00404916" w:rsidP="000D5F80">
            <w:r>
              <w:rPr>
                <w:lang w:eastAsia="ja-JP"/>
              </w:rPr>
              <w:t xml:space="preserve">Empirical Bayesian </w:t>
            </w:r>
            <w:r w:rsidR="00050F5E">
              <w:rPr>
                <w:lang w:eastAsia="ja-JP"/>
              </w:rPr>
              <w:t>geometric m</w:t>
            </w:r>
            <w:r>
              <w:rPr>
                <w:lang w:eastAsia="ja-JP"/>
              </w:rPr>
              <w:t>ean</w:t>
            </w:r>
          </w:p>
        </w:tc>
      </w:tr>
      <w:tr w:rsidR="00404916" w:rsidRPr="00FD119B" w14:paraId="5ECD6DE9" w14:textId="77777777" w:rsidTr="000D5F80">
        <w:tc>
          <w:tcPr>
            <w:tcW w:w="1809" w:type="dxa"/>
          </w:tcPr>
          <w:p w14:paraId="5E9C40CE" w14:textId="77777777" w:rsidR="00404916" w:rsidRDefault="00404916" w:rsidP="000D5F80">
            <w:r>
              <w:t>ECOG</w:t>
            </w:r>
          </w:p>
        </w:tc>
        <w:tc>
          <w:tcPr>
            <w:tcW w:w="6911" w:type="dxa"/>
          </w:tcPr>
          <w:p w14:paraId="2B6F1034" w14:textId="51E4F989" w:rsidR="00404916" w:rsidRDefault="00404916" w:rsidP="000D5F80">
            <w:r>
              <w:t xml:space="preserve">Eastern </w:t>
            </w:r>
            <w:r w:rsidR="000D5F80">
              <w:t>C</w:t>
            </w:r>
            <w:r w:rsidR="00050F5E">
              <w:t xml:space="preserve">ooperative </w:t>
            </w:r>
            <w:r w:rsidR="000D5F80">
              <w:t>O</w:t>
            </w:r>
            <w:r w:rsidR="00050F5E">
              <w:t xml:space="preserve">ncology </w:t>
            </w:r>
            <w:r w:rsidR="000D5F80">
              <w:t>G</w:t>
            </w:r>
            <w:r w:rsidR="00050F5E">
              <w:t>roup</w:t>
            </w:r>
          </w:p>
        </w:tc>
      </w:tr>
      <w:tr w:rsidR="00404916" w:rsidRPr="00FD119B" w14:paraId="016318CE" w14:textId="77777777" w:rsidTr="000D5F80">
        <w:tc>
          <w:tcPr>
            <w:tcW w:w="1809" w:type="dxa"/>
          </w:tcPr>
          <w:p w14:paraId="09FE6761" w14:textId="77777777" w:rsidR="00404916" w:rsidRDefault="00404916" w:rsidP="000D5F80">
            <w:r w:rsidRPr="00AA3C7C">
              <w:t>EFS</w:t>
            </w:r>
          </w:p>
        </w:tc>
        <w:tc>
          <w:tcPr>
            <w:tcW w:w="6911" w:type="dxa"/>
          </w:tcPr>
          <w:p w14:paraId="7FD09EA5" w14:textId="77777777" w:rsidR="00404916" w:rsidRDefault="00404916" w:rsidP="000D5F80">
            <w:r>
              <w:t>Event free survival</w:t>
            </w:r>
          </w:p>
        </w:tc>
      </w:tr>
      <w:tr w:rsidR="00404916" w:rsidRPr="00FD119B" w14:paraId="33C885CF" w14:textId="77777777" w:rsidTr="000D5F80">
        <w:tc>
          <w:tcPr>
            <w:tcW w:w="1809" w:type="dxa"/>
          </w:tcPr>
          <w:p w14:paraId="51BB49DD" w14:textId="77777777" w:rsidR="00404916" w:rsidRPr="00AA3C7C" w:rsidRDefault="00404916" w:rsidP="000D5F80">
            <w:r w:rsidRPr="00AF3950">
              <w:t>E</w:t>
            </w:r>
            <w:r>
              <w:t>SMO</w:t>
            </w:r>
          </w:p>
        </w:tc>
        <w:tc>
          <w:tcPr>
            <w:tcW w:w="6911" w:type="dxa"/>
          </w:tcPr>
          <w:p w14:paraId="190D7184" w14:textId="5A15DFB2" w:rsidR="00404916" w:rsidRDefault="00404916" w:rsidP="000D5F80">
            <w:r>
              <w:t xml:space="preserve">European </w:t>
            </w:r>
            <w:r w:rsidR="000D5F80">
              <w:t>S</w:t>
            </w:r>
            <w:r w:rsidR="00050F5E">
              <w:t xml:space="preserve">ociety for </w:t>
            </w:r>
            <w:r w:rsidR="000D5F80">
              <w:t>M</w:t>
            </w:r>
            <w:r w:rsidR="00050F5E">
              <w:t xml:space="preserve">edical </w:t>
            </w:r>
            <w:r w:rsidR="000D5F80">
              <w:t>O</w:t>
            </w:r>
            <w:r w:rsidR="00050F5E">
              <w:t>ncology</w:t>
            </w:r>
          </w:p>
        </w:tc>
      </w:tr>
      <w:tr w:rsidR="00F23F71" w:rsidRPr="00FD119B" w14:paraId="64522E60" w14:textId="77777777" w:rsidTr="000D5F80">
        <w:tc>
          <w:tcPr>
            <w:tcW w:w="1809" w:type="dxa"/>
          </w:tcPr>
          <w:p w14:paraId="3D510953" w14:textId="3FC9F437" w:rsidR="00F23F71" w:rsidRPr="00AF3950" w:rsidRDefault="00F23F71" w:rsidP="000D5F80">
            <w:r>
              <w:t>EU</w:t>
            </w:r>
          </w:p>
        </w:tc>
        <w:tc>
          <w:tcPr>
            <w:tcW w:w="6911" w:type="dxa"/>
          </w:tcPr>
          <w:p w14:paraId="68DF9489" w14:textId="41AAA591" w:rsidR="00F23F71" w:rsidRDefault="00F23F71" w:rsidP="000D5F80">
            <w:r>
              <w:t>European Union</w:t>
            </w:r>
          </w:p>
        </w:tc>
      </w:tr>
      <w:tr w:rsidR="00404916" w:rsidRPr="00FD119B" w14:paraId="2AE8DEA7" w14:textId="77777777" w:rsidTr="000D5F80">
        <w:tc>
          <w:tcPr>
            <w:tcW w:w="1809" w:type="dxa"/>
          </w:tcPr>
          <w:p w14:paraId="2EC21A29" w14:textId="77777777" w:rsidR="00404916" w:rsidRDefault="00404916" w:rsidP="000D5F80">
            <w:r>
              <w:rPr>
                <w:lang w:eastAsia="ja-JP"/>
              </w:rPr>
              <w:t>FAERS</w:t>
            </w:r>
          </w:p>
        </w:tc>
        <w:tc>
          <w:tcPr>
            <w:tcW w:w="6911" w:type="dxa"/>
          </w:tcPr>
          <w:p w14:paraId="67726711" w14:textId="14338FF3" w:rsidR="00404916" w:rsidRDefault="00404916" w:rsidP="000D5F80">
            <w:r>
              <w:rPr>
                <w:lang w:eastAsia="ja-JP"/>
              </w:rPr>
              <w:t>F</w:t>
            </w:r>
            <w:r w:rsidR="000D5F80">
              <w:rPr>
                <w:lang w:eastAsia="ja-JP"/>
              </w:rPr>
              <w:t xml:space="preserve">ood and Drug Administration </w:t>
            </w:r>
            <w:r>
              <w:rPr>
                <w:lang w:eastAsia="ja-JP"/>
              </w:rPr>
              <w:t>adverse event reporting system</w:t>
            </w:r>
          </w:p>
        </w:tc>
      </w:tr>
      <w:tr w:rsidR="000D5F80" w:rsidRPr="00FD119B" w14:paraId="59B40862" w14:textId="77777777" w:rsidTr="000D5F80">
        <w:tc>
          <w:tcPr>
            <w:tcW w:w="1809" w:type="dxa"/>
          </w:tcPr>
          <w:p w14:paraId="4104FC4F" w14:textId="5EE9DD5A" w:rsidR="000D5F80" w:rsidRDefault="000D5F80" w:rsidP="000D5F80">
            <w:pPr>
              <w:rPr>
                <w:lang w:eastAsia="ja-JP"/>
              </w:rPr>
            </w:pPr>
            <w:r>
              <w:rPr>
                <w:lang w:eastAsia="ja-JP"/>
              </w:rPr>
              <w:t>FDA</w:t>
            </w:r>
          </w:p>
        </w:tc>
        <w:tc>
          <w:tcPr>
            <w:tcW w:w="6911" w:type="dxa"/>
          </w:tcPr>
          <w:p w14:paraId="77502BFA" w14:textId="4CDDBEB4" w:rsidR="000D5F80" w:rsidRDefault="000D5F80" w:rsidP="000D5F80">
            <w:pPr>
              <w:rPr>
                <w:lang w:eastAsia="ja-JP"/>
              </w:rPr>
            </w:pPr>
            <w:r>
              <w:rPr>
                <w:lang w:eastAsia="ja-JP"/>
              </w:rPr>
              <w:t>Food and Drug Administration (US)</w:t>
            </w:r>
          </w:p>
        </w:tc>
      </w:tr>
      <w:tr w:rsidR="00404916" w:rsidRPr="00FD119B" w14:paraId="5E917595" w14:textId="77777777" w:rsidTr="000D5F80">
        <w:tc>
          <w:tcPr>
            <w:tcW w:w="1809" w:type="dxa"/>
          </w:tcPr>
          <w:p w14:paraId="42B28096" w14:textId="77777777" w:rsidR="00404916" w:rsidRDefault="00404916" w:rsidP="000D5F80">
            <w:r>
              <w:t>GI</w:t>
            </w:r>
          </w:p>
        </w:tc>
        <w:tc>
          <w:tcPr>
            <w:tcW w:w="6911" w:type="dxa"/>
          </w:tcPr>
          <w:p w14:paraId="54FBE51D" w14:textId="77777777" w:rsidR="00404916" w:rsidRDefault="00404916" w:rsidP="000D5F80">
            <w:r>
              <w:t>Gastro intestinal</w:t>
            </w:r>
          </w:p>
        </w:tc>
      </w:tr>
      <w:tr w:rsidR="00404916" w:rsidRPr="00FD119B" w14:paraId="4E374DBF" w14:textId="77777777" w:rsidTr="000D5F80">
        <w:tc>
          <w:tcPr>
            <w:tcW w:w="1809" w:type="dxa"/>
          </w:tcPr>
          <w:p w14:paraId="0D58AC20" w14:textId="77777777" w:rsidR="00404916" w:rsidRDefault="00404916" w:rsidP="000D5F80">
            <w:r>
              <w:lastRenderedPageBreak/>
              <w:t>GU</w:t>
            </w:r>
          </w:p>
        </w:tc>
        <w:tc>
          <w:tcPr>
            <w:tcW w:w="6911" w:type="dxa"/>
          </w:tcPr>
          <w:p w14:paraId="1DCFF6AF" w14:textId="77777777" w:rsidR="00404916" w:rsidRDefault="00404916" w:rsidP="000D5F80">
            <w:r>
              <w:t>Genital urinary</w:t>
            </w:r>
          </w:p>
        </w:tc>
      </w:tr>
      <w:tr w:rsidR="00404916" w:rsidRPr="00FD119B" w14:paraId="7E562226" w14:textId="77777777" w:rsidTr="000D5F80">
        <w:tc>
          <w:tcPr>
            <w:tcW w:w="1809" w:type="dxa"/>
          </w:tcPr>
          <w:p w14:paraId="3AAE7EBD" w14:textId="77777777" w:rsidR="00404916" w:rsidRDefault="00404916" w:rsidP="000D5F80">
            <w:r>
              <w:t>HCVAD</w:t>
            </w:r>
          </w:p>
        </w:tc>
        <w:tc>
          <w:tcPr>
            <w:tcW w:w="6911" w:type="dxa"/>
          </w:tcPr>
          <w:p w14:paraId="5340F725" w14:textId="77777777" w:rsidR="00404916" w:rsidRDefault="00404916" w:rsidP="000D5F80">
            <w:r>
              <w:t>Hyper-CVAD chemotherapy: cyclophosphamide, vincristine, doxorubicin and dexamethasone</w:t>
            </w:r>
          </w:p>
        </w:tc>
      </w:tr>
      <w:tr w:rsidR="00404916" w:rsidRPr="00FD119B" w14:paraId="64E2D1F2" w14:textId="77777777" w:rsidTr="000D5F80">
        <w:tc>
          <w:tcPr>
            <w:tcW w:w="1809" w:type="dxa"/>
          </w:tcPr>
          <w:p w14:paraId="49691898" w14:textId="77777777" w:rsidR="00404916" w:rsidRDefault="00404916" w:rsidP="000D5F80">
            <w:r w:rsidRPr="00B26270">
              <w:t>IGH PCR</w:t>
            </w:r>
          </w:p>
        </w:tc>
        <w:tc>
          <w:tcPr>
            <w:tcW w:w="6911" w:type="dxa"/>
          </w:tcPr>
          <w:p w14:paraId="5FE164BF" w14:textId="73C8E007" w:rsidR="00404916" w:rsidRDefault="00404916" w:rsidP="000D5F80">
            <w:r>
              <w:t xml:space="preserve">Immunoglobulin </w:t>
            </w:r>
            <w:r w:rsidR="00050F5E">
              <w:t>heavy chain polymerase chain reaction</w:t>
            </w:r>
          </w:p>
        </w:tc>
      </w:tr>
      <w:tr w:rsidR="00404916" w:rsidRPr="00FD119B" w14:paraId="2D864A82" w14:textId="77777777" w:rsidTr="000D5F80">
        <w:tc>
          <w:tcPr>
            <w:tcW w:w="1809" w:type="dxa"/>
          </w:tcPr>
          <w:p w14:paraId="6C9D1398" w14:textId="77777777" w:rsidR="00404916" w:rsidRDefault="00404916" w:rsidP="000D5F80">
            <w:r>
              <w:rPr>
                <w:lang w:eastAsia="ja-JP"/>
              </w:rPr>
              <w:t>MedDRA</w:t>
            </w:r>
          </w:p>
        </w:tc>
        <w:tc>
          <w:tcPr>
            <w:tcW w:w="6911" w:type="dxa"/>
          </w:tcPr>
          <w:p w14:paraId="61059086" w14:textId="57DC52E5" w:rsidR="00404916" w:rsidRPr="00BB4D43" w:rsidRDefault="00404916" w:rsidP="000D5F80">
            <w:r w:rsidRPr="00BB4D43">
              <w:t xml:space="preserve">Medical </w:t>
            </w:r>
            <w:r w:rsidR="00050F5E" w:rsidRPr="00BB4D43">
              <w:t>dictionary for regulatory activities</w:t>
            </w:r>
          </w:p>
        </w:tc>
      </w:tr>
      <w:tr w:rsidR="00404916" w:rsidRPr="00FD119B" w14:paraId="6DF57CA3" w14:textId="77777777" w:rsidTr="000D5F80">
        <w:tc>
          <w:tcPr>
            <w:tcW w:w="1809" w:type="dxa"/>
          </w:tcPr>
          <w:p w14:paraId="13E5314D" w14:textId="77777777" w:rsidR="00404916" w:rsidRPr="0079571B" w:rsidRDefault="00404916" w:rsidP="000D5F80">
            <w:r w:rsidRPr="0079571B">
              <w:t>MFC</w:t>
            </w:r>
          </w:p>
        </w:tc>
        <w:tc>
          <w:tcPr>
            <w:tcW w:w="6911" w:type="dxa"/>
          </w:tcPr>
          <w:p w14:paraId="5AA102CE" w14:textId="77777777" w:rsidR="00404916" w:rsidRDefault="00404916" w:rsidP="000D5F80">
            <w:r>
              <w:t>Multi-parameter flow cytometry</w:t>
            </w:r>
          </w:p>
        </w:tc>
      </w:tr>
      <w:tr w:rsidR="00404916" w:rsidRPr="00FD119B" w14:paraId="14CF2BE5" w14:textId="77777777" w:rsidTr="000D5F80">
        <w:tc>
          <w:tcPr>
            <w:tcW w:w="1809" w:type="dxa"/>
          </w:tcPr>
          <w:p w14:paraId="7DBB7751" w14:textId="77777777" w:rsidR="00404916" w:rsidRPr="0079571B" w:rsidRDefault="00404916" w:rsidP="000D5F80">
            <w:r>
              <w:rPr>
                <w:lang w:eastAsia="ja-JP"/>
              </w:rPr>
              <w:t>MGPS</w:t>
            </w:r>
          </w:p>
        </w:tc>
        <w:tc>
          <w:tcPr>
            <w:tcW w:w="6911" w:type="dxa"/>
          </w:tcPr>
          <w:p w14:paraId="1BDD533E" w14:textId="77777777" w:rsidR="00404916" w:rsidRDefault="00404916" w:rsidP="000D5F80">
            <w:r>
              <w:rPr>
                <w:lang w:eastAsia="ja-JP"/>
              </w:rPr>
              <w:t>Multi-Item Gamma Poisson Shrinker</w:t>
            </w:r>
          </w:p>
        </w:tc>
      </w:tr>
      <w:tr w:rsidR="00404916" w:rsidRPr="00FD119B" w14:paraId="418DC754" w14:textId="77777777" w:rsidTr="000D5F80">
        <w:tc>
          <w:tcPr>
            <w:tcW w:w="1809" w:type="dxa"/>
          </w:tcPr>
          <w:p w14:paraId="6AD3B6C6" w14:textId="77777777" w:rsidR="00404916" w:rsidRDefault="00404916" w:rsidP="000D5F80">
            <w:r>
              <w:t>MMR</w:t>
            </w:r>
          </w:p>
        </w:tc>
        <w:tc>
          <w:tcPr>
            <w:tcW w:w="6911" w:type="dxa"/>
          </w:tcPr>
          <w:p w14:paraId="5717A7D0" w14:textId="513261E2" w:rsidR="00404916" w:rsidRDefault="00404916" w:rsidP="000D5F80">
            <w:r>
              <w:t xml:space="preserve">Major </w:t>
            </w:r>
            <w:r w:rsidR="00050F5E">
              <w:t>molecular respon</w:t>
            </w:r>
            <w:r>
              <w:t>se</w:t>
            </w:r>
          </w:p>
        </w:tc>
      </w:tr>
      <w:tr w:rsidR="00404916" w:rsidRPr="00FD119B" w14:paraId="79DF03BB" w14:textId="77777777" w:rsidTr="000D5F80">
        <w:tc>
          <w:tcPr>
            <w:tcW w:w="1809" w:type="dxa"/>
          </w:tcPr>
          <w:p w14:paraId="7724C983" w14:textId="77777777" w:rsidR="00404916" w:rsidRDefault="00404916" w:rsidP="000D5F80">
            <w:r>
              <w:t>MRD</w:t>
            </w:r>
          </w:p>
        </w:tc>
        <w:tc>
          <w:tcPr>
            <w:tcW w:w="6911" w:type="dxa"/>
          </w:tcPr>
          <w:p w14:paraId="5953AB49" w14:textId="3D72BCB8" w:rsidR="00404916" w:rsidRDefault="00404916" w:rsidP="000D5F80">
            <w:r>
              <w:t xml:space="preserve">Minimal </w:t>
            </w:r>
            <w:r w:rsidR="00050F5E">
              <w:t>residual disease</w:t>
            </w:r>
          </w:p>
        </w:tc>
      </w:tr>
      <w:tr w:rsidR="00404916" w:rsidRPr="00FD119B" w14:paraId="0D99F1D9" w14:textId="77777777" w:rsidTr="000D5F80">
        <w:tc>
          <w:tcPr>
            <w:tcW w:w="1809" w:type="dxa"/>
          </w:tcPr>
          <w:p w14:paraId="7B9F1291" w14:textId="77777777" w:rsidR="00404916" w:rsidRDefault="00404916" w:rsidP="000D5F80">
            <w:r w:rsidRPr="00AF3950">
              <w:t>NCCN</w:t>
            </w:r>
          </w:p>
        </w:tc>
        <w:tc>
          <w:tcPr>
            <w:tcW w:w="6911" w:type="dxa"/>
          </w:tcPr>
          <w:p w14:paraId="20984BA0" w14:textId="7B91A48E" w:rsidR="00404916" w:rsidRPr="00166605" w:rsidRDefault="00404916" w:rsidP="000D5F80">
            <w:r w:rsidRPr="00166605">
              <w:t xml:space="preserve">National </w:t>
            </w:r>
            <w:r w:rsidR="000D5F80">
              <w:t>C</w:t>
            </w:r>
            <w:r w:rsidR="00050F5E" w:rsidRPr="00166605">
              <w:t xml:space="preserve">omprehensive </w:t>
            </w:r>
            <w:r w:rsidR="000D5F80">
              <w:t>C</w:t>
            </w:r>
            <w:r w:rsidR="00050F5E" w:rsidRPr="00166605">
              <w:t xml:space="preserve">ancer </w:t>
            </w:r>
            <w:r w:rsidR="000D5F80">
              <w:t>N</w:t>
            </w:r>
            <w:r w:rsidR="00050F5E" w:rsidRPr="00166605">
              <w:t>etwork</w:t>
            </w:r>
          </w:p>
        </w:tc>
      </w:tr>
      <w:tr w:rsidR="00404916" w:rsidRPr="00FD119B" w14:paraId="7CD318CC" w14:textId="77777777" w:rsidTr="000D5F80">
        <w:tc>
          <w:tcPr>
            <w:tcW w:w="1809" w:type="dxa"/>
          </w:tcPr>
          <w:p w14:paraId="65DFD890" w14:textId="77777777" w:rsidR="00404916" w:rsidRDefault="00404916" w:rsidP="000D5F80">
            <w:r w:rsidRPr="00C947F3">
              <w:t>NR</w:t>
            </w:r>
          </w:p>
        </w:tc>
        <w:tc>
          <w:tcPr>
            <w:tcW w:w="6911" w:type="dxa"/>
          </w:tcPr>
          <w:p w14:paraId="5783F822" w14:textId="77777777" w:rsidR="00404916" w:rsidRDefault="00404916" w:rsidP="000D5F80">
            <w:r>
              <w:t>Not recorded</w:t>
            </w:r>
          </w:p>
        </w:tc>
      </w:tr>
      <w:tr w:rsidR="00404916" w:rsidRPr="00FD119B" w14:paraId="5BC9ADF7" w14:textId="77777777" w:rsidTr="000D5F80">
        <w:tc>
          <w:tcPr>
            <w:tcW w:w="1809" w:type="dxa"/>
          </w:tcPr>
          <w:p w14:paraId="496B5241" w14:textId="77777777" w:rsidR="00404916" w:rsidRDefault="00404916" w:rsidP="000D5F80">
            <w:r>
              <w:t>OS</w:t>
            </w:r>
          </w:p>
        </w:tc>
        <w:tc>
          <w:tcPr>
            <w:tcW w:w="6911" w:type="dxa"/>
          </w:tcPr>
          <w:p w14:paraId="353F631A" w14:textId="04BC2DD8" w:rsidR="00404916" w:rsidRDefault="00404916" w:rsidP="00400300">
            <w:pPr>
              <w:rPr>
                <w:color w:val="auto"/>
                <w:szCs w:val="22"/>
                <w:lang w:eastAsia="en-US"/>
              </w:rPr>
            </w:pPr>
            <w:r>
              <w:t xml:space="preserve">Overall </w:t>
            </w:r>
            <w:r w:rsidR="00050F5E">
              <w:t>s</w:t>
            </w:r>
            <w:r>
              <w:t>urvival</w:t>
            </w:r>
          </w:p>
        </w:tc>
      </w:tr>
      <w:tr w:rsidR="00404916" w:rsidRPr="00FD119B" w14:paraId="739B0C84" w14:textId="77777777" w:rsidTr="000D5F80">
        <w:tc>
          <w:tcPr>
            <w:tcW w:w="1809" w:type="dxa"/>
          </w:tcPr>
          <w:p w14:paraId="6323CE8B" w14:textId="77777777" w:rsidR="00404916" w:rsidRDefault="00404916" w:rsidP="000D5F80">
            <w:r>
              <w:t>PAD</w:t>
            </w:r>
          </w:p>
        </w:tc>
        <w:tc>
          <w:tcPr>
            <w:tcW w:w="6911" w:type="dxa"/>
          </w:tcPr>
          <w:p w14:paraId="6FB7A753" w14:textId="77777777" w:rsidR="00404916" w:rsidRDefault="00404916" w:rsidP="000D5F80">
            <w:r>
              <w:t>Peripheral arterial disease</w:t>
            </w:r>
          </w:p>
        </w:tc>
      </w:tr>
      <w:tr w:rsidR="00404916" w:rsidRPr="00FD119B" w14:paraId="76D81DFD" w14:textId="77777777" w:rsidTr="000D5F80">
        <w:tc>
          <w:tcPr>
            <w:tcW w:w="1809" w:type="dxa"/>
          </w:tcPr>
          <w:p w14:paraId="1E3C1D6A" w14:textId="77777777" w:rsidR="00404916" w:rsidRDefault="00404916" w:rsidP="000D5F80">
            <w:r>
              <w:rPr>
                <w:lang w:eastAsia="ja-JP"/>
              </w:rPr>
              <w:t>PAH</w:t>
            </w:r>
          </w:p>
        </w:tc>
        <w:tc>
          <w:tcPr>
            <w:tcW w:w="6911" w:type="dxa"/>
          </w:tcPr>
          <w:p w14:paraId="03412FEC" w14:textId="1D62D1C0" w:rsidR="00404916" w:rsidRDefault="000D5F80" w:rsidP="000D5F80">
            <w:r>
              <w:rPr>
                <w:lang w:eastAsia="ja-JP"/>
              </w:rPr>
              <w:t>P</w:t>
            </w:r>
            <w:r w:rsidR="00404916">
              <w:rPr>
                <w:lang w:eastAsia="ja-JP"/>
              </w:rPr>
              <w:t>ulmonary arterial hypertension</w:t>
            </w:r>
          </w:p>
        </w:tc>
      </w:tr>
      <w:tr w:rsidR="00404916" w:rsidRPr="00FD119B" w14:paraId="56E6981F" w14:textId="77777777" w:rsidTr="000D5F80">
        <w:tc>
          <w:tcPr>
            <w:tcW w:w="1809" w:type="dxa"/>
          </w:tcPr>
          <w:p w14:paraId="5C036806" w14:textId="77777777" w:rsidR="00404916" w:rsidRDefault="00404916" w:rsidP="000D5F80">
            <w:r>
              <w:t>PCR</w:t>
            </w:r>
          </w:p>
        </w:tc>
        <w:tc>
          <w:tcPr>
            <w:tcW w:w="6911" w:type="dxa"/>
          </w:tcPr>
          <w:p w14:paraId="09BA9B5B" w14:textId="61372CCB" w:rsidR="00404916" w:rsidRDefault="00404916" w:rsidP="000D5F80">
            <w:r>
              <w:t xml:space="preserve">Polymerase </w:t>
            </w:r>
            <w:r w:rsidR="00050F5E">
              <w:t>chain reaction</w:t>
            </w:r>
          </w:p>
        </w:tc>
      </w:tr>
      <w:tr w:rsidR="00404916" w:rsidRPr="00FD119B" w14:paraId="47906AFB" w14:textId="77777777" w:rsidTr="000D5F80">
        <w:tc>
          <w:tcPr>
            <w:tcW w:w="1809" w:type="dxa"/>
          </w:tcPr>
          <w:p w14:paraId="6766C197" w14:textId="77777777" w:rsidR="00404916" w:rsidRDefault="00404916" w:rsidP="000D5F80">
            <w:r w:rsidRPr="002B11F8">
              <w:t>Ph</w:t>
            </w:r>
            <w:r w:rsidRPr="0079571B">
              <w:rPr>
                <w:vertAlign w:val="superscript"/>
              </w:rPr>
              <w:t>+</w:t>
            </w:r>
            <w:r w:rsidRPr="002B11F8">
              <w:t xml:space="preserve"> ALL</w:t>
            </w:r>
          </w:p>
        </w:tc>
        <w:tc>
          <w:tcPr>
            <w:tcW w:w="6911" w:type="dxa"/>
          </w:tcPr>
          <w:p w14:paraId="6C1DA002" w14:textId="77777777" w:rsidR="00404916" w:rsidRDefault="00404916" w:rsidP="000D5F80">
            <w:r w:rsidRPr="002B11F8">
              <w:t>Philad</w:t>
            </w:r>
            <w:r>
              <w:t>elphia chromosome positive ALL</w:t>
            </w:r>
          </w:p>
        </w:tc>
      </w:tr>
      <w:tr w:rsidR="00F23F71" w:rsidRPr="00FD119B" w14:paraId="464CC1D3" w14:textId="77777777" w:rsidTr="000D5F80">
        <w:tc>
          <w:tcPr>
            <w:tcW w:w="1809" w:type="dxa"/>
          </w:tcPr>
          <w:p w14:paraId="115C35D1" w14:textId="09B4A47B" w:rsidR="00F23F71" w:rsidRPr="002B11F8" w:rsidRDefault="00F23F71" w:rsidP="000D5F80">
            <w:r>
              <w:t>PBRER</w:t>
            </w:r>
          </w:p>
        </w:tc>
        <w:tc>
          <w:tcPr>
            <w:tcW w:w="6911" w:type="dxa"/>
          </w:tcPr>
          <w:p w14:paraId="198960A1" w14:textId="7216BA94" w:rsidR="00F23F71" w:rsidRPr="002B11F8" w:rsidRDefault="00F23F71" w:rsidP="000D5F80">
            <w:r>
              <w:t>Periodic benefit risk evaluation report</w:t>
            </w:r>
          </w:p>
        </w:tc>
      </w:tr>
      <w:tr w:rsidR="00404916" w:rsidRPr="00FD119B" w14:paraId="19C990DF" w14:textId="77777777" w:rsidTr="000D5F80">
        <w:tc>
          <w:tcPr>
            <w:tcW w:w="1809" w:type="dxa"/>
          </w:tcPr>
          <w:p w14:paraId="0A64FB93" w14:textId="34BFC770" w:rsidR="00404916" w:rsidRPr="002B11F8" w:rsidRDefault="00404916" w:rsidP="000D5F80">
            <w:r w:rsidRPr="00F710D5">
              <w:t>PSUR</w:t>
            </w:r>
          </w:p>
        </w:tc>
        <w:tc>
          <w:tcPr>
            <w:tcW w:w="6911" w:type="dxa"/>
          </w:tcPr>
          <w:p w14:paraId="5F13E874" w14:textId="7256D108" w:rsidR="00404916" w:rsidRPr="002B11F8" w:rsidRDefault="00404916" w:rsidP="00F23F71">
            <w:r>
              <w:t xml:space="preserve">Periodic </w:t>
            </w:r>
            <w:r w:rsidR="00F23F71">
              <w:t>s</w:t>
            </w:r>
            <w:r w:rsidR="00050F5E">
              <w:t xml:space="preserve">afety </w:t>
            </w:r>
            <w:r w:rsidR="00F23F71">
              <w:t>u</w:t>
            </w:r>
            <w:r w:rsidR="00050F5E">
              <w:t xml:space="preserve">pdate </w:t>
            </w:r>
            <w:r w:rsidR="00F23F71">
              <w:t>r</w:t>
            </w:r>
            <w:r w:rsidR="00050F5E">
              <w:t>eport</w:t>
            </w:r>
          </w:p>
        </w:tc>
      </w:tr>
      <w:tr w:rsidR="00404916" w:rsidRPr="00FD119B" w14:paraId="095FCA62" w14:textId="77777777" w:rsidTr="000D5F80">
        <w:tc>
          <w:tcPr>
            <w:tcW w:w="1809" w:type="dxa"/>
          </w:tcPr>
          <w:p w14:paraId="64C76F9C" w14:textId="77777777" w:rsidR="00404916" w:rsidRPr="002B11F8" w:rsidRDefault="00404916" w:rsidP="000D5F80">
            <w:r>
              <w:t>QD</w:t>
            </w:r>
          </w:p>
        </w:tc>
        <w:tc>
          <w:tcPr>
            <w:tcW w:w="6911" w:type="dxa"/>
          </w:tcPr>
          <w:p w14:paraId="5211A124" w14:textId="77777777" w:rsidR="00404916" w:rsidRPr="002B11F8" w:rsidRDefault="00404916" w:rsidP="000D5F80">
            <w:r>
              <w:t>Once daily</w:t>
            </w:r>
          </w:p>
        </w:tc>
      </w:tr>
      <w:tr w:rsidR="00404916" w:rsidRPr="00FD119B" w14:paraId="3314F653" w14:textId="77777777" w:rsidTr="000D5F80">
        <w:tc>
          <w:tcPr>
            <w:tcW w:w="1809" w:type="dxa"/>
          </w:tcPr>
          <w:p w14:paraId="3AE3BF15" w14:textId="77777777" w:rsidR="00404916" w:rsidRDefault="00404916" w:rsidP="000D5F80">
            <w:r>
              <w:t>RFS</w:t>
            </w:r>
          </w:p>
        </w:tc>
        <w:tc>
          <w:tcPr>
            <w:tcW w:w="6911" w:type="dxa"/>
          </w:tcPr>
          <w:p w14:paraId="4E266C48" w14:textId="1E2CD264" w:rsidR="00404916" w:rsidRDefault="00404916" w:rsidP="00400300">
            <w:pPr>
              <w:rPr>
                <w:color w:val="auto"/>
                <w:szCs w:val="22"/>
                <w:lang w:eastAsia="en-US"/>
              </w:rPr>
            </w:pPr>
            <w:r>
              <w:t xml:space="preserve">Relapse-free </w:t>
            </w:r>
            <w:r w:rsidR="00050F5E">
              <w:t>s</w:t>
            </w:r>
            <w:r>
              <w:t>urvival</w:t>
            </w:r>
          </w:p>
        </w:tc>
      </w:tr>
      <w:tr w:rsidR="00404916" w:rsidRPr="00FD119B" w14:paraId="0E973002" w14:textId="77777777" w:rsidTr="000D5F80">
        <w:tc>
          <w:tcPr>
            <w:tcW w:w="1809" w:type="dxa"/>
          </w:tcPr>
          <w:p w14:paraId="463AA4C5" w14:textId="77777777" w:rsidR="00404916" w:rsidRDefault="00404916" w:rsidP="000D5F80">
            <w:r>
              <w:rPr>
                <w:lang w:eastAsia="ja-JP"/>
              </w:rPr>
              <w:t>RR</w:t>
            </w:r>
          </w:p>
        </w:tc>
        <w:tc>
          <w:tcPr>
            <w:tcW w:w="6911" w:type="dxa"/>
          </w:tcPr>
          <w:p w14:paraId="52CFF281" w14:textId="77777777" w:rsidR="00404916" w:rsidRDefault="00404916" w:rsidP="000D5F80">
            <w:r>
              <w:t>Risk ratio</w:t>
            </w:r>
          </w:p>
        </w:tc>
      </w:tr>
      <w:tr w:rsidR="00404916" w:rsidRPr="00FD119B" w14:paraId="787EC62C" w14:textId="77777777" w:rsidTr="000D5F80">
        <w:tc>
          <w:tcPr>
            <w:tcW w:w="1809" w:type="dxa"/>
          </w:tcPr>
          <w:p w14:paraId="59197AD7" w14:textId="77777777" w:rsidR="00404916" w:rsidRDefault="00404916" w:rsidP="000D5F80">
            <w:r>
              <w:t>SCT</w:t>
            </w:r>
          </w:p>
        </w:tc>
        <w:tc>
          <w:tcPr>
            <w:tcW w:w="6911" w:type="dxa"/>
          </w:tcPr>
          <w:p w14:paraId="418A7A33" w14:textId="0771D9DF" w:rsidR="00404916" w:rsidRDefault="00404916" w:rsidP="000D5F80">
            <w:r>
              <w:t xml:space="preserve">Stem </w:t>
            </w:r>
            <w:r w:rsidR="00050F5E">
              <w:t>cell transplant</w:t>
            </w:r>
          </w:p>
        </w:tc>
      </w:tr>
      <w:tr w:rsidR="00404916" w:rsidRPr="00FD119B" w14:paraId="286021DD" w14:textId="77777777" w:rsidTr="000D5F80">
        <w:tc>
          <w:tcPr>
            <w:tcW w:w="1809" w:type="dxa"/>
          </w:tcPr>
          <w:p w14:paraId="32858969" w14:textId="77777777" w:rsidR="00404916" w:rsidRDefault="00404916" w:rsidP="000D5F80">
            <w:r w:rsidRPr="00BE3C55">
              <w:t>SIR</w:t>
            </w:r>
          </w:p>
        </w:tc>
        <w:tc>
          <w:tcPr>
            <w:tcW w:w="6911" w:type="dxa"/>
          </w:tcPr>
          <w:p w14:paraId="47F54B8C" w14:textId="77777777" w:rsidR="00404916" w:rsidRDefault="00404916" w:rsidP="000D5F80">
            <w:r>
              <w:t>Standardised incidence ratio</w:t>
            </w:r>
          </w:p>
        </w:tc>
      </w:tr>
      <w:tr w:rsidR="00404916" w:rsidRPr="00FD119B" w14:paraId="3F51AC6B" w14:textId="77777777" w:rsidTr="000D5F80">
        <w:tc>
          <w:tcPr>
            <w:tcW w:w="1809" w:type="dxa"/>
          </w:tcPr>
          <w:p w14:paraId="0AFFD343" w14:textId="77777777" w:rsidR="00404916" w:rsidRPr="00BE3C55" w:rsidRDefault="00404916" w:rsidP="000D5F80">
            <w:r>
              <w:t>TK</w:t>
            </w:r>
          </w:p>
        </w:tc>
        <w:tc>
          <w:tcPr>
            <w:tcW w:w="6911" w:type="dxa"/>
          </w:tcPr>
          <w:p w14:paraId="135858C1" w14:textId="77777777" w:rsidR="00404916" w:rsidRDefault="00404916" w:rsidP="000D5F80">
            <w:r>
              <w:t>Tyrosine kinase</w:t>
            </w:r>
          </w:p>
        </w:tc>
      </w:tr>
      <w:tr w:rsidR="00404916" w:rsidRPr="00FD119B" w14:paraId="6B8741EB" w14:textId="77777777" w:rsidTr="000D5F80">
        <w:tc>
          <w:tcPr>
            <w:tcW w:w="1809" w:type="dxa"/>
          </w:tcPr>
          <w:p w14:paraId="3B506993" w14:textId="77777777" w:rsidR="00404916" w:rsidRDefault="00404916" w:rsidP="000D5F80">
            <w:r>
              <w:t>TKI</w:t>
            </w:r>
          </w:p>
        </w:tc>
        <w:tc>
          <w:tcPr>
            <w:tcW w:w="6911" w:type="dxa"/>
          </w:tcPr>
          <w:p w14:paraId="16EF0B0A" w14:textId="21C43EE0" w:rsidR="00404916" w:rsidRDefault="00404916" w:rsidP="000D5F80">
            <w:r>
              <w:t xml:space="preserve">Tyrosine </w:t>
            </w:r>
            <w:r w:rsidR="00050F5E">
              <w:t>kinase inhibitor</w:t>
            </w:r>
          </w:p>
        </w:tc>
      </w:tr>
      <w:tr w:rsidR="00404916" w:rsidRPr="00FD119B" w14:paraId="63F410CD" w14:textId="77777777" w:rsidTr="000D5F80">
        <w:tc>
          <w:tcPr>
            <w:tcW w:w="1809" w:type="dxa"/>
          </w:tcPr>
          <w:p w14:paraId="3EF8B28E" w14:textId="77777777" w:rsidR="00404916" w:rsidRDefault="00404916" w:rsidP="000D5F80">
            <w:r>
              <w:rPr>
                <w:rFonts w:cs="Calibri"/>
                <w:bCs/>
              </w:rPr>
              <w:t>triple IT</w:t>
            </w:r>
          </w:p>
        </w:tc>
        <w:tc>
          <w:tcPr>
            <w:tcW w:w="6911" w:type="dxa"/>
          </w:tcPr>
          <w:p w14:paraId="65E6D7DC" w14:textId="77777777" w:rsidR="00404916" w:rsidRDefault="00404916" w:rsidP="000D5F80">
            <w:r>
              <w:t>Triple intrathecal (</w:t>
            </w:r>
            <w:r>
              <w:rPr>
                <w:rFonts w:cs="Calibri"/>
                <w:bCs/>
              </w:rPr>
              <w:t>intrathecal methotrexate/cytarabine/hydrocortisone)</w:t>
            </w:r>
          </w:p>
        </w:tc>
      </w:tr>
      <w:tr w:rsidR="00404916" w:rsidRPr="00FD119B" w14:paraId="5604E4F0" w14:textId="77777777" w:rsidTr="000D5F80">
        <w:tc>
          <w:tcPr>
            <w:tcW w:w="1809" w:type="dxa"/>
          </w:tcPr>
          <w:p w14:paraId="2535684F" w14:textId="77777777" w:rsidR="00404916" w:rsidRDefault="00404916" w:rsidP="000D5F80">
            <w:r>
              <w:lastRenderedPageBreak/>
              <w:t>UMRD</w:t>
            </w:r>
          </w:p>
        </w:tc>
        <w:tc>
          <w:tcPr>
            <w:tcW w:w="6911" w:type="dxa"/>
          </w:tcPr>
          <w:p w14:paraId="0CEF5E64" w14:textId="345913E2" w:rsidR="00404916" w:rsidRDefault="00404916" w:rsidP="000D5F80">
            <w:r>
              <w:t xml:space="preserve">Undetectable </w:t>
            </w:r>
            <w:r w:rsidR="00050F5E">
              <w:t>minimal residual disease</w:t>
            </w:r>
          </w:p>
        </w:tc>
      </w:tr>
    </w:tbl>
    <w:p w14:paraId="14CFB763" w14:textId="77777777" w:rsidR="00404916" w:rsidRDefault="00404916" w:rsidP="00404916"/>
    <w:p w14:paraId="7FBB0F87" w14:textId="77777777" w:rsidR="00404916" w:rsidRPr="00FD119B" w:rsidRDefault="00404916" w:rsidP="00404916">
      <w:pPr>
        <w:spacing w:before="0" w:after="200" w:line="0" w:lineRule="auto"/>
        <w:rPr>
          <w:b/>
          <w:i/>
          <w:sz w:val="24"/>
          <w:szCs w:val="24"/>
        </w:rPr>
      </w:pPr>
      <w:r w:rsidRPr="00FD119B">
        <w:rPr>
          <w:b/>
          <w:i/>
          <w:sz w:val="24"/>
          <w:szCs w:val="24"/>
        </w:rPr>
        <w:br w:type="page"/>
      </w:r>
    </w:p>
    <w:p w14:paraId="21DE33D2" w14:textId="77777777" w:rsidR="008E7846" w:rsidRDefault="00F53C07" w:rsidP="008E7846">
      <w:pPr>
        <w:pStyle w:val="Heading2"/>
      </w:pPr>
      <w:bookmarkStart w:id="5" w:name="_Toc20401722"/>
      <w:r>
        <w:lastRenderedPageBreak/>
        <w:t>I.</w:t>
      </w:r>
      <w:r w:rsidR="008E7846">
        <w:t xml:space="preserve"> Introduction to product submission</w:t>
      </w:r>
      <w:bookmarkEnd w:id="5"/>
      <w:bookmarkEnd w:id="1"/>
      <w:bookmarkEnd w:id="3"/>
    </w:p>
    <w:p w14:paraId="6476C605" w14:textId="77777777" w:rsidR="008E7846" w:rsidRDefault="008E7846" w:rsidP="008E7846">
      <w:pPr>
        <w:pStyle w:val="Heading3"/>
        <w:rPr>
          <w:lang w:eastAsia="en-AU"/>
        </w:rPr>
      </w:pPr>
      <w:bookmarkStart w:id="6" w:name="_Toc247691502"/>
      <w:bookmarkStart w:id="7" w:name="_Toc314842483"/>
      <w:bookmarkStart w:id="8" w:name="_Toc20401723"/>
      <w:r>
        <w:rPr>
          <w:lang w:eastAsia="en-AU"/>
        </w:rPr>
        <w:t>Submission details</w:t>
      </w:r>
      <w:bookmarkEnd w:id="6"/>
      <w:bookmarkEnd w:id="7"/>
      <w:bookmarkEnd w:id="8"/>
    </w:p>
    <w:tbl>
      <w:tblPr>
        <w:tblW w:w="9214" w:type="dxa"/>
        <w:tblInd w:w="108" w:type="dxa"/>
        <w:tblLook w:val="01E0" w:firstRow="1" w:lastRow="1" w:firstColumn="1" w:lastColumn="1" w:noHBand="0" w:noVBand="0"/>
      </w:tblPr>
      <w:tblGrid>
        <w:gridCol w:w="2907"/>
        <w:gridCol w:w="6307"/>
      </w:tblGrid>
      <w:tr w:rsidR="008E7846" w:rsidRPr="003D1E62" w14:paraId="5F505D8A" w14:textId="77777777" w:rsidTr="003735BC">
        <w:tc>
          <w:tcPr>
            <w:tcW w:w="2907" w:type="dxa"/>
          </w:tcPr>
          <w:p w14:paraId="3B9799A4"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1EDEAAA" w14:textId="77777777" w:rsidR="008E7846" w:rsidRPr="003D1E62" w:rsidRDefault="000F267E" w:rsidP="000F267E">
            <w:r>
              <w:t>M</w:t>
            </w:r>
            <w:r w:rsidR="008E7846" w:rsidRPr="003D1E62">
              <w:t xml:space="preserve">ajor </w:t>
            </w:r>
            <w:r w:rsidR="001B5C90">
              <w:t>v</w:t>
            </w:r>
            <w:r w:rsidR="008E7846" w:rsidRPr="003D1E62">
              <w:t>ariation (</w:t>
            </w:r>
            <w:r w:rsidR="001B5C90">
              <w:t>n</w:t>
            </w:r>
            <w:r w:rsidR="008E7846" w:rsidRPr="003D1E62">
              <w:t xml:space="preserve">ew </w:t>
            </w:r>
            <w:r>
              <w:t>indication</w:t>
            </w:r>
            <w:r w:rsidR="008E7846" w:rsidRPr="003D1E62">
              <w:t>)</w:t>
            </w:r>
          </w:p>
        </w:tc>
      </w:tr>
      <w:tr w:rsidR="008E7846" w:rsidRPr="003D1E62" w14:paraId="0C52A516" w14:textId="77777777" w:rsidTr="003735BC">
        <w:tc>
          <w:tcPr>
            <w:tcW w:w="2907" w:type="dxa"/>
          </w:tcPr>
          <w:p w14:paraId="2921528C" w14:textId="77777777" w:rsidR="008E7846" w:rsidRPr="003D1E62" w:rsidRDefault="008E7846" w:rsidP="003D1E62">
            <w:r w:rsidRPr="003D1E62">
              <w:rPr>
                <w:i/>
              </w:rPr>
              <w:t>Decision</w:t>
            </w:r>
            <w:r w:rsidRPr="003D1E62">
              <w:t>:</w:t>
            </w:r>
          </w:p>
        </w:tc>
        <w:tc>
          <w:tcPr>
            <w:tcW w:w="6307" w:type="dxa"/>
          </w:tcPr>
          <w:p w14:paraId="7E688F69" w14:textId="77777777" w:rsidR="008E7846" w:rsidRPr="003D1E62" w:rsidRDefault="006B6676" w:rsidP="006B6676">
            <w:r>
              <w:t>Approved</w:t>
            </w:r>
          </w:p>
        </w:tc>
      </w:tr>
      <w:tr w:rsidR="008E7846" w:rsidRPr="003D1E62" w14:paraId="77D91856" w14:textId="77777777" w:rsidTr="003735BC">
        <w:tc>
          <w:tcPr>
            <w:tcW w:w="2907" w:type="dxa"/>
          </w:tcPr>
          <w:p w14:paraId="5993ECD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AF3037A" w14:textId="77777777" w:rsidR="008E7846" w:rsidRPr="003D1E62" w:rsidRDefault="000466A2" w:rsidP="001B5C90">
            <w:r>
              <w:t>7 March 2018</w:t>
            </w:r>
          </w:p>
        </w:tc>
      </w:tr>
      <w:tr w:rsidR="00ED2922" w:rsidRPr="003D1E62" w14:paraId="464D2897" w14:textId="77777777" w:rsidTr="003735BC">
        <w:tc>
          <w:tcPr>
            <w:tcW w:w="2907" w:type="dxa"/>
          </w:tcPr>
          <w:p w14:paraId="5E87A436" w14:textId="77777777" w:rsidR="00ED2922" w:rsidRPr="00441C3F" w:rsidRDefault="00ED2922" w:rsidP="001B5C90">
            <w:pPr>
              <w:rPr>
                <w:i/>
              </w:rPr>
            </w:pPr>
            <w:r w:rsidRPr="00441C3F">
              <w:rPr>
                <w:i/>
              </w:rPr>
              <w:t>Date of entry onto ARTG</w:t>
            </w:r>
            <w:r w:rsidR="00500337">
              <w:rPr>
                <w:i/>
              </w:rPr>
              <w:t>:</w:t>
            </w:r>
          </w:p>
        </w:tc>
        <w:tc>
          <w:tcPr>
            <w:tcW w:w="6307" w:type="dxa"/>
          </w:tcPr>
          <w:p w14:paraId="14B386F5" w14:textId="77777777" w:rsidR="00ED2922" w:rsidRPr="00441C3F" w:rsidRDefault="000466A2" w:rsidP="00EC463D">
            <w:pPr>
              <w:rPr>
                <w:i/>
              </w:rPr>
            </w:pPr>
            <w:r>
              <w:t>9 March 2018</w:t>
            </w:r>
          </w:p>
        </w:tc>
      </w:tr>
      <w:tr w:rsidR="00500337" w:rsidRPr="003D1E62" w14:paraId="27472999" w14:textId="77777777" w:rsidTr="003735BC">
        <w:tc>
          <w:tcPr>
            <w:tcW w:w="2907" w:type="dxa"/>
          </w:tcPr>
          <w:p w14:paraId="191AFC8E" w14:textId="77777777" w:rsidR="00500337" w:rsidRPr="00441C3F" w:rsidRDefault="006B6676" w:rsidP="001B5C90">
            <w:pPr>
              <w:rPr>
                <w:i/>
              </w:rPr>
            </w:pPr>
            <w:r>
              <w:rPr>
                <w:i/>
              </w:rPr>
              <w:t>ARTG numbers</w:t>
            </w:r>
            <w:r w:rsidR="00500337">
              <w:rPr>
                <w:i/>
              </w:rPr>
              <w:t>:</w:t>
            </w:r>
          </w:p>
        </w:tc>
        <w:tc>
          <w:tcPr>
            <w:tcW w:w="6307" w:type="dxa"/>
          </w:tcPr>
          <w:p w14:paraId="3B5782F1" w14:textId="3C52D27A" w:rsidR="00500337" w:rsidRPr="00441C3F" w:rsidRDefault="006B6676" w:rsidP="00EC463D">
            <w:r w:rsidRPr="006B6676">
              <w:t>125557, 125558, 125559, 125560, 125561, 125562, 157352</w:t>
            </w:r>
            <w:r w:rsidR="00EB1B9E">
              <w:t xml:space="preserve"> and </w:t>
            </w:r>
            <w:r w:rsidRPr="006B6676">
              <w:t>157356</w:t>
            </w:r>
          </w:p>
        </w:tc>
      </w:tr>
      <w:tr w:rsidR="003735BC" w:rsidRPr="003D1E62" w14:paraId="4792BD8A" w14:textId="77777777" w:rsidTr="003735BC">
        <w:tc>
          <w:tcPr>
            <w:tcW w:w="2907" w:type="dxa"/>
          </w:tcPr>
          <w:p w14:paraId="7013A872"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3D3223C3" w14:textId="77777777" w:rsidR="003735BC" w:rsidRPr="00487162" w:rsidRDefault="00201E26" w:rsidP="003735BC">
            <w:r>
              <w:t>No</w:t>
            </w:r>
          </w:p>
        </w:tc>
      </w:tr>
      <w:tr w:rsidR="008E7846" w:rsidRPr="00487162" w14:paraId="4947AE20" w14:textId="77777777" w:rsidTr="00BF1190">
        <w:tc>
          <w:tcPr>
            <w:tcW w:w="2907" w:type="dxa"/>
          </w:tcPr>
          <w:p w14:paraId="7D3D5A33" w14:textId="77777777" w:rsidR="008E7846" w:rsidRPr="00487162" w:rsidRDefault="006149B8" w:rsidP="00E45619">
            <w:pPr>
              <w:rPr>
                <w:i/>
              </w:rPr>
            </w:pPr>
            <w:r>
              <w:rPr>
                <w:i/>
              </w:rPr>
              <w:t>Active ingredient</w:t>
            </w:r>
            <w:r w:rsidR="001B5C90">
              <w:rPr>
                <w:i/>
              </w:rPr>
              <w:t>:</w:t>
            </w:r>
          </w:p>
        </w:tc>
        <w:tc>
          <w:tcPr>
            <w:tcW w:w="6307" w:type="dxa"/>
          </w:tcPr>
          <w:p w14:paraId="35BA5B27" w14:textId="77777777" w:rsidR="008E7846" w:rsidRPr="00487162" w:rsidRDefault="006149B8" w:rsidP="00E45619">
            <w:r>
              <w:t>Dasatinib</w:t>
            </w:r>
          </w:p>
        </w:tc>
      </w:tr>
      <w:tr w:rsidR="008E7846" w:rsidRPr="00487162" w14:paraId="40E49D8B" w14:textId="77777777" w:rsidTr="00BF1190">
        <w:tc>
          <w:tcPr>
            <w:tcW w:w="2907" w:type="dxa"/>
          </w:tcPr>
          <w:p w14:paraId="5DEFDBFD" w14:textId="77777777" w:rsidR="008E7846" w:rsidRPr="00487162" w:rsidRDefault="008E7846" w:rsidP="001B5C90">
            <w:pPr>
              <w:rPr>
                <w:i/>
              </w:rPr>
            </w:pPr>
            <w:r w:rsidRPr="00487162">
              <w:rPr>
                <w:i/>
              </w:rPr>
              <w:t>Product</w:t>
            </w:r>
            <w:r w:rsidR="006B6676">
              <w:rPr>
                <w:i/>
              </w:rPr>
              <w:t xml:space="preserve"> name</w:t>
            </w:r>
            <w:r w:rsidR="001B5C90">
              <w:rPr>
                <w:i/>
              </w:rPr>
              <w:t>:</w:t>
            </w:r>
          </w:p>
        </w:tc>
        <w:tc>
          <w:tcPr>
            <w:tcW w:w="6307" w:type="dxa"/>
          </w:tcPr>
          <w:p w14:paraId="55D754FF" w14:textId="77777777" w:rsidR="008E7846" w:rsidRPr="00487162" w:rsidRDefault="006B6676" w:rsidP="00E45619">
            <w:r>
              <w:t>Sprycel</w:t>
            </w:r>
          </w:p>
        </w:tc>
      </w:tr>
      <w:tr w:rsidR="008E7846" w:rsidRPr="00487162" w14:paraId="6B44A1A1" w14:textId="77777777" w:rsidTr="00BF1190">
        <w:tc>
          <w:tcPr>
            <w:tcW w:w="2907" w:type="dxa"/>
          </w:tcPr>
          <w:p w14:paraId="1D7CAE5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3393F6F" w14:textId="77777777" w:rsidR="008E7846" w:rsidRDefault="006B6676" w:rsidP="00E45619">
            <w:r w:rsidRPr="006B6676">
              <w:t>Bristol-Myers Squibb Australia Pty Ltd</w:t>
            </w:r>
          </w:p>
          <w:p w14:paraId="56435A84" w14:textId="2CC31A65" w:rsidR="006B6676" w:rsidRDefault="006B6676" w:rsidP="00E45619">
            <w:r>
              <w:t>PO Box 1080</w:t>
            </w:r>
          </w:p>
          <w:p w14:paraId="70F467F2" w14:textId="7596A964" w:rsidR="006B6676" w:rsidRPr="00487162" w:rsidRDefault="006B6676" w:rsidP="00D817A5">
            <w:r>
              <w:t>Mount Waverley VIC 3149</w:t>
            </w:r>
          </w:p>
        </w:tc>
      </w:tr>
      <w:tr w:rsidR="008E7846" w:rsidRPr="00487162" w14:paraId="71AEFC72" w14:textId="77777777" w:rsidTr="00BF1190">
        <w:tc>
          <w:tcPr>
            <w:tcW w:w="2907" w:type="dxa"/>
          </w:tcPr>
          <w:p w14:paraId="42F97AED" w14:textId="77777777" w:rsidR="008E7846" w:rsidRPr="00487162" w:rsidRDefault="001D127F" w:rsidP="00E45619">
            <w:pPr>
              <w:rPr>
                <w:i/>
              </w:rPr>
            </w:pPr>
            <w:r>
              <w:rPr>
                <w:i/>
              </w:rPr>
              <w:t>Dose form</w:t>
            </w:r>
            <w:r w:rsidR="001B5C90">
              <w:rPr>
                <w:i/>
              </w:rPr>
              <w:t>:</w:t>
            </w:r>
          </w:p>
        </w:tc>
        <w:tc>
          <w:tcPr>
            <w:tcW w:w="6307" w:type="dxa"/>
          </w:tcPr>
          <w:p w14:paraId="77ED9D0D" w14:textId="50617467" w:rsidR="008E7846" w:rsidRPr="00487162" w:rsidRDefault="000D5F80" w:rsidP="00E45619">
            <w:r>
              <w:t>Tablet</w:t>
            </w:r>
          </w:p>
        </w:tc>
      </w:tr>
      <w:tr w:rsidR="008E7846" w:rsidRPr="00487162" w14:paraId="7766344C" w14:textId="77777777" w:rsidTr="00BF1190">
        <w:tc>
          <w:tcPr>
            <w:tcW w:w="2907" w:type="dxa"/>
          </w:tcPr>
          <w:p w14:paraId="6117A403" w14:textId="77777777" w:rsidR="008E7846" w:rsidRPr="00487162" w:rsidRDefault="006149B8" w:rsidP="00E45619">
            <w:pPr>
              <w:rPr>
                <w:i/>
              </w:rPr>
            </w:pPr>
            <w:r>
              <w:rPr>
                <w:i/>
              </w:rPr>
              <w:t>Strengths</w:t>
            </w:r>
            <w:r w:rsidR="008E7846" w:rsidRPr="00487162">
              <w:rPr>
                <w:i/>
              </w:rPr>
              <w:t xml:space="preserve">: </w:t>
            </w:r>
          </w:p>
        </w:tc>
        <w:tc>
          <w:tcPr>
            <w:tcW w:w="6307" w:type="dxa"/>
          </w:tcPr>
          <w:p w14:paraId="62FBF801" w14:textId="77777777" w:rsidR="008E7846" w:rsidRPr="00487162" w:rsidRDefault="006149B8" w:rsidP="00E45619">
            <w:r>
              <w:t>20</w:t>
            </w:r>
            <w:r w:rsidR="00665FCA">
              <w:t xml:space="preserve"> mg</w:t>
            </w:r>
            <w:r>
              <w:t>, 50</w:t>
            </w:r>
            <w:r w:rsidR="00665FCA">
              <w:t xml:space="preserve"> mg</w:t>
            </w:r>
            <w:r>
              <w:t>, 70</w:t>
            </w:r>
            <w:r w:rsidR="00665FCA">
              <w:t xml:space="preserve"> mg</w:t>
            </w:r>
            <w:r>
              <w:t xml:space="preserve"> and 100</w:t>
            </w:r>
            <w:r w:rsidR="00665FCA">
              <w:t xml:space="preserve"> mg</w:t>
            </w:r>
          </w:p>
        </w:tc>
      </w:tr>
      <w:tr w:rsidR="008E7846" w:rsidRPr="00487162" w14:paraId="25BCB087" w14:textId="77777777" w:rsidTr="00BF1190">
        <w:tc>
          <w:tcPr>
            <w:tcW w:w="2907" w:type="dxa"/>
          </w:tcPr>
          <w:p w14:paraId="26F14411" w14:textId="77777777" w:rsidR="008E7846" w:rsidRPr="00487162" w:rsidRDefault="006149B8" w:rsidP="00E45619">
            <w:pPr>
              <w:rPr>
                <w:i/>
              </w:rPr>
            </w:pPr>
            <w:r>
              <w:rPr>
                <w:i/>
              </w:rPr>
              <w:t>Containers</w:t>
            </w:r>
            <w:r w:rsidR="008E7846" w:rsidRPr="00487162">
              <w:rPr>
                <w:i/>
              </w:rPr>
              <w:t>:</w:t>
            </w:r>
          </w:p>
        </w:tc>
        <w:tc>
          <w:tcPr>
            <w:tcW w:w="6307" w:type="dxa"/>
          </w:tcPr>
          <w:p w14:paraId="10CD0EC7" w14:textId="77777777" w:rsidR="008E7846" w:rsidRPr="00487162" w:rsidRDefault="001D127F" w:rsidP="00E45619">
            <w:r>
              <w:t>Bottle or blister pack</w:t>
            </w:r>
          </w:p>
        </w:tc>
      </w:tr>
      <w:tr w:rsidR="008E7846" w:rsidRPr="00487162" w14:paraId="1D7FF69E" w14:textId="77777777" w:rsidTr="00BF1190">
        <w:tc>
          <w:tcPr>
            <w:tcW w:w="2907" w:type="dxa"/>
          </w:tcPr>
          <w:p w14:paraId="52CCE26A" w14:textId="77777777" w:rsidR="008E7846" w:rsidRPr="00487162" w:rsidRDefault="00AB0523" w:rsidP="00E45619">
            <w:pPr>
              <w:rPr>
                <w:i/>
              </w:rPr>
            </w:pPr>
            <w:r>
              <w:rPr>
                <w:i/>
              </w:rPr>
              <w:t>Pack sizes</w:t>
            </w:r>
            <w:r w:rsidR="008E7846" w:rsidRPr="00487162">
              <w:rPr>
                <w:i/>
              </w:rPr>
              <w:t>:</w:t>
            </w:r>
          </w:p>
        </w:tc>
        <w:tc>
          <w:tcPr>
            <w:tcW w:w="6307" w:type="dxa"/>
          </w:tcPr>
          <w:p w14:paraId="1916DF44" w14:textId="77777777" w:rsidR="008E7846" w:rsidRPr="00487162" w:rsidRDefault="00AB0523" w:rsidP="00E45619">
            <w:r>
              <w:t>60 tablets (20</w:t>
            </w:r>
            <w:r w:rsidR="00665FCA">
              <w:t xml:space="preserve"> mg</w:t>
            </w:r>
            <w:r>
              <w:t>, 50</w:t>
            </w:r>
            <w:r w:rsidR="00665FCA">
              <w:t xml:space="preserve"> mg</w:t>
            </w:r>
            <w:r>
              <w:t>, 70</w:t>
            </w:r>
            <w:r w:rsidR="00665FCA">
              <w:t xml:space="preserve"> mg</w:t>
            </w:r>
            <w:r>
              <w:t xml:space="preserve"> ) or 30 tablets (100</w:t>
            </w:r>
            <w:r w:rsidR="00665FCA">
              <w:t xml:space="preserve"> mg</w:t>
            </w:r>
            <w:r>
              <w:t>)</w:t>
            </w:r>
          </w:p>
        </w:tc>
      </w:tr>
      <w:tr w:rsidR="008E7846" w:rsidRPr="00487162" w14:paraId="309B3945" w14:textId="77777777" w:rsidTr="00BF1190">
        <w:tc>
          <w:tcPr>
            <w:tcW w:w="2907" w:type="dxa"/>
          </w:tcPr>
          <w:p w14:paraId="5124C6BE"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AE93B79" w14:textId="77777777" w:rsidR="008E7846" w:rsidRPr="00201E26" w:rsidRDefault="00201E26" w:rsidP="00201E26">
            <w:pPr>
              <w:rPr>
                <w:i/>
              </w:rPr>
            </w:pPr>
            <w:r w:rsidRPr="00201E26">
              <w:rPr>
                <w:i/>
              </w:rPr>
              <w:t>S</w:t>
            </w:r>
            <w:r w:rsidR="0079571B" w:rsidRPr="00201E26">
              <w:rPr>
                <w:i/>
              </w:rPr>
              <w:t>prycel</w:t>
            </w:r>
            <w:r w:rsidRPr="00201E26">
              <w:rPr>
                <w:i/>
              </w:rPr>
              <w:t xml:space="preserve"> is indicated for the treatment of adults aged 18 years or over with newly diagnosed Philadelphia chromosome positive acute lymphoblastic leukaemia integrated with chemotherapy</w:t>
            </w:r>
          </w:p>
        </w:tc>
      </w:tr>
      <w:tr w:rsidR="008E7846" w:rsidRPr="00487162" w14:paraId="46BE9B8E" w14:textId="77777777" w:rsidTr="00BF1190">
        <w:tc>
          <w:tcPr>
            <w:tcW w:w="2907" w:type="dxa"/>
          </w:tcPr>
          <w:p w14:paraId="4DF0DB44" w14:textId="77777777" w:rsidR="008E7846" w:rsidRPr="00487162" w:rsidRDefault="006B6676" w:rsidP="00E45619">
            <w:pPr>
              <w:rPr>
                <w:i/>
              </w:rPr>
            </w:pPr>
            <w:r>
              <w:rPr>
                <w:i/>
              </w:rPr>
              <w:t>Route</w:t>
            </w:r>
            <w:r w:rsidR="008E7846" w:rsidRPr="00487162">
              <w:rPr>
                <w:i/>
              </w:rPr>
              <w:t xml:space="preserve"> of administration:</w:t>
            </w:r>
          </w:p>
        </w:tc>
        <w:tc>
          <w:tcPr>
            <w:tcW w:w="6307" w:type="dxa"/>
          </w:tcPr>
          <w:p w14:paraId="2C189952" w14:textId="45BB6457" w:rsidR="008E7846" w:rsidRPr="00487162" w:rsidRDefault="000D5F80" w:rsidP="00E45619">
            <w:r>
              <w:t>Oral</w:t>
            </w:r>
          </w:p>
        </w:tc>
      </w:tr>
      <w:tr w:rsidR="008E7846" w:rsidRPr="00487162" w14:paraId="712E1012" w14:textId="77777777" w:rsidTr="00BF1190">
        <w:tc>
          <w:tcPr>
            <w:tcW w:w="2907" w:type="dxa"/>
          </w:tcPr>
          <w:p w14:paraId="19627C57" w14:textId="77777777" w:rsidR="008E7846" w:rsidRPr="00487162" w:rsidRDefault="008E7846" w:rsidP="00E45619">
            <w:pPr>
              <w:rPr>
                <w:i/>
              </w:rPr>
            </w:pPr>
            <w:r w:rsidRPr="00487162">
              <w:rPr>
                <w:i/>
              </w:rPr>
              <w:t>Dosage:</w:t>
            </w:r>
          </w:p>
        </w:tc>
        <w:tc>
          <w:tcPr>
            <w:tcW w:w="6307" w:type="dxa"/>
          </w:tcPr>
          <w:p w14:paraId="7248E2B4" w14:textId="77777777" w:rsidR="008E7846" w:rsidRPr="00487162" w:rsidRDefault="00201E26" w:rsidP="00201E26">
            <w:r w:rsidRPr="00201E26">
              <w:t>Once daily</w:t>
            </w:r>
            <w:r>
              <w:t>.</w:t>
            </w:r>
            <w:r w:rsidRPr="00201E26">
              <w:t xml:space="preserve"> To achieve the recommended dose, </w:t>
            </w:r>
            <w:r w:rsidR="0079571B">
              <w:t>Sprycel</w:t>
            </w:r>
            <w:r w:rsidRPr="00201E26">
              <w:t xml:space="preserve"> is available as 20</w:t>
            </w:r>
            <w:r w:rsidR="00665FCA">
              <w:t xml:space="preserve"> mg</w:t>
            </w:r>
            <w:r w:rsidRPr="00201E26">
              <w:t>, 50</w:t>
            </w:r>
            <w:r w:rsidR="00665FCA">
              <w:t xml:space="preserve"> mg</w:t>
            </w:r>
            <w:r w:rsidRPr="00201E26">
              <w:t>, 70</w:t>
            </w:r>
            <w:r w:rsidR="00665FCA">
              <w:t xml:space="preserve"> mg</w:t>
            </w:r>
            <w:r w:rsidRPr="00201E26">
              <w:t xml:space="preserve"> and 100</w:t>
            </w:r>
            <w:r w:rsidR="00665FCA">
              <w:t xml:space="preserve"> mg</w:t>
            </w:r>
            <w:r w:rsidRPr="00201E26">
              <w:t xml:space="preserve"> film</w:t>
            </w:r>
            <w:r>
              <w:t xml:space="preserve"> </w:t>
            </w:r>
            <w:r w:rsidRPr="00201E26">
              <w:t>coated</w:t>
            </w:r>
            <w:r>
              <w:t xml:space="preserve"> </w:t>
            </w:r>
            <w:r w:rsidRPr="00201E26">
              <w:t xml:space="preserve">tablets. Dose increase or reduction is recommended based on patient response and tolerability. </w:t>
            </w:r>
            <w:r>
              <w:t>For the full details please see the Product Information.</w:t>
            </w:r>
          </w:p>
        </w:tc>
      </w:tr>
    </w:tbl>
    <w:p w14:paraId="0F2B65F9" w14:textId="77777777" w:rsidR="008E7846" w:rsidRDefault="008E7846" w:rsidP="008E7846">
      <w:pPr>
        <w:pStyle w:val="Heading3"/>
      </w:pPr>
      <w:bookmarkStart w:id="9" w:name="_Toc247691503"/>
      <w:bookmarkStart w:id="10" w:name="_Toc314842484"/>
      <w:bookmarkStart w:id="11" w:name="_Toc20401724"/>
      <w:r>
        <w:t>Product background</w:t>
      </w:r>
      <w:bookmarkEnd w:id="9"/>
      <w:bookmarkEnd w:id="10"/>
      <w:bookmarkEnd w:id="11"/>
    </w:p>
    <w:p w14:paraId="0EF3B66F" w14:textId="77777777" w:rsidR="00201E26" w:rsidRDefault="00940A89" w:rsidP="00940A89">
      <w:r w:rsidRPr="00940A89">
        <w:t xml:space="preserve">This AusPAR describes the application by </w:t>
      </w:r>
      <w:r w:rsidR="00AB0523" w:rsidRPr="006B6676">
        <w:t>Bristol-Myers Squibb Australia Pty Ltd</w:t>
      </w:r>
      <w:r w:rsidR="00AB0523" w:rsidRPr="00940A89">
        <w:t xml:space="preserve"> </w:t>
      </w:r>
      <w:r w:rsidR="00201E26">
        <w:t>(</w:t>
      </w:r>
      <w:r w:rsidRPr="00940A89">
        <w:t>the sponsor</w:t>
      </w:r>
      <w:r w:rsidR="00201E26">
        <w:t>)</w:t>
      </w:r>
      <w:r w:rsidRPr="00940A89">
        <w:t xml:space="preserve"> to register </w:t>
      </w:r>
      <w:r w:rsidR="00201E26">
        <w:t>Sprycel</w:t>
      </w:r>
      <w:r w:rsidRPr="00940A89">
        <w:t xml:space="preserve"> </w:t>
      </w:r>
      <w:r w:rsidR="00C90CF5">
        <w:t>dasatinib</w:t>
      </w:r>
      <w:r w:rsidR="00C90CF5" w:rsidRPr="00940A89">
        <w:t xml:space="preserve"> </w:t>
      </w:r>
      <w:r w:rsidR="00C90CF5">
        <w:t>20</w:t>
      </w:r>
      <w:r w:rsidR="00665FCA">
        <w:t xml:space="preserve"> mg</w:t>
      </w:r>
      <w:r w:rsidR="00C90CF5">
        <w:t>, 50</w:t>
      </w:r>
      <w:r w:rsidR="00665FCA">
        <w:t xml:space="preserve"> mg</w:t>
      </w:r>
      <w:r w:rsidR="00C90CF5">
        <w:t>, 70</w:t>
      </w:r>
      <w:r w:rsidR="00665FCA">
        <w:t xml:space="preserve"> mg</w:t>
      </w:r>
      <w:r w:rsidR="00C90CF5">
        <w:t xml:space="preserve"> and 100</w:t>
      </w:r>
      <w:r w:rsidR="00665FCA">
        <w:t xml:space="preserve"> mg</w:t>
      </w:r>
      <w:r w:rsidR="00C90CF5" w:rsidRPr="00940A89">
        <w:t xml:space="preserve"> </w:t>
      </w:r>
      <w:r w:rsidR="00C90CF5">
        <w:t xml:space="preserve">tablets </w:t>
      </w:r>
      <w:r w:rsidRPr="00940A89">
        <w:t>for the following indication</w:t>
      </w:r>
      <w:r w:rsidR="00201E26">
        <w:t>:</w:t>
      </w:r>
    </w:p>
    <w:p w14:paraId="36AA83E9" w14:textId="77777777" w:rsidR="008E7846" w:rsidRPr="00201E26" w:rsidRDefault="0079571B" w:rsidP="00201E26">
      <w:pPr>
        <w:ind w:left="720"/>
        <w:rPr>
          <w:i/>
        </w:rPr>
      </w:pPr>
      <w:r>
        <w:rPr>
          <w:i/>
        </w:rPr>
        <w:lastRenderedPageBreak/>
        <w:t>Sprycel</w:t>
      </w:r>
      <w:r w:rsidR="00201E26" w:rsidRPr="00201E26">
        <w:rPr>
          <w:i/>
        </w:rPr>
        <w:t xml:space="preserve"> is indicated for the treatment of adults aged 18 years or over with newly diagnosed Philadelphia chromosome positive acute lymphoblastic leukaemia integrated with chemotherapy.</w:t>
      </w:r>
    </w:p>
    <w:p w14:paraId="46935557" w14:textId="77777777" w:rsidR="00940A89" w:rsidRDefault="00C90CF5" w:rsidP="00940A89">
      <w:r w:rsidRPr="002B11F8">
        <w:t xml:space="preserve">Acute lymphoblastic </w:t>
      </w:r>
      <w:r w:rsidR="0079571B" w:rsidRPr="002B11F8">
        <w:t>leukaemia</w:t>
      </w:r>
      <w:r w:rsidRPr="002B11F8">
        <w:t xml:space="preserve"> (ALL) refers to a group of hematopoietic neoplasms involving cells committed to the lymphoid lineage</w:t>
      </w:r>
      <w:r w:rsidR="0079571B">
        <w:t>.</w:t>
      </w:r>
      <w:bookmarkStart w:id="12" w:name="_Ref531080449"/>
      <w:r w:rsidR="0079571B">
        <w:rPr>
          <w:rStyle w:val="FootnoteReference"/>
        </w:rPr>
        <w:footnoteReference w:id="1"/>
      </w:r>
      <w:bookmarkEnd w:id="12"/>
      <w:r w:rsidRPr="002B11F8">
        <w:t xml:space="preserve"> Philadelphia chromosome positive ALL (</w:t>
      </w:r>
      <w:r w:rsidR="0079571B" w:rsidRPr="002B11F8">
        <w:t>Ph</w:t>
      </w:r>
      <w:r w:rsidR="0079571B" w:rsidRPr="0079571B">
        <w:rPr>
          <w:vertAlign w:val="superscript"/>
        </w:rPr>
        <w:t>+</w:t>
      </w:r>
      <w:r w:rsidRPr="002B11F8">
        <w:t xml:space="preserve"> ALL) is a biologically and clinically distinct variant of ALL</w:t>
      </w:r>
      <w:r>
        <w:t>.</w:t>
      </w:r>
      <w:r w:rsidRPr="00C90CF5">
        <w:t xml:space="preserve"> </w:t>
      </w:r>
      <w:r w:rsidR="0079571B" w:rsidRPr="002B11F8">
        <w:t>Ph</w:t>
      </w:r>
      <w:r w:rsidR="0079571B" w:rsidRPr="0079571B">
        <w:rPr>
          <w:vertAlign w:val="superscript"/>
        </w:rPr>
        <w:t>+</w:t>
      </w:r>
      <w:r w:rsidRPr="002B11F8">
        <w:t xml:space="preserve"> ALL accounts for approximately 20 to 30 percent of ALL in adults and 2 to 3 percent of ALL in children</w:t>
      </w:r>
      <w:r>
        <w:t>.</w:t>
      </w:r>
      <w:r w:rsidR="003720F6" w:rsidRPr="003720F6">
        <w:t xml:space="preserve"> </w:t>
      </w:r>
      <w:r w:rsidR="003720F6" w:rsidRPr="004466D5">
        <w:t>This ‘</w:t>
      </w:r>
      <w:r w:rsidR="003720F6">
        <w:t xml:space="preserve">Philadelphia </w:t>
      </w:r>
      <w:r w:rsidR="003720F6" w:rsidRPr="004466D5">
        <w:t>chromosome’ results in a BCR-ABL fusion protein with deregulated tyrosine kinase activity</w:t>
      </w:r>
      <w:r w:rsidR="003720F6">
        <w:t>.</w:t>
      </w:r>
    </w:p>
    <w:p w14:paraId="1D3DC053" w14:textId="77777777" w:rsidR="00C90CF5" w:rsidRPr="002B11F8" w:rsidRDefault="00C90CF5" w:rsidP="00C90CF5">
      <w:r w:rsidRPr="002B11F8">
        <w:t xml:space="preserve">When treated with chemotherapy alone, patients with </w:t>
      </w:r>
      <w:r w:rsidR="0079571B" w:rsidRPr="002B11F8">
        <w:t>Ph</w:t>
      </w:r>
      <w:r w:rsidR="0079571B" w:rsidRPr="0079571B">
        <w:rPr>
          <w:vertAlign w:val="superscript"/>
        </w:rPr>
        <w:t>+</w:t>
      </w:r>
      <w:r w:rsidRPr="002B11F8">
        <w:t xml:space="preserve"> ALL have a uniformly poor prognosis with few survivors at five years after treatment</w:t>
      </w:r>
      <w:r w:rsidR="0079571B">
        <w:t>.</w:t>
      </w:r>
      <w:r w:rsidR="0079571B" w:rsidRPr="0079571B">
        <w:rPr>
          <w:vertAlign w:val="superscript"/>
        </w:rPr>
        <w:fldChar w:fldCharType="begin"/>
      </w:r>
      <w:r w:rsidR="0079571B" w:rsidRPr="0079571B">
        <w:rPr>
          <w:vertAlign w:val="superscript"/>
        </w:rPr>
        <w:instrText xml:space="preserve"> NOTEREF _Ref531080449 \h </w:instrText>
      </w:r>
      <w:r w:rsidR="0079571B">
        <w:rPr>
          <w:vertAlign w:val="superscript"/>
        </w:rPr>
        <w:instrText xml:space="preserve"> \* MERGEFORMAT </w:instrText>
      </w:r>
      <w:r w:rsidR="0079571B" w:rsidRPr="0079571B">
        <w:rPr>
          <w:vertAlign w:val="superscript"/>
        </w:rPr>
      </w:r>
      <w:r w:rsidR="0079571B" w:rsidRPr="0079571B">
        <w:rPr>
          <w:vertAlign w:val="superscript"/>
        </w:rPr>
        <w:fldChar w:fldCharType="separate"/>
      </w:r>
      <w:r w:rsidR="0079571B" w:rsidRPr="0079571B">
        <w:rPr>
          <w:vertAlign w:val="superscript"/>
        </w:rPr>
        <w:t>1</w:t>
      </w:r>
      <w:r w:rsidR="0079571B" w:rsidRPr="0079571B">
        <w:rPr>
          <w:vertAlign w:val="superscript"/>
        </w:rPr>
        <w:fldChar w:fldCharType="end"/>
      </w:r>
      <w:r w:rsidRPr="002B11F8">
        <w:t xml:space="preserve"> Allogeneic hematopoietic cell transplantation (allo-HCT) provides better results, curing approximately 30 to 60 percent of patients with </w:t>
      </w:r>
      <w:r w:rsidR="0079571B" w:rsidRPr="002B11F8">
        <w:t>Ph</w:t>
      </w:r>
      <w:r w:rsidR="0079571B" w:rsidRPr="0079571B">
        <w:rPr>
          <w:vertAlign w:val="superscript"/>
        </w:rPr>
        <w:t>+</w:t>
      </w:r>
      <w:r w:rsidRPr="002B11F8">
        <w:t xml:space="preserve"> ALL</w:t>
      </w:r>
      <w:r w:rsidR="0079571B">
        <w:t>.</w:t>
      </w:r>
      <w:r w:rsidR="0079571B" w:rsidRPr="0079571B">
        <w:rPr>
          <w:vertAlign w:val="superscript"/>
        </w:rPr>
        <w:fldChar w:fldCharType="begin"/>
      </w:r>
      <w:r w:rsidR="0079571B" w:rsidRPr="0079571B">
        <w:rPr>
          <w:vertAlign w:val="superscript"/>
        </w:rPr>
        <w:instrText xml:space="preserve"> NOTEREF _Ref531080449 \h </w:instrText>
      </w:r>
      <w:r w:rsidR="0079571B">
        <w:rPr>
          <w:vertAlign w:val="superscript"/>
        </w:rPr>
        <w:instrText xml:space="preserve"> \* MERGEFORMAT </w:instrText>
      </w:r>
      <w:r w:rsidR="0079571B" w:rsidRPr="0079571B">
        <w:rPr>
          <w:vertAlign w:val="superscript"/>
        </w:rPr>
      </w:r>
      <w:r w:rsidR="0079571B" w:rsidRPr="0079571B">
        <w:rPr>
          <w:vertAlign w:val="superscript"/>
        </w:rPr>
        <w:fldChar w:fldCharType="separate"/>
      </w:r>
      <w:r w:rsidR="0079571B" w:rsidRPr="0079571B">
        <w:rPr>
          <w:vertAlign w:val="superscript"/>
        </w:rPr>
        <w:t>1</w:t>
      </w:r>
      <w:r w:rsidR="0079571B" w:rsidRPr="0079571B">
        <w:rPr>
          <w:vertAlign w:val="superscript"/>
        </w:rPr>
        <w:fldChar w:fldCharType="end"/>
      </w:r>
      <w:r w:rsidR="003720F6" w:rsidRPr="003720F6">
        <w:t xml:space="preserve"> </w:t>
      </w:r>
      <w:r w:rsidR="003720F6" w:rsidRPr="004466D5">
        <w:t>BCR-ABL fusion protein is one of the five tyrosine kinases ant</w:t>
      </w:r>
      <w:r w:rsidR="003720F6">
        <w:t>agonised by dasatinib.</w:t>
      </w:r>
      <w:r w:rsidRPr="002B11F8">
        <w:t xml:space="preserve"> Incorporation of a tyrosine kinase inhibitor (TKI) of BCR-ABL1</w:t>
      </w:r>
      <w:r w:rsidR="003720F6" w:rsidRPr="002B11F8">
        <w:t xml:space="preserve"> </w:t>
      </w:r>
      <w:r w:rsidRPr="002B11F8">
        <w:t>(imatinib, dasatinib, nilotinib, bosutinib, ponatinib) into the treatment regimen has resulted in superior response rates, thereby allowing more patients to p</w:t>
      </w:r>
      <w:r w:rsidR="003720F6">
        <w:t>roceed to allo</w:t>
      </w:r>
      <w:r w:rsidR="003720F6">
        <w:noBreakHyphen/>
        <w:t>HCT.</w:t>
      </w:r>
    </w:p>
    <w:p w14:paraId="65080232" w14:textId="77777777" w:rsidR="008E7846" w:rsidRDefault="00386150" w:rsidP="008E7846">
      <w:pPr>
        <w:pStyle w:val="Heading3"/>
      </w:pPr>
      <w:bookmarkStart w:id="13" w:name="_Toc314842485"/>
      <w:bookmarkStart w:id="14" w:name="_Toc247691504"/>
      <w:bookmarkStart w:id="15" w:name="_Toc20401725"/>
      <w:r>
        <w:t>Regulatory s</w:t>
      </w:r>
      <w:r w:rsidR="008E7846">
        <w:t>tatus</w:t>
      </w:r>
      <w:bookmarkEnd w:id="13"/>
      <w:bookmarkEnd w:id="14"/>
      <w:bookmarkEnd w:id="15"/>
    </w:p>
    <w:p w14:paraId="7F493464" w14:textId="77777777" w:rsidR="000F267E" w:rsidRDefault="000466A2" w:rsidP="000F267E">
      <w:r w:rsidRPr="00940A89">
        <w:t>The product received initial registration on the Australian Register of Therapeutic Goods (ARTG) on</w:t>
      </w:r>
      <w:r>
        <w:t xml:space="preserve"> 15 January 2007.</w:t>
      </w:r>
    </w:p>
    <w:p w14:paraId="366BE6AD" w14:textId="77777777" w:rsidR="000F267E" w:rsidRPr="00201E26" w:rsidRDefault="000F267E" w:rsidP="00201E26">
      <w:r w:rsidRPr="00201E26">
        <w:t xml:space="preserve">The approved indications </w:t>
      </w:r>
      <w:r w:rsidR="000466A2">
        <w:t>at the time of submission were</w:t>
      </w:r>
      <w:r w:rsidRPr="00201E26">
        <w:t>:</w:t>
      </w:r>
    </w:p>
    <w:p w14:paraId="647D488C" w14:textId="77777777" w:rsidR="000F267E" w:rsidRPr="00201E26" w:rsidRDefault="0079571B" w:rsidP="00201E26">
      <w:pPr>
        <w:ind w:left="720"/>
        <w:rPr>
          <w:i/>
        </w:rPr>
      </w:pPr>
      <w:r>
        <w:rPr>
          <w:i/>
        </w:rPr>
        <w:t>Sprycel</w:t>
      </w:r>
      <w:r w:rsidR="000F267E" w:rsidRPr="00201E26">
        <w:rPr>
          <w:i/>
        </w:rPr>
        <w:t xml:space="preserve"> (dasatinib) is indicated for the treatment of adults aged 18 years or over with newly diagnosed Philadelphia chromosome positive (</w:t>
      </w:r>
      <w:r w:rsidRPr="002B11F8">
        <w:t>Ph</w:t>
      </w:r>
      <w:r w:rsidRPr="0079571B">
        <w:rPr>
          <w:vertAlign w:val="superscript"/>
        </w:rPr>
        <w:t>+</w:t>
      </w:r>
      <w:r w:rsidR="000F267E" w:rsidRPr="00201E26">
        <w:rPr>
          <w:i/>
        </w:rPr>
        <w:t>) chronic myeloid leukaemia in the chronic phase.</w:t>
      </w:r>
    </w:p>
    <w:p w14:paraId="35550A90" w14:textId="77777777" w:rsidR="000F267E" w:rsidRPr="00201E26" w:rsidRDefault="0079571B" w:rsidP="00201E26">
      <w:pPr>
        <w:ind w:left="720"/>
        <w:rPr>
          <w:i/>
        </w:rPr>
      </w:pPr>
      <w:r>
        <w:rPr>
          <w:i/>
        </w:rPr>
        <w:t>Sprycel</w:t>
      </w:r>
      <w:r w:rsidR="000F267E" w:rsidRPr="00201E26">
        <w:rPr>
          <w:i/>
        </w:rPr>
        <w:t xml:space="preserve"> (dasatinib) is indicated for the treatment of adults aged 18 years or over with chronic, accelerated or myeloid or lymphoid blast phase chronic myeloid leukaemia with resistance or intolerance to prior therapy including imatinib.</w:t>
      </w:r>
    </w:p>
    <w:p w14:paraId="1A82F8C7" w14:textId="77777777" w:rsidR="000F267E" w:rsidRPr="00201E26" w:rsidRDefault="0079571B" w:rsidP="00201E26">
      <w:pPr>
        <w:ind w:left="720"/>
        <w:rPr>
          <w:i/>
        </w:rPr>
      </w:pPr>
      <w:r>
        <w:rPr>
          <w:i/>
        </w:rPr>
        <w:t>Sprycel</w:t>
      </w:r>
      <w:r w:rsidR="000F267E" w:rsidRPr="00201E26">
        <w:rPr>
          <w:i/>
        </w:rPr>
        <w:t xml:space="preserve"> is indicated for the treatment of adults aged 18 years or over with Philadelphia chromosome positive acute lymphoblastic leukaemia with resistance o</w:t>
      </w:r>
      <w:r w:rsidR="00201E26">
        <w:rPr>
          <w:i/>
        </w:rPr>
        <w:t>r intolerance to prior therapy.</w:t>
      </w:r>
    </w:p>
    <w:p w14:paraId="2D8EA231" w14:textId="77777777" w:rsidR="003720F6" w:rsidRDefault="003720F6" w:rsidP="003720F6">
      <w:pPr>
        <w:pStyle w:val="Heading4"/>
      </w:pPr>
      <w:bookmarkStart w:id="16" w:name="_Toc247691505"/>
      <w:bookmarkStart w:id="17" w:name="_Toc314842486"/>
      <w:r>
        <w:t>International regulatory status</w:t>
      </w:r>
    </w:p>
    <w:p w14:paraId="53F0F89B" w14:textId="77777777" w:rsidR="00940A89" w:rsidRPr="003720F6" w:rsidRDefault="003720F6" w:rsidP="003720F6">
      <w:r w:rsidRPr="003720F6">
        <w:t>This</w:t>
      </w:r>
      <w:r>
        <w:t xml:space="preserve"> </w:t>
      </w:r>
      <w:r w:rsidRPr="003720F6">
        <w:t>application is specific to Australia and is not planned to be submitted elsewhere in the world</w:t>
      </w:r>
      <w:r>
        <w:t>.</w:t>
      </w:r>
    </w:p>
    <w:p w14:paraId="5E7E4519" w14:textId="77777777" w:rsidR="008E7846" w:rsidRDefault="008E7846" w:rsidP="00940A89">
      <w:pPr>
        <w:pStyle w:val="Heading3"/>
      </w:pPr>
      <w:bookmarkStart w:id="18" w:name="_Toc20401726"/>
      <w:r>
        <w:t>Product Information</w:t>
      </w:r>
      <w:bookmarkEnd w:id="16"/>
      <w:bookmarkEnd w:id="17"/>
      <w:bookmarkEnd w:id="18"/>
    </w:p>
    <w:p w14:paraId="2D2DB46A" w14:textId="0129D6B6" w:rsidR="00940A89" w:rsidRDefault="006136D7" w:rsidP="00940A89">
      <w:bookmarkStart w:id="19" w:name="_Toc247691506"/>
      <w:bookmarkStart w:id="20"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B90B8B">
        <w:t>&lt;</w:t>
      </w:r>
      <w:hyperlink r:id="rId16" w:history="1">
        <w:r w:rsidR="00441C3F" w:rsidRPr="00441C3F">
          <w:rPr>
            <w:rStyle w:val="Hyperlink"/>
          </w:rPr>
          <w:t>https://www.tga.gov.au/product-information-pi</w:t>
        </w:r>
      </w:hyperlink>
      <w:r w:rsidR="00B90B8B">
        <w:t>&gt;</w:t>
      </w:r>
      <w:r w:rsidR="00940A89" w:rsidRPr="00940A89">
        <w:t>.</w:t>
      </w:r>
    </w:p>
    <w:p w14:paraId="4D6F024D" w14:textId="77777777" w:rsidR="00500337" w:rsidRDefault="00500337" w:rsidP="00500337">
      <w:pPr>
        <w:pStyle w:val="Heading2"/>
      </w:pPr>
      <w:bookmarkStart w:id="21" w:name="_Toc504480011"/>
      <w:bookmarkStart w:id="22" w:name="_Toc20401727"/>
      <w:r>
        <w:lastRenderedPageBreak/>
        <w:t>II. Registration time line</w:t>
      </w:r>
      <w:bookmarkEnd w:id="21"/>
      <w:bookmarkEnd w:id="22"/>
    </w:p>
    <w:p w14:paraId="36B81BDD" w14:textId="3D1EA5C3" w:rsidR="00500337" w:rsidRDefault="00500337" w:rsidP="003720F6">
      <w:r>
        <w:t>The following table captures the key steps and dates for this application and which are detailed and discussed i</w:t>
      </w:r>
      <w:r w:rsidR="003720F6">
        <w:t>n this AusPAR.</w:t>
      </w:r>
    </w:p>
    <w:p w14:paraId="5011C999" w14:textId="77777777" w:rsidR="00BB4D43" w:rsidRPr="00377BD4" w:rsidRDefault="00BB4D43" w:rsidP="00BB4D43">
      <w:pPr>
        <w:pStyle w:val="TableTitle"/>
      </w:pPr>
      <w:r>
        <w:t>Table 1: Timeline for Submission PM-2016-04272-1-4</w:t>
      </w:r>
    </w:p>
    <w:tbl>
      <w:tblPr>
        <w:tblStyle w:val="TableTGAblue"/>
        <w:tblW w:w="0" w:type="auto"/>
        <w:tblLook w:val="04A0" w:firstRow="1" w:lastRow="0" w:firstColumn="1" w:lastColumn="0" w:noHBand="0" w:noVBand="1"/>
      </w:tblPr>
      <w:tblGrid>
        <w:gridCol w:w="4360"/>
        <w:gridCol w:w="4360"/>
      </w:tblGrid>
      <w:tr w:rsidR="00500337" w14:paraId="564D75EA"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56FC407" w14:textId="77777777" w:rsidR="00500337" w:rsidRDefault="00500337" w:rsidP="00500337">
            <w:pPr>
              <w:ind w:left="0" w:right="0"/>
            </w:pPr>
            <w:r>
              <w:t>Description</w:t>
            </w:r>
          </w:p>
        </w:tc>
        <w:tc>
          <w:tcPr>
            <w:tcW w:w="4360" w:type="dxa"/>
          </w:tcPr>
          <w:p w14:paraId="3BC02B64" w14:textId="77777777" w:rsidR="00500337" w:rsidRDefault="00500337" w:rsidP="00500337">
            <w:pPr>
              <w:ind w:left="0" w:right="0"/>
            </w:pPr>
            <w:r>
              <w:t>Date</w:t>
            </w:r>
          </w:p>
        </w:tc>
      </w:tr>
      <w:tr w:rsidR="00500337" w14:paraId="40A63F8B" w14:textId="77777777" w:rsidTr="00500337">
        <w:tc>
          <w:tcPr>
            <w:tcW w:w="4360" w:type="dxa"/>
          </w:tcPr>
          <w:p w14:paraId="74B182FF" w14:textId="77777777" w:rsidR="00500337" w:rsidRDefault="00500337" w:rsidP="00500337">
            <w:pPr>
              <w:ind w:left="0" w:right="0"/>
            </w:pPr>
            <w:r>
              <w:t>Submission dossier accepted and first round evaluation commenced</w:t>
            </w:r>
          </w:p>
        </w:tc>
        <w:tc>
          <w:tcPr>
            <w:tcW w:w="4360" w:type="dxa"/>
          </w:tcPr>
          <w:p w14:paraId="58FB6D8A" w14:textId="77777777" w:rsidR="00500337" w:rsidRDefault="00E21E96" w:rsidP="00500337">
            <w:pPr>
              <w:ind w:left="0" w:right="0"/>
            </w:pPr>
            <w:r>
              <w:t>28 February 2017</w:t>
            </w:r>
          </w:p>
        </w:tc>
      </w:tr>
      <w:tr w:rsidR="00500337" w14:paraId="7E093B30" w14:textId="77777777" w:rsidTr="00500337">
        <w:tc>
          <w:tcPr>
            <w:tcW w:w="4360" w:type="dxa"/>
          </w:tcPr>
          <w:p w14:paraId="44E08D5D" w14:textId="77777777" w:rsidR="00500337" w:rsidRDefault="00500337" w:rsidP="00500337">
            <w:pPr>
              <w:ind w:left="0" w:right="0"/>
            </w:pPr>
            <w:r>
              <w:t>First round evaluation completed</w:t>
            </w:r>
          </w:p>
        </w:tc>
        <w:tc>
          <w:tcPr>
            <w:tcW w:w="4360" w:type="dxa"/>
          </w:tcPr>
          <w:p w14:paraId="759C08C4" w14:textId="77777777" w:rsidR="00500337" w:rsidRDefault="00E21E96" w:rsidP="00500337">
            <w:pPr>
              <w:ind w:left="0" w:right="0"/>
            </w:pPr>
            <w:r>
              <w:t>31 July 2017</w:t>
            </w:r>
          </w:p>
        </w:tc>
      </w:tr>
      <w:tr w:rsidR="00500337" w14:paraId="2D48AF74" w14:textId="77777777" w:rsidTr="00500337">
        <w:tc>
          <w:tcPr>
            <w:tcW w:w="4360" w:type="dxa"/>
          </w:tcPr>
          <w:p w14:paraId="4330A789" w14:textId="77777777" w:rsidR="00500337" w:rsidRDefault="00500337" w:rsidP="00500337">
            <w:pPr>
              <w:ind w:left="0" w:right="0"/>
            </w:pPr>
            <w:r>
              <w:t>Sponsor provides responses on questions raised in first round evaluation</w:t>
            </w:r>
          </w:p>
        </w:tc>
        <w:tc>
          <w:tcPr>
            <w:tcW w:w="4360" w:type="dxa"/>
          </w:tcPr>
          <w:p w14:paraId="3C97F96D" w14:textId="77777777" w:rsidR="00500337" w:rsidRDefault="00E21E96" w:rsidP="00500337">
            <w:pPr>
              <w:ind w:left="0" w:right="0"/>
            </w:pPr>
            <w:r>
              <w:t>1 August 2017</w:t>
            </w:r>
          </w:p>
        </w:tc>
      </w:tr>
      <w:tr w:rsidR="00500337" w14:paraId="2631FF99" w14:textId="77777777" w:rsidTr="00500337">
        <w:tc>
          <w:tcPr>
            <w:tcW w:w="4360" w:type="dxa"/>
          </w:tcPr>
          <w:p w14:paraId="587FBB59" w14:textId="77777777" w:rsidR="00500337" w:rsidRDefault="00500337" w:rsidP="00500337">
            <w:pPr>
              <w:ind w:left="0" w:right="0"/>
            </w:pPr>
            <w:r>
              <w:t>Second round evaluation completed</w:t>
            </w:r>
          </w:p>
        </w:tc>
        <w:tc>
          <w:tcPr>
            <w:tcW w:w="4360" w:type="dxa"/>
          </w:tcPr>
          <w:p w14:paraId="374326BD" w14:textId="77777777" w:rsidR="00500337" w:rsidRDefault="00E21E96" w:rsidP="00500337">
            <w:pPr>
              <w:ind w:left="0" w:right="0"/>
            </w:pPr>
            <w:r>
              <w:t>16 November 2017</w:t>
            </w:r>
          </w:p>
        </w:tc>
      </w:tr>
      <w:tr w:rsidR="00500337" w14:paraId="78A06DE3" w14:textId="77777777" w:rsidTr="00500337">
        <w:tc>
          <w:tcPr>
            <w:tcW w:w="4360" w:type="dxa"/>
          </w:tcPr>
          <w:p w14:paraId="67274960" w14:textId="77777777" w:rsidR="00500337" w:rsidRDefault="00500337" w:rsidP="00500337">
            <w:pPr>
              <w:ind w:left="0" w:right="0"/>
            </w:pPr>
            <w:r>
              <w:t>Delegate’s Overall benefit-risk assessment and request for Advisory Committee advice</w:t>
            </w:r>
          </w:p>
        </w:tc>
        <w:tc>
          <w:tcPr>
            <w:tcW w:w="4360" w:type="dxa"/>
          </w:tcPr>
          <w:p w14:paraId="6936DBF0" w14:textId="77777777" w:rsidR="00500337" w:rsidRDefault="00B90B8B" w:rsidP="00500337">
            <w:pPr>
              <w:ind w:left="0" w:right="0"/>
            </w:pPr>
            <w:r>
              <w:t>18 November 2017</w:t>
            </w:r>
          </w:p>
        </w:tc>
      </w:tr>
      <w:tr w:rsidR="00500337" w14:paraId="5842691E" w14:textId="77777777" w:rsidTr="00500337">
        <w:tc>
          <w:tcPr>
            <w:tcW w:w="4360" w:type="dxa"/>
          </w:tcPr>
          <w:p w14:paraId="3DA4864A" w14:textId="77777777" w:rsidR="00500337" w:rsidRDefault="00500337" w:rsidP="00500337">
            <w:pPr>
              <w:ind w:left="0" w:right="0"/>
            </w:pPr>
            <w:r>
              <w:t>Sponsor’s pre-Advisory Committee response</w:t>
            </w:r>
          </w:p>
        </w:tc>
        <w:tc>
          <w:tcPr>
            <w:tcW w:w="4360" w:type="dxa"/>
          </w:tcPr>
          <w:p w14:paraId="6BC0A337" w14:textId="77777777" w:rsidR="00500337" w:rsidRDefault="00B90B8B" w:rsidP="00500337">
            <w:pPr>
              <w:ind w:left="0" w:right="0"/>
            </w:pPr>
            <w:r>
              <w:t>12 January 2018</w:t>
            </w:r>
          </w:p>
        </w:tc>
      </w:tr>
      <w:tr w:rsidR="00500337" w14:paraId="0E51A0A8" w14:textId="77777777" w:rsidTr="00500337">
        <w:tc>
          <w:tcPr>
            <w:tcW w:w="4360" w:type="dxa"/>
          </w:tcPr>
          <w:p w14:paraId="06C792B9" w14:textId="77777777" w:rsidR="00500337" w:rsidRDefault="00500337" w:rsidP="00500337">
            <w:pPr>
              <w:ind w:left="0" w:right="0"/>
            </w:pPr>
            <w:r>
              <w:t>Advisory Committee meeting</w:t>
            </w:r>
          </w:p>
        </w:tc>
        <w:tc>
          <w:tcPr>
            <w:tcW w:w="4360" w:type="dxa"/>
          </w:tcPr>
          <w:p w14:paraId="3154691F" w14:textId="77777777" w:rsidR="00500337" w:rsidRDefault="00B90B8B" w:rsidP="00500337">
            <w:pPr>
              <w:ind w:left="0" w:right="0"/>
            </w:pPr>
            <w:r>
              <w:t>1-2 February 2018</w:t>
            </w:r>
          </w:p>
        </w:tc>
      </w:tr>
      <w:tr w:rsidR="00500337" w14:paraId="47B156DB" w14:textId="77777777" w:rsidTr="00500337">
        <w:tc>
          <w:tcPr>
            <w:tcW w:w="4360" w:type="dxa"/>
          </w:tcPr>
          <w:p w14:paraId="6C8D1110" w14:textId="77777777" w:rsidR="00500337" w:rsidRDefault="00500337" w:rsidP="00500337">
            <w:pPr>
              <w:ind w:left="0" w:right="0"/>
            </w:pPr>
            <w:r>
              <w:t>Registration decision (Outcome)</w:t>
            </w:r>
          </w:p>
        </w:tc>
        <w:tc>
          <w:tcPr>
            <w:tcW w:w="4360" w:type="dxa"/>
          </w:tcPr>
          <w:p w14:paraId="7AD49050" w14:textId="77777777" w:rsidR="00500337" w:rsidRDefault="00B90B8B" w:rsidP="00500337">
            <w:pPr>
              <w:ind w:left="0" w:right="0"/>
            </w:pPr>
            <w:r>
              <w:t>7 March 2018</w:t>
            </w:r>
          </w:p>
        </w:tc>
      </w:tr>
      <w:tr w:rsidR="00500337" w14:paraId="347B61ED" w14:textId="77777777" w:rsidTr="00500337">
        <w:tc>
          <w:tcPr>
            <w:tcW w:w="4360" w:type="dxa"/>
          </w:tcPr>
          <w:p w14:paraId="795DEAE5" w14:textId="77777777" w:rsidR="00500337" w:rsidRDefault="00500337" w:rsidP="00500337">
            <w:pPr>
              <w:ind w:left="0" w:right="0"/>
            </w:pPr>
            <w:r>
              <w:t>Completion of administrative activities and registration on ARTG</w:t>
            </w:r>
          </w:p>
        </w:tc>
        <w:tc>
          <w:tcPr>
            <w:tcW w:w="4360" w:type="dxa"/>
          </w:tcPr>
          <w:p w14:paraId="23093D24" w14:textId="77777777" w:rsidR="00500337" w:rsidRDefault="00B90B8B" w:rsidP="00500337">
            <w:pPr>
              <w:ind w:left="0" w:right="0"/>
            </w:pPr>
            <w:r>
              <w:t>9 March 2018</w:t>
            </w:r>
          </w:p>
        </w:tc>
      </w:tr>
      <w:tr w:rsidR="00500337" w14:paraId="689DCB0B" w14:textId="77777777" w:rsidTr="00500337">
        <w:tc>
          <w:tcPr>
            <w:tcW w:w="4360" w:type="dxa"/>
          </w:tcPr>
          <w:p w14:paraId="7C687E63" w14:textId="77777777" w:rsidR="00500337" w:rsidRDefault="00500337" w:rsidP="00500337">
            <w:pPr>
              <w:ind w:left="0" w:right="0"/>
            </w:pPr>
            <w:r>
              <w:t>Number of working days from submission dossier acceptance to registration decision*</w:t>
            </w:r>
          </w:p>
        </w:tc>
        <w:tc>
          <w:tcPr>
            <w:tcW w:w="4360" w:type="dxa"/>
          </w:tcPr>
          <w:p w14:paraId="4FC58C22" w14:textId="77777777" w:rsidR="00500337" w:rsidRDefault="00E21E96" w:rsidP="00500337">
            <w:pPr>
              <w:ind w:left="0" w:right="0"/>
            </w:pPr>
            <w:r>
              <w:t>212</w:t>
            </w:r>
          </w:p>
        </w:tc>
      </w:tr>
    </w:tbl>
    <w:p w14:paraId="088344E8"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2EF73EF1" w14:textId="33150AEB" w:rsidR="00500337" w:rsidRDefault="00500337" w:rsidP="00500337">
      <w:r>
        <w:t xml:space="preserve">Evaluations included </w:t>
      </w:r>
      <w:r w:rsidR="00EB1B9E">
        <w:t xml:space="preserve">under quality findings and nonclinical </w:t>
      </w:r>
      <w:r>
        <w:t>findings incorporate both the first and second round evaluations.</w:t>
      </w:r>
    </w:p>
    <w:p w14:paraId="5E36620A" w14:textId="77777777" w:rsidR="00500337" w:rsidRDefault="00500337" w:rsidP="00500337">
      <w:r w:rsidRPr="007B0A0F">
        <w:t>TGA guidance at pre-submission meetings is nonbinding and without prejudice.</w:t>
      </w:r>
    </w:p>
    <w:p w14:paraId="675C0634" w14:textId="77777777" w:rsidR="008E7846" w:rsidRPr="003602A9" w:rsidRDefault="00500337" w:rsidP="008E7846">
      <w:pPr>
        <w:pStyle w:val="Heading2"/>
        <w:ind w:left="-11"/>
      </w:pPr>
      <w:bookmarkStart w:id="23" w:name="_Toc20401728"/>
      <w:r>
        <w:t>I</w:t>
      </w:r>
      <w:r w:rsidR="008E7846">
        <w:t>II. Quality</w:t>
      </w:r>
      <w:bookmarkEnd w:id="2"/>
      <w:r w:rsidR="008E7846">
        <w:t xml:space="preserve"> findings</w:t>
      </w:r>
      <w:bookmarkEnd w:id="19"/>
      <w:bookmarkEnd w:id="20"/>
      <w:bookmarkEnd w:id="23"/>
    </w:p>
    <w:p w14:paraId="5066DA4C" w14:textId="77777777" w:rsidR="00940A89" w:rsidRPr="00940A89" w:rsidRDefault="00940A89" w:rsidP="00940A89">
      <w:bookmarkStart w:id="24" w:name="_Toc247691507"/>
      <w:bookmarkStart w:id="25" w:name="_Toc314842488"/>
      <w:r w:rsidRPr="00940A89">
        <w:t>There was no requirement for a quality evaluation in a submission of this type.</w:t>
      </w:r>
    </w:p>
    <w:p w14:paraId="14D1748C" w14:textId="77777777" w:rsidR="008E7846" w:rsidRDefault="008E7846" w:rsidP="008E7846">
      <w:pPr>
        <w:pStyle w:val="Heading2"/>
      </w:pPr>
      <w:bookmarkStart w:id="26" w:name="_Toc196046439"/>
      <w:bookmarkStart w:id="27" w:name="_Toc247691510"/>
      <w:bookmarkStart w:id="28" w:name="_Toc314842494"/>
      <w:bookmarkStart w:id="29" w:name="_Toc20401729"/>
      <w:bookmarkEnd w:id="24"/>
      <w:bookmarkEnd w:id="25"/>
      <w:r>
        <w:t>I</w:t>
      </w:r>
      <w:r w:rsidR="00500337">
        <w:t>V</w:t>
      </w:r>
      <w:r>
        <w:t>. Nonclinical</w:t>
      </w:r>
      <w:bookmarkEnd w:id="26"/>
      <w:r>
        <w:t xml:space="preserve"> findings</w:t>
      </w:r>
      <w:bookmarkEnd w:id="27"/>
      <w:bookmarkEnd w:id="28"/>
      <w:bookmarkEnd w:id="29"/>
    </w:p>
    <w:p w14:paraId="4270D7A8" w14:textId="77777777" w:rsidR="00940A89" w:rsidRDefault="00940A89" w:rsidP="000E6196">
      <w:bookmarkStart w:id="30" w:name="_Toc247691511"/>
      <w:bookmarkStart w:id="31" w:name="_Toc314842495"/>
      <w:r>
        <w:t>There was no requirement for a nonclinical evaluation in a submission of this type.</w:t>
      </w:r>
    </w:p>
    <w:p w14:paraId="7E0E15BA" w14:textId="77777777" w:rsidR="008E7846" w:rsidRPr="00254787" w:rsidRDefault="008E7846" w:rsidP="008E7846">
      <w:pPr>
        <w:pStyle w:val="Heading2"/>
      </w:pPr>
      <w:bookmarkStart w:id="32" w:name="_Toc196046462"/>
      <w:bookmarkStart w:id="33" w:name="_Toc247691516"/>
      <w:bookmarkStart w:id="34" w:name="_Toc314842500"/>
      <w:bookmarkStart w:id="35" w:name="_Toc20401730"/>
      <w:bookmarkStart w:id="36" w:name="_Toc163441353"/>
      <w:bookmarkStart w:id="37" w:name="_Toc163441348"/>
      <w:bookmarkEnd w:id="30"/>
      <w:bookmarkEnd w:id="31"/>
      <w:r>
        <w:t xml:space="preserve">V. </w:t>
      </w:r>
      <w:r w:rsidRPr="00254787">
        <w:t>Clinical</w:t>
      </w:r>
      <w:bookmarkEnd w:id="32"/>
      <w:r>
        <w:t xml:space="preserve"> </w:t>
      </w:r>
      <w:r w:rsidR="003A7F6C">
        <w:t>f</w:t>
      </w:r>
      <w:r>
        <w:t>indings</w:t>
      </w:r>
      <w:bookmarkEnd w:id="33"/>
      <w:bookmarkEnd w:id="34"/>
      <w:bookmarkEnd w:id="35"/>
    </w:p>
    <w:p w14:paraId="7D648EA2" w14:textId="77777777" w:rsidR="00C80137" w:rsidRDefault="00C80137" w:rsidP="00D425BB">
      <w:bookmarkStart w:id="38" w:name="_Toc196046463"/>
      <w:r>
        <w:t xml:space="preserve">A summary of the </w:t>
      </w:r>
      <w:r w:rsidRPr="00FD70B8">
        <w:t>clinical findings is presented in this section.</w:t>
      </w:r>
    </w:p>
    <w:p w14:paraId="15C0C5AE" w14:textId="77777777" w:rsidR="008E7846" w:rsidRDefault="008E7846" w:rsidP="008E7846">
      <w:pPr>
        <w:pStyle w:val="Heading3"/>
      </w:pPr>
      <w:bookmarkStart w:id="39" w:name="_Toc247691517"/>
      <w:bookmarkStart w:id="40" w:name="_Toc314842501"/>
      <w:bookmarkStart w:id="41" w:name="_Toc20401731"/>
      <w:r w:rsidRPr="00254787">
        <w:lastRenderedPageBreak/>
        <w:t>Introduction</w:t>
      </w:r>
      <w:bookmarkEnd w:id="38"/>
      <w:bookmarkEnd w:id="39"/>
      <w:bookmarkEnd w:id="40"/>
      <w:bookmarkEnd w:id="41"/>
    </w:p>
    <w:p w14:paraId="1F6C5C2F" w14:textId="77777777" w:rsidR="004466D5" w:rsidRDefault="004466D5" w:rsidP="004466D5">
      <w:r w:rsidRPr="004466D5">
        <w:t>The drug is a broad spectrum competitive inhibitor of 5 oncogenic tyrosine kinases/kinase families that transmit growth signals from the cell membrane to the nucleus: BCR-ABL, SRC, c-KIT, PDGFR and ephrin receptor kinases.</w:t>
      </w:r>
    </w:p>
    <w:p w14:paraId="1B1944DA" w14:textId="77777777" w:rsidR="004466D5" w:rsidRPr="004466D5" w:rsidRDefault="004466D5" w:rsidP="004466D5">
      <w:pPr>
        <w:pStyle w:val="Heading4"/>
      </w:pPr>
      <w:bookmarkStart w:id="42" w:name="_Toc477853140"/>
      <w:r w:rsidRPr="004466D5">
        <w:t>Dosage and administration</w:t>
      </w:r>
      <w:bookmarkEnd w:id="42"/>
    </w:p>
    <w:p w14:paraId="33732781" w14:textId="7DC11768" w:rsidR="004466D5" w:rsidRPr="004466D5" w:rsidRDefault="004466D5" w:rsidP="004466D5">
      <w:r w:rsidRPr="004466D5">
        <w:t xml:space="preserve">For the new indication </w:t>
      </w:r>
      <w:r w:rsidR="00B90B8B">
        <w:t>proposed</w:t>
      </w:r>
      <w:r w:rsidRPr="004466D5">
        <w:t xml:space="preserve">, that of newly diagnosed Philadelphia chromosome positive ALL </w:t>
      </w:r>
      <w:r w:rsidR="00B33550">
        <w:t xml:space="preserve">(Ph+ ALL) </w:t>
      </w:r>
      <w:r w:rsidRPr="004466D5">
        <w:t>in adults, integrated with chemotherapy, the dosage instructions are as follows:</w:t>
      </w:r>
    </w:p>
    <w:p w14:paraId="63BF3E34" w14:textId="5BC9F2AC" w:rsidR="004466D5" w:rsidRPr="00400300" w:rsidRDefault="004466D5" w:rsidP="00B90B8B">
      <w:pPr>
        <w:ind w:left="720"/>
        <w:rPr>
          <w:i/>
        </w:rPr>
      </w:pPr>
      <w:r w:rsidRPr="00400300">
        <w:rPr>
          <w:i/>
        </w:rPr>
        <w:t xml:space="preserve">The recommended starting dosage of </w:t>
      </w:r>
      <w:r w:rsidR="0079571B" w:rsidRPr="00400300">
        <w:rPr>
          <w:i/>
        </w:rPr>
        <w:t>Sprycel</w:t>
      </w:r>
      <w:r w:rsidRPr="00400300">
        <w:rPr>
          <w:i/>
        </w:rPr>
        <w:t xml:space="preserve"> (dasatinib) for newly diagnosed </w:t>
      </w:r>
      <w:r w:rsidR="0079571B" w:rsidRPr="00400300">
        <w:rPr>
          <w:i/>
        </w:rPr>
        <w:t>Ph</w:t>
      </w:r>
      <w:r w:rsidR="0079571B" w:rsidRPr="00400300">
        <w:rPr>
          <w:i/>
          <w:vertAlign w:val="superscript"/>
        </w:rPr>
        <w:t>+</w:t>
      </w:r>
      <w:r w:rsidR="00EB1B9E" w:rsidRPr="00400300">
        <w:rPr>
          <w:i/>
        </w:rPr>
        <w:t> </w:t>
      </w:r>
      <w:r w:rsidRPr="00400300">
        <w:rPr>
          <w:i/>
        </w:rPr>
        <w:t>ALL is 100</w:t>
      </w:r>
      <w:r w:rsidR="00665FCA" w:rsidRPr="00400300">
        <w:rPr>
          <w:i/>
        </w:rPr>
        <w:t xml:space="preserve"> mg</w:t>
      </w:r>
      <w:r w:rsidRPr="00400300">
        <w:rPr>
          <w:i/>
        </w:rPr>
        <w:t xml:space="preserve"> administered orally once daily (QD) and should be taken consistently either in the morning or evening.</w:t>
      </w:r>
    </w:p>
    <w:p w14:paraId="3AC22F87" w14:textId="77777777" w:rsidR="004466D5" w:rsidRDefault="004466D5" w:rsidP="004466D5">
      <w:pPr>
        <w:pStyle w:val="Heading4"/>
      </w:pPr>
      <w:bookmarkStart w:id="43" w:name="_Toc477853141"/>
      <w:r>
        <w:t>Proposed changes to the product documentation</w:t>
      </w:r>
      <w:bookmarkEnd w:id="43"/>
    </w:p>
    <w:p w14:paraId="46A61154" w14:textId="1FD36952" w:rsidR="004466D5" w:rsidRPr="004466D5" w:rsidRDefault="004466D5" w:rsidP="004466D5">
      <w:r w:rsidRPr="004466D5">
        <w:t xml:space="preserve">Changes include updates to the Clinical Trials section to incorporate the supporting data for this proposed new indication, </w:t>
      </w:r>
      <w:r w:rsidR="00FD71D2">
        <w:t>addition of the indication</w:t>
      </w:r>
      <w:r w:rsidRPr="004466D5">
        <w:t xml:space="preserve">, additions to the Dosage and Administration section to manage the treatment for the new indication, and a small statement in Adverse Events to reflect that the safety profile seems no different in this expanded </w:t>
      </w:r>
      <w:r w:rsidR="0079571B" w:rsidRPr="002B11F8">
        <w:t>Ph</w:t>
      </w:r>
      <w:r w:rsidR="0079571B" w:rsidRPr="0079571B">
        <w:rPr>
          <w:vertAlign w:val="superscript"/>
        </w:rPr>
        <w:t>+</w:t>
      </w:r>
      <w:r w:rsidRPr="004466D5">
        <w:t xml:space="preserve"> ALL treatment population than that for </w:t>
      </w:r>
      <w:r w:rsidR="00FD71D2">
        <w:t>the current Ph</w:t>
      </w:r>
      <w:r w:rsidR="00FD71D2" w:rsidRPr="00400300">
        <w:rPr>
          <w:vertAlign w:val="superscript"/>
        </w:rPr>
        <w:t>+</w:t>
      </w:r>
      <w:r w:rsidR="00FD71D2">
        <w:t xml:space="preserve"> ALL </w:t>
      </w:r>
      <w:r w:rsidRPr="004466D5">
        <w:t>indications, based upon the limited data set.</w:t>
      </w:r>
    </w:p>
    <w:p w14:paraId="6BF3A1B3" w14:textId="77777777" w:rsidR="004466D5" w:rsidRPr="004466D5" w:rsidRDefault="004466D5" w:rsidP="004466D5">
      <w:pPr>
        <w:pStyle w:val="Heading4"/>
      </w:pPr>
      <w:bookmarkStart w:id="44" w:name="_Toc477853143"/>
      <w:r w:rsidRPr="004466D5">
        <w:t>Information on the condition being treated</w:t>
      </w:r>
      <w:bookmarkEnd w:id="44"/>
    </w:p>
    <w:p w14:paraId="7C8F363A" w14:textId="77777777" w:rsidR="004466D5" w:rsidRPr="004466D5" w:rsidRDefault="004466D5" w:rsidP="004466D5">
      <w:r w:rsidRPr="004466D5">
        <w:t xml:space="preserve">ALL is a group of haematopoietic neoplasms of cells committed to the lymphoid lineage. </w:t>
      </w:r>
      <w:r w:rsidR="0079571B" w:rsidRPr="002B11F8">
        <w:t>Ph</w:t>
      </w:r>
      <w:r w:rsidR="0079571B" w:rsidRPr="0079571B">
        <w:rPr>
          <w:vertAlign w:val="superscript"/>
        </w:rPr>
        <w:t>+</w:t>
      </w:r>
      <w:r w:rsidRPr="004466D5">
        <w:t xml:space="preserve"> ALL is a biologically distinct variant. About 350 cases of ALL in total are diagnosed in Australia each year. Of these, 40% are adults. Of these 40%, about 25% have Philadelphia chromosome positive (hereafter </w:t>
      </w:r>
      <w:r w:rsidR="0079571B" w:rsidRPr="002B11F8">
        <w:t>Ph</w:t>
      </w:r>
      <w:r w:rsidR="0079571B" w:rsidRPr="0079571B">
        <w:rPr>
          <w:vertAlign w:val="superscript"/>
        </w:rPr>
        <w:t>+</w:t>
      </w:r>
      <w:r w:rsidR="00B90B8B">
        <w:t>) disease.</w:t>
      </w:r>
    </w:p>
    <w:p w14:paraId="1D2045FC" w14:textId="77777777" w:rsidR="004466D5" w:rsidRPr="004466D5" w:rsidRDefault="004466D5" w:rsidP="004466D5">
      <w:r w:rsidRPr="004466D5">
        <w:t xml:space="preserve">This ‘chromosome’ results in a BCR-ABL fusion protein with deregulated tyrosine kinase activity and is the most common cytogenic abnormality in adults with ALL or </w:t>
      </w:r>
      <w:r w:rsidR="00166605">
        <w:t>chronic myeloid leukaemia</w:t>
      </w:r>
      <w:r w:rsidR="00166605" w:rsidRPr="004466D5">
        <w:t xml:space="preserve"> </w:t>
      </w:r>
      <w:r w:rsidR="00166605">
        <w:t>(</w:t>
      </w:r>
      <w:r w:rsidRPr="004466D5">
        <w:t>CML</w:t>
      </w:r>
      <w:r w:rsidR="00166605">
        <w:t>)</w:t>
      </w:r>
      <w:r w:rsidRPr="004466D5">
        <w:t>. Note that this is one of the five tyrosine kinases antagonised by dasatinib.</w:t>
      </w:r>
    </w:p>
    <w:p w14:paraId="7A299236" w14:textId="77777777" w:rsidR="004466D5" w:rsidRPr="004466D5" w:rsidRDefault="004466D5" w:rsidP="004466D5">
      <w:r w:rsidRPr="004466D5">
        <w:t>In general, lymphoblastic neoplasms are grouped into either precursor B cell or precursor T cell. This is done mainly because prognosis and treatment differ between these two groups. What distinguishes the terms ‘lymphoma’ or ‘leukaemia’ are:</w:t>
      </w:r>
    </w:p>
    <w:p w14:paraId="27DB0E44" w14:textId="77777777" w:rsidR="004466D5" w:rsidRPr="004466D5" w:rsidRDefault="004466D5" w:rsidP="004466D5">
      <w:pPr>
        <w:pStyle w:val="ListBullet"/>
      </w:pPr>
      <w:r w:rsidRPr="004466D5">
        <w:t xml:space="preserve">A case is called lymphoma if there is a mass lesion in the mediastinum or elsewhere and </w:t>
      </w:r>
      <w:r w:rsidR="00B90B8B">
        <w:t xml:space="preserve">&lt; </w:t>
      </w:r>
      <w:r w:rsidRPr="004466D5">
        <w:t>25% blasts in the bone marrow.</w:t>
      </w:r>
    </w:p>
    <w:p w14:paraId="19BF08DE" w14:textId="070C6482" w:rsidR="004466D5" w:rsidRPr="004466D5" w:rsidRDefault="004466D5" w:rsidP="004466D5">
      <w:pPr>
        <w:pStyle w:val="ListBullet"/>
      </w:pPr>
      <w:r w:rsidRPr="004466D5">
        <w:t xml:space="preserve">A case is classified as leukaemia if there are </w:t>
      </w:r>
      <w:r w:rsidR="00B90B8B">
        <w:t xml:space="preserve">&gt; </w:t>
      </w:r>
      <w:r w:rsidRPr="004466D5">
        <w:t>25% blasts in the bone marrow with or without a mass lesion.</w:t>
      </w:r>
    </w:p>
    <w:p w14:paraId="50C3EF09" w14:textId="7BF4AE10" w:rsidR="004466D5" w:rsidRPr="004466D5" w:rsidRDefault="004466D5" w:rsidP="004466D5">
      <w:r w:rsidRPr="004466D5">
        <w:t>So in this case, the disease state under study is Philadelphia chromosome positive (</w:t>
      </w:r>
      <w:r w:rsidR="0079571B" w:rsidRPr="002B11F8">
        <w:t>Ph</w:t>
      </w:r>
      <w:r w:rsidR="0079571B" w:rsidRPr="0079571B">
        <w:rPr>
          <w:vertAlign w:val="superscript"/>
        </w:rPr>
        <w:t>+</w:t>
      </w:r>
      <w:r w:rsidRPr="004466D5">
        <w:t xml:space="preserve">) </w:t>
      </w:r>
      <w:r w:rsidR="00B33550">
        <w:t>a</w:t>
      </w:r>
      <w:r w:rsidR="00B33550" w:rsidRPr="004466D5">
        <w:t xml:space="preserve">cute </w:t>
      </w:r>
      <w:r w:rsidR="00B33550">
        <w:t>l</w:t>
      </w:r>
      <w:r w:rsidR="00B33550" w:rsidRPr="004466D5">
        <w:t xml:space="preserve">ymphoblastic </w:t>
      </w:r>
      <w:r w:rsidR="00B33550">
        <w:t>l</w:t>
      </w:r>
      <w:r w:rsidR="00B33550" w:rsidRPr="004466D5">
        <w:t xml:space="preserve">eukaemia </w:t>
      </w:r>
      <w:r w:rsidRPr="004466D5">
        <w:t>(ALL).</w:t>
      </w:r>
    </w:p>
    <w:p w14:paraId="07B60391" w14:textId="74C68622" w:rsidR="004466D5" w:rsidRPr="004466D5" w:rsidRDefault="004466D5" w:rsidP="004466D5">
      <w:r w:rsidRPr="004466D5">
        <w:t xml:space="preserve">Prognosis hinges on tumour and patient characteristics. Age at diagnosis and cytogenic/genetic findings appear to be the strongest predictors of survival. </w:t>
      </w:r>
      <w:r w:rsidR="0079571B" w:rsidRPr="002B11F8">
        <w:t>Ph</w:t>
      </w:r>
      <w:r w:rsidR="0079571B" w:rsidRPr="0079571B">
        <w:rPr>
          <w:vertAlign w:val="superscript"/>
        </w:rPr>
        <w:t>+</w:t>
      </w:r>
      <w:r w:rsidRPr="004466D5">
        <w:t xml:space="preserve"> ALL is a poor prognosis form of precursor</w:t>
      </w:r>
      <w:r w:rsidR="00B33550">
        <w:t xml:space="preserve"> </w:t>
      </w:r>
      <w:r w:rsidRPr="004466D5">
        <w:t>B</w:t>
      </w:r>
      <w:r w:rsidR="00B33550">
        <w:t xml:space="preserve"> cell</w:t>
      </w:r>
      <w:r w:rsidRPr="004466D5">
        <w:t xml:space="preserve"> ALL.</w:t>
      </w:r>
      <w:r w:rsidR="00B90B8B">
        <w:rPr>
          <w:rStyle w:val="FootnoteReference"/>
        </w:rPr>
        <w:footnoteReference w:id="2"/>
      </w:r>
    </w:p>
    <w:p w14:paraId="6CB3763D" w14:textId="77777777" w:rsidR="004466D5" w:rsidRPr="004466D5" w:rsidRDefault="004466D5" w:rsidP="004466D5">
      <w:pPr>
        <w:pStyle w:val="Heading4"/>
      </w:pPr>
      <w:bookmarkStart w:id="45" w:name="_Toc477853144"/>
      <w:r w:rsidRPr="004466D5">
        <w:lastRenderedPageBreak/>
        <w:t>Current treatment options</w:t>
      </w:r>
      <w:bookmarkEnd w:id="45"/>
    </w:p>
    <w:p w14:paraId="3BCBF494" w14:textId="23DF3C2F" w:rsidR="004466D5" w:rsidRPr="004466D5" w:rsidRDefault="004466D5" w:rsidP="004466D5">
      <w:r w:rsidRPr="004466D5">
        <w:t xml:space="preserve">In terms of current induction treatment, </w:t>
      </w:r>
      <w:r w:rsidR="0079571B" w:rsidRPr="002B11F8">
        <w:t>Ph</w:t>
      </w:r>
      <w:r w:rsidR="0079571B" w:rsidRPr="0079571B">
        <w:rPr>
          <w:vertAlign w:val="superscript"/>
        </w:rPr>
        <w:t>+</w:t>
      </w:r>
      <w:r w:rsidRPr="004466D5">
        <w:t xml:space="preserve"> ALL has a uniformly poor prognosis when treated with chemotherapy alone, with few survivors at 5 years. Allogeneic </w:t>
      </w:r>
      <w:r w:rsidR="00EB1B9E" w:rsidRPr="004466D5">
        <w:t>haematopoietic</w:t>
      </w:r>
      <w:r w:rsidRPr="004466D5">
        <w:t xml:space="preserve"> cell transplant (HCT) cures between 30 and 60% of </w:t>
      </w:r>
      <w:r w:rsidR="0079571B" w:rsidRPr="002B11F8">
        <w:t>Ph</w:t>
      </w:r>
      <w:r w:rsidR="0079571B" w:rsidRPr="0079571B">
        <w:rPr>
          <w:vertAlign w:val="superscript"/>
        </w:rPr>
        <w:t>+</w:t>
      </w:r>
      <w:r w:rsidR="00B33550">
        <w:t> </w:t>
      </w:r>
      <w:r w:rsidRPr="004466D5">
        <w:t xml:space="preserve">ALL patients, and literature suggests incorporation of a tyrosine kinase inhibitor (imatinib, dasatinib, nilotinib, bosutinib and ponatinib) into a chemotherapy treatment regimen results in superior response rates, thus allowing more patients to progress to allogeneic HCT. What is still uncertain is which provides better long term outcome: chemotherapy plus a </w:t>
      </w:r>
      <w:r w:rsidR="004476B2">
        <w:t>tyrosine kinase (</w:t>
      </w:r>
      <w:r w:rsidRPr="004466D5">
        <w:t>TK</w:t>
      </w:r>
      <w:r w:rsidR="004476B2">
        <w:t>) inhibitor</w:t>
      </w:r>
      <w:r w:rsidRPr="004466D5">
        <w:t xml:space="preserve"> or allogeneic HCT in first remission.</w:t>
      </w:r>
    </w:p>
    <w:p w14:paraId="1A729355" w14:textId="77777777" w:rsidR="004466D5" w:rsidRPr="004466D5" w:rsidRDefault="004466D5" w:rsidP="004466D5">
      <w:pPr>
        <w:pStyle w:val="ListBullet"/>
      </w:pPr>
      <w:r w:rsidRPr="004466D5">
        <w:t>Induction aims to reduce leukaemia cell popula</w:t>
      </w:r>
      <w:r w:rsidR="00B90B8B">
        <w:t>tions to below 10</w:t>
      </w:r>
      <w:r w:rsidR="00B90B8B" w:rsidRPr="003303E3">
        <w:rPr>
          <w:vertAlign w:val="superscript"/>
        </w:rPr>
        <w:t>9</w:t>
      </w:r>
      <w:r w:rsidR="00B90B8B">
        <w:t xml:space="preserve"> in the body.</w:t>
      </w:r>
    </w:p>
    <w:p w14:paraId="388AD4E2" w14:textId="77777777" w:rsidR="004466D5" w:rsidRPr="004466D5" w:rsidRDefault="004466D5" w:rsidP="004466D5">
      <w:pPr>
        <w:pStyle w:val="ListBullet"/>
      </w:pPr>
      <w:r w:rsidRPr="004466D5">
        <w:t>Consolidation (over 80% achieve a remission) occurs when treated with chemotherapy incorporating a TK inhibitor. Without additional cytotoxic therapy, however, despite continued TK inhibitor use, essentially all patients will relapse in weeks or months.</w:t>
      </w:r>
    </w:p>
    <w:p w14:paraId="4115B400" w14:textId="77777777" w:rsidR="004466D5" w:rsidRPr="004466D5" w:rsidRDefault="004466D5" w:rsidP="004466D5">
      <w:pPr>
        <w:pStyle w:val="ListBullet"/>
      </w:pPr>
      <w:r w:rsidRPr="004466D5">
        <w:t>Maintenance chemotherapy with a TK inhibitor for those who do not have HCT may be offered for two to three years. Some receive a TK inhibitor after HCT as well.</w:t>
      </w:r>
    </w:p>
    <w:p w14:paraId="78A72BEE" w14:textId="5CAB19D8" w:rsidR="004466D5" w:rsidRPr="004466D5" w:rsidRDefault="004466D5" w:rsidP="004466D5">
      <w:pPr>
        <w:pStyle w:val="Heading5"/>
      </w:pPr>
      <w:r>
        <w:t xml:space="preserve">In </w:t>
      </w:r>
      <w:r w:rsidR="00EB1B9E">
        <w:t xml:space="preserve">central nervous system </w:t>
      </w:r>
      <w:r>
        <w:t>involvement</w:t>
      </w:r>
    </w:p>
    <w:p w14:paraId="404D31B0" w14:textId="77777777" w:rsidR="004466D5" w:rsidRPr="004466D5" w:rsidRDefault="004466D5" w:rsidP="004466D5">
      <w:r w:rsidRPr="004466D5">
        <w:t>All current treatment regimens involved prophylaxis for this. Cranial irradiation plus intrathecal chemotherap</w:t>
      </w:r>
      <w:r w:rsidR="003303E3">
        <w:t>y is the mainstay of treatment.</w:t>
      </w:r>
    </w:p>
    <w:p w14:paraId="6C77F9E3" w14:textId="77777777" w:rsidR="004466D5" w:rsidRPr="004466D5" w:rsidRDefault="004466D5" w:rsidP="004466D5">
      <w:pPr>
        <w:pStyle w:val="Heading5"/>
      </w:pPr>
      <w:r w:rsidRPr="004466D5">
        <w:t xml:space="preserve">In older or frail </w:t>
      </w:r>
      <w:r>
        <w:t>patients</w:t>
      </w:r>
    </w:p>
    <w:p w14:paraId="51BA6835" w14:textId="77777777" w:rsidR="004466D5" w:rsidRPr="004466D5" w:rsidRDefault="004466D5" w:rsidP="004466D5">
      <w:r w:rsidRPr="004466D5">
        <w:t>Typically a TK inhibitor plus a steroid is used for induction.</w:t>
      </w:r>
    </w:p>
    <w:p w14:paraId="773CA513" w14:textId="77777777" w:rsidR="004466D5" w:rsidRPr="004466D5" w:rsidRDefault="004466D5" w:rsidP="004466D5">
      <w:pPr>
        <w:pStyle w:val="Heading5"/>
      </w:pPr>
      <w:r>
        <w:t>In young adults or adolescents</w:t>
      </w:r>
    </w:p>
    <w:p w14:paraId="6C95B25A" w14:textId="77777777" w:rsidR="004466D5" w:rsidRPr="004466D5" w:rsidRDefault="004466D5" w:rsidP="004466D5">
      <w:r w:rsidRPr="004466D5">
        <w:t xml:space="preserve">Some studies note </w:t>
      </w:r>
      <w:r w:rsidR="003303E3">
        <w:t xml:space="preserve">that outcomes for those aged 16 to </w:t>
      </w:r>
      <w:r w:rsidRPr="004466D5">
        <w:t>21 can be better when treated on paediatric protocols. This is still under study.</w:t>
      </w:r>
    </w:p>
    <w:p w14:paraId="45E808A0" w14:textId="77777777" w:rsidR="004466D5" w:rsidRPr="004466D5" w:rsidRDefault="004466D5" w:rsidP="004466D5">
      <w:r w:rsidRPr="004466D5">
        <w:t xml:space="preserve">In summary, current clinical treatment appears to support this submission, with recommendations for use of dasatinib or imatinib in patients with newly diagnosed </w:t>
      </w:r>
      <w:r w:rsidR="0079571B" w:rsidRPr="002B11F8">
        <w:t>Ph</w:t>
      </w:r>
      <w:r w:rsidR="0079571B" w:rsidRPr="0079571B">
        <w:rPr>
          <w:vertAlign w:val="superscript"/>
        </w:rPr>
        <w:t>+</w:t>
      </w:r>
      <w:r w:rsidR="003303E3">
        <w:t> </w:t>
      </w:r>
      <w:r w:rsidRPr="004466D5">
        <w:t>ALL. The best schedule and duration of TK inhibitor treatment is yet to be determined. Note that few survivors at 5 years is typical when chemotherapy alone is used.</w:t>
      </w:r>
      <w:r>
        <w:rPr>
          <w:rStyle w:val="FootnoteReference"/>
        </w:rPr>
        <w:footnoteReference w:id="3"/>
      </w:r>
    </w:p>
    <w:p w14:paraId="719FCB8C" w14:textId="77777777" w:rsidR="00605AD4" w:rsidRDefault="00605AD4" w:rsidP="00605AD4">
      <w:pPr>
        <w:pStyle w:val="Heading4"/>
      </w:pPr>
      <w:bookmarkStart w:id="46" w:name="_Toc196046464"/>
      <w:bookmarkStart w:id="47" w:name="_Toc247691518"/>
      <w:bookmarkStart w:id="48" w:name="_Toc314842502"/>
      <w:r w:rsidRPr="00605AD4">
        <w:t xml:space="preserve">Clinical </w:t>
      </w:r>
      <w:r w:rsidR="00EF59DC">
        <w:t>r</w:t>
      </w:r>
      <w:r w:rsidRPr="00605AD4">
        <w:t>ationale</w:t>
      </w:r>
    </w:p>
    <w:p w14:paraId="1A50A981" w14:textId="2D7607E3" w:rsidR="00500337" w:rsidRDefault="004466D5" w:rsidP="00500337">
      <w:r w:rsidRPr="004466D5">
        <w:t xml:space="preserve">The rationale for the submission is to seek approval for treatment of </w:t>
      </w:r>
      <w:r w:rsidR="003303E3">
        <w:t>newly diagnosed</w:t>
      </w:r>
      <w:r w:rsidRPr="004466D5">
        <w:t xml:space="preserve"> </w:t>
      </w:r>
      <w:r w:rsidR="0079571B" w:rsidRPr="002B11F8">
        <w:t>Ph</w:t>
      </w:r>
      <w:r w:rsidR="0079571B" w:rsidRPr="0079571B">
        <w:rPr>
          <w:vertAlign w:val="superscript"/>
        </w:rPr>
        <w:t>+</w:t>
      </w:r>
      <w:r w:rsidR="003303E3">
        <w:t> </w:t>
      </w:r>
      <w:r w:rsidRPr="004466D5">
        <w:t>ALL patients with dasatinib in combination with chemotherapy to achieve an initial remission. Approval already exists for refractory disease</w:t>
      </w:r>
      <w:r w:rsidR="00E047F7">
        <w:t xml:space="preserve"> as monotherapy</w:t>
      </w:r>
      <w:r w:rsidRPr="004466D5">
        <w:t>.</w:t>
      </w:r>
    </w:p>
    <w:p w14:paraId="23838638" w14:textId="77777777" w:rsidR="00F710D5" w:rsidRPr="00F710D5" w:rsidRDefault="00F710D5" w:rsidP="00F710D5">
      <w:pPr>
        <w:pStyle w:val="Heading4"/>
      </w:pPr>
      <w:bookmarkStart w:id="49" w:name="_Toc477853149"/>
      <w:r w:rsidRPr="00F710D5">
        <w:t>Evaluator’s commentary on the background information</w:t>
      </w:r>
      <w:bookmarkEnd w:id="49"/>
    </w:p>
    <w:p w14:paraId="07C0C958" w14:textId="2B80F757" w:rsidR="003303E3" w:rsidRDefault="00F710D5" w:rsidP="00500337">
      <w:r w:rsidRPr="00F710D5">
        <w:t xml:space="preserve">There appears to have been liaison with the TGA prior to submission to agree upon the method of substantiation of efficacy and safety. From the sponsor’s cover letter, a study designated </w:t>
      </w:r>
      <w:r w:rsidR="00B33550">
        <w:t xml:space="preserve">Study </w:t>
      </w:r>
      <w:r w:rsidRPr="00F710D5">
        <w:t>ALL5 has been included as a draft manuscript. This study was conducted by the Australian Leukaemia and Lymphoma Group. It has not been incorporated into the relevant summary documents of the submission. This study (</w:t>
      </w:r>
      <w:r w:rsidR="003303E3">
        <w:t xml:space="preserve">n = </w:t>
      </w:r>
      <w:r w:rsidRPr="00F710D5">
        <w:t xml:space="preserve">20) plus 4 other Phase II published studies are put forward as the ‘pivotal’ data to support the desired indication. There are 8 other publication abstracts submitted in support and four </w:t>
      </w:r>
      <w:r w:rsidR="00EB1B9E" w:rsidRPr="00F710D5">
        <w:t xml:space="preserve">‘reports of analyses </w:t>
      </w:r>
      <w:r w:rsidRPr="00F710D5">
        <w:t xml:space="preserve">from more than one study’ for review. Finally an ‘other’ study report examining the use of imatinib is submitted. This completes the trial data, with </w:t>
      </w:r>
      <w:r w:rsidR="00761035" w:rsidRPr="00F710D5">
        <w:t xml:space="preserve">four </w:t>
      </w:r>
      <w:r w:rsidR="00761035">
        <w:t xml:space="preserve">periodic safety update </w:t>
      </w:r>
      <w:r w:rsidR="00761035">
        <w:lastRenderedPageBreak/>
        <w:t>reports</w:t>
      </w:r>
      <w:r w:rsidR="00761035" w:rsidRPr="00F710D5">
        <w:t xml:space="preserve"> </w:t>
      </w:r>
      <w:r w:rsidR="00761035">
        <w:t>(</w:t>
      </w:r>
      <w:r w:rsidRPr="00F710D5">
        <w:t>PSUR</w:t>
      </w:r>
      <w:r w:rsidR="00761035">
        <w:t>)</w:t>
      </w:r>
      <w:r w:rsidRPr="00F710D5">
        <w:t xml:space="preserve"> then submitted as well as the same number of</w:t>
      </w:r>
      <w:r w:rsidR="00B33550">
        <w:t xml:space="preserve"> periodic benefit risk evaluation reports</w:t>
      </w:r>
      <w:r w:rsidRPr="00F710D5">
        <w:t xml:space="preserve"> </w:t>
      </w:r>
      <w:r w:rsidR="00B33550">
        <w:t>(</w:t>
      </w:r>
      <w:r w:rsidRPr="00F710D5">
        <w:t>PBRER</w:t>
      </w:r>
      <w:r w:rsidR="00B33550">
        <w:t>)</w:t>
      </w:r>
      <w:r w:rsidRPr="00F710D5">
        <w:t>. These will be examined as part of post-market data</w:t>
      </w:r>
      <w:r w:rsidR="003303E3">
        <w:t>.</w:t>
      </w:r>
    </w:p>
    <w:p w14:paraId="09F8F4E3" w14:textId="77777777" w:rsidR="00F710D5" w:rsidRDefault="00F710D5" w:rsidP="00F710D5">
      <w:pPr>
        <w:pStyle w:val="Heading4"/>
      </w:pPr>
      <w:r>
        <w:t>Orphan drug designation</w:t>
      </w:r>
    </w:p>
    <w:p w14:paraId="2ED7599F" w14:textId="71309FF7" w:rsidR="00F710D5" w:rsidRPr="003303E3" w:rsidRDefault="00F710D5" w:rsidP="003303E3">
      <w:r w:rsidRPr="003303E3">
        <w:t>Orphan status was granted on 12</w:t>
      </w:r>
      <w:r w:rsidR="003303E3">
        <w:t xml:space="preserve"> October 20</w:t>
      </w:r>
      <w:r w:rsidRPr="003303E3">
        <w:t>05 by the TGA for the treatment of chronic myeloid leukaemia in patients who are resistant to or intolerant of imatinib</w:t>
      </w:r>
      <w:r w:rsidR="00FD71D2">
        <w:t xml:space="preserve"> and</w:t>
      </w:r>
      <w:r w:rsidRPr="003303E3">
        <w:t xml:space="preserve"> </w:t>
      </w:r>
      <w:r w:rsidR="00FD71D2">
        <w:t>f</w:t>
      </w:r>
      <w:r w:rsidRPr="003303E3">
        <w:t xml:space="preserve">or </w:t>
      </w:r>
      <w:r w:rsidR="00FD71D2">
        <w:t xml:space="preserve">treatment of </w:t>
      </w:r>
      <w:r w:rsidRPr="003303E3">
        <w:t>Philadelphia-positive acute lymphoblastic leukaemia (</w:t>
      </w:r>
      <w:r w:rsidR="0079571B" w:rsidRPr="003303E3">
        <w:t>Ph</w:t>
      </w:r>
      <w:r w:rsidR="0079571B" w:rsidRPr="00CA76AD">
        <w:rPr>
          <w:sz w:val="24"/>
          <w:vertAlign w:val="superscript"/>
        </w:rPr>
        <w:t>+</w:t>
      </w:r>
      <w:r w:rsidR="00CA76AD" w:rsidRPr="00CA76AD">
        <w:rPr>
          <w:sz w:val="24"/>
        </w:rPr>
        <w:t xml:space="preserve"> </w:t>
      </w:r>
      <w:r w:rsidRPr="003303E3">
        <w:t>ALL).</w:t>
      </w:r>
    </w:p>
    <w:p w14:paraId="1695E23C" w14:textId="77777777" w:rsidR="00F710D5" w:rsidRPr="003303E3" w:rsidRDefault="00F710D5" w:rsidP="003303E3">
      <w:r w:rsidRPr="003303E3">
        <w:t>There appear to be no other orphan designations on the TGA website.</w:t>
      </w:r>
    </w:p>
    <w:p w14:paraId="0F14D77D" w14:textId="77777777" w:rsidR="00605AD4" w:rsidRDefault="00605AD4" w:rsidP="00605AD4">
      <w:pPr>
        <w:pStyle w:val="Heading4"/>
      </w:pPr>
      <w:r w:rsidRPr="00605AD4">
        <w:t>Guidance</w:t>
      </w:r>
    </w:p>
    <w:p w14:paraId="2D9B9906" w14:textId="77777777" w:rsidR="00500337" w:rsidRPr="00500337" w:rsidRDefault="00F710D5" w:rsidP="00500337">
      <w:r w:rsidRPr="00F710D5">
        <w:t>A pre-submission meeting with TGA it was agreed that Phase II published trial data could be submitted in lieu of Phase III studies to try and support the desired indication.</w:t>
      </w:r>
      <w:r w:rsidR="003303E3">
        <w:t xml:space="preserve"> </w:t>
      </w:r>
      <w:r w:rsidR="003303E3" w:rsidRPr="007B0A0F">
        <w:t>TGA guidance at pre-submission meetings is nonbinding and without prejudice.</w:t>
      </w:r>
    </w:p>
    <w:p w14:paraId="454A4103" w14:textId="77777777" w:rsidR="00605AD4" w:rsidRDefault="00605AD4" w:rsidP="00605AD4">
      <w:pPr>
        <w:pStyle w:val="Heading4"/>
      </w:pPr>
      <w:r w:rsidRPr="00605AD4">
        <w:t>Contents of the clinical dossier</w:t>
      </w:r>
    </w:p>
    <w:p w14:paraId="4CACF505" w14:textId="1AEEB16C" w:rsidR="003303E3" w:rsidRDefault="00F710D5" w:rsidP="00F710D5">
      <w:r w:rsidRPr="00F710D5">
        <w:t>Four studies are submitted as the pivotal data supporting the proposed indication. Ravandi et al. (presented as 3 papers, 2010, 2013, 2015); Yoon et al</w:t>
      </w:r>
      <w:r w:rsidR="00B33550">
        <w:t>.</w:t>
      </w:r>
      <w:r w:rsidRPr="00F710D5">
        <w:t>; Rousselot et al.</w:t>
      </w:r>
      <w:r w:rsidR="00B33550">
        <w:t>;</w:t>
      </w:r>
      <w:r w:rsidRPr="00F710D5">
        <w:t xml:space="preserve"> and Foa et al.</w:t>
      </w:r>
      <w:bookmarkStart w:id="50" w:name="_Ref531102850"/>
      <w:r w:rsidR="003303E3">
        <w:rPr>
          <w:rStyle w:val="FootnoteReference"/>
        </w:rPr>
        <w:footnoteReference w:id="4"/>
      </w:r>
      <w:bookmarkEnd w:id="50"/>
      <w:r w:rsidR="00B33550">
        <w:rPr>
          <w:vertAlign w:val="superscript"/>
        </w:rPr>
        <w:t>,</w:t>
      </w:r>
      <w:bookmarkStart w:id="51" w:name="_Ref531102992"/>
      <w:r w:rsidR="003303E3">
        <w:rPr>
          <w:rStyle w:val="FootnoteReference"/>
        </w:rPr>
        <w:footnoteReference w:id="5"/>
      </w:r>
      <w:bookmarkEnd w:id="51"/>
      <w:r w:rsidR="00B33550">
        <w:rPr>
          <w:vertAlign w:val="superscript"/>
        </w:rPr>
        <w:t>,</w:t>
      </w:r>
      <w:bookmarkStart w:id="52" w:name="_Ref531103005"/>
      <w:r w:rsidR="003303E3">
        <w:rPr>
          <w:rStyle w:val="FootnoteReference"/>
        </w:rPr>
        <w:footnoteReference w:id="6"/>
      </w:r>
      <w:bookmarkEnd w:id="52"/>
      <w:r w:rsidR="00B33550">
        <w:rPr>
          <w:vertAlign w:val="superscript"/>
        </w:rPr>
        <w:t>,</w:t>
      </w:r>
      <w:bookmarkStart w:id="53" w:name="_Ref531103040"/>
      <w:r w:rsidR="003303E3">
        <w:rPr>
          <w:rStyle w:val="FootnoteReference"/>
        </w:rPr>
        <w:footnoteReference w:id="7"/>
      </w:r>
      <w:bookmarkEnd w:id="53"/>
      <w:r w:rsidR="00B33550">
        <w:rPr>
          <w:vertAlign w:val="superscript"/>
        </w:rPr>
        <w:t>,</w:t>
      </w:r>
      <w:bookmarkStart w:id="54" w:name="_Ref531103064"/>
      <w:r w:rsidR="003303E3">
        <w:rPr>
          <w:rStyle w:val="FootnoteReference"/>
        </w:rPr>
        <w:footnoteReference w:id="8"/>
      </w:r>
      <w:bookmarkEnd w:id="54"/>
      <w:r w:rsidR="00B33550">
        <w:rPr>
          <w:vertAlign w:val="superscript"/>
        </w:rPr>
        <w:t>,</w:t>
      </w:r>
      <w:bookmarkStart w:id="55" w:name="_Ref531103135"/>
      <w:r w:rsidR="003303E3">
        <w:rPr>
          <w:rStyle w:val="FootnoteReference"/>
        </w:rPr>
        <w:footnoteReference w:id="9"/>
      </w:r>
      <w:bookmarkEnd w:id="55"/>
      <w:r w:rsidR="00EB1B9E">
        <w:t xml:space="preserve"> </w:t>
      </w:r>
      <w:r w:rsidRPr="00F710D5">
        <w:t>These papers collectively represent 247 adult patients treated with dasatinib as part of their first-line treatment</w:t>
      </w:r>
      <w:r w:rsidR="003303E3">
        <w:t>.</w:t>
      </w:r>
    </w:p>
    <w:p w14:paraId="22408DFF" w14:textId="77777777" w:rsidR="00F710D5" w:rsidRPr="00F710D5" w:rsidRDefault="00F710D5" w:rsidP="00F710D5">
      <w:r w:rsidRPr="00F710D5">
        <w:t>The aforementioned ALL5 trial is present as Grigg et al. 2017 in draft.</w:t>
      </w:r>
      <w:bookmarkStart w:id="56" w:name="_Ref531103150"/>
      <w:r w:rsidR="003303E3">
        <w:rPr>
          <w:rStyle w:val="FootnoteReference"/>
        </w:rPr>
        <w:footnoteReference w:id="10"/>
      </w:r>
      <w:bookmarkEnd w:id="56"/>
      <w:r w:rsidRPr="00F710D5">
        <w:t xml:space="preserve"> There are then six other supportive but non-pivotal papers presented for evaluation.</w:t>
      </w:r>
    </w:p>
    <w:p w14:paraId="21942690" w14:textId="77777777" w:rsidR="003303E3" w:rsidRDefault="00F710D5" w:rsidP="00500337">
      <w:r w:rsidRPr="00F710D5">
        <w:t>Four analyses of more than one study presented from the literature examine adverse reactions observed when tyrosine kinase inhibitors or specifically dasatinib is used clinically</w:t>
      </w:r>
      <w:r w:rsidR="003303E3">
        <w:t>.</w:t>
      </w:r>
    </w:p>
    <w:p w14:paraId="4B981B42" w14:textId="77777777" w:rsidR="00605AD4" w:rsidRDefault="00605AD4" w:rsidP="00605AD4">
      <w:pPr>
        <w:pStyle w:val="Heading4"/>
      </w:pPr>
      <w:r w:rsidRPr="00605AD4">
        <w:t>Paediatric data</w:t>
      </w:r>
    </w:p>
    <w:p w14:paraId="255A8E9E" w14:textId="77777777" w:rsidR="00500337" w:rsidRPr="00500337" w:rsidRDefault="00F710D5" w:rsidP="00500337">
      <w:pPr>
        <w:rPr>
          <w:lang w:eastAsia="ja-JP"/>
        </w:rPr>
      </w:pPr>
      <w:r>
        <w:rPr>
          <w:lang w:eastAsia="ja-JP"/>
        </w:rPr>
        <w:t xml:space="preserve">The submission relates to adult </w:t>
      </w:r>
      <w:r w:rsidR="0079571B" w:rsidRPr="002B11F8">
        <w:t>Ph</w:t>
      </w:r>
      <w:r w:rsidR="0079571B" w:rsidRPr="0079571B">
        <w:rPr>
          <w:vertAlign w:val="superscript"/>
        </w:rPr>
        <w:t>+</w:t>
      </w:r>
      <w:r>
        <w:rPr>
          <w:lang w:eastAsia="ja-JP"/>
        </w:rPr>
        <w:t xml:space="preserve"> ALL for the most part. There are very few data incorporating children and none specific to children.</w:t>
      </w:r>
      <w:r w:rsidR="003303E3">
        <w:rPr>
          <w:rStyle w:val="FootnoteReference"/>
          <w:lang w:eastAsia="ja-JP"/>
        </w:rPr>
        <w:footnoteReference w:id="11"/>
      </w:r>
    </w:p>
    <w:p w14:paraId="1E1DFC7F" w14:textId="77777777" w:rsidR="00605AD4" w:rsidRDefault="00605AD4" w:rsidP="00605AD4">
      <w:pPr>
        <w:pStyle w:val="Heading4"/>
      </w:pPr>
      <w:r w:rsidRPr="00605AD4">
        <w:lastRenderedPageBreak/>
        <w:t>Good clinical practice</w:t>
      </w:r>
    </w:p>
    <w:p w14:paraId="7F6C5758" w14:textId="005556CF" w:rsidR="00F710D5" w:rsidRPr="00500337" w:rsidRDefault="00F710D5" w:rsidP="00500337">
      <w:pPr>
        <w:rPr>
          <w:lang w:eastAsia="ja-JP"/>
        </w:rPr>
      </w:pPr>
      <w:r>
        <w:rPr>
          <w:lang w:eastAsia="ja-JP"/>
        </w:rPr>
        <w:t xml:space="preserve">Studies were conducted to </w:t>
      </w:r>
      <w:r w:rsidR="00B33550">
        <w:rPr>
          <w:lang w:eastAsia="ja-JP"/>
        </w:rPr>
        <w:t>International Conference on Harmonisation (</w:t>
      </w:r>
      <w:r>
        <w:rPr>
          <w:lang w:eastAsia="ja-JP"/>
        </w:rPr>
        <w:t>ICH</w:t>
      </w:r>
      <w:r w:rsidR="00B33550">
        <w:rPr>
          <w:lang w:eastAsia="ja-JP"/>
        </w:rPr>
        <w:t>) Good Clinical Practice</w:t>
      </w:r>
      <w:r>
        <w:rPr>
          <w:lang w:eastAsia="ja-JP"/>
        </w:rPr>
        <w:t xml:space="preserve"> </w:t>
      </w:r>
      <w:r w:rsidR="00B33550">
        <w:rPr>
          <w:lang w:eastAsia="ja-JP"/>
        </w:rPr>
        <w:t>(</w:t>
      </w:r>
      <w:r>
        <w:rPr>
          <w:lang w:eastAsia="ja-JP"/>
        </w:rPr>
        <w:t>GCP</w:t>
      </w:r>
      <w:r w:rsidR="00B33550">
        <w:rPr>
          <w:lang w:eastAsia="ja-JP"/>
        </w:rPr>
        <w:t>)</w:t>
      </w:r>
      <w:r>
        <w:rPr>
          <w:lang w:eastAsia="ja-JP"/>
        </w:rPr>
        <w:t xml:space="preserve"> standards.</w:t>
      </w:r>
    </w:p>
    <w:p w14:paraId="7A5FC88C" w14:textId="77777777" w:rsidR="008E7846" w:rsidRDefault="008E7846" w:rsidP="00605AD4">
      <w:pPr>
        <w:pStyle w:val="Heading3"/>
      </w:pPr>
      <w:bookmarkStart w:id="57" w:name="_Toc20401732"/>
      <w:r w:rsidRPr="00254787">
        <w:t>Pharmacokinetics</w:t>
      </w:r>
      <w:bookmarkEnd w:id="36"/>
      <w:bookmarkEnd w:id="46"/>
      <w:bookmarkEnd w:id="47"/>
      <w:bookmarkEnd w:id="48"/>
      <w:bookmarkEnd w:id="57"/>
    </w:p>
    <w:p w14:paraId="479D8D2F" w14:textId="65D6F102" w:rsidR="00500337" w:rsidRPr="00500337" w:rsidRDefault="00F710D5" w:rsidP="00500337">
      <w:pPr>
        <w:rPr>
          <w:lang w:eastAsia="ja-JP"/>
        </w:rPr>
      </w:pPr>
      <w:r>
        <w:rPr>
          <w:lang w:eastAsia="ja-JP"/>
        </w:rPr>
        <w:t xml:space="preserve">No </w:t>
      </w:r>
      <w:r w:rsidR="00B33550">
        <w:rPr>
          <w:lang w:eastAsia="ja-JP"/>
        </w:rPr>
        <w:t>pharmacokinetic (</w:t>
      </w:r>
      <w:r>
        <w:rPr>
          <w:lang w:eastAsia="ja-JP"/>
        </w:rPr>
        <w:t>PK</w:t>
      </w:r>
      <w:r w:rsidR="00B33550">
        <w:rPr>
          <w:lang w:eastAsia="ja-JP"/>
        </w:rPr>
        <w:t>)</w:t>
      </w:r>
      <w:r>
        <w:rPr>
          <w:lang w:eastAsia="ja-JP"/>
        </w:rPr>
        <w:t xml:space="preserve"> studies are presented in this submission.</w:t>
      </w:r>
    </w:p>
    <w:p w14:paraId="023E1454" w14:textId="77777777" w:rsidR="008E7846" w:rsidRDefault="008E7846" w:rsidP="008E7846">
      <w:pPr>
        <w:pStyle w:val="Heading3"/>
      </w:pPr>
      <w:bookmarkStart w:id="58" w:name="_Toc196046481"/>
      <w:bookmarkStart w:id="59" w:name="_Toc247691520"/>
      <w:bookmarkStart w:id="60" w:name="_Toc314842503"/>
      <w:bookmarkStart w:id="61" w:name="_Toc20401733"/>
      <w:r w:rsidRPr="00254787">
        <w:t>Pharmacodynamics</w:t>
      </w:r>
      <w:bookmarkEnd w:id="37"/>
      <w:bookmarkEnd w:id="58"/>
      <w:bookmarkEnd w:id="59"/>
      <w:bookmarkEnd w:id="60"/>
      <w:bookmarkEnd w:id="61"/>
    </w:p>
    <w:p w14:paraId="229E7C3C" w14:textId="5BDAFE31" w:rsidR="00500337" w:rsidRPr="00500337" w:rsidRDefault="00F710D5" w:rsidP="00500337">
      <w:pPr>
        <w:rPr>
          <w:lang w:eastAsia="ja-JP"/>
        </w:rPr>
      </w:pPr>
      <w:r>
        <w:rPr>
          <w:lang w:eastAsia="ja-JP"/>
        </w:rPr>
        <w:t xml:space="preserve">No </w:t>
      </w:r>
      <w:r w:rsidR="00B33550">
        <w:rPr>
          <w:lang w:eastAsia="ja-JP"/>
        </w:rPr>
        <w:t>pharmacokinetic (</w:t>
      </w:r>
      <w:r>
        <w:rPr>
          <w:lang w:eastAsia="ja-JP"/>
        </w:rPr>
        <w:t>PD</w:t>
      </w:r>
      <w:r w:rsidR="00B33550">
        <w:rPr>
          <w:lang w:eastAsia="ja-JP"/>
        </w:rPr>
        <w:t>)</w:t>
      </w:r>
      <w:r>
        <w:rPr>
          <w:lang w:eastAsia="ja-JP"/>
        </w:rPr>
        <w:t xml:space="preserve"> studies are presented in this submission.</w:t>
      </w:r>
    </w:p>
    <w:p w14:paraId="3510D999" w14:textId="77777777" w:rsidR="008E7846" w:rsidRDefault="00605AD4" w:rsidP="00605AD4">
      <w:pPr>
        <w:pStyle w:val="Heading3"/>
      </w:pPr>
      <w:bookmarkStart w:id="62" w:name="_Toc20401734"/>
      <w:r>
        <w:t>Dosage selection for the pivotal studies</w:t>
      </w:r>
      <w:bookmarkEnd w:id="62"/>
    </w:p>
    <w:p w14:paraId="62789E38" w14:textId="77777777" w:rsidR="00F710D5" w:rsidRDefault="00F710D5" w:rsidP="00F710D5">
      <w:pPr>
        <w:rPr>
          <w:lang w:eastAsia="ja-JP"/>
        </w:rPr>
      </w:pPr>
      <w:r>
        <w:rPr>
          <w:lang w:eastAsia="ja-JP"/>
        </w:rPr>
        <w:t>Any information on dosage selection will derive from the efficacy studies as they are themselves Phase II.</w:t>
      </w:r>
    </w:p>
    <w:p w14:paraId="485AA9CD" w14:textId="77777777" w:rsidR="008E7846" w:rsidRPr="00254787" w:rsidRDefault="008E7846" w:rsidP="008E7846">
      <w:pPr>
        <w:pStyle w:val="Heading3"/>
      </w:pPr>
      <w:bookmarkStart w:id="63" w:name="_Toc163441372"/>
      <w:bookmarkStart w:id="64" w:name="_Toc196046485"/>
      <w:bookmarkStart w:id="65" w:name="_Toc247691521"/>
      <w:bookmarkStart w:id="66" w:name="_Toc314842504"/>
      <w:bookmarkStart w:id="67" w:name="_Toc20401735"/>
      <w:r w:rsidRPr="00254787">
        <w:t>Efficacy</w:t>
      </w:r>
      <w:bookmarkEnd w:id="63"/>
      <w:bookmarkEnd w:id="64"/>
      <w:bookmarkEnd w:id="65"/>
      <w:bookmarkEnd w:id="66"/>
      <w:bookmarkEnd w:id="67"/>
    </w:p>
    <w:p w14:paraId="5931070C" w14:textId="77777777" w:rsidR="00605AD4" w:rsidRDefault="00605AD4" w:rsidP="00605AD4">
      <w:pPr>
        <w:pStyle w:val="Heading4"/>
      </w:pPr>
      <w:bookmarkStart w:id="68" w:name="_Toc184439992"/>
      <w:bookmarkStart w:id="69" w:name="_Toc184440279"/>
      <w:bookmarkStart w:id="70" w:name="_Toc184444657"/>
      <w:bookmarkStart w:id="71" w:name="_Toc196046487"/>
      <w:r>
        <w:t>Studies providing efficacy data</w:t>
      </w:r>
    </w:p>
    <w:p w14:paraId="48E82E93" w14:textId="52193F4B" w:rsidR="00F710D5" w:rsidRDefault="00F710D5" w:rsidP="00F710D5">
      <w:pPr>
        <w:pStyle w:val="Heading5"/>
      </w:pPr>
      <w:r>
        <w:t xml:space="preserve">Ravandi </w:t>
      </w:r>
      <w:r w:rsidR="00EB1B9E">
        <w:t>studies</w:t>
      </w:r>
    </w:p>
    <w:p w14:paraId="0E4FA7BB" w14:textId="77777777" w:rsidR="00F710D5" w:rsidRPr="00F710D5" w:rsidRDefault="00F710D5" w:rsidP="00F710D5">
      <w:pPr>
        <w:pStyle w:val="ListBullet"/>
      </w:pPr>
      <w:r>
        <w:t xml:space="preserve">2010: </w:t>
      </w:r>
      <w:r w:rsidRPr="00F710D5">
        <w:t xml:space="preserve">The first report of a Phase II study of dasatinib with hyper (cyclophosphamide, vincristine, doxorubicin and dexamethasone) </w:t>
      </w:r>
      <w:r w:rsidR="00CA76AD">
        <w:t xml:space="preserve">(HCVAD) </w:t>
      </w:r>
      <w:r w:rsidRPr="00F710D5">
        <w:t xml:space="preserve">for initial treatment of </w:t>
      </w:r>
      <w:r w:rsidR="0079571B" w:rsidRPr="002B11F8">
        <w:t>Ph</w:t>
      </w:r>
      <w:r w:rsidR="0079571B" w:rsidRPr="0079571B">
        <w:rPr>
          <w:vertAlign w:val="superscript"/>
        </w:rPr>
        <w:t>+</w:t>
      </w:r>
      <w:r w:rsidRPr="00F710D5">
        <w:t xml:space="preserve"> ALL.</w:t>
      </w:r>
    </w:p>
    <w:p w14:paraId="20E25ABF" w14:textId="77777777" w:rsidR="00F710D5" w:rsidRPr="00F710D5" w:rsidRDefault="00F710D5" w:rsidP="00F710D5">
      <w:pPr>
        <w:pStyle w:val="ListBullet"/>
      </w:pPr>
      <w:r>
        <w:t xml:space="preserve">2013: </w:t>
      </w:r>
      <w:r w:rsidRPr="00F710D5">
        <w:t xml:space="preserve">Detection of minimal residual disease (MRD) may predict outcome of </w:t>
      </w:r>
      <w:r w:rsidR="0079571B" w:rsidRPr="002B11F8">
        <w:t>Ph</w:t>
      </w:r>
      <w:r w:rsidR="0079571B" w:rsidRPr="0079571B">
        <w:rPr>
          <w:vertAlign w:val="superscript"/>
        </w:rPr>
        <w:t>+</w:t>
      </w:r>
      <w:r w:rsidRPr="00F710D5">
        <w:t xml:space="preserve"> ALL for those treated with TK inhibitors plus chemotherapy.</w:t>
      </w:r>
    </w:p>
    <w:p w14:paraId="26C01280" w14:textId="77777777" w:rsidR="00500337" w:rsidRPr="00500337" w:rsidRDefault="00F710D5" w:rsidP="00500337">
      <w:pPr>
        <w:pStyle w:val="ListBullet"/>
      </w:pPr>
      <w:r w:rsidRPr="00F710D5">
        <w:t>2015</w:t>
      </w:r>
      <w:r>
        <w:t xml:space="preserve">: </w:t>
      </w:r>
      <w:r w:rsidRPr="00F710D5">
        <w:t>Long term follow up of the 2010 trial.</w:t>
      </w:r>
    </w:p>
    <w:p w14:paraId="31928C6C" w14:textId="77777777" w:rsidR="008E7846" w:rsidRDefault="00605AD4" w:rsidP="00605AD4">
      <w:pPr>
        <w:pStyle w:val="Heading4"/>
      </w:pPr>
      <w:r>
        <w:t>Evaluator’s conclusions on efficacy</w:t>
      </w:r>
    </w:p>
    <w:p w14:paraId="5E21CF7E" w14:textId="77777777" w:rsidR="00F710D5" w:rsidRPr="00F710D5" w:rsidRDefault="00F710D5" w:rsidP="00F710D5">
      <w:r w:rsidRPr="00F710D5">
        <w:t>This evaluator makes the following overall conclusions on clinical efficacy:</w:t>
      </w:r>
    </w:p>
    <w:p w14:paraId="522200D2" w14:textId="2D9E0FE4" w:rsidR="00F710D5" w:rsidRPr="00F710D5" w:rsidRDefault="00F710D5" w:rsidP="00F710D5">
      <w:pPr>
        <w:pStyle w:val="ListBullet"/>
      </w:pPr>
      <w:r w:rsidRPr="00F710D5">
        <w:t xml:space="preserve">In terms of hierarchy of evidence, the data in this submission are of </w:t>
      </w:r>
      <w:r w:rsidR="004C4934">
        <w:t>L</w:t>
      </w:r>
      <w:r w:rsidRPr="00F710D5">
        <w:t>evel III evidence or lower.</w:t>
      </w:r>
    </w:p>
    <w:p w14:paraId="7D864F47" w14:textId="23D46A08" w:rsidR="00F710D5" w:rsidRPr="00F710D5" w:rsidRDefault="00CA76AD" w:rsidP="00F710D5">
      <w:pPr>
        <w:pStyle w:val="ListBullet"/>
      </w:pPr>
      <w:r>
        <w:t xml:space="preserve">First </w:t>
      </w:r>
      <w:r w:rsidR="00F710D5" w:rsidRPr="00F710D5">
        <w:t xml:space="preserve">line treatment regimens for </w:t>
      </w:r>
      <w:r w:rsidR="0079571B" w:rsidRPr="002B11F8">
        <w:t>Ph</w:t>
      </w:r>
      <w:r w:rsidR="0079571B" w:rsidRPr="0079571B">
        <w:rPr>
          <w:vertAlign w:val="superscript"/>
        </w:rPr>
        <w:t>+</w:t>
      </w:r>
      <w:r w:rsidR="00F710D5" w:rsidRPr="00F710D5">
        <w:t xml:space="preserve"> ALL that incorporate a TK</w:t>
      </w:r>
      <w:r w:rsidR="004C4934">
        <w:t xml:space="preserve"> inhibitor</w:t>
      </w:r>
      <w:r w:rsidR="00F710D5" w:rsidRPr="00F710D5">
        <w:t xml:space="preserve"> have been shown to result in very high </w:t>
      </w:r>
      <w:r w:rsidR="00166605" w:rsidRPr="00F710D5">
        <w:t xml:space="preserve">initial </w:t>
      </w:r>
      <w:r w:rsidR="00166605">
        <w:t>complete remission</w:t>
      </w:r>
      <w:r w:rsidR="00166605" w:rsidRPr="00F710D5">
        <w:t xml:space="preserve"> </w:t>
      </w:r>
      <w:r w:rsidR="00166605">
        <w:t>(</w:t>
      </w:r>
      <w:r w:rsidR="00F710D5" w:rsidRPr="00F710D5">
        <w:t>CR</w:t>
      </w:r>
      <w:r w:rsidR="00166605">
        <w:t>)</w:t>
      </w:r>
      <w:r w:rsidR="00F710D5" w:rsidRPr="00F710D5">
        <w:t xml:space="preserve"> success, with or without chemotherapy.</w:t>
      </w:r>
    </w:p>
    <w:p w14:paraId="249C5294" w14:textId="77777777" w:rsidR="003303E3" w:rsidRDefault="00F710D5" w:rsidP="00F710D5">
      <w:pPr>
        <w:pStyle w:val="ListBullet"/>
      </w:pPr>
      <w:r w:rsidRPr="00F710D5">
        <w:t>Dasatinib has already been approved for treatment of this disease, in cases of resistance or intolerance to prior therapy</w:t>
      </w:r>
      <w:r w:rsidR="003303E3">
        <w:t>.</w:t>
      </w:r>
    </w:p>
    <w:p w14:paraId="1C18ADF1" w14:textId="0D85790A" w:rsidR="00F710D5" w:rsidRPr="00F710D5" w:rsidRDefault="00F710D5" w:rsidP="00F710D5">
      <w:pPr>
        <w:pStyle w:val="ListBullet"/>
      </w:pPr>
      <w:r w:rsidRPr="00F710D5">
        <w:t>Comparative data for dasatinib versus use of other TK</w:t>
      </w:r>
      <w:r w:rsidR="004C4934">
        <w:t xml:space="preserve"> inhibitor</w:t>
      </w:r>
      <w:r w:rsidRPr="00F710D5">
        <w:t>s for the same indication suggest similar efficacy but the true quantification of benefit in this regard in terms of comparison between different TK</w:t>
      </w:r>
      <w:r w:rsidR="004C4934">
        <w:t xml:space="preserve"> inhibitor</w:t>
      </w:r>
      <w:r w:rsidRPr="00F710D5">
        <w:t xml:space="preserve">s is not fully circumscribed and would need </w:t>
      </w:r>
      <w:r w:rsidR="00CA76AD">
        <w:t>Phase </w:t>
      </w:r>
      <w:r w:rsidRPr="00F710D5">
        <w:t>III trial data.</w:t>
      </w:r>
    </w:p>
    <w:p w14:paraId="79D5B689" w14:textId="77777777" w:rsidR="00F710D5" w:rsidRPr="00F710D5" w:rsidRDefault="00F710D5" w:rsidP="00F710D5">
      <w:pPr>
        <w:pStyle w:val="ListBullet"/>
      </w:pPr>
      <w:r w:rsidRPr="00F710D5">
        <w:t>The treatment regimens using dasatinib in this submission have varied considerably. These are summarised earlier in this report, but use of chemotherapy, dosage of dasatinib, and continuous or intermittent dosing, all vary across studies.</w:t>
      </w:r>
    </w:p>
    <w:p w14:paraId="16C8AA9F" w14:textId="77777777" w:rsidR="003303E3" w:rsidRDefault="00F710D5" w:rsidP="00F710D5">
      <w:pPr>
        <w:pStyle w:val="ListBullet"/>
      </w:pPr>
      <w:r w:rsidRPr="00F710D5">
        <w:t>Use of the drug is in any case limited by haematological toxicity. The draft PI contains information on dose modification in such instances</w:t>
      </w:r>
      <w:r w:rsidR="003303E3">
        <w:t>.</w:t>
      </w:r>
    </w:p>
    <w:p w14:paraId="2B464B30" w14:textId="77777777" w:rsidR="00500337" w:rsidRPr="00500337" w:rsidRDefault="00F710D5" w:rsidP="00500337">
      <w:pPr>
        <w:pStyle w:val="ListBullet"/>
      </w:pPr>
      <w:r w:rsidRPr="00F710D5">
        <w:lastRenderedPageBreak/>
        <w:t xml:space="preserve">The indications statement in the annotated PI requires integration of dasatinib treatment with chemotherapy and this evaluator supports that as the most robust data are in combination with </w:t>
      </w:r>
      <w:r w:rsidR="00CA76AD">
        <w:t>H</w:t>
      </w:r>
      <w:r w:rsidRPr="00F710D5">
        <w:t>CVAD.</w:t>
      </w:r>
    </w:p>
    <w:p w14:paraId="42BF3778" w14:textId="77777777" w:rsidR="008E7846" w:rsidRPr="002E238E" w:rsidRDefault="008E7846" w:rsidP="008E7846">
      <w:pPr>
        <w:pStyle w:val="Heading3"/>
      </w:pPr>
      <w:bookmarkStart w:id="72" w:name="_Toc163441378"/>
      <w:bookmarkStart w:id="73" w:name="_Toc196046495"/>
      <w:bookmarkStart w:id="74" w:name="_Toc247691522"/>
      <w:bookmarkStart w:id="75" w:name="_Toc314842505"/>
      <w:bookmarkStart w:id="76" w:name="_Toc20401736"/>
      <w:bookmarkEnd w:id="68"/>
      <w:bookmarkEnd w:id="69"/>
      <w:bookmarkEnd w:id="70"/>
      <w:bookmarkEnd w:id="71"/>
      <w:r w:rsidRPr="002E238E">
        <w:t>Safety</w:t>
      </w:r>
      <w:bookmarkEnd w:id="72"/>
      <w:bookmarkEnd w:id="73"/>
      <w:bookmarkEnd w:id="74"/>
      <w:bookmarkEnd w:id="75"/>
      <w:bookmarkEnd w:id="76"/>
    </w:p>
    <w:p w14:paraId="3CBFD7ED" w14:textId="77777777" w:rsidR="00605AD4" w:rsidRDefault="00605AD4" w:rsidP="00605AD4">
      <w:pPr>
        <w:pStyle w:val="Heading4"/>
      </w:pPr>
      <w:bookmarkStart w:id="77" w:name="_Toc247691524"/>
      <w:bookmarkStart w:id="78" w:name="_Toc314842508"/>
      <w:bookmarkStart w:id="79" w:name="_Toc196046504"/>
      <w:bookmarkStart w:id="80" w:name="_Toc163441390"/>
      <w:r w:rsidRPr="00605AD4">
        <w:t>Studies providing safety data</w:t>
      </w:r>
    </w:p>
    <w:p w14:paraId="26CB7711" w14:textId="68081D4A" w:rsidR="00F710D5" w:rsidRPr="00F710D5" w:rsidRDefault="00F710D5" w:rsidP="00F710D5">
      <w:pPr>
        <w:pStyle w:val="Heading5"/>
      </w:pPr>
      <w:r w:rsidRPr="00F710D5">
        <w:t xml:space="preserve">Ravandi </w:t>
      </w:r>
      <w:r w:rsidR="004C4934">
        <w:t>(</w:t>
      </w:r>
      <w:r w:rsidRPr="00F710D5">
        <w:t>2010</w:t>
      </w:r>
      <w:r w:rsidR="004C4934">
        <w:t>)</w:t>
      </w:r>
      <w:r w:rsidR="00CA76AD" w:rsidRPr="00CA76AD">
        <w:rPr>
          <w:vertAlign w:val="superscript"/>
        </w:rPr>
        <w:fldChar w:fldCharType="begin"/>
      </w:r>
      <w:r w:rsidR="00CA76AD" w:rsidRPr="00CA76AD">
        <w:rPr>
          <w:vertAlign w:val="superscript"/>
        </w:rPr>
        <w:instrText xml:space="preserve"> NOTEREF _Ref531102850 \h </w:instrText>
      </w:r>
      <w:r w:rsidR="00CA76AD">
        <w:rPr>
          <w:vertAlign w:val="superscript"/>
        </w:rPr>
        <w:instrText xml:space="preserve"> \* MERGEFORMAT </w:instrText>
      </w:r>
      <w:r w:rsidR="00CA76AD" w:rsidRPr="00CA76AD">
        <w:rPr>
          <w:vertAlign w:val="superscript"/>
        </w:rPr>
      </w:r>
      <w:r w:rsidR="00CA76AD" w:rsidRPr="00CA76AD">
        <w:rPr>
          <w:vertAlign w:val="superscript"/>
        </w:rPr>
        <w:fldChar w:fldCharType="separate"/>
      </w:r>
      <w:r w:rsidR="00CA76AD" w:rsidRPr="00CA76AD">
        <w:rPr>
          <w:vertAlign w:val="superscript"/>
        </w:rPr>
        <w:t>4</w:t>
      </w:r>
      <w:r w:rsidR="00CA76AD" w:rsidRPr="00CA76AD">
        <w:rPr>
          <w:vertAlign w:val="superscript"/>
        </w:rPr>
        <w:fldChar w:fldCharType="end"/>
      </w:r>
    </w:p>
    <w:p w14:paraId="66A38417" w14:textId="54812509" w:rsidR="00F710D5" w:rsidRDefault="00F710D5" w:rsidP="00F710D5">
      <w:r>
        <w:t>Exposure in this study amounted to 35 individuals. Adverse effects amounted to 16</w:t>
      </w:r>
      <w:r w:rsidR="004C4934">
        <w:t> </w:t>
      </w:r>
      <w:r>
        <w:t xml:space="preserve">episodes of bleeding (11 </w:t>
      </w:r>
      <w:r w:rsidR="00166605">
        <w:t xml:space="preserve">gastro </w:t>
      </w:r>
      <w:r w:rsidR="00166605" w:rsidRPr="00166605">
        <w:t>intestinal (</w:t>
      </w:r>
      <w:r w:rsidRPr="00166605">
        <w:t>GI</w:t>
      </w:r>
      <w:r w:rsidR="00166605" w:rsidRPr="00166605">
        <w:t>)</w:t>
      </w:r>
      <w:r w:rsidRPr="00166605">
        <w:t xml:space="preserve">, 2 </w:t>
      </w:r>
      <w:r w:rsidR="00166605" w:rsidRPr="00166605">
        <w:t>genital urinary (</w:t>
      </w:r>
      <w:r w:rsidRPr="00166605">
        <w:t>GU</w:t>
      </w:r>
      <w:r w:rsidR="00166605" w:rsidRPr="00166605">
        <w:t>)</w:t>
      </w:r>
      <w:r w:rsidRPr="00166605">
        <w:t>, 1 soft tissue</w:t>
      </w:r>
      <w:r>
        <w:t xml:space="preserve"> haematoma and 2 subdural haematomas) and 8 pleural effusions.</w:t>
      </w:r>
    </w:p>
    <w:p w14:paraId="2A0F5A0C" w14:textId="7976B125" w:rsidR="00F710D5" w:rsidRDefault="00F710D5" w:rsidP="00F710D5">
      <w:r>
        <w:t xml:space="preserve">Other events included infection, </w:t>
      </w:r>
      <w:r w:rsidR="00166605">
        <w:t xml:space="preserve">deep vein </w:t>
      </w:r>
      <w:r w:rsidR="00166605" w:rsidRPr="00166605">
        <w:t>thrombosis (</w:t>
      </w:r>
      <w:r w:rsidRPr="00166605">
        <w:t>DVT</w:t>
      </w:r>
      <w:r w:rsidR="00166605" w:rsidRPr="00166605">
        <w:t>)</w:t>
      </w:r>
      <w:r w:rsidRPr="00166605">
        <w:t>, pulmonary emboli, diarrhoea, and changes to serum chemistry values such as hypophos</w:t>
      </w:r>
      <w:r>
        <w:t xml:space="preserve">phataemia, </w:t>
      </w:r>
      <w:r w:rsidR="004C4934">
        <w:t>hypo</w:t>
      </w:r>
      <w:r>
        <w:t xml:space="preserve">kalaemia and </w:t>
      </w:r>
      <w:r w:rsidR="004C4934">
        <w:t>hypo</w:t>
      </w:r>
      <w:r>
        <w:t xml:space="preserve">calcaemia. There were also elevated transaminases, hyperglycaemia and a reversible rise in creatinine that was considered unrelated to treatment. </w:t>
      </w:r>
      <w:r w:rsidR="00BB4D43">
        <w:t>Events are summarised in Table 2</w:t>
      </w:r>
      <w:r>
        <w:t>.</w:t>
      </w:r>
    </w:p>
    <w:p w14:paraId="29FE4338" w14:textId="5D356482" w:rsidR="00F710D5" w:rsidRDefault="00BB4D43" w:rsidP="00F710D5">
      <w:pPr>
        <w:pStyle w:val="TableTitle"/>
      </w:pPr>
      <w:r>
        <w:t>Table 2</w:t>
      </w:r>
      <w:r w:rsidR="00F710D5">
        <w:t>: Treatment related toxicities encountered during induction a</w:t>
      </w:r>
      <w:r w:rsidR="004C4934">
        <w:t>n</w:t>
      </w:r>
      <w:r w:rsidR="00F710D5">
        <w:t>d consolidation intensive chemotherapy cycles</w:t>
      </w:r>
    </w:p>
    <w:p w14:paraId="1A65926A" w14:textId="77777777" w:rsidR="00F710D5" w:rsidRDefault="00F710D5" w:rsidP="00F710D5">
      <w:r>
        <w:rPr>
          <w:noProof/>
          <w:lang w:eastAsia="en-AU"/>
        </w:rPr>
        <w:drawing>
          <wp:inline distT="0" distB="0" distL="0" distR="0" wp14:anchorId="231F6E92" wp14:editId="4662B0BE">
            <wp:extent cx="3763107" cy="2527460"/>
            <wp:effectExtent l="0" t="0" r="8890" b="6350"/>
            <wp:docPr id="4" name="Picture 4" descr="Table 2: Treatment related toxicities encountered during induction ad consolidation intensive chemotherapy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Lst>
                    </a:blip>
                    <a:stretch>
                      <a:fillRect/>
                    </a:stretch>
                  </pic:blipFill>
                  <pic:spPr>
                    <a:xfrm>
                      <a:off x="0" y="0"/>
                      <a:ext cx="3764289" cy="2528254"/>
                    </a:xfrm>
                    <a:prstGeom prst="rect">
                      <a:avLst/>
                    </a:prstGeom>
                  </pic:spPr>
                </pic:pic>
              </a:graphicData>
            </a:graphic>
          </wp:inline>
        </w:drawing>
      </w:r>
    </w:p>
    <w:p w14:paraId="45AEA288" w14:textId="0D3E6DA3" w:rsidR="00AA3C7C" w:rsidRPr="00AA3C7C" w:rsidRDefault="00AA3C7C" w:rsidP="00AA3C7C">
      <w:pPr>
        <w:pStyle w:val="Heading5"/>
      </w:pPr>
      <w:r w:rsidRPr="00AA3C7C">
        <w:t xml:space="preserve">Ravandi </w:t>
      </w:r>
      <w:r w:rsidR="004C4934">
        <w:t>(</w:t>
      </w:r>
      <w:r w:rsidRPr="00AA3C7C">
        <w:t>2013</w:t>
      </w:r>
      <w:r w:rsidR="004C4934">
        <w:t>)</w:t>
      </w:r>
      <w:r w:rsidR="00CA76AD" w:rsidRPr="00CA76AD">
        <w:rPr>
          <w:vertAlign w:val="superscript"/>
        </w:rPr>
        <w:fldChar w:fldCharType="begin"/>
      </w:r>
      <w:r w:rsidR="00CA76AD" w:rsidRPr="00CA76AD">
        <w:rPr>
          <w:vertAlign w:val="superscript"/>
        </w:rPr>
        <w:instrText xml:space="preserve"> NOTEREF _Ref531102992 \h </w:instrText>
      </w:r>
      <w:r w:rsidR="00CA76AD">
        <w:rPr>
          <w:vertAlign w:val="superscript"/>
        </w:rPr>
        <w:instrText xml:space="preserve"> \* MERGEFORMAT </w:instrText>
      </w:r>
      <w:r w:rsidR="00CA76AD" w:rsidRPr="00CA76AD">
        <w:rPr>
          <w:vertAlign w:val="superscript"/>
        </w:rPr>
      </w:r>
      <w:r w:rsidR="00CA76AD" w:rsidRPr="00CA76AD">
        <w:rPr>
          <w:vertAlign w:val="superscript"/>
        </w:rPr>
        <w:fldChar w:fldCharType="separate"/>
      </w:r>
      <w:r w:rsidR="00CA76AD" w:rsidRPr="00CA76AD">
        <w:rPr>
          <w:vertAlign w:val="superscript"/>
        </w:rPr>
        <w:t>5</w:t>
      </w:r>
      <w:r w:rsidR="00CA76AD" w:rsidRPr="00CA76AD">
        <w:rPr>
          <w:vertAlign w:val="superscript"/>
        </w:rPr>
        <w:fldChar w:fldCharType="end"/>
      </w:r>
    </w:p>
    <w:p w14:paraId="579E13D2" w14:textId="77777777" w:rsidR="00AA3C7C" w:rsidRPr="00C506B9" w:rsidRDefault="00AA3C7C" w:rsidP="00AA3C7C">
      <w:r>
        <w:t>Safety was not addressed in this publication.</w:t>
      </w:r>
    </w:p>
    <w:p w14:paraId="666B4604" w14:textId="4C89CE52" w:rsidR="00AA3C7C" w:rsidRPr="00AA3C7C" w:rsidRDefault="00AA3C7C" w:rsidP="00AA3C7C">
      <w:pPr>
        <w:pStyle w:val="Heading5"/>
      </w:pPr>
      <w:r w:rsidRPr="00AA3C7C">
        <w:t xml:space="preserve">Ravandi </w:t>
      </w:r>
      <w:r w:rsidR="004C4934">
        <w:t>(</w:t>
      </w:r>
      <w:r w:rsidRPr="00AA3C7C">
        <w:t>2015</w:t>
      </w:r>
      <w:r w:rsidR="004C4934">
        <w:t>)</w:t>
      </w:r>
      <w:r w:rsidR="00CA76AD" w:rsidRPr="00CA76AD">
        <w:rPr>
          <w:vertAlign w:val="superscript"/>
        </w:rPr>
        <w:fldChar w:fldCharType="begin"/>
      </w:r>
      <w:r w:rsidR="00CA76AD" w:rsidRPr="00CA76AD">
        <w:rPr>
          <w:vertAlign w:val="superscript"/>
        </w:rPr>
        <w:instrText xml:space="preserve"> NOTEREF _Ref531103005 \h </w:instrText>
      </w:r>
      <w:r w:rsidR="00CA76AD">
        <w:rPr>
          <w:vertAlign w:val="superscript"/>
        </w:rPr>
        <w:instrText xml:space="preserve"> \* MERGEFORMAT </w:instrText>
      </w:r>
      <w:r w:rsidR="00CA76AD" w:rsidRPr="00CA76AD">
        <w:rPr>
          <w:vertAlign w:val="superscript"/>
        </w:rPr>
      </w:r>
      <w:r w:rsidR="00CA76AD" w:rsidRPr="00CA76AD">
        <w:rPr>
          <w:vertAlign w:val="superscript"/>
        </w:rPr>
        <w:fldChar w:fldCharType="separate"/>
      </w:r>
      <w:r w:rsidR="00CA76AD" w:rsidRPr="00CA76AD">
        <w:rPr>
          <w:vertAlign w:val="superscript"/>
        </w:rPr>
        <w:t>6</w:t>
      </w:r>
      <w:r w:rsidR="00CA76AD" w:rsidRPr="00CA76AD">
        <w:rPr>
          <w:vertAlign w:val="superscript"/>
        </w:rPr>
        <w:fldChar w:fldCharType="end"/>
      </w:r>
    </w:p>
    <w:p w14:paraId="3C69E26B" w14:textId="77777777" w:rsidR="00AA3C7C" w:rsidRPr="00AA3C7C" w:rsidRDefault="00AA3C7C" w:rsidP="00AA3C7C">
      <w:r w:rsidRPr="00AA3C7C">
        <w:t xml:space="preserve">Median times to neutrophil and platelet recovery were 18 </w:t>
      </w:r>
      <w:r w:rsidR="00CA76AD">
        <w:t>and 22 days respectively. Grade </w:t>
      </w:r>
      <w:r w:rsidRPr="00AA3C7C">
        <w:t>3 and 4 adverse events included bleeding (various), pleural effusions, pericardial effusions, reversible rises in creatinine, DVT, pulmonary emboli, diarrhoea, infections, hypophosphataemia, hypokalaemia, hypocalcaemia, hyperglycaemia and elevated transaminases.</w:t>
      </w:r>
    </w:p>
    <w:p w14:paraId="451FE9FA" w14:textId="3BE40BD6" w:rsidR="00AA3C7C" w:rsidRPr="00AA3C7C" w:rsidRDefault="00AA3C7C" w:rsidP="00AA3C7C">
      <w:r w:rsidRPr="00AA3C7C">
        <w:t xml:space="preserve">Discontinuation of dasatinib occurred in 12 patients, with an alternative </w:t>
      </w:r>
      <w:r w:rsidR="004C4934" w:rsidRPr="00AA3C7C">
        <w:t>TK</w:t>
      </w:r>
      <w:r w:rsidR="004C4934">
        <w:t xml:space="preserve"> inhibitor</w:t>
      </w:r>
      <w:r w:rsidR="004C4934" w:rsidRPr="00AA3C7C">
        <w:t xml:space="preserve"> </w:t>
      </w:r>
      <w:r w:rsidRPr="00AA3C7C">
        <w:t>commenced. Toxicities that led to the discontinuation of dasatinib were pleural effusions in 6 patients, pulmonary artery hypertension in 2 patients, gastrointestinal bleeding in 2</w:t>
      </w:r>
      <w:r w:rsidR="004C4934">
        <w:t> </w:t>
      </w:r>
      <w:r w:rsidRPr="00AA3C7C">
        <w:t>patients, skin cancer in 1 patient, and subdural bleeding in 1 patient.</w:t>
      </w:r>
    </w:p>
    <w:p w14:paraId="7460041E" w14:textId="4F95A0E6" w:rsidR="00AA3C7C" w:rsidRPr="00AA3C7C" w:rsidRDefault="00AA3C7C" w:rsidP="00AA3C7C">
      <w:pPr>
        <w:pStyle w:val="Heading5"/>
      </w:pPr>
      <w:r w:rsidRPr="00AA3C7C">
        <w:lastRenderedPageBreak/>
        <w:t xml:space="preserve">Yoon </w:t>
      </w:r>
      <w:r w:rsidR="004C4934">
        <w:t>(</w:t>
      </w:r>
      <w:r w:rsidRPr="00AA3C7C">
        <w:t>2016</w:t>
      </w:r>
      <w:r w:rsidR="004C4934">
        <w:t>)</w:t>
      </w:r>
      <w:r w:rsidR="00CA76AD" w:rsidRPr="00CA76AD">
        <w:rPr>
          <w:vertAlign w:val="superscript"/>
        </w:rPr>
        <w:fldChar w:fldCharType="begin"/>
      </w:r>
      <w:r w:rsidR="00CA76AD" w:rsidRPr="00CA76AD">
        <w:rPr>
          <w:vertAlign w:val="superscript"/>
        </w:rPr>
        <w:instrText xml:space="preserve"> NOTEREF _Ref531103040 \h </w:instrText>
      </w:r>
      <w:r w:rsidR="00CA76AD">
        <w:rPr>
          <w:vertAlign w:val="superscript"/>
        </w:rPr>
        <w:instrText xml:space="preserve"> \* MERGEFORMAT </w:instrText>
      </w:r>
      <w:r w:rsidR="00CA76AD" w:rsidRPr="00CA76AD">
        <w:rPr>
          <w:vertAlign w:val="superscript"/>
        </w:rPr>
      </w:r>
      <w:r w:rsidR="00CA76AD" w:rsidRPr="00CA76AD">
        <w:rPr>
          <w:vertAlign w:val="superscript"/>
        </w:rPr>
        <w:fldChar w:fldCharType="separate"/>
      </w:r>
      <w:r w:rsidR="00CA76AD" w:rsidRPr="00CA76AD">
        <w:rPr>
          <w:vertAlign w:val="superscript"/>
        </w:rPr>
        <w:t>7</w:t>
      </w:r>
      <w:r w:rsidR="00CA76AD" w:rsidRPr="00CA76AD">
        <w:rPr>
          <w:vertAlign w:val="superscript"/>
        </w:rPr>
        <w:fldChar w:fldCharType="end"/>
      </w:r>
    </w:p>
    <w:p w14:paraId="228AED1C" w14:textId="36A6D36E" w:rsidR="00AA3C7C" w:rsidRPr="00A1543C" w:rsidRDefault="00AA3C7C" w:rsidP="00AA3C7C">
      <w:r>
        <w:t>No patient withdrew from treatment, but</w:t>
      </w:r>
      <w:r w:rsidR="00CA76AD">
        <w:t xml:space="preserve"> </w:t>
      </w:r>
      <w:r w:rsidR="004C4934">
        <w:t xml:space="preserve">6 </w:t>
      </w:r>
      <w:r w:rsidR="00CA76AD">
        <w:t xml:space="preserve">discontinued for between 3 to </w:t>
      </w:r>
      <w:r>
        <w:t>14 days during the first and subsequent dasatinib cycles, to recommence at 100</w:t>
      </w:r>
      <w:r w:rsidR="00665FCA">
        <w:t xml:space="preserve"> mg</w:t>
      </w:r>
      <w:r>
        <w:t xml:space="preserve"> or 70</w:t>
      </w:r>
      <w:r w:rsidR="00665FCA">
        <w:t xml:space="preserve"> mg</w:t>
      </w:r>
      <w:r>
        <w:t xml:space="preserve"> daily. Further information about adverse events was not provided.</w:t>
      </w:r>
    </w:p>
    <w:p w14:paraId="46B7088A" w14:textId="77777777" w:rsidR="00AA3C7C" w:rsidRDefault="00AA3C7C" w:rsidP="00AA3C7C">
      <w:pPr>
        <w:pStyle w:val="Heading5"/>
      </w:pPr>
      <w:r>
        <w:t>Rousselot 2016</w:t>
      </w:r>
      <w:r w:rsidR="00CA76AD" w:rsidRPr="00CA76AD">
        <w:rPr>
          <w:vertAlign w:val="superscript"/>
        </w:rPr>
        <w:fldChar w:fldCharType="begin"/>
      </w:r>
      <w:r w:rsidR="00CA76AD" w:rsidRPr="00CA76AD">
        <w:rPr>
          <w:vertAlign w:val="superscript"/>
        </w:rPr>
        <w:instrText xml:space="preserve"> NOTEREF _Ref531103064 \h </w:instrText>
      </w:r>
      <w:r w:rsidR="00CA76AD">
        <w:rPr>
          <w:vertAlign w:val="superscript"/>
        </w:rPr>
        <w:instrText xml:space="preserve"> \* MERGEFORMAT </w:instrText>
      </w:r>
      <w:r w:rsidR="00CA76AD" w:rsidRPr="00CA76AD">
        <w:rPr>
          <w:vertAlign w:val="superscript"/>
        </w:rPr>
      </w:r>
      <w:r w:rsidR="00CA76AD" w:rsidRPr="00CA76AD">
        <w:rPr>
          <w:vertAlign w:val="superscript"/>
        </w:rPr>
        <w:fldChar w:fldCharType="separate"/>
      </w:r>
      <w:r w:rsidR="00CA76AD" w:rsidRPr="00CA76AD">
        <w:rPr>
          <w:vertAlign w:val="superscript"/>
        </w:rPr>
        <w:t>8</w:t>
      </w:r>
      <w:r w:rsidR="00CA76AD" w:rsidRPr="00CA76AD">
        <w:rPr>
          <w:vertAlign w:val="superscript"/>
        </w:rPr>
        <w:fldChar w:fldCharType="end"/>
      </w:r>
    </w:p>
    <w:p w14:paraId="76CF66E7" w14:textId="77777777" w:rsidR="003303E3" w:rsidRDefault="00AA3C7C" w:rsidP="00AA3C7C">
      <w:r>
        <w:t>Median exposure was 7.8 months (</w:t>
      </w:r>
      <w:r w:rsidR="00CA76AD">
        <w:t xml:space="preserve">range 0.6 to </w:t>
      </w:r>
      <w:r>
        <w:t>72.4 months). Thirty eight patients discontinued treatment as a result of either relapse or death. Fourteen patients discontinued as a result of adverse events and 7 because of receiving stem cell transplant. At the time of analysis, only 8 patients were still on the drug, of 22 remaining in the study. Others were receiving imatinib or nilotinib at the discretion of their investigator</w:t>
      </w:r>
      <w:r w:rsidR="003303E3">
        <w:t>.</w:t>
      </w:r>
    </w:p>
    <w:p w14:paraId="0DABA4C8" w14:textId="77777777" w:rsidR="003303E3" w:rsidRDefault="00AA3C7C" w:rsidP="00AA3C7C">
      <w:r>
        <w:t>At induction, mean duration of neutropenia was 8.9 days. Thirteen patients developed bacteraemia or septicaemia</w:t>
      </w:r>
      <w:r w:rsidR="003303E3">
        <w:t>.</w:t>
      </w:r>
    </w:p>
    <w:p w14:paraId="0CDD3FB0" w14:textId="77777777" w:rsidR="003303E3" w:rsidRDefault="00AA3C7C" w:rsidP="00AA3C7C">
      <w:r>
        <w:t>Pleural effusions occurred in 7 patients. Three were receiving 130</w:t>
      </w:r>
      <w:r w:rsidR="00665FCA">
        <w:t xml:space="preserve"> mg</w:t>
      </w:r>
      <w:r>
        <w:t xml:space="preserve"> dasatinib daily at the time and 4 100</w:t>
      </w:r>
      <w:r w:rsidR="00665FCA">
        <w:t xml:space="preserve"> mg</w:t>
      </w:r>
      <w:r>
        <w:t xml:space="preserve"> daily. Four of these cases were associated with pneumonia and one with pericardial effusion</w:t>
      </w:r>
      <w:r w:rsidR="003303E3">
        <w:t>.</w:t>
      </w:r>
    </w:p>
    <w:p w14:paraId="1EE0EACD" w14:textId="4D3FECA6" w:rsidR="00AA3C7C" w:rsidRPr="00113CC0" w:rsidRDefault="00AA3C7C" w:rsidP="00AA3C7C">
      <w:pPr>
        <w:autoSpaceDE w:val="0"/>
        <w:autoSpaceDN w:val="0"/>
        <w:adjustRightInd w:val="0"/>
        <w:spacing w:before="0" w:after="0" w:line="240" w:lineRule="auto"/>
        <w:rPr>
          <w:rFonts w:asciiTheme="minorHAnsi" w:hAnsiTheme="minorHAnsi"/>
        </w:rPr>
      </w:pPr>
      <w:r w:rsidRPr="00113CC0">
        <w:rPr>
          <w:rFonts w:asciiTheme="minorHAnsi" w:eastAsiaTheme="minorHAnsi" w:hAnsiTheme="minorHAnsi" w:cs="AdvOT3c2d9f11"/>
          <w:color w:val="010202"/>
        </w:rPr>
        <w:t>Other serious adverse events included tumour lysis syndrome during</w:t>
      </w:r>
      <w:r>
        <w:rPr>
          <w:rFonts w:asciiTheme="minorHAnsi" w:eastAsiaTheme="minorHAnsi" w:hAnsiTheme="minorHAnsi" w:cs="AdvOT3c2d9f11"/>
          <w:color w:val="010202"/>
        </w:rPr>
        <w:t xml:space="preserve"> induction (</w:t>
      </w:r>
      <w:r w:rsidR="003303E3">
        <w:rPr>
          <w:rFonts w:asciiTheme="minorHAnsi" w:eastAsiaTheme="minorHAnsi" w:hAnsiTheme="minorHAnsi" w:cs="AdvOT3c2d9f11"/>
          <w:color w:val="010202"/>
        </w:rPr>
        <w:t xml:space="preserve">n = </w:t>
      </w:r>
      <w:r>
        <w:rPr>
          <w:rFonts w:asciiTheme="minorHAnsi" w:eastAsiaTheme="minorHAnsi" w:hAnsiTheme="minorHAnsi" w:cs="AdvOT3c2d9f11"/>
          <w:color w:val="010202"/>
        </w:rPr>
        <w:t>2), renal failure (</w:t>
      </w:r>
      <w:r w:rsidR="003303E3">
        <w:rPr>
          <w:rFonts w:asciiTheme="minorHAnsi" w:eastAsiaTheme="minorHAnsi" w:hAnsiTheme="minorHAnsi" w:cs="AdvOT3c2d9f11"/>
          <w:color w:val="010202"/>
        </w:rPr>
        <w:t xml:space="preserve">n = </w:t>
      </w:r>
      <w:r w:rsidRPr="00113CC0">
        <w:rPr>
          <w:rFonts w:asciiTheme="minorHAnsi" w:eastAsiaTheme="minorHAnsi" w:hAnsiTheme="minorHAnsi" w:cs="AdvOT3c2d9f11"/>
          <w:color w:val="010202"/>
        </w:rPr>
        <w:t>6), subdural ha</w:t>
      </w:r>
      <w:r>
        <w:rPr>
          <w:rFonts w:asciiTheme="minorHAnsi" w:eastAsiaTheme="minorHAnsi" w:hAnsiTheme="minorHAnsi" w:cs="AdvOT3c2d9f11"/>
          <w:color w:val="010202"/>
        </w:rPr>
        <w:t>emorrhage (</w:t>
      </w:r>
      <w:r w:rsidR="003303E3">
        <w:rPr>
          <w:rFonts w:asciiTheme="minorHAnsi" w:eastAsiaTheme="minorHAnsi" w:hAnsiTheme="minorHAnsi" w:cs="AdvOT3c2d9f11"/>
          <w:color w:val="010202"/>
        </w:rPr>
        <w:t xml:space="preserve">n = </w:t>
      </w:r>
      <w:r w:rsidRPr="00113CC0">
        <w:rPr>
          <w:rFonts w:asciiTheme="minorHAnsi" w:eastAsiaTheme="minorHAnsi" w:hAnsiTheme="minorHAnsi" w:cs="AdvOT3c2d9f11"/>
          <w:color w:val="010202"/>
        </w:rPr>
        <w:t>3,</w:t>
      </w:r>
      <w:r>
        <w:rPr>
          <w:rFonts w:asciiTheme="minorHAnsi" w:eastAsiaTheme="minorHAnsi" w:hAnsiTheme="minorHAnsi" w:cs="AdvOT3c2d9f11"/>
          <w:color w:val="010202"/>
        </w:rPr>
        <w:t xml:space="preserve"> </w:t>
      </w:r>
      <w:r w:rsidRPr="00113CC0">
        <w:rPr>
          <w:rFonts w:asciiTheme="minorHAnsi" w:eastAsiaTheme="minorHAnsi" w:hAnsiTheme="minorHAnsi" w:cs="AdvOT3c2d9f11"/>
          <w:color w:val="010202"/>
        </w:rPr>
        <w:t>including 1 patient with concomitant acetyl salicylic acid therapy),</w:t>
      </w:r>
      <w:r>
        <w:rPr>
          <w:rFonts w:asciiTheme="minorHAnsi" w:eastAsiaTheme="minorHAnsi" w:hAnsiTheme="minorHAnsi" w:cs="AdvOT3c2d9f11"/>
          <w:color w:val="010202"/>
        </w:rPr>
        <w:t xml:space="preserve"> </w:t>
      </w:r>
      <w:r w:rsidRPr="00113CC0">
        <w:rPr>
          <w:rFonts w:asciiTheme="minorHAnsi" w:eastAsiaTheme="minorHAnsi" w:hAnsiTheme="minorHAnsi" w:cs="AdvOT3c2d9f11"/>
          <w:color w:val="010202"/>
        </w:rPr>
        <w:t>digestive ha</w:t>
      </w:r>
      <w:r>
        <w:rPr>
          <w:rFonts w:asciiTheme="minorHAnsi" w:eastAsiaTheme="minorHAnsi" w:hAnsiTheme="minorHAnsi" w:cs="AdvOT3c2d9f11"/>
          <w:color w:val="010202"/>
        </w:rPr>
        <w:t>emorrhage (</w:t>
      </w:r>
      <w:r w:rsidR="003303E3">
        <w:rPr>
          <w:rFonts w:asciiTheme="minorHAnsi" w:eastAsiaTheme="minorHAnsi" w:hAnsiTheme="minorHAnsi" w:cs="AdvOT3c2d9f11"/>
          <w:color w:val="010202"/>
        </w:rPr>
        <w:t xml:space="preserve">n = </w:t>
      </w:r>
      <w:r>
        <w:rPr>
          <w:rFonts w:asciiTheme="minorHAnsi" w:eastAsiaTheme="minorHAnsi" w:hAnsiTheme="minorHAnsi" w:cs="AdvOT3c2d9f11"/>
          <w:color w:val="010202"/>
        </w:rPr>
        <w:t>3), transaminase elevations (</w:t>
      </w:r>
      <w:r w:rsidR="003303E3">
        <w:rPr>
          <w:rFonts w:asciiTheme="minorHAnsi" w:eastAsiaTheme="minorHAnsi" w:hAnsiTheme="minorHAnsi" w:cs="AdvOT3c2d9f11"/>
          <w:color w:val="010202"/>
        </w:rPr>
        <w:t>n</w:t>
      </w:r>
      <w:r w:rsidR="004C4934">
        <w:rPr>
          <w:rFonts w:asciiTheme="minorHAnsi" w:eastAsiaTheme="minorHAnsi" w:hAnsiTheme="minorHAnsi" w:cs="AdvOT3c2d9f11"/>
          <w:color w:val="010202"/>
        </w:rPr>
        <w:t> </w:t>
      </w:r>
      <w:r w:rsidR="003303E3">
        <w:rPr>
          <w:rFonts w:asciiTheme="minorHAnsi" w:eastAsiaTheme="minorHAnsi" w:hAnsiTheme="minorHAnsi" w:cs="AdvOT3c2d9f11"/>
          <w:color w:val="010202"/>
        </w:rPr>
        <w:t>=</w:t>
      </w:r>
      <w:r w:rsidR="004C4934">
        <w:rPr>
          <w:rFonts w:asciiTheme="minorHAnsi" w:eastAsiaTheme="minorHAnsi" w:hAnsiTheme="minorHAnsi" w:cs="AdvOT3c2d9f11"/>
          <w:color w:val="010202"/>
        </w:rPr>
        <w:t> </w:t>
      </w:r>
      <w:r w:rsidRPr="00113CC0">
        <w:rPr>
          <w:rFonts w:asciiTheme="minorHAnsi" w:eastAsiaTheme="minorHAnsi" w:hAnsiTheme="minorHAnsi" w:cs="AdvOT3c2d9f11"/>
          <w:color w:val="010202"/>
        </w:rPr>
        <w:t>5),</w:t>
      </w:r>
      <w:r>
        <w:rPr>
          <w:rFonts w:asciiTheme="minorHAnsi" w:eastAsiaTheme="minorHAnsi" w:hAnsiTheme="minorHAnsi" w:cs="AdvOT3c2d9f11"/>
          <w:color w:val="010202"/>
        </w:rPr>
        <w:t xml:space="preserve"> </w:t>
      </w:r>
      <w:r w:rsidRPr="00113CC0">
        <w:rPr>
          <w:rFonts w:asciiTheme="minorHAnsi" w:eastAsiaTheme="minorHAnsi" w:hAnsiTheme="minorHAnsi" w:cs="AdvOT3c2d9f11"/>
          <w:color w:val="010202"/>
        </w:rPr>
        <w:t>pulmonary embolism (</w:t>
      </w:r>
      <w:r w:rsidR="003303E3">
        <w:rPr>
          <w:rFonts w:asciiTheme="minorHAnsi" w:eastAsiaTheme="minorHAnsi" w:hAnsiTheme="minorHAnsi" w:cs="AdvOT3c2d9f11"/>
          <w:color w:val="010202"/>
        </w:rPr>
        <w:t xml:space="preserve">n = </w:t>
      </w:r>
      <w:r w:rsidRPr="00113CC0">
        <w:rPr>
          <w:rFonts w:asciiTheme="minorHAnsi" w:eastAsiaTheme="minorHAnsi" w:hAnsiTheme="minorHAnsi" w:cs="AdvOT3c2d9f11"/>
          <w:color w:val="010202"/>
        </w:rPr>
        <w:t xml:space="preserve">3), atrial </w:t>
      </w:r>
      <w:r w:rsidRPr="00113CC0">
        <w:rPr>
          <w:rFonts w:asciiTheme="minorHAnsi" w:eastAsiaTheme="minorHAnsi" w:hAnsiTheme="minorHAnsi" w:cs="AdvOT3c2d9f11+fb"/>
          <w:color w:val="010202"/>
        </w:rPr>
        <w:t>fi</w:t>
      </w:r>
      <w:r w:rsidRPr="00113CC0">
        <w:rPr>
          <w:rFonts w:asciiTheme="minorHAnsi" w:eastAsiaTheme="minorHAnsi" w:hAnsiTheme="minorHAnsi" w:cs="AdvOT3c2d9f11"/>
          <w:color w:val="010202"/>
        </w:rPr>
        <w:t>brillation (</w:t>
      </w:r>
      <w:r w:rsidR="003303E3">
        <w:rPr>
          <w:rFonts w:asciiTheme="minorHAnsi" w:eastAsiaTheme="minorHAnsi" w:hAnsiTheme="minorHAnsi" w:cs="AdvOT3c2d9f11"/>
          <w:color w:val="010202"/>
        </w:rPr>
        <w:t xml:space="preserve">n = </w:t>
      </w:r>
      <w:r w:rsidRPr="00113CC0">
        <w:rPr>
          <w:rFonts w:asciiTheme="minorHAnsi" w:eastAsiaTheme="minorHAnsi" w:hAnsiTheme="minorHAnsi" w:cs="AdvOT3c2d9f11"/>
          <w:color w:val="010202"/>
        </w:rPr>
        <w:t>4), and cardiac</w:t>
      </w:r>
      <w:r>
        <w:rPr>
          <w:rFonts w:asciiTheme="minorHAnsi" w:eastAsiaTheme="minorHAnsi" w:hAnsiTheme="minorHAnsi" w:cs="AdvOT3c2d9f11"/>
          <w:color w:val="010202"/>
        </w:rPr>
        <w:t xml:space="preserve"> failure (</w:t>
      </w:r>
      <w:r w:rsidR="003303E3">
        <w:rPr>
          <w:rFonts w:asciiTheme="minorHAnsi" w:eastAsiaTheme="minorHAnsi" w:hAnsiTheme="minorHAnsi" w:cs="AdvOT3c2d9f11"/>
          <w:color w:val="010202"/>
        </w:rPr>
        <w:t xml:space="preserve">n = </w:t>
      </w:r>
      <w:r w:rsidRPr="00113CC0">
        <w:rPr>
          <w:rFonts w:asciiTheme="minorHAnsi" w:eastAsiaTheme="minorHAnsi" w:hAnsiTheme="minorHAnsi" w:cs="AdvOT3c2d9f11"/>
          <w:color w:val="010202"/>
        </w:rPr>
        <w:t>2).</w:t>
      </w:r>
    </w:p>
    <w:p w14:paraId="359C863A" w14:textId="428DEB72" w:rsidR="00AA3C7C" w:rsidRDefault="00AA3C7C" w:rsidP="00AA3C7C">
      <w:pPr>
        <w:pStyle w:val="Heading5"/>
      </w:pPr>
      <w:r>
        <w:t xml:space="preserve">Foa </w:t>
      </w:r>
      <w:r w:rsidR="004C4934">
        <w:t>(</w:t>
      </w:r>
      <w:r>
        <w:t>2011</w:t>
      </w:r>
      <w:r w:rsidR="004C4934">
        <w:t>)</w:t>
      </w:r>
      <w:r w:rsidR="00CA76AD" w:rsidRPr="00CA76AD">
        <w:rPr>
          <w:vertAlign w:val="superscript"/>
        </w:rPr>
        <w:fldChar w:fldCharType="begin"/>
      </w:r>
      <w:r w:rsidR="00CA76AD" w:rsidRPr="00CA76AD">
        <w:rPr>
          <w:vertAlign w:val="superscript"/>
        </w:rPr>
        <w:instrText xml:space="preserve"> NOTEREF _Ref531103135 \h </w:instrText>
      </w:r>
      <w:r w:rsidR="00CA76AD">
        <w:rPr>
          <w:vertAlign w:val="superscript"/>
        </w:rPr>
        <w:instrText xml:space="preserve"> \* MERGEFORMAT </w:instrText>
      </w:r>
      <w:r w:rsidR="00CA76AD" w:rsidRPr="00CA76AD">
        <w:rPr>
          <w:vertAlign w:val="superscript"/>
        </w:rPr>
      </w:r>
      <w:r w:rsidR="00CA76AD" w:rsidRPr="00CA76AD">
        <w:rPr>
          <w:vertAlign w:val="superscript"/>
        </w:rPr>
        <w:fldChar w:fldCharType="separate"/>
      </w:r>
      <w:r w:rsidR="00CA76AD" w:rsidRPr="00CA76AD">
        <w:rPr>
          <w:vertAlign w:val="superscript"/>
        </w:rPr>
        <w:t>9</w:t>
      </w:r>
      <w:r w:rsidR="00CA76AD" w:rsidRPr="00CA76AD">
        <w:rPr>
          <w:vertAlign w:val="superscript"/>
        </w:rPr>
        <w:fldChar w:fldCharType="end"/>
      </w:r>
    </w:p>
    <w:p w14:paraId="50D62B0C" w14:textId="77777777" w:rsidR="00AA3C7C" w:rsidRPr="00362703" w:rsidRDefault="00AA3C7C" w:rsidP="00AA3C7C">
      <w:r>
        <w:t>Safety was not analysed in this paper.</w:t>
      </w:r>
    </w:p>
    <w:p w14:paraId="433E4C3E" w14:textId="4525F0B9" w:rsidR="00AA3C7C" w:rsidRDefault="00AA3C7C" w:rsidP="00AA3C7C">
      <w:pPr>
        <w:pStyle w:val="Heading5"/>
      </w:pPr>
      <w:r>
        <w:t xml:space="preserve">Grigg </w:t>
      </w:r>
      <w:r w:rsidR="004C4934">
        <w:t>(</w:t>
      </w:r>
      <w:r>
        <w:t>2017</w:t>
      </w:r>
      <w:r w:rsidR="004C4934">
        <w:t>)</w:t>
      </w:r>
      <w:r w:rsidR="00CA76AD" w:rsidRPr="00CA76AD">
        <w:rPr>
          <w:vertAlign w:val="superscript"/>
        </w:rPr>
        <w:fldChar w:fldCharType="begin"/>
      </w:r>
      <w:r w:rsidR="00CA76AD" w:rsidRPr="00CA76AD">
        <w:rPr>
          <w:vertAlign w:val="superscript"/>
        </w:rPr>
        <w:instrText xml:space="preserve"> NOTEREF _Ref531103150 \h </w:instrText>
      </w:r>
      <w:r w:rsidR="00CA76AD">
        <w:rPr>
          <w:vertAlign w:val="superscript"/>
        </w:rPr>
        <w:instrText xml:space="preserve"> \* MERGEFORMAT </w:instrText>
      </w:r>
      <w:r w:rsidR="00CA76AD" w:rsidRPr="00CA76AD">
        <w:rPr>
          <w:vertAlign w:val="superscript"/>
        </w:rPr>
      </w:r>
      <w:r w:rsidR="00CA76AD" w:rsidRPr="00CA76AD">
        <w:rPr>
          <w:vertAlign w:val="superscript"/>
        </w:rPr>
        <w:fldChar w:fldCharType="separate"/>
      </w:r>
      <w:r w:rsidR="00CA76AD" w:rsidRPr="00CA76AD">
        <w:rPr>
          <w:vertAlign w:val="superscript"/>
        </w:rPr>
        <w:t>10</w:t>
      </w:r>
      <w:r w:rsidR="00CA76AD" w:rsidRPr="00CA76AD">
        <w:rPr>
          <w:vertAlign w:val="superscript"/>
        </w:rPr>
        <w:fldChar w:fldCharType="end"/>
      </w:r>
    </w:p>
    <w:p w14:paraId="47FFBB0B" w14:textId="77777777" w:rsidR="00AA3C7C" w:rsidRDefault="00AA3C7C" w:rsidP="00AA3C7C">
      <w:r>
        <w:t>Six of the 20 patients received the complete 8 cycles of chemotherapy. Two received 7,</w:t>
      </w:r>
      <w:r w:rsidR="00CA76AD">
        <w:t xml:space="preserve"> </w:t>
      </w:r>
      <w:r>
        <w:t>6 or 5 cycles with six receiving 4 cycles and two receiving 3 cycles. Two patients withdrew as a result of toxicity, two due to non-compliance and the remaining 8 who received less than 8 cycles were withdrawn to receive stem cell transplant. No deaths occurred on treatment and all patients experienced haematologic recovery within 42 days following induction cycles.</w:t>
      </w:r>
    </w:p>
    <w:p w14:paraId="38B76AA4" w14:textId="1D841C70" w:rsidR="00AA3C7C" w:rsidRDefault="00AA3C7C" w:rsidP="00AA3C7C">
      <w:r>
        <w:t>Seventeen of the 20 patients reported at least one Grade 3 or higher adverse event during the induction phase that was deemed associated with therapy. Haematologic toxicity was considerable which is consistent with the other pivotal studies using this regimen, and 95% of patients in this study experienced Grade 4 neutrop</w:t>
      </w:r>
      <w:r w:rsidR="004C4934">
        <w:t>a</w:t>
      </w:r>
      <w:r>
        <w:t>enia, 90% Grade 4 thrombocytop</w:t>
      </w:r>
      <w:r w:rsidR="004C4934">
        <w:t>a</w:t>
      </w:r>
      <w:r>
        <w:t>enia and 30% Grade 3 anaemia during the induction phase. Not surprisingly infection was the most common non-haematologic toxicity with febrile neutrop</w:t>
      </w:r>
      <w:r w:rsidR="004C4934">
        <w:t>a</w:t>
      </w:r>
      <w:r>
        <w:t>enia in 45%.</w:t>
      </w:r>
    </w:p>
    <w:p w14:paraId="6F82E0A7" w14:textId="77777777" w:rsidR="00AA3C7C" w:rsidRPr="00F47D69" w:rsidRDefault="00AA3C7C" w:rsidP="00AA3C7C">
      <w:r>
        <w:t>Solely considering dasatinib, two patients required dose reduction to 70</w:t>
      </w:r>
      <w:r w:rsidR="00665FCA">
        <w:t xml:space="preserve"> mg</w:t>
      </w:r>
      <w:r>
        <w:t xml:space="preserve"> daily during the intensive chemotherapy phase. In maintenance therapy, six patients required dosage reduction.</w:t>
      </w:r>
    </w:p>
    <w:p w14:paraId="0AF16706" w14:textId="77777777" w:rsidR="00AA3C7C" w:rsidRDefault="00AA3C7C" w:rsidP="00AA3C7C">
      <w:pPr>
        <w:pStyle w:val="Heading5"/>
      </w:pPr>
      <w:r>
        <w:t>Other</w:t>
      </w:r>
      <w:r w:rsidRPr="00545B14">
        <w:t xml:space="preserve"> studies</w:t>
      </w:r>
    </w:p>
    <w:p w14:paraId="6A0A0A7F" w14:textId="79231437" w:rsidR="00AA3C7C" w:rsidRDefault="004C4934" w:rsidP="00761035">
      <w:r>
        <w:t xml:space="preserve">Other studies were comprised of the following: </w:t>
      </w:r>
      <w:r w:rsidR="00AA3C7C" w:rsidRPr="00761035">
        <w:t xml:space="preserve">Caocci </w:t>
      </w:r>
      <w:r>
        <w:t>(</w:t>
      </w:r>
      <w:r w:rsidR="00AA3C7C" w:rsidRPr="00761035">
        <w:t>2012</w:t>
      </w:r>
      <w:r>
        <w:t>)</w:t>
      </w:r>
      <w:r w:rsidR="00AA3C7C" w:rsidRPr="00761035">
        <w:t xml:space="preserve">; Gurman </w:t>
      </w:r>
      <w:r>
        <w:t>(</w:t>
      </w:r>
      <w:r w:rsidR="00AA3C7C" w:rsidRPr="00761035">
        <w:t>2016</w:t>
      </w:r>
      <w:r>
        <w:t>)</w:t>
      </w:r>
      <w:r w:rsidR="00AA3C7C" w:rsidRPr="00761035">
        <w:t xml:space="preserve">; Lamanna </w:t>
      </w:r>
      <w:r>
        <w:t>(</w:t>
      </w:r>
      <w:r w:rsidR="00AA3C7C" w:rsidRPr="00761035">
        <w:t>2012</w:t>
      </w:r>
      <w:r>
        <w:t>)</w:t>
      </w:r>
      <w:r w:rsidR="00AA3C7C" w:rsidRPr="00761035">
        <w:t xml:space="preserve">; Pastori </w:t>
      </w:r>
      <w:r>
        <w:t>(</w:t>
      </w:r>
      <w:r w:rsidR="00AA3C7C" w:rsidRPr="00761035">
        <w:t>2015</w:t>
      </w:r>
      <w:r>
        <w:t>)</w:t>
      </w:r>
      <w:r w:rsidR="00AA3C7C" w:rsidRPr="00761035">
        <w:t>; Sasaki 2016; Slayton 2015; Tekgunduz 2016</w:t>
      </w:r>
      <w:r w:rsidR="00CA76AD">
        <w:rPr>
          <w:rStyle w:val="FootnoteReference"/>
        </w:rPr>
        <w:footnoteReference w:id="12"/>
      </w:r>
      <w:r w:rsidR="00CA76AD">
        <w:t xml:space="preserve"> </w:t>
      </w:r>
      <w:r w:rsidR="00CA76AD">
        <w:rPr>
          <w:rStyle w:val="FootnoteReference"/>
        </w:rPr>
        <w:footnoteReference w:id="13"/>
      </w:r>
      <w:r w:rsidR="00CA76AD">
        <w:t xml:space="preserve"> </w:t>
      </w:r>
      <w:r w:rsidR="00CA76AD">
        <w:rPr>
          <w:rStyle w:val="FootnoteReference"/>
        </w:rPr>
        <w:footnoteReference w:id="14"/>
      </w:r>
      <w:r w:rsidR="00CA76AD">
        <w:t xml:space="preserve"> </w:t>
      </w:r>
      <w:r w:rsidR="00CA76AD">
        <w:rPr>
          <w:rStyle w:val="FootnoteReference"/>
        </w:rPr>
        <w:footnoteReference w:id="15"/>
      </w:r>
      <w:r w:rsidR="00CA76AD">
        <w:rPr>
          <w:rStyle w:val="FootnoteReference"/>
        </w:rPr>
        <w:footnoteReference w:id="16"/>
      </w:r>
      <w:r>
        <w:rPr>
          <w:vertAlign w:val="superscript"/>
        </w:rPr>
        <w:t>,</w:t>
      </w:r>
      <w:r w:rsidR="00CA76AD">
        <w:rPr>
          <w:rStyle w:val="FootnoteReference"/>
        </w:rPr>
        <w:footnoteReference w:id="17"/>
      </w:r>
      <w:r>
        <w:rPr>
          <w:vertAlign w:val="superscript"/>
        </w:rPr>
        <w:t>,</w:t>
      </w:r>
      <w:r w:rsidR="00CA76AD">
        <w:rPr>
          <w:rStyle w:val="FootnoteReference"/>
        </w:rPr>
        <w:footnoteReference w:id="18"/>
      </w:r>
    </w:p>
    <w:p w14:paraId="1E41A89E" w14:textId="03B08078" w:rsidR="00AA3C7C" w:rsidRPr="008C327C" w:rsidRDefault="00AA3C7C" w:rsidP="00AA3C7C">
      <w:r>
        <w:lastRenderedPageBreak/>
        <w:t xml:space="preserve">There was either minimal or no real safety data of utility in these studies as most were abstracts and did not go into safety and adverse events in any detail. By contrast the four publications presented as </w:t>
      </w:r>
      <w:r w:rsidR="004C4934">
        <w:t>’</w:t>
      </w:r>
      <w:r>
        <w:t>Reports of Analyses of Data from More than One Study</w:t>
      </w:r>
      <w:r w:rsidR="004C4934">
        <w:t>’</w:t>
      </w:r>
      <w:r>
        <w:t xml:space="preserve"> were all focussed on safety issues and are thus presented in the safety section of this report.</w:t>
      </w:r>
    </w:p>
    <w:p w14:paraId="57EE8040" w14:textId="77777777" w:rsidR="00AA3C7C" w:rsidRDefault="00AA3C7C" w:rsidP="00AA3C7C">
      <w:pPr>
        <w:pStyle w:val="Heading3"/>
      </w:pPr>
      <w:bookmarkStart w:id="81" w:name="_Ref269204367"/>
      <w:bookmarkStart w:id="82" w:name="_Ref271195835"/>
      <w:bookmarkStart w:id="83" w:name="_Ref271195841"/>
      <w:bookmarkStart w:id="84" w:name="_Toc272414660"/>
      <w:bookmarkStart w:id="85" w:name="_Toc290888511"/>
      <w:bookmarkStart w:id="86" w:name="_Toc416353727"/>
      <w:bookmarkStart w:id="87" w:name="_Toc421005283"/>
      <w:bookmarkStart w:id="88" w:name="_Toc432079160"/>
      <w:bookmarkStart w:id="89" w:name="_Toc432080733"/>
      <w:bookmarkStart w:id="90" w:name="_Toc477853165"/>
      <w:bookmarkStart w:id="91" w:name="_Toc20401737"/>
      <w:r>
        <w:t>Studies that assessed safety as the sole</w:t>
      </w:r>
      <w:r w:rsidRPr="00545B14">
        <w:t xml:space="preserve"> primary outcome</w:t>
      </w:r>
      <w:bookmarkEnd w:id="81"/>
      <w:bookmarkEnd w:id="82"/>
      <w:bookmarkEnd w:id="83"/>
      <w:bookmarkEnd w:id="84"/>
      <w:bookmarkEnd w:id="85"/>
      <w:bookmarkEnd w:id="86"/>
      <w:bookmarkEnd w:id="87"/>
      <w:bookmarkEnd w:id="88"/>
      <w:bookmarkEnd w:id="89"/>
      <w:bookmarkEnd w:id="90"/>
      <w:bookmarkEnd w:id="91"/>
    </w:p>
    <w:p w14:paraId="73BB02B2" w14:textId="0383CA43" w:rsidR="00AA3C7C" w:rsidRDefault="00AA3C7C" w:rsidP="00AA3C7C">
      <w:pPr>
        <w:pStyle w:val="Heading4"/>
      </w:pPr>
      <w:r>
        <w:t xml:space="preserve">Le Coutre </w:t>
      </w:r>
      <w:r w:rsidR="004C4934">
        <w:t>(</w:t>
      </w:r>
      <w:r>
        <w:t>2016</w:t>
      </w:r>
      <w:r w:rsidR="004C4934">
        <w:t>)</w:t>
      </w:r>
      <w:r w:rsidR="00CA76AD">
        <w:rPr>
          <w:rStyle w:val="FootnoteReference"/>
        </w:rPr>
        <w:footnoteReference w:id="19"/>
      </w:r>
    </w:p>
    <w:p w14:paraId="686352A2" w14:textId="253D25DB" w:rsidR="00AA3C7C" w:rsidRDefault="00AA3C7C" w:rsidP="00AA3C7C">
      <w:pPr>
        <w:rPr>
          <w:lang w:eastAsia="ja-JP"/>
        </w:rPr>
      </w:pPr>
      <w:r>
        <w:rPr>
          <w:lang w:eastAsia="ja-JP"/>
        </w:rPr>
        <w:t xml:space="preserve">This letter to the editor in the journal </w:t>
      </w:r>
      <w:r>
        <w:rPr>
          <w:i/>
          <w:lang w:eastAsia="ja-JP"/>
        </w:rPr>
        <w:t xml:space="preserve">Leukaemia </w:t>
      </w:r>
      <w:r>
        <w:rPr>
          <w:lang w:eastAsia="ja-JP"/>
        </w:rPr>
        <w:t xml:space="preserve">describes peripheral arterial disease as a potential side effect of </w:t>
      </w:r>
      <w:r w:rsidR="004C4934">
        <w:rPr>
          <w:lang w:eastAsia="ja-JP"/>
        </w:rPr>
        <w:t>TK inhibitors</w:t>
      </w:r>
      <w:r>
        <w:rPr>
          <w:lang w:eastAsia="ja-JP"/>
        </w:rPr>
        <w:t>, and assessed dasatinib trials to identify this as an adverse event or indeed events related to peripheral arterial disease.</w:t>
      </w:r>
      <w:r w:rsidR="00B90B8B">
        <w:rPr>
          <w:lang w:eastAsia="ja-JP"/>
        </w:rPr>
        <w:t xml:space="preserve"> </w:t>
      </w:r>
      <w:r>
        <w:rPr>
          <w:lang w:eastAsia="ja-JP"/>
        </w:rPr>
        <w:t xml:space="preserve">A standardised ratio was attempted between rates in dasatinib trials and that in a similar population that did not receive the drug. The population was essentially those patients with CML in chronic phase or </w:t>
      </w:r>
      <w:r w:rsidR="0079571B" w:rsidRPr="002B11F8">
        <w:t>Ph</w:t>
      </w:r>
      <w:r w:rsidR="0079571B" w:rsidRPr="0079571B">
        <w:rPr>
          <w:vertAlign w:val="superscript"/>
        </w:rPr>
        <w:t>+</w:t>
      </w:r>
      <w:r>
        <w:rPr>
          <w:lang w:eastAsia="ja-JP"/>
        </w:rPr>
        <w:t xml:space="preserve"> ALL. The analysis included information on </w:t>
      </w:r>
      <w:r w:rsidR="003303E3">
        <w:rPr>
          <w:lang w:eastAsia="ja-JP"/>
        </w:rPr>
        <w:t xml:space="preserve">n = </w:t>
      </w:r>
      <w:r>
        <w:rPr>
          <w:lang w:eastAsia="ja-JP"/>
        </w:rPr>
        <w:t>2</w:t>
      </w:r>
      <w:r w:rsidR="00CA76AD">
        <w:rPr>
          <w:lang w:eastAsia="ja-JP"/>
        </w:rPr>
        <w:t>,</w:t>
      </w:r>
      <w:r>
        <w:rPr>
          <w:lang w:eastAsia="ja-JP"/>
        </w:rPr>
        <w:t xml:space="preserve">712 adults with CML or </w:t>
      </w:r>
      <w:r w:rsidR="0079571B" w:rsidRPr="002B11F8">
        <w:t>Ph</w:t>
      </w:r>
      <w:r w:rsidR="0079571B" w:rsidRPr="0079571B">
        <w:rPr>
          <w:vertAlign w:val="superscript"/>
        </w:rPr>
        <w:t>+</w:t>
      </w:r>
      <w:r>
        <w:rPr>
          <w:lang w:eastAsia="ja-JP"/>
        </w:rPr>
        <w:t xml:space="preserve"> ALL treated with dasatinib in 11 clinical trials. Of these, </w:t>
      </w:r>
      <w:r w:rsidR="003303E3">
        <w:rPr>
          <w:lang w:eastAsia="ja-JP"/>
        </w:rPr>
        <w:t xml:space="preserve">n = </w:t>
      </w:r>
      <w:r>
        <w:rPr>
          <w:lang w:eastAsia="ja-JP"/>
        </w:rPr>
        <w:t>324 were in first line treatment.</w:t>
      </w:r>
      <w:r w:rsidR="00B90B8B">
        <w:rPr>
          <w:lang w:eastAsia="ja-JP"/>
        </w:rPr>
        <w:t xml:space="preserve"> </w:t>
      </w:r>
      <w:r>
        <w:rPr>
          <w:lang w:eastAsia="ja-JP"/>
        </w:rPr>
        <w:t>Median treatment was 19 months. The trials appear to have been sponsored by Bristol Myers Squibb, as the company safety database was used to gather the events. Event terms included arterial stenosis, arterial thrombosis, atherosclerosis, arterial stenosis limb, intermittent claudication, femoral artery occlusion, necrosis ischaemic and peripheral artery disease.</w:t>
      </w:r>
    </w:p>
    <w:p w14:paraId="45660750" w14:textId="11308003" w:rsidR="003303E3" w:rsidRDefault="00AA3C7C" w:rsidP="00AA3C7C">
      <w:pPr>
        <w:rPr>
          <w:rFonts w:asciiTheme="minorHAnsi" w:hAnsiTheme="minorHAnsi"/>
          <w:lang w:eastAsia="ja-JP"/>
        </w:rPr>
      </w:pPr>
      <w:r w:rsidRPr="00A16487">
        <w:rPr>
          <w:rFonts w:asciiTheme="minorHAnsi" w:hAnsiTheme="minorHAnsi"/>
          <w:lang w:eastAsia="ja-JP"/>
        </w:rPr>
        <w:t xml:space="preserve">A comparison population was derived from </w:t>
      </w:r>
      <w:r w:rsidR="004C4934">
        <w:rPr>
          <w:rFonts w:asciiTheme="minorHAnsi" w:hAnsiTheme="minorHAnsi"/>
          <w:lang w:eastAsia="ja-JP"/>
        </w:rPr>
        <w:t>’</w:t>
      </w:r>
      <w:r w:rsidRPr="00A16487">
        <w:rPr>
          <w:rFonts w:asciiTheme="minorHAnsi" w:hAnsiTheme="minorHAnsi"/>
          <w:lang w:eastAsia="ja-JP"/>
        </w:rPr>
        <w:t>Truven Health Analytics Marketscan Commercial Claims</w:t>
      </w:r>
      <w:r w:rsidR="004C4934">
        <w:rPr>
          <w:rFonts w:asciiTheme="minorHAnsi" w:hAnsiTheme="minorHAnsi"/>
          <w:lang w:eastAsia="ja-JP"/>
        </w:rPr>
        <w:t>‘</w:t>
      </w:r>
      <w:r w:rsidR="004C4934" w:rsidRPr="00A16487">
        <w:rPr>
          <w:rFonts w:asciiTheme="minorHAnsi" w:hAnsiTheme="minorHAnsi"/>
          <w:lang w:eastAsia="ja-JP"/>
        </w:rPr>
        <w:t xml:space="preserve"> </w:t>
      </w:r>
      <w:r w:rsidRPr="00A16487">
        <w:rPr>
          <w:rFonts w:asciiTheme="minorHAnsi" w:hAnsiTheme="minorHAnsi"/>
          <w:lang w:eastAsia="ja-JP"/>
        </w:rPr>
        <w:t xml:space="preserve">and </w:t>
      </w:r>
      <w:r w:rsidR="004C4934">
        <w:rPr>
          <w:rFonts w:asciiTheme="minorHAnsi" w:hAnsiTheme="minorHAnsi"/>
          <w:lang w:eastAsia="ja-JP"/>
        </w:rPr>
        <w:t>’</w:t>
      </w:r>
      <w:r w:rsidRPr="00A16487">
        <w:rPr>
          <w:rFonts w:asciiTheme="minorHAnsi" w:hAnsiTheme="minorHAnsi"/>
          <w:lang w:eastAsia="ja-JP"/>
        </w:rPr>
        <w:t>Medicare Supplementary Database</w:t>
      </w:r>
      <w:r w:rsidR="004C4934">
        <w:rPr>
          <w:rFonts w:asciiTheme="minorHAnsi" w:hAnsiTheme="minorHAnsi"/>
          <w:lang w:eastAsia="ja-JP"/>
        </w:rPr>
        <w:t>‘</w:t>
      </w:r>
      <w:r w:rsidR="004C4934" w:rsidRPr="00A16487">
        <w:rPr>
          <w:rFonts w:asciiTheme="minorHAnsi" w:hAnsiTheme="minorHAnsi"/>
          <w:lang w:eastAsia="ja-JP"/>
        </w:rPr>
        <w:t xml:space="preserve">. </w:t>
      </w:r>
      <w:r w:rsidRPr="00A16487">
        <w:rPr>
          <w:rFonts w:asciiTheme="minorHAnsi" w:hAnsiTheme="minorHAnsi"/>
          <w:lang w:eastAsia="ja-JP"/>
        </w:rPr>
        <w:t>Marketscan consists of information from several commercial health plans in the US</w:t>
      </w:r>
      <w:r w:rsidR="003303E3">
        <w:rPr>
          <w:rFonts w:asciiTheme="minorHAnsi" w:hAnsiTheme="minorHAnsi"/>
          <w:lang w:eastAsia="ja-JP"/>
        </w:rPr>
        <w:t>.</w:t>
      </w:r>
    </w:p>
    <w:p w14:paraId="76336891" w14:textId="4FDC259C" w:rsidR="00AA3C7C" w:rsidRDefault="00761035" w:rsidP="007B0A0F">
      <w:r>
        <w:t xml:space="preserve">Peripheral arterial </w:t>
      </w:r>
      <w:r w:rsidRPr="00761035">
        <w:t>disease (</w:t>
      </w:r>
      <w:r w:rsidR="00CA76AD" w:rsidRPr="00761035">
        <w:t>PAD</w:t>
      </w:r>
      <w:r w:rsidRPr="00761035">
        <w:t>)</w:t>
      </w:r>
      <w:r w:rsidR="00CA76AD" w:rsidRPr="00761035">
        <w:t xml:space="preserve"> or PAD </w:t>
      </w:r>
      <w:r w:rsidR="00AA3C7C" w:rsidRPr="00761035">
        <w:t>related</w:t>
      </w:r>
      <w:r w:rsidR="00AA3C7C" w:rsidRPr="00A16487">
        <w:t xml:space="preserve"> events were detected in 11 patients during</w:t>
      </w:r>
      <w:r w:rsidR="00AA3C7C">
        <w:t xml:space="preserve"> </w:t>
      </w:r>
      <w:r w:rsidR="00AA3C7C" w:rsidRPr="00A16487">
        <w:t>dasatinib treatment among 2</w:t>
      </w:r>
      <w:r w:rsidR="00CA76AD">
        <w:t>,</w:t>
      </w:r>
      <w:r w:rsidR="00AA3C7C" w:rsidRPr="00A16487">
        <w:t>712 individuals with a cumulative</w:t>
      </w:r>
      <w:r w:rsidR="00AA3C7C">
        <w:t xml:space="preserve"> </w:t>
      </w:r>
      <w:r w:rsidR="00AA3C7C" w:rsidRPr="00A16487">
        <w:t>dasatinib exposure of 6</w:t>
      </w:r>
      <w:r w:rsidR="00CA76AD">
        <w:t>,</w:t>
      </w:r>
      <w:r w:rsidR="00AA3C7C" w:rsidRPr="00A16487">
        <w:t>421 patient-years, which corresponds to a</w:t>
      </w:r>
      <w:r w:rsidR="00AA3C7C">
        <w:t xml:space="preserve"> </w:t>
      </w:r>
      <w:r w:rsidR="00AA3C7C" w:rsidRPr="00A16487">
        <w:t>cumulative incidence of 0.4% and an incidence rate (per 100</w:t>
      </w:r>
      <w:r w:rsidR="00AA3C7C">
        <w:t xml:space="preserve"> </w:t>
      </w:r>
      <w:r w:rsidR="00CA76AD">
        <w:t>patient</w:t>
      </w:r>
      <w:r w:rsidR="00CA76AD">
        <w:noBreakHyphen/>
      </w:r>
      <w:r w:rsidR="00AA3C7C" w:rsidRPr="00A16487">
        <w:t>years) of 0.2%. Of the 11 patients, all were previously</w:t>
      </w:r>
      <w:r w:rsidR="00AA3C7C">
        <w:t xml:space="preserve"> </w:t>
      </w:r>
      <w:r w:rsidR="00AA3C7C" w:rsidRPr="00A16487">
        <w:t xml:space="preserve">treated with a </w:t>
      </w:r>
      <w:r w:rsidR="00CD58BF" w:rsidRPr="00A16487">
        <w:t>TK</w:t>
      </w:r>
      <w:r w:rsidR="00CD58BF">
        <w:t xml:space="preserve"> inhibitor</w:t>
      </w:r>
      <w:r w:rsidR="00AA3C7C" w:rsidRPr="00A16487">
        <w:t>; 8 were resistant and 3 were intolerant to prior</w:t>
      </w:r>
      <w:r w:rsidR="00AA3C7C">
        <w:t xml:space="preserve"> imatinib therapy</w:t>
      </w:r>
      <w:r w:rsidR="00CA76AD">
        <w:t xml:space="preserve">. No cases of PAD or PAD </w:t>
      </w:r>
      <w:r w:rsidR="00AA3C7C" w:rsidRPr="00A16487">
        <w:t>related events</w:t>
      </w:r>
      <w:r w:rsidR="00AA3C7C">
        <w:t xml:space="preserve"> </w:t>
      </w:r>
      <w:r w:rsidR="00AA3C7C" w:rsidRPr="00A16487">
        <w:t>were identi</w:t>
      </w:r>
      <w:r w:rsidR="00AA3C7C" w:rsidRPr="00A16487">
        <w:rPr>
          <w:rFonts w:cs="AdvOT46dcae81+fb"/>
        </w:rPr>
        <w:t>fi</w:t>
      </w:r>
      <w:r w:rsidR="00AA3C7C" w:rsidRPr="00A16487">
        <w:t xml:space="preserve">ed among the 258 patients treated with </w:t>
      </w:r>
      <w:r w:rsidR="00AA3C7C" w:rsidRPr="00A16487">
        <w:rPr>
          <w:rFonts w:cs="AdvOT46dcae81+fb"/>
        </w:rPr>
        <w:t>fi</w:t>
      </w:r>
      <w:r w:rsidR="00AA3C7C" w:rsidRPr="00A16487">
        <w:t>rst-line</w:t>
      </w:r>
      <w:r w:rsidR="00AA3C7C">
        <w:t xml:space="preserve"> </w:t>
      </w:r>
      <w:r w:rsidR="00AA3C7C" w:rsidRPr="00A16487">
        <w:t xml:space="preserve">dasatinib in </w:t>
      </w:r>
      <w:r w:rsidR="00CA76AD" w:rsidRPr="00A16487">
        <w:t>das</w:t>
      </w:r>
      <w:r w:rsidR="00AA3C7C" w:rsidRPr="00A16487">
        <w:t>atinib ver</w:t>
      </w:r>
      <w:r w:rsidR="00CA76AD">
        <w:t xml:space="preserve">sus imatinib </w:t>
      </w:r>
      <w:r w:rsidR="00CD58BF">
        <w:t xml:space="preserve">study in </w:t>
      </w:r>
      <w:r w:rsidR="00CA76AD">
        <w:t xml:space="preserve">treatment </w:t>
      </w:r>
      <w:r w:rsidR="00CD58BF">
        <w:t xml:space="preserve">naïve </w:t>
      </w:r>
      <w:r w:rsidR="00AA3C7C" w:rsidRPr="00A16487">
        <w:t>CML patients (</w:t>
      </w:r>
      <w:r w:rsidR="00CD58BF">
        <w:t xml:space="preserve">the </w:t>
      </w:r>
      <w:r w:rsidR="00AA3C7C" w:rsidRPr="00A16487">
        <w:t>DASISION</w:t>
      </w:r>
      <w:r w:rsidR="00CD58BF">
        <w:t xml:space="preserve"> trial</w:t>
      </w:r>
      <w:r w:rsidR="00AA3C7C" w:rsidRPr="00A16487">
        <w:t>) (median duration of 60 months (range:</w:t>
      </w:r>
      <w:r w:rsidR="00AA3C7C">
        <w:t xml:space="preserve"> </w:t>
      </w:r>
      <w:r w:rsidR="00AA3C7C" w:rsidRPr="00A16487">
        <w:t>0.03</w:t>
      </w:r>
      <w:r w:rsidR="00CA76AD">
        <w:rPr>
          <w:rFonts w:cs="AdvOT46dcae81+20"/>
        </w:rPr>
        <w:t xml:space="preserve"> to </w:t>
      </w:r>
      <w:r w:rsidR="00922EAD">
        <w:t>73 months)).</w:t>
      </w:r>
    </w:p>
    <w:p w14:paraId="7847C696" w14:textId="60EF04ED" w:rsidR="00AA3C7C" w:rsidRDefault="00761035" w:rsidP="007B0A0F">
      <w:r>
        <w:t>Standardised incidence ratio (</w:t>
      </w:r>
      <w:r w:rsidR="00AA3C7C" w:rsidRPr="00BE3C55">
        <w:t>SIR</w:t>
      </w:r>
      <w:r>
        <w:t>)</w:t>
      </w:r>
      <w:r w:rsidR="00AA3C7C" w:rsidRPr="00BE3C55">
        <w:t xml:space="preserve"> analysis showed that the observed number of PAD or PAD</w:t>
      </w:r>
      <w:r w:rsidR="00CD58BF">
        <w:t> </w:t>
      </w:r>
      <w:r w:rsidR="00AA3C7C" w:rsidRPr="00BE3C55">
        <w:t>related</w:t>
      </w:r>
      <w:r w:rsidR="00AA3C7C">
        <w:t xml:space="preserve"> </w:t>
      </w:r>
      <w:r w:rsidR="00AA3C7C" w:rsidRPr="00BE3C55">
        <w:t>events (</w:t>
      </w:r>
      <w:r w:rsidR="00AA3C7C" w:rsidRPr="00BE3C55">
        <w:rPr>
          <w:rFonts w:cs="AdvOT65f8a23b.I"/>
        </w:rPr>
        <w:t xml:space="preserve">n </w:t>
      </w:r>
      <w:r w:rsidR="00AA3C7C" w:rsidRPr="00BE3C55">
        <w:t xml:space="preserve">= 11) in the </w:t>
      </w:r>
      <w:r w:rsidR="00AA3C7C">
        <w:t>p</w:t>
      </w:r>
      <w:r w:rsidR="00AA3C7C" w:rsidRPr="00BE3C55">
        <w:t>ooled population did not exceed</w:t>
      </w:r>
      <w:r w:rsidR="00AA3C7C">
        <w:t xml:space="preserve"> </w:t>
      </w:r>
      <w:r w:rsidR="00AA3C7C" w:rsidRPr="00BE3C55">
        <w:t>the expected number of events (</w:t>
      </w:r>
      <w:r w:rsidR="00AA3C7C" w:rsidRPr="00BE3C55">
        <w:rPr>
          <w:rFonts w:cs="AdvOT65f8a23b.I"/>
        </w:rPr>
        <w:t xml:space="preserve">n </w:t>
      </w:r>
      <w:r w:rsidR="00AA3C7C" w:rsidRPr="00BE3C55">
        <w:t>= 20) in the general population</w:t>
      </w:r>
      <w:r w:rsidR="00AA3C7C">
        <w:t xml:space="preserve"> </w:t>
      </w:r>
      <w:r w:rsidR="00AA3C7C" w:rsidRPr="00BE3C55">
        <w:t>(SIR (95% con</w:t>
      </w:r>
      <w:r w:rsidR="00AA3C7C" w:rsidRPr="00BE3C55">
        <w:rPr>
          <w:rFonts w:cs="AdvOT46dcae81+fb"/>
        </w:rPr>
        <w:t>fi</w:t>
      </w:r>
      <w:r w:rsidR="00AA3C7C" w:rsidRPr="00BE3C55">
        <w:t>dence interval</w:t>
      </w:r>
      <w:r w:rsidR="00CD58BF">
        <w:t xml:space="preserve"> (</w:t>
      </w:r>
      <w:r w:rsidR="00AA3C7C" w:rsidRPr="00BE3C55">
        <w:t>CI</w:t>
      </w:r>
      <w:r w:rsidR="00CD58BF">
        <w:t>)</w:t>
      </w:r>
      <w:r w:rsidR="00AA3C7C" w:rsidRPr="00BE3C55">
        <w:t>), 0.56 (0.31</w:t>
      </w:r>
      <w:r w:rsidR="00CA76AD">
        <w:rPr>
          <w:rFonts w:cs="AdvOT46dcae81+20"/>
        </w:rPr>
        <w:t xml:space="preserve"> to </w:t>
      </w:r>
      <w:r w:rsidR="00AA3C7C" w:rsidRPr="00BE3C55">
        <w:t>1.01)). Similarly, the</w:t>
      </w:r>
      <w:r w:rsidR="00AA3C7C">
        <w:t xml:space="preserve"> </w:t>
      </w:r>
      <w:r w:rsidR="00AA3C7C" w:rsidRPr="00BE3C55">
        <w:t>observed number of PAD or PAD-related events (</w:t>
      </w:r>
      <w:r w:rsidR="00AA3C7C" w:rsidRPr="00BE3C55">
        <w:rPr>
          <w:rFonts w:cs="AdvOT65f8a23b.I"/>
        </w:rPr>
        <w:t xml:space="preserve">n </w:t>
      </w:r>
      <w:r w:rsidR="00AA3C7C" w:rsidRPr="00BE3C55">
        <w:t>= 11) in the</w:t>
      </w:r>
      <w:r w:rsidR="00AA3C7C">
        <w:t xml:space="preserve"> </w:t>
      </w:r>
      <w:r w:rsidR="00AA3C7C" w:rsidRPr="00BE3C55">
        <w:t>pooled population did not exceed the expected number (</w:t>
      </w:r>
      <w:r w:rsidR="00AA3C7C" w:rsidRPr="00BE3C55">
        <w:rPr>
          <w:rFonts w:cs="AdvOT65f8a23b.I"/>
        </w:rPr>
        <w:t xml:space="preserve">n </w:t>
      </w:r>
      <w:r w:rsidR="00AA3C7C" w:rsidRPr="00BE3C55">
        <w:t>= 43)</w:t>
      </w:r>
      <w:r w:rsidR="00AA3C7C">
        <w:t xml:space="preserve"> </w:t>
      </w:r>
      <w:r w:rsidR="00AA3C7C" w:rsidRPr="00BE3C55">
        <w:t xml:space="preserve">based on rates in the </w:t>
      </w:r>
      <w:r w:rsidR="00AA3C7C" w:rsidRPr="00BE3C55">
        <w:lastRenderedPageBreak/>
        <w:t>reference CML population (SIR (95% CI), 0.26</w:t>
      </w:r>
      <w:r w:rsidR="00CD58BF">
        <w:t xml:space="preserve"> </w:t>
      </w:r>
      <w:r w:rsidR="00AA3C7C" w:rsidRPr="00BE3C55">
        <w:t>(0.14</w:t>
      </w:r>
      <w:r w:rsidR="00CA76AD">
        <w:rPr>
          <w:rFonts w:cs="AdvOT46dcae81+20"/>
        </w:rPr>
        <w:t xml:space="preserve"> to </w:t>
      </w:r>
      <w:r w:rsidR="00AA3C7C" w:rsidRPr="00BE3C55">
        <w:t>0.46). No PAD</w:t>
      </w:r>
      <w:r w:rsidR="00AA3C7C">
        <w:t xml:space="preserve"> </w:t>
      </w:r>
      <w:r w:rsidR="00CA76AD">
        <w:t xml:space="preserve">or PAD </w:t>
      </w:r>
      <w:r w:rsidR="00AA3C7C" w:rsidRPr="00BE3C55">
        <w:t>related events were identi</w:t>
      </w:r>
      <w:r w:rsidR="00AA3C7C" w:rsidRPr="00BE3C55">
        <w:rPr>
          <w:rFonts w:cs="AdvOT46dcae81+fb"/>
        </w:rPr>
        <w:t>fi</w:t>
      </w:r>
      <w:r w:rsidR="00AA3C7C" w:rsidRPr="00BE3C55">
        <w:t>ed in newly diagnosed</w:t>
      </w:r>
      <w:r w:rsidR="00AA3C7C">
        <w:t xml:space="preserve"> </w:t>
      </w:r>
      <w:r w:rsidR="00AA3C7C" w:rsidRPr="00BE3C55">
        <w:t>CML patients treated with dasatinib in the DASISION trial,</w:t>
      </w:r>
      <w:r w:rsidR="00AA3C7C">
        <w:t xml:space="preserve"> </w:t>
      </w:r>
      <w:r w:rsidR="00AA3C7C" w:rsidRPr="00BE3C55">
        <w:t>which has the longest median exposure time to dasatinib of</w:t>
      </w:r>
      <w:r w:rsidR="00AA3C7C">
        <w:t xml:space="preserve"> </w:t>
      </w:r>
      <w:r w:rsidR="00AA3C7C" w:rsidRPr="00BE3C55">
        <w:t>any study.</w:t>
      </w:r>
    </w:p>
    <w:p w14:paraId="749A5F07" w14:textId="3AC96C59" w:rsidR="00AA3C7C" w:rsidRPr="00CD58BF" w:rsidRDefault="00AA3C7C" w:rsidP="00CD58BF">
      <w:r w:rsidRPr="00CD58BF">
        <w:t xml:space="preserve">The utility of this publication with respect to this submission is minimal. It simply serves to raise the possibility that </w:t>
      </w:r>
      <w:r w:rsidR="00CD58BF" w:rsidRPr="00CD58BF">
        <w:t>TK</w:t>
      </w:r>
      <w:r w:rsidR="00CD58BF">
        <w:t xml:space="preserve"> inhibitor</w:t>
      </w:r>
      <w:r w:rsidR="00CD58BF" w:rsidRPr="00CD58BF">
        <w:t xml:space="preserve">s </w:t>
      </w:r>
      <w:r w:rsidRPr="00CD58BF">
        <w:t>vary in their adverse event profile and that it might be the case that dasatinib has less peripheral vascular adverse impact than some other TK</w:t>
      </w:r>
      <w:r w:rsidR="00CD58BF">
        <w:t xml:space="preserve"> inhibitor</w:t>
      </w:r>
      <w:r w:rsidRPr="00CD58BF">
        <w:t>s or indeed shows no real difference in comparison to an untreated population.</w:t>
      </w:r>
    </w:p>
    <w:p w14:paraId="613C772B" w14:textId="64ECED66" w:rsidR="00AA3C7C" w:rsidRDefault="00AA3C7C" w:rsidP="00AA3C7C">
      <w:pPr>
        <w:pStyle w:val="Heading4"/>
      </w:pPr>
      <w:r>
        <w:t xml:space="preserve">Cortes </w:t>
      </w:r>
      <w:r w:rsidR="00CD58BF">
        <w:t>(</w:t>
      </w:r>
      <w:r>
        <w:t>2015</w:t>
      </w:r>
      <w:r w:rsidR="00CD58BF">
        <w:t>)</w:t>
      </w:r>
      <w:r w:rsidR="00B52C6D">
        <w:rPr>
          <w:rStyle w:val="FootnoteReference"/>
        </w:rPr>
        <w:footnoteReference w:id="20"/>
      </w:r>
    </w:p>
    <w:p w14:paraId="67B48E8D" w14:textId="15BC88B0" w:rsidR="003303E3" w:rsidRDefault="00AA3C7C" w:rsidP="00AA3C7C">
      <w:pPr>
        <w:rPr>
          <w:lang w:eastAsia="ja-JP"/>
        </w:rPr>
      </w:pPr>
      <w:r>
        <w:rPr>
          <w:lang w:eastAsia="ja-JP"/>
        </w:rPr>
        <w:t xml:space="preserve">This research article also examines cardiovascular and pulmonary adverse events in patients treated with BCR-ABL inhibitors. The </w:t>
      </w:r>
      <w:r w:rsidR="00CD58BF">
        <w:rPr>
          <w:lang w:eastAsia="ja-JP"/>
        </w:rPr>
        <w:t>United States (US) Food and Drug Administration (</w:t>
      </w:r>
      <w:r>
        <w:rPr>
          <w:lang w:eastAsia="ja-JP"/>
        </w:rPr>
        <w:t>FDA</w:t>
      </w:r>
      <w:r w:rsidR="00CD58BF">
        <w:rPr>
          <w:lang w:eastAsia="ja-JP"/>
        </w:rPr>
        <w:t>)</w:t>
      </w:r>
      <w:r>
        <w:rPr>
          <w:lang w:eastAsia="ja-JP"/>
        </w:rPr>
        <w:t xml:space="preserve"> adverse event reporting system (FAERS) was used to identify any adverse events associated with imatinib, dasatinib, and nilotinib</w:t>
      </w:r>
      <w:r w:rsidR="003303E3">
        <w:rPr>
          <w:lang w:eastAsia="ja-JP"/>
        </w:rPr>
        <w:t>.</w:t>
      </w:r>
    </w:p>
    <w:p w14:paraId="14CDA093" w14:textId="4A815115" w:rsidR="00AA3C7C" w:rsidRDefault="00B52C6D" w:rsidP="00AA3C7C">
      <w:pPr>
        <w:rPr>
          <w:lang w:eastAsia="ja-JP"/>
        </w:rPr>
      </w:pPr>
      <w:r>
        <w:rPr>
          <w:lang w:eastAsia="ja-JP"/>
        </w:rPr>
        <w:t>Multi-</w:t>
      </w:r>
      <w:r w:rsidR="00AA3C7C">
        <w:rPr>
          <w:lang w:eastAsia="ja-JP"/>
        </w:rPr>
        <w:t xml:space="preserve">Item Gamma Poisson Shrinker (MGPS) is a validated Bayesian method of providing an estimate of disproportionality called the </w:t>
      </w:r>
      <w:r w:rsidR="00CD58BF">
        <w:rPr>
          <w:lang w:eastAsia="ja-JP"/>
        </w:rPr>
        <w:t xml:space="preserve">empirical </w:t>
      </w:r>
      <w:r w:rsidR="00AA3C7C">
        <w:rPr>
          <w:lang w:eastAsia="ja-JP"/>
        </w:rPr>
        <w:t xml:space="preserve">Bayesian </w:t>
      </w:r>
      <w:r w:rsidR="00CD58BF">
        <w:rPr>
          <w:lang w:eastAsia="ja-JP"/>
        </w:rPr>
        <w:t xml:space="preserve">geometric mean </w:t>
      </w:r>
      <w:r w:rsidR="00AA3C7C">
        <w:rPr>
          <w:lang w:eastAsia="ja-JP"/>
        </w:rPr>
        <w:t>(EBGM), calculated by adjusting the observed frequency of the drug-event pair; the frequency of reports of the event of interest with all other drugs, and; the frequency of all other events reported for the drug of interest.</w:t>
      </w:r>
    </w:p>
    <w:p w14:paraId="2F95E9B7" w14:textId="386B7A44" w:rsidR="00AA3C7C" w:rsidRDefault="00AA3C7C" w:rsidP="00AA3C7C">
      <w:pPr>
        <w:rPr>
          <w:lang w:eastAsia="ja-JP"/>
        </w:rPr>
      </w:pPr>
      <w:r>
        <w:rPr>
          <w:lang w:eastAsia="ja-JP"/>
        </w:rPr>
        <w:t xml:space="preserve">While these analyses do not establish causality or measure </w:t>
      </w:r>
      <w:r w:rsidR="00166605">
        <w:t>adverse event</w:t>
      </w:r>
      <w:r w:rsidR="00166605">
        <w:rPr>
          <w:lang w:eastAsia="ja-JP"/>
        </w:rPr>
        <w:t xml:space="preserve"> (</w:t>
      </w:r>
      <w:r>
        <w:rPr>
          <w:lang w:eastAsia="ja-JP"/>
        </w:rPr>
        <w:t>AE</w:t>
      </w:r>
      <w:r w:rsidR="00166605">
        <w:rPr>
          <w:lang w:eastAsia="ja-JP"/>
        </w:rPr>
        <w:t>)</w:t>
      </w:r>
      <w:r>
        <w:rPr>
          <w:lang w:eastAsia="ja-JP"/>
        </w:rPr>
        <w:t xml:space="preserve"> incidence, they measure association and thus can assist in determining if further investigation is warranted. </w:t>
      </w:r>
      <w:r w:rsidR="00166605">
        <w:t>Medical Dictionary for Regulatory Activities</w:t>
      </w:r>
      <w:r w:rsidR="00166605" w:rsidRPr="00166605">
        <w:rPr>
          <w:lang w:eastAsia="ja-JP"/>
        </w:rPr>
        <w:t xml:space="preserve"> </w:t>
      </w:r>
      <w:r w:rsidR="00166605">
        <w:rPr>
          <w:lang w:eastAsia="ja-JP"/>
        </w:rPr>
        <w:t>(MedDRA)</w:t>
      </w:r>
      <w:r>
        <w:rPr>
          <w:lang w:eastAsia="ja-JP"/>
        </w:rPr>
        <w:t xml:space="preserve"> </w:t>
      </w:r>
      <w:r w:rsidR="00CD58BF">
        <w:rPr>
          <w:lang w:eastAsia="ja-JP"/>
        </w:rPr>
        <w:t xml:space="preserve">Preferred Terms (PT) </w:t>
      </w:r>
      <w:r>
        <w:rPr>
          <w:lang w:eastAsia="ja-JP"/>
        </w:rPr>
        <w:t xml:space="preserve">of cardiac; respiratory, thoracic and mediastinal; and; vascular were examined for the three drugs. The analysis was for up to and including </w:t>
      </w:r>
      <w:r w:rsidR="00B52C6D">
        <w:rPr>
          <w:lang w:eastAsia="ja-JP"/>
        </w:rPr>
        <w:t>30 September</w:t>
      </w:r>
      <w:r>
        <w:rPr>
          <w:lang w:eastAsia="ja-JP"/>
        </w:rPr>
        <w:t xml:space="preserve"> 2012. A second analysis focussed upon year by year analyses, and to evaluate AEs in different age groups, analyses were run for</w:t>
      </w:r>
      <w:r w:rsidR="00B52C6D">
        <w:rPr>
          <w:lang w:eastAsia="ja-JP"/>
        </w:rPr>
        <w:t xml:space="preserve"> separate cohorts defined as 18 to 45 years, 46 to </w:t>
      </w:r>
      <w:r>
        <w:rPr>
          <w:lang w:eastAsia="ja-JP"/>
        </w:rPr>
        <w:t>64 years and 65 and over. Analyses were also run to make sure that differences in drug pair significance were not overlooked when different preferred terms were used to identify essentially the same adverse event. Various similar clinically preferred terms were combined to check this.</w:t>
      </w:r>
    </w:p>
    <w:p w14:paraId="2533E1CE" w14:textId="19DC7656" w:rsidR="00AA3C7C" w:rsidRDefault="00AA3C7C" w:rsidP="00AA3C7C">
      <w:pPr>
        <w:rPr>
          <w:lang w:eastAsia="ja-JP"/>
        </w:rPr>
      </w:pPr>
      <w:r>
        <w:rPr>
          <w:lang w:eastAsia="ja-JP"/>
        </w:rPr>
        <w:t>Nine hundred and fifty six unique preferred terms were identified and recorded as a drug-event ‘pair’ for one or more of the three drugs. The EBGM</w:t>
      </w:r>
      <w:r w:rsidR="00CD58BF">
        <w:rPr>
          <w:lang w:eastAsia="ja-JP"/>
        </w:rPr>
        <w:t>;</w:t>
      </w:r>
      <w:r w:rsidR="00BB4D43">
        <w:rPr>
          <w:rStyle w:val="FootnoteReference"/>
          <w:lang w:eastAsia="ja-JP"/>
        </w:rPr>
        <w:footnoteReference w:id="21"/>
      </w:r>
      <w:r>
        <w:rPr>
          <w:lang w:eastAsia="ja-JP"/>
        </w:rPr>
        <w:t xml:space="preserve"> 90% confidence interval was designated EB05 and EB95. EB05 ≥</w:t>
      </w:r>
      <w:r w:rsidR="00B52C6D">
        <w:rPr>
          <w:lang w:eastAsia="ja-JP"/>
        </w:rPr>
        <w:t xml:space="preserve"> </w:t>
      </w:r>
      <w:r>
        <w:rPr>
          <w:lang w:eastAsia="ja-JP"/>
        </w:rPr>
        <w:t>4 was chosen to identify clinically relevant events (typically greater than or equal to two is used for drug event associations, per se). Hence the associations here were only those that were quite strong it would seem.</w:t>
      </w:r>
    </w:p>
    <w:p w14:paraId="526A6AE2" w14:textId="6915D39F" w:rsidR="003303E3" w:rsidRDefault="00AA3C7C" w:rsidP="00AA3C7C">
      <w:pPr>
        <w:rPr>
          <w:lang w:eastAsia="ja-JP"/>
        </w:rPr>
      </w:pPr>
      <w:r>
        <w:rPr>
          <w:lang w:eastAsia="ja-JP"/>
        </w:rPr>
        <w:t xml:space="preserve">Twenty three terms reached EB05 of 4 or greater. Pleural effusion reached this threshold for all three </w:t>
      </w:r>
      <w:r w:rsidR="00883B92">
        <w:rPr>
          <w:lang w:eastAsia="ja-JP"/>
        </w:rPr>
        <w:t>agents, which</w:t>
      </w:r>
      <w:r>
        <w:rPr>
          <w:lang w:eastAsia="ja-JP"/>
        </w:rPr>
        <w:t xml:space="preserve"> is not surprising given the adverse event profile noted in the pivotal studies in this submission. Furthermore it had a much higher EB05 with dasatinib (30.77 </w:t>
      </w:r>
      <w:r w:rsidR="00B52C6D">
        <w:rPr>
          <w:lang w:eastAsia="ja-JP"/>
        </w:rPr>
        <w:t>versus</w:t>
      </w:r>
      <w:r>
        <w:rPr>
          <w:lang w:eastAsia="ja-JP"/>
        </w:rPr>
        <w:t xml:space="preserve"> 5.65 for nilotinib and 5.59 for imatinib).</w:t>
      </w:r>
      <w:r w:rsidR="00B90B8B">
        <w:rPr>
          <w:lang w:eastAsia="ja-JP"/>
        </w:rPr>
        <w:t xml:space="preserve"> </w:t>
      </w:r>
      <w:r>
        <w:rPr>
          <w:lang w:eastAsia="ja-JP"/>
        </w:rPr>
        <w:t xml:space="preserve">Pericardial effusion was also higher for dasatinib (11.75 </w:t>
      </w:r>
      <w:r w:rsidR="00B52C6D">
        <w:rPr>
          <w:lang w:eastAsia="ja-JP"/>
        </w:rPr>
        <w:t>versus</w:t>
      </w:r>
      <w:r>
        <w:rPr>
          <w:lang w:eastAsia="ja-JP"/>
        </w:rPr>
        <w:t xml:space="preserve"> imatinib (4.57) and nilotinib (3.86)</w:t>
      </w:r>
      <w:r w:rsidR="003303E3">
        <w:rPr>
          <w:lang w:eastAsia="ja-JP"/>
        </w:rPr>
        <w:t>.</w:t>
      </w:r>
    </w:p>
    <w:p w14:paraId="57935224" w14:textId="77777777" w:rsidR="003303E3" w:rsidRDefault="00AA3C7C" w:rsidP="00AA3C7C">
      <w:pPr>
        <w:rPr>
          <w:lang w:eastAsia="ja-JP"/>
        </w:rPr>
      </w:pPr>
      <w:r>
        <w:rPr>
          <w:lang w:eastAsia="ja-JP"/>
        </w:rPr>
        <w:lastRenderedPageBreak/>
        <w:t xml:space="preserve">Of interest to this submission, terms reaching the significance threshold for dasatinib also included those related to fluid retention, </w:t>
      </w:r>
      <w:r w:rsidR="00B52C6D">
        <w:rPr>
          <w:lang w:eastAsia="ja-JP"/>
        </w:rPr>
        <w:t>that is,</w:t>
      </w:r>
      <w:r>
        <w:rPr>
          <w:lang w:eastAsia="ja-JP"/>
        </w:rPr>
        <w:t xml:space="preserve"> chylothorax and malignant pleural effusion; pleural haemorrhage; pulmonary oedema, and; pulmonary arterial hypertension (PAH). Sub analyses did not reveal additional terms for dasatinib, merely differences in the strength of association, but all still over the threshold level</w:t>
      </w:r>
      <w:r w:rsidR="003303E3">
        <w:rPr>
          <w:lang w:eastAsia="ja-JP"/>
        </w:rPr>
        <w:t>.</w:t>
      </w:r>
    </w:p>
    <w:p w14:paraId="49C31A73" w14:textId="39B4735F" w:rsidR="00AA3C7C" w:rsidRPr="007B0A0F" w:rsidRDefault="00AA3C7C" w:rsidP="00CD58BF">
      <w:pPr>
        <w:rPr>
          <w:lang w:eastAsia="ja-JP"/>
        </w:rPr>
      </w:pPr>
      <w:r>
        <w:rPr>
          <w:lang w:eastAsia="ja-JP"/>
        </w:rPr>
        <w:t>The message to take from this publication is that while TK</w:t>
      </w:r>
      <w:r w:rsidR="00CD58BF">
        <w:rPr>
          <w:lang w:eastAsia="ja-JP"/>
        </w:rPr>
        <w:t xml:space="preserve"> inhibitors</w:t>
      </w:r>
      <w:r>
        <w:rPr>
          <w:lang w:eastAsia="ja-JP"/>
        </w:rPr>
        <w:t xml:space="preserve"> appear to have class effect AEs, they can vary depending upon the specific drug in terms of association. The events related to fluid retention are already noted in the PI for dasatinib and have been reiterated by these data.</w:t>
      </w:r>
    </w:p>
    <w:p w14:paraId="5CDA92C7" w14:textId="3C07BB6D" w:rsidR="00AA3C7C" w:rsidRDefault="00AA3C7C" w:rsidP="00AA3C7C">
      <w:pPr>
        <w:pStyle w:val="Heading4"/>
      </w:pPr>
      <w:r>
        <w:t xml:space="preserve">Egron </w:t>
      </w:r>
      <w:r w:rsidR="00CD58BF">
        <w:t>(</w:t>
      </w:r>
      <w:r>
        <w:t>2015</w:t>
      </w:r>
      <w:r w:rsidR="00CD58BF">
        <w:t>)</w:t>
      </w:r>
      <w:r w:rsidR="00B44B0F">
        <w:rPr>
          <w:rStyle w:val="FootnoteReference"/>
        </w:rPr>
        <w:footnoteReference w:id="22"/>
      </w:r>
    </w:p>
    <w:p w14:paraId="483DD6CD" w14:textId="77777777" w:rsidR="00AA3C7C" w:rsidRDefault="00AA3C7C" w:rsidP="00AA3C7C">
      <w:pPr>
        <w:rPr>
          <w:lang w:eastAsia="ja-JP"/>
        </w:rPr>
      </w:pPr>
      <w:r>
        <w:rPr>
          <w:lang w:eastAsia="ja-JP"/>
        </w:rPr>
        <w:t>This publication attempted to assess the rate and character of ‘preventable’ or ‘potentially preventable’ serious adverse drug reactions with oral protein kinase inhibitors.</w:t>
      </w:r>
    </w:p>
    <w:p w14:paraId="07664FA4" w14:textId="77777777" w:rsidR="00AA3C7C" w:rsidRDefault="00AA3C7C" w:rsidP="00AA3C7C">
      <w:pPr>
        <w:rPr>
          <w:lang w:eastAsia="ja-JP"/>
        </w:rPr>
      </w:pPr>
      <w:r>
        <w:rPr>
          <w:lang w:eastAsia="ja-JP"/>
        </w:rPr>
        <w:t xml:space="preserve">The French pharmacovigilance database was used to retrospectively study such serious </w:t>
      </w:r>
      <w:r w:rsidR="00761035">
        <w:rPr>
          <w:lang w:eastAsia="ja-JP"/>
        </w:rPr>
        <w:t>adverse drug reactions (</w:t>
      </w:r>
      <w:r>
        <w:rPr>
          <w:lang w:eastAsia="ja-JP"/>
        </w:rPr>
        <w:t>ADRs</w:t>
      </w:r>
      <w:r w:rsidR="00761035">
        <w:rPr>
          <w:lang w:eastAsia="ja-JP"/>
        </w:rPr>
        <w:t>)</w:t>
      </w:r>
      <w:r>
        <w:rPr>
          <w:lang w:eastAsia="ja-JP"/>
        </w:rPr>
        <w:t xml:space="preserve"> recorded between 1 Jan</w:t>
      </w:r>
      <w:r w:rsidR="00B44B0F">
        <w:rPr>
          <w:lang w:eastAsia="ja-JP"/>
        </w:rPr>
        <w:t>uary</w:t>
      </w:r>
      <w:r>
        <w:rPr>
          <w:lang w:eastAsia="ja-JP"/>
        </w:rPr>
        <w:t xml:space="preserve"> 2008 and 31 December 2009. Dasatinib was one of the eight drugs studied.</w:t>
      </w:r>
    </w:p>
    <w:p w14:paraId="7B09FFE5" w14:textId="5ABACAD8" w:rsidR="003303E3" w:rsidRDefault="00AA3C7C" w:rsidP="00AA3C7C">
      <w:pPr>
        <w:rPr>
          <w:lang w:eastAsia="ja-JP"/>
        </w:rPr>
      </w:pPr>
      <w:r>
        <w:rPr>
          <w:lang w:eastAsia="ja-JP"/>
        </w:rPr>
        <w:t>Two hundred and sixty five spontaneous reports were noted. Preventability was assessed by one of the au</w:t>
      </w:r>
      <w:r w:rsidR="00B44B0F">
        <w:rPr>
          <w:lang w:eastAsia="ja-JP"/>
        </w:rPr>
        <w:t xml:space="preserve">thors according to a scale of 1 to </w:t>
      </w:r>
      <w:r>
        <w:rPr>
          <w:lang w:eastAsia="ja-JP"/>
        </w:rPr>
        <w:t xml:space="preserve">4 where categories 1 and 2 were ‘preventable’ or ‘potentially preventable’. Those considered preventable or potentially preventable numbered only one and three, respectively. The single preventable case was in fact with the use of dasatinib and was a subdural haematoma in a 15 year old boy treated for </w:t>
      </w:r>
      <w:r w:rsidR="00381288">
        <w:rPr>
          <w:lang w:eastAsia="ja-JP"/>
        </w:rPr>
        <w:t>acute myeloid leukaemia (</w:t>
      </w:r>
      <w:r>
        <w:rPr>
          <w:lang w:eastAsia="ja-JP"/>
        </w:rPr>
        <w:t>AML</w:t>
      </w:r>
      <w:r w:rsidR="00381288">
        <w:rPr>
          <w:lang w:eastAsia="ja-JP"/>
        </w:rPr>
        <w:t>)</w:t>
      </w:r>
      <w:r>
        <w:rPr>
          <w:lang w:eastAsia="ja-JP"/>
        </w:rPr>
        <w:t xml:space="preserve"> off label</w:t>
      </w:r>
      <w:r w:rsidR="003303E3">
        <w:rPr>
          <w:lang w:eastAsia="ja-JP"/>
        </w:rPr>
        <w:t>.</w:t>
      </w:r>
    </w:p>
    <w:p w14:paraId="49AAF2AC" w14:textId="647B8987" w:rsidR="00AA3C7C" w:rsidRPr="009F683A" w:rsidRDefault="00AA3C7C" w:rsidP="00381288">
      <w:pPr>
        <w:rPr>
          <w:lang w:eastAsia="ja-JP"/>
        </w:rPr>
      </w:pPr>
      <w:r>
        <w:rPr>
          <w:lang w:eastAsia="ja-JP"/>
        </w:rPr>
        <w:t xml:space="preserve">These data provide little additional information of interest relevant to this submission. While dasatinib was one of the drugs studied, it was studied effectively in all uses, not simply </w:t>
      </w:r>
      <w:r w:rsidR="0079571B" w:rsidRPr="002B11F8">
        <w:t>Ph</w:t>
      </w:r>
      <w:r w:rsidR="0079571B" w:rsidRPr="0079571B">
        <w:rPr>
          <w:vertAlign w:val="superscript"/>
        </w:rPr>
        <w:t>+</w:t>
      </w:r>
      <w:r>
        <w:rPr>
          <w:lang w:eastAsia="ja-JP"/>
        </w:rPr>
        <w:t xml:space="preserve"> ALL.</w:t>
      </w:r>
    </w:p>
    <w:p w14:paraId="3E2C7B57" w14:textId="34DA84E3" w:rsidR="00AA3C7C" w:rsidRDefault="00AA3C7C" w:rsidP="00AA3C7C">
      <w:pPr>
        <w:pStyle w:val="Heading4"/>
      </w:pPr>
      <w:r>
        <w:t xml:space="preserve">Samad </w:t>
      </w:r>
      <w:r w:rsidR="00381288">
        <w:t>(</w:t>
      </w:r>
      <w:r>
        <w:t>2015</w:t>
      </w:r>
      <w:r w:rsidR="00381288">
        <w:t>)</w:t>
      </w:r>
      <w:r w:rsidR="00B44B0F">
        <w:rPr>
          <w:rStyle w:val="FootnoteReference"/>
        </w:rPr>
        <w:footnoteReference w:id="23"/>
      </w:r>
    </w:p>
    <w:p w14:paraId="4B847DB0" w14:textId="77777777" w:rsidR="00AA3C7C" w:rsidRDefault="00AA3C7C" w:rsidP="00AA3C7C">
      <w:pPr>
        <w:rPr>
          <w:lang w:eastAsia="ja-JP"/>
        </w:rPr>
      </w:pPr>
      <w:r>
        <w:rPr>
          <w:lang w:eastAsia="ja-JP"/>
        </w:rPr>
        <w:t xml:space="preserve">This was a one page abstract of a retrospective analysis of the adverse event of pleural effusion in patients treated with dasatinib for haematological and solid tumour malignancies. It should also be noted some of the text </w:t>
      </w:r>
      <w:r w:rsidR="00B44B0F">
        <w:rPr>
          <w:lang w:eastAsia="ja-JP"/>
        </w:rPr>
        <w:t>was missing and not able to be assessed by the evaluator.</w:t>
      </w:r>
    </w:p>
    <w:p w14:paraId="34D6B4E9" w14:textId="77777777" w:rsidR="003303E3" w:rsidRDefault="00AA3C7C" w:rsidP="00AA3C7C">
      <w:pPr>
        <w:rPr>
          <w:lang w:eastAsia="ja-JP"/>
        </w:rPr>
      </w:pPr>
      <w:r>
        <w:rPr>
          <w:lang w:eastAsia="ja-JP"/>
        </w:rPr>
        <w:t>A retrospective analysis at a single centre (not specifically named) was carried out for all those who received dasatinib for this group of diseases between Jan</w:t>
      </w:r>
      <w:r w:rsidR="00B44B0F">
        <w:rPr>
          <w:lang w:eastAsia="ja-JP"/>
        </w:rPr>
        <w:t>uary</w:t>
      </w:r>
      <w:r>
        <w:rPr>
          <w:lang w:eastAsia="ja-JP"/>
        </w:rPr>
        <w:t xml:space="preserve"> 2006 and November 2014. Of 222 charts reviewed, 105 were excluded. Exclusion criteria included use in clinical trials where treatment could not be verified; treatment for less than one month; a pre-existing effusion before dasatinib treatment, or; developed a pleural effusion while not using dasatinib</w:t>
      </w:r>
      <w:r w:rsidR="003303E3">
        <w:rPr>
          <w:lang w:eastAsia="ja-JP"/>
        </w:rPr>
        <w:t>.</w:t>
      </w:r>
    </w:p>
    <w:p w14:paraId="2BE71EAB" w14:textId="4B04974F" w:rsidR="003303E3" w:rsidRDefault="00AA3C7C" w:rsidP="00AA3C7C">
      <w:pPr>
        <w:rPr>
          <w:lang w:eastAsia="ja-JP"/>
        </w:rPr>
      </w:pPr>
      <w:r>
        <w:rPr>
          <w:lang w:eastAsia="ja-JP"/>
        </w:rPr>
        <w:t>Of the 117 remaining patients, 27% developed a pleural effusion. Older age and presence of one or more comorbidities increased risk, while only coronary artery disease demonstrated increased risk of statistical significance (</w:t>
      </w:r>
      <w:r w:rsidR="00761035">
        <w:t>risk ratio</w:t>
      </w:r>
      <w:r w:rsidR="00761035">
        <w:rPr>
          <w:lang w:eastAsia="ja-JP"/>
        </w:rPr>
        <w:t xml:space="preserve"> (</w:t>
      </w:r>
      <w:r>
        <w:rPr>
          <w:lang w:eastAsia="ja-JP"/>
        </w:rPr>
        <w:t>RR</w:t>
      </w:r>
      <w:r w:rsidR="00761035">
        <w:rPr>
          <w:lang w:eastAsia="ja-JP"/>
        </w:rPr>
        <w:t>)</w:t>
      </w:r>
      <w:r>
        <w:rPr>
          <w:lang w:eastAsia="ja-JP"/>
        </w:rPr>
        <w:t xml:space="preserve"> 2.04</w:t>
      </w:r>
      <w:r w:rsidR="00381288">
        <w:rPr>
          <w:lang w:eastAsia="ja-JP"/>
        </w:rPr>
        <w:t xml:space="preserve">; </w:t>
      </w:r>
      <w:r>
        <w:rPr>
          <w:lang w:eastAsia="ja-JP"/>
        </w:rPr>
        <w:t>p</w:t>
      </w:r>
      <w:r w:rsidR="00B44B0F">
        <w:rPr>
          <w:lang w:eastAsia="ja-JP"/>
        </w:rPr>
        <w:t xml:space="preserve"> </w:t>
      </w:r>
      <w:r>
        <w:rPr>
          <w:lang w:eastAsia="ja-JP"/>
        </w:rPr>
        <w:t>=</w:t>
      </w:r>
      <w:r w:rsidR="00B44B0F">
        <w:rPr>
          <w:lang w:eastAsia="ja-JP"/>
        </w:rPr>
        <w:t xml:space="preserve"> </w:t>
      </w:r>
      <w:r>
        <w:rPr>
          <w:lang w:eastAsia="ja-JP"/>
        </w:rPr>
        <w:t>0.046)</w:t>
      </w:r>
      <w:r w:rsidR="003303E3">
        <w:rPr>
          <w:lang w:eastAsia="ja-JP"/>
        </w:rPr>
        <w:t>.</w:t>
      </w:r>
    </w:p>
    <w:p w14:paraId="5C905FA9" w14:textId="77777777" w:rsidR="003303E3" w:rsidRDefault="00AA3C7C" w:rsidP="00AA3C7C">
      <w:pPr>
        <w:rPr>
          <w:lang w:eastAsia="ja-JP"/>
        </w:rPr>
      </w:pPr>
      <w:r>
        <w:rPr>
          <w:lang w:eastAsia="ja-JP"/>
        </w:rPr>
        <w:t>Obviously there are inherent issues with this study including concomitant medications that may also have such adverse events. While this evaluator is unsure of the methodology given the brevity of information, co-administration of ipilimumab was associated with increased frequency and rapidity of pleural fluid accumulation</w:t>
      </w:r>
      <w:r w:rsidR="003303E3">
        <w:rPr>
          <w:lang w:eastAsia="ja-JP"/>
        </w:rPr>
        <w:t>.</w:t>
      </w:r>
    </w:p>
    <w:p w14:paraId="29B2B28F" w14:textId="1C16EE7E" w:rsidR="00500337" w:rsidRPr="00500337" w:rsidRDefault="00AA3C7C" w:rsidP="00381288">
      <w:pPr>
        <w:rPr>
          <w:lang w:eastAsia="ja-JP"/>
        </w:rPr>
      </w:pPr>
      <w:r w:rsidRPr="00B44B0F">
        <w:rPr>
          <w:lang w:eastAsia="ja-JP"/>
        </w:rPr>
        <w:lastRenderedPageBreak/>
        <w:t>In the context of this submission, this abstract adds little to consider. The adverse event is well known and in the PI. Of note is only that a prescriber should perhaps be more vigilant for this AE in the context of pre-existing coronary disease.</w:t>
      </w:r>
    </w:p>
    <w:p w14:paraId="4778DB76" w14:textId="77777777" w:rsidR="00605AD4" w:rsidRDefault="00605AD4" w:rsidP="00605AD4">
      <w:pPr>
        <w:pStyle w:val="Heading4"/>
      </w:pPr>
      <w:r w:rsidRPr="00605AD4">
        <w:t>Post</w:t>
      </w:r>
      <w:r w:rsidR="00B44B0F">
        <w:t>-</w:t>
      </w:r>
      <w:r w:rsidRPr="00605AD4">
        <w:t>marketing data</w:t>
      </w:r>
    </w:p>
    <w:p w14:paraId="02880A99" w14:textId="0A2D9F8C" w:rsidR="00AA3C7C" w:rsidRDefault="00AA3C7C" w:rsidP="00AA3C7C">
      <w:pPr>
        <w:rPr>
          <w:lang w:eastAsia="ja-JP"/>
        </w:rPr>
      </w:pPr>
      <w:r>
        <w:rPr>
          <w:lang w:eastAsia="ja-JP"/>
        </w:rPr>
        <w:t>Four PSURs covering 28 December 2006 to 27 Decem</w:t>
      </w:r>
      <w:r w:rsidR="00B44B0F">
        <w:rPr>
          <w:lang w:eastAsia="ja-JP"/>
        </w:rPr>
        <w:t>ber 2008 and 28 June 2010 to 27 </w:t>
      </w:r>
      <w:r>
        <w:rPr>
          <w:lang w:eastAsia="ja-JP"/>
        </w:rPr>
        <w:t xml:space="preserve">June 2012 were submitted. Also </w:t>
      </w:r>
      <w:r w:rsidR="00381288">
        <w:rPr>
          <w:lang w:eastAsia="ja-JP"/>
        </w:rPr>
        <w:t xml:space="preserve">submitted were </w:t>
      </w:r>
      <w:r>
        <w:rPr>
          <w:lang w:eastAsia="ja-JP"/>
        </w:rPr>
        <w:t xml:space="preserve">four </w:t>
      </w:r>
      <w:r w:rsidR="00381288">
        <w:rPr>
          <w:lang w:eastAsia="ja-JP"/>
        </w:rPr>
        <w:t>PBRERs</w:t>
      </w:r>
      <w:r>
        <w:rPr>
          <w:lang w:eastAsia="ja-JP"/>
        </w:rPr>
        <w:t xml:space="preserve"> covering 28 June 2012 to 27 June 2016.</w:t>
      </w:r>
    </w:p>
    <w:p w14:paraId="380B430F" w14:textId="77777777" w:rsidR="00AA3C7C" w:rsidRDefault="00AA3C7C" w:rsidP="00AA3C7C">
      <w:pPr>
        <w:rPr>
          <w:lang w:eastAsia="ja-JP"/>
        </w:rPr>
      </w:pPr>
      <w:r>
        <w:rPr>
          <w:lang w:eastAsia="ja-JP"/>
        </w:rPr>
        <w:t>In the latter two PSUR reports that each cover one year of time, the following additions of interest were made to the Company Core Data Sheet:</w:t>
      </w:r>
    </w:p>
    <w:p w14:paraId="23186820" w14:textId="351BAD95" w:rsidR="00AA3C7C" w:rsidRDefault="003C2CDB" w:rsidP="00141EB7">
      <w:pPr>
        <w:pStyle w:val="ListBullet"/>
      </w:pPr>
      <w:r>
        <w:t>‘</w:t>
      </w:r>
      <w:r w:rsidR="00AA3C7C">
        <w:t>Pulmonary arterial hypertension</w:t>
      </w:r>
      <w:r>
        <w:t>’</w:t>
      </w:r>
      <w:r w:rsidR="00AA3C7C">
        <w:t xml:space="preserve"> added as an adverse event.</w:t>
      </w:r>
    </w:p>
    <w:p w14:paraId="7A5F5DA7" w14:textId="6018F7EF" w:rsidR="003303E3" w:rsidRDefault="00AA3C7C" w:rsidP="00AA3C7C">
      <w:pPr>
        <w:rPr>
          <w:lang w:eastAsia="ja-JP"/>
        </w:rPr>
      </w:pPr>
      <w:r>
        <w:rPr>
          <w:lang w:eastAsia="ja-JP"/>
        </w:rPr>
        <w:t xml:space="preserve">Other than this, updated figures on market and clinical trial exposure are of course made. There were 4754 patients in total now exposed to dasatinib in clinical trials as of end June 2012. Cumulative market exposure was estimated at 32,882 patients at the same </w:t>
      </w:r>
      <w:r w:rsidR="00B44B0F">
        <w:rPr>
          <w:lang w:eastAsia="ja-JP"/>
        </w:rPr>
        <w:t>cut-off</w:t>
      </w:r>
      <w:r>
        <w:rPr>
          <w:lang w:eastAsia="ja-JP"/>
        </w:rPr>
        <w:t xml:space="preserve"> date</w:t>
      </w:r>
      <w:r w:rsidR="003303E3">
        <w:rPr>
          <w:lang w:eastAsia="ja-JP"/>
        </w:rPr>
        <w:t>.</w:t>
      </w:r>
    </w:p>
    <w:p w14:paraId="3798BB31" w14:textId="77777777" w:rsidR="00AA3C7C" w:rsidRDefault="00AA3C7C" w:rsidP="00AA3C7C">
      <w:pPr>
        <w:rPr>
          <w:lang w:eastAsia="ja-JP"/>
        </w:rPr>
      </w:pPr>
      <w:r>
        <w:rPr>
          <w:lang w:eastAsia="ja-JP"/>
        </w:rPr>
        <w:t>The PSURs verify that the constellation of ADRs present in the PI reflect those discovered up to that timeframe and are consistent with those noted in clinical trials and present in the PI.</w:t>
      </w:r>
    </w:p>
    <w:p w14:paraId="79521373" w14:textId="77777777" w:rsidR="00AA3C7C" w:rsidRDefault="00AA3C7C" w:rsidP="00AA3C7C">
      <w:pPr>
        <w:rPr>
          <w:lang w:eastAsia="ja-JP"/>
        </w:rPr>
      </w:pPr>
      <w:r>
        <w:rPr>
          <w:lang w:eastAsia="ja-JP"/>
        </w:rPr>
        <w:t>Another point of note was found in the PBER dated 28 June 2015 to 27 June 2016, where the potential for reactivation of hepatitis B virus was added to the Company Core Data Sheet. This is also reflected in the PI document.</w:t>
      </w:r>
    </w:p>
    <w:p w14:paraId="5CC11C03" w14:textId="77777777" w:rsidR="00500337" w:rsidRPr="00500337" w:rsidRDefault="00AA3C7C" w:rsidP="00500337">
      <w:pPr>
        <w:rPr>
          <w:lang w:eastAsia="ja-JP"/>
        </w:rPr>
      </w:pPr>
      <w:r w:rsidRPr="00B44B0F">
        <w:rPr>
          <w:lang w:eastAsia="ja-JP"/>
        </w:rPr>
        <w:t>In summary the post-market data provide additional comfort (and in the view of this evaluator, the most robust information given the number of patients and nature of the trials in the publications submitted) that the safety profile derived from clinical trials is reflected in practical use of the drug. The PI reflects current knowledge of dasatinib in terms of clinical trial knowledge and most recent post-market considerations.</w:t>
      </w:r>
    </w:p>
    <w:p w14:paraId="775C7508" w14:textId="77777777" w:rsidR="00605AD4" w:rsidRPr="00605AD4" w:rsidRDefault="00605AD4" w:rsidP="00605AD4">
      <w:pPr>
        <w:pStyle w:val="Heading4"/>
      </w:pPr>
      <w:r w:rsidRPr="00605AD4">
        <w:t>Evaluator’s conclusions on safety</w:t>
      </w:r>
    </w:p>
    <w:p w14:paraId="31029ADC" w14:textId="45026F08" w:rsidR="00AA3C7C" w:rsidRPr="00AA3C7C" w:rsidRDefault="00AA3C7C" w:rsidP="00AA3C7C">
      <w:r w:rsidRPr="00AA3C7C">
        <w:t xml:space="preserve">The sponsor summarises the safety population as 247 patients from 4 pivotal trials and 406 in total when adding supportive studies. Given the clinical overview was authored without </w:t>
      </w:r>
      <w:r w:rsidR="003C2CDB">
        <w:t xml:space="preserve">Study </w:t>
      </w:r>
      <w:r w:rsidRPr="00AA3C7C">
        <w:t xml:space="preserve">ALL5, this includes a further 20 patients. The studies presented include different doses and dose regimens for dasatinib, slightly different inclusion and exclusion criteria, and different concomitant treatment for </w:t>
      </w:r>
      <w:r w:rsidR="0079571B" w:rsidRPr="002B11F8">
        <w:t>Ph</w:t>
      </w:r>
      <w:r w:rsidR="0079571B" w:rsidRPr="0079571B">
        <w:rPr>
          <w:vertAlign w:val="superscript"/>
        </w:rPr>
        <w:t>+</w:t>
      </w:r>
      <w:r w:rsidRPr="00AA3C7C">
        <w:t xml:space="preserve"> ALL. There is no study that compares a chemotherapy regimen with chemotherapy plus dasatinib, therefore ADRs attributable to dasatinib alone are via biological plausibility and previously submitted data rather than being clearly apparent from this dossier’s data.</w:t>
      </w:r>
    </w:p>
    <w:p w14:paraId="4BFBB393" w14:textId="77777777" w:rsidR="00AA3C7C" w:rsidRPr="00AA3C7C" w:rsidRDefault="00AA3C7C" w:rsidP="00AA3C7C">
      <w:r w:rsidRPr="00AA3C7C">
        <w:t xml:space="preserve">The </w:t>
      </w:r>
      <w:r w:rsidR="00B44B0F" w:rsidRPr="00AA3C7C">
        <w:t>nature of the data presented is</w:t>
      </w:r>
      <w:r w:rsidRPr="00AA3C7C">
        <w:t xml:space="preserve"> such that formal adverse event information is not presented for any study. Indeed some publications do not discuss adverse events at all. Given that context, the contribution of this dossier to further circumscribe the safety profile of dasatinib is, in the opinion of this evaluator, modest. The adverse events that are apparent are known ADRs for dasatinib and there do not appear to be additional serious adverse events revealed by these studies that are not already known to the sponsor and regulator. The nature of the data, several studies of relatively small populations with different designs and treatment regimens, makes it difficult or impossible to check the ADR frequencies in these data against those of the PI. It is the considered view of this evaluator that significant ADRs do not appear to have occurred at greater rates than the PI currently, but even if they did, these data would not necessarily readily identify that. Prima facie the data support the safety profile of the current PI document. Serious adverse events provided by the pivotal studies of this submission are summarised </w:t>
      </w:r>
      <w:r w:rsidR="00BB4D43">
        <w:t>in Table 3</w:t>
      </w:r>
      <w:r w:rsidR="00B44B0F">
        <w:t>.</w:t>
      </w:r>
    </w:p>
    <w:p w14:paraId="1224FD73" w14:textId="77777777" w:rsidR="00605AD4" w:rsidRDefault="00BB4D43" w:rsidP="00AA3C7C">
      <w:pPr>
        <w:pStyle w:val="TableTitle"/>
      </w:pPr>
      <w:r>
        <w:lastRenderedPageBreak/>
        <w:t>Table 3</w:t>
      </w:r>
      <w:r w:rsidR="00AA3C7C">
        <w:t>: Serious adverse events reported in pivotal publications</w:t>
      </w:r>
    </w:p>
    <w:p w14:paraId="301BDF99" w14:textId="77777777" w:rsidR="00AA3C7C" w:rsidRDefault="00BB4D43" w:rsidP="00AA3C7C">
      <w:r w:rsidRPr="00BB4D43">
        <w:rPr>
          <w:noProof/>
          <w:lang w:eastAsia="en-AU"/>
        </w:rPr>
        <w:drawing>
          <wp:inline distT="0" distB="0" distL="0" distR="0" wp14:anchorId="7648FE32" wp14:editId="5E59376E">
            <wp:extent cx="5400040" cy="6445885"/>
            <wp:effectExtent l="0" t="0" r="0" b="0"/>
            <wp:docPr id="3" name="Picture 3" descr="Table 3: Serious adverse events reported in pivotal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400040" cy="6445885"/>
                    </a:xfrm>
                    <a:prstGeom prst="rect">
                      <a:avLst/>
                    </a:prstGeom>
                  </pic:spPr>
                </pic:pic>
              </a:graphicData>
            </a:graphic>
          </wp:inline>
        </w:drawing>
      </w:r>
    </w:p>
    <w:p w14:paraId="385DBA9D" w14:textId="096A6B70" w:rsidR="00AA3C7C" w:rsidRPr="00AA3C7C" w:rsidRDefault="00AA3C7C" w:rsidP="00AA3C7C">
      <w:r w:rsidRPr="00AA3C7C">
        <w:t xml:space="preserve">These events are encompassed by the PI. The post-market data reflect a patient experience in the estimated tens of thousands and the adverse events encountered are reflected in the PI. The most recent post-market information is that of a </w:t>
      </w:r>
      <w:r w:rsidR="003C2CDB">
        <w:t>PBRER</w:t>
      </w:r>
      <w:r w:rsidR="00A77B51">
        <w:t>7</w:t>
      </w:r>
      <w:r w:rsidRPr="00AA3C7C">
        <w:t xml:space="preserve"> up to 27 June 2016.</w:t>
      </w:r>
    </w:p>
    <w:p w14:paraId="7ECCDE31" w14:textId="03CE5191" w:rsidR="00605AD4" w:rsidRPr="00605AD4" w:rsidRDefault="00605AD4" w:rsidP="00605AD4">
      <w:pPr>
        <w:pStyle w:val="Heading3"/>
        <w:rPr>
          <w:rFonts w:eastAsia="Cambria"/>
        </w:rPr>
      </w:pPr>
      <w:bookmarkStart w:id="92" w:name="_Toc20401738"/>
      <w:r w:rsidRPr="00605AD4">
        <w:rPr>
          <w:rFonts w:eastAsia="Cambria"/>
        </w:rPr>
        <w:t xml:space="preserve">First </w:t>
      </w:r>
      <w:r w:rsidR="00883B92" w:rsidRPr="00605AD4">
        <w:rPr>
          <w:rFonts w:eastAsia="Cambria"/>
        </w:rPr>
        <w:t>round benefit-risk assessment</w:t>
      </w:r>
      <w:bookmarkEnd w:id="92"/>
    </w:p>
    <w:p w14:paraId="1474F0BE" w14:textId="207343C9" w:rsidR="00AA3C7C" w:rsidRPr="00AA3C7C" w:rsidRDefault="00AA3C7C" w:rsidP="00AA3C7C">
      <w:r w:rsidRPr="00AA3C7C">
        <w:t xml:space="preserve">It has been reported in this dossier and this evaluation report that clinical outcomes for those diagnosed with </w:t>
      </w:r>
      <w:r w:rsidR="0079571B" w:rsidRPr="002B11F8">
        <w:t>Ph</w:t>
      </w:r>
      <w:r w:rsidR="0079571B" w:rsidRPr="0079571B">
        <w:rPr>
          <w:vertAlign w:val="superscript"/>
        </w:rPr>
        <w:t>+</w:t>
      </w:r>
      <w:r w:rsidRPr="00AA3C7C">
        <w:t xml:space="preserve"> ALL prior to the advent of </w:t>
      </w:r>
      <w:r w:rsidR="00A77B51" w:rsidRPr="00AA3C7C">
        <w:t xml:space="preserve">TK </w:t>
      </w:r>
      <w:r w:rsidRPr="00AA3C7C">
        <w:t xml:space="preserve">inhibitors was poor on chemotherapy alone, and stem cell transplant remains the gold standard of care </w:t>
      </w:r>
      <w:r w:rsidR="00F172C6">
        <w:t>for eligible patients</w:t>
      </w:r>
      <w:r w:rsidRPr="00AA3C7C">
        <w:t>.</w:t>
      </w:r>
    </w:p>
    <w:p w14:paraId="65447513" w14:textId="1E26F535" w:rsidR="00AA3C7C" w:rsidRPr="00AA3C7C" w:rsidRDefault="00AA3C7C" w:rsidP="00761035">
      <w:pPr>
        <w:tabs>
          <w:tab w:val="left" w:pos="5529"/>
        </w:tabs>
      </w:pPr>
      <w:r w:rsidRPr="00AA3C7C">
        <w:lastRenderedPageBreak/>
        <w:t xml:space="preserve">With the use of </w:t>
      </w:r>
      <w:r w:rsidR="00A77B51" w:rsidRPr="00AA3C7C">
        <w:t>TK</w:t>
      </w:r>
      <w:r w:rsidR="00A77B51">
        <w:t xml:space="preserve"> inhibitor</w:t>
      </w:r>
      <w:r w:rsidR="00A77B51" w:rsidRPr="00AA3C7C">
        <w:t xml:space="preserve">s </w:t>
      </w:r>
      <w:r w:rsidRPr="00AA3C7C">
        <w:t xml:space="preserve">including dasatinib, CR rates as well as </w:t>
      </w:r>
      <w:r w:rsidR="00166605">
        <w:t>event free survival</w:t>
      </w:r>
      <w:r w:rsidR="00166605" w:rsidRPr="00AA3C7C">
        <w:t xml:space="preserve"> </w:t>
      </w:r>
      <w:r w:rsidR="00166605">
        <w:t>(</w:t>
      </w:r>
      <w:r w:rsidRPr="00AA3C7C">
        <w:t>EFS</w:t>
      </w:r>
      <w:r w:rsidR="00166605">
        <w:t>)</w:t>
      </w:r>
      <w:r w:rsidRPr="00AA3C7C">
        <w:t xml:space="preserve"> and </w:t>
      </w:r>
      <w:r w:rsidR="00761035">
        <w:t>overall survival</w:t>
      </w:r>
      <w:r w:rsidR="00761035" w:rsidRPr="00AA3C7C">
        <w:t xml:space="preserve"> </w:t>
      </w:r>
      <w:r w:rsidR="00761035">
        <w:t>(</w:t>
      </w:r>
      <w:r w:rsidRPr="00AA3C7C">
        <w:t>OS</w:t>
      </w:r>
      <w:r w:rsidR="00761035">
        <w:t>)</w:t>
      </w:r>
      <w:r w:rsidRPr="00AA3C7C">
        <w:t xml:space="preserve"> have improved. This dossier supports very good CR outcomes for the use of dasatinib in first line treatment of </w:t>
      </w:r>
      <w:r w:rsidR="0079571B" w:rsidRPr="002B11F8">
        <w:t>Ph</w:t>
      </w:r>
      <w:r w:rsidR="0079571B" w:rsidRPr="0079571B">
        <w:rPr>
          <w:vertAlign w:val="superscript"/>
        </w:rPr>
        <w:t>+</w:t>
      </w:r>
      <w:r w:rsidRPr="00AA3C7C">
        <w:t xml:space="preserve"> ALL, within the constraints of the patient numbers presented and acknowledged level of evidence of the data. While data are not yet fully generated to </w:t>
      </w:r>
      <w:r w:rsidR="00B44B0F">
        <w:t xml:space="preserve">demonstrate whether or not long </w:t>
      </w:r>
      <w:r w:rsidRPr="00AA3C7C">
        <w:t xml:space="preserve">term use of </w:t>
      </w:r>
      <w:r w:rsidR="00A77B51" w:rsidRPr="00AA3C7C">
        <w:t>TK</w:t>
      </w:r>
      <w:r w:rsidR="00A77B51">
        <w:t xml:space="preserve"> inhibitor</w:t>
      </w:r>
      <w:r w:rsidR="00A77B51" w:rsidRPr="00AA3C7C">
        <w:t xml:space="preserve">s </w:t>
      </w:r>
      <w:r w:rsidRPr="00AA3C7C">
        <w:t xml:space="preserve">may offer comparable outcome data as that </w:t>
      </w:r>
      <w:r w:rsidR="00761035" w:rsidRPr="00AA3C7C">
        <w:t xml:space="preserve">for </w:t>
      </w:r>
      <w:r w:rsidR="00761035">
        <w:t>stem cell transplants</w:t>
      </w:r>
      <w:r w:rsidR="00761035" w:rsidRPr="00AA3C7C">
        <w:t xml:space="preserve"> </w:t>
      </w:r>
      <w:r w:rsidR="00761035">
        <w:t>(</w:t>
      </w:r>
      <w:r w:rsidRPr="00AA3C7C">
        <w:t>SCTs</w:t>
      </w:r>
      <w:r w:rsidR="00761035">
        <w:t>)</w:t>
      </w:r>
      <w:r w:rsidRPr="00AA3C7C">
        <w:t xml:space="preserve">, nonetheless the data presented here show that overall survival can be prolonged for many months in a sizeable proportion of patients treated with </w:t>
      </w:r>
      <w:r w:rsidR="00A77B51" w:rsidRPr="00AA3C7C">
        <w:t>TK</w:t>
      </w:r>
      <w:r w:rsidR="00A77B51">
        <w:t xml:space="preserve"> inhibitors</w:t>
      </w:r>
      <w:r w:rsidR="00A77B51" w:rsidRPr="00AA3C7C">
        <w:t xml:space="preserve">s </w:t>
      </w:r>
      <w:r w:rsidRPr="00AA3C7C">
        <w:t>including dasatinib.</w:t>
      </w:r>
    </w:p>
    <w:p w14:paraId="0E4C41C2" w14:textId="77777777" w:rsidR="003303E3" w:rsidRDefault="00AA3C7C" w:rsidP="00AA3C7C">
      <w:r w:rsidRPr="00AA3C7C">
        <w:t>In that light, the drug, at the very least, allows prolonged survival which then increases chances for SCT</w:t>
      </w:r>
      <w:r w:rsidR="003303E3">
        <w:t>.</w:t>
      </w:r>
    </w:p>
    <w:p w14:paraId="1E835984" w14:textId="77777777" w:rsidR="00AA3C7C" w:rsidRPr="00AA3C7C" w:rsidRDefault="00AA3C7C" w:rsidP="00AA3C7C">
      <w:r w:rsidRPr="00AA3C7C">
        <w:t xml:space="preserve">The sponsor makes the point that despite the use of imatinib in first line </w:t>
      </w:r>
      <w:r w:rsidR="00B44B0F" w:rsidRPr="00AA3C7C">
        <w:t>treatment;</w:t>
      </w:r>
      <w:r w:rsidRPr="00AA3C7C">
        <w:t xml:space="preserve"> outcomes can still be poor as a result of:</w:t>
      </w:r>
    </w:p>
    <w:p w14:paraId="300DCC9C" w14:textId="77777777" w:rsidR="00AA3C7C" w:rsidRPr="00AA3C7C" w:rsidRDefault="00AA3C7C" w:rsidP="00AA3C7C">
      <w:pPr>
        <w:pStyle w:val="ListBullet"/>
      </w:pPr>
      <w:r w:rsidRPr="00AA3C7C">
        <w:t>Relapse with selection of point mutations in the BCR-ABL kinase domain.</w:t>
      </w:r>
    </w:p>
    <w:p w14:paraId="1C6F443B" w14:textId="77777777" w:rsidR="00AA3C7C" w:rsidRPr="00AA3C7C" w:rsidRDefault="00AA3C7C" w:rsidP="00AA3C7C">
      <w:pPr>
        <w:pStyle w:val="ListBullet"/>
      </w:pPr>
      <w:r w:rsidRPr="00AA3C7C">
        <w:t xml:space="preserve">Evidence of other kinases involved in </w:t>
      </w:r>
      <w:r w:rsidR="0079571B" w:rsidRPr="002B11F8">
        <w:t>Ph</w:t>
      </w:r>
      <w:r w:rsidR="0079571B" w:rsidRPr="0079571B">
        <w:rPr>
          <w:vertAlign w:val="superscript"/>
        </w:rPr>
        <w:t>+</w:t>
      </w:r>
      <w:r w:rsidRPr="00AA3C7C">
        <w:t xml:space="preserve"> ALL that are not blocked by imatinib (</w:t>
      </w:r>
      <w:r w:rsidR="00B44B0F">
        <w:t>for example SRC kinases).</w:t>
      </w:r>
    </w:p>
    <w:p w14:paraId="739950D0" w14:textId="77777777" w:rsidR="00AA3C7C" w:rsidRPr="00AA3C7C" w:rsidRDefault="00AA3C7C" w:rsidP="00AA3C7C">
      <w:r w:rsidRPr="00AA3C7C">
        <w:t>As a result, the avail</w:t>
      </w:r>
      <w:r w:rsidR="00B44B0F">
        <w:t xml:space="preserve">ability of dasatinib as a first </w:t>
      </w:r>
      <w:r w:rsidRPr="00AA3C7C">
        <w:t>line treatment option would seem advantageous for clinicians.</w:t>
      </w:r>
    </w:p>
    <w:p w14:paraId="5BBE4368" w14:textId="77777777" w:rsidR="00AA3C7C" w:rsidRPr="00AA3C7C" w:rsidRDefault="00AA3C7C" w:rsidP="00AA3C7C">
      <w:r w:rsidRPr="00AA3C7C">
        <w:t xml:space="preserve">Shortcomings of this dossier apart from the level of evidence of the data include the varying dosage regimens and strengths of dasatinib in the publications presented, and the varying accompanying chemotherapy regimen in most cases. An ‘agreed’ or ideal regimen does not exist and this remains an absent data set in terms of verifying </w:t>
      </w:r>
      <w:r w:rsidR="00CA76AD">
        <w:t>Phase</w:t>
      </w:r>
      <w:r w:rsidRPr="00AA3C7C">
        <w:t xml:space="preserve"> </w:t>
      </w:r>
      <w:r w:rsidR="00B44B0F">
        <w:t>III</w:t>
      </w:r>
      <w:r w:rsidRPr="00AA3C7C">
        <w:t xml:space="preserve"> trials. While treatment dose has been circumscribed largely based upon patient tolerance and toxicity, dosage regimen remains uncertain. Some regimens treat intermittently, others continuously. In the view of this evaluator this is really principally dependent upon patient tolerance of toxicity for the most part, including the toxicity of concomitant or peri-concomitant chemotherapy agents. The PI indication statement does include chemotherapy, where some of the data in this submission treated solely with dasatinib alone.</w:t>
      </w:r>
    </w:p>
    <w:p w14:paraId="2D2CD2C3" w14:textId="5A57BBB2" w:rsidR="00605AD4" w:rsidRPr="00605AD4" w:rsidRDefault="00AA3C7C" w:rsidP="00605AD4">
      <w:r w:rsidRPr="00AA3C7C">
        <w:t>Furthermore, the safety data that this dossier encompasses are largely either brief in the context of a publication or absent entirely; therefore additional circumscribing of the safety profile of the drug for this indication has not been possible in a thorough sense other than via post-market information with its inherent limitations. There is no doubt the drug and TK</w:t>
      </w:r>
      <w:r w:rsidR="0026615D">
        <w:t xml:space="preserve"> inhibitors</w:t>
      </w:r>
      <w:r w:rsidRPr="00AA3C7C">
        <w:t xml:space="preserve"> in general have a significant toxicity profile; this is offset favourably as a result of the limited treatment options for </w:t>
      </w:r>
      <w:r w:rsidR="0079571B" w:rsidRPr="002B11F8">
        <w:t>Ph</w:t>
      </w:r>
      <w:r w:rsidR="0079571B" w:rsidRPr="0079571B">
        <w:rPr>
          <w:vertAlign w:val="superscript"/>
        </w:rPr>
        <w:t>+</w:t>
      </w:r>
      <w:r w:rsidRPr="00AA3C7C">
        <w:t xml:space="preserve"> ALL and the very poor outcome data without the use of </w:t>
      </w:r>
      <w:r w:rsidR="0026615D" w:rsidRPr="00AA3C7C">
        <w:t>TK</w:t>
      </w:r>
      <w:r w:rsidR="0026615D">
        <w:t xml:space="preserve"> inhibitor</w:t>
      </w:r>
      <w:r w:rsidR="0026615D" w:rsidRPr="00AA3C7C">
        <w:t xml:space="preserve">s </w:t>
      </w:r>
      <w:r w:rsidRPr="00AA3C7C">
        <w:t>or stem cell transplant.</w:t>
      </w:r>
    </w:p>
    <w:p w14:paraId="2B9E3E7C" w14:textId="7959A38B" w:rsidR="00605AD4" w:rsidRPr="00605AD4" w:rsidRDefault="00605AD4" w:rsidP="00605AD4">
      <w:pPr>
        <w:pStyle w:val="Heading3"/>
        <w:rPr>
          <w:rFonts w:eastAsia="Cambria"/>
        </w:rPr>
      </w:pPr>
      <w:bookmarkStart w:id="93" w:name="_Toc20401739"/>
      <w:r w:rsidRPr="00605AD4">
        <w:rPr>
          <w:rFonts w:eastAsia="Cambria"/>
        </w:rPr>
        <w:t xml:space="preserve">First </w:t>
      </w:r>
      <w:r w:rsidR="00883B92" w:rsidRPr="00605AD4">
        <w:rPr>
          <w:rFonts w:eastAsia="Cambria"/>
        </w:rPr>
        <w:t>round recommendation regarding authorisation</w:t>
      </w:r>
      <w:bookmarkEnd w:id="93"/>
    </w:p>
    <w:p w14:paraId="70CFE500" w14:textId="77777777" w:rsidR="00605AD4" w:rsidRDefault="00AA3C7C" w:rsidP="00605AD4">
      <w:r w:rsidRPr="00AA3C7C">
        <w:t xml:space="preserve">This evaluator recommends approval of the use of dasatinib for first-line treatment of </w:t>
      </w:r>
      <w:r w:rsidR="0079571B" w:rsidRPr="002B11F8">
        <w:t>Ph</w:t>
      </w:r>
      <w:r w:rsidR="0079571B" w:rsidRPr="0079571B">
        <w:rPr>
          <w:vertAlign w:val="superscript"/>
        </w:rPr>
        <w:t>+</w:t>
      </w:r>
      <w:r w:rsidR="00B44B0F">
        <w:t> </w:t>
      </w:r>
      <w:r w:rsidRPr="00AA3C7C">
        <w:t>ALL in adults.</w:t>
      </w:r>
    </w:p>
    <w:p w14:paraId="7291158D" w14:textId="77777777" w:rsidR="00605AD4" w:rsidRPr="00605AD4" w:rsidRDefault="008F5B1B" w:rsidP="00546154">
      <w:r>
        <w:t>The question and second round evaluation related to PI issues and are considered beyond the scope of the AusPAR.</w:t>
      </w:r>
    </w:p>
    <w:p w14:paraId="42F4B96F" w14:textId="77777777" w:rsidR="008E7846" w:rsidRPr="00E41208" w:rsidRDefault="008E7846" w:rsidP="00546154">
      <w:pPr>
        <w:pStyle w:val="Heading2"/>
      </w:pPr>
      <w:bookmarkStart w:id="94" w:name="_Toc20401740"/>
      <w:r w:rsidRPr="00E41208">
        <w:lastRenderedPageBreak/>
        <w:t>V</w:t>
      </w:r>
      <w:r w:rsidR="00500337">
        <w:t>I</w:t>
      </w:r>
      <w:r w:rsidRPr="00E41208">
        <w:t xml:space="preserve">. Pharmacovigilance </w:t>
      </w:r>
      <w:r>
        <w:t>f</w:t>
      </w:r>
      <w:r w:rsidRPr="00E41208">
        <w:t>indings</w:t>
      </w:r>
      <w:bookmarkEnd w:id="77"/>
      <w:bookmarkEnd w:id="78"/>
      <w:bookmarkEnd w:id="94"/>
    </w:p>
    <w:p w14:paraId="417AB0DD" w14:textId="77777777" w:rsidR="008E7846" w:rsidRDefault="00386150" w:rsidP="008E7846">
      <w:pPr>
        <w:pStyle w:val="Heading3"/>
        <w:rPr>
          <w:lang w:eastAsia="en-AU"/>
        </w:rPr>
      </w:pPr>
      <w:bookmarkStart w:id="95" w:name="_Toc247691526"/>
      <w:bookmarkStart w:id="96" w:name="_Toc314842509"/>
      <w:bookmarkStart w:id="97" w:name="_Toc20401741"/>
      <w:r>
        <w:rPr>
          <w:lang w:eastAsia="en-AU"/>
        </w:rPr>
        <w:t>Risk m</w:t>
      </w:r>
      <w:r w:rsidR="008E7846">
        <w:rPr>
          <w:lang w:eastAsia="en-AU"/>
        </w:rPr>
        <w:t xml:space="preserve">anagement </w:t>
      </w:r>
      <w:r>
        <w:rPr>
          <w:lang w:eastAsia="en-AU"/>
        </w:rPr>
        <w:t>p</w:t>
      </w:r>
      <w:r w:rsidR="008E7846">
        <w:rPr>
          <w:lang w:eastAsia="en-AU"/>
        </w:rPr>
        <w:t>lan</w:t>
      </w:r>
      <w:bookmarkEnd w:id="95"/>
      <w:bookmarkEnd w:id="96"/>
      <w:bookmarkEnd w:id="97"/>
    </w:p>
    <w:p w14:paraId="1ADFEA73" w14:textId="53B01A4F" w:rsidR="007B0A0F" w:rsidRPr="007B0A0F" w:rsidRDefault="007B0A0F" w:rsidP="007B0A0F">
      <w:pPr>
        <w:pStyle w:val="Heading4"/>
        <w:rPr>
          <w:lang w:eastAsia="en-AU"/>
        </w:rPr>
      </w:pPr>
      <w:r>
        <w:rPr>
          <w:lang w:eastAsia="en-AU"/>
        </w:rPr>
        <w:t xml:space="preserve">Summary of </w:t>
      </w:r>
      <w:r w:rsidR="00883B92">
        <w:rPr>
          <w:lang w:eastAsia="en-AU"/>
        </w:rPr>
        <w:t>r</w:t>
      </w:r>
      <w:r w:rsidR="00761035">
        <w:rPr>
          <w:lang w:eastAsia="en-AU"/>
        </w:rPr>
        <w:t>isk management plan (</w:t>
      </w:r>
      <w:r>
        <w:rPr>
          <w:lang w:eastAsia="en-AU"/>
        </w:rPr>
        <w:t>RMP</w:t>
      </w:r>
      <w:r w:rsidR="00761035">
        <w:rPr>
          <w:lang w:eastAsia="en-AU"/>
        </w:rPr>
        <w:t>)</w:t>
      </w:r>
      <w:r>
        <w:rPr>
          <w:lang w:eastAsia="en-AU"/>
        </w:rPr>
        <w:t xml:space="preserve"> evaluation</w:t>
      </w:r>
      <w:r>
        <w:rPr>
          <w:rStyle w:val="FootnoteReference"/>
          <w:lang w:eastAsia="en-AU"/>
        </w:rPr>
        <w:footnoteReference w:id="24"/>
      </w:r>
    </w:p>
    <w:p w14:paraId="1B32014A" w14:textId="1352D95E" w:rsidR="007B0A0F" w:rsidRPr="00454721" w:rsidRDefault="00761035" w:rsidP="007B0A0F">
      <w:pPr>
        <w:pStyle w:val="ListBullet"/>
      </w:pPr>
      <w:bookmarkStart w:id="98" w:name="_Toc247691527"/>
      <w:bookmarkStart w:id="99" w:name="_Toc314842510"/>
      <w:r>
        <w:t>The most recently evaluated EU-</w:t>
      </w:r>
      <w:r w:rsidR="007B0A0F" w:rsidRPr="00454721">
        <w:t>RMP was version 1</w:t>
      </w:r>
      <w:r w:rsidR="00B44B0F">
        <w:t xml:space="preserve">4.0 (dated 20 July 2016; </w:t>
      </w:r>
      <w:r w:rsidR="0026615D">
        <w:t>data lock point (</w:t>
      </w:r>
      <w:r w:rsidR="00B44B0F">
        <w:t>DLP</w:t>
      </w:r>
      <w:r w:rsidR="0026615D">
        <w:t>)</w:t>
      </w:r>
      <w:r w:rsidR="00B44B0F">
        <w:t xml:space="preserve"> 12 </w:t>
      </w:r>
      <w:r w:rsidR="007B0A0F" w:rsidRPr="00454721">
        <w:t xml:space="preserve">November 2015) and </w:t>
      </w:r>
      <w:r w:rsidR="00166605">
        <w:t>Australian Specific Annex (</w:t>
      </w:r>
      <w:r w:rsidR="007B0A0F" w:rsidRPr="00454721">
        <w:t>ASA</w:t>
      </w:r>
      <w:r w:rsidR="00166605">
        <w:t>)</w:t>
      </w:r>
      <w:r w:rsidR="007B0A0F" w:rsidRPr="00454721">
        <w:t xml:space="preserve"> version 4.0 (dated 7</w:t>
      </w:r>
      <w:r w:rsidR="007E1C18">
        <w:t> </w:t>
      </w:r>
      <w:r w:rsidR="007B0A0F" w:rsidRPr="00454721">
        <w:t xml:space="preserve">September 2016). In support of the extended indications, the </w:t>
      </w:r>
      <w:r w:rsidR="00036FE4">
        <w:t>sponsor</w:t>
      </w:r>
      <w:r w:rsidR="007B0A0F" w:rsidRPr="00454721">
        <w:t xml:space="preserve"> has submitted </w:t>
      </w:r>
      <w:r w:rsidR="007B0A0F">
        <w:t>a revised version of the</w:t>
      </w:r>
      <w:r w:rsidR="007B0A0F" w:rsidRPr="00454721">
        <w:t xml:space="preserve"> ASA </w:t>
      </w:r>
      <w:r w:rsidR="007B0A0F">
        <w:t>(</w:t>
      </w:r>
      <w:r w:rsidR="007B0A0F" w:rsidRPr="00454721">
        <w:t>version 5.0</w:t>
      </w:r>
      <w:r w:rsidR="0026615D">
        <w:t>,</w:t>
      </w:r>
      <w:r w:rsidR="007B0A0F" w:rsidRPr="00454721">
        <w:t xml:space="preserve"> dated 22 February 2017). </w:t>
      </w:r>
      <w:r w:rsidR="007B0A0F">
        <w:t>The EU</w:t>
      </w:r>
      <w:r w:rsidR="0026615D">
        <w:noBreakHyphen/>
      </w:r>
      <w:r w:rsidR="007B0A0F">
        <w:t>RMP has not been updated.</w:t>
      </w:r>
    </w:p>
    <w:p w14:paraId="6868409B" w14:textId="77777777" w:rsidR="007B0A0F" w:rsidRDefault="007B0A0F" w:rsidP="007B0A0F">
      <w:pPr>
        <w:pStyle w:val="ListBullet"/>
      </w:pPr>
      <w:r w:rsidRPr="006F6440">
        <w:t>The proposed Summary of Safety Concerns and their associated risk monitoring and mitigation strategies are summarised below</w:t>
      </w:r>
      <w:r>
        <w:t>. There are no new safety concerns related to the proposed extension of indications.</w:t>
      </w:r>
    </w:p>
    <w:p w14:paraId="02837A84" w14:textId="77777777" w:rsidR="007B0A0F" w:rsidRPr="007B0A0F" w:rsidRDefault="00BB4D43" w:rsidP="007B0A0F">
      <w:pPr>
        <w:pStyle w:val="TableTitle"/>
      </w:pPr>
      <w:r>
        <w:t>Table 4:</w:t>
      </w:r>
      <w:r w:rsidR="007B0A0F">
        <w:t xml:space="preserve"> Summary of safety concerns </w:t>
      </w:r>
      <w:r w:rsidR="007B0A0F" w:rsidRPr="006F6440">
        <w:t>and their associated risk monitoring and mitigation strategies</w:t>
      </w:r>
    </w:p>
    <w:tbl>
      <w:tblPr>
        <w:tblStyle w:val="TableTGAblue"/>
        <w:tblW w:w="8755" w:type="dxa"/>
        <w:tblLayout w:type="fixed"/>
        <w:tblLook w:val="04A0" w:firstRow="1" w:lastRow="0" w:firstColumn="1" w:lastColumn="0" w:noHBand="0" w:noVBand="1"/>
      </w:tblPr>
      <w:tblGrid>
        <w:gridCol w:w="1384"/>
        <w:gridCol w:w="3402"/>
        <w:gridCol w:w="851"/>
        <w:gridCol w:w="1134"/>
        <w:gridCol w:w="850"/>
        <w:gridCol w:w="1134"/>
      </w:tblGrid>
      <w:tr w:rsidR="007B0A0F" w:rsidRPr="004F1C07" w14:paraId="714824EE" w14:textId="77777777" w:rsidTr="0061480D">
        <w:trPr>
          <w:cnfStyle w:val="100000000000" w:firstRow="1" w:lastRow="0" w:firstColumn="0" w:lastColumn="0" w:oddVBand="0" w:evenVBand="0" w:oddHBand="0" w:evenHBand="0" w:firstRowFirstColumn="0" w:firstRowLastColumn="0" w:lastRowFirstColumn="0" w:lastRowLastColumn="0"/>
          <w:trHeight w:val="887"/>
        </w:trPr>
        <w:tc>
          <w:tcPr>
            <w:tcW w:w="4786" w:type="dxa"/>
            <w:gridSpan w:val="2"/>
            <w:vMerge w:val="restart"/>
          </w:tcPr>
          <w:p w14:paraId="08FFC544" w14:textId="77777777" w:rsidR="007B0A0F" w:rsidRPr="004F1C07" w:rsidRDefault="007B0A0F" w:rsidP="007B0A0F">
            <w:pPr>
              <w:pStyle w:val="Tabletext"/>
              <w:ind w:left="0" w:right="0"/>
              <w:rPr>
                <w:b w:val="0"/>
              </w:rPr>
            </w:pPr>
            <w:r w:rsidRPr="004F1C07">
              <w:t>Summary of safety concerns</w:t>
            </w:r>
          </w:p>
        </w:tc>
        <w:tc>
          <w:tcPr>
            <w:tcW w:w="1985" w:type="dxa"/>
            <w:gridSpan w:val="2"/>
          </w:tcPr>
          <w:p w14:paraId="573F74BB" w14:textId="77777777" w:rsidR="007B0A0F" w:rsidRPr="0011726C" w:rsidRDefault="007B0A0F" w:rsidP="007B0A0F">
            <w:pPr>
              <w:pStyle w:val="Tabletext"/>
              <w:ind w:left="0" w:right="0"/>
              <w:rPr>
                <w:b w:val="0"/>
                <w:sz w:val="18"/>
              </w:rPr>
            </w:pPr>
            <w:r w:rsidRPr="0011726C">
              <w:rPr>
                <w:sz w:val="18"/>
              </w:rPr>
              <w:t>Pharmacovigilance</w:t>
            </w:r>
          </w:p>
        </w:tc>
        <w:tc>
          <w:tcPr>
            <w:tcW w:w="1984" w:type="dxa"/>
            <w:gridSpan w:val="2"/>
          </w:tcPr>
          <w:p w14:paraId="386E0F27" w14:textId="77777777" w:rsidR="007B0A0F" w:rsidRPr="0011726C" w:rsidRDefault="007B0A0F" w:rsidP="007B0A0F">
            <w:pPr>
              <w:pStyle w:val="Tabletext"/>
              <w:ind w:left="0" w:right="0"/>
              <w:rPr>
                <w:b w:val="0"/>
                <w:sz w:val="18"/>
              </w:rPr>
            </w:pPr>
            <w:r w:rsidRPr="0011726C">
              <w:rPr>
                <w:sz w:val="18"/>
              </w:rPr>
              <w:t>Risk Minimisation</w:t>
            </w:r>
          </w:p>
        </w:tc>
      </w:tr>
      <w:tr w:rsidR="0026615D" w:rsidRPr="004F1C07" w14:paraId="3AD2ACDC" w14:textId="77777777" w:rsidTr="0026615D">
        <w:trPr>
          <w:trHeight w:val="142"/>
        </w:trPr>
        <w:tc>
          <w:tcPr>
            <w:tcW w:w="4786" w:type="dxa"/>
            <w:gridSpan w:val="2"/>
            <w:vMerge/>
          </w:tcPr>
          <w:p w14:paraId="77BDAF86" w14:textId="77777777" w:rsidR="007B0A0F" w:rsidRPr="004F1C07" w:rsidRDefault="007B0A0F" w:rsidP="007B0A0F">
            <w:pPr>
              <w:pStyle w:val="Tabletext"/>
              <w:ind w:left="0" w:right="0"/>
              <w:rPr>
                <w:b/>
              </w:rPr>
            </w:pPr>
          </w:p>
        </w:tc>
        <w:tc>
          <w:tcPr>
            <w:tcW w:w="851" w:type="dxa"/>
          </w:tcPr>
          <w:p w14:paraId="4303ABA1" w14:textId="77777777" w:rsidR="007B0A0F" w:rsidRPr="0011726C" w:rsidRDefault="007B0A0F" w:rsidP="007B0A0F">
            <w:pPr>
              <w:pStyle w:val="Tabletext"/>
              <w:ind w:left="0" w:right="0"/>
              <w:rPr>
                <w:sz w:val="18"/>
              </w:rPr>
            </w:pPr>
            <w:r w:rsidRPr="0011726C">
              <w:rPr>
                <w:sz w:val="18"/>
              </w:rPr>
              <w:t>Routine</w:t>
            </w:r>
          </w:p>
        </w:tc>
        <w:tc>
          <w:tcPr>
            <w:tcW w:w="1134" w:type="dxa"/>
          </w:tcPr>
          <w:p w14:paraId="7EDC1461" w14:textId="77777777" w:rsidR="007B0A0F" w:rsidRPr="0011726C" w:rsidRDefault="007B0A0F" w:rsidP="007B0A0F">
            <w:pPr>
              <w:pStyle w:val="Tabletext"/>
              <w:ind w:left="0" w:right="0"/>
              <w:rPr>
                <w:sz w:val="18"/>
              </w:rPr>
            </w:pPr>
            <w:r w:rsidRPr="0011726C">
              <w:rPr>
                <w:sz w:val="18"/>
              </w:rPr>
              <w:t>Additional</w:t>
            </w:r>
          </w:p>
        </w:tc>
        <w:tc>
          <w:tcPr>
            <w:tcW w:w="850" w:type="dxa"/>
          </w:tcPr>
          <w:p w14:paraId="5C06C5B9" w14:textId="77777777" w:rsidR="007B0A0F" w:rsidRPr="0011726C" w:rsidRDefault="007B0A0F" w:rsidP="007B0A0F">
            <w:pPr>
              <w:pStyle w:val="Tabletext"/>
              <w:ind w:left="0" w:right="0"/>
              <w:rPr>
                <w:sz w:val="18"/>
              </w:rPr>
            </w:pPr>
            <w:r w:rsidRPr="0011726C">
              <w:rPr>
                <w:sz w:val="18"/>
              </w:rPr>
              <w:t>Routine</w:t>
            </w:r>
          </w:p>
        </w:tc>
        <w:tc>
          <w:tcPr>
            <w:tcW w:w="1134" w:type="dxa"/>
          </w:tcPr>
          <w:p w14:paraId="0ADC270C" w14:textId="77777777" w:rsidR="007B0A0F" w:rsidRPr="0011726C" w:rsidRDefault="007B0A0F" w:rsidP="007B0A0F">
            <w:pPr>
              <w:pStyle w:val="Tabletext"/>
              <w:ind w:left="0" w:right="0"/>
              <w:rPr>
                <w:sz w:val="18"/>
              </w:rPr>
            </w:pPr>
            <w:r w:rsidRPr="0011726C">
              <w:rPr>
                <w:sz w:val="18"/>
              </w:rPr>
              <w:t>Additional</w:t>
            </w:r>
          </w:p>
        </w:tc>
      </w:tr>
      <w:tr w:rsidR="0026615D" w:rsidRPr="004F1C07" w14:paraId="4B9A57C1" w14:textId="77777777" w:rsidTr="0061480D">
        <w:trPr>
          <w:trHeight w:val="129"/>
        </w:trPr>
        <w:tc>
          <w:tcPr>
            <w:tcW w:w="1384" w:type="dxa"/>
            <w:vMerge w:val="restart"/>
          </w:tcPr>
          <w:p w14:paraId="3F3E41EC" w14:textId="77777777" w:rsidR="007B0A0F" w:rsidRPr="00680101" w:rsidRDefault="007B0A0F" w:rsidP="007B0A0F">
            <w:pPr>
              <w:pStyle w:val="Tabletext"/>
              <w:ind w:left="0" w:right="0"/>
              <w:rPr>
                <w:b/>
              </w:rPr>
            </w:pPr>
            <w:r w:rsidRPr="00680101">
              <w:rPr>
                <w:b/>
              </w:rPr>
              <w:t>Important identified risks</w:t>
            </w:r>
          </w:p>
        </w:tc>
        <w:tc>
          <w:tcPr>
            <w:tcW w:w="3402" w:type="dxa"/>
          </w:tcPr>
          <w:p w14:paraId="5273D7F2" w14:textId="77777777" w:rsidR="007B0A0F" w:rsidRPr="0026615D" w:rsidRDefault="007B0A0F" w:rsidP="007B0A0F">
            <w:pPr>
              <w:pStyle w:val="Summaryofsafetyconcerns"/>
              <w:ind w:left="0" w:right="0"/>
              <w:rPr>
                <w:b w:val="0"/>
                <w:sz w:val="18"/>
              </w:rPr>
            </w:pPr>
            <w:r w:rsidRPr="0026615D">
              <w:rPr>
                <w:b w:val="0"/>
                <w:sz w:val="18"/>
              </w:rPr>
              <w:t>Myelosuppression</w:t>
            </w:r>
          </w:p>
        </w:tc>
        <w:tc>
          <w:tcPr>
            <w:tcW w:w="851" w:type="dxa"/>
          </w:tcPr>
          <w:p w14:paraId="41303741" w14:textId="77777777" w:rsidR="007B0A0F" w:rsidRPr="0018643B" w:rsidRDefault="007B0A0F" w:rsidP="007B0A0F">
            <w:pPr>
              <w:pStyle w:val="Tabletext"/>
              <w:ind w:left="0" w:right="0"/>
              <w:jc w:val="center"/>
            </w:pPr>
            <w:r w:rsidRPr="0018643B">
              <w:sym w:font="Wingdings" w:char="F0FC"/>
            </w:r>
          </w:p>
        </w:tc>
        <w:tc>
          <w:tcPr>
            <w:tcW w:w="1134" w:type="dxa"/>
          </w:tcPr>
          <w:p w14:paraId="71C4985E" w14:textId="77777777" w:rsidR="007B0A0F" w:rsidRPr="0018643B" w:rsidRDefault="007B0A0F" w:rsidP="007B0A0F">
            <w:pPr>
              <w:pStyle w:val="Tabletext"/>
              <w:ind w:left="0" w:right="0"/>
              <w:jc w:val="center"/>
            </w:pPr>
            <w:r w:rsidRPr="0018643B">
              <w:t>–</w:t>
            </w:r>
          </w:p>
        </w:tc>
        <w:tc>
          <w:tcPr>
            <w:tcW w:w="850" w:type="dxa"/>
          </w:tcPr>
          <w:p w14:paraId="1E165399" w14:textId="77777777" w:rsidR="007B0A0F" w:rsidRPr="0018643B" w:rsidRDefault="007B0A0F" w:rsidP="007B0A0F">
            <w:pPr>
              <w:pStyle w:val="Tabletext"/>
              <w:ind w:left="0" w:right="0"/>
              <w:jc w:val="center"/>
            </w:pPr>
            <w:r w:rsidRPr="0018643B">
              <w:sym w:font="Wingdings" w:char="F0FC"/>
            </w:r>
          </w:p>
        </w:tc>
        <w:tc>
          <w:tcPr>
            <w:tcW w:w="1134" w:type="dxa"/>
          </w:tcPr>
          <w:p w14:paraId="5991DB63" w14:textId="77777777" w:rsidR="007B0A0F" w:rsidRPr="0018643B" w:rsidRDefault="007B0A0F" w:rsidP="007B0A0F">
            <w:pPr>
              <w:pStyle w:val="Tabletext"/>
              <w:ind w:left="0" w:right="0"/>
              <w:jc w:val="center"/>
            </w:pPr>
            <w:r w:rsidRPr="0018643B">
              <w:t>–</w:t>
            </w:r>
          </w:p>
        </w:tc>
      </w:tr>
      <w:tr w:rsidR="0026615D" w:rsidRPr="004F1C07" w14:paraId="3C9E8470" w14:textId="77777777" w:rsidTr="0061480D">
        <w:trPr>
          <w:trHeight w:val="104"/>
        </w:trPr>
        <w:tc>
          <w:tcPr>
            <w:tcW w:w="1384" w:type="dxa"/>
            <w:vMerge/>
          </w:tcPr>
          <w:p w14:paraId="7B256B70" w14:textId="77777777" w:rsidR="007B0A0F" w:rsidRPr="00680101" w:rsidRDefault="007B0A0F" w:rsidP="007B0A0F">
            <w:pPr>
              <w:pStyle w:val="Tabletext"/>
              <w:ind w:left="0" w:right="0"/>
              <w:rPr>
                <w:b/>
              </w:rPr>
            </w:pPr>
          </w:p>
        </w:tc>
        <w:tc>
          <w:tcPr>
            <w:tcW w:w="3402" w:type="dxa"/>
          </w:tcPr>
          <w:p w14:paraId="6597B034" w14:textId="77777777" w:rsidR="007B0A0F" w:rsidRPr="0026615D" w:rsidRDefault="007B0A0F" w:rsidP="007B0A0F">
            <w:pPr>
              <w:pStyle w:val="Summaryofsafetyconcerns"/>
              <w:ind w:left="0" w:right="0"/>
              <w:rPr>
                <w:b w:val="0"/>
                <w:sz w:val="18"/>
              </w:rPr>
            </w:pPr>
            <w:r w:rsidRPr="0026615D">
              <w:rPr>
                <w:b w:val="0"/>
                <w:sz w:val="18"/>
              </w:rPr>
              <w:t>Fluid Retention</w:t>
            </w:r>
          </w:p>
        </w:tc>
        <w:tc>
          <w:tcPr>
            <w:tcW w:w="851" w:type="dxa"/>
          </w:tcPr>
          <w:p w14:paraId="074FB94C" w14:textId="77777777" w:rsidR="007B0A0F" w:rsidRPr="0018643B" w:rsidRDefault="007B0A0F" w:rsidP="007B0A0F">
            <w:pPr>
              <w:pStyle w:val="Tabletext"/>
              <w:ind w:left="0" w:right="0"/>
              <w:jc w:val="center"/>
            </w:pPr>
            <w:r w:rsidRPr="0018643B">
              <w:sym w:font="Wingdings" w:char="F0FC"/>
            </w:r>
          </w:p>
        </w:tc>
        <w:tc>
          <w:tcPr>
            <w:tcW w:w="1134" w:type="dxa"/>
          </w:tcPr>
          <w:p w14:paraId="18845C7F" w14:textId="77777777" w:rsidR="007B0A0F" w:rsidRPr="0018643B" w:rsidRDefault="007B0A0F" w:rsidP="007B0A0F">
            <w:pPr>
              <w:pStyle w:val="Tabletext"/>
              <w:ind w:left="0" w:right="0"/>
              <w:jc w:val="center"/>
            </w:pPr>
            <w:r w:rsidRPr="0018643B">
              <w:t>–</w:t>
            </w:r>
          </w:p>
        </w:tc>
        <w:tc>
          <w:tcPr>
            <w:tcW w:w="850" w:type="dxa"/>
          </w:tcPr>
          <w:p w14:paraId="28DD3D58" w14:textId="77777777" w:rsidR="007B0A0F" w:rsidRPr="0018643B" w:rsidRDefault="007B0A0F" w:rsidP="007B0A0F">
            <w:pPr>
              <w:pStyle w:val="Tabletext"/>
              <w:ind w:left="0" w:right="0"/>
              <w:jc w:val="center"/>
            </w:pPr>
            <w:r w:rsidRPr="0018643B">
              <w:sym w:font="Wingdings" w:char="F0FC"/>
            </w:r>
          </w:p>
        </w:tc>
        <w:tc>
          <w:tcPr>
            <w:tcW w:w="1134" w:type="dxa"/>
          </w:tcPr>
          <w:p w14:paraId="4A871E34" w14:textId="77777777" w:rsidR="007B0A0F" w:rsidRPr="0018643B" w:rsidRDefault="007B0A0F" w:rsidP="007B0A0F">
            <w:pPr>
              <w:pStyle w:val="Tabletext"/>
              <w:ind w:left="0" w:right="0"/>
              <w:jc w:val="center"/>
            </w:pPr>
            <w:r w:rsidRPr="0018643B">
              <w:t>–</w:t>
            </w:r>
          </w:p>
        </w:tc>
      </w:tr>
      <w:tr w:rsidR="0026615D" w:rsidRPr="004F1C07" w14:paraId="6F224605" w14:textId="77777777" w:rsidTr="0061480D">
        <w:trPr>
          <w:trHeight w:val="161"/>
        </w:trPr>
        <w:tc>
          <w:tcPr>
            <w:tcW w:w="1384" w:type="dxa"/>
            <w:vMerge/>
          </w:tcPr>
          <w:p w14:paraId="284B8478" w14:textId="77777777" w:rsidR="007B0A0F" w:rsidRPr="00680101" w:rsidRDefault="007B0A0F" w:rsidP="007B0A0F">
            <w:pPr>
              <w:pStyle w:val="Tabletext"/>
              <w:ind w:left="0" w:right="0"/>
              <w:rPr>
                <w:b/>
              </w:rPr>
            </w:pPr>
          </w:p>
        </w:tc>
        <w:tc>
          <w:tcPr>
            <w:tcW w:w="3402" w:type="dxa"/>
          </w:tcPr>
          <w:p w14:paraId="7425C9E1" w14:textId="77777777" w:rsidR="007B0A0F" w:rsidRPr="0026615D" w:rsidRDefault="007B0A0F" w:rsidP="007B0A0F">
            <w:pPr>
              <w:pStyle w:val="Summaryofsafetyconcerns"/>
              <w:ind w:left="0" w:right="0"/>
              <w:rPr>
                <w:b w:val="0"/>
                <w:sz w:val="18"/>
              </w:rPr>
            </w:pPr>
            <w:r w:rsidRPr="0026615D">
              <w:rPr>
                <w:b w:val="0"/>
                <w:sz w:val="18"/>
              </w:rPr>
              <w:t>Bleeding Related Events</w:t>
            </w:r>
          </w:p>
        </w:tc>
        <w:tc>
          <w:tcPr>
            <w:tcW w:w="851" w:type="dxa"/>
          </w:tcPr>
          <w:p w14:paraId="68BEB838" w14:textId="77777777" w:rsidR="007B0A0F" w:rsidRPr="0018643B" w:rsidRDefault="007B0A0F" w:rsidP="007B0A0F">
            <w:pPr>
              <w:pStyle w:val="Tabletext"/>
              <w:ind w:left="0" w:right="0"/>
              <w:jc w:val="center"/>
            </w:pPr>
            <w:r w:rsidRPr="0018643B">
              <w:sym w:font="Wingdings" w:char="F0FC"/>
            </w:r>
          </w:p>
        </w:tc>
        <w:tc>
          <w:tcPr>
            <w:tcW w:w="1134" w:type="dxa"/>
          </w:tcPr>
          <w:p w14:paraId="77AE235E" w14:textId="77777777" w:rsidR="007B0A0F" w:rsidRPr="0018643B" w:rsidRDefault="007B0A0F" w:rsidP="007B0A0F">
            <w:pPr>
              <w:pStyle w:val="Tabletext"/>
              <w:ind w:left="0" w:right="0"/>
              <w:jc w:val="center"/>
            </w:pPr>
            <w:r w:rsidRPr="0018643B">
              <w:t>–</w:t>
            </w:r>
          </w:p>
        </w:tc>
        <w:tc>
          <w:tcPr>
            <w:tcW w:w="850" w:type="dxa"/>
          </w:tcPr>
          <w:p w14:paraId="6E8FC3FB" w14:textId="77777777" w:rsidR="007B0A0F" w:rsidRPr="0018643B" w:rsidRDefault="007B0A0F" w:rsidP="007B0A0F">
            <w:pPr>
              <w:pStyle w:val="Tabletext"/>
              <w:ind w:left="0" w:right="0"/>
              <w:jc w:val="center"/>
            </w:pPr>
            <w:r w:rsidRPr="0018643B">
              <w:sym w:font="Wingdings" w:char="F0FC"/>
            </w:r>
          </w:p>
        </w:tc>
        <w:tc>
          <w:tcPr>
            <w:tcW w:w="1134" w:type="dxa"/>
          </w:tcPr>
          <w:p w14:paraId="1C5E77AF" w14:textId="77777777" w:rsidR="007B0A0F" w:rsidRPr="0018643B" w:rsidRDefault="007B0A0F" w:rsidP="007B0A0F">
            <w:pPr>
              <w:pStyle w:val="Tabletext"/>
              <w:ind w:left="0" w:right="0"/>
              <w:jc w:val="center"/>
            </w:pPr>
            <w:r w:rsidRPr="0018643B">
              <w:t>–</w:t>
            </w:r>
          </w:p>
        </w:tc>
      </w:tr>
      <w:tr w:rsidR="0026615D" w:rsidRPr="004F1C07" w14:paraId="652A9A6B" w14:textId="77777777" w:rsidTr="0061480D">
        <w:trPr>
          <w:trHeight w:val="170"/>
        </w:trPr>
        <w:tc>
          <w:tcPr>
            <w:tcW w:w="1384" w:type="dxa"/>
            <w:vMerge/>
          </w:tcPr>
          <w:p w14:paraId="10E518AB" w14:textId="77777777" w:rsidR="007B0A0F" w:rsidRPr="00680101" w:rsidRDefault="007B0A0F" w:rsidP="007B0A0F">
            <w:pPr>
              <w:pStyle w:val="Tabletext"/>
              <w:ind w:left="0" w:right="0"/>
              <w:rPr>
                <w:b/>
              </w:rPr>
            </w:pPr>
          </w:p>
        </w:tc>
        <w:tc>
          <w:tcPr>
            <w:tcW w:w="3402" w:type="dxa"/>
          </w:tcPr>
          <w:p w14:paraId="3FF00C7F" w14:textId="77777777" w:rsidR="007B0A0F" w:rsidRPr="0026615D" w:rsidRDefault="007B0A0F" w:rsidP="007B0A0F">
            <w:pPr>
              <w:pStyle w:val="Summaryofsafetyconcerns"/>
              <w:ind w:left="0" w:right="0"/>
              <w:rPr>
                <w:b w:val="0"/>
                <w:sz w:val="18"/>
              </w:rPr>
            </w:pPr>
            <w:r w:rsidRPr="0026615D">
              <w:rPr>
                <w:b w:val="0"/>
                <w:sz w:val="18"/>
              </w:rPr>
              <w:t>QT Prolongation</w:t>
            </w:r>
          </w:p>
        </w:tc>
        <w:tc>
          <w:tcPr>
            <w:tcW w:w="851" w:type="dxa"/>
          </w:tcPr>
          <w:p w14:paraId="771C3CB3" w14:textId="77777777" w:rsidR="007B0A0F" w:rsidRPr="0018643B" w:rsidRDefault="007B0A0F" w:rsidP="007B0A0F">
            <w:pPr>
              <w:pStyle w:val="Tabletext"/>
              <w:ind w:left="0" w:right="0"/>
              <w:jc w:val="center"/>
            </w:pPr>
            <w:r w:rsidRPr="0018643B">
              <w:sym w:font="Wingdings" w:char="F0FC"/>
            </w:r>
          </w:p>
        </w:tc>
        <w:tc>
          <w:tcPr>
            <w:tcW w:w="1134" w:type="dxa"/>
          </w:tcPr>
          <w:p w14:paraId="115193B2" w14:textId="77777777" w:rsidR="007B0A0F" w:rsidRPr="0018643B" w:rsidRDefault="007B0A0F" w:rsidP="007B0A0F">
            <w:pPr>
              <w:pStyle w:val="Tabletext"/>
              <w:ind w:left="0" w:right="0"/>
              <w:jc w:val="center"/>
            </w:pPr>
            <w:r w:rsidRPr="0018643B">
              <w:t>–</w:t>
            </w:r>
          </w:p>
        </w:tc>
        <w:tc>
          <w:tcPr>
            <w:tcW w:w="850" w:type="dxa"/>
          </w:tcPr>
          <w:p w14:paraId="019BC01A" w14:textId="77777777" w:rsidR="007B0A0F" w:rsidRPr="0018643B" w:rsidRDefault="007B0A0F" w:rsidP="007B0A0F">
            <w:pPr>
              <w:pStyle w:val="Tabletext"/>
              <w:ind w:left="0" w:right="0"/>
              <w:jc w:val="center"/>
            </w:pPr>
            <w:r w:rsidRPr="0018643B">
              <w:sym w:font="Wingdings" w:char="F0FC"/>
            </w:r>
          </w:p>
        </w:tc>
        <w:tc>
          <w:tcPr>
            <w:tcW w:w="1134" w:type="dxa"/>
          </w:tcPr>
          <w:p w14:paraId="4F254DE8" w14:textId="77777777" w:rsidR="007B0A0F" w:rsidRPr="0018643B" w:rsidRDefault="007B0A0F" w:rsidP="007B0A0F">
            <w:pPr>
              <w:pStyle w:val="Tabletext"/>
              <w:ind w:left="0" w:right="0"/>
              <w:jc w:val="center"/>
            </w:pPr>
            <w:r w:rsidRPr="0018643B">
              <w:t>–</w:t>
            </w:r>
          </w:p>
        </w:tc>
      </w:tr>
      <w:tr w:rsidR="0026615D" w:rsidRPr="004F1C07" w14:paraId="47A9B432" w14:textId="77777777" w:rsidTr="0061480D">
        <w:trPr>
          <w:trHeight w:val="142"/>
        </w:trPr>
        <w:tc>
          <w:tcPr>
            <w:tcW w:w="1384" w:type="dxa"/>
            <w:vMerge/>
          </w:tcPr>
          <w:p w14:paraId="2E72D7B5" w14:textId="77777777" w:rsidR="007B0A0F" w:rsidRPr="00680101" w:rsidRDefault="007B0A0F" w:rsidP="007B0A0F">
            <w:pPr>
              <w:pStyle w:val="Tabletext"/>
              <w:ind w:left="0" w:right="0"/>
              <w:rPr>
                <w:b/>
              </w:rPr>
            </w:pPr>
          </w:p>
        </w:tc>
        <w:tc>
          <w:tcPr>
            <w:tcW w:w="3402" w:type="dxa"/>
          </w:tcPr>
          <w:p w14:paraId="06CA169F" w14:textId="77777777" w:rsidR="007B0A0F" w:rsidRPr="0026615D" w:rsidRDefault="007B0A0F" w:rsidP="007B0A0F">
            <w:pPr>
              <w:pStyle w:val="Summaryofsafetyconcerns"/>
              <w:ind w:left="0" w:right="0"/>
              <w:rPr>
                <w:b w:val="0"/>
                <w:sz w:val="18"/>
              </w:rPr>
            </w:pPr>
            <w:r w:rsidRPr="0026615D">
              <w:rPr>
                <w:b w:val="0"/>
                <w:sz w:val="18"/>
              </w:rPr>
              <w:t>Pulmonary Arterial Hypertension (PAH)</w:t>
            </w:r>
          </w:p>
        </w:tc>
        <w:tc>
          <w:tcPr>
            <w:tcW w:w="851" w:type="dxa"/>
          </w:tcPr>
          <w:p w14:paraId="11D27967" w14:textId="77777777" w:rsidR="007B0A0F" w:rsidRPr="0018643B" w:rsidRDefault="007B0A0F" w:rsidP="007B0A0F">
            <w:pPr>
              <w:pStyle w:val="Tabletext"/>
              <w:ind w:left="0" w:right="0"/>
              <w:jc w:val="center"/>
            </w:pPr>
            <w:r w:rsidRPr="0018643B">
              <w:sym w:font="Wingdings" w:char="F0FC"/>
            </w:r>
          </w:p>
        </w:tc>
        <w:tc>
          <w:tcPr>
            <w:tcW w:w="1134" w:type="dxa"/>
          </w:tcPr>
          <w:p w14:paraId="52881B44" w14:textId="77777777" w:rsidR="007B0A0F" w:rsidRPr="0018643B" w:rsidRDefault="007B0A0F" w:rsidP="007B0A0F">
            <w:pPr>
              <w:pStyle w:val="Tabletext"/>
              <w:ind w:left="0" w:right="0"/>
              <w:jc w:val="center"/>
            </w:pPr>
            <w:r w:rsidRPr="0018643B">
              <w:t>–</w:t>
            </w:r>
          </w:p>
        </w:tc>
        <w:tc>
          <w:tcPr>
            <w:tcW w:w="850" w:type="dxa"/>
          </w:tcPr>
          <w:p w14:paraId="4A8AD80B" w14:textId="77777777" w:rsidR="007B0A0F" w:rsidRPr="0018643B" w:rsidRDefault="007B0A0F" w:rsidP="007B0A0F">
            <w:pPr>
              <w:pStyle w:val="Tabletext"/>
              <w:ind w:left="0" w:right="0"/>
              <w:jc w:val="center"/>
            </w:pPr>
            <w:r w:rsidRPr="0018643B">
              <w:sym w:font="Wingdings" w:char="F0FC"/>
            </w:r>
          </w:p>
        </w:tc>
        <w:tc>
          <w:tcPr>
            <w:tcW w:w="1134" w:type="dxa"/>
          </w:tcPr>
          <w:p w14:paraId="4B8EFDC1" w14:textId="77777777" w:rsidR="007B0A0F" w:rsidRPr="0018643B" w:rsidRDefault="007B0A0F" w:rsidP="007B0A0F">
            <w:pPr>
              <w:pStyle w:val="Tabletext"/>
              <w:ind w:left="0" w:right="0"/>
              <w:jc w:val="center"/>
            </w:pPr>
            <w:r w:rsidRPr="0018643B">
              <w:t>–</w:t>
            </w:r>
          </w:p>
        </w:tc>
      </w:tr>
      <w:tr w:rsidR="0026615D" w:rsidRPr="004F1C07" w14:paraId="2C221C1D" w14:textId="77777777" w:rsidTr="0061480D">
        <w:trPr>
          <w:trHeight w:val="177"/>
        </w:trPr>
        <w:tc>
          <w:tcPr>
            <w:tcW w:w="1384" w:type="dxa"/>
            <w:vMerge/>
          </w:tcPr>
          <w:p w14:paraId="5472CF42" w14:textId="77777777" w:rsidR="007B0A0F" w:rsidRPr="00680101" w:rsidRDefault="007B0A0F" w:rsidP="007B0A0F">
            <w:pPr>
              <w:pStyle w:val="Tabletext"/>
              <w:ind w:left="0" w:right="0"/>
              <w:rPr>
                <w:b/>
              </w:rPr>
            </w:pPr>
          </w:p>
        </w:tc>
        <w:tc>
          <w:tcPr>
            <w:tcW w:w="3402" w:type="dxa"/>
          </w:tcPr>
          <w:p w14:paraId="538602CC" w14:textId="2EA60761" w:rsidR="007B0A0F" w:rsidRPr="0026615D" w:rsidRDefault="007B0A0F" w:rsidP="007B0A0F">
            <w:pPr>
              <w:pStyle w:val="Summaryofsafetyconcerns"/>
              <w:ind w:left="0" w:right="0"/>
              <w:rPr>
                <w:b w:val="0"/>
                <w:sz w:val="18"/>
              </w:rPr>
            </w:pPr>
            <w:r w:rsidRPr="0026615D">
              <w:rPr>
                <w:b w:val="0"/>
                <w:sz w:val="18"/>
              </w:rPr>
              <w:t>Pregnancy Related Malformative or Feto/Neonatal Toxicity</w:t>
            </w:r>
          </w:p>
        </w:tc>
        <w:tc>
          <w:tcPr>
            <w:tcW w:w="851" w:type="dxa"/>
          </w:tcPr>
          <w:p w14:paraId="5726348F" w14:textId="77777777" w:rsidR="007B0A0F" w:rsidRPr="0018643B" w:rsidRDefault="007B0A0F" w:rsidP="007B0A0F">
            <w:pPr>
              <w:pStyle w:val="Tabletext"/>
              <w:ind w:left="0" w:right="0"/>
              <w:jc w:val="center"/>
            </w:pPr>
            <w:r w:rsidRPr="0018643B">
              <w:sym w:font="Wingdings" w:char="F0FC"/>
            </w:r>
          </w:p>
        </w:tc>
        <w:tc>
          <w:tcPr>
            <w:tcW w:w="1134" w:type="dxa"/>
          </w:tcPr>
          <w:p w14:paraId="6FBB33BA" w14:textId="77777777" w:rsidR="007B0A0F" w:rsidRPr="0018643B" w:rsidRDefault="007B0A0F" w:rsidP="007B0A0F">
            <w:pPr>
              <w:pStyle w:val="Tabletext"/>
              <w:ind w:left="0" w:right="0"/>
              <w:jc w:val="center"/>
            </w:pPr>
            <w:r w:rsidRPr="0018643B">
              <w:t>–</w:t>
            </w:r>
          </w:p>
        </w:tc>
        <w:tc>
          <w:tcPr>
            <w:tcW w:w="850" w:type="dxa"/>
          </w:tcPr>
          <w:p w14:paraId="7BBC6858" w14:textId="77777777" w:rsidR="007B0A0F" w:rsidRPr="0018643B" w:rsidRDefault="007B0A0F" w:rsidP="007B0A0F">
            <w:pPr>
              <w:pStyle w:val="Tabletext"/>
              <w:ind w:left="0" w:right="0"/>
              <w:jc w:val="center"/>
            </w:pPr>
            <w:r w:rsidRPr="0018643B">
              <w:sym w:font="Wingdings" w:char="F0FC"/>
            </w:r>
          </w:p>
        </w:tc>
        <w:tc>
          <w:tcPr>
            <w:tcW w:w="1134" w:type="dxa"/>
          </w:tcPr>
          <w:p w14:paraId="05FBE8E4" w14:textId="77777777" w:rsidR="007B0A0F" w:rsidRPr="0018643B" w:rsidRDefault="007B0A0F" w:rsidP="007B0A0F">
            <w:pPr>
              <w:pStyle w:val="Tabletext"/>
              <w:ind w:left="0" w:right="0"/>
              <w:jc w:val="center"/>
            </w:pPr>
            <w:r w:rsidRPr="0018643B">
              <w:t>–</w:t>
            </w:r>
          </w:p>
        </w:tc>
      </w:tr>
      <w:tr w:rsidR="0026615D" w:rsidRPr="004F1C07" w14:paraId="473B8643" w14:textId="77777777" w:rsidTr="0061480D">
        <w:trPr>
          <w:trHeight w:val="150"/>
        </w:trPr>
        <w:tc>
          <w:tcPr>
            <w:tcW w:w="1384" w:type="dxa"/>
            <w:vMerge w:val="restart"/>
          </w:tcPr>
          <w:p w14:paraId="339D6199" w14:textId="77777777" w:rsidR="007B0A0F" w:rsidRPr="00680101" w:rsidRDefault="007B0A0F" w:rsidP="007B0A0F">
            <w:pPr>
              <w:pStyle w:val="Tabletext"/>
              <w:ind w:left="0" w:right="0"/>
              <w:rPr>
                <w:b/>
              </w:rPr>
            </w:pPr>
            <w:r w:rsidRPr="00680101">
              <w:rPr>
                <w:b/>
              </w:rPr>
              <w:t>Important potential risks</w:t>
            </w:r>
          </w:p>
        </w:tc>
        <w:tc>
          <w:tcPr>
            <w:tcW w:w="3402" w:type="dxa"/>
          </w:tcPr>
          <w:p w14:paraId="37B5F4FD" w14:textId="77777777" w:rsidR="007B0A0F" w:rsidRPr="00237B61" w:rsidRDefault="007B0A0F" w:rsidP="007B0A0F">
            <w:pPr>
              <w:pStyle w:val="Summaryofsafetyconcerns"/>
              <w:ind w:left="0" w:right="0"/>
              <w:rPr>
                <w:b w:val="0"/>
              </w:rPr>
            </w:pPr>
            <w:r w:rsidRPr="00237B61">
              <w:rPr>
                <w:b w:val="0"/>
              </w:rPr>
              <w:t>Severe Hepatotoxicities</w:t>
            </w:r>
          </w:p>
        </w:tc>
        <w:tc>
          <w:tcPr>
            <w:tcW w:w="851" w:type="dxa"/>
          </w:tcPr>
          <w:p w14:paraId="5A844F8C" w14:textId="77777777" w:rsidR="007B0A0F" w:rsidRPr="0018643B" w:rsidRDefault="007B0A0F" w:rsidP="007B0A0F">
            <w:pPr>
              <w:pStyle w:val="Tabletext"/>
              <w:ind w:left="0" w:right="0"/>
              <w:jc w:val="center"/>
            </w:pPr>
            <w:r w:rsidRPr="0018643B">
              <w:sym w:font="Wingdings" w:char="F0FC"/>
            </w:r>
          </w:p>
        </w:tc>
        <w:tc>
          <w:tcPr>
            <w:tcW w:w="1134" w:type="dxa"/>
          </w:tcPr>
          <w:p w14:paraId="20EC8C32" w14:textId="77777777" w:rsidR="007B0A0F" w:rsidRPr="0018643B" w:rsidRDefault="007B0A0F" w:rsidP="007B0A0F">
            <w:pPr>
              <w:pStyle w:val="Tabletext"/>
              <w:ind w:left="0" w:right="0"/>
              <w:jc w:val="center"/>
            </w:pPr>
            <w:r w:rsidRPr="0018643B">
              <w:t>–</w:t>
            </w:r>
          </w:p>
        </w:tc>
        <w:tc>
          <w:tcPr>
            <w:tcW w:w="850" w:type="dxa"/>
          </w:tcPr>
          <w:p w14:paraId="2DCB27F1" w14:textId="77777777" w:rsidR="007B0A0F" w:rsidRPr="0018643B" w:rsidRDefault="007B0A0F" w:rsidP="007B0A0F">
            <w:pPr>
              <w:pStyle w:val="Tabletext"/>
              <w:ind w:left="0" w:right="0"/>
              <w:jc w:val="center"/>
            </w:pPr>
            <w:r w:rsidRPr="0018643B">
              <w:sym w:font="Wingdings" w:char="F0FC"/>
            </w:r>
          </w:p>
        </w:tc>
        <w:tc>
          <w:tcPr>
            <w:tcW w:w="1134" w:type="dxa"/>
          </w:tcPr>
          <w:p w14:paraId="65C810DB" w14:textId="77777777" w:rsidR="007B0A0F" w:rsidRPr="0018643B" w:rsidRDefault="007B0A0F" w:rsidP="007B0A0F">
            <w:pPr>
              <w:pStyle w:val="Tabletext"/>
              <w:ind w:left="0" w:right="0"/>
              <w:jc w:val="center"/>
            </w:pPr>
            <w:r w:rsidRPr="0018643B">
              <w:t>–</w:t>
            </w:r>
          </w:p>
        </w:tc>
      </w:tr>
      <w:tr w:rsidR="0026615D" w:rsidRPr="004F1C07" w14:paraId="19C6B8A0" w14:textId="77777777" w:rsidTr="0061480D">
        <w:trPr>
          <w:trHeight w:val="100"/>
        </w:trPr>
        <w:tc>
          <w:tcPr>
            <w:tcW w:w="1384" w:type="dxa"/>
            <w:vMerge/>
          </w:tcPr>
          <w:p w14:paraId="519A96F9" w14:textId="77777777" w:rsidR="007B0A0F" w:rsidRPr="00680101" w:rsidRDefault="007B0A0F" w:rsidP="007B0A0F">
            <w:pPr>
              <w:pStyle w:val="Tabletext"/>
              <w:ind w:left="0" w:right="0"/>
              <w:rPr>
                <w:b/>
              </w:rPr>
            </w:pPr>
          </w:p>
        </w:tc>
        <w:tc>
          <w:tcPr>
            <w:tcW w:w="3402" w:type="dxa"/>
          </w:tcPr>
          <w:p w14:paraId="329EB81B" w14:textId="77777777" w:rsidR="007B0A0F" w:rsidRPr="00237B61" w:rsidRDefault="007B0A0F" w:rsidP="007B0A0F">
            <w:pPr>
              <w:pStyle w:val="Summaryofsafetyconcerns"/>
              <w:ind w:left="0" w:right="0"/>
              <w:rPr>
                <w:b w:val="0"/>
                <w:color w:val="00B050"/>
              </w:rPr>
            </w:pPr>
            <w:r w:rsidRPr="00237B61">
              <w:rPr>
                <w:b w:val="0"/>
              </w:rPr>
              <w:t>Direct Cardiotoxic Effects (</w:t>
            </w:r>
            <w:r w:rsidR="00B44B0F">
              <w:rPr>
                <w:b w:val="0"/>
              </w:rPr>
              <w:t>for example</w:t>
            </w:r>
            <w:r w:rsidRPr="00237B61">
              <w:rPr>
                <w:b w:val="0"/>
              </w:rPr>
              <w:t>, Cardiomyopathy)</w:t>
            </w:r>
          </w:p>
        </w:tc>
        <w:tc>
          <w:tcPr>
            <w:tcW w:w="851" w:type="dxa"/>
          </w:tcPr>
          <w:p w14:paraId="0E09C1FF" w14:textId="77777777" w:rsidR="007B0A0F" w:rsidRPr="0018643B" w:rsidRDefault="007B0A0F" w:rsidP="007B0A0F">
            <w:pPr>
              <w:pStyle w:val="Tabletext"/>
              <w:ind w:left="0" w:right="0"/>
              <w:jc w:val="center"/>
            </w:pPr>
            <w:r w:rsidRPr="0018643B">
              <w:sym w:font="Wingdings" w:char="F0FC"/>
            </w:r>
          </w:p>
        </w:tc>
        <w:tc>
          <w:tcPr>
            <w:tcW w:w="1134" w:type="dxa"/>
          </w:tcPr>
          <w:p w14:paraId="2764137A" w14:textId="77777777" w:rsidR="007B0A0F" w:rsidRPr="0018643B" w:rsidRDefault="007B0A0F" w:rsidP="007B0A0F">
            <w:pPr>
              <w:pStyle w:val="Tabletext"/>
              <w:ind w:left="0" w:right="0"/>
              <w:jc w:val="center"/>
            </w:pPr>
            <w:r w:rsidRPr="0018643B">
              <w:t>–</w:t>
            </w:r>
          </w:p>
        </w:tc>
        <w:tc>
          <w:tcPr>
            <w:tcW w:w="850" w:type="dxa"/>
          </w:tcPr>
          <w:p w14:paraId="454BFFDE" w14:textId="77777777" w:rsidR="007B0A0F" w:rsidRPr="0018643B" w:rsidRDefault="007B0A0F" w:rsidP="007B0A0F">
            <w:pPr>
              <w:pStyle w:val="Tabletext"/>
              <w:ind w:left="0" w:right="0"/>
              <w:jc w:val="center"/>
            </w:pPr>
            <w:r w:rsidRPr="0018643B">
              <w:sym w:font="Wingdings" w:char="F0FC"/>
            </w:r>
          </w:p>
        </w:tc>
        <w:tc>
          <w:tcPr>
            <w:tcW w:w="1134" w:type="dxa"/>
          </w:tcPr>
          <w:p w14:paraId="0FA3CB9B" w14:textId="77777777" w:rsidR="007B0A0F" w:rsidRPr="0018643B" w:rsidRDefault="007B0A0F" w:rsidP="007B0A0F">
            <w:pPr>
              <w:pStyle w:val="Tabletext"/>
              <w:ind w:left="0" w:right="0"/>
              <w:jc w:val="center"/>
            </w:pPr>
            <w:r w:rsidRPr="0018643B">
              <w:t>–</w:t>
            </w:r>
          </w:p>
        </w:tc>
      </w:tr>
      <w:tr w:rsidR="0026615D" w:rsidRPr="004F1C07" w14:paraId="12E8C5E6" w14:textId="77777777" w:rsidTr="0061480D">
        <w:trPr>
          <w:trHeight w:val="161"/>
        </w:trPr>
        <w:tc>
          <w:tcPr>
            <w:tcW w:w="1384" w:type="dxa"/>
            <w:vMerge/>
          </w:tcPr>
          <w:p w14:paraId="77A59841" w14:textId="77777777" w:rsidR="007B0A0F" w:rsidRPr="00680101" w:rsidRDefault="007B0A0F" w:rsidP="007B0A0F">
            <w:pPr>
              <w:pStyle w:val="Tabletext"/>
              <w:ind w:left="0" w:right="0"/>
              <w:rPr>
                <w:b/>
              </w:rPr>
            </w:pPr>
          </w:p>
        </w:tc>
        <w:tc>
          <w:tcPr>
            <w:tcW w:w="3402" w:type="dxa"/>
          </w:tcPr>
          <w:p w14:paraId="26CEF66B" w14:textId="77777777" w:rsidR="007B0A0F" w:rsidRPr="00237B61" w:rsidRDefault="007B0A0F" w:rsidP="007B0A0F">
            <w:pPr>
              <w:pStyle w:val="Summaryofsafetyconcerns"/>
              <w:ind w:left="0" w:right="0"/>
              <w:rPr>
                <w:b w:val="0"/>
              </w:rPr>
            </w:pPr>
            <w:r w:rsidRPr="00237B61">
              <w:rPr>
                <w:b w:val="0"/>
              </w:rPr>
              <w:t xml:space="preserve">Growth and development disorders and bone mineral metabolism disorders in the </w:t>
            </w:r>
            <w:r w:rsidR="00761035" w:rsidRPr="00237B61">
              <w:rPr>
                <w:b w:val="0"/>
              </w:rPr>
              <w:t>paediatric</w:t>
            </w:r>
            <w:r w:rsidRPr="00237B61">
              <w:rPr>
                <w:b w:val="0"/>
              </w:rPr>
              <w:t xml:space="preserve"> population</w:t>
            </w:r>
          </w:p>
        </w:tc>
        <w:tc>
          <w:tcPr>
            <w:tcW w:w="851" w:type="dxa"/>
          </w:tcPr>
          <w:p w14:paraId="6CD023A3" w14:textId="77777777" w:rsidR="007B0A0F" w:rsidRPr="0018643B" w:rsidRDefault="007B0A0F" w:rsidP="007B0A0F">
            <w:pPr>
              <w:pStyle w:val="Tabletext"/>
              <w:ind w:left="0" w:right="0"/>
              <w:jc w:val="center"/>
            </w:pPr>
            <w:r w:rsidRPr="0018643B">
              <w:sym w:font="Wingdings" w:char="F0FC"/>
            </w:r>
          </w:p>
        </w:tc>
        <w:tc>
          <w:tcPr>
            <w:tcW w:w="1134" w:type="dxa"/>
          </w:tcPr>
          <w:p w14:paraId="07F409F9" w14:textId="77777777" w:rsidR="007B0A0F" w:rsidRPr="0018643B" w:rsidRDefault="007B0A0F" w:rsidP="007B0A0F">
            <w:pPr>
              <w:pStyle w:val="Tabletext"/>
              <w:ind w:left="0" w:right="0"/>
              <w:jc w:val="center"/>
            </w:pPr>
            <w:r w:rsidRPr="0018643B">
              <w:t>–</w:t>
            </w:r>
          </w:p>
        </w:tc>
        <w:tc>
          <w:tcPr>
            <w:tcW w:w="850" w:type="dxa"/>
          </w:tcPr>
          <w:p w14:paraId="382F3C58" w14:textId="77777777" w:rsidR="007B0A0F" w:rsidRPr="0018643B" w:rsidRDefault="007B0A0F" w:rsidP="007B0A0F">
            <w:pPr>
              <w:pStyle w:val="Tabletext"/>
              <w:ind w:left="0" w:right="0"/>
              <w:jc w:val="center"/>
            </w:pPr>
            <w:r w:rsidRPr="0018643B">
              <w:sym w:font="Wingdings" w:char="F0FC"/>
            </w:r>
          </w:p>
        </w:tc>
        <w:tc>
          <w:tcPr>
            <w:tcW w:w="1134" w:type="dxa"/>
          </w:tcPr>
          <w:p w14:paraId="072AE03A" w14:textId="77777777" w:rsidR="007B0A0F" w:rsidRPr="0018643B" w:rsidRDefault="007B0A0F" w:rsidP="007B0A0F">
            <w:pPr>
              <w:pStyle w:val="Tabletext"/>
              <w:ind w:left="0" w:right="0"/>
              <w:jc w:val="center"/>
            </w:pPr>
            <w:r w:rsidRPr="0018643B">
              <w:t>–</w:t>
            </w:r>
          </w:p>
        </w:tc>
      </w:tr>
      <w:tr w:rsidR="0026615D" w:rsidRPr="004F1C07" w14:paraId="34C9A982" w14:textId="77777777" w:rsidTr="0061480D">
        <w:trPr>
          <w:trHeight w:val="123"/>
        </w:trPr>
        <w:tc>
          <w:tcPr>
            <w:tcW w:w="1384" w:type="dxa"/>
            <w:vMerge/>
          </w:tcPr>
          <w:p w14:paraId="06FCBE35" w14:textId="77777777" w:rsidR="007B0A0F" w:rsidRPr="00680101" w:rsidRDefault="007B0A0F" w:rsidP="007B0A0F">
            <w:pPr>
              <w:pStyle w:val="Tabletext"/>
              <w:ind w:left="0" w:right="0"/>
              <w:rPr>
                <w:b/>
              </w:rPr>
            </w:pPr>
          </w:p>
        </w:tc>
        <w:tc>
          <w:tcPr>
            <w:tcW w:w="3402" w:type="dxa"/>
          </w:tcPr>
          <w:p w14:paraId="2919ACD4" w14:textId="77777777" w:rsidR="007B0A0F" w:rsidRPr="00237B61" w:rsidRDefault="007B0A0F" w:rsidP="007B0A0F">
            <w:pPr>
              <w:pStyle w:val="Summaryofsafetyconcerns"/>
              <w:ind w:left="0" w:right="0"/>
              <w:rPr>
                <w:b w:val="0"/>
              </w:rPr>
            </w:pPr>
            <w:r w:rsidRPr="00237B61">
              <w:rPr>
                <w:b w:val="0"/>
              </w:rPr>
              <w:t>Toxic Skin Reactions</w:t>
            </w:r>
          </w:p>
        </w:tc>
        <w:tc>
          <w:tcPr>
            <w:tcW w:w="851" w:type="dxa"/>
          </w:tcPr>
          <w:p w14:paraId="590815FC" w14:textId="77777777" w:rsidR="007B0A0F" w:rsidRPr="0018643B" w:rsidRDefault="007B0A0F" w:rsidP="007B0A0F">
            <w:pPr>
              <w:pStyle w:val="Tabletext"/>
              <w:ind w:left="0" w:right="0"/>
              <w:jc w:val="center"/>
            </w:pPr>
            <w:r w:rsidRPr="0018643B">
              <w:sym w:font="Wingdings" w:char="F0FC"/>
            </w:r>
          </w:p>
        </w:tc>
        <w:tc>
          <w:tcPr>
            <w:tcW w:w="1134" w:type="dxa"/>
          </w:tcPr>
          <w:p w14:paraId="26403DA3" w14:textId="77777777" w:rsidR="007B0A0F" w:rsidRPr="0018643B" w:rsidRDefault="007B0A0F" w:rsidP="007B0A0F">
            <w:pPr>
              <w:pStyle w:val="Tabletext"/>
              <w:ind w:left="0" w:right="0"/>
              <w:jc w:val="center"/>
            </w:pPr>
            <w:r w:rsidRPr="0018643B">
              <w:t>–</w:t>
            </w:r>
          </w:p>
        </w:tc>
        <w:tc>
          <w:tcPr>
            <w:tcW w:w="850" w:type="dxa"/>
          </w:tcPr>
          <w:p w14:paraId="09896EEF" w14:textId="77777777" w:rsidR="007B0A0F" w:rsidRPr="0018643B" w:rsidRDefault="007B0A0F" w:rsidP="007B0A0F">
            <w:pPr>
              <w:pStyle w:val="Tabletext"/>
              <w:ind w:left="0" w:right="0"/>
              <w:jc w:val="center"/>
            </w:pPr>
            <w:r w:rsidRPr="0018643B">
              <w:sym w:font="Wingdings" w:char="F0FC"/>
            </w:r>
          </w:p>
        </w:tc>
        <w:tc>
          <w:tcPr>
            <w:tcW w:w="1134" w:type="dxa"/>
          </w:tcPr>
          <w:p w14:paraId="78717CB2" w14:textId="77777777" w:rsidR="007B0A0F" w:rsidRPr="0018643B" w:rsidRDefault="007B0A0F" w:rsidP="007B0A0F">
            <w:pPr>
              <w:pStyle w:val="Tabletext"/>
              <w:ind w:left="0" w:right="0"/>
              <w:jc w:val="center"/>
            </w:pPr>
            <w:r w:rsidRPr="0018643B">
              <w:t>–</w:t>
            </w:r>
          </w:p>
        </w:tc>
      </w:tr>
      <w:tr w:rsidR="0026615D" w:rsidRPr="004F1C07" w14:paraId="4627C0A3" w14:textId="77777777" w:rsidTr="0061480D">
        <w:trPr>
          <w:trHeight w:val="142"/>
        </w:trPr>
        <w:tc>
          <w:tcPr>
            <w:tcW w:w="1384" w:type="dxa"/>
            <w:vMerge/>
          </w:tcPr>
          <w:p w14:paraId="3778A8FC" w14:textId="77777777" w:rsidR="007B0A0F" w:rsidRPr="00680101" w:rsidRDefault="007B0A0F" w:rsidP="007B0A0F">
            <w:pPr>
              <w:pStyle w:val="Tabletext"/>
              <w:ind w:left="0" w:right="0"/>
              <w:rPr>
                <w:b/>
              </w:rPr>
            </w:pPr>
          </w:p>
        </w:tc>
        <w:tc>
          <w:tcPr>
            <w:tcW w:w="3402" w:type="dxa"/>
          </w:tcPr>
          <w:p w14:paraId="2AF78D56" w14:textId="77777777" w:rsidR="007B0A0F" w:rsidRPr="00237B61" w:rsidRDefault="007B0A0F" w:rsidP="007B0A0F">
            <w:pPr>
              <w:pStyle w:val="Summaryofsafetyconcerns"/>
              <w:ind w:left="0" w:right="0"/>
              <w:rPr>
                <w:b w:val="0"/>
              </w:rPr>
            </w:pPr>
            <w:r w:rsidRPr="00237B61">
              <w:rPr>
                <w:b w:val="0"/>
              </w:rPr>
              <w:t>CYP3A4 Drug Interactions</w:t>
            </w:r>
          </w:p>
        </w:tc>
        <w:tc>
          <w:tcPr>
            <w:tcW w:w="851" w:type="dxa"/>
          </w:tcPr>
          <w:p w14:paraId="75F5E226" w14:textId="77777777" w:rsidR="007B0A0F" w:rsidRPr="0018643B" w:rsidRDefault="007B0A0F" w:rsidP="007B0A0F">
            <w:pPr>
              <w:pStyle w:val="Tabletext"/>
              <w:ind w:left="0" w:right="0"/>
              <w:jc w:val="center"/>
            </w:pPr>
            <w:r w:rsidRPr="0018643B">
              <w:sym w:font="Wingdings" w:char="F0FC"/>
            </w:r>
          </w:p>
        </w:tc>
        <w:tc>
          <w:tcPr>
            <w:tcW w:w="1134" w:type="dxa"/>
          </w:tcPr>
          <w:p w14:paraId="74F1B7B3" w14:textId="77777777" w:rsidR="007B0A0F" w:rsidRPr="0018643B" w:rsidRDefault="007B0A0F" w:rsidP="007B0A0F">
            <w:pPr>
              <w:pStyle w:val="Tabletext"/>
              <w:ind w:left="0" w:right="0"/>
              <w:jc w:val="center"/>
            </w:pPr>
            <w:r w:rsidRPr="0018643B">
              <w:t>–</w:t>
            </w:r>
          </w:p>
        </w:tc>
        <w:tc>
          <w:tcPr>
            <w:tcW w:w="850" w:type="dxa"/>
          </w:tcPr>
          <w:p w14:paraId="78213D71" w14:textId="77777777" w:rsidR="007B0A0F" w:rsidRPr="0018643B" w:rsidRDefault="007B0A0F" w:rsidP="007B0A0F">
            <w:pPr>
              <w:pStyle w:val="Tabletext"/>
              <w:ind w:left="0" w:right="0"/>
              <w:jc w:val="center"/>
            </w:pPr>
            <w:r w:rsidRPr="0018643B">
              <w:sym w:font="Wingdings" w:char="F0FC"/>
            </w:r>
          </w:p>
        </w:tc>
        <w:tc>
          <w:tcPr>
            <w:tcW w:w="1134" w:type="dxa"/>
          </w:tcPr>
          <w:p w14:paraId="2E3F1C27" w14:textId="77777777" w:rsidR="007B0A0F" w:rsidRPr="0018643B" w:rsidRDefault="007B0A0F" w:rsidP="007B0A0F">
            <w:pPr>
              <w:pStyle w:val="Tabletext"/>
              <w:ind w:left="0" w:right="0"/>
              <w:jc w:val="center"/>
            </w:pPr>
            <w:r w:rsidRPr="0018643B">
              <w:t>–</w:t>
            </w:r>
          </w:p>
        </w:tc>
      </w:tr>
      <w:tr w:rsidR="0026615D" w:rsidRPr="004F1C07" w14:paraId="52580F15" w14:textId="77777777" w:rsidTr="0061480D">
        <w:trPr>
          <w:trHeight w:val="106"/>
        </w:trPr>
        <w:tc>
          <w:tcPr>
            <w:tcW w:w="1384" w:type="dxa"/>
            <w:vMerge/>
          </w:tcPr>
          <w:p w14:paraId="7E15F717" w14:textId="77777777" w:rsidR="007B0A0F" w:rsidRPr="00680101" w:rsidRDefault="007B0A0F" w:rsidP="007B0A0F">
            <w:pPr>
              <w:pStyle w:val="Tabletext"/>
              <w:ind w:left="0" w:right="0"/>
              <w:rPr>
                <w:b/>
              </w:rPr>
            </w:pPr>
          </w:p>
        </w:tc>
        <w:tc>
          <w:tcPr>
            <w:tcW w:w="3402" w:type="dxa"/>
          </w:tcPr>
          <w:p w14:paraId="2BB5314E" w14:textId="77777777" w:rsidR="007B0A0F" w:rsidRPr="00237B61" w:rsidRDefault="007B0A0F" w:rsidP="007B0A0F">
            <w:pPr>
              <w:pStyle w:val="Summaryofsafetyconcerns"/>
              <w:ind w:left="0" w:right="0"/>
              <w:rPr>
                <w:b w:val="0"/>
              </w:rPr>
            </w:pPr>
            <w:r w:rsidRPr="00237B61">
              <w:rPr>
                <w:b w:val="0"/>
              </w:rPr>
              <w:t>HBV Reactivation</w:t>
            </w:r>
          </w:p>
        </w:tc>
        <w:tc>
          <w:tcPr>
            <w:tcW w:w="851" w:type="dxa"/>
          </w:tcPr>
          <w:p w14:paraId="6131523A" w14:textId="77777777" w:rsidR="007B0A0F" w:rsidRPr="0018643B" w:rsidRDefault="007B0A0F" w:rsidP="007B0A0F">
            <w:pPr>
              <w:pStyle w:val="Tabletext"/>
              <w:ind w:left="0" w:right="0"/>
              <w:jc w:val="center"/>
            </w:pPr>
            <w:r w:rsidRPr="0018643B">
              <w:sym w:font="Wingdings" w:char="F0FC"/>
            </w:r>
          </w:p>
        </w:tc>
        <w:tc>
          <w:tcPr>
            <w:tcW w:w="1134" w:type="dxa"/>
          </w:tcPr>
          <w:p w14:paraId="3C2C738E" w14:textId="77777777" w:rsidR="007B0A0F" w:rsidRPr="0018643B" w:rsidRDefault="007B0A0F" w:rsidP="007B0A0F">
            <w:pPr>
              <w:pStyle w:val="Tabletext"/>
              <w:ind w:left="0" w:right="0"/>
              <w:jc w:val="center"/>
            </w:pPr>
            <w:r w:rsidRPr="0018643B">
              <w:t>–</w:t>
            </w:r>
          </w:p>
        </w:tc>
        <w:tc>
          <w:tcPr>
            <w:tcW w:w="850" w:type="dxa"/>
          </w:tcPr>
          <w:p w14:paraId="1059EB6D" w14:textId="77777777" w:rsidR="007B0A0F" w:rsidRPr="0018643B" w:rsidRDefault="007B0A0F" w:rsidP="007B0A0F">
            <w:pPr>
              <w:pStyle w:val="Tabletext"/>
              <w:ind w:left="0" w:right="0"/>
              <w:jc w:val="center"/>
            </w:pPr>
            <w:r w:rsidRPr="0018643B">
              <w:sym w:font="Wingdings" w:char="F0FC"/>
            </w:r>
          </w:p>
        </w:tc>
        <w:tc>
          <w:tcPr>
            <w:tcW w:w="1134" w:type="dxa"/>
          </w:tcPr>
          <w:p w14:paraId="64A96A18" w14:textId="77777777" w:rsidR="007B0A0F" w:rsidRPr="0018643B" w:rsidRDefault="007B0A0F" w:rsidP="007B0A0F">
            <w:pPr>
              <w:pStyle w:val="Tabletext"/>
              <w:ind w:left="0" w:right="0"/>
              <w:jc w:val="center"/>
            </w:pPr>
            <w:r w:rsidRPr="0018643B">
              <w:t>–</w:t>
            </w:r>
          </w:p>
        </w:tc>
      </w:tr>
      <w:tr w:rsidR="0026615D" w:rsidRPr="004F1C07" w14:paraId="2812E6CF" w14:textId="77777777" w:rsidTr="0061480D">
        <w:trPr>
          <w:trHeight w:val="168"/>
        </w:trPr>
        <w:tc>
          <w:tcPr>
            <w:tcW w:w="1384" w:type="dxa"/>
            <w:vMerge w:val="restart"/>
          </w:tcPr>
          <w:p w14:paraId="174775D8" w14:textId="77777777" w:rsidR="007B0A0F" w:rsidRPr="00680101" w:rsidRDefault="007B0A0F" w:rsidP="007B0A0F">
            <w:pPr>
              <w:pStyle w:val="Tabletext"/>
              <w:ind w:left="0" w:right="0"/>
              <w:rPr>
                <w:b/>
              </w:rPr>
            </w:pPr>
            <w:r w:rsidRPr="00680101">
              <w:rPr>
                <w:b/>
              </w:rPr>
              <w:t>Missing information</w:t>
            </w:r>
          </w:p>
        </w:tc>
        <w:tc>
          <w:tcPr>
            <w:tcW w:w="3402" w:type="dxa"/>
          </w:tcPr>
          <w:p w14:paraId="2B809173" w14:textId="77777777" w:rsidR="007B0A0F" w:rsidRPr="007A0486" w:rsidRDefault="007B0A0F" w:rsidP="007B0A0F">
            <w:pPr>
              <w:pStyle w:val="Summaryofsafetyconcerns"/>
              <w:ind w:left="0" w:right="0"/>
              <w:rPr>
                <w:b w:val="0"/>
              </w:rPr>
            </w:pPr>
            <w:r w:rsidRPr="007A0486">
              <w:rPr>
                <w:b w:val="0"/>
              </w:rPr>
              <w:t>Carcinogenicity</w:t>
            </w:r>
          </w:p>
        </w:tc>
        <w:tc>
          <w:tcPr>
            <w:tcW w:w="851" w:type="dxa"/>
          </w:tcPr>
          <w:p w14:paraId="7E58A22B" w14:textId="77777777" w:rsidR="007B0A0F" w:rsidRPr="0018643B" w:rsidRDefault="007B0A0F" w:rsidP="007B0A0F">
            <w:pPr>
              <w:pStyle w:val="Tabletext"/>
              <w:ind w:left="0" w:right="0"/>
              <w:jc w:val="center"/>
            </w:pPr>
            <w:r w:rsidRPr="0018643B">
              <w:sym w:font="Wingdings" w:char="F0FC"/>
            </w:r>
          </w:p>
        </w:tc>
        <w:tc>
          <w:tcPr>
            <w:tcW w:w="1134" w:type="dxa"/>
          </w:tcPr>
          <w:p w14:paraId="29525112" w14:textId="77777777" w:rsidR="007B0A0F" w:rsidRPr="0018643B" w:rsidRDefault="007B0A0F" w:rsidP="007B0A0F">
            <w:pPr>
              <w:pStyle w:val="Tabletext"/>
              <w:ind w:left="0" w:right="0"/>
              <w:jc w:val="center"/>
            </w:pPr>
            <w:r w:rsidRPr="0018643B">
              <w:t>–</w:t>
            </w:r>
          </w:p>
        </w:tc>
        <w:tc>
          <w:tcPr>
            <w:tcW w:w="850" w:type="dxa"/>
          </w:tcPr>
          <w:p w14:paraId="55FCE658" w14:textId="77777777" w:rsidR="007B0A0F" w:rsidRPr="0018643B" w:rsidRDefault="007B0A0F" w:rsidP="007B0A0F">
            <w:pPr>
              <w:pStyle w:val="Tabletext"/>
              <w:ind w:left="0" w:right="0"/>
              <w:jc w:val="center"/>
            </w:pPr>
            <w:r w:rsidRPr="0018643B">
              <w:sym w:font="Wingdings" w:char="F0FC"/>
            </w:r>
          </w:p>
        </w:tc>
        <w:tc>
          <w:tcPr>
            <w:tcW w:w="1134" w:type="dxa"/>
          </w:tcPr>
          <w:p w14:paraId="621DB0C2" w14:textId="77777777" w:rsidR="007B0A0F" w:rsidRPr="0018643B" w:rsidRDefault="007B0A0F" w:rsidP="007B0A0F">
            <w:pPr>
              <w:pStyle w:val="Tabletext"/>
              <w:ind w:left="0" w:right="0"/>
              <w:jc w:val="center"/>
            </w:pPr>
            <w:r w:rsidRPr="0018643B">
              <w:t>–</w:t>
            </w:r>
          </w:p>
        </w:tc>
      </w:tr>
      <w:tr w:rsidR="0026615D" w:rsidRPr="004F1C07" w14:paraId="2D78F7DC" w14:textId="77777777" w:rsidTr="0061480D">
        <w:trPr>
          <w:trHeight w:val="180"/>
        </w:trPr>
        <w:tc>
          <w:tcPr>
            <w:tcW w:w="1384" w:type="dxa"/>
            <w:vMerge/>
          </w:tcPr>
          <w:p w14:paraId="782D4EFD" w14:textId="77777777" w:rsidR="007B0A0F" w:rsidRPr="004F1C07" w:rsidRDefault="007B0A0F" w:rsidP="007B0A0F">
            <w:pPr>
              <w:pStyle w:val="Tabletext"/>
              <w:ind w:left="0" w:right="0"/>
            </w:pPr>
          </w:p>
        </w:tc>
        <w:tc>
          <w:tcPr>
            <w:tcW w:w="3402" w:type="dxa"/>
          </w:tcPr>
          <w:p w14:paraId="7D3C3E29" w14:textId="77777777" w:rsidR="007B0A0F" w:rsidRPr="007A0486" w:rsidRDefault="007B0A0F" w:rsidP="007B0A0F">
            <w:pPr>
              <w:pStyle w:val="Summaryofsafetyconcerns"/>
              <w:ind w:left="0" w:right="0"/>
              <w:rPr>
                <w:b w:val="0"/>
              </w:rPr>
            </w:pPr>
            <w:r w:rsidRPr="007A0486">
              <w:rPr>
                <w:b w:val="0"/>
              </w:rPr>
              <w:t>Paediatric Population data</w:t>
            </w:r>
          </w:p>
        </w:tc>
        <w:tc>
          <w:tcPr>
            <w:tcW w:w="851" w:type="dxa"/>
          </w:tcPr>
          <w:p w14:paraId="0B29ADA6" w14:textId="77777777" w:rsidR="007B0A0F" w:rsidRPr="0018643B" w:rsidRDefault="007B0A0F" w:rsidP="007B0A0F">
            <w:pPr>
              <w:pStyle w:val="Tabletext"/>
              <w:ind w:left="0" w:right="0"/>
              <w:jc w:val="center"/>
            </w:pPr>
            <w:r w:rsidRPr="0018643B">
              <w:sym w:font="Wingdings" w:char="F0FC"/>
            </w:r>
          </w:p>
        </w:tc>
        <w:tc>
          <w:tcPr>
            <w:tcW w:w="1134" w:type="dxa"/>
          </w:tcPr>
          <w:p w14:paraId="58F76B6E" w14:textId="77777777" w:rsidR="007B0A0F" w:rsidRPr="0018643B" w:rsidRDefault="007B0A0F" w:rsidP="007B0A0F">
            <w:pPr>
              <w:pStyle w:val="Tabletext"/>
              <w:ind w:left="0" w:right="0"/>
              <w:jc w:val="center"/>
            </w:pPr>
            <w:r w:rsidRPr="0018643B">
              <w:t>–</w:t>
            </w:r>
          </w:p>
        </w:tc>
        <w:tc>
          <w:tcPr>
            <w:tcW w:w="850" w:type="dxa"/>
          </w:tcPr>
          <w:p w14:paraId="26E148A8" w14:textId="77777777" w:rsidR="007B0A0F" w:rsidRPr="0018643B" w:rsidRDefault="007B0A0F" w:rsidP="007B0A0F">
            <w:pPr>
              <w:pStyle w:val="Tabletext"/>
              <w:ind w:left="0" w:right="0"/>
              <w:jc w:val="center"/>
            </w:pPr>
            <w:r w:rsidRPr="0018643B">
              <w:sym w:font="Wingdings" w:char="F0FC"/>
            </w:r>
          </w:p>
        </w:tc>
        <w:tc>
          <w:tcPr>
            <w:tcW w:w="1134" w:type="dxa"/>
          </w:tcPr>
          <w:p w14:paraId="2BAD2BE0" w14:textId="77777777" w:rsidR="007B0A0F" w:rsidRPr="0018643B" w:rsidRDefault="007B0A0F" w:rsidP="007B0A0F">
            <w:pPr>
              <w:pStyle w:val="Tabletext"/>
              <w:ind w:left="0" w:right="0"/>
              <w:jc w:val="center"/>
            </w:pPr>
            <w:r w:rsidRPr="0018643B">
              <w:t>–</w:t>
            </w:r>
          </w:p>
        </w:tc>
      </w:tr>
      <w:tr w:rsidR="0026615D" w:rsidRPr="004F1C07" w14:paraId="03847EC3" w14:textId="77777777" w:rsidTr="0061480D">
        <w:trPr>
          <w:trHeight w:val="86"/>
        </w:trPr>
        <w:tc>
          <w:tcPr>
            <w:tcW w:w="1384" w:type="dxa"/>
            <w:vMerge/>
          </w:tcPr>
          <w:p w14:paraId="14C97157" w14:textId="77777777" w:rsidR="007B0A0F" w:rsidRPr="004F1C07" w:rsidRDefault="007B0A0F" w:rsidP="007B0A0F">
            <w:pPr>
              <w:pStyle w:val="Tabletext"/>
              <w:ind w:left="0" w:right="0"/>
            </w:pPr>
          </w:p>
        </w:tc>
        <w:tc>
          <w:tcPr>
            <w:tcW w:w="3402" w:type="dxa"/>
          </w:tcPr>
          <w:p w14:paraId="0F0DD5D9" w14:textId="77777777" w:rsidR="007B0A0F" w:rsidRPr="007A0486" w:rsidRDefault="007B0A0F" w:rsidP="007B0A0F">
            <w:pPr>
              <w:pStyle w:val="Summaryofsafetyconcerns"/>
              <w:ind w:left="0" w:right="0"/>
              <w:rPr>
                <w:b w:val="0"/>
              </w:rPr>
            </w:pPr>
            <w:r w:rsidRPr="007A0486">
              <w:rPr>
                <w:b w:val="0"/>
              </w:rPr>
              <w:t>Reproductive and lactation data</w:t>
            </w:r>
          </w:p>
        </w:tc>
        <w:tc>
          <w:tcPr>
            <w:tcW w:w="851" w:type="dxa"/>
          </w:tcPr>
          <w:p w14:paraId="20D1A500" w14:textId="77777777" w:rsidR="007B0A0F" w:rsidRPr="0018643B" w:rsidRDefault="007B0A0F" w:rsidP="007B0A0F">
            <w:pPr>
              <w:pStyle w:val="Tabletext"/>
              <w:ind w:left="0" w:right="0"/>
              <w:jc w:val="center"/>
            </w:pPr>
            <w:r w:rsidRPr="0018643B">
              <w:sym w:font="Wingdings" w:char="F0FC"/>
            </w:r>
          </w:p>
        </w:tc>
        <w:tc>
          <w:tcPr>
            <w:tcW w:w="1134" w:type="dxa"/>
          </w:tcPr>
          <w:p w14:paraId="25B3A933" w14:textId="77777777" w:rsidR="007B0A0F" w:rsidRPr="0018643B" w:rsidRDefault="007B0A0F" w:rsidP="007B0A0F">
            <w:pPr>
              <w:pStyle w:val="Tabletext"/>
              <w:ind w:left="0" w:right="0"/>
              <w:jc w:val="center"/>
            </w:pPr>
            <w:r w:rsidRPr="0018643B">
              <w:t>–</w:t>
            </w:r>
          </w:p>
        </w:tc>
        <w:tc>
          <w:tcPr>
            <w:tcW w:w="850" w:type="dxa"/>
          </w:tcPr>
          <w:p w14:paraId="786EC5D7" w14:textId="77777777" w:rsidR="007B0A0F" w:rsidRPr="0018643B" w:rsidRDefault="007B0A0F" w:rsidP="007B0A0F">
            <w:pPr>
              <w:pStyle w:val="Tabletext"/>
              <w:ind w:left="0" w:right="0"/>
              <w:jc w:val="center"/>
            </w:pPr>
            <w:r w:rsidRPr="0018643B">
              <w:sym w:font="Wingdings" w:char="F0FC"/>
            </w:r>
          </w:p>
        </w:tc>
        <w:tc>
          <w:tcPr>
            <w:tcW w:w="1134" w:type="dxa"/>
          </w:tcPr>
          <w:p w14:paraId="4CA8D1C6" w14:textId="77777777" w:rsidR="007B0A0F" w:rsidRPr="0018643B" w:rsidRDefault="007B0A0F" w:rsidP="007B0A0F">
            <w:pPr>
              <w:pStyle w:val="Tabletext"/>
              <w:ind w:left="0" w:right="0"/>
              <w:jc w:val="center"/>
            </w:pPr>
            <w:r w:rsidRPr="0018643B">
              <w:t>–</w:t>
            </w:r>
          </w:p>
        </w:tc>
      </w:tr>
      <w:tr w:rsidR="0026615D" w:rsidRPr="004F1C07" w14:paraId="5C847643" w14:textId="77777777" w:rsidTr="0061480D">
        <w:trPr>
          <w:trHeight w:val="132"/>
        </w:trPr>
        <w:tc>
          <w:tcPr>
            <w:tcW w:w="1384" w:type="dxa"/>
            <w:vMerge/>
          </w:tcPr>
          <w:p w14:paraId="0CFFAC8D" w14:textId="77777777" w:rsidR="007B0A0F" w:rsidRPr="004F1C07" w:rsidRDefault="007B0A0F" w:rsidP="007B0A0F">
            <w:pPr>
              <w:pStyle w:val="Tabletext"/>
              <w:ind w:left="0" w:right="0"/>
            </w:pPr>
          </w:p>
        </w:tc>
        <w:tc>
          <w:tcPr>
            <w:tcW w:w="3402" w:type="dxa"/>
          </w:tcPr>
          <w:p w14:paraId="478B490E" w14:textId="77777777" w:rsidR="007B0A0F" w:rsidRPr="007A0486" w:rsidRDefault="007B0A0F" w:rsidP="007B0A0F">
            <w:pPr>
              <w:pStyle w:val="Summaryofsafetyconcerns"/>
              <w:ind w:left="0" w:right="0"/>
              <w:rPr>
                <w:b w:val="0"/>
              </w:rPr>
            </w:pPr>
            <w:r w:rsidRPr="007A0486">
              <w:rPr>
                <w:b w:val="0"/>
              </w:rPr>
              <w:t>Data in ethnic groups</w:t>
            </w:r>
          </w:p>
        </w:tc>
        <w:tc>
          <w:tcPr>
            <w:tcW w:w="851" w:type="dxa"/>
          </w:tcPr>
          <w:p w14:paraId="457E81E4" w14:textId="77777777" w:rsidR="007B0A0F" w:rsidRPr="0018643B" w:rsidRDefault="007B0A0F" w:rsidP="007B0A0F">
            <w:pPr>
              <w:pStyle w:val="Tabletext"/>
              <w:ind w:left="0" w:right="0"/>
              <w:jc w:val="center"/>
            </w:pPr>
            <w:r w:rsidRPr="0018643B">
              <w:sym w:font="Wingdings" w:char="F0FC"/>
            </w:r>
          </w:p>
        </w:tc>
        <w:tc>
          <w:tcPr>
            <w:tcW w:w="1134" w:type="dxa"/>
          </w:tcPr>
          <w:p w14:paraId="2149DF92" w14:textId="77777777" w:rsidR="007B0A0F" w:rsidRPr="0018643B" w:rsidRDefault="007B0A0F" w:rsidP="007B0A0F">
            <w:pPr>
              <w:pStyle w:val="Tabletext"/>
              <w:ind w:left="0" w:right="0"/>
              <w:jc w:val="center"/>
            </w:pPr>
            <w:r w:rsidRPr="0018643B">
              <w:t>–</w:t>
            </w:r>
          </w:p>
        </w:tc>
        <w:tc>
          <w:tcPr>
            <w:tcW w:w="850" w:type="dxa"/>
          </w:tcPr>
          <w:p w14:paraId="2A12B26A" w14:textId="77777777" w:rsidR="007B0A0F" w:rsidRPr="0018643B" w:rsidRDefault="007B0A0F" w:rsidP="007B0A0F">
            <w:pPr>
              <w:pStyle w:val="Tabletext"/>
              <w:ind w:left="0" w:right="0"/>
              <w:jc w:val="center"/>
            </w:pPr>
            <w:r w:rsidRPr="0018643B">
              <w:t>–</w:t>
            </w:r>
          </w:p>
        </w:tc>
        <w:tc>
          <w:tcPr>
            <w:tcW w:w="1134" w:type="dxa"/>
          </w:tcPr>
          <w:p w14:paraId="2A536633" w14:textId="77777777" w:rsidR="007B0A0F" w:rsidRPr="0018643B" w:rsidRDefault="007B0A0F" w:rsidP="007B0A0F">
            <w:pPr>
              <w:pStyle w:val="Tabletext"/>
              <w:ind w:left="0" w:right="0"/>
              <w:jc w:val="center"/>
            </w:pPr>
            <w:r w:rsidRPr="0018643B">
              <w:t>–</w:t>
            </w:r>
          </w:p>
        </w:tc>
      </w:tr>
    </w:tbl>
    <w:p w14:paraId="528622EF" w14:textId="77777777" w:rsidR="00456765" w:rsidRPr="00D31393" w:rsidRDefault="007B0A0F" w:rsidP="007B0A0F">
      <w:pPr>
        <w:pStyle w:val="ListBullet"/>
      </w:pPr>
      <w:r w:rsidRPr="0018643B">
        <w:t>There are no additional pharmacovigilance or risk minimisation activities which is consistent with previous applications.</w:t>
      </w:r>
    </w:p>
    <w:p w14:paraId="7EF6FD9E" w14:textId="77777777" w:rsidR="00456765" w:rsidRDefault="00456765" w:rsidP="00456765">
      <w:pPr>
        <w:pStyle w:val="Heading4"/>
      </w:pPr>
      <w:bookmarkStart w:id="100" w:name="_Toc477354123"/>
      <w:r>
        <w:t>New and outstanding recommendations from second round evaluation</w:t>
      </w:r>
      <w:bookmarkEnd w:id="100"/>
    </w:p>
    <w:p w14:paraId="646C8B96" w14:textId="77861C0C" w:rsidR="00456765" w:rsidRPr="007B0A0F" w:rsidRDefault="007B0A0F" w:rsidP="007B0A0F">
      <w:r w:rsidRPr="007B0A0F">
        <w:t>There are no outstanding issues</w:t>
      </w:r>
      <w:r w:rsidR="007E1C18">
        <w:t>.</w:t>
      </w:r>
    </w:p>
    <w:p w14:paraId="3333D6A1" w14:textId="77777777" w:rsidR="00456765" w:rsidRPr="00BB4B51" w:rsidRDefault="00456765" w:rsidP="00456765">
      <w:pPr>
        <w:pStyle w:val="Heading4"/>
      </w:pPr>
      <w:bookmarkStart w:id="101" w:name="_Toc477354124"/>
      <w:r>
        <w:t>Proposed wording for conditions of registration</w:t>
      </w:r>
      <w:bookmarkEnd w:id="101"/>
    </w:p>
    <w:p w14:paraId="66BDAFDC" w14:textId="77777777" w:rsidR="003303E3" w:rsidRDefault="007B0A0F" w:rsidP="007B0A0F">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rsidRPr="00327D07">
        <w:t>, the agreed changes become part of the risk management system</w:t>
      </w:r>
      <w:r w:rsidR="003303E3">
        <w:t>.</w:t>
      </w:r>
    </w:p>
    <w:p w14:paraId="6C293BAE" w14:textId="77777777" w:rsidR="0026615D" w:rsidRDefault="007B0A0F" w:rsidP="007B0A0F">
      <w:r w:rsidRPr="003311FA">
        <w:t>The suggested wording is:</w:t>
      </w:r>
    </w:p>
    <w:p w14:paraId="16106ECE" w14:textId="3275E4A3" w:rsidR="00456765" w:rsidRPr="00D31393" w:rsidRDefault="007B0A0F" w:rsidP="0061480D">
      <w:pPr>
        <w:ind w:left="720"/>
      </w:pPr>
      <w:r w:rsidRPr="003311FA">
        <w:t xml:space="preserve">Implement EU-RMP (version </w:t>
      </w:r>
      <w:r w:rsidR="00B44B0F">
        <w:t>14.0 dated 20 July 2016; DLP 12 </w:t>
      </w:r>
      <w:r w:rsidRPr="003311FA">
        <w:t>November 2015) with Australian Specific Annex (version 5.0, dated 22 February 2017) and any future updates as a condition of registration.</w:t>
      </w:r>
    </w:p>
    <w:p w14:paraId="0F778D2F" w14:textId="77777777" w:rsidR="008E7846" w:rsidRPr="00792A32" w:rsidRDefault="008E7846" w:rsidP="008E7846">
      <w:pPr>
        <w:pStyle w:val="Heading2"/>
      </w:pPr>
      <w:bookmarkStart w:id="102" w:name="_Toc20401742"/>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9"/>
      <w:bookmarkEnd w:id="98"/>
      <w:bookmarkEnd w:id="99"/>
      <w:bookmarkEnd w:id="102"/>
    </w:p>
    <w:p w14:paraId="78700E53" w14:textId="77777777" w:rsidR="008E7846" w:rsidRDefault="008E7846" w:rsidP="008E7846">
      <w:bookmarkStart w:id="103" w:name="_Toc247691528"/>
      <w:r>
        <w:t xml:space="preserve">The submission was summarised in the following </w:t>
      </w:r>
      <w:r w:rsidRPr="00EF5C48">
        <w:t xml:space="preserve">Delegate’s </w:t>
      </w:r>
      <w:r>
        <w:t>overview</w:t>
      </w:r>
      <w:r w:rsidRPr="00EF5C48">
        <w:t xml:space="preserve"> and recommendation</w:t>
      </w:r>
      <w:r>
        <w:t>s:</w:t>
      </w:r>
    </w:p>
    <w:p w14:paraId="7DE28693" w14:textId="77777777" w:rsidR="003877B1" w:rsidRDefault="003877B1" w:rsidP="003877B1">
      <w:pPr>
        <w:pStyle w:val="Heading3"/>
      </w:pPr>
      <w:bookmarkStart w:id="104" w:name="_Toc20401743"/>
      <w:r>
        <w:t>Background</w:t>
      </w:r>
      <w:bookmarkEnd w:id="104"/>
    </w:p>
    <w:p w14:paraId="7651C27D" w14:textId="4EBC1CC2" w:rsidR="003877B1" w:rsidRPr="002B11F8" w:rsidRDefault="003877B1" w:rsidP="003877B1">
      <w:r w:rsidRPr="002B11F8">
        <w:t xml:space="preserve">Acute lymphoblastic </w:t>
      </w:r>
      <w:r w:rsidR="00B44B0F" w:rsidRPr="002B11F8">
        <w:t>leukaemia</w:t>
      </w:r>
      <w:r w:rsidRPr="002B11F8">
        <w:t xml:space="preserve"> (ALL) refers to a group of h</w:t>
      </w:r>
      <w:r w:rsidR="00910368">
        <w:t>a</w:t>
      </w:r>
      <w:r w:rsidRPr="002B11F8">
        <w:t>ematopoietic neoplasms involving cells committed to the lymphoid lineage</w:t>
      </w:r>
      <w:r w:rsidR="00036FE4">
        <w:t>.</w:t>
      </w:r>
      <w:r w:rsidR="00036FE4" w:rsidRPr="00036FE4">
        <w:rPr>
          <w:vertAlign w:val="superscript"/>
        </w:rPr>
        <w:fldChar w:fldCharType="begin"/>
      </w:r>
      <w:r w:rsidR="00036FE4" w:rsidRPr="00036FE4">
        <w:rPr>
          <w:vertAlign w:val="superscript"/>
        </w:rPr>
        <w:instrText xml:space="preserve"> NOTEREF _Ref531080449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1</w:t>
      </w:r>
      <w:r w:rsidR="00036FE4" w:rsidRPr="00036FE4">
        <w:rPr>
          <w:vertAlign w:val="superscript"/>
        </w:rPr>
        <w:fldChar w:fldCharType="end"/>
      </w:r>
      <w:r w:rsidRPr="002B11F8">
        <w:t xml:space="preserve"> Philadelphia chromosome positive ALL (</w:t>
      </w:r>
      <w:r w:rsidR="0079571B" w:rsidRPr="002B11F8">
        <w:t>Ph</w:t>
      </w:r>
      <w:r w:rsidR="0079571B" w:rsidRPr="0079571B">
        <w:rPr>
          <w:vertAlign w:val="superscript"/>
        </w:rPr>
        <w:t>+</w:t>
      </w:r>
      <w:r w:rsidRPr="002B11F8">
        <w:t xml:space="preserve"> ALL) is a biologically and clinically distinct variant of ALL classified as ALL with t(9;22)(q34;q11.2);BCR-ABL1 in the World Health Organization classification system</w:t>
      </w:r>
      <w:r w:rsidR="00036FE4">
        <w:t>.</w:t>
      </w:r>
      <w:r w:rsidR="00036FE4">
        <w:rPr>
          <w:rStyle w:val="FootnoteReference"/>
        </w:rPr>
        <w:footnoteReference w:id="25"/>
      </w:r>
      <w:r w:rsidR="00036FE4">
        <w:t xml:space="preserve"> </w:t>
      </w:r>
      <w:r w:rsidRPr="002B11F8">
        <w:t xml:space="preserve">According to UpToDate, </w:t>
      </w:r>
      <w:r w:rsidR="0079571B" w:rsidRPr="002B11F8">
        <w:t>Ph</w:t>
      </w:r>
      <w:r w:rsidR="0079571B" w:rsidRPr="0079571B">
        <w:rPr>
          <w:vertAlign w:val="superscript"/>
        </w:rPr>
        <w:t>+</w:t>
      </w:r>
      <w:r w:rsidRPr="002B11F8">
        <w:t xml:space="preserve"> ALL accounts for approximately 20 to 30 percent of ALL in adults and 2 to 3 percent of ALL in children</w:t>
      </w:r>
      <w:r w:rsidR="00036FE4">
        <w:t>.</w:t>
      </w:r>
      <w:r w:rsidR="00036FE4" w:rsidRPr="00036FE4">
        <w:rPr>
          <w:vertAlign w:val="superscript"/>
        </w:rPr>
        <w:fldChar w:fldCharType="begin"/>
      </w:r>
      <w:r w:rsidR="00036FE4" w:rsidRPr="00036FE4">
        <w:rPr>
          <w:vertAlign w:val="superscript"/>
        </w:rPr>
        <w:instrText xml:space="preserve"> NOTEREF _Ref531080449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1</w:t>
      </w:r>
      <w:r w:rsidR="00036FE4" w:rsidRPr="00036FE4">
        <w:rPr>
          <w:vertAlign w:val="superscript"/>
        </w:rPr>
        <w:fldChar w:fldCharType="end"/>
      </w:r>
    </w:p>
    <w:p w14:paraId="399F36D0" w14:textId="2EBE9868" w:rsidR="003877B1" w:rsidRPr="002B11F8" w:rsidRDefault="003877B1" w:rsidP="003877B1">
      <w:r w:rsidRPr="002B11F8">
        <w:lastRenderedPageBreak/>
        <w:t xml:space="preserve">When treated with chemotherapy alone, patients with </w:t>
      </w:r>
      <w:r w:rsidR="0079571B" w:rsidRPr="002B11F8">
        <w:t>Ph</w:t>
      </w:r>
      <w:r w:rsidR="0079571B" w:rsidRPr="0079571B">
        <w:rPr>
          <w:vertAlign w:val="superscript"/>
        </w:rPr>
        <w:t>+</w:t>
      </w:r>
      <w:r w:rsidRPr="002B11F8">
        <w:t xml:space="preserve"> ALL have a uniformly poor prognosis with few survivors at five years after treatment</w:t>
      </w:r>
      <w:r w:rsidR="00036FE4">
        <w:t>.</w:t>
      </w:r>
      <w:r w:rsidR="00036FE4" w:rsidRPr="00036FE4">
        <w:rPr>
          <w:vertAlign w:val="superscript"/>
        </w:rPr>
        <w:fldChar w:fldCharType="begin"/>
      </w:r>
      <w:r w:rsidR="00036FE4" w:rsidRPr="00036FE4">
        <w:rPr>
          <w:vertAlign w:val="superscript"/>
        </w:rPr>
        <w:instrText xml:space="preserve"> NOTEREF _Ref531080449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1</w:t>
      </w:r>
      <w:r w:rsidR="00036FE4" w:rsidRPr="00036FE4">
        <w:rPr>
          <w:vertAlign w:val="superscript"/>
        </w:rPr>
        <w:fldChar w:fldCharType="end"/>
      </w:r>
      <w:r w:rsidRPr="002B11F8">
        <w:t xml:space="preserve"> Allogeneic h</w:t>
      </w:r>
      <w:r w:rsidR="00910368">
        <w:t>a</w:t>
      </w:r>
      <w:r w:rsidRPr="002B11F8">
        <w:t xml:space="preserve">ematopoietic cell transplantation (allo-HCT) provides better results, curing approximately 30 to 60 percent of patients with </w:t>
      </w:r>
      <w:r w:rsidR="0079571B" w:rsidRPr="002B11F8">
        <w:t>Ph</w:t>
      </w:r>
      <w:r w:rsidR="0079571B" w:rsidRPr="0079571B">
        <w:rPr>
          <w:vertAlign w:val="superscript"/>
        </w:rPr>
        <w:t>+</w:t>
      </w:r>
      <w:r w:rsidRPr="002B11F8">
        <w:t xml:space="preserve"> ALL</w:t>
      </w:r>
      <w:r w:rsidR="00036FE4">
        <w:t>.</w:t>
      </w:r>
      <w:r w:rsidR="00036FE4" w:rsidRPr="00036FE4">
        <w:rPr>
          <w:vertAlign w:val="superscript"/>
        </w:rPr>
        <w:fldChar w:fldCharType="begin"/>
      </w:r>
      <w:r w:rsidR="00036FE4" w:rsidRPr="00036FE4">
        <w:rPr>
          <w:vertAlign w:val="superscript"/>
        </w:rPr>
        <w:instrText xml:space="preserve"> NOTEREF _Ref531080449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1</w:t>
      </w:r>
      <w:r w:rsidR="00036FE4" w:rsidRPr="00036FE4">
        <w:rPr>
          <w:vertAlign w:val="superscript"/>
        </w:rPr>
        <w:fldChar w:fldCharType="end"/>
      </w:r>
      <w:r w:rsidRPr="002B11F8">
        <w:t xml:space="preserve"> </w:t>
      </w:r>
      <w:r w:rsidRPr="00910368">
        <w:t xml:space="preserve">Incorporation of a </w:t>
      </w:r>
      <w:r w:rsidR="00910368" w:rsidRPr="00910368">
        <w:t>TK</w:t>
      </w:r>
      <w:r w:rsidRPr="00910368">
        <w:t xml:space="preserve"> inhibitor of BCR-ABL1 (imatinib, dasatinib, nilotinib, bosutinib,</w:t>
      </w:r>
      <w:r w:rsidRPr="0064206D">
        <w:t xml:space="preserve"> ponatinib) into the treatment r</w:t>
      </w:r>
      <w:r w:rsidRPr="000A771E">
        <w:t>egimen has resulted in superior response rates, thereby allowing m</w:t>
      </w:r>
      <w:r w:rsidR="00036FE4" w:rsidRPr="00F23F71">
        <w:t>ore patients to proceed to allo</w:t>
      </w:r>
      <w:r w:rsidR="00036FE4" w:rsidRPr="00F23F71">
        <w:noBreakHyphen/>
      </w:r>
      <w:r w:rsidRPr="00F23F71">
        <w:t>HCT. It remains uncertain whether treatment only with the combination of chemotherapy plus a TK</w:t>
      </w:r>
      <w:r w:rsidR="00910368">
        <w:t xml:space="preserve"> inhibitor</w:t>
      </w:r>
      <w:r w:rsidRPr="00910368">
        <w:t xml:space="preserve"> will provide long</w:t>
      </w:r>
      <w:r w:rsidR="00910368">
        <w:t xml:space="preserve"> </w:t>
      </w:r>
      <w:r w:rsidRPr="00910368">
        <w:t>term survival results</w:t>
      </w:r>
      <w:r w:rsidRPr="002B11F8">
        <w:t xml:space="preserve"> similar or better than allo-HCT in first remission.</w:t>
      </w:r>
    </w:p>
    <w:p w14:paraId="2C0697B7" w14:textId="77777777" w:rsidR="003877B1" w:rsidRPr="002B11F8" w:rsidRDefault="003877B1" w:rsidP="003877B1">
      <w:r w:rsidRPr="002B11F8">
        <w:t xml:space="preserve">Prognosis hinges on tumour and patient characteristics. Age at diagnosis and cytogenic/genetic findings appear to be the strongest predictors of survival. </w:t>
      </w:r>
      <w:r w:rsidR="0079571B" w:rsidRPr="002B11F8">
        <w:t>Ph</w:t>
      </w:r>
      <w:r w:rsidR="0079571B" w:rsidRPr="0079571B">
        <w:rPr>
          <w:vertAlign w:val="superscript"/>
        </w:rPr>
        <w:t>+</w:t>
      </w:r>
      <w:r w:rsidRPr="002B11F8">
        <w:t xml:space="preserve"> ALL is a poor prognos</w:t>
      </w:r>
      <w:r w:rsidR="00C90CF5">
        <w:t>is form of precursor-B ALL</w:t>
      </w:r>
      <w:r w:rsidR="00036FE4">
        <w:t>.</w:t>
      </w:r>
      <w:r w:rsidR="00036FE4" w:rsidRPr="00036FE4">
        <w:rPr>
          <w:vertAlign w:val="superscript"/>
        </w:rPr>
        <w:fldChar w:fldCharType="begin"/>
      </w:r>
      <w:r w:rsidR="00036FE4" w:rsidRPr="00036FE4">
        <w:rPr>
          <w:vertAlign w:val="superscript"/>
        </w:rPr>
        <w:instrText xml:space="preserve"> NOTEREF _Ref531080449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1</w:t>
      </w:r>
      <w:r w:rsidR="00036FE4" w:rsidRPr="00036FE4">
        <w:rPr>
          <w:vertAlign w:val="superscript"/>
        </w:rPr>
        <w:fldChar w:fldCharType="end"/>
      </w:r>
    </w:p>
    <w:p w14:paraId="13F70C45" w14:textId="77777777" w:rsidR="00036FE4" w:rsidRDefault="003877B1" w:rsidP="003877B1">
      <w:r w:rsidRPr="002B11F8">
        <w:t>In Australia, imatinib is approved for use in first line Philadelphia chromosome positive ALL with the f</w:t>
      </w:r>
      <w:r w:rsidR="00036FE4">
        <w:t>ollowing wording of indication:</w:t>
      </w:r>
    </w:p>
    <w:p w14:paraId="079E5CCE" w14:textId="34FE9C1B" w:rsidR="00036FE4" w:rsidRDefault="003877B1" w:rsidP="00036FE4">
      <w:pPr>
        <w:ind w:left="720"/>
      </w:pPr>
      <w:r w:rsidRPr="002B11F8">
        <w:rPr>
          <w:i/>
        </w:rPr>
        <w:t>treatment of adult and paediatric patients with newly diagnosed Philadelphia chromosome positive acute lymphoblastic leukaemia (</w:t>
      </w:r>
      <w:r w:rsidR="0079571B" w:rsidRPr="002B11F8">
        <w:t>Ph</w:t>
      </w:r>
      <w:r w:rsidR="0079571B" w:rsidRPr="0079571B">
        <w:rPr>
          <w:vertAlign w:val="superscript"/>
        </w:rPr>
        <w:t>+</w:t>
      </w:r>
      <w:r w:rsidRPr="002B11F8">
        <w:rPr>
          <w:i/>
        </w:rPr>
        <w:t xml:space="preserve"> ALL) integrated with chemotherapy</w:t>
      </w:r>
      <w:r w:rsidR="00910368">
        <w:t>.</w:t>
      </w:r>
    </w:p>
    <w:p w14:paraId="615B04FB" w14:textId="26B78776" w:rsidR="003877B1" w:rsidRPr="002B11F8" w:rsidRDefault="003877B1" w:rsidP="003877B1">
      <w:r w:rsidRPr="003C2B59">
        <w:t xml:space="preserve">The current approved </w:t>
      </w:r>
      <w:r w:rsidR="00036FE4" w:rsidRPr="003C2B59">
        <w:t>PI</w:t>
      </w:r>
      <w:r w:rsidRPr="003C2B59">
        <w:t xml:space="preserve"> for imatinib provides the following data set for imatinib in this setting: A randomised controlled study of imatinib as induction </w:t>
      </w:r>
      <w:r w:rsidR="00B52C6D" w:rsidRPr="003C2B59">
        <w:t>versus</w:t>
      </w:r>
      <w:r w:rsidRPr="003C2B59">
        <w:t xml:space="preserve"> chemotherapy, with imatinib integrated with chemotherapy for consolidation (both arms), three studies integrating imatinib with historical data of chemotherapy alone and a paediatric dataset covering a total of 93 patients aged </w:t>
      </w:r>
      <w:r w:rsidR="00B90B8B" w:rsidRPr="003C2B59">
        <w:t xml:space="preserve">&lt; </w:t>
      </w:r>
      <w:r w:rsidRPr="003C2B59">
        <w:t xml:space="preserve">2 to 22 years (see Australian </w:t>
      </w:r>
      <w:r w:rsidR="00036FE4" w:rsidRPr="003C2B59">
        <w:t>PI</w:t>
      </w:r>
      <w:r w:rsidRPr="003C2B59">
        <w:t xml:space="preserve">, Imatinib, </w:t>
      </w:r>
      <w:r w:rsidR="007E1C18">
        <w:t>d</w:t>
      </w:r>
      <w:r w:rsidRPr="003C2B59">
        <w:t xml:space="preserve">ated </w:t>
      </w:r>
      <w:r w:rsidR="00036FE4" w:rsidRPr="003C2B59">
        <w:t>8 </w:t>
      </w:r>
      <w:r w:rsidRPr="003C2B59">
        <w:t>September 2017).</w:t>
      </w:r>
    </w:p>
    <w:p w14:paraId="7BDAE939" w14:textId="77777777" w:rsidR="003877B1" w:rsidRPr="002B11F8" w:rsidRDefault="003877B1" w:rsidP="003877B1">
      <w:r w:rsidRPr="002B11F8">
        <w:t>The sponsor makes the point that despite the use of i</w:t>
      </w:r>
      <w:r w:rsidR="00036FE4">
        <w:t>matinib in first line treatment</w:t>
      </w:r>
      <w:r w:rsidRPr="002B11F8">
        <w:t xml:space="preserve"> outcomes can still be poor as a result of:</w:t>
      </w:r>
    </w:p>
    <w:p w14:paraId="183219F5" w14:textId="77777777" w:rsidR="003877B1" w:rsidRPr="002B11F8" w:rsidRDefault="003877B1" w:rsidP="003877B1">
      <w:pPr>
        <w:pStyle w:val="ListBullet"/>
      </w:pPr>
      <w:r w:rsidRPr="002B11F8">
        <w:t>Relapse with selection of point mutations in the BCR-ABL kinase domain.</w:t>
      </w:r>
    </w:p>
    <w:p w14:paraId="551A955C" w14:textId="77777777" w:rsidR="003877B1" w:rsidRPr="003877B1" w:rsidRDefault="003877B1" w:rsidP="003877B1">
      <w:pPr>
        <w:pStyle w:val="ListBullet"/>
      </w:pPr>
      <w:r w:rsidRPr="002B11F8">
        <w:t xml:space="preserve">Evidence of other kinases involved in </w:t>
      </w:r>
      <w:r w:rsidR="0079571B" w:rsidRPr="002B11F8">
        <w:t>Ph</w:t>
      </w:r>
      <w:r w:rsidR="0079571B" w:rsidRPr="0079571B">
        <w:rPr>
          <w:vertAlign w:val="superscript"/>
        </w:rPr>
        <w:t>+</w:t>
      </w:r>
      <w:r w:rsidRPr="002B11F8">
        <w:t xml:space="preserve"> ALL that are not blocked by imatinib (</w:t>
      </w:r>
      <w:r w:rsidR="00B44B0F">
        <w:t>for example</w:t>
      </w:r>
      <w:r w:rsidRPr="002B11F8">
        <w:t xml:space="preserve"> SRC kinases).</w:t>
      </w:r>
    </w:p>
    <w:p w14:paraId="77E0BD97" w14:textId="77777777" w:rsidR="003877B1" w:rsidRPr="002B11F8" w:rsidRDefault="003877B1" w:rsidP="003877B1">
      <w:r w:rsidRPr="002B11F8">
        <w:t>Dasatinib is a broad spectrum competitive inhibitor of 5 oncogenic tyrosine kinases/kinase families that transmit growth signals from the cell membrane to the nucleus: BCR-ABL, SRC, c-KIT, PDGFR and ephrin receptor kinases. Dasatinib is already register</w:t>
      </w:r>
      <w:r w:rsidR="00036FE4">
        <w:t>ed as 20, 50, 70 and 100</w:t>
      </w:r>
      <w:r w:rsidR="00665FCA">
        <w:t xml:space="preserve"> mg</w:t>
      </w:r>
      <w:r w:rsidR="00036FE4">
        <w:t xml:space="preserve"> film </w:t>
      </w:r>
      <w:r w:rsidRPr="002B11F8">
        <w:t>coated tablets, with indications of:</w:t>
      </w:r>
    </w:p>
    <w:p w14:paraId="03D63B87" w14:textId="77777777" w:rsidR="003877B1" w:rsidRPr="0061480D" w:rsidRDefault="003877B1" w:rsidP="0061480D">
      <w:pPr>
        <w:ind w:left="720"/>
        <w:rPr>
          <w:i/>
        </w:rPr>
      </w:pPr>
      <w:r w:rsidRPr="0061480D">
        <w:rPr>
          <w:i/>
        </w:rPr>
        <w:t>Treatment of adults 18 years or over with newly diagnosed Philadelphia chromosome positive chronic myeloid leukaemia in the chronic phase.</w:t>
      </w:r>
    </w:p>
    <w:p w14:paraId="4CB64C49" w14:textId="77777777" w:rsidR="003877B1" w:rsidRPr="0061480D" w:rsidRDefault="003877B1" w:rsidP="0061480D">
      <w:pPr>
        <w:ind w:left="720"/>
        <w:rPr>
          <w:i/>
        </w:rPr>
      </w:pPr>
      <w:r w:rsidRPr="0061480D">
        <w:rPr>
          <w:i/>
        </w:rPr>
        <w:t>Treatment of adults 18 years or over with chronic, accelerated or myeloid or lymphoid blast phase chronic myeloid leukaemia with resistance or intolerance to prior therapy including imatinib.</w:t>
      </w:r>
    </w:p>
    <w:p w14:paraId="089966BD" w14:textId="77777777" w:rsidR="003877B1" w:rsidRPr="0061480D" w:rsidRDefault="003877B1" w:rsidP="0061480D">
      <w:pPr>
        <w:ind w:left="720"/>
        <w:rPr>
          <w:i/>
        </w:rPr>
      </w:pPr>
      <w:r w:rsidRPr="0061480D">
        <w:rPr>
          <w:i/>
        </w:rPr>
        <w:t>Treatment of adults 18 years or over with Philadelphia chromosome positive acute lymphoblastic leukaemia with resistance or intolerance to prior therapy.</w:t>
      </w:r>
    </w:p>
    <w:p w14:paraId="00070874" w14:textId="69D47090" w:rsidR="003877B1" w:rsidRPr="003877B1" w:rsidRDefault="003877B1" w:rsidP="00036FE4">
      <w:pPr>
        <w:pStyle w:val="Heading4"/>
      </w:pPr>
      <w:r w:rsidRPr="003877B1">
        <w:t xml:space="preserve">Regulation </w:t>
      </w:r>
      <w:r w:rsidR="00910368">
        <w:t>(</w:t>
      </w:r>
      <w:r w:rsidRPr="003877B1">
        <w:t>Australia</w:t>
      </w:r>
      <w:r w:rsidR="00910368">
        <w:t>)</w:t>
      </w:r>
    </w:p>
    <w:p w14:paraId="28DBE890" w14:textId="77777777" w:rsidR="003303E3" w:rsidRDefault="003877B1" w:rsidP="003877B1">
      <w:r w:rsidRPr="003877B1">
        <w:t xml:space="preserve">The </w:t>
      </w:r>
      <w:r w:rsidR="00036FE4">
        <w:t>sponsor</w:t>
      </w:r>
      <w:r w:rsidRPr="003877B1">
        <w:t xml:space="preserve"> states that this submission is specific to Australia and is not planned for submission in other regulatory jurisdictions</w:t>
      </w:r>
      <w:r w:rsidR="003303E3">
        <w:t>.</w:t>
      </w:r>
    </w:p>
    <w:p w14:paraId="1775AC6A" w14:textId="14D42845" w:rsidR="003877B1" w:rsidRPr="0064206D" w:rsidRDefault="00036FE4" w:rsidP="0061480D">
      <w:r w:rsidRPr="0061480D">
        <w:rPr>
          <w:i/>
        </w:rPr>
        <w:t>Question</w:t>
      </w:r>
      <w:r w:rsidR="003877B1" w:rsidRPr="0061480D">
        <w:rPr>
          <w:i/>
        </w:rPr>
        <w:t xml:space="preserve"> for </w:t>
      </w:r>
      <w:r w:rsidRPr="0061480D">
        <w:rPr>
          <w:i/>
        </w:rPr>
        <w:t>sponsor</w:t>
      </w:r>
      <w:r w:rsidR="00910368" w:rsidRPr="0061480D">
        <w:rPr>
          <w:i/>
        </w:rPr>
        <w:t>:</w:t>
      </w:r>
      <w:r w:rsidRPr="00910368">
        <w:t xml:space="preserve"> </w:t>
      </w:r>
      <w:r w:rsidR="00910368">
        <w:t>I</w:t>
      </w:r>
      <w:r w:rsidR="003877B1" w:rsidRPr="00910368">
        <w:t>s there any additional information available regarding the rationale for this application in Australia? Ha</w:t>
      </w:r>
      <w:r w:rsidR="003877B1" w:rsidRPr="0064206D">
        <w:t>s any other regulator provided comment on this application?</w:t>
      </w:r>
    </w:p>
    <w:p w14:paraId="1864264B" w14:textId="77777777" w:rsidR="00036FE4" w:rsidRDefault="003877B1" w:rsidP="003877B1">
      <w:r w:rsidRPr="003877B1">
        <w:t xml:space="preserve">The current approved indication in Australia for </w:t>
      </w:r>
      <w:r w:rsidR="0079571B" w:rsidRPr="002B11F8">
        <w:t>Ph</w:t>
      </w:r>
      <w:r w:rsidR="0079571B" w:rsidRPr="0079571B">
        <w:rPr>
          <w:vertAlign w:val="superscript"/>
        </w:rPr>
        <w:t>+</w:t>
      </w:r>
      <w:r w:rsidRPr="003877B1">
        <w:t xml:space="preserve"> ALL is as follows: </w:t>
      </w:r>
    </w:p>
    <w:p w14:paraId="551DBF2C" w14:textId="32C42869" w:rsidR="003877B1" w:rsidRPr="00036FE4" w:rsidRDefault="0079571B" w:rsidP="00036FE4">
      <w:pPr>
        <w:ind w:left="720"/>
        <w:rPr>
          <w:i/>
        </w:rPr>
      </w:pPr>
      <w:r w:rsidRPr="00036FE4">
        <w:rPr>
          <w:i/>
        </w:rPr>
        <w:lastRenderedPageBreak/>
        <w:t>Sprycel</w:t>
      </w:r>
      <w:r w:rsidR="003877B1" w:rsidRPr="00036FE4">
        <w:rPr>
          <w:i/>
        </w:rPr>
        <w:t xml:space="preserve"> is indicated for the treatment of adults aged 18 years or over with Philadelphia chromosome positive acute lymphoblastic leukaemia with resistance or intolerance to prior therapy.</w:t>
      </w:r>
    </w:p>
    <w:p w14:paraId="713BD01A" w14:textId="359D7C7B" w:rsidR="003877B1" w:rsidRPr="003877B1" w:rsidRDefault="003877B1" w:rsidP="003877B1">
      <w:r w:rsidRPr="003877B1">
        <w:t xml:space="preserve">The current United States PI states the following indication for </w:t>
      </w:r>
      <w:r w:rsidR="0079571B" w:rsidRPr="002B11F8">
        <w:t>Ph</w:t>
      </w:r>
      <w:r w:rsidR="0079571B" w:rsidRPr="0079571B">
        <w:rPr>
          <w:vertAlign w:val="superscript"/>
        </w:rPr>
        <w:t>+</w:t>
      </w:r>
      <w:r w:rsidRPr="003877B1">
        <w:t xml:space="preserve"> ALL: </w:t>
      </w:r>
      <w:r w:rsidR="00910368">
        <w:rPr>
          <w:i/>
        </w:rPr>
        <w:t>‘</w:t>
      </w:r>
      <w:r w:rsidRPr="00036FE4">
        <w:rPr>
          <w:i/>
        </w:rPr>
        <w:t>adults with Philadelphia chromosome-positive acute lymphoblastic leukemia (</w:t>
      </w:r>
      <w:r w:rsidR="0079571B" w:rsidRPr="00036FE4">
        <w:rPr>
          <w:i/>
        </w:rPr>
        <w:t>Ph</w:t>
      </w:r>
      <w:r w:rsidR="0079571B" w:rsidRPr="00036FE4">
        <w:rPr>
          <w:i/>
          <w:vertAlign w:val="superscript"/>
        </w:rPr>
        <w:t>+</w:t>
      </w:r>
      <w:r w:rsidRPr="00036FE4">
        <w:rPr>
          <w:i/>
        </w:rPr>
        <w:t xml:space="preserve"> ALL) with resistance or intolerance to prior therapy</w:t>
      </w:r>
      <w:r w:rsidR="00910368">
        <w:t>’</w:t>
      </w:r>
      <w:r w:rsidRPr="003877B1">
        <w:t xml:space="preserve"> (US PI</w:t>
      </w:r>
      <w:r w:rsidR="00910368">
        <w:t>;</w:t>
      </w:r>
      <w:r w:rsidRPr="003877B1">
        <w:t xml:space="preserve"> Revised November 2017)</w:t>
      </w:r>
      <w:r w:rsidR="00910368">
        <w:t>.</w:t>
      </w:r>
    </w:p>
    <w:p w14:paraId="1EAB5C79" w14:textId="7C186212" w:rsidR="003877B1" w:rsidRPr="003877B1" w:rsidRDefault="003877B1" w:rsidP="003877B1">
      <w:r w:rsidRPr="003877B1">
        <w:t xml:space="preserve">The current </w:t>
      </w:r>
      <w:r w:rsidR="00910368">
        <w:t>EU Summary of Medical Product Characteristics (</w:t>
      </w:r>
      <w:r w:rsidRPr="003877B1">
        <w:t>SmPC</w:t>
      </w:r>
      <w:r w:rsidR="00910368">
        <w:t>)</w:t>
      </w:r>
      <w:r w:rsidRPr="003877B1">
        <w:t xml:space="preserve"> states the following indication for </w:t>
      </w:r>
      <w:r w:rsidR="0079571B" w:rsidRPr="002B11F8">
        <w:t>Ph</w:t>
      </w:r>
      <w:r w:rsidR="0079571B" w:rsidRPr="0079571B">
        <w:rPr>
          <w:vertAlign w:val="superscript"/>
        </w:rPr>
        <w:t>+</w:t>
      </w:r>
      <w:r w:rsidRPr="003877B1">
        <w:t xml:space="preserve"> ALL: </w:t>
      </w:r>
      <w:r w:rsidR="00910368">
        <w:t>’</w:t>
      </w:r>
      <w:r w:rsidR="0079571B" w:rsidRPr="00036FE4">
        <w:rPr>
          <w:i/>
        </w:rPr>
        <w:t>Sprycel</w:t>
      </w:r>
      <w:r w:rsidRPr="00036FE4">
        <w:rPr>
          <w:i/>
        </w:rPr>
        <w:t xml:space="preserve"> is indicated for the treatment of adult patients with: </w:t>
      </w:r>
      <w:r w:rsidR="0079571B" w:rsidRPr="00036FE4">
        <w:rPr>
          <w:i/>
        </w:rPr>
        <w:t>Ph</w:t>
      </w:r>
      <w:r w:rsidR="0079571B" w:rsidRPr="00036FE4">
        <w:rPr>
          <w:i/>
          <w:vertAlign w:val="superscript"/>
        </w:rPr>
        <w:t>+</w:t>
      </w:r>
      <w:r w:rsidRPr="00036FE4">
        <w:rPr>
          <w:i/>
        </w:rPr>
        <w:t xml:space="preserve"> acute lymphoblastic leukaemia (ALL) and lymphoid blast CML with resistance or intolerance to prior therapy</w:t>
      </w:r>
      <w:r w:rsidR="00910368">
        <w:t>’</w:t>
      </w:r>
      <w:r w:rsidRPr="003877B1">
        <w:t>.</w:t>
      </w:r>
    </w:p>
    <w:p w14:paraId="2F075E82" w14:textId="77777777" w:rsidR="008E7846" w:rsidRDefault="008E7846" w:rsidP="008E7846">
      <w:pPr>
        <w:pStyle w:val="Heading3"/>
      </w:pPr>
      <w:bookmarkStart w:id="105" w:name="_Toc314842511"/>
      <w:bookmarkStart w:id="106" w:name="_Toc20401744"/>
      <w:r>
        <w:t>Quality</w:t>
      </w:r>
      <w:bookmarkEnd w:id="103"/>
      <w:bookmarkEnd w:id="105"/>
      <w:bookmarkEnd w:id="106"/>
    </w:p>
    <w:p w14:paraId="48C15ED1" w14:textId="77777777" w:rsidR="00E45619" w:rsidRDefault="008E7846" w:rsidP="003A7F6C">
      <w:r>
        <w:t>There was no requirement for a quality evaluation in a submission of this type.</w:t>
      </w:r>
    </w:p>
    <w:p w14:paraId="3D5F5D9B" w14:textId="77777777" w:rsidR="008E7846" w:rsidRDefault="008E7846" w:rsidP="008E7846">
      <w:pPr>
        <w:pStyle w:val="Heading3"/>
      </w:pPr>
      <w:bookmarkStart w:id="107" w:name="_Toc314842512"/>
      <w:bookmarkStart w:id="108" w:name="_Toc20401745"/>
      <w:r>
        <w:t>Nonclinical</w:t>
      </w:r>
      <w:bookmarkEnd w:id="107"/>
      <w:bookmarkEnd w:id="108"/>
    </w:p>
    <w:p w14:paraId="0E96C972" w14:textId="77777777" w:rsidR="008E7846" w:rsidRDefault="008E7846" w:rsidP="008E7846">
      <w:r>
        <w:t>There was no requirement for a nonclinical evaluation in a submission of this type.</w:t>
      </w:r>
    </w:p>
    <w:p w14:paraId="49BACE7D" w14:textId="77777777" w:rsidR="008E7846" w:rsidRDefault="008E7846" w:rsidP="008E7846">
      <w:pPr>
        <w:pStyle w:val="Heading3"/>
      </w:pPr>
      <w:bookmarkStart w:id="109" w:name="_Toc247691530"/>
      <w:bookmarkStart w:id="110" w:name="_Toc314842513"/>
      <w:bookmarkStart w:id="111" w:name="_Toc20401746"/>
      <w:r>
        <w:t>Clinical</w:t>
      </w:r>
      <w:bookmarkEnd w:id="109"/>
      <w:bookmarkEnd w:id="110"/>
      <w:bookmarkEnd w:id="111"/>
    </w:p>
    <w:p w14:paraId="1E907478" w14:textId="4E775116" w:rsidR="003877B1" w:rsidRPr="00435D4D" w:rsidRDefault="003877B1" w:rsidP="003877B1">
      <w:pPr>
        <w:pStyle w:val="Heading4"/>
      </w:pPr>
      <w:bookmarkStart w:id="112" w:name="_Toc314842514"/>
      <w:r w:rsidRPr="00435D4D">
        <w:t>Overview of data</w:t>
      </w:r>
    </w:p>
    <w:p w14:paraId="26D0D804" w14:textId="77777777" w:rsidR="003877B1" w:rsidRPr="00435D4D" w:rsidRDefault="003877B1" w:rsidP="003877B1">
      <w:r w:rsidRPr="00435D4D">
        <w:t xml:space="preserve">The pivotal data for this submission comprises a total of four </w:t>
      </w:r>
      <w:r w:rsidR="00CA76AD">
        <w:t>Phase</w:t>
      </w:r>
      <w:r w:rsidRPr="00435D4D">
        <w:t xml:space="preserve"> II studies. These are:</w:t>
      </w:r>
    </w:p>
    <w:p w14:paraId="34FBE2AD" w14:textId="7A510F31" w:rsidR="003877B1" w:rsidRPr="00036FE4" w:rsidRDefault="003877B1" w:rsidP="003877B1">
      <w:pPr>
        <w:pStyle w:val="ListBullet"/>
      </w:pPr>
      <w:r w:rsidRPr="00036FE4">
        <w:t>Ravandi et al.</w:t>
      </w:r>
      <w:r w:rsidR="0064206D">
        <w:t>,</w:t>
      </w:r>
      <w:r w:rsidRPr="00036FE4">
        <w:t xml:space="preserve"> (presented as 3 papers, 2010, 2013, 2015)</w:t>
      </w:r>
      <w:r w:rsidR="00036FE4" w:rsidRPr="00036FE4">
        <w:rPr>
          <w:vertAlign w:val="superscript"/>
        </w:rPr>
        <w:fldChar w:fldCharType="begin"/>
      </w:r>
      <w:r w:rsidR="00036FE4" w:rsidRPr="00036FE4">
        <w:rPr>
          <w:vertAlign w:val="superscript"/>
        </w:rPr>
        <w:instrText xml:space="preserve"> NOTEREF _Ref531102850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4</w:t>
      </w:r>
      <w:r w:rsidR="00036FE4" w:rsidRPr="00036FE4">
        <w:rPr>
          <w:vertAlign w:val="superscript"/>
        </w:rPr>
        <w:fldChar w:fldCharType="end"/>
      </w:r>
      <w:r w:rsidR="00036FE4" w:rsidRPr="00036FE4">
        <w:rPr>
          <w:vertAlign w:val="superscript"/>
        </w:rPr>
        <w:t xml:space="preserve">, </w:t>
      </w:r>
      <w:r w:rsidR="00036FE4" w:rsidRPr="00036FE4">
        <w:rPr>
          <w:vertAlign w:val="superscript"/>
        </w:rPr>
        <w:fldChar w:fldCharType="begin"/>
      </w:r>
      <w:r w:rsidR="00036FE4" w:rsidRPr="00036FE4">
        <w:rPr>
          <w:vertAlign w:val="superscript"/>
        </w:rPr>
        <w:instrText xml:space="preserve"> NOTEREF _Ref531102992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5</w:t>
      </w:r>
      <w:r w:rsidR="00036FE4" w:rsidRPr="00036FE4">
        <w:rPr>
          <w:vertAlign w:val="superscript"/>
        </w:rPr>
        <w:fldChar w:fldCharType="end"/>
      </w:r>
      <w:r w:rsidR="00036FE4" w:rsidRPr="00036FE4">
        <w:rPr>
          <w:vertAlign w:val="superscript"/>
        </w:rPr>
        <w:t xml:space="preserve">, </w:t>
      </w:r>
      <w:r w:rsidR="00036FE4" w:rsidRPr="00036FE4">
        <w:rPr>
          <w:vertAlign w:val="superscript"/>
        </w:rPr>
        <w:fldChar w:fldCharType="begin"/>
      </w:r>
      <w:r w:rsidR="00036FE4" w:rsidRPr="00036FE4">
        <w:rPr>
          <w:vertAlign w:val="superscript"/>
        </w:rPr>
        <w:instrText xml:space="preserve"> NOTEREF _Ref531103005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6</w:t>
      </w:r>
      <w:r w:rsidR="00036FE4" w:rsidRPr="00036FE4">
        <w:rPr>
          <w:vertAlign w:val="superscript"/>
        </w:rPr>
        <w:fldChar w:fldCharType="end"/>
      </w:r>
    </w:p>
    <w:p w14:paraId="3E33DCCA" w14:textId="21EBD194" w:rsidR="003877B1" w:rsidRPr="00036FE4" w:rsidRDefault="003877B1" w:rsidP="003877B1">
      <w:pPr>
        <w:pStyle w:val="ListBullet"/>
      </w:pPr>
      <w:r w:rsidRPr="00036FE4">
        <w:t>Yoon et al.</w:t>
      </w:r>
      <w:r w:rsidR="00036FE4" w:rsidRPr="00036FE4">
        <w:rPr>
          <w:vertAlign w:val="superscript"/>
        </w:rPr>
        <w:fldChar w:fldCharType="begin"/>
      </w:r>
      <w:r w:rsidR="00036FE4" w:rsidRPr="00036FE4">
        <w:rPr>
          <w:vertAlign w:val="superscript"/>
        </w:rPr>
        <w:instrText xml:space="preserve"> NOTEREF _Ref531103040 \h </w:instrText>
      </w:r>
      <w:r w:rsidR="00036FE4">
        <w:rPr>
          <w:vertAlign w:val="superscript"/>
        </w:rPr>
        <w:instrText xml:space="preserve"> \* MERGEFORMAT </w:instrText>
      </w:r>
      <w:r w:rsidR="00036FE4" w:rsidRPr="00036FE4">
        <w:rPr>
          <w:vertAlign w:val="superscript"/>
        </w:rPr>
      </w:r>
      <w:r w:rsidR="00036FE4" w:rsidRPr="00036FE4">
        <w:rPr>
          <w:vertAlign w:val="superscript"/>
        </w:rPr>
        <w:fldChar w:fldCharType="separate"/>
      </w:r>
      <w:r w:rsidR="00036FE4" w:rsidRPr="00036FE4">
        <w:rPr>
          <w:vertAlign w:val="superscript"/>
        </w:rPr>
        <w:t>7</w:t>
      </w:r>
      <w:r w:rsidR="00036FE4" w:rsidRPr="00036FE4">
        <w:rPr>
          <w:vertAlign w:val="superscript"/>
        </w:rPr>
        <w:fldChar w:fldCharType="end"/>
      </w:r>
    </w:p>
    <w:p w14:paraId="66AA1855" w14:textId="1C3B16F1" w:rsidR="003877B1" w:rsidRPr="00036FE4" w:rsidRDefault="003877B1" w:rsidP="003877B1">
      <w:pPr>
        <w:pStyle w:val="ListBullet"/>
      </w:pPr>
      <w:r w:rsidRPr="00036FE4">
        <w:t xml:space="preserve">Rousellot </w:t>
      </w:r>
      <w:r w:rsidRPr="00665FCA">
        <w:t>et al.</w:t>
      </w:r>
      <w:r w:rsidR="00665FCA" w:rsidRPr="00665FCA">
        <w:rPr>
          <w:vertAlign w:val="superscript"/>
        </w:rPr>
        <w:fldChar w:fldCharType="begin"/>
      </w:r>
      <w:r w:rsidR="00665FCA" w:rsidRPr="00665FCA">
        <w:rPr>
          <w:vertAlign w:val="superscript"/>
        </w:rPr>
        <w:instrText xml:space="preserve"> NOTEREF _Ref531103064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8</w:t>
      </w:r>
      <w:r w:rsidR="00665FCA" w:rsidRPr="00665FCA">
        <w:rPr>
          <w:vertAlign w:val="superscript"/>
        </w:rPr>
        <w:fldChar w:fldCharType="end"/>
      </w:r>
    </w:p>
    <w:p w14:paraId="267464C0" w14:textId="77777777" w:rsidR="003877B1" w:rsidRPr="00036FE4" w:rsidRDefault="003877B1" w:rsidP="003877B1">
      <w:pPr>
        <w:pStyle w:val="ListBullet"/>
      </w:pPr>
      <w:r w:rsidRPr="00036FE4">
        <w:t xml:space="preserve">Foá </w:t>
      </w:r>
      <w:r w:rsidRPr="00665FCA">
        <w:t>et al.</w:t>
      </w:r>
      <w:r w:rsidR="00665FCA" w:rsidRPr="00665FCA">
        <w:rPr>
          <w:vertAlign w:val="superscript"/>
        </w:rPr>
        <w:fldChar w:fldCharType="begin"/>
      </w:r>
      <w:r w:rsidR="00665FCA" w:rsidRPr="00665FCA">
        <w:rPr>
          <w:vertAlign w:val="superscript"/>
        </w:rPr>
        <w:instrText xml:space="preserve"> NOTEREF _Ref531103135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9</w:t>
      </w:r>
      <w:r w:rsidR="00665FCA" w:rsidRPr="00665FCA">
        <w:rPr>
          <w:vertAlign w:val="superscript"/>
        </w:rPr>
        <w:fldChar w:fldCharType="end"/>
      </w:r>
    </w:p>
    <w:p w14:paraId="5A49D47E" w14:textId="1131A7DD" w:rsidR="003877B1" w:rsidRPr="003877B1" w:rsidRDefault="003877B1" w:rsidP="003877B1">
      <w:r w:rsidRPr="00435D4D">
        <w:t xml:space="preserve">An additional paper </w:t>
      </w:r>
      <w:r w:rsidRPr="00665FCA">
        <w:t>by Grigg et al.</w:t>
      </w:r>
      <w:r w:rsidR="0064206D">
        <w:t>,</w:t>
      </w:r>
      <w:r w:rsidRPr="00665FCA">
        <w:t xml:space="preserve"> </w:t>
      </w:r>
      <w:r w:rsidR="0064206D">
        <w:t>(</w:t>
      </w:r>
      <w:r w:rsidRPr="00665FCA">
        <w:t>2017</w:t>
      </w:r>
      <w:r w:rsidR="0064206D">
        <w:t>)</w:t>
      </w:r>
      <w:r w:rsidRPr="00435D4D">
        <w:t xml:space="preserve"> was included in draft format</w:t>
      </w:r>
      <w:r w:rsidR="00665FCA">
        <w:t>.</w:t>
      </w:r>
      <w:r w:rsidR="00665FCA" w:rsidRPr="00665FCA">
        <w:rPr>
          <w:vertAlign w:val="superscript"/>
        </w:rPr>
        <w:fldChar w:fldCharType="begin"/>
      </w:r>
      <w:r w:rsidR="00665FCA" w:rsidRPr="00665FCA">
        <w:rPr>
          <w:vertAlign w:val="superscript"/>
        </w:rPr>
        <w:instrText xml:space="preserve"> NOTEREF _Ref531103150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10</w:t>
      </w:r>
      <w:r w:rsidR="00665FCA" w:rsidRPr="00665FCA">
        <w:rPr>
          <w:vertAlign w:val="superscript"/>
        </w:rPr>
        <w:fldChar w:fldCharType="end"/>
      </w:r>
      <w:r w:rsidRPr="00435D4D">
        <w:t xml:space="preserve"> Together, these five pivotal papers collectively represent 267 adult patients treated with dasatinib as part of their first-line treatment of </w:t>
      </w:r>
      <w:r w:rsidR="0079571B" w:rsidRPr="002B11F8">
        <w:t>Ph</w:t>
      </w:r>
      <w:r w:rsidR="0079571B" w:rsidRPr="0079571B">
        <w:rPr>
          <w:vertAlign w:val="superscript"/>
        </w:rPr>
        <w:t>+</w:t>
      </w:r>
      <w:r w:rsidRPr="00435D4D">
        <w:t xml:space="preserve"> ALL. A total of six supportive papers were also presented, in addition to four documents titled ‘Reports of Analyses from more than one study’ which examine adverse reactions observed when tyrosine kinase inhibitors or specifically dasatinib is used clinically. Four PSURs and four</w:t>
      </w:r>
      <w:r w:rsidR="00801CD3" w:rsidRPr="00801CD3">
        <w:t xml:space="preserve"> Periodic Benefit Risk Evaluation Report</w:t>
      </w:r>
      <w:r w:rsidR="00801CD3">
        <w:t>s</w:t>
      </w:r>
      <w:r w:rsidR="00801CD3" w:rsidRPr="00801CD3">
        <w:t xml:space="preserve"> </w:t>
      </w:r>
      <w:r w:rsidR="00801CD3">
        <w:t>(</w:t>
      </w:r>
      <w:r w:rsidRPr="00801CD3">
        <w:t>P</w:t>
      </w:r>
      <w:r w:rsidRPr="00435D4D">
        <w:t>BRERs</w:t>
      </w:r>
      <w:r w:rsidR="00801CD3">
        <w:t>)</w:t>
      </w:r>
      <w:r w:rsidRPr="00435D4D">
        <w:t xml:space="preserve"> support the post-market data submission.</w:t>
      </w:r>
    </w:p>
    <w:p w14:paraId="5D69CF32" w14:textId="77777777" w:rsidR="003877B1" w:rsidRPr="00D55675" w:rsidRDefault="003877B1" w:rsidP="003877B1">
      <w:pPr>
        <w:pStyle w:val="Heading4"/>
      </w:pPr>
      <w:r w:rsidRPr="00D55675">
        <w:t>Pharmacology</w:t>
      </w:r>
    </w:p>
    <w:p w14:paraId="3F3EA0CF" w14:textId="77777777" w:rsidR="003877B1" w:rsidRPr="003877B1" w:rsidRDefault="003877B1" w:rsidP="003877B1">
      <w:r w:rsidRPr="00435D4D">
        <w:t>No PK or PD data was submitted with this application.</w:t>
      </w:r>
    </w:p>
    <w:p w14:paraId="60ABF166" w14:textId="77777777" w:rsidR="003877B1" w:rsidRPr="00D55675" w:rsidRDefault="003877B1" w:rsidP="003877B1">
      <w:pPr>
        <w:pStyle w:val="Heading4"/>
      </w:pPr>
      <w:r w:rsidRPr="00D55675">
        <w:t>Efficacy</w:t>
      </w:r>
    </w:p>
    <w:p w14:paraId="3F58CBD8" w14:textId="526E9F45" w:rsidR="003877B1" w:rsidRPr="003877B1" w:rsidRDefault="003877B1" w:rsidP="003877B1">
      <w:r w:rsidRPr="00435D4D">
        <w:t xml:space="preserve">There are no direct head-to-head or randomised controlled trials comparing the first-line use of imatinib and dasatinib in combination with chemotherapy for </w:t>
      </w:r>
      <w:r w:rsidR="0079571B" w:rsidRPr="002B11F8">
        <w:t>Ph</w:t>
      </w:r>
      <w:r w:rsidR="0079571B" w:rsidRPr="0079571B">
        <w:rPr>
          <w:vertAlign w:val="superscript"/>
        </w:rPr>
        <w:t>+</w:t>
      </w:r>
      <w:r w:rsidRPr="00435D4D">
        <w:t xml:space="preserve"> ALL.</w:t>
      </w:r>
      <w:r w:rsidR="00B90B8B">
        <w:t xml:space="preserve"> </w:t>
      </w:r>
      <w:r w:rsidRPr="00435D4D">
        <w:t xml:space="preserve">The current dossier presented a total of 426 patients with newly diagnosed adult </w:t>
      </w:r>
      <w:r w:rsidR="0079571B" w:rsidRPr="002B11F8">
        <w:t>Ph</w:t>
      </w:r>
      <w:r w:rsidR="0079571B" w:rsidRPr="0079571B">
        <w:rPr>
          <w:vertAlign w:val="superscript"/>
        </w:rPr>
        <w:t>+</w:t>
      </w:r>
      <w:r w:rsidRPr="00435D4D">
        <w:t xml:space="preserve"> ALL treated with dasatinib (integrated with chemotherapy) across 4 pivotal </w:t>
      </w:r>
      <w:r w:rsidR="00CA76AD">
        <w:t>Phase</w:t>
      </w:r>
      <w:r w:rsidRPr="00435D4D">
        <w:t xml:space="preserve"> II clinical trials and 7</w:t>
      </w:r>
      <w:r w:rsidR="0064206D">
        <w:t> </w:t>
      </w:r>
      <w:r w:rsidRPr="00435D4D">
        <w:t>supportive studies.</w:t>
      </w:r>
    </w:p>
    <w:p w14:paraId="4C90E5A0" w14:textId="77777777" w:rsidR="003877B1" w:rsidRPr="00D55675" w:rsidRDefault="003877B1" w:rsidP="003877B1">
      <w:r w:rsidRPr="00D55675">
        <w:t>For ease of discussion in this overview, the literature has been approached from the following four perspectives:</w:t>
      </w:r>
    </w:p>
    <w:p w14:paraId="6DC601E4" w14:textId="68A0C0F6" w:rsidR="003877B1" w:rsidRPr="00D55675" w:rsidRDefault="0064206D" w:rsidP="003877B1">
      <w:pPr>
        <w:pStyle w:val="ListBullet"/>
      </w:pPr>
      <w:r>
        <w:lastRenderedPageBreak/>
        <w:t>d</w:t>
      </w:r>
      <w:r w:rsidRPr="00D55675">
        <w:t>asat</w:t>
      </w:r>
      <w:r>
        <w:t xml:space="preserve">inib </w:t>
      </w:r>
      <w:r w:rsidR="00665FCA">
        <w:t>in comparison to imatinib;</w:t>
      </w:r>
    </w:p>
    <w:p w14:paraId="60436EB4" w14:textId="7A17837E" w:rsidR="003877B1" w:rsidRPr="00D55675" w:rsidRDefault="0064206D" w:rsidP="003877B1">
      <w:pPr>
        <w:pStyle w:val="ListBullet"/>
      </w:pPr>
      <w:r>
        <w:t>d</w:t>
      </w:r>
      <w:r w:rsidRPr="00D55675">
        <w:t xml:space="preserve">asatinib </w:t>
      </w:r>
      <w:r w:rsidR="003877B1" w:rsidRPr="00D55675">
        <w:t>in combinati</w:t>
      </w:r>
      <w:r w:rsidR="00665FCA">
        <w:t>on with high-dose chemotherapy;</w:t>
      </w:r>
    </w:p>
    <w:p w14:paraId="15FAD85E" w14:textId="731C68B7" w:rsidR="003877B1" w:rsidRPr="00D55675" w:rsidRDefault="0064206D" w:rsidP="003877B1">
      <w:pPr>
        <w:pStyle w:val="ListBullet"/>
      </w:pPr>
      <w:r>
        <w:t>d</w:t>
      </w:r>
      <w:r w:rsidRPr="00D55675">
        <w:t xml:space="preserve">asatinib </w:t>
      </w:r>
      <w:r w:rsidR="003877B1" w:rsidRPr="00D55675">
        <w:t>in combinat</w:t>
      </w:r>
      <w:r w:rsidR="00665FCA">
        <w:t>ion with low-dose chemotherapy;</w:t>
      </w:r>
      <w:r>
        <w:t xml:space="preserve"> and</w:t>
      </w:r>
    </w:p>
    <w:p w14:paraId="534B53FB" w14:textId="23EA1C8F" w:rsidR="003877B1" w:rsidRPr="003877B1" w:rsidRDefault="0064206D" w:rsidP="003877B1">
      <w:pPr>
        <w:pStyle w:val="ListBullet"/>
      </w:pPr>
      <w:r>
        <w:t>s</w:t>
      </w:r>
      <w:r w:rsidRPr="00D55675">
        <w:t xml:space="preserve">upportive </w:t>
      </w:r>
      <w:r w:rsidR="003877B1" w:rsidRPr="00D55675">
        <w:t>efficacy studies.</w:t>
      </w:r>
    </w:p>
    <w:p w14:paraId="0BE1A91E" w14:textId="77777777" w:rsidR="003877B1" w:rsidRPr="00D55675" w:rsidRDefault="003877B1" w:rsidP="003877B1">
      <w:pPr>
        <w:pStyle w:val="Heading5"/>
      </w:pPr>
      <w:r w:rsidRPr="00D55675">
        <w:t>Dasatinib in comparison to imatinib</w:t>
      </w:r>
    </w:p>
    <w:p w14:paraId="6B218AB6" w14:textId="30192608" w:rsidR="003877B1" w:rsidRPr="00B26270" w:rsidRDefault="003877B1" w:rsidP="003877B1">
      <w:r w:rsidRPr="00D55675">
        <w:t xml:space="preserve">One pivotal </w:t>
      </w:r>
      <w:r w:rsidRPr="00665FCA">
        <w:t xml:space="preserve">study (Ravandi </w:t>
      </w:r>
      <w:r w:rsidR="0064206D">
        <w:t xml:space="preserve">et al., </w:t>
      </w:r>
      <w:r w:rsidRPr="00665FCA">
        <w:t>2013)</w:t>
      </w:r>
      <w:r w:rsidR="0064206D">
        <w:t>;</w:t>
      </w:r>
      <w:r w:rsidR="00665FCA" w:rsidRPr="00665FCA">
        <w:rPr>
          <w:vertAlign w:val="superscript"/>
        </w:rPr>
        <w:fldChar w:fldCharType="begin"/>
      </w:r>
      <w:r w:rsidR="00665FCA" w:rsidRPr="00665FCA">
        <w:rPr>
          <w:vertAlign w:val="superscript"/>
        </w:rPr>
        <w:instrText xml:space="preserve"> NOTEREF _Ref531102992 \h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5</w:t>
      </w:r>
      <w:r w:rsidR="00665FCA" w:rsidRPr="00665FCA">
        <w:rPr>
          <w:vertAlign w:val="superscript"/>
        </w:rPr>
        <w:fldChar w:fldCharType="end"/>
      </w:r>
      <w:r w:rsidRPr="00D55675">
        <w:t xml:space="preserve"> compared patients treated with chemotherapy and dasatinib with historical data of chemotherapy and imatinib. The full results from these two trials have also been separately published and are discussed below.</w:t>
      </w:r>
      <w:r w:rsidR="00665FCA" w:rsidRPr="00665FCA">
        <w:rPr>
          <w:vertAlign w:val="superscript"/>
        </w:rPr>
        <w:fldChar w:fldCharType="begin"/>
      </w:r>
      <w:r w:rsidR="00665FCA" w:rsidRPr="00665FCA">
        <w:rPr>
          <w:vertAlign w:val="superscript"/>
        </w:rPr>
        <w:instrText xml:space="preserve"> NOTEREF _Ref531103005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6</w:t>
      </w:r>
      <w:r w:rsidR="00665FCA" w:rsidRPr="00665FCA">
        <w:rPr>
          <w:vertAlign w:val="superscript"/>
        </w:rPr>
        <w:fldChar w:fldCharType="end"/>
      </w:r>
      <w:r w:rsidR="0064206D">
        <w:rPr>
          <w:vertAlign w:val="superscript"/>
        </w:rPr>
        <w:t>,</w:t>
      </w:r>
      <w:bookmarkStart w:id="113" w:name="_Ref531176987"/>
      <w:r w:rsidR="00665FCA">
        <w:rPr>
          <w:rStyle w:val="FootnoteReference"/>
        </w:rPr>
        <w:footnoteReference w:id="26"/>
      </w:r>
      <w:bookmarkEnd w:id="113"/>
      <w:r w:rsidR="00665FCA">
        <w:t xml:space="preserve"> </w:t>
      </w:r>
      <w:r w:rsidRPr="00D55675">
        <w:t xml:space="preserve">For context, it is important to note that the Ravandi </w:t>
      </w:r>
      <w:r w:rsidR="0064206D">
        <w:t>et al., (</w:t>
      </w:r>
      <w:r w:rsidRPr="00D55675">
        <w:t>2013</w:t>
      </w:r>
      <w:r w:rsidR="0064206D">
        <w:t>)</w:t>
      </w:r>
      <w:r w:rsidRPr="00D55675">
        <w:t xml:space="preserve"> study was focused on the usefulness of MRD detection as a predictor of outcome for patients with </w:t>
      </w:r>
      <w:r w:rsidR="0079571B" w:rsidRPr="002B11F8">
        <w:t>Ph</w:t>
      </w:r>
      <w:r w:rsidR="0079571B" w:rsidRPr="0079571B">
        <w:rPr>
          <w:vertAlign w:val="superscript"/>
        </w:rPr>
        <w:t>+</w:t>
      </w:r>
      <w:r w:rsidRPr="00D55675">
        <w:t xml:space="preserve"> ALL treated with tyrosine kinase inhibitors plus chemotherapy, who do </w:t>
      </w:r>
      <w:r w:rsidR="00665FCA">
        <w:t>not</w:t>
      </w:r>
      <w:r w:rsidRPr="00D55675">
        <w:t xml:space="preserve"> </w:t>
      </w:r>
      <w:r w:rsidR="00166605" w:rsidRPr="00D55675">
        <w:t xml:space="preserve">receive </w:t>
      </w:r>
      <w:r w:rsidR="00166605">
        <w:t>allogeneic stem cell transplant</w:t>
      </w:r>
      <w:r w:rsidR="00166605" w:rsidRPr="00D55675">
        <w:t xml:space="preserve"> </w:t>
      </w:r>
      <w:r w:rsidR="00166605">
        <w:t>(</w:t>
      </w:r>
      <w:r w:rsidRPr="00D55675">
        <w:t>ASCT</w:t>
      </w:r>
      <w:r w:rsidR="00166605">
        <w:t>)</w:t>
      </w:r>
      <w:r w:rsidRPr="00D55675">
        <w:t xml:space="preserve"> after first CR. This was a </w:t>
      </w:r>
      <w:r w:rsidR="00CA76AD">
        <w:t>Phase</w:t>
      </w:r>
      <w:r w:rsidRPr="00D55675">
        <w:t xml:space="preserve"> </w:t>
      </w:r>
      <w:r w:rsidR="00665FCA">
        <w:t>II</w:t>
      </w:r>
      <w:r w:rsidRPr="00D55675">
        <w:t xml:space="preserve"> single centre study using imatinib as a historical control via sequential protocols for each TK</w:t>
      </w:r>
      <w:r w:rsidR="0064206D">
        <w:t xml:space="preserve"> inhibitor</w:t>
      </w:r>
      <w:r w:rsidRPr="00D55675">
        <w:t>. In tot</w:t>
      </w:r>
      <w:r w:rsidR="00665FCA">
        <w:t xml:space="preserve">al, 122 adult patients (aged 21 to </w:t>
      </w:r>
      <w:r w:rsidRPr="00D55675">
        <w:t xml:space="preserve">84 years) with newly diagnosed </w:t>
      </w:r>
      <w:r w:rsidR="0079571B" w:rsidRPr="002B11F8">
        <w:t>Ph</w:t>
      </w:r>
      <w:r w:rsidR="0079571B" w:rsidRPr="0079571B">
        <w:rPr>
          <w:vertAlign w:val="superscript"/>
        </w:rPr>
        <w:t>+</w:t>
      </w:r>
      <w:r w:rsidRPr="00D55675">
        <w:t xml:space="preserve"> ALL were treated with one of two front line regimens combining </w:t>
      </w:r>
      <w:r w:rsidR="00665FCA">
        <w:t>HCVAD with either imatinib (n = </w:t>
      </w:r>
      <w:r w:rsidRPr="00D55675">
        <w:t xml:space="preserve">54) or dasatinib (n = 68). Of the 76 patients who did not receive an </w:t>
      </w:r>
      <w:r w:rsidR="00F23F71">
        <w:t>ASCT</w:t>
      </w:r>
      <w:r w:rsidRPr="00D55675">
        <w:t xml:space="preserve"> in first CR, there was an overall trend for improved survival among the patients treated with dasatinib,</w:t>
      </w:r>
      <w:r w:rsidRPr="00F372D0">
        <w:rPr>
          <w:rFonts w:cs="Calibri"/>
          <w:bCs/>
        </w:rPr>
        <w:t xml:space="preserve"> </w:t>
      </w:r>
      <w:r w:rsidRPr="00B26270">
        <w:t>however, this was not statistically significant (Ravandi</w:t>
      </w:r>
      <w:r w:rsidR="0064206D">
        <w:t xml:space="preserve"> et al., (</w:t>
      </w:r>
      <w:r w:rsidRPr="00B26270">
        <w:t>2013</w:t>
      </w:r>
      <w:r w:rsidR="0064206D">
        <w:t>)</w:t>
      </w:r>
      <w:r w:rsidRPr="00B26270">
        <w:t xml:space="preserve"> page 1216).</w:t>
      </w:r>
      <w:r w:rsidR="00665FCA" w:rsidRPr="00665FCA">
        <w:rPr>
          <w:vertAlign w:val="superscript"/>
        </w:rPr>
        <w:fldChar w:fldCharType="begin"/>
      </w:r>
      <w:r w:rsidR="00665FCA" w:rsidRPr="00665FCA">
        <w:rPr>
          <w:vertAlign w:val="superscript"/>
        </w:rPr>
        <w:instrText xml:space="preserve"> NOTEREF _Ref531102992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5</w:t>
      </w:r>
      <w:r w:rsidR="00665FCA" w:rsidRPr="00665FCA">
        <w:rPr>
          <w:vertAlign w:val="superscript"/>
        </w:rPr>
        <w:fldChar w:fldCharType="end"/>
      </w:r>
      <w:r w:rsidRPr="00B26270">
        <w:t xml:space="preserve"> Achieving </w:t>
      </w:r>
      <w:r w:rsidR="00166605">
        <w:t>major molecular response</w:t>
      </w:r>
      <w:r w:rsidR="00166605" w:rsidRPr="00B26270">
        <w:t xml:space="preserve"> </w:t>
      </w:r>
      <w:r w:rsidR="00166605">
        <w:t>(</w:t>
      </w:r>
      <w:r w:rsidRPr="00B26270">
        <w:t>MMR</w:t>
      </w:r>
      <w:r w:rsidR="00166605">
        <w:t>)</w:t>
      </w:r>
      <w:r w:rsidRPr="00B26270">
        <w:t xml:space="preserve"> or better was associated with longer EFS (HR 0.41; p=0.002).</w:t>
      </w:r>
    </w:p>
    <w:p w14:paraId="00D34568" w14:textId="69477B91" w:rsidR="003877B1" w:rsidRDefault="003877B1" w:rsidP="003877B1">
      <w:pPr>
        <w:pStyle w:val="FigureTitle"/>
      </w:pPr>
      <w:r w:rsidRPr="00B26270">
        <w:lastRenderedPageBreak/>
        <w:t xml:space="preserve">Figure </w:t>
      </w:r>
      <w:fldSimple w:instr=" SEQ Figure \* ARABIC ">
        <w:r w:rsidRPr="00B26270">
          <w:t>1</w:t>
        </w:r>
      </w:fldSimple>
      <w:r w:rsidRPr="00B26270">
        <w:t>: Comparison of outcomes for the patients treated on the 2 reg</w:t>
      </w:r>
      <w:r w:rsidR="00665FCA">
        <w:t>imens. (A)</w:t>
      </w:r>
      <w:r w:rsidR="0064206D">
        <w:t> </w:t>
      </w:r>
      <w:r w:rsidR="00166605">
        <w:t xml:space="preserve">Complete </w:t>
      </w:r>
      <w:r w:rsidR="0064206D">
        <w:t>remission duration;</w:t>
      </w:r>
      <w:r w:rsidR="00665FCA">
        <w:t xml:space="preserve"> (B) </w:t>
      </w:r>
      <w:r w:rsidR="00166605">
        <w:t xml:space="preserve">Disease-free </w:t>
      </w:r>
      <w:r w:rsidR="0064206D">
        <w:t>survival;</w:t>
      </w:r>
      <w:r w:rsidR="00665FCA">
        <w:t xml:space="preserve"> (C) O</w:t>
      </w:r>
      <w:r w:rsidR="0064206D">
        <w:t>verall survial</w:t>
      </w:r>
    </w:p>
    <w:p w14:paraId="441A5FCD" w14:textId="77777777" w:rsidR="003877B1" w:rsidRPr="003877B1" w:rsidRDefault="003877B1" w:rsidP="003877B1">
      <w:r w:rsidRPr="00B26270">
        <w:rPr>
          <w:rFonts w:asciiTheme="minorHAnsi" w:hAnsiTheme="minorHAnsi"/>
          <w:noProof/>
          <w:lang w:eastAsia="en-AU"/>
        </w:rPr>
        <w:drawing>
          <wp:inline distT="0" distB="0" distL="0" distR="0" wp14:anchorId="3CEBABCD" wp14:editId="77B6C754">
            <wp:extent cx="2220686" cy="4818611"/>
            <wp:effectExtent l="0" t="0" r="8255" b="1270"/>
            <wp:docPr id="5" name="Picture 5" descr="Comparison of outcomes for the patients treated on the 2 regimens. (A) Complete remission duration; (B) Disease-free survival; (C) Overall sur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2562" cy="4844381"/>
                    </a:xfrm>
                    <a:prstGeom prst="rect">
                      <a:avLst/>
                    </a:prstGeom>
                    <a:noFill/>
                    <a:ln>
                      <a:noFill/>
                    </a:ln>
                  </pic:spPr>
                </pic:pic>
              </a:graphicData>
            </a:graphic>
          </wp:inline>
        </w:drawing>
      </w:r>
    </w:p>
    <w:p w14:paraId="42DA1E14" w14:textId="77777777" w:rsidR="003877B1" w:rsidRPr="00B26270" w:rsidRDefault="00665FCA" w:rsidP="003877B1">
      <w:r>
        <w:t xml:space="preserve">The Delegate </w:t>
      </w:r>
      <w:r w:rsidR="003877B1" w:rsidRPr="00B26270">
        <w:t>agree</w:t>
      </w:r>
      <w:r>
        <w:t>d</w:t>
      </w:r>
      <w:r w:rsidR="003877B1" w:rsidRPr="00B26270">
        <w:t xml:space="preserve"> with the evaluator that while this study focussed primarily upon whether MMR or negative status for MRD as measured by </w:t>
      </w:r>
      <w:r w:rsidR="00166605">
        <w:t>multi-parameter flow cytometry</w:t>
      </w:r>
      <w:r w:rsidR="00166605" w:rsidRPr="00B26270">
        <w:t xml:space="preserve"> </w:t>
      </w:r>
      <w:r w:rsidR="00166605">
        <w:t>(</w:t>
      </w:r>
      <w:r w:rsidR="003877B1" w:rsidRPr="00B26270">
        <w:t>MFC</w:t>
      </w:r>
      <w:r w:rsidR="00166605">
        <w:t>)</w:t>
      </w:r>
      <w:r w:rsidR="003877B1" w:rsidRPr="00B26270">
        <w:t xml:space="preserve"> and </w:t>
      </w:r>
      <w:r w:rsidR="00166605">
        <w:t>immunoglobulin heavy chain polymerase chain reaction</w:t>
      </w:r>
      <w:r w:rsidR="00166605" w:rsidRPr="00B26270">
        <w:t xml:space="preserve"> </w:t>
      </w:r>
      <w:r w:rsidR="00166605">
        <w:t>(</w:t>
      </w:r>
      <w:r w:rsidR="003877B1" w:rsidRPr="00B26270">
        <w:t>IGH PCR</w:t>
      </w:r>
      <w:r w:rsidR="00166605">
        <w:t>)</w:t>
      </w:r>
      <w:r w:rsidR="003877B1" w:rsidRPr="00B26270">
        <w:t xml:space="preserve"> could predict outcome in a small population without stem cell transplant, for the purposes of this submission it provides data for 48 patients who responded to a combination of </w:t>
      </w:r>
      <w:r>
        <w:t>H</w:t>
      </w:r>
      <w:r w:rsidR="003877B1" w:rsidRPr="00B26270">
        <w:t xml:space="preserve">CVAD and dasatinib therapy in first-line treatment of </w:t>
      </w:r>
      <w:r w:rsidR="0079571B" w:rsidRPr="002B11F8">
        <w:t>Ph</w:t>
      </w:r>
      <w:r w:rsidR="0079571B" w:rsidRPr="0079571B">
        <w:rPr>
          <w:vertAlign w:val="superscript"/>
        </w:rPr>
        <w:t>+</w:t>
      </w:r>
      <w:r w:rsidR="003877B1" w:rsidRPr="00B26270">
        <w:t xml:space="preserve"> ALL. It also demonstrates comparable outcomes compared with imatinib, and is one of the few studies presented in the dossier with a comparator.</w:t>
      </w:r>
    </w:p>
    <w:p w14:paraId="44C0CC11" w14:textId="77777777" w:rsidR="003877B1" w:rsidRPr="00B26270" w:rsidRDefault="003877B1" w:rsidP="003877B1">
      <w:pPr>
        <w:pStyle w:val="Heading5"/>
      </w:pPr>
      <w:r w:rsidRPr="00B26270">
        <w:t>Das</w:t>
      </w:r>
      <w:r w:rsidR="00665FCA">
        <w:t xml:space="preserve">atinib in combination with high </w:t>
      </w:r>
      <w:r w:rsidRPr="00B26270">
        <w:t>dose chemotherapy</w:t>
      </w:r>
    </w:p>
    <w:p w14:paraId="33618A1C" w14:textId="603DBBB9" w:rsidR="003877B1" w:rsidRPr="00F372D0" w:rsidRDefault="003877B1" w:rsidP="003877B1">
      <w:pPr>
        <w:rPr>
          <w:rFonts w:cs="Calibri"/>
          <w:bCs/>
        </w:rPr>
      </w:pPr>
      <w:r w:rsidRPr="00B26270">
        <w:t xml:space="preserve">Two pivotal studies investigated dasatinib for first line treatment of </w:t>
      </w:r>
      <w:r w:rsidR="0079571B" w:rsidRPr="002B11F8">
        <w:t>Ph</w:t>
      </w:r>
      <w:r w:rsidR="0079571B" w:rsidRPr="0079571B">
        <w:rPr>
          <w:vertAlign w:val="superscript"/>
        </w:rPr>
        <w:t>+</w:t>
      </w:r>
      <w:r w:rsidRPr="00B26270">
        <w:t xml:space="preserve"> ALL with high dose chemotherapy: Ravandi </w:t>
      </w:r>
      <w:r w:rsidRPr="00665FCA">
        <w:t>et al</w:t>
      </w:r>
      <w:r w:rsidR="0064206D">
        <w:t>.,</w:t>
      </w:r>
      <w:r w:rsidRPr="00B26270">
        <w:t xml:space="preserve"> (2010</w:t>
      </w:r>
      <w:r w:rsidR="00F64A85">
        <w:t>,</w:t>
      </w:r>
      <w:r w:rsidR="00F64A85" w:rsidRPr="00B26270">
        <w:t xml:space="preserve"> </w:t>
      </w:r>
      <w:r w:rsidRPr="00B26270">
        <w:t>2013</w:t>
      </w:r>
      <w:r w:rsidR="00F64A85">
        <w:t>,</w:t>
      </w:r>
      <w:r w:rsidRPr="00B26270">
        <w:t xml:space="preserve"> 2015) and Yoon </w:t>
      </w:r>
      <w:r w:rsidRPr="00665FCA">
        <w:t>et al.</w:t>
      </w:r>
      <w:r w:rsidR="00665FCA" w:rsidRPr="00665FCA">
        <w:rPr>
          <w:vertAlign w:val="superscript"/>
        </w:rPr>
        <w:fldChar w:fldCharType="begin"/>
      </w:r>
      <w:r w:rsidR="00665FCA" w:rsidRPr="00665FCA">
        <w:rPr>
          <w:vertAlign w:val="superscript"/>
        </w:rPr>
        <w:instrText xml:space="preserve"> NOTEREF _Ref531102850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4</w:t>
      </w:r>
      <w:r w:rsidR="00665FCA" w:rsidRPr="00665FCA">
        <w:rPr>
          <w:vertAlign w:val="superscript"/>
        </w:rPr>
        <w:fldChar w:fldCharType="end"/>
      </w:r>
      <w:r w:rsidR="00665FCA" w:rsidRPr="00665FCA">
        <w:rPr>
          <w:vertAlign w:val="superscript"/>
        </w:rPr>
        <w:t xml:space="preserve">, </w:t>
      </w:r>
      <w:r w:rsidR="00665FCA" w:rsidRPr="00665FCA">
        <w:rPr>
          <w:vertAlign w:val="superscript"/>
        </w:rPr>
        <w:fldChar w:fldCharType="begin"/>
      </w:r>
      <w:r w:rsidR="00665FCA" w:rsidRPr="00665FCA">
        <w:rPr>
          <w:vertAlign w:val="superscript"/>
        </w:rPr>
        <w:instrText xml:space="preserve"> NOTEREF _Ref531102992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5</w:t>
      </w:r>
      <w:r w:rsidR="00665FCA" w:rsidRPr="00665FCA">
        <w:rPr>
          <w:vertAlign w:val="superscript"/>
        </w:rPr>
        <w:fldChar w:fldCharType="end"/>
      </w:r>
      <w:r w:rsidR="00665FCA" w:rsidRPr="00665FCA">
        <w:rPr>
          <w:vertAlign w:val="superscript"/>
        </w:rPr>
        <w:t xml:space="preserve">, </w:t>
      </w:r>
      <w:r w:rsidR="00665FCA" w:rsidRPr="00665FCA">
        <w:rPr>
          <w:vertAlign w:val="superscript"/>
        </w:rPr>
        <w:fldChar w:fldCharType="begin"/>
      </w:r>
      <w:r w:rsidR="00665FCA" w:rsidRPr="00665FCA">
        <w:rPr>
          <w:vertAlign w:val="superscript"/>
        </w:rPr>
        <w:instrText xml:space="preserve"> NOTEREF _Ref531103005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6</w:t>
      </w:r>
      <w:r w:rsidR="00665FCA" w:rsidRPr="00665FCA">
        <w:rPr>
          <w:vertAlign w:val="superscript"/>
        </w:rPr>
        <w:fldChar w:fldCharType="end"/>
      </w:r>
      <w:r w:rsidR="00665FCA" w:rsidRPr="00665FCA">
        <w:rPr>
          <w:vertAlign w:val="superscript"/>
        </w:rPr>
        <w:t>,</w:t>
      </w:r>
      <w:r w:rsidR="00665FCA" w:rsidRPr="00665FCA">
        <w:rPr>
          <w:vertAlign w:val="superscript"/>
        </w:rPr>
        <w:fldChar w:fldCharType="begin"/>
      </w:r>
      <w:r w:rsidR="00665FCA" w:rsidRPr="00665FCA">
        <w:rPr>
          <w:vertAlign w:val="superscript"/>
        </w:rPr>
        <w:instrText xml:space="preserve"> NOTEREF _Ref531103040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7</w:t>
      </w:r>
      <w:r w:rsidR="00665FCA" w:rsidRPr="00665FCA">
        <w:rPr>
          <w:vertAlign w:val="superscript"/>
        </w:rPr>
        <w:fldChar w:fldCharType="end"/>
      </w:r>
      <w:r w:rsidRPr="00B26270">
        <w:t xml:space="preserve"> A total of 123</w:t>
      </w:r>
      <w:r w:rsidR="00F64A85">
        <w:t> </w:t>
      </w:r>
      <w:r w:rsidRPr="00B26270">
        <w:t>patents were treated across these studies with media</w:t>
      </w:r>
      <w:r w:rsidR="00665FCA">
        <w:t xml:space="preserve">n follow up 67 months (range 33 to 97 months) and 54 months (40 to </w:t>
      </w:r>
      <w:r w:rsidRPr="00B26270">
        <w:t xml:space="preserve">63 months) respectively. The administration of </w:t>
      </w:r>
      <w:r w:rsidR="00F64A85">
        <w:t>d</w:t>
      </w:r>
      <w:r w:rsidR="00F64A85" w:rsidRPr="00B26270">
        <w:t xml:space="preserve">asatinib </w:t>
      </w:r>
      <w:r w:rsidRPr="00B26270">
        <w:t xml:space="preserve">was similar across both studies, with dasatinib administered on selected </w:t>
      </w:r>
      <w:r w:rsidR="00665FCA">
        <w:t>days initially (100 mg daily on Days 1 to 14 of C</w:t>
      </w:r>
      <w:r w:rsidRPr="00B26270">
        <w:t>ycle 1) then contin</w:t>
      </w:r>
      <w:r w:rsidR="00665FCA">
        <w:t xml:space="preserve">uous thereafter. </w:t>
      </w:r>
      <w:r w:rsidR="00F64A85">
        <w:t xml:space="preserve">Study </w:t>
      </w:r>
      <w:r w:rsidR="00665FCA">
        <w:t xml:space="preserve">ALL5 </w:t>
      </w:r>
      <w:r w:rsidRPr="00B26270">
        <w:t>provides additional data supporting dasatinib in combination with high-dose</w:t>
      </w:r>
      <w:r w:rsidRPr="007C77E3">
        <w:rPr>
          <w:rFonts w:cs="Calibri"/>
          <w:bCs/>
        </w:rPr>
        <w:t xml:space="preserve"> chemotherapy</w:t>
      </w:r>
      <w:r>
        <w:rPr>
          <w:rFonts w:cs="Calibri"/>
          <w:bCs/>
        </w:rPr>
        <w:t>.</w:t>
      </w:r>
      <w:r w:rsidR="00665FCA" w:rsidRPr="00665FCA">
        <w:rPr>
          <w:rFonts w:cs="Calibri"/>
          <w:bCs/>
          <w:vertAlign w:val="superscript"/>
        </w:rPr>
        <w:fldChar w:fldCharType="begin"/>
      </w:r>
      <w:r w:rsidR="00665FCA" w:rsidRPr="00665FCA">
        <w:rPr>
          <w:rFonts w:cs="Calibri"/>
          <w:bCs/>
          <w:vertAlign w:val="superscript"/>
        </w:rPr>
        <w:instrText xml:space="preserve"> NOTEREF _Ref531103150 \h </w:instrText>
      </w:r>
      <w:r w:rsidR="00665FCA">
        <w:rPr>
          <w:rFonts w:cs="Calibri"/>
          <w:bCs/>
          <w:vertAlign w:val="superscript"/>
        </w:rPr>
        <w:instrText xml:space="preserve"> \* MERGEFORMAT </w:instrText>
      </w:r>
      <w:r w:rsidR="00665FCA" w:rsidRPr="00665FCA">
        <w:rPr>
          <w:rFonts w:cs="Calibri"/>
          <w:bCs/>
          <w:vertAlign w:val="superscript"/>
        </w:rPr>
      </w:r>
      <w:r w:rsidR="00665FCA" w:rsidRPr="00665FCA">
        <w:rPr>
          <w:rFonts w:cs="Calibri"/>
          <w:bCs/>
          <w:vertAlign w:val="superscript"/>
        </w:rPr>
        <w:fldChar w:fldCharType="separate"/>
      </w:r>
      <w:r w:rsidR="00665FCA" w:rsidRPr="00665FCA">
        <w:rPr>
          <w:rFonts w:cs="Calibri"/>
          <w:bCs/>
          <w:vertAlign w:val="superscript"/>
        </w:rPr>
        <w:t>10</w:t>
      </w:r>
      <w:r w:rsidR="00665FCA" w:rsidRPr="00665FCA">
        <w:rPr>
          <w:rFonts w:cs="Calibri"/>
          <w:bCs/>
          <w:vertAlign w:val="superscript"/>
        </w:rPr>
        <w:fldChar w:fldCharType="end"/>
      </w:r>
      <w:r>
        <w:rPr>
          <w:rFonts w:cs="Calibri"/>
          <w:bCs/>
        </w:rPr>
        <w:t xml:space="preserve"> Key treatment points a</w:t>
      </w:r>
      <w:r w:rsidR="00665FCA">
        <w:rPr>
          <w:rFonts w:cs="Calibri"/>
          <w:bCs/>
        </w:rPr>
        <w:t>nd results are discussed below.</w:t>
      </w:r>
    </w:p>
    <w:p w14:paraId="3FFC1728" w14:textId="5518EE8B" w:rsidR="003877B1" w:rsidRPr="00F372D0" w:rsidRDefault="003877B1" w:rsidP="003877B1">
      <w:pPr>
        <w:rPr>
          <w:rFonts w:cs="Calibri"/>
          <w:bCs/>
        </w:rPr>
      </w:pPr>
      <w:r w:rsidRPr="00F372D0">
        <w:rPr>
          <w:rFonts w:cs="Calibri"/>
          <w:bCs/>
        </w:rPr>
        <w:t xml:space="preserve">Ravandi </w:t>
      </w:r>
      <w:r w:rsidR="00F64A85">
        <w:rPr>
          <w:rFonts w:cs="Calibri"/>
          <w:bCs/>
        </w:rPr>
        <w:t>et al., (</w:t>
      </w:r>
      <w:r w:rsidRPr="00F372D0">
        <w:rPr>
          <w:rFonts w:cs="Calibri"/>
          <w:bCs/>
        </w:rPr>
        <w:t>2015</w:t>
      </w:r>
      <w:r w:rsidR="00F64A85">
        <w:rPr>
          <w:rFonts w:cs="Calibri"/>
          <w:bCs/>
        </w:rPr>
        <w:t>)</w:t>
      </w:r>
      <w:r w:rsidRPr="00F372D0">
        <w:rPr>
          <w:rFonts w:cs="Calibri"/>
          <w:bCs/>
        </w:rPr>
        <w:t xml:space="preserve"> was a </w:t>
      </w:r>
      <w:r w:rsidR="00CA76AD">
        <w:rPr>
          <w:rFonts w:cs="Calibri"/>
          <w:bCs/>
        </w:rPr>
        <w:t>Phase</w:t>
      </w:r>
      <w:r w:rsidRPr="00F372D0">
        <w:rPr>
          <w:rFonts w:cs="Calibri"/>
          <w:bCs/>
        </w:rPr>
        <w:t xml:space="preserve"> II study that reported on a total of 72 newly diagnosed adult </w:t>
      </w:r>
      <w:r w:rsidR="0079571B" w:rsidRPr="002B11F8">
        <w:t>Ph</w:t>
      </w:r>
      <w:r w:rsidR="0079571B" w:rsidRPr="0079571B">
        <w:rPr>
          <w:vertAlign w:val="superscript"/>
        </w:rPr>
        <w:t>+</w:t>
      </w:r>
      <w:r w:rsidRPr="00F372D0">
        <w:rPr>
          <w:rFonts w:cs="Calibri"/>
          <w:bCs/>
        </w:rPr>
        <w:t xml:space="preserve"> ALL patients.</w:t>
      </w:r>
      <w:r w:rsidR="00665FCA" w:rsidRPr="00665FCA">
        <w:rPr>
          <w:rFonts w:cs="Calibri"/>
          <w:bCs/>
          <w:vertAlign w:val="superscript"/>
        </w:rPr>
        <w:fldChar w:fldCharType="begin"/>
      </w:r>
      <w:r w:rsidR="00665FCA" w:rsidRPr="00665FCA">
        <w:rPr>
          <w:rFonts w:cs="Calibri"/>
          <w:bCs/>
          <w:vertAlign w:val="superscript"/>
        </w:rPr>
        <w:instrText xml:space="preserve"> NOTEREF _Ref531103005 \h </w:instrText>
      </w:r>
      <w:r w:rsidR="00665FCA">
        <w:rPr>
          <w:rFonts w:cs="Calibri"/>
          <w:bCs/>
          <w:vertAlign w:val="superscript"/>
        </w:rPr>
        <w:instrText xml:space="preserve"> \* MERGEFORMAT </w:instrText>
      </w:r>
      <w:r w:rsidR="00665FCA" w:rsidRPr="00665FCA">
        <w:rPr>
          <w:rFonts w:cs="Calibri"/>
          <w:bCs/>
          <w:vertAlign w:val="superscript"/>
        </w:rPr>
      </w:r>
      <w:r w:rsidR="00665FCA" w:rsidRPr="00665FCA">
        <w:rPr>
          <w:rFonts w:cs="Calibri"/>
          <w:bCs/>
          <w:vertAlign w:val="superscript"/>
        </w:rPr>
        <w:fldChar w:fldCharType="separate"/>
      </w:r>
      <w:r w:rsidR="00665FCA" w:rsidRPr="00665FCA">
        <w:rPr>
          <w:rFonts w:cs="Calibri"/>
          <w:bCs/>
          <w:vertAlign w:val="superscript"/>
        </w:rPr>
        <w:t>6</w:t>
      </w:r>
      <w:r w:rsidR="00665FCA" w:rsidRPr="00665FCA">
        <w:rPr>
          <w:rFonts w:cs="Calibri"/>
          <w:bCs/>
          <w:vertAlign w:val="superscript"/>
        </w:rPr>
        <w:fldChar w:fldCharType="end"/>
      </w:r>
      <w:r w:rsidRPr="00F372D0">
        <w:rPr>
          <w:rFonts w:cs="Calibri"/>
          <w:bCs/>
        </w:rPr>
        <w:t xml:space="preserve"> Dasatinib 100</w:t>
      </w:r>
      <w:r w:rsidR="00665FCA">
        <w:rPr>
          <w:rFonts w:cs="Calibri"/>
          <w:bCs/>
        </w:rPr>
        <w:t xml:space="preserve"> mg</w:t>
      </w:r>
      <w:r w:rsidRPr="00F372D0">
        <w:rPr>
          <w:rFonts w:cs="Calibri"/>
          <w:bCs/>
        </w:rPr>
        <w:t xml:space="preserve"> daily (administered as 50</w:t>
      </w:r>
      <w:r w:rsidR="00665FCA">
        <w:rPr>
          <w:rFonts w:cs="Calibri"/>
          <w:bCs/>
        </w:rPr>
        <w:t xml:space="preserve"> mg</w:t>
      </w:r>
      <w:r w:rsidRPr="00F372D0">
        <w:rPr>
          <w:rFonts w:cs="Calibri"/>
          <w:bCs/>
        </w:rPr>
        <w:t xml:space="preserve"> twice daily doses or 100</w:t>
      </w:r>
      <w:r w:rsidR="00665FCA">
        <w:rPr>
          <w:rFonts w:cs="Calibri"/>
          <w:bCs/>
        </w:rPr>
        <w:t xml:space="preserve"> mg daily) </w:t>
      </w:r>
      <w:r w:rsidR="00F64A85">
        <w:rPr>
          <w:rFonts w:cs="Calibri"/>
          <w:bCs/>
        </w:rPr>
        <w:t xml:space="preserve">was </w:t>
      </w:r>
      <w:r w:rsidR="00665FCA">
        <w:rPr>
          <w:rFonts w:cs="Calibri"/>
          <w:bCs/>
        </w:rPr>
        <w:t xml:space="preserve">administered on Days 1 to 14 of each of the 8 </w:t>
      </w:r>
      <w:r w:rsidR="00F64A85">
        <w:rPr>
          <w:rFonts w:cs="Calibri"/>
          <w:bCs/>
        </w:rPr>
        <w:t>c</w:t>
      </w:r>
      <w:r w:rsidR="00F64A85" w:rsidRPr="00F372D0">
        <w:rPr>
          <w:rFonts w:cs="Calibri"/>
          <w:bCs/>
        </w:rPr>
        <w:t xml:space="preserve">ycles </w:t>
      </w:r>
      <w:r w:rsidRPr="00F372D0">
        <w:rPr>
          <w:rFonts w:cs="Calibri"/>
          <w:bCs/>
        </w:rPr>
        <w:t xml:space="preserve">of alternating </w:t>
      </w:r>
      <w:r w:rsidRPr="00F372D0">
        <w:rPr>
          <w:rFonts w:cs="Calibri"/>
          <w:bCs/>
        </w:rPr>
        <w:lastRenderedPageBreak/>
        <w:t>H</w:t>
      </w:r>
      <w:r w:rsidR="00665FCA">
        <w:rPr>
          <w:rFonts w:cs="Calibri"/>
          <w:bCs/>
        </w:rPr>
        <w:t xml:space="preserve">CVAD and high </w:t>
      </w:r>
      <w:r w:rsidRPr="00F372D0">
        <w:rPr>
          <w:rFonts w:cs="Calibri"/>
          <w:bCs/>
        </w:rPr>
        <w:t>dose cytarabine and methotrexate (induction/consolidation cycles). After the enrolment of the first 42 patients, the protocol was amended to administer 70</w:t>
      </w:r>
      <w:r w:rsidR="00665FCA">
        <w:rPr>
          <w:rFonts w:cs="Calibri"/>
          <w:bCs/>
        </w:rPr>
        <w:t xml:space="preserve"> mg</w:t>
      </w:r>
      <w:r w:rsidRPr="00F372D0">
        <w:rPr>
          <w:rFonts w:cs="Calibri"/>
          <w:bCs/>
        </w:rPr>
        <w:t xml:space="preserve"> daily continuously from the second cycle. Overall, 69 of 72 patients (96%) </w:t>
      </w:r>
      <w:r>
        <w:rPr>
          <w:rFonts w:cs="Calibri"/>
          <w:bCs/>
        </w:rPr>
        <w:t>achieved CR</w:t>
      </w:r>
      <w:r>
        <w:rPr>
          <w:rStyle w:val="FootnoteReference"/>
          <w:rFonts w:asciiTheme="minorHAnsi" w:hAnsiTheme="minorHAnsi" w:cs="Calibri"/>
          <w:bCs/>
        </w:rPr>
        <w:footnoteReference w:id="27"/>
      </w:r>
      <w:r>
        <w:rPr>
          <w:rFonts w:cs="Calibri"/>
          <w:bCs/>
        </w:rPr>
        <w:t xml:space="preserve">. </w:t>
      </w:r>
      <w:r w:rsidRPr="00F372D0">
        <w:rPr>
          <w:rFonts w:cs="Calibri"/>
          <w:bCs/>
        </w:rPr>
        <w:t>Of these, 57 (83%) achieved cytogenic CR after 1 cycle</w:t>
      </w:r>
      <w:r>
        <w:rPr>
          <w:rFonts w:cs="Calibri"/>
          <w:bCs/>
        </w:rPr>
        <w:t xml:space="preserve"> with </w:t>
      </w:r>
      <w:r w:rsidRPr="00F372D0">
        <w:rPr>
          <w:rFonts w:cs="Calibri"/>
          <w:bCs/>
        </w:rPr>
        <w:t>64(93%) achie</w:t>
      </w:r>
      <w:r>
        <w:rPr>
          <w:rFonts w:cs="Calibri"/>
          <w:bCs/>
        </w:rPr>
        <w:t>ving</w:t>
      </w:r>
      <w:r w:rsidRPr="00F372D0">
        <w:rPr>
          <w:rFonts w:cs="Calibri"/>
          <w:bCs/>
        </w:rPr>
        <w:t xml:space="preserve"> a major molecular response </w:t>
      </w:r>
      <w:r w:rsidR="00665FCA">
        <w:rPr>
          <w:rFonts w:cs="Calibri"/>
          <w:bCs/>
        </w:rPr>
        <w:t xml:space="preserve">at a median of 4 weeks (range 2 to </w:t>
      </w:r>
      <w:r w:rsidRPr="00F372D0">
        <w:rPr>
          <w:rFonts w:cs="Calibri"/>
          <w:bCs/>
        </w:rPr>
        <w:t>38</w:t>
      </w:r>
      <w:r w:rsidR="00F64A85">
        <w:rPr>
          <w:rFonts w:cs="Calibri"/>
          <w:bCs/>
        </w:rPr>
        <w:t> </w:t>
      </w:r>
      <w:r w:rsidRPr="00F372D0">
        <w:rPr>
          <w:rFonts w:cs="Calibri"/>
          <w:bCs/>
        </w:rPr>
        <w:t xml:space="preserve">weeks). 65 patients (94%) were negative for minimal residual disease </w:t>
      </w:r>
      <w:r w:rsidR="00665FCA">
        <w:rPr>
          <w:rFonts w:cs="Calibri"/>
          <w:bCs/>
        </w:rPr>
        <w:t>at a median of 3</w:t>
      </w:r>
      <w:r w:rsidR="00F64A85">
        <w:rPr>
          <w:rFonts w:cs="Calibri"/>
          <w:bCs/>
        </w:rPr>
        <w:t> </w:t>
      </w:r>
      <w:r w:rsidR="00665FCA">
        <w:rPr>
          <w:rFonts w:cs="Calibri"/>
          <w:bCs/>
        </w:rPr>
        <w:t xml:space="preserve">weeks (range 2 to </w:t>
      </w:r>
      <w:r w:rsidRPr="00F372D0">
        <w:rPr>
          <w:rFonts w:cs="Calibri"/>
          <w:bCs/>
        </w:rPr>
        <w:t>37 weeks). With a median follow-up of 67 months, 30 patients were in CR (43%); 33 (46%) were alive and 12 underwent ASCT. A total of 39 patients died (3 at induction, 19 after relapse, 7 after SCT performed during fi</w:t>
      </w:r>
      <w:r w:rsidR="00665FCA">
        <w:rPr>
          <w:rFonts w:cs="Calibri"/>
          <w:bCs/>
        </w:rPr>
        <w:t xml:space="preserve">rst CR and 10 during CR). The 5 </w:t>
      </w:r>
      <w:r w:rsidRPr="00F372D0">
        <w:rPr>
          <w:rFonts w:cs="Calibri"/>
          <w:bCs/>
        </w:rPr>
        <w:t>year disease free survival was 44% and overall s</w:t>
      </w:r>
      <w:r w:rsidR="00665FCA">
        <w:rPr>
          <w:rFonts w:cs="Calibri"/>
          <w:bCs/>
        </w:rPr>
        <w:t xml:space="preserve">urvival 46%. The median disease </w:t>
      </w:r>
      <w:r w:rsidRPr="00F372D0">
        <w:rPr>
          <w:rFonts w:cs="Calibri"/>
          <w:bCs/>
        </w:rPr>
        <w:t>free survival and over</w:t>
      </w:r>
      <w:r w:rsidR="00665FCA">
        <w:rPr>
          <w:rFonts w:cs="Calibri"/>
          <w:bCs/>
        </w:rPr>
        <w:t xml:space="preserve">all survival were 31 (range 0.3 to </w:t>
      </w:r>
      <w:r w:rsidRPr="00F372D0">
        <w:rPr>
          <w:rFonts w:cs="Calibri"/>
          <w:bCs/>
        </w:rPr>
        <w:t>97 m</w:t>
      </w:r>
      <w:r w:rsidR="00665FCA">
        <w:rPr>
          <w:rFonts w:cs="Calibri"/>
          <w:bCs/>
        </w:rPr>
        <w:t xml:space="preserve">onths) and 47 months (range 0.2 to </w:t>
      </w:r>
      <w:r w:rsidRPr="00F372D0">
        <w:rPr>
          <w:rFonts w:cs="Calibri"/>
          <w:bCs/>
        </w:rPr>
        <w:t>97 months) respectively. Overall seven relapsed patients had BCR-ABL kinase domain mutations, including 4 with T3151.</w:t>
      </w:r>
    </w:p>
    <w:p w14:paraId="45114235" w14:textId="45C555E5" w:rsidR="003877B1" w:rsidRDefault="003877B1" w:rsidP="003877B1">
      <w:pPr>
        <w:rPr>
          <w:rFonts w:cs="Calibri"/>
          <w:bCs/>
        </w:rPr>
      </w:pPr>
      <w:r w:rsidRPr="00F372D0">
        <w:rPr>
          <w:rFonts w:cs="Calibri"/>
          <w:bCs/>
        </w:rPr>
        <w:t xml:space="preserve">Yoon </w:t>
      </w:r>
      <w:r w:rsidRPr="00665FCA">
        <w:rPr>
          <w:rFonts w:cs="Calibri"/>
          <w:bCs/>
        </w:rPr>
        <w:t>et al</w:t>
      </w:r>
      <w:r w:rsidR="00F64A85">
        <w:rPr>
          <w:rFonts w:cs="Calibri"/>
          <w:bCs/>
        </w:rPr>
        <w:t>.,</w:t>
      </w:r>
      <w:r w:rsidRPr="00F372D0">
        <w:rPr>
          <w:rFonts w:cs="Calibri"/>
          <w:bCs/>
        </w:rPr>
        <w:t xml:space="preserve"> was a </w:t>
      </w:r>
      <w:r w:rsidR="00CA76AD">
        <w:rPr>
          <w:rFonts w:cs="Calibri"/>
          <w:bCs/>
        </w:rPr>
        <w:t>Phase</w:t>
      </w:r>
      <w:r w:rsidRPr="00F372D0">
        <w:rPr>
          <w:rFonts w:cs="Calibri"/>
          <w:bCs/>
        </w:rPr>
        <w:t xml:space="preserve"> II </w:t>
      </w:r>
      <w:r>
        <w:rPr>
          <w:rFonts w:cs="Calibri"/>
          <w:bCs/>
        </w:rPr>
        <w:t xml:space="preserve">single cohort </w:t>
      </w:r>
      <w:r w:rsidRPr="00F372D0">
        <w:rPr>
          <w:rFonts w:cs="Calibri"/>
          <w:bCs/>
        </w:rPr>
        <w:t xml:space="preserve">study of 51 adult patients with newly diagnosed </w:t>
      </w:r>
      <w:r w:rsidR="0079571B" w:rsidRPr="002B11F8">
        <w:t>Ph</w:t>
      </w:r>
      <w:r w:rsidR="0079571B" w:rsidRPr="0079571B">
        <w:rPr>
          <w:vertAlign w:val="superscript"/>
        </w:rPr>
        <w:t>+</w:t>
      </w:r>
      <w:r w:rsidRPr="00F372D0">
        <w:rPr>
          <w:rFonts w:cs="Calibri"/>
          <w:bCs/>
        </w:rPr>
        <w:t xml:space="preserve"> </w:t>
      </w:r>
      <w:r w:rsidRPr="001E476D">
        <w:rPr>
          <w:rFonts w:cs="Calibri"/>
          <w:bCs/>
        </w:rPr>
        <w:t>ALL</w:t>
      </w:r>
      <w:r w:rsidR="00665FCA">
        <w:rPr>
          <w:rFonts w:cs="Calibri"/>
          <w:bCs/>
        </w:rPr>
        <w:t xml:space="preserve"> (median age 46 years, range 19 to </w:t>
      </w:r>
      <w:r w:rsidRPr="001E476D">
        <w:rPr>
          <w:rFonts w:cs="Calibri"/>
          <w:bCs/>
        </w:rPr>
        <w:t>64).</w:t>
      </w:r>
      <w:r w:rsidR="00665FCA" w:rsidRPr="00665FCA">
        <w:rPr>
          <w:rFonts w:cs="Calibri"/>
          <w:bCs/>
          <w:vertAlign w:val="superscript"/>
        </w:rPr>
        <w:fldChar w:fldCharType="begin"/>
      </w:r>
      <w:r w:rsidR="00665FCA" w:rsidRPr="00665FCA">
        <w:rPr>
          <w:rFonts w:cs="Calibri"/>
          <w:bCs/>
          <w:vertAlign w:val="superscript"/>
        </w:rPr>
        <w:instrText xml:space="preserve"> NOTEREF _Ref531103040 \h </w:instrText>
      </w:r>
      <w:r w:rsidR="00665FCA">
        <w:rPr>
          <w:rFonts w:cs="Calibri"/>
          <w:bCs/>
          <w:vertAlign w:val="superscript"/>
        </w:rPr>
        <w:instrText xml:space="preserve"> \* MERGEFORMAT </w:instrText>
      </w:r>
      <w:r w:rsidR="00665FCA" w:rsidRPr="00665FCA">
        <w:rPr>
          <w:rFonts w:cs="Calibri"/>
          <w:bCs/>
          <w:vertAlign w:val="superscript"/>
        </w:rPr>
      </w:r>
      <w:r w:rsidR="00665FCA" w:rsidRPr="00665FCA">
        <w:rPr>
          <w:rFonts w:cs="Calibri"/>
          <w:bCs/>
          <w:vertAlign w:val="superscript"/>
        </w:rPr>
        <w:fldChar w:fldCharType="separate"/>
      </w:r>
      <w:r w:rsidR="00665FCA" w:rsidRPr="00665FCA">
        <w:rPr>
          <w:rFonts w:cs="Calibri"/>
          <w:bCs/>
          <w:vertAlign w:val="superscript"/>
        </w:rPr>
        <w:t>7</w:t>
      </w:r>
      <w:r w:rsidR="00665FCA" w:rsidRPr="00665FCA">
        <w:rPr>
          <w:rFonts w:cs="Calibri"/>
          <w:bCs/>
          <w:vertAlign w:val="superscript"/>
        </w:rPr>
        <w:fldChar w:fldCharType="end"/>
      </w:r>
      <w:r w:rsidRPr="00F372D0">
        <w:rPr>
          <w:rFonts w:cs="Calibri"/>
          <w:bCs/>
        </w:rPr>
        <w:t xml:space="preserve"> </w:t>
      </w:r>
      <w:r w:rsidRPr="00715ED3">
        <w:rPr>
          <w:rFonts w:cs="Calibri"/>
          <w:bCs/>
        </w:rPr>
        <w:t>The treatment regimen was a chemotherapy cycle, then as soon as neutrophil and platelet recovery had occurred (neutrophil at or greater than 1</w:t>
      </w:r>
      <w:r w:rsidR="00665FCA">
        <w:rPr>
          <w:rFonts w:cs="Calibri"/>
          <w:bCs/>
        </w:rPr>
        <w:t xml:space="preserve"> </w:t>
      </w:r>
      <w:r w:rsidRPr="00715ED3">
        <w:rPr>
          <w:rFonts w:cs="Calibri"/>
          <w:bCs/>
        </w:rPr>
        <w:t>x</w:t>
      </w:r>
      <w:r w:rsidR="00665FCA">
        <w:rPr>
          <w:rFonts w:cs="Calibri"/>
          <w:bCs/>
        </w:rPr>
        <w:t xml:space="preserve"> </w:t>
      </w:r>
      <w:r w:rsidR="003303E3">
        <w:t>10</w:t>
      </w:r>
      <w:r w:rsidR="003303E3" w:rsidRPr="003303E3">
        <w:rPr>
          <w:vertAlign w:val="superscript"/>
        </w:rPr>
        <w:t>9</w:t>
      </w:r>
      <w:r w:rsidRPr="00715ED3">
        <w:rPr>
          <w:rFonts w:cs="Calibri"/>
          <w:bCs/>
        </w:rPr>
        <w:t>/L and platelets ≥</w:t>
      </w:r>
      <w:r w:rsidR="00665FCA">
        <w:rPr>
          <w:rFonts w:cs="Calibri"/>
          <w:bCs/>
        </w:rPr>
        <w:t xml:space="preserve"> </w:t>
      </w:r>
      <w:r w:rsidRPr="00715ED3">
        <w:rPr>
          <w:rFonts w:cs="Calibri"/>
          <w:bCs/>
        </w:rPr>
        <w:t>50</w:t>
      </w:r>
      <w:r w:rsidR="00665FCA">
        <w:rPr>
          <w:rFonts w:cs="Calibri"/>
          <w:bCs/>
        </w:rPr>
        <w:t xml:space="preserve"> </w:t>
      </w:r>
      <w:r w:rsidRPr="00715ED3">
        <w:rPr>
          <w:rFonts w:cs="Calibri"/>
          <w:bCs/>
        </w:rPr>
        <w:t>x</w:t>
      </w:r>
      <w:r w:rsidR="00665FCA">
        <w:rPr>
          <w:rFonts w:cs="Calibri"/>
          <w:bCs/>
        </w:rPr>
        <w:t xml:space="preserve"> </w:t>
      </w:r>
      <w:r w:rsidR="003303E3">
        <w:t>10</w:t>
      </w:r>
      <w:r w:rsidR="003303E3" w:rsidRPr="003303E3">
        <w:rPr>
          <w:vertAlign w:val="superscript"/>
        </w:rPr>
        <w:t>9</w:t>
      </w:r>
      <w:r w:rsidRPr="00715ED3">
        <w:rPr>
          <w:rFonts w:cs="Calibri"/>
          <w:bCs/>
        </w:rPr>
        <w:t>/L), dasatinib 100</w:t>
      </w:r>
      <w:r w:rsidR="00665FCA">
        <w:rPr>
          <w:rFonts w:cs="Calibri"/>
          <w:bCs/>
        </w:rPr>
        <w:t xml:space="preserve"> mg</w:t>
      </w:r>
      <w:r w:rsidRPr="00715ED3">
        <w:rPr>
          <w:rFonts w:cs="Calibri"/>
          <w:bCs/>
        </w:rPr>
        <w:t xml:space="preserve"> daily. Patients received up to four dasatinib cycles.</w:t>
      </w:r>
      <w:r>
        <w:rPr>
          <w:rFonts w:cs="Calibri"/>
          <w:bCs/>
        </w:rPr>
        <w:t xml:space="preserve"> The first dasatinib cycle integrated cyclophosphamide/vincristine/</w:t>
      </w:r>
      <w:r w:rsidR="00801CD3">
        <w:rPr>
          <w:rFonts w:cs="Calibri"/>
          <w:bCs/>
        </w:rPr>
        <w:t>danorubicin</w:t>
      </w:r>
      <w:r>
        <w:rPr>
          <w:rFonts w:cs="Calibri"/>
          <w:bCs/>
        </w:rPr>
        <w:t xml:space="preserve">/dexamethasone </w:t>
      </w:r>
      <w:r w:rsidR="00166605">
        <w:rPr>
          <w:rFonts w:cs="Calibri"/>
          <w:bCs/>
        </w:rPr>
        <w:t xml:space="preserve">plus </w:t>
      </w:r>
      <w:r w:rsidR="00166605">
        <w:t>central nervous system</w:t>
      </w:r>
      <w:r w:rsidR="00166605">
        <w:rPr>
          <w:rFonts w:cs="Calibri"/>
          <w:bCs/>
        </w:rPr>
        <w:t xml:space="preserve"> (</w:t>
      </w:r>
      <w:r>
        <w:rPr>
          <w:rFonts w:cs="Calibri"/>
          <w:bCs/>
        </w:rPr>
        <w:t>CNS</w:t>
      </w:r>
      <w:r w:rsidR="00166605">
        <w:rPr>
          <w:rFonts w:cs="Calibri"/>
          <w:bCs/>
        </w:rPr>
        <w:t>)</w:t>
      </w:r>
      <w:r>
        <w:rPr>
          <w:rFonts w:cs="Calibri"/>
          <w:bCs/>
        </w:rPr>
        <w:t xml:space="preserve"> prophylaxis of intrathecal methotrexate/cytarabine/hydrocortisone (triple IT). The second dasatinib cycle was integrated with cytarabine/mitoxantrone</w:t>
      </w:r>
      <w:r w:rsidR="00665FCA">
        <w:rPr>
          <w:rFonts w:cs="Calibri"/>
          <w:bCs/>
        </w:rPr>
        <w:t>,</w:t>
      </w:r>
      <w:r>
        <w:rPr>
          <w:rFonts w:cs="Calibri"/>
          <w:bCs/>
        </w:rPr>
        <w:t xml:space="preserve"> plus triple IT. </w:t>
      </w:r>
      <w:r w:rsidRPr="00F372D0">
        <w:rPr>
          <w:rFonts w:cs="Calibri"/>
          <w:bCs/>
        </w:rPr>
        <w:t xml:space="preserve">This induction phase was followed by </w:t>
      </w:r>
      <w:r>
        <w:rPr>
          <w:rFonts w:cs="Calibri"/>
          <w:bCs/>
        </w:rPr>
        <w:t>2 years of maintenance with 100</w:t>
      </w:r>
      <w:r w:rsidR="00665FCA">
        <w:rPr>
          <w:rFonts w:cs="Calibri"/>
          <w:bCs/>
        </w:rPr>
        <w:t xml:space="preserve"> mg</w:t>
      </w:r>
      <w:r>
        <w:rPr>
          <w:rFonts w:cs="Calibri"/>
          <w:bCs/>
        </w:rPr>
        <w:t xml:space="preserve"> dasatinib daily</w:t>
      </w:r>
      <w:r w:rsidRPr="00F372D0">
        <w:rPr>
          <w:rFonts w:cs="Calibri"/>
          <w:bCs/>
        </w:rPr>
        <w:t xml:space="preserve">. </w:t>
      </w:r>
      <w:r>
        <w:rPr>
          <w:rFonts w:cs="Calibri"/>
          <w:bCs/>
        </w:rPr>
        <w:t>The</w:t>
      </w:r>
      <w:r w:rsidRPr="007F7C9F">
        <w:rPr>
          <w:rFonts w:cs="Calibri"/>
          <w:bCs/>
        </w:rPr>
        <w:t xml:space="preserve"> primary endpoint</w:t>
      </w:r>
      <w:r>
        <w:rPr>
          <w:rFonts w:cs="Calibri"/>
          <w:bCs/>
        </w:rPr>
        <w:t xml:space="preserve"> was the MMR</w:t>
      </w:r>
      <w:r w:rsidR="00F64A85">
        <w:rPr>
          <w:rFonts w:cs="Calibri"/>
          <w:bCs/>
        </w:rPr>
        <w:t xml:space="preserve"> rate;</w:t>
      </w:r>
      <w:r>
        <w:rPr>
          <w:rStyle w:val="FootnoteReference"/>
          <w:rFonts w:asciiTheme="minorHAnsi" w:hAnsiTheme="minorHAnsi" w:cs="Calibri"/>
          <w:bCs/>
        </w:rPr>
        <w:footnoteReference w:id="28"/>
      </w:r>
      <w:r>
        <w:rPr>
          <w:rFonts w:cs="Calibri"/>
          <w:bCs/>
        </w:rPr>
        <w:t xml:space="preserve"> at the end of the second dasatinib cycle.</w:t>
      </w:r>
      <w:r w:rsidRPr="007F7C9F">
        <w:rPr>
          <w:rFonts w:cs="Calibri"/>
          <w:bCs/>
        </w:rPr>
        <w:t xml:space="preserve"> </w:t>
      </w:r>
      <w:r>
        <w:rPr>
          <w:rFonts w:cs="Calibri"/>
          <w:bCs/>
        </w:rPr>
        <w:t xml:space="preserve">This could be assessed in </w:t>
      </w:r>
      <w:r w:rsidRPr="007F7C9F">
        <w:rPr>
          <w:rFonts w:cs="Calibri"/>
          <w:bCs/>
        </w:rPr>
        <w:t xml:space="preserve">all but two patients </w:t>
      </w:r>
      <w:r>
        <w:rPr>
          <w:rFonts w:cs="Calibri"/>
          <w:bCs/>
        </w:rPr>
        <w:t xml:space="preserve">who </w:t>
      </w:r>
      <w:r w:rsidRPr="007F7C9F">
        <w:rPr>
          <w:rFonts w:cs="Calibri"/>
          <w:bCs/>
        </w:rPr>
        <w:t>died due to sepsis during chemotherapy. Forty-six (93.9%) of 49 assessable patients had persistent</w:t>
      </w:r>
      <w:r>
        <w:rPr>
          <w:rFonts w:cs="Calibri"/>
          <w:bCs/>
        </w:rPr>
        <w:t xml:space="preserve"> </w:t>
      </w:r>
      <w:r w:rsidRPr="007F7C9F">
        <w:rPr>
          <w:rFonts w:cs="Calibri"/>
          <w:bCs/>
        </w:rPr>
        <w:t>CR by the end of the second cycle</w:t>
      </w:r>
      <w:r w:rsidRPr="00F542C0">
        <w:rPr>
          <w:rFonts w:cs="Calibri"/>
          <w:bCs/>
        </w:rPr>
        <w:t xml:space="preserve"> </w:t>
      </w:r>
      <w:r>
        <w:rPr>
          <w:rFonts w:cs="Calibri"/>
          <w:bCs/>
        </w:rPr>
        <w:t>(</w:t>
      </w:r>
      <w:r w:rsidRPr="00F372D0">
        <w:rPr>
          <w:rFonts w:cs="Calibri"/>
          <w:bCs/>
        </w:rPr>
        <w:t>with 39 progressing to ASCT</w:t>
      </w:r>
      <w:r>
        <w:rPr>
          <w:rFonts w:cs="Calibri"/>
          <w:bCs/>
        </w:rPr>
        <w:t>)</w:t>
      </w:r>
      <w:r w:rsidRPr="007F7C9F">
        <w:rPr>
          <w:rFonts w:cs="Calibri"/>
          <w:bCs/>
        </w:rPr>
        <w:t xml:space="preserve">; 38 patients (77.6%) had MMR (n = 16; 32.7%) or </w:t>
      </w:r>
      <w:r w:rsidRPr="00F372D0">
        <w:rPr>
          <w:rFonts w:cs="Calibri"/>
          <w:bCs/>
        </w:rPr>
        <w:t>undetectable</w:t>
      </w:r>
      <w:r>
        <w:rPr>
          <w:rFonts w:cs="Calibri"/>
          <w:bCs/>
        </w:rPr>
        <w:t xml:space="preserve"> minimal residual disease (</w:t>
      </w:r>
      <w:r w:rsidR="00761035">
        <w:t>UMRD</w:t>
      </w:r>
      <w:r>
        <w:rPr>
          <w:rFonts w:cs="Calibri"/>
          <w:bCs/>
        </w:rPr>
        <w:t>)</w:t>
      </w:r>
      <w:r w:rsidRPr="007F7C9F">
        <w:rPr>
          <w:rFonts w:cs="Calibri"/>
          <w:bCs/>
        </w:rPr>
        <w:t xml:space="preserve"> (n = 22; 44.9%).</w:t>
      </w:r>
      <w:r>
        <w:rPr>
          <w:rFonts w:cs="Calibri"/>
          <w:bCs/>
        </w:rPr>
        <w:t xml:space="preserve"> </w:t>
      </w:r>
      <w:r w:rsidRPr="00F372D0">
        <w:rPr>
          <w:rFonts w:cs="Calibri"/>
          <w:bCs/>
        </w:rPr>
        <w:t>After a median follow-up of 54 months (range 40</w:t>
      </w:r>
      <w:r w:rsidR="00F64A85">
        <w:rPr>
          <w:rFonts w:cs="Calibri"/>
          <w:bCs/>
        </w:rPr>
        <w:t xml:space="preserve"> to </w:t>
      </w:r>
      <w:r w:rsidRPr="00F372D0">
        <w:rPr>
          <w:rFonts w:cs="Calibri"/>
          <w:bCs/>
        </w:rPr>
        <w:t>63), the 4</w:t>
      </w:r>
      <w:r w:rsidR="00F64A85">
        <w:rPr>
          <w:rFonts w:cs="Calibri"/>
          <w:bCs/>
        </w:rPr>
        <w:t xml:space="preserve"> </w:t>
      </w:r>
      <w:r w:rsidRPr="00F372D0">
        <w:rPr>
          <w:rFonts w:cs="Calibri"/>
          <w:bCs/>
        </w:rPr>
        <w:t xml:space="preserve">year cumulative incidence </w:t>
      </w:r>
      <w:r w:rsidR="00166605" w:rsidRPr="00F372D0">
        <w:rPr>
          <w:rFonts w:cs="Calibri"/>
          <w:bCs/>
        </w:rPr>
        <w:t xml:space="preserve">of </w:t>
      </w:r>
      <w:r w:rsidR="00166605">
        <w:t>disease free survival</w:t>
      </w:r>
      <w:r w:rsidR="00166605" w:rsidRPr="00F372D0">
        <w:rPr>
          <w:rFonts w:cs="Calibri"/>
          <w:bCs/>
        </w:rPr>
        <w:t xml:space="preserve"> </w:t>
      </w:r>
      <w:r w:rsidR="00166605">
        <w:rPr>
          <w:rFonts w:cs="Calibri"/>
          <w:bCs/>
        </w:rPr>
        <w:t>(</w:t>
      </w:r>
      <w:r w:rsidRPr="00F372D0">
        <w:rPr>
          <w:rFonts w:cs="Calibri"/>
          <w:bCs/>
        </w:rPr>
        <w:t>DFS</w:t>
      </w:r>
      <w:r w:rsidR="00166605">
        <w:rPr>
          <w:rFonts w:cs="Calibri"/>
          <w:bCs/>
        </w:rPr>
        <w:t>)</w:t>
      </w:r>
      <w:r w:rsidRPr="00F372D0">
        <w:rPr>
          <w:rFonts w:cs="Calibri"/>
          <w:bCs/>
        </w:rPr>
        <w:t xml:space="preserve"> and OS rate</w:t>
      </w:r>
      <w:r>
        <w:rPr>
          <w:rFonts w:cs="Calibri"/>
          <w:bCs/>
        </w:rPr>
        <w:t>s</w:t>
      </w:r>
      <w:r w:rsidRPr="00F372D0">
        <w:rPr>
          <w:rFonts w:cs="Calibri"/>
          <w:bCs/>
        </w:rPr>
        <w:t xml:space="preserve"> were 52.0% and 51% respectively.</w:t>
      </w:r>
    </w:p>
    <w:p w14:paraId="4225BB94" w14:textId="6079A719" w:rsidR="003877B1" w:rsidRDefault="00F64A85" w:rsidP="00665FCA">
      <w:pPr>
        <w:tabs>
          <w:tab w:val="left" w:pos="2268"/>
        </w:tabs>
      </w:pPr>
      <w:r>
        <w:t xml:space="preserve">Study </w:t>
      </w:r>
      <w:r w:rsidR="003877B1" w:rsidRPr="00614F15">
        <w:t xml:space="preserve">ALL5 </w:t>
      </w:r>
      <w:r w:rsidR="003877B1" w:rsidRPr="00665FCA">
        <w:t>(Grigg</w:t>
      </w:r>
      <w:r>
        <w:t xml:space="preserve"> et al.,</w:t>
      </w:r>
      <w:r w:rsidR="003877B1" w:rsidRPr="00665FCA">
        <w:t xml:space="preserve"> 2017) narrates</w:t>
      </w:r>
      <w:r w:rsidR="003877B1" w:rsidRPr="00614F15">
        <w:t xml:space="preserve"> the results of a trial of dasatinib in combination with hyper CVAD chemotherapy in </w:t>
      </w:r>
      <w:r w:rsidR="0079571B" w:rsidRPr="002B11F8">
        <w:t>Ph</w:t>
      </w:r>
      <w:r w:rsidR="0079571B" w:rsidRPr="0079571B">
        <w:rPr>
          <w:vertAlign w:val="superscript"/>
        </w:rPr>
        <w:t>+</w:t>
      </w:r>
      <w:r w:rsidR="003877B1" w:rsidRPr="00614F15">
        <w:t xml:space="preserve"> ALL adult patients.</w:t>
      </w:r>
      <w:r w:rsidR="00665FCA" w:rsidRPr="00665FCA">
        <w:rPr>
          <w:vertAlign w:val="superscript"/>
        </w:rPr>
        <w:fldChar w:fldCharType="begin"/>
      </w:r>
      <w:r w:rsidR="00665FCA" w:rsidRPr="00665FCA">
        <w:rPr>
          <w:vertAlign w:val="superscript"/>
        </w:rPr>
        <w:instrText xml:space="preserve"> NOTEREF _Ref531103150 \h </w:instrText>
      </w:r>
      <w:r w:rsidR="00665FCA">
        <w:rPr>
          <w:vertAlign w:val="superscript"/>
        </w:rPr>
        <w:instrText xml:space="preserve"> \* MERGEFORMAT </w:instrText>
      </w:r>
      <w:r w:rsidR="00665FCA" w:rsidRPr="00665FCA">
        <w:rPr>
          <w:vertAlign w:val="superscript"/>
        </w:rPr>
      </w:r>
      <w:r w:rsidR="00665FCA" w:rsidRPr="00665FCA">
        <w:rPr>
          <w:vertAlign w:val="superscript"/>
        </w:rPr>
        <w:fldChar w:fldCharType="separate"/>
      </w:r>
      <w:r w:rsidR="00665FCA" w:rsidRPr="00665FCA">
        <w:rPr>
          <w:vertAlign w:val="superscript"/>
        </w:rPr>
        <w:t>10</w:t>
      </w:r>
      <w:r w:rsidR="00665FCA" w:rsidRPr="00665FCA">
        <w:rPr>
          <w:vertAlign w:val="superscript"/>
        </w:rPr>
        <w:fldChar w:fldCharType="end"/>
      </w:r>
      <w:r w:rsidR="003877B1">
        <w:t xml:space="preserve"> F</w:t>
      </w:r>
      <w:r w:rsidR="003877B1" w:rsidRPr="00411939">
        <w:t>ollowing a prophase therapy of dasatinib 70</w:t>
      </w:r>
      <w:r w:rsidR="00665FCA">
        <w:t xml:space="preserve"> mg</w:t>
      </w:r>
      <w:r w:rsidR="003877B1" w:rsidRPr="00411939">
        <w:t xml:space="preserve"> </w:t>
      </w:r>
      <w:r w:rsidR="00665FCA">
        <w:t>BD</w:t>
      </w:r>
      <w:r w:rsidR="003877B1" w:rsidRPr="00411939">
        <w:t xml:space="preserve"> for 7 days, subjects received 8 cycles of chemotherapy, starting with dexamethasone, doxorubicin, cyclophosphamide and vincristine and alternating with methotrexate, cytarabine and methylprednisolone. Each course was given with dasatinib 100</w:t>
      </w:r>
      <w:r w:rsidR="00665FCA">
        <w:t xml:space="preserve"> mg</w:t>
      </w:r>
      <w:r w:rsidR="00D20EB3">
        <w:t xml:space="preserve"> daily on Days 1 to </w:t>
      </w:r>
      <w:r w:rsidR="003877B1" w:rsidRPr="00411939">
        <w:t>14 of each cycle.</w:t>
      </w:r>
      <w:r w:rsidR="003877B1" w:rsidRPr="00C947F3">
        <w:t xml:space="preserve"> In terms of induction response rate, all patient</w:t>
      </w:r>
      <w:r w:rsidR="003877B1">
        <w:t>s</w:t>
      </w:r>
      <w:r w:rsidR="003877B1" w:rsidRPr="00C947F3">
        <w:t xml:space="preserve"> attained </w:t>
      </w:r>
      <w:r w:rsidR="00166605">
        <w:t>complete haematologic response</w:t>
      </w:r>
      <w:r w:rsidR="00166605" w:rsidRPr="00C947F3">
        <w:t xml:space="preserve"> </w:t>
      </w:r>
      <w:r w:rsidR="00166605">
        <w:t>(</w:t>
      </w:r>
      <w:r w:rsidR="003877B1" w:rsidRPr="00C947F3">
        <w:t>CHR</w:t>
      </w:r>
      <w:r w:rsidR="00166605">
        <w:t>)</w:t>
      </w:r>
      <w:r w:rsidR="003877B1" w:rsidRPr="00C947F3">
        <w:t xml:space="preserve"> after the first induction cycle. Fifteen attained a complete molecular response during the chemotherapy phase, and the remaining five attained MMR as their best response to treatment. Overall, 11 patients achieved a complete molecular response prior to three months of therapy. Thirteen patients proceeded to allogeneic stem cell transplantation. Median event free sur</w:t>
      </w:r>
      <w:r w:rsidR="00D20EB3">
        <w:t xml:space="preserve">vival was 3.8 years (95% CI 2.9 to </w:t>
      </w:r>
      <w:r w:rsidR="00761035">
        <w:t>not recorded (</w:t>
      </w:r>
      <w:r w:rsidR="003877B1" w:rsidRPr="00C947F3">
        <w:t>NR</w:t>
      </w:r>
      <w:r w:rsidR="00761035">
        <w:t>)</w:t>
      </w:r>
      <w:r w:rsidR="003877B1" w:rsidRPr="00C947F3">
        <w:t>) with 12 events occurring, 10 being relapse. Median relapse free sur</w:t>
      </w:r>
      <w:r w:rsidR="00D20EB3">
        <w:t xml:space="preserve">vival was 6.2 years (95% CI 3.2 to </w:t>
      </w:r>
      <w:r w:rsidR="003877B1" w:rsidRPr="00C947F3">
        <w:t>NR).</w:t>
      </w:r>
      <w:r w:rsidR="00B90B8B">
        <w:t xml:space="preserve"> </w:t>
      </w:r>
      <w:r w:rsidR="003877B1" w:rsidRPr="00C947F3">
        <w:t xml:space="preserve">Overall survival was 4.9 years for transplant recipients </w:t>
      </w:r>
      <w:r w:rsidR="00B52C6D">
        <w:t>versus</w:t>
      </w:r>
      <w:r w:rsidR="00D20EB3">
        <w:t xml:space="preserve"> NR for non </w:t>
      </w:r>
      <w:r w:rsidR="003877B1" w:rsidRPr="00C947F3">
        <w:t>transplant recipients (p</w:t>
      </w:r>
      <w:r w:rsidR="00D20EB3">
        <w:t xml:space="preserve"> </w:t>
      </w:r>
      <w:r w:rsidR="003877B1" w:rsidRPr="00C947F3">
        <w:t>=</w:t>
      </w:r>
      <w:r w:rsidR="00D20EB3">
        <w:t xml:space="preserve"> </w:t>
      </w:r>
      <w:r w:rsidR="003877B1" w:rsidRPr="00C947F3">
        <w:t>0.07). Approaching, but not, statistically significant between groups. Only two patients who did not receive a transplant in first remission died in the study period.</w:t>
      </w:r>
    </w:p>
    <w:p w14:paraId="3C99EBD1" w14:textId="77777777" w:rsidR="003877B1" w:rsidRPr="00F372D0" w:rsidRDefault="003877B1" w:rsidP="003877B1">
      <w:r>
        <w:t>Overall, these three studies support the efficacy of dasatinib in combination with high dose chemotherapy.</w:t>
      </w:r>
      <w:r w:rsidR="00B90B8B">
        <w:t xml:space="preserve"> </w:t>
      </w:r>
      <w:r>
        <w:t>T</w:t>
      </w:r>
      <w:r w:rsidRPr="001755F9">
        <w:t xml:space="preserve">he data presented indicates that for a reasonable proportion of the </w:t>
      </w:r>
      <w:r w:rsidRPr="001755F9">
        <w:lastRenderedPageBreak/>
        <w:t>patients studied; clinically relevant CR outcomes can be achieved with the use of dasatinib in f</w:t>
      </w:r>
      <w:r>
        <w:t xml:space="preserve">irst line treatment of </w:t>
      </w:r>
      <w:r w:rsidR="0079571B" w:rsidRPr="002B11F8">
        <w:t>Ph</w:t>
      </w:r>
      <w:r w:rsidR="0079571B" w:rsidRPr="0079571B">
        <w:rPr>
          <w:vertAlign w:val="superscript"/>
        </w:rPr>
        <w:t>+</w:t>
      </w:r>
      <w:r>
        <w:t xml:space="preserve"> ALL.</w:t>
      </w:r>
    </w:p>
    <w:p w14:paraId="77F87C9A" w14:textId="77777777" w:rsidR="003877B1" w:rsidRPr="00F372D0" w:rsidRDefault="003877B1" w:rsidP="003877B1">
      <w:pPr>
        <w:pStyle w:val="Heading5"/>
      </w:pPr>
      <w:r w:rsidRPr="00F372D0">
        <w:t>Dasatinib in combination with low-dose chemotherapy</w:t>
      </w:r>
    </w:p>
    <w:p w14:paraId="12D10B52" w14:textId="77777777" w:rsidR="003877B1" w:rsidRPr="00F372D0" w:rsidRDefault="003877B1" w:rsidP="003877B1">
      <w:r w:rsidRPr="00F372D0">
        <w:t xml:space="preserve">Two pivotal studies investigated dasatinib for first line treatment of </w:t>
      </w:r>
      <w:r w:rsidR="0079571B" w:rsidRPr="002B11F8">
        <w:t>Ph</w:t>
      </w:r>
      <w:r w:rsidR="0079571B" w:rsidRPr="0079571B">
        <w:rPr>
          <w:vertAlign w:val="superscript"/>
        </w:rPr>
        <w:t>+</w:t>
      </w:r>
      <w:r w:rsidRPr="00F372D0">
        <w:t xml:space="preserve"> ALL with low</w:t>
      </w:r>
      <w:r>
        <w:t xml:space="preserve"> dose chemotherapy: Rous</w:t>
      </w:r>
      <w:r w:rsidRPr="00F372D0">
        <w:t>el</w:t>
      </w:r>
      <w:r>
        <w:t>l</w:t>
      </w:r>
      <w:r w:rsidRPr="00F372D0">
        <w:t xml:space="preserve">ot </w:t>
      </w:r>
      <w:r w:rsidRPr="00D20EB3">
        <w:t>et al and Foá et al.</w:t>
      </w:r>
      <w:r w:rsidR="00D20EB3" w:rsidRPr="00D20EB3">
        <w:rPr>
          <w:vertAlign w:val="superscript"/>
        </w:rPr>
        <w:fldChar w:fldCharType="begin"/>
      </w:r>
      <w:r w:rsidR="00D20EB3" w:rsidRPr="00D20EB3">
        <w:rPr>
          <w:vertAlign w:val="superscript"/>
        </w:rPr>
        <w:instrText xml:space="preserve"> NOTEREF _Ref531103064 \h </w:instrText>
      </w:r>
      <w:r w:rsidR="00D20EB3">
        <w:rPr>
          <w:vertAlign w:val="superscript"/>
        </w:rPr>
        <w:instrText xml:space="preserve"> \* MERGEFORMAT </w:instrText>
      </w:r>
      <w:r w:rsidR="00D20EB3" w:rsidRPr="00D20EB3">
        <w:rPr>
          <w:vertAlign w:val="superscript"/>
        </w:rPr>
      </w:r>
      <w:r w:rsidR="00D20EB3" w:rsidRPr="00D20EB3">
        <w:rPr>
          <w:vertAlign w:val="superscript"/>
        </w:rPr>
        <w:fldChar w:fldCharType="separate"/>
      </w:r>
      <w:r w:rsidR="00D20EB3" w:rsidRPr="00D20EB3">
        <w:rPr>
          <w:vertAlign w:val="superscript"/>
        </w:rPr>
        <w:t>8</w:t>
      </w:r>
      <w:r w:rsidR="00D20EB3" w:rsidRPr="00D20EB3">
        <w:rPr>
          <w:vertAlign w:val="superscript"/>
        </w:rPr>
        <w:fldChar w:fldCharType="end"/>
      </w:r>
      <w:r w:rsidR="00D20EB3" w:rsidRPr="00D20EB3">
        <w:rPr>
          <w:vertAlign w:val="superscript"/>
        </w:rPr>
        <w:t xml:space="preserve">, </w:t>
      </w:r>
      <w:r w:rsidR="00D20EB3" w:rsidRPr="00D20EB3">
        <w:rPr>
          <w:vertAlign w:val="superscript"/>
        </w:rPr>
        <w:fldChar w:fldCharType="begin"/>
      </w:r>
      <w:r w:rsidR="00D20EB3" w:rsidRPr="00D20EB3">
        <w:rPr>
          <w:vertAlign w:val="superscript"/>
        </w:rPr>
        <w:instrText xml:space="preserve"> NOTEREF _Ref531103135 \h </w:instrText>
      </w:r>
      <w:r w:rsidR="00D20EB3">
        <w:rPr>
          <w:vertAlign w:val="superscript"/>
        </w:rPr>
        <w:instrText xml:space="preserve"> \* MERGEFORMAT </w:instrText>
      </w:r>
      <w:r w:rsidR="00D20EB3" w:rsidRPr="00D20EB3">
        <w:rPr>
          <w:vertAlign w:val="superscript"/>
        </w:rPr>
      </w:r>
      <w:r w:rsidR="00D20EB3" w:rsidRPr="00D20EB3">
        <w:rPr>
          <w:vertAlign w:val="superscript"/>
        </w:rPr>
        <w:fldChar w:fldCharType="separate"/>
      </w:r>
      <w:r w:rsidR="00D20EB3" w:rsidRPr="00D20EB3">
        <w:rPr>
          <w:vertAlign w:val="superscript"/>
        </w:rPr>
        <w:t>9</w:t>
      </w:r>
      <w:r w:rsidR="00D20EB3" w:rsidRPr="00D20EB3">
        <w:rPr>
          <w:vertAlign w:val="superscript"/>
        </w:rPr>
        <w:fldChar w:fldCharType="end"/>
      </w:r>
      <w:r w:rsidRPr="00F372D0">
        <w:t xml:space="preserve"> </w:t>
      </w:r>
      <w:r w:rsidRPr="00E0020E">
        <w:t xml:space="preserve">A total of 124 patients were studied </w:t>
      </w:r>
      <w:r>
        <w:t>in this setting with a median follow up of 32 months (range</w:t>
      </w:r>
      <w:r w:rsidR="00D20EB3">
        <w:t xml:space="preserve"> 2 to </w:t>
      </w:r>
      <w:r w:rsidRPr="004114CD">
        <w:t>88 months</w:t>
      </w:r>
      <w:r>
        <w:t>, with</w:t>
      </w:r>
      <w:r w:rsidRPr="004114CD">
        <w:t xml:space="preserve"> median follow-up for survivin</w:t>
      </w:r>
      <w:r w:rsidR="00D20EB3">
        <w:t xml:space="preserve">g patients 66 months (range, 21 to </w:t>
      </w:r>
      <w:r w:rsidRPr="004114CD">
        <w:t>88 months)</w:t>
      </w:r>
      <w:r>
        <w:t xml:space="preserve">) and </w:t>
      </w:r>
      <w:r w:rsidR="00D20EB3">
        <w:t xml:space="preserve">24.8 months (range, 8.9 to </w:t>
      </w:r>
      <w:r w:rsidRPr="00FA24BC">
        <w:t>35.3 months)</w:t>
      </w:r>
      <w:r>
        <w:t xml:space="preserve"> respectively. The dose of dasatinib was similar between the studies at 140</w:t>
      </w:r>
      <w:r w:rsidR="00665FCA">
        <w:t xml:space="preserve"> mg</w:t>
      </w:r>
      <w:r>
        <w:t>/day in either a single or divided dose.</w:t>
      </w:r>
    </w:p>
    <w:p w14:paraId="78AC0780" w14:textId="36EF9375" w:rsidR="003877B1" w:rsidRDefault="003877B1" w:rsidP="003877B1">
      <w:r w:rsidRPr="00F372D0">
        <w:t xml:space="preserve">Rousellot </w:t>
      </w:r>
      <w:r w:rsidRPr="0061480D">
        <w:t>et al</w:t>
      </w:r>
      <w:r w:rsidR="00F64A85">
        <w:t>.,</w:t>
      </w:r>
      <w:r w:rsidRPr="00F372D0">
        <w:t xml:space="preserve"> studied</w:t>
      </w:r>
      <w:r>
        <w:t xml:space="preserve"> an older aged cohort, reporting on </w:t>
      </w:r>
      <w:r w:rsidRPr="00F372D0">
        <w:t>71 patients aged ov</w:t>
      </w:r>
      <w:r w:rsidR="00D20EB3">
        <w:t xml:space="preserve">er 55years (median 69, range 59 to </w:t>
      </w:r>
      <w:r w:rsidRPr="00F372D0">
        <w:t>83).</w:t>
      </w:r>
      <w:r w:rsidR="00D20EB3" w:rsidRPr="00D20EB3">
        <w:rPr>
          <w:vertAlign w:val="superscript"/>
        </w:rPr>
        <w:fldChar w:fldCharType="begin"/>
      </w:r>
      <w:r w:rsidR="00D20EB3" w:rsidRPr="00D20EB3">
        <w:rPr>
          <w:vertAlign w:val="superscript"/>
        </w:rPr>
        <w:instrText xml:space="preserve"> NOTEREF _Ref531103064 \h </w:instrText>
      </w:r>
      <w:r w:rsidR="00D20EB3">
        <w:rPr>
          <w:vertAlign w:val="superscript"/>
        </w:rPr>
        <w:instrText xml:space="preserve"> \* MERGEFORMAT </w:instrText>
      </w:r>
      <w:r w:rsidR="00D20EB3" w:rsidRPr="00D20EB3">
        <w:rPr>
          <w:vertAlign w:val="superscript"/>
        </w:rPr>
      </w:r>
      <w:r w:rsidR="00D20EB3" w:rsidRPr="00D20EB3">
        <w:rPr>
          <w:vertAlign w:val="superscript"/>
        </w:rPr>
        <w:fldChar w:fldCharType="separate"/>
      </w:r>
      <w:r w:rsidR="00D20EB3" w:rsidRPr="00D20EB3">
        <w:rPr>
          <w:vertAlign w:val="superscript"/>
        </w:rPr>
        <w:t>8</w:t>
      </w:r>
      <w:r w:rsidR="00D20EB3" w:rsidRPr="00D20EB3">
        <w:rPr>
          <w:vertAlign w:val="superscript"/>
        </w:rPr>
        <w:fldChar w:fldCharType="end"/>
      </w:r>
      <w:r w:rsidRPr="00F372D0">
        <w:t xml:space="preserve"> Patients were treated with dasatinib 140</w:t>
      </w:r>
      <w:r w:rsidR="00665FCA">
        <w:t xml:space="preserve"> mg</w:t>
      </w:r>
      <w:r w:rsidRPr="00F372D0">
        <w:t>/day (dose reduction of 100</w:t>
      </w:r>
      <w:r w:rsidR="00665FCA">
        <w:t xml:space="preserve"> mg</w:t>
      </w:r>
      <w:r w:rsidRPr="00F372D0">
        <w:t xml:space="preserve">/day for patients aged over 70 years) plus intrathecal chemotherapy, vincristine and dexamethasone during induction. </w:t>
      </w:r>
      <w:r w:rsidRPr="008545DD">
        <w:t>Consolidation therapy was dasatinib 100</w:t>
      </w:r>
      <w:r w:rsidR="00D20EB3">
        <w:t> </w:t>
      </w:r>
      <w:r w:rsidR="00665FCA">
        <w:t>mg</w:t>
      </w:r>
      <w:r w:rsidR="00D20EB3">
        <w:t xml:space="preserve"> daily with methotrexate on D</w:t>
      </w:r>
      <w:r w:rsidRPr="008545DD">
        <w:t xml:space="preserve">ay 1 and asparaginase on </w:t>
      </w:r>
      <w:r w:rsidR="00D20EB3">
        <w:t>Day</w:t>
      </w:r>
      <w:r w:rsidRPr="008545DD">
        <w:t xml:space="preserve"> 2 for </w:t>
      </w:r>
      <w:r w:rsidR="00D20EB3">
        <w:t>Cycles</w:t>
      </w:r>
      <w:r w:rsidRPr="008545DD">
        <w:t xml:space="preserve"> 1,</w:t>
      </w:r>
      <w:r w:rsidR="00D20EB3">
        <w:t xml:space="preserve"> 3 and 5. For C</w:t>
      </w:r>
      <w:r w:rsidRPr="008545DD">
        <w:t xml:space="preserve">ycles 2, 4 and 6, cytarabine every twelve hours on </w:t>
      </w:r>
      <w:r w:rsidR="00D20EB3">
        <w:t>Day</w:t>
      </w:r>
      <w:r w:rsidRPr="008545DD">
        <w:t>s 1, 3 and 5 was given. These cycles were 4 weeks in length.</w:t>
      </w:r>
      <w:r>
        <w:t xml:space="preserve"> </w:t>
      </w:r>
      <w:r w:rsidRPr="008545DD">
        <w:t>Maintenance therapy was dasatinib 100</w:t>
      </w:r>
      <w:r w:rsidR="00665FCA">
        <w:t xml:space="preserve"> mg</w:t>
      </w:r>
      <w:r w:rsidR="00D20EB3">
        <w:t xml:space="preserve"> daily, with 6</w:t>
      </w:r>
      <w:r w:rsidR="00D20EB3">
        <w:noBreakHyphen/>
      </w:r>
      <w:r w:rsidRPr="008545DD">
        <w:t>mercaptopurine and methotrexate week</w:t>
      </w:r>
      <w:r>
        <w:t>ly</w:t>
      </w:r>
      <w:r w:rsidRPr="008545DD">
        <w:t>, every other month. Every two to three months dexamethasone/vincristine was given up to 2 years. After this, therapy was dasatinib alone 100</w:t>
      </w:r>
      <w:r w:rsidR="00665FCA">
        <w:t xml:space="preserve"> mg</w:t>
      </w:r>
      <w:r w:rsidRPr="008545DD">
        <w:t xml:space="preserve"> daily until relapse or death.</w:t>
      </w:r>
      <w:r>
        <w:t xml:space="preserve"> Overall, 67</w:t>
      </w:r>
      <w:r w:rsidRPr="00A32F23">
        <w:t xml:space="preserve"> of the 71 patients achieved CR</w:t>
      </w:r>
      <w:r>
        <w:t>, 3 died during induction and 7 patients underwent ASCT</w:t>
      </w:r>
      <w:r w:rsidRPr="00A32F23">
        <w:t>.</w:t>
      </w:r>
      <w:r>
        <w:t xml:space="preserve"> </w:t>
      </w:r>
      <w:r w:rsidRPr="0042246B">
        <w:t xml:space="preserve">In total, 49 patients died, (69%), with 32 in relapse or refractory disease and 14 in CR. There were 6 deaths considered related to treatment. Twenty two patients were alive at the time of analysis. Of seven patients who underwent </w:t>
      </w:r>
      <w:r w:rsidR="00F23F71">
        <w:t>A</w:t>
      </w:r>
      <w:r w:rsidRPr="0042246B">
        <w:t>SCT, 4 were alive in CR at 53, 56, 59 and 65</w:t>
      </w:r>
      <w:r w:rsidR="00F23F71">
        <w:t> </w:t>
      </w:r>
      <w:r w:rsidRPr="0042246B">
        <w:t>months.</w:t>
      </w:r>
      <w:r>
        <w:t xml:space="preserve"> Of those achieving first CR (67), 55 were evaluable for MRD. After induction, 33 patients reached MMR. During consolidation, 36 patients reached MMR. </w:t>
      </w:r>
      <w:r w:rsidRPr="00F77162">
        <w:t>The primary study endpoint of relapse free survival (RFS) at 12 months was 58% (95% CI 45,</w:t>
      </w:r>
      <w:r w:rsidR="00D20EB3">
        <w:t xml:space="preserve"> </w:t>
      </w:r>
      <w:r w:rsidRPr="00F77162">
        <w:t xml:space="preserve">69). </w:t>
      </w:r>
      <w:r>
        <w:t>At three years, RFS, EFS and OS were 33% (95% CI 22,</w:t>
      </w:r>
      <w:r w:rsidR="00D20EB3">
        <w:t xml:space="preserve"> </w:t>
      </w:r>
      <w:r>
        <w:t>44), 31% (95% CI 21, 42) and 41% (95% CI 29, 52) respectively.</w:t>
      </w:r>
      <w:r>
        <w:rPr>
          <w:b/>
        </w:rPr>
        <w:t xml:space="preserve"> </w:t>
      </w:r>
      <w:r w:rsidRPr="00BB40B3">
        <w:t>At 5 years, RFS, EFS, and OS</w:t>
      </w:r>
      <w:r w:rsidR="00F64A85">
        <w:t>;</w:t>
      </w:r>
      <w:r>
        <w:rPr>
          <w:rStyle w:val="FootnoteReference"/>
          <w:rFonts w:asciiTheme="minorHAnsi" w:hAnsiTheme="minorHAnsi" w:cs="Calibri"/>
          <w:bCs/>
        </w:rPr>
        <w:footnoteReference w:id="29"/>
      </w:r>
      <w:r w:rsidRPr="00BB40B3">
        <w:t xml:space="preserve"> were 28%</w:t>
      </w:r>
      <w:r>
        <w:t xml:space="preserve"> </w:t>
      </w:r>
      <w:r w:rsidRPr="00BB40B3">
        <w:t>(95% CI, 18</w:t>
      </w:r>
      <w:r w:rsidR="007E1C18">
        <w:t xml:space="preserve"> to </w:t>
      </w:r>
      <w:r w:rsidRPr="00BB40B3">
        <w:t>39), 27%(95%CI, 17</w:t>
      </w:r>
      <w:r w:rsidR="007E1C18">
        <w:t xml:space="preserve"> to </w:t>
      </w:r>
      <w:r w:rsidRPr="00BB40B3">
        <w:t>37), and 36%(95%CI, 25</w:t>
      </w:r>
      <w:r w:rsidR="007E1C18">
        <w:t xml:space="preserve"> to </w:t>
      </w:r>
      <w:r w:rsidRPr="00BB40B3">
        <w:t>47), respectively. Median RFS, EFS, and OS were 19.1, 18.9, and 25.8 months, respectively.</w:t>
      </w:r>
    </w:p>
    <w:p w14:paraId="7AA8BAF9" w14:textId="77777777" w:rsidR="003877B1" w:rsidRPr="00F372D0" w:rsidRDefault="00D20EB3" w:rsidP="003877B1">
      <w:pPr>
        <w:rPr>
          <w:rFonts w:asciiTheme="minorHAnsi" w:hAnsiTheme="minorHAnsi" w:cs="Calibri"/>
          <w:bCs/>
        </w:rPr>
      </w:pPr>
      <w:r>
        <w:t xml:space="preserve">The Delegate </w:t>
      </w:r>
      <w:r w:rsidR="003877B1">
        <w:t>agree</w:t>
      </w:r>
      <w:r>
        <w:t>d</w:t>
      </w:r>
      <w:r w:rsidR="003877B1">
        <w:t xml:space="preserve"> with the evaluator that whilst t</w:t>
      </w:r>
      <w:r w:rsidR="003877B1" w:rsidRPr="00DC742C">
        <w:t>here is no comparison group</w:t>
      </w:r>
      <w:r w:rsidR="003877B1">
        <w:t xml:space="preserve">, </w:t>
      </w:r>
      <w:r w:rsidR="003877B1" w:rsidRPr="00DC742C">
        <w:t xml:space="preserve">outcomes </w:t>
      </w:r>
      <w:r w:rsidR="003877B1">
        <w:t xml:space="preserve">are likely to be clinically significant in this group </w:t>
      </w:r>
      <w:r w:rsidR="003877B1" w:rsidRPr="00DC742C">
        <w:t xml:space="preserve">given typically poor outcomes for </w:t>
      </w:r>
      <w:r w:rsidR="0079571B" w:rsidRPr="002B11F8">
        <w:t>Ph</w:t>
      </w:r>
      <w:r w:rsidR="0079571B" w:rsidRPr="0079571B">
        <w:rPr>
          <w:vertAlign w:val="superscript"/>
        </w:rPr>
        <w:t>+</w:t>
      </w:r>
      <w:r w:rsidR="003877B1" w:rsidRPr="00DC742C">
        <w:t xml:space="preserve"> ALL </w:t>
      </w:r>
      <w:r w:rsidR="003877B1">
        <w:t>in</w:t>
      </w:r>
      <w:r w:rsidR="003877B1" w:rsidRPr="00DC742C">
        <w:t xml:space="preserve"> the elderly population studied.</w:t>
      </w:r>
      <w:r w:rsidR="003877B1">
        <w:t xml:space="preserve"> The</w:t>
      </w:r>
      <w:r w:rsidR="003877B1" w:rsidRPr="00DC742C">
        <w:t xml:space="preserve"> </w:t>
      </w:r>
      <w:r w:rsidR="003877B1">
        <w:t xml:space="preserve">reported </w:t>
      </w:r>
      <w:r w:rsidR="003877B1" w:rsidRPr="00DC742C">
        <w:t xml:space="preserve">outcomes are </w:t>
      </w:r>
      <w:r w:rsidR="003877B1">
        <w:t xml:space="preserve">less pronounced </w:t>
      </w:r>
      <w:r w:rsidR="003877B1" w:rsidRPr="00DC742C">
        <w:t xml:space="preserve">in comparison with other pivotal studies submitted, </w:t>
      </w:r>
      <w:r w:rsidR="003877B1">
        <w:t xml:space="preserve">however </w:t>
      </w:r>
      <w:r w:rsidR="003877B1" w:rsidRPr="00DC742C">
        <w:t>t</w:t>
      </w:r>
      <w:r w:rsidR="003877B1">
        <w:t>he median age of the population in this study must be considered.</w:t>
      </w:r>
    </w:p>
    <w:p w14:paraId="3619DDDD" w14:textId="2BD8E37A" w:rsidR="003303E3" w:rsidRDefault="003877B1" w:rsidP="003877B1">
      <w:pPr>
        <w:rPr>
          <w:rFonts w:asciiTheme="minorHAnsi" w:hAnsiTheme="minorHAnsi" w:cs="Calibri"/>
          <w:bCs/>
        </w:rPr>
      </w:pPr>
      <w:r>
        <w:rPr>
          <w:rFonts w:asciiTheme="minorHAnsi" w:hAnsiTheme="minorHAnsi" w:cs="Calibri"/>
          <w:bCs/>
        </w:rPr>
        <w:t>Foá</w:t>
      </w:r>
      <w:r w:rsidRPr="00F372D0">
        <w:rPr>
          <w:rFonts w:asciiTheme="minorHAnsi" w:hAnsiTheme="minorHAnsi" w:cs="Calibri"/>
          <w:bCs/>
        </w:rPr>
        <w:t xml:space="preserve"> </w:t>
      </w:r>
      <w:r w:rsidRPr="0061480D">
        <w:rPr>
          <w:rFonts w:asciiTheme="minorHAnsi" w:hAnsiTheme="minorHAnsi" w:cs="Calibri"/>
          <w:bCs/>
        </w:rPr>
        <w:t>et al</w:t>
      </w:r>
      <w:r w:rsidR="00F64A85">
        <w:rPr>
          <w:rFonts w:asciiTheme="minorHAnsi" w:hAnsiTheme="minorHAnsi" w:cs="Calibri"/>
          <w:bCs/>
        </w:rPr>
        <w:t>.,</w:t>
      </w:r>
      <w:r w:rsidRPr="00F64A85">
        <w:rPr>
          <w:rFonts w:asciiTheme="minorHAnsi" w:hAnsiTheme="minorHAnsi" w:cs="Calibri"/>
          <w:bCs/>
        </w:rPr>
        <w:t xml:space="preserve"> </w:t>
      </w:r>
      <w:r w:rsidRPr="00F372D0">
        <w:rPr>
          <w:rFonts w:asciiTheme="minorHAnsi" w:hAnsiTheme="minorHAnsi" w:cs="Calibri"/>
          <w:bCs/>
        </w:rPr>
        <w:t xml:space="preserve">reported on 53 adult patients with newly diagnosed </w:t>
      </w:r>
      <w:r w:rsidR="0079571B" w:rsidRPr="002B11F8">
        <w:t>Ph</w:t>
      </w:r>
      <w:r w:rsidR="0079571B" w:rsidRPr="0079571B">
        <w:rPr>
          <w:vertAlign w:val="superscript"/>
        </w:rPr>
        <w:t>+</w:t>
      </w:r>
      <w:r w:rsidRPr="00F372D0">
        <w:rPr>
          <w:rFonts w:asciiTheme="minorHAnsi" w:hAnsiTheme="minorHAnsi" w:cs="Calibri"/>
          <w:bCs/>
        </w:rPr>
        <w:t xml:space="preserve"> ALL (</w:t>
      </w:r>
      <w:r w:rsidR="00D20EB3">
        <w:rPr>
          <w:rFonts w:asciiTheme="minorHAnsi" w:hAnsiTheme="minorHAnsi" w:cs="Calibri"/>
          <w:bCs/>
        </w:rPr>
        <w:t xml:space="preserve">median age 53.6 years, range 23 to </w:t>
      </w:r>
      <w:r w:rsidRPr="00F372D0">
        <w:rPr>
          <w:rFonts w:asciiTheme="minorHAnsi" w:hAnsiTheme="minorHAnsi" w:cs="Calibri"/>
          <w:bCs/>
        </w:rPr>
        <w:t>76 years) (reported as part of the GIMEMA LAL0201-B protocol study).</w:t>
      </w:r>
      <w:r w:rsidR="00D20EB3" w:rsidRPr="00D20EB3">
        <w:rPr>
          <w:rFonts w:asciiTheme="minorHAnsi" w:hAnsiTheme="minorHAnsi" w:cs="Calibri"/>
          <w:bCs/>
          <w:vertAlign w:val="superscript"/>
        </w:rPr>
        <w:fldChar w:fldCharType="begin"/>
      </w:r>
      <w:r w:rsidR="00D20EB3" w:rsidRPr="00D20EB3">
        <w:rPr>
          <w:rFonts w:asciiTheme="minorHAnsi" w:hAnsiTheme="minorHAnsi" w:cs="Calibri"/>
          <w:bCs/>
          <w:vertAlign w:val="superscript"/>
        </w:rPr>
        <w:instrText xml:space="preserve"> NOTEREF _Ref531103135 \h </w:instrText>
      </w:r>
      <w:r w:rsidR="00D20EB3">
        <w:rPr>
          <w:rFonts w:asciiTheme="minorHAnsi" w:hAnsiTheme="minorHAnsi" w:cs="Calibri"/>
          <w:bCs/>
          <w:vertAlign w:val="superscript"/>
        </w:rPr>
        <w:instrText xml:space="preserve"> \* MERGEFORMAT </w:instrText>
      </w:r>
      <w:r w:rsidR="00D20EB3" w:rsidRPr="00D20EB3">
        <w:rPr>
          <w:rFonts w:asciiTheme="minorHAnsi" w:hAnsiTheme="minorHAnsi" w:cs="Calibri"/>
          <w:bCs/>
          <w:vertAlign w:val="superscript"/>
        </w:rPr>
      </w:r>
      <w:r w:rsidR="00D20EB3" w:rsidRPr="00D20EB3">
        <w:rPr>
          <w:rFonts w:asciiTheme="minorHAnsi" w:hAnsiTheme="minorHAnsi" w:cs="Calibri"/>
          <w:bCs/>
          <w:vertAlign w:val="superscript"/>
        </w:rPr>
        <w:fldChar w:fldCharType="separate"/>
      </w:r>
      <w:r w:rsidR="00D20EB3" w:rsidRPr="00D20EB3">
        <w:rPr>
          <w:rFonts w:asciiTheme="minorHAnsi" w:hAnsiTheme="minorHAnsi" w:cs="Calibri"/>
          <w:bCs/>
          <w:vertAlign w:val="superscript"/>
        </w:rPr>
        <w:t>9</w:t>
      </w:r>
      <w:r w:rsidR="00D20EB3" w:rsidRPr="00D20EB3">
        <w:rPr>
          <w:rFonts w:asciiTheme="minorHAnsi" w:hAnsiTheme="minorHAnsi" w:cs="Calibri"/>
          <w:bCs/>
          <w:vertAlign w:val="superscript"/>
        </w:rPr>
        <w:fldChar w:fldCharType="end"/>
      </w:r>
      <w:r w:rsidRPr="00F372D0">
        <w:rPr>
          <w:rFonts w:asciiTheme="minorHAnsi" w:hAnsiTheme="minorHAnsi" w:cs="Calibri"/>
          <w:bCs/>
        </w:rPr>
        <w:t xml:space="preserve"> </w:t>
      </w:r>
      <w:r w:rsidRPr="00913F96">
        <w:rPr>
          <w:rFonts w:asciiTheme="minorHAnsi" w:hAnsiTheme="minorHAnsi" w:cs="Calibri"/>
          <w:bCs/>
        </w:rPr>
        <w:t>Patients received 7 days of steroid treatment prior to dasatinib treatme</w:t>
      </w:r>
      <w:r w:rsidR="00D20EB3">
        <w:rPr>
          <w:rFonts w:asciiTheme="minorHAnsi" w:hAnsiTheme="minorHAnsi" w:cs="Calibri"/>
          <w:bCs/>
        </w:rPr>
        <w:t xml:space="preserve">nt, with increasing doses of 10 to </w:t>
      </w:r>
      <w:r w:rsidRPr="00913F96">
        <w:rPr>
          <w:rFonts w:asciiTheme="minorHAnsi" w:hAnsiTheme="minorHAnsi" w:cs="Calibri"/>
          <w:bCs/>
        </w:rPr>
        <w:t>60</w:t>
      </w:r>
      <w:r w:rsidR="00665FCA">
        <w:rPr>
          <w:rFonts w:asciiTheme="minorHAnsi" w:hAnsiTheme="minorHAnsi" w:cs="Calibri"/>
          <w:bCs/>
        </w:rPr>
        <w:t xml:space="preserve"> mg</w:t>
      </w:r>
      <w:r w:rsidRPr="00913F96">
        <w:rPr>
          <w:rFonts w:asciiTheme="minorHAnsi" w:hAnsiTheme="minorHAnsi" w:cs="Calibri"/>
          <w:bCs/>
        </w:rPr>
        <w:t>/</w:t>
      </w:r>
      <w:r w:rsidR="00D20EB3" w:rsidRPr="00913F96">
        <w:rPr>
          <w:rFonts w:asciiTheme="minorHAnsi" w:hAnsiTheme="minorHAnsi" w:cs="Calibri"/>
          <w:bCs/>
        </w:rPr>
        <w:t>m</w:t>
      </w:r>
      <w:r w:rsidR="00D20EB3" w:rsidRPr="00D20EB3">
        <w:rPr>
          <w:rFonts w:asciiTheme="minorHAnsi" w:hAnsiTheme="minorHAnsi" w:cs="Calibri"/>
          <w:bCs/>
          <w:vertAlign w:val="superscript"/>
        </w:rPr>
        <w:t>2</w:t>
      </w:r>
      <w:r w:rsidRPr="00913F96">
        <w:rPr>
          <w:rFonts w:asciiTheme="minorHAnsi" w:hAnsiTheme="minorHAnsi" w:cs="Calibri"/>
          <w:bCs/>
        </w:rPr>
        <w:t xml:space="preserve"> per day</w:t>
      </w:r>
      <w:r>
        <w:rPr>
          <w:rFonts w:asciiTheme="minorHAnsi" w:hAnsiTheme="minorHAnsi" w:cs="Calibri"/>
          <w:bCs/>
        </w:rPr>
        <w:t xml:space="preserve">. </w:t>
      </w:r>
      <w:r w:rsidRPr="00F372D0">
        <w:rPr>
          <w:rFonts w:asciiTheme="minorHAnsi" w:hAnsiTheme="minorHAnsi" w:cs="Calibri"/>
          <w:bCs/>
        </w:rPr>
        <w:t xml:space="preserve">Patients </w:t>
      </w:r>
      <w:r>
        <w:rPr>
          <w:rFonts w:asciiTheme="minorHAnsi" w:hAnsiTheme="minorHAnsi" w:cs="Calibri"/>
          <w:bCs/>
        </w:rPr>
        <w:t xml:space="preserve">then </w:t>
      </w:r>
      <w:r w:rsidRPr="00F372D0">
        <w:rPr>
          <w:rFonts w:asciiTheme="minorHAnsi" w:hAnsiTheme="minorHAnsi" w:cs="Calibri"/>
          <w:bCs/>
        </w:rPr>
        <w:t>received dasatinib (70</w:t>
      </w:r>
      <w:r w:rsidR="00665FCA">
        <w:rPr>
          <w:rFonts w:asciiTheme="minorHAnsi" w:hAnsiTheme="minorHAnsi" w:cs="Calibri"/>
          <w:bCs/>
        </w:rPr>
        <w:t xml:space="preserve"> mg</w:t>
      </w:r>
      <w:r w:rsidRPr="00F372D0">
        <w:rPr>
          <w:rFonts w:asciiTheme="minorHAnsi" w:hAnsiTheme="minorHAnsi" w:cs="Calibri"/>
          <w:bCs/>
        </w:rPr>
        <w:t xml:space="preserve"> twice daily) induction therapy for 84 days combined with steroids for the first 32 days and intrathecal chemotherapy. Post remission therapy was not specified. </w:t>
      </w:r>
      <w:r w:rsidRPr="003959D1">
        <w:rPr>
          <w:rFonts w:asciiTheme="minorHAnsi" w:hAnsiTheme="minorHAnsi" w:cs="Calibri"/>
          <w:bCs/>
        </w:rPr>
        <w:t xml:space="preserve">After the steroid phase, 86% showed a blast reduction of 75% or greater. Fourteen percent showed a blast reduction less than 75%. However during dasatinib treatment, 100% of patients achieved a CHR; 49 at the </w:t>
      </w:r>
      <w:r w:rsidR="00166605" w:rsidRPr="003959D1">
        <w:rPr>
          <w:rFonts w:asciiTheme="minorHAnsi" w:hAnsiTheme="minorHAnsi" w:cs="Calibri"/>
          <w:bCs/>
        </w:rPr>
        <w:t xml:space="preserve">first </w:t>
      </w:r>
      <w:r w:rsidR="00166605">
        <w:t>bone marrow</w:t>
      </w:r>
      <w:r w:rsidR="00166605" w:rsidRPr="003959D1">
        <w:rPr>
          <w:rFonts w:asciiTheme="minorHAnsi" w:hAnsiTheme="minorHAnsi" w:cs="Calibri"/>
          <w:bCs/>
        </w:rPr>
        <w:t xml:space="preserve"> </w:t>
      </w:r>
      <w:r w:rsidR="00166605">
        <w:rPr>
          <w:rFonts w:asciiTheme="minorHAnsi" w:hAnsiTheme="minorHAnsi" w:cs="Calibri"/>
          <w:bCs/>
        </w:rPr>
        <w:t>(</w:t>
      </w:r>
      <w:r w:rsidRPr="003959D1">
        <w:rPr>
          <w:rFonts w:asciiTheme="minorHAnsi" w:hAnsiTheme="minorHAnsi" w:cs="Calibri"/>
          <w:bCs/>
        </w:rPr>
        <w:t>BM</w:t>
      </w:r>
      <w:r w:rsidR="00166605">
        <w:rPr>
          <w:rFonts w:asciiTheme="minorHAnsi" w:hAnsiTheme="minorHAnsi" w:cs="Calibri"/>
          <w:bCs/>
        </w:rPr>
        <w:t>)</w:t>
      </w:r>
      <w:r w:rsidRPr="003959D1">
        <w:rPr>
          <w:rFonts w:asciiTheme="minorHAnsi" w:hAnsiTheme="minorHAnsi" w:cs="Calibri"/>
          <w:bCs/>
        </w:rPr>
        <w:t xml:space="preserve"> determination on </w:t>
      </w:r>
      <w:r w:rsidR="00D20EB3">
        <w:rPr>
          <w:rFonts w:asciiTheme="minorHAnsi" w:hAnsiTheme="minorHAnsi" w:cs="Calibri"/>
          <w:bCs/>
        </w:rPr>
        <w:t>Day</w:t>
      </w:r>
      <w:r w:rsidRPr="003959D1">
        <w:rPr>
          <w:rFonts w:asciiTheme="minorHAnsi" w:hAnsiTheme="minorHAnsi" w:cs="Calibri"/>
          <w:bCs/>
        </w:rPr>
        <w:t xml:space="preserve"> 22, three at the second determination at </w:t>
      </w:r>
      <w:r w:rsidR="00D20EB3">
        <w:rPr>
          <w:rFonts w:asciiTheme="minorHAnsi" w:hAnsiTheme="minorHAnsi" w:cs="Calibri"/>
          <w:bCs/>
        </w:rPr>
        <w:t>Day</w:t>
      </w:r>
      <w:r w:rsidRPr="003959D1">
        <w:rPr>
          <w:rFonts w:asciiTheme="minorHAnsi" w:hAnsiTheme="minorHAnsi" w:cs="Calibri"/>
          <w:bCs/>
        </w:rPr>
        <w:t xml:space="preserve"> 43, and one at the third determination on </w:t>
      </w:r>
      <w:r w:rsidR="00D20EB3">
        <w:rPr>
          <w:rFonts w:asciiTheme="minorHAnsi" w:hAnsiTheme="minorHAnsi" w:cs="Calibri"/>
          <w:bCs/>
        </w:rPr>
        <w:t>Day</w:t>
      </w:r>
      <w:r w:rsidRPr="003959D1">
        <w:rPr>
          <w:rFonts w:asciiTheme="minorHAnsi" w:hAnsiTheme="minorHAnsi" w:cs="Calibri"/>
          <w:bCs/>
        </w:rPr>
        <w:t xml:space="preserve"> 57. Median time to CHR was 23 days.</w:t>
      </w:r>
      <w:r>
        <w:rPr>
          <w:rFonts w:asciiTheme="minorHAnsi" w:hAnsiTheme="minorHAnsi" w:cs="Calibri"/>
          <w:bCs/>
        </w:rPr>
        <w:t xml:space="preserve"> </w:t>
      </w:r>
      <w:r>
        <w:rPr>
          <w:rFonts w:asciiTheme="minorHAnsi" w:eastAsiaTheme="minorHAnsi" w:hAnsiTheme="minorHAnsi" w:cs="Times-Roman"/>
          <w:color w:val="231F20"/>
        </w:rPr>
        <w:t>A</w:t>
      </w:r>
      <w:r w:rsidRPr="00C639E4">
        <w:rPr>
          <w:rFonts w:asciiTheme="minorHAnsi" w:eastAsiaTheme="minorHAnsi" w:hAnsiTheme="minorHAnsi" w:cs="Times-Roman"/>
          <w:color w:val="231F20"/>
        </w:rPr>
        <w:t>fter treatment with dasatinib, a marked BM reduction of the</w:t>
      </w:r>
      <w:r>
        <w:rPr>
          <w:rFonts w:asciiTheme="minorHAnsi" w:eastAsiaTheme="minorHAnsi" w:hAnsiTheme="minorHAnsi" w:cs="Times-Roman"/>
          <w:color w:val="231F20"/>
        </w:rPr>
        <w:t xml:space="preserve"> </w:t>
      </w:r>
      <w:r w:rsidRPr="00C639E4">
        <w:rPr>
          <w:rFonts w:asciiTheme="minorHAnsi" w:eastAsiaTheme="minorHAnsi" w:hAnsiTheme="minorHAnsi" w:cs="Times-Roman"/>
          <w:color w:val="231F20"/>
        </w:rPr>
        <w:t xml:space="preserve">leukemic clone was recorded: at </w:t>
      </w:r>
      <w:r w:rsidR="00D20EB3">
        <w:rPr>
          <w:rFonts w:asciiTheme="minorHAnsi" w:eastAsiaTheme="minorHAnsi" w:hAnsiTheme="minorHAnsi" w:cs="Times-Roman"/>
          <w:color w:val="231F20"/>
        </w:rPr>
        <w:t>Day</w:t>
      </w:r>
      <w:r w:rsidRPr="00C639E4">
        <w:rPr>
          <w:rFonts w:asciiTheme="minorHAnsi" w:eastAsiaTheme="minorHAnsi" w:hAnsiTheme="minorHAnsi" w:cs="Times-Roman"/>
          <w:color w:val="231F20"/>
        </w:rPr>
        <w:t xml:space="preserve"> 22, 9 of 44 patients (20.4%)</w:t>
      </w:r>
      <w:r>
        <w:rPr>
          <w:rFonts w:asciiTheme="minorHAnsi" w:eastAsiaTheme="minorHAnsi" w:hAnsiTheme="minorHAnsi" w:cs="Times-Roman"/>
          <w:color w:val="231F20"/>
        </w:rPr>
        <w:t xml:space="preserve"> </w:t>
      </w:r>
      <w:r w:rsidRPr="00C639E4">
        <w:rPr>
          <w:rFonts w:asciiTheme="minorHAnsi" w:eastAsiaTheme="minorHAnsi" w:hAnsiTheme="minorHAnsi" w:cs="Times-Roman"/>
          <w:color w:val="231F20"/>
        </w:rPr>
        <w:t xml:space="preserve">were negative and 12 of 44 patients (27.3%) showed </w:t>
      </w:r>
      <w:r w:rsidR="00D20EB3">
        <w:rPr>
          <w:rFonts w:asciiTheme="minorHAnsi" w:eastAsiaTheme="minorHAnsi" w:hAnsiTheme="minorHAnsi" w:cs="Universal-GreekwithMathPi"/>
          <w:color w:val="231F20"/>
        </w:rPr>
        <w:t>&lt; </w:t>
      </w:r>
      <w:r w:rsidRPr="00C639E4">
        <w:rPr>
          <w:rFonts w:asciiTheme="minorHAnsi" w:eastAsiaTheme="minorHAnsi" w:hAnsiTheme="minorHAnsi" w:cs="Times-Roman"/>
          <w:color w:val="231F20"/>
        </w:rPr>
        <w:t>0.01% of</w:t>
      </w:r>
      <w:r>
        <w:rPr>
          <w:rFonts w:asciiTheme="minorHAnsi" w:eastAsiaTheme="minorHAnsi" w:hAnsiTheme="minorHAnsi" w:cs="Times-Roman"/>
          <w:color w:val="231F20"/>
        </w:rPr>
        <w:t xml:space="preserve"> </w:t>
      </w:r>
      <w:r w:rsidRPr="00C639E4">
        <w:rPr>
          <w:rFonts w:asciiTheme="minorHAnsi" w:eastAsiaTheme="minorHAnsi" w:hAnsiTheme="minorHAnsi" w:cs="Times-Roman"/>
          <w:color w:val="231F20"/>
        </w:rPr>
        <w:t xml:space="preserve">disease; at </w:t>
      </w:r>
      <w:r w:rsidR="00D20EB3">
        <w:rPr>
          <w:rFonts w:asciiTheme="minorHAnsi" w:eastAsiaTheme="minorHAnsi" w:hAnsiTheme="minorHAnsi" w:cs="Times-Roman"/>
          <w:color w:val="231F20"/>
        </w:rPr>
        <w:t>Day</w:t>
      </w:r>
      <w:r w:rsidRPr="00C639E4">
        <w:rPr>
          <w:rFonts w:asciiTheme="minorHAnsi" w:eastAsiaTheme="minorHAnsi" w:hAnsiTheme="minorHAnsi" w:cs="Times-Roman"/>
          <w:color w:val="231F20"/>
        </w:rPr>
        <w:t xml:space="preserve"> 43, 19 of 47 patients (40.4%) were negative and</w:t>
      </w:r>
      <w:r>
        <w:rPr>
          <w:rFonts w:asciiTheme="minorHAnsi" w:eastAsiaTheme="minorHAnsi" w:hAnsiTheme="minorHAnsi" w:cs="Times-Roman"/>
          <w:color w:val="231F20"/>
        </w:rPr>
        <w:t xml:space="preserve"> </w:t>
      </w:r>
      <w:r w:rsidRPr="00C639E4">
        <w:rPr>
          <w:rFonts w:asciiTheme="minorHAnsi" w:eastAsiaTheme="minorHAnsi" w:hAnsiTheme="minorHAnsi" w:cs="Times-Roman"/>
          <w:color w:val="231F20"/>
        </w:rPr>
        <w:t xml:space="preserve">15 of </w:t>
      </w:r>
      <w:r w:rsidRPr="00C639E4">
        <w:rPr>
          <w:rFonts w:asciiTheme="minorHAnsi" w:eastAsiaTheme="minorHAnsi" w:hAnsiTheme="minorHAnsi" w:cs="Times-Roman"/>
          <w:color w:val="231F20"/>
        </w:rPr>
        <w:lastRenderedPageBreak/>
        <w:t>47 (31.9%) showed</w:t>
      </w:r>
      <w:r>
        <w:rPr>
          <w:rFonts w:asciiTheme="minorHAnsi" w:eastAsiaTheme="minorHAnsi" w:hAnsiTheme="minorHAnsi" w:cs="Times-Roman"/>
          <w:color w:val="231F20"/>
        </w:rPr>
        <w:t xml:space="preserve"> </w:t>
      </w:r>
      <w:r w:rsidR="00B90B8B">
        <w:rPr>
          <w:rFonts w:asciiTheme="minorHAnsi" w:eastAsiaTheme="minorHAnsi" w:hAnsiTheme="minorHAnsi" w:cs="Times-Roman"/>
          <w:color w:val="231F20"/>
        </w:rPr>
        <w:t xml:space="preserve">&lt; </w:t>
      </w:r>
      <w:r>
        <w:rPr>
          <w:rFonts w:asciiTheme="minorHAnsi" w:eastAsiaTheme="minorHAnsi" w:hAnsiTheme="minorHAnsi" w:cs="Universal-GreekwithMathPi"/>
          <w:color w:val="231F20"/>
        </w:rPr>
        <w:t>0</w:t>
      </w:r>
      <w:r w:rsidRPr="00C639E4">
        <w:rPr>
          <w:rFonts w:asciiTheme="minorHAnsi" w:eastAsiaTheme="minorHAnsi" w:hAnsiTheme="minorHAnsi" w:cs="Times-Roman"/>
          <w:color w:val="231F20"/>
        </w:rPr>
        <w:t>.01% of disease</w:t>
      </w:r>
      <w:r w:rsidRPr="00F86D1D">
        <w:rPr>
          <w:rFonts w:asciiTheme="minorHAnsi" w:eastAsiaTheme="minorHAnsi" w:hAnsiTheme="minorHAnsi" w:cs="Times-Roman"/>
          <w:color w:val="231F20"/>
        </w:rPr>
        <w:t xml:space="preserve">. The leukemic cell reduction was significant between </w:t>
      </w:r>
      <w:r w:rsidR="00D20EB3">
        <w:rPr>
          <w:rFonts w:asciiTheme="minorHAnsi" w:eastAsiaTheme="minorHAnsi" w:hAnsiTheme="minorHAnsi" w:cs="Times-Roman"/>
          <w:color w:val="231F20"/>
        </w:rPr>
        <w:t>Day</w:t>
      </w:r>
      <w:r w:rsidRPr="00F86D1D">
        <w:rPr>
          <w:rFonts w:asciiTheme="minorHAnsi" w:eastAsiaTheme="minorHAnsi" w:hAnsiTheme="minorHAnsi" w:cs="Times-Roman"/>
          <w:color w:val="231F20"/>
        </w:rPr>
        <w:t xml:space="preserve">s 0 and 22, </w:t>
      </w:r>
      <w:r w:rsidR="00D20EB3">
        <w:rPr>
          <w:rFonts w:asciiTheme="minorHAnsi" w:eastAsiaTheme="minorHAnsi" w:hAnsiTheme="minorHAnsi" w:cs="Times-Roman"/>
          <w:color w:val="231F20"/>
        </w:rPr>
        <w:t>Day</w:t>
      </w:r>
      <w:r w:rsidRPr="00F86D1D">
        <w:rPr>
          <w:rFonts w:asciiTheme="minorHAnsi" w:eastAsiaTheme="minorHAnsi" w:hAnsiTheme="minorHAnsi" w:cs="Times-Roman"/>
          <w:color w:val="231F20"/>
        </w:rPr>
        <w:t>s 22 and 43 (</w:t>
      </w:r>
      <w:r w:rsidR="00D20EB3">
        <w:rPr>
          <w:rFonts w:asciiTheme="minorHAnsi" w:eastAsiaTheme="minorHAnsi" w:hAnsiTheme="minorHAnsi" w:cs="Times-Italic"/>
          <w:iCs/>
          <w:color w:val="231F20"/>
        </w:rPr>
        <w:t xml:space="preserve">p </w:t>
      </w:r>
      <w:r w:rsidR="00B90B8B" w:rsidRPr="00D20EB3">
        <w:rPr>
          <w:rFonts w:asciiTheme="minorHAnsi" w:eastAsiaTheme="minorHAnsi" w:hAnsiTheme="minorHAnsi" w:cs="Universal-GreekwithMathPi"/>
          <w:color w:val="231F20"/>
        </w:rPr>
        <w:t>&lt;</w:t>
      </w:r>
      <w:r w:rsidR="00B90B8B">
        <w:rPr>
          <w:rFonts w:asciiTheme="minorHAnsi" w:eastAsiaTheme="minorHAnsi" w:hAnsiTheme="minorHAnsi" w:cs="Universal-GreekwithMathPi"/>
          <w:color w:val="231F20"/>
        </w:rPr>
        <w:t xml:space="preserve"> </w:t>
      </w:r>
      <w:r w:rsidRPr="00F86D1D">
        <w:rPr>
          <w:rFonts w:asciiTheme="minorHAnsi" w:eastAsiaTheme="minorHAnsi" w:hAnsiTheme="minorHAnsi" w:cs="Universal-GreekwithMathPi"/>
          <w:color w:val="231F20"/>
        </w:rPr>
        <w:t>0</w:t>
      </w:r>
      <w:r w:rsidRPr="00F86D1D">
        <w:rPr>
          <w:rFonts w:asciiTheme="minorHAnsi" w:eastAsiaTheme="minorHAnsi" w:hAnsiTheme="minorHAnsi" w:cs="Times-Roman"/>
          <w:color w:val="231F20"/>
        </w:rPr>
        <w:t xml:space="preserve">.0001), and </w:t>
      </w:r>
      <w:r w:rsidR="00D20EB3">
        <w:rPr>
          <w:rFonts w:asciiTheme="minorHAnsi" w:eastAsiaTheme="minorHAnsi" w:hAnsiTheme="minorHAnsi" w:cs="Times-Roman"/>
          <w:color w:val="231F20"/>
        </w:rPr>
        <w:t>Day</w:t>
      </w:r>
      <w:r w:rsidRPr="00F86D1D">
        <w:rPr>
          <w:rFonts w:asciiTheme="minorHAnsi" w:eastAsiaTheme="minorHAnsi" w:hAnsiTheme="minorHAnsi" w:cs="Times-Roman"/>
          <w:color w:val="231F20"/>
        </w:rPr>
        <w:t>s 43 and 57 (</w:t>
      </w:r>
      <w:r w:rsidR="00D20EB3" w:rsidRPr="00D20EB3">
        <w:rPr>
          <w:rFonts w:asciiTheme="minorHAnsi" w:eastAsiaTheme="minorHAnsi" w:hAnsiTheme="minorHAnsi" w:cs="Times-Italic"/>
          <w:iCs/>
          <w:color w:val="231F20"/>
        </w:rPr>
        <w:t>p</w:t>
      </w:r>
      <w:r w:rsidR="00D20EB3">
        <w:rPr>
          <w:rFonts w:asciiTheme="minorHAnsi" w:eastAsiaTheme="minorHAnsi" w:hAnsiTheme="minorHAnsi" w:cs="Universal-GreekwithMathPi"/>
          <w:color w:val="231F20"/>
        </w:rPr>
        <w:t xml:space="preserve"> </w:t>
      </w:r>
      <w:r w:rsidRPr="00F86D1D">
        <w:rPr>
          <w:rFonts w:asciiTheme="minorHAnsi" w:eastAsiaTheme="minorHAnsi" w:hAnsiTheme="minorHAnsi" w:cs="Universal-GreekwithMathPi"/>
          <w:color w:val="231F20"/>
        </w:rPr>
        <w:t>=</w:t>
      </w:r>
      <w:r w:rsidR="00D20EB3">
        <w:rPr>
          <w:rFonts w:asciiTheme="minorHAnsi" w:eastAsiaTheme="minorHAnsi" w:hAnsiTheme="minorHAnsi" w:cs="Universal-GreekwithMathPi"/>
          <w:color w:val="231F20"/>
        </w:rPr>
        <w:t xml:space="preserve"> </w:t>
      </w:r>
      <w:r w:rsidRPr="00F86D1D">
        <w:rPr>
          <w:rFonts w:asciiTheme="minorHAnsi" w:eastAsiaTheme="minorHAnsi" w:hAnsiTheme="minorHAnsi" w:cs="Universal-GreekwithMathPi"/>
          <w:color w:val="231F20"/>
        </w:rPr>
        <w:t>0</w:t>
      </w:r>
      <w:r w:rsidRPr="00F86D1D">
        <w:rPr>
          <w:rFonts w:asciiTheme="minorHAnsi" w:eastAsiaTheme="minorHAnsi" w:hAnsiTheme="minorHAnsi" w:cs="Times-Roman"/>
          <w:color w:val="231F20"/>
        </w:rPr>
        <w:t xml:space="preserve">.0143). No further significant reduction was observed between </w:t>
      </w:r>
      <w:r w:rsidR="00D20EB3">
        <w:rPr>
          <w:rFonts w:asciiTheme="minorHAnsi" w:eastAsiaTheme="minorHAnsi" w:hAnsiTheme="minorHAnsi" w:cs="Times-Roman"/>
          <w:color w:val="231F20"/>
        </w:rPr>
        <w:t>Day</w:t>
      </w:r>
      <w:r w:rsidRPr="00F86D1D">
        <w:rPr>
          <w:rFonts w:asciiTheme="minorHAnsi" w:eastAsiaTheme="minorHAnsi" w:hAnsiTheme="minorHAnsi" w:cs="Times-Roman"/>
          <w:color w:val="231F20"/>
        </w:rPr>
        <w:t>s 57 and 85.</w:t>
      </w:r>
      <w:r>
        <w:rPr>
          <w:rFonts w:asciiTheme="minorHAnsi" w:eastAsiaTheme="minorHAnsi" w:hAnsiTheme="minorHAnsi" w:cs="Times-Roman"/>
          <w:b/>
          <w:color w:val="231F20"/>
        </w:rPr>
        <w:t xml:space="preserve"> </w:t>
      </w:r>
      <w:r w:rsidRPr="00F372D0">
        <w:rPr>
          <w:rFonts w:asciiTheme="minorHAnsi" w:hAnsiTheme="minorHAnsi" w:cs="Calibri"/>
          <w:bCs/>
        </w:rPr>
        <w:t>A si</w:t>
      </w:r>
      <w:r w:rsidR="00D20EB3">
        <w:rPr>
          <w:rFonts w:asciiTheme="minorHAnsi" w:hAnsiTheme="minorHAnsi" w:cs="Calibri"/>
          <w:bCs/>
        </w:rPr>
        <w:t xml:space="preserve">gnificant difference in disease free </w:t>
      </w:r>
      <w:r w:rsidRPr="00F372D0">
        <w:rPr>
          <w:rFonts w:asciiTheme="minorHAnsi" w:hAnsiTheme="minorHAnsi" w:cs="Calibri"/>
          <w:bCs/>
        </w:rPr>
        <w:t xml:space="preserve">survival was observed between patients who showed at </w:t>
      </w:r>
      <w:r w:rsidR="00D20EB3">
        <w:rPr>
          <w:rFonts w:asciiTheme="minorHAnsi" w:hAnsiTheme="minorHAnsi" w:cs="Calibri"/>
          <w:bCs/>
        </w:rPr>
        <w:t>Day</w:t>
      </w:r>
      <w:r w:rsidRPr="00F372D0">
        <w:rPr>
          <w:rFonts w:asciiTheme="minorHAnsi" w:hAnsiTheme="minorHAnsi" w:cs="Calibri"/>
          <w:bCs/>
        </w:rPr>
        <w:t xml:space="preserve"> 22 a decrease in BCR-ABL levels of </w:t>
      </w:r>
      <w:r w:rsidR="00B90B8B">
        <w:rPr>
          <w:rFonts w:asciiTheme="minorHAnsi" w:hAnsiTheme="minorHAnsi" w:cs="Calibri"/>
          <w:bCs/>
        </w:rPr>
        <w:t xml:space="preserve">&lt; </w:t>
      </w:r>
      <w:r w:rsidRPr="00F372D0">
        <w:rPr>
          <w:rFonts w:asciiTheme="minorHAnsi" w:hAnsiTheme="minorHAnsi" w:cs="Calibri"/>
          <w:bCs/>
        </w:rPr>
        <w:t>10</w:t>
      </w:r>
      <w:r w:rsidRPr="00F372D0">
        <w:rPr>
          <w:rFonts w:asciiTheme="minorHAnsi" w:hAnsiTheme="minorHAnsi" w:cs="Calibri"/>
          <w:bCs/>
          <w:vertAlign w:val="superscript"/>
        </w:rPr>
        <w:t>-3</w:t>
      </w:r>
      <w:r w:rsidRPr="00F372D0">
        <w:rPr>
          <w:rFonts w:asciiTheme="minorHAnsi" w:hAnsiTheme="minorHAnsi" w:cs="Calibri"/>
          <w:bCs/>
        </w:rPr>
        <w:t xml:space="preserve"> compared with patients who never reached these levels during induction</w:t>
      </w:r>
      <w:r w:rsidR="003303E3">
        <w:rPr>
          <w:rFonts w:asciiTheme="minorHAnsi" w:hAnsiTheme="minorHAnsi" w:cs="Calibri"/>
          <w:bCs/>
        </w:rPr>
        <w:t>.</w:t>
      </w:r>
    </w:p>
    <w:p w14:paraId="1961476C" w14:textId="3A9B9890" w:rsidR="003877B1" w:rsidRDefault="003877B1" w:rsidP="003877B1">
      <w:r>
        <w:t>The results from Foá</w:t>
      </w:r>
      <w:r w:rsidRPr="00F372D0">
        <w:t xml:space="preserve"> </w:t>
      </w:r>
      <w:r w:rsidRPr="0061480D">
        <w:t>et al</w:t>
      </w:r>
      <w:r w:rsidR="00F64A85">
        <w:t>.,</w:t>
      </w:r>
      <w:r w:rsidRPr="00F372D0">
        <w:t xml:space="preserve"> </w:t>
      </w:r>
      <w:r>
        <w:t xml:space="preserve">support the efficacy of dasatinib </w:t>
      </w:r>
      <w:r w:rsidRPr="006A427C">
        <w:t xml:space="preserve">plus steroids for first line </w:t>
      </w:r>
      <w:r w:rsidR="0079571B" w:rsidRPr="002B11F8">
        <w:t>Ph</w:t>
      </w:r>
      <w:r w:rsidR="0079571B" w:rsidRPr="0079571B">
        <w:rPr>
          <w:vertAlign w:val="superscript"/>
        </w:rPr>
        <w:t>+</w:t>
      </w:r>
      <w:r w:rsidR="00D20EB3">
        <w:t> </w:t>
      </w:r>
      <w:r w:rsidRPr="006A427C">
        <w:t xml:space="preserve">ALL therapy. The primary endpoint measures demonstrated significant and rapid removal of the neoplastic clone and this was statistically significant out to </w:t>
      </w:r>
      <w:r w:rsidR="00D20EB3">
        <w:t>Day</w:t>
      </w:r>
      <w:r w:rsidRPr="006A427C">
        <w:t xml:space="preserve"> 57 of the analysis time points. Those patients with BCR-ABL+ status can achieve a rapid debulking of the disease using dasatinib alone without the use of combination chemotherapy in this patient population</w:t>
      </w:r>
      <w:r>
        <w:t>.</w:t>
      </w:r>
    </w:p>
    <w:p w14:paraId="43FDAF6F" w14:textId="77777777" w:rsidR="003877B1" w:rsidRDefault="003877B1" w:rsidP="003877B1">
      <w:pPr>
        <w:pStyle w:val="Heading5"/>
      </w:pPr>
      <w:r w:rsidRPr="00F372D0">
        <w:t>Supportive efficacy data</w:t>
      </w:r>
    </w:p>
    <w:p w14:paraId="76400DD0" w14:textId="1947BFDB" w:rsidR="003877B1" w:rsidRPr="003877B1" w:rsidRDefault="003877B1" w:rsidP="003877B1">
      <w:r w:rsidRPr="00F372D0">
        <w:t xml:space="preserve">As stated by the </w:t>
      </w:r>
      <w:r w:rsidR="00036FE4">
        <w:t>sponsor</w:t>
      </w:r>
      <w:r w:rsidRPr="00F372D0">
        <w:t xml:space="preserve">, published efficacy data available in the form of abstracts or conference posters have been identified in the literature search. The publications have significant limitations due to the brevity of the information included. The available information is </w:t>
      </w:r>
      <w:r w:rsidRPr="00BB4D43">
        <w:t xml:space="preserve">summarised in </w:t>
      </w:r>
      <w:r w:rsidR="00BB4D43" w:rsidRPr="00BB4D43">
        <w:t>Table 5</w:t>
      </w:r>
      <w:r w:rsidRPr="00F372D0">
        <w:t xml:space="preserve"> to demonstrate a consistent trend with pivotal studies in outcomes for efficacy in newly diagnosed </w:t>
      </w:r>
      <w:r w:rsidR="0079571B" w:rsidRPr="002B11F8">
        <w:t>Ph</w:t>
      </w:r>
      <w:r w:rsidR="0079571B" w:rsidRPr="0079571B">
        <w:rPr>
          <w:vertAlign w:val="superscript"/>
        </w:rPr>
        <w:t>+</w:t>
      </w:r>
      <w:r w:rsidRPr="00F372D0">
        <w:t xml:space="preserve"> ALL p</w:t>
      </w:r>
      <w:r w:rsidR="00D20EB3">
        <w:t>atients treated with dasatinib.</w:t>
      </w:r>
    </w:p>
    <w:p w14:paraId="125ED243" w14:textId="77777777" w:rsidR="00017D07" w:rsidRDefault="00017D07" w:rsidP="00017D07">
      <w:pPr>
        <w:pStyle w:val="TableTitle"/>
      </w:pPr>
      <w:r>
        <w:t xml:space="preserve">Table </w:t>
      </w:r>
      <w:r w:rsidR="00BB4D43">
        <w:t>5</w:t>
      </w:r>
      <w:r>
        <w:t>: Effica</w:t>
      </w:r>
      <w:r w:rsidR="00BB4D43">
        <w:t>cy data from supportive studies</w:t>
      </w:r>
    </w:p>
    <w:p w14:paraId="5AB504D1" w14:textId="77777777" w:rsidR="003877B1" w:rsidRPr="003877B1" w:rsidRDefault="004C743F" w:rsidP="003877B1">
      <w:r>
        <w:rPr>
          <w:noProof/>
          <w:lang w:eastAsia="en-AU"/>
        </w:rPr>
        <w:drawing>
          <wp:inline distT="0" distB="0" distL="0" distR="0" wp14:anchorId="57F84635" wp14:editId="6AAA538A">
            <wp:extent cx="5400040" cy="3678489"/>
            <wp:effectExtent l="0" t="0" r="0" b="0"/>
            <wp:docPr id="7" name="Picture 7" descr="Table 5: Efficacy data from support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678489"/>
                    </a:xfrm>
                    <a:prstGeom prst="rect">
                      <a:avLst/>
                    </a:prstGeom>
                  </pic:spPr>
                </pic:pic>
              </a:graphicData>
            </a:graphic>
          </wp:inline>
        </w:drawing>
      </w:r>
    </w:p>
    <w:p w14:paraId="6D86B3C5" w14:textId="77777777" w:rsidR="00017D07" w:rsidRDefault="00017D07" w:rsidP="00017D07">
      <w:r w:rsidRPr="00F372D0">
        <w:t xml:space="preserve">The reported results from the available publications in newly diagnosed patients with </w:t>
      </w:r>
      <w:r w:rsidR="0079571B" w:rsidRPr="002B11F8">
        <w:t>Ph</w:t>
      </w:r>
      <w:r w:rsidR="0079571B" w:rsidRPr="0079571B">
        <w:rPr>
          <w:vertAlign w:val="superscript"/>
        </w:rPr>
        <w:t>+</w:t>
      </w:r>
      <w:r w:rsidR="00801CD3">
        <w:t> </w:t>
      </w:r>
      <w:r w:rsidRPr="00F372D0">
        <w:t>ALL does not include adequate detail to make a clear determination of efficacy in CNS involvement at initial diagnosis.</w:t>
      </w:r>
    </w:p>
    <w:p w14:paraId="63AB7158" w14:textId="1FF8B3EA" w:rsidR="00017D07" w:rsidRDefault="00017D07" w:rsidP="00017D07">
      <w:pPr>
        <w:pStyle w:val="Heading5"/>
      </w:pPr>
      <w:r w:rsidRPr="00F372D0">
        <w:t xml:space="preserve">Paediatric </w:t>
      </w:r>
      <w:r w:rsidR="007E1C18">
        <w:t>p</w:t>
      </w:r>
      <w:r w:rsidR="007E1C18" w:rsidRPr="00F372D0">
        <w:t>atients</w:t>
      </w:r>
    </w:p>
    <w:p w14:paraId="432822A6" w14:textId="77777777" w:rsidR="00017D07" w:rsidRDefault="00017D07" w:rsidP="00017D07">
      <w:r w:rsidRPr="00F372D0">
        <w:t>Paediatric data was not included in the current dossier.</w:t>
      </w:r>
    </w:p>
    <w:p w14:paraId="75C6006F" w14:textId="77777777" w:rsidR="00017D07" w:rsidRPr="002D358B" w:rsidRDefault="00017D07" w:rsidP="00017D07">
      <w:pPr>
        <w:pStyle w:val="Heading5"/>
        <w:rPr>
          <w:noProof/>
          <w:lang w:eastAsia="en-AU"/>
        </w:rPr>
      </w:pPr>
      <w:r w:rsidRPr="002D358B">
        <w:rPr>
          <w:noProof/>
          <w:lang w:eastAsia="en-AU"/>
        </w:rPr>
        <w:lastRenderedPageBreak/>
        <w:t>Comparison of long term data from pivotal studies</w:t>
      </w:r>
    </w:p>
    <w:p w14:paraId="480BA320" w14:textId="77777777" w:rsidR="00017D07" w:rsidRDefault="00017D07" w:rsidP="00017D07">
      <w:pPr>
        <w:rPr>
          <w:noProof/>
          <w:lang w:eastAsia="en-AU"/>
        </w:rPr>
      </w:pPr>
      <w:r>
        <w:rPr>
          <w:noProof/>
          <w:lang w:eastAsia="en-AU"/>
        </w:rPr>
        <w:t xml:space="preserve">The </w:t>
      </w:r>
      <w:r w:rsidR="00036FE4">
        <w:rPr>
          <w:noProof/>
          <w:lang w:eastAsia="en-AU"/>
        </w:rPr>
        <w:t>sponsor</w:t>
      </w:r>
      <w:r>
        <w:rPr>
          <w:noProof/>
          <w:lang w:eastAsia="en-AU"/>
        </w:rPr>
        <w:t xml:space="preserve"> provided the information presented in </w:t>
      </w:r>
      <w:r w:rsidR="00BB4D43">
        <w:rPr>
          <w:noProof/>
          <w:lang w:eastAsia="en-AU"/>
        </w:rPr>
        <w:t xml:space="preserve">Table 6 </w:t>
      </w:r>
      <w:r>
        <w:rPr>
          <w:noProof/>
          <w:lang w:eastAsia="en-AU"/>
        </w:rPr>
        <w:t>sumarising the long term data from each of the pivotal studies.</w:t>
      </w:r>
    </w:p>
    <w:p w14:paraId="017DE5C2" w14:textId="77777777" w:rsidR="00017D07" w:rsidRDefault="00017D07" w:rsidP="00017D07">
      <w:pPr>
        <w:pStyle w:val="TableTitle"/>
      </w:pPr>
      <w:bookmarkStart w:id="114" w:name="_Ref501355045"/>
      <w:r>
        <w:t>Table</w:t>
      </w:r>
      <w:bookmarkEnd w:id="114"/>
      <w:r w:rsidR="00BB4D43">
        <w:t xml:space="preserve"> 6</w:t>
      </w:r>
      <w:r>
        <w:t>: Comparison of repo</w:t>
      </w:r>
      <w:r w:rsidR="00BB4D43">
        <w:t>rted long-term efficacy results</w:t>
      </w:r>
    </w:p>
    <w:p w14:paraId="55E402DD" w14:textId="77777777" w:rsidR="003877B1" w:rsidRPr="003877B1" w:rsidRDefault="004C743F" w:rsidP="00BB4D43">
      <w:r w:rsidRPr="00BB4D43">
        <w:rPr>
          <w:noProof/>
          <w:lang w:eastAsia="en-AU"/>
        </w:rPr>
        <w:drawing>
          <wp:inline distT="0" distB="0" distL="0" distR="0" wp14:anchorId="2353D1BE" wp14:editId="61A21C1F">
            <wp:extent cx="5400040" cy="5837367"/>
            <wp:effectExtent l="0" t="0" r="0" b="0"/>
            <wp:docPr id="9" name="Picture 9" descr="Table 6: Comparison of reported long-term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5837367"/>
                    </a:xfrm>
                    <a:prstGeom prst="rect">
                      <a:avLst/>
                    </a:prstGeom>
                  </pic:spPr>
                </pic:pic>
              </a:graphicData>
            </a:graphic>
          </wp:inline>
        </w:drawing>
      </w:r>
    </w:p>
    <w:p w14:paraId="274ECBC1" w14:textId="7097FD16" w:rsidR="00017D07" w:rsidRDefault="00017D07" w:rsidP="00017D07">
      <w:r>
        <w:t xml:space="preserve">The data demonstrates similarities in regards to durability of efficacy outcomes, with the exception of the Rousellot </w:t>
      </w:r>
      <w:r w:rsidR="00F64A85">
        <w:t xml:space="preserve">et al., </w:t>
      </w:r>
      <w:r>
        <w:t>study (this was an older patient cohort</w:t>
      </w:r>
      <w:r w:rsidR="004C743F">
        <w:t>)</w:t>
      </w:r>
      <w:r>
        <w:t>.</w:t>
      </w:r>
    </w:p>
    <w:p w14:paraId="14EB6689" w14:textId="77777777" w:rsidR="00017D07" w:rsidRDefault="00017D07" w:rsidP="00017D07">
      <w:pPr>
        <w:pStyle w:val="Heading4"/>
      </w:pPr>
      <w:r w:rsidRPr="00F372D0">
        <w:t>Safety</w:t>
      </w:r>
    </w:p>
    <w:p w14:paraId="25C94AD2" w14:textId="231AEBA1" w:rsidR="00017D07" w:rsidRDefault="00017D07" w:rsidP="00017D07">
      <w:r w:rsidRPr="00F372D0">
        <w:t xml:space="preserve">The </w:t>
      </w:r>
      <w:r w:rsidR="004C743F" w:rsidRPr="00F372D0">
        <w:t xml:space="preserve">clinical evaluator </w:t>
      </w:r>
      <w:r w:rsidRPr="00F372D0">
        <w:t xml:space="preserve">discusses the components of the dossier with safety data </w:t>
      </w:r>
      <w:r w:rsidR="004C743F">
        <w:t>i</w:t>
      </w:r>
      <w:r w:rsidRPr="00F372D0">
        <w:t xml:space="preserve">n the </w:t>
      </w:r>
      <w:r w:rsidR="00F64A85">
        <w:t>clinical evaluation report</w:t>
      </w:r>
      <w:r w:rsidRPr="00F372D0">
        <w:t>. Key findings include the following:</w:t>
      </w:r>
    </w:p>
    <w:p w14:paraId="364824D8" w14:textId="77777777" w:rsidR="00017D07" w:rsidRDefault="00017D07" w:rsidP="00017D07">
      <w:pPr>
        <w:pStyle w:val="ListBullet"/>
      </w:pPr>
      <w:r w:rsidRPr="008966B9">
        <w:t>The safety data presented in the current dossier is limited. No formal adverse event information is provided, with some publications excluding data regarding adverse events.</w:t>
      </w:r>
    </w:p>
    <w:p w14:paraId="08BA420C" w14:textId="379C5054" w:rsidR="00017D07" w:rsidRDefault="00017D07" w:rsidP="00017D07">
      <w:pPr>
        <w:pStyle w:val="ListBullet"/>
      </w:pPr>
      <w:r w:rsidRPr="008966B9">
        <w:lastRenderedPageBreak/>
        <w:t xml:space="preserve">The safety population comprises 247 patients from the 4 pivotal trials and a total of 406 patients when including supportive studies. A further 20 patients were included from </w:t>
      </w:r>
      <w:r w:rsidR="00F64A85">
        <w:t xml:space="preserve">Study </w:t>
      </w:r>
      <w:r w:rsidRPr="008966B9">
        <w:t xml:space="preserve">ALL5 which was not included in the </w:t>
      </w:r>
      <w:r w:rsidR="007E1C18" w:rsidRPr="008966B9">
        <w:t>overview of clinical safety</w:t>
      </w:r>
      <w:r w:rsidRPr="008966B9">
        <w:t>.</w:t>
      </w:r>
    </w:p>
    <w:p w14:paraId="6C847616" w14:textId="02C27C03" w:rsidR="00017D07" w:rsidRPr="00017D07" w:rsidRDefault="00017D07" w:rsidP="00017D07">
      <w:pPr>
        <w:pStyle w:val="ListBullet"/>
      </w:pPr>
      <w:r w:rsidRPr="00A478B3">
        <w:t xml:space="preserve">The clinical evaluator states that the adverse events presented are known </w:t>
      </w:r>
      <w:r w:rsidR="00F64A85">
        <w:t>adverse drug reactions (</w:t>
      </w:r>
      <w:r w:rsidRPr="00A478B3">
        <w:t>ADR</w:t>
      </w:r>
      <w:r w:rsidR="00F64A85">
        <w:t>)</w:t>
      </w:r>
      <w:r w:rsidRPr="00A478B3">
        <w:t xml:space="preserve"> for dasatinib. The evaluator further notes that the nature of the data, several studies of relatively small populations with different designs and treatment regimens, makes it difficult or impossible to check the ADR frequencies in these data against those of the PI. Overall, the evaluator considered that significant ADRs do not appear to have occurred at greater rates than the PI currently, but this conclusion is limited </w:t>
      </w:r>
      <w:r>
        <w:t>by the current data.</w:t>
      </w:r>
    </w:p>
    <w:p w14:paraId="30B31EE2" w14:textId="77777777" w:rsidR="003877B1" w:rsidRPr="003877B1" w:rsidRDefault="00017D07" w:rsidP="003877B1">
      <w:r w:rsidRPr="00A478B3">
        <w:t xml:space="preserve">Serious adverse events provided by the pivotal studies of this submission are summarised as </w:t>
      </w:r>
      <w:r>
        <w:t xml:space="preserve">in </w:t>
      </w:r>
      <w:r w:rsidR="00BB4D43">
        <w:t>Table 3 above.</w:t>
      </w:r>
    </w:p>
    <w:p w14:paraId="62B4855D" w14:textId="77777777" w:rsidR="00017D07" w:rsidRDefault="00017D07" w:rsidP="00017D07">
      <w:r w:rsidRPr="00F372D0">
        <w:t>The clinical evaluator concludes that the events presented above are encompassed by the PI.</w:t>
      </w:r>
    </w:p>
    <w:p w14:paraId="426D22A4" w14:textId="77777777" w:rsidR="00017D07" w:rsidRDefault="00017D07" w:rsidP="00017D07">
      <w:r>
        <w:t xml:space="preserve">Drug related adverse events leading to discontinuation in the pivotal studies occurred in a total of 60/247 patients (24%), with </w:t>
      </w:r>
      <w:r>
        <w:rPr>
          <w:szCs w:val="24"/>
        </w:rPr>
        <w:t>54/247 (21.9%) permanently discontinued</w:t>
      </w:r>
      <w:r>
        <w:t xml:space="preserve">. The reason for discontinuation is shown in </w:t>
      </w:r>
      <w:r w:rsidR="00BB4D43">
        <w:t>Table 7</w:t>
      </w:r>
      <w:r>
        <w:t>.</w:t>
      </w:r>
    </w:p>
    <w:p w14:paraId="6FD6CFF5" w14:textId="77777777" w:rsidR="00017D07" w:rsidRDefault="00017D07" w:rsidP="00017D07">
      <w:pPr>
        <w:pStyle w:val="TableTitle"/>
      </w:pPr>
      <w:bookmarkStart w:id="115" w:name="_Ref501356127"/>
      <w:r>
        <w:t>Table</w:t>
      </w:r>
      <w:bookmarkEnd w:id="115"/>
      <w:r w:rsidR="00BB4D43">
        <w:t xml:space="preserve"> 7</w:t>
      </w:r>
      <w:r>
        <w:t>: Reported drug related adverse eve</w:t>
      </w:r>
      <w:r w:rsidR="00572940">
        <w:t>nts leading to discontinuation</w:t>
      </w:r>
    </w:p>
    <w:p w14:paraId="1EF4D6CD" w14:textId="77777777" w:rsidR="003877B1" w:rsidRPr="003877B1" w:rsidRDefault="00572940" w:rsidP="00BB4D43">
      <w:r w:rsidRPr="00BB4D43">
        <w:rPr>
          <w:noProof/>
          <w:lang w:eastAsia="en-AU"/>
        </w:rPr>
        <w:drawing>
          <wp:inline distT="0" distB="0" distL="0" distR="0" wp14:anchorId="231DB0A6" wp14:editId="450E8C8C">
            <wp:extent cx="5400040" cy="3361179"/>
            <wp:effectExtent l="0" t="0" r="0" b="0"/>
            <wp:docPr id="2" name="Picture 2" descr="Table 7: Reported drug related adverse events leading to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361179"/>
                    </a:xfrm>
                    <a:prstGeom prst="rect">
                      <a:avLst/>
                    </a:prstGeom>
                  </pic:spPr>
                </pic:pic>
              </a:graphicData>
            </a:graphic>
          </wp:inline>
        </w:drawing>
      </w:r>
    </w:p>
    <w:p w14:paraId="31E1466C" w14:textId="7A1C3C3A" w:rsidR="00017D07" w:rsidRDefault="00017D07" w:rsidP="00017D07">
      <w:r>
        <w:t xml:space="preserve">The </w:t>
      </w:r>
      <w:r w:rsidR="00036FE4">
        <w:t>sponsor</w:t>
      </w:r>
      <w:r>
        <w:t xml:space="preserve"> proposed the following additional statement in the </w:t>
      </w:r>
      <w:r w:rsidR="00F64A85">
        <w:t>Adverse Effects</w:t>
      </w:r>
      <w:r>
        <w:t xml:space="preserve"> section of the PI which was subsequently ame</w:t>
      </w:r>
      <w:r w:rsidR="00572940">
        <w:t>nded by the clinical evaluator</w:t>
      </w:r>
      <w:r w:rsidR="00801CD3">
        <w:t xml:space="preserve"> (text in bold and strikethrough)</w:t>
      </w:r>
      <w:r w:rsidR="00572940">
        <w:t>:</w:t>
      </w:r>
    </w:p>
    <w:p w14:paraId="2A576FCF" w14:textId="27F7C09F" w:rsidR="00017D07" w:rsidRDefault="00F64A85" w:rsidP="0061480D">
      <w:pPr>
        <w:ind w:left="720"/>
        <w:rPr>
          <w:rFonts w:eastAsiaTheme="minorHAnsi" w:cs="TimesNewRomanPSMT"/>
        </w:rPr>
      </w:pPr>
      <w:r>
        <w:rPr>
          <w:rFonts w:eastAsiaTheme="minorHAnsi" w:cs="TimesNewRomanPSMT"/>
        </w:rPr>
        <w:t>’</w:t>
      </w:r>
      <w:r w:rsidR="00017D07" w:rsidRPr="00E256FA">
        <w:rPr>
          <w:rFonts w:eastAsiaTheme="minorHAnsi" w:cs="TimesNewRomanPSMT"/>
          <w:i/>
        </w:rPr>
        <w:t xml:space="preserve">The safety profile of </w:t>
      </w:r>
      <w:r w:rsidR="0079571B">
        <w:rPr>
          <w:rFonts w:eastAsiaTheme="minorHAnsi" w:cs="TimesNewRomanPSMT"/>
          <w:i/>
        </w:rPr>
        <w:t>Sprycel</w:t>
      </w:r>
      <w:r w:rsidR="00017D07" w:rsidRPr="00E256FA">
        <w:rPr>
          <w:rFonts w:eastAsia="SymbolMT" w:cs="SymbolMT"/>
          <w:i/>
        </w:rPr>
        <w:t xml:space="preserve"> </w:t>
      </w:r>
      <w:r w:rsidR="00017D07" w:rsidRPr="00E256FA">
        <w:rPr>
          <w:rFonts w:eastAsiaTheme="minorHAnsi" w:cs="TimesNewRomanPSMT"/>
          <w:i/>
        </w:rPr>
        <w:t xml:space="preserve">in 4 Phase II clinical trials in newly diagnosed patients with </w:t>
      </w:r>
      <w:r w:rsidR="00761035">
        <w:t>Ph+ ALL</w:t>
      </w:r>
      <w:r w:rsidR="00017D07" w:rsidRPr="00E256FA">
        <w:rPr>
          <w:rFonts w:eastAsiaTheme="minorHAnsi" w:cs="TimesNewRomanPSMT"/>
          <w:i/>
        </w:rPr>
        <w:t xml:space="preserve">, </w:t>
      </w:r>
      <w:r w:rsidR="00017D07" w:rsidRPr="00E256FA">
        <w:rPr>
          <w:rFonts w:eastAsiaTheme="minorHAnsi" w:cs="TimesNewRomanPSMT"/>
          <w:i/>
          <w:strike/>
        </w:rPr>
        <w:t>indicated a similar</w:t>
      </w:r>
      <w:r w:rsidR="00017D07" w:rsidRPr="00E256FA">
        <w:rPr>
          <w:rFonts w:eastAsiaTheme="minorHAnsi" w:cs="TimesNewRomanPSMT"/>
          <w:i/>
        </w:rPr>
        <w:t xml:space="preserve"> </w:t>
      </w:r>
      <w:r w:rsidR="00017D07" w:rsidRPr="00801CD3">
        <w:rPr>
          <w:rFonts w:eastAsiaTheme="minorHAnsi" w:cs="TimesNewRomanPSMT"/>
          <w:b/>
          <w:i/>
        </w:rPr>
        <w:t>was generally consistent with</w:t>
      </w:r>
      <w:r w:rsidR="00017D07" w:rsidRPr="00E256FA">
        <w:rPr>
          <w:rFonts w:eastAsiaTheme="minorHAnsi" w:cs="TimesNewRomanPSMT"/>
          <w:i/>
        </w:rPr>
        <w:t xml:space="preserve"> the safety profile </w:t>
      </w:r>
      <w:r w:rsidR="00017D07" w:rsidRPr="00E256FA">
        <w:rPr>
          <w:rFonts w:eastAsiaTheme="minorHAnsi" w:cs="TimesNewRomanPSMT"/>
          <w:i/>
          <w:strike/>
        </w:rPr>
        <w:t>compared with</w:t>
      </w:r>
      <w:r w:rsidR="00017D07" w:rsidRPr="00E256FA">
        <w:rPr>
          <w:rFonts w:eastAsiaTheme="minorHAnsi" w:cs="TimesNewRomanPSMT"/>
          <w:i/>
        </w:rPr>
        <w:t xml:space="preserve"> </w:t>
      </w:r>
      <w:r w:rsidR="00017D07" w:rsidRPr="00E256FA">
        <w:rPr>
          <w:rFonts w:eastAsiaTheme="minorHAnsi" w:cs="TimesNewRomanPSMT"/>
          <w:i/>
          <w:strike/>
        </w:rPr>
        <w:t xml:space="preserve">use </w:t>
      </w:r>
      <w:r w:rsidR="00017D07" w:rsidRPr="00E256FA">
        <w:rPr>
          <w:rFonts w:eastAsiaTheme="minorHAnsi" w:cs="TimesNewRomanPSMT"/>
          <w:i/>
        </w:rPr>
        <w:t>in patients who were resistant or intolerant to prior therapy</w:t>
      </w:r>
      <w:r w:rsidR="00017D07" w:rsidRPr="00E256FA">
        <w:rPr>
          <w:rFonts w:eastAsiaTheme="minorHAnsi" w:cs="TimesNewRomanPSMT"/>
        </w:rPr>
        <w:t>.</w:t>
      </w:r>
      <w:r>
        <w:rPr>
          <w:rFonts w:eastAsiaTheme="minorHAnsi" w:cs="TimesNewRomanPSMT"/>
        </w:rPr>
        <w:t>’</w:t>
      </w:r>
    </w:p>
    <w:p w14:paraId="7769121E" w14:textId="77777777" w:rsidR="00017D07" w:rsidRDefault="00017D07" w:rsidP="00017D07">
      <w:pPr>
        <w:rPr>
          <w:rFonts w:eastAsiaTheme="minorHAnsi" w:cs="TimesNewRomanPSMT"/>
        </w:rPr>
      </w:pPr>
      <w:r>
        <w:rPr>
          <w:rFonts w:eastAsiaTheme="minorHAnsi" w:cs="TimesNewRomanPSMT"/>
        </w:rPr>
        <w:t>Given the limitations of the dossier presented, including the difficulties prosecuting literature based data, the following amendment is recommended:</w:t>
      </w:r>
    </w:p>
    <w:p w14:paraId="14E8F267" w14:textId="66A562E2" w:rsidR="00017D07" w:rsidRPr="00801CD3" w:rsidRDefault="00F64A85" w:rsidP="0061480D">
      <w:pPr>
        <w:ind w:left="720"/>
        <w:rPr>
          <w:rFonts w:eastAsiaTheme="minorHAnsi" w:cs="TimesNewRomanPSMT"/>
          <w:b/>
          <w:i/>
        </w:rPr>
      </w:pPr>
      <w:r>
        <w:rPr>
          <w:rFonts w:eastAsiaTheme="minorHAnsi" w:cs="TimesNewRomanPSMT"/>
          <w:b/>
          <w:i/>
        </w:rPr>
        <w:t>’</w:t>
      </w:r>
      <w:r w:rsidR="00017D07" w:rsidRPr="00801CD3">
        <w:rPr>
          <w:rFonts w:eastAsiaTheme="minorHAnsi" w:cs="TimesNewRomanPSMT"/>
          <w:b/>
          <w:i/>
        </w:rPr>
        <w:t xml:space="preserve">Newly diagnosed </w:t>
      </w:r>
      <w:r w:rsidR="0079571B" w:rsidRPr="00801CD3">
        <w:rPr>
          <w:b/>
          <w:i/>
        </w:rPr>
        <w:t>Ph</w:t>
      </w:r>
      <w:r w:rsidR="0079571B" w:rsidRPr="00801CD3">
        <w:rPr>
          <w:b/>
          <w:i/>
          <w:vertAlign w:val="superscript"/>
        </w:rPr>
        <w:t>+</w:t>
      </w:r>
      <w:r w:rsidR="00017D07" w:rsidRPr="00801CD3">
        <w:rPr>
          <w:rFonts w:eastAsiaTheme="minorHAnsi" w:cs="TimesNewRomanPSMT"/>
          <w:b/>
          <w:i/>
        </w:rPr>
        <w:t xml:space="preserve"> ALL</w:t>
      </w:r>
    </w:p>
    <w:p w14:paraId="47A8034E" w14:textId="71CF711C" w:rsidR="00017D07" w:rsidRDefault="00017D07" w:rsidP="0061480D">
      <w:pPr>
        <w:ind w:left="720"/>
        <w:rPr>
          <w:rFonts w:eastAsiaTheme="minorHAnsi" w:cs="TimesNewRomanPSMT"/>
        </w:rPr>
      </w:pPr>
      <w:r w:rsidRPr="00801CD3">
        <w:rPr>
          <w:rFonts w:eastAsiaTheme="minorHAnsi" w:cs="TimesNewRomanPSMT"/>
          <w:b/>
          <w:i/>
        </w:rPr>
        <w:t xml:space="preserve">No dedicated clinical trials have been conducted investigating the safety of dasatinib in newly diagnosed </w:t>
      </w:r>
      <w:r w:rsidR="0079571B" w:rsidRPr="00801CD3">
        <w:rPr>
          <w:b/>
        </w:rPr>
        <w:t>Ph</w:t>
      </w:r>
      <w:r w:rsidR="0079571B" w:rsidRPr="00801CD3">
        <w:rPr>
          <w:b/>
          <w:vertAlign w:val="superscript"/>
        </w:rPr>
        <w:t>+</w:t>
      </w:r>
      <w:r w:rsidRPr="00801CD3">
        <w:rPr>
          <w:rFonts w:eastAsiaTheme="minorHAnsi" w:cs="TimesNewRomanPSMT"/>
          <w:b/>
          <w:i/>
        </w:rPr>
        <w:t xml:space="preserve"> ALL as a primary outcome.</w:t>
      </w:r>
      <w:r w:rsidRPr="00BB5399">
        <w:rPr>
          <w:rFonts w:eastAsiaTheme="minorHAnsi" w:cs="TimesNewRomanPSMT"/>
          <w:i/>
        </w:rPr>
        <w:t xml:space="preserve"> The safety profile </w:t>
      </w:r>
      <w:r w:rsidRPr="00BB5399">
        <w:rPr>
          <w:rFonts w:eastAsiaTheme="minorHAnsi" w:cs="TimesNewRomanPSMT"/>
          <w:i/>
        </w:rPr>
        <w:lastRenderedPageBreak/>
        <w:t xml:space="preserve">of </w:t>
      </w:r>
      <w:r w:rsidR="0079571B">
        <w:rPr>
          <w:rFonts w:eastAsiaTheme="minorHAnsi" w:cs="TimesNewRomanPSMT"/>
          <w:i/>
        </w:rPr>
        <w:t>Sprycel</w:t>
      </w:r>
      <w:r w:rsidRPr="00BB5399">
        <w:rPr>
          <w:rFonts w:eastAsia="SymbolMT" w:cs="SymbolMT"/>
          <w:i/>
        </w:rPr>
        <w:t xml:space="preserve"> </w:t>
      </w:r>
      <w:r w:rsidRPr="00BB5399">
        <w:rPr>
          <w:rFonts w:eastAsiaTheme="minorHAnsi" w:cs="TimesNewRomanPSMT"/>
          <w:i/>
        </w:rPr>
        <w:t xml:space="preserve">in 4 Phase II clinical trials in newly diagnosed patients with </w:t>
      </w:r>
      <w:r w:rsidR="00761035">
        <w:t>Ph+ ALL</w:t>
      </w:r>
      <w:r w:rsidRPr="00BB5399">
        <w:rPr>
          <w:rFonts w:eastAsiaTheme="minorHAnsi" w:cs="TimesNewRomanPSMT"/>
          <w:i/>
        </w:rPr>
        <w:t xml:space="preserve">, </w:t>
      </w:r>
      <w:r w:rsidRPr="00BB5399">
        <w:rPr>
          <w:rFonts w:eastAsiaTheme="minorHAnsi" w:cs="TimesNewRomanPSMT"/>
          <w:i/>
          <w:strike/>
        </w:rPr>
        <w:t>indicated a similar</w:t>
      </w:r>
      <w:r w:rsidRPr="00BB5399">
        <w:rPr>
          <w:rFonts w:eastAsiaTheme="minorHAnsi" w:cs="TimesNewRomanPSMT"/>
          <w:i/>
        </w:rPr>
        <w:t xml:space="preserve"> </w:t>
      </w:r>
      <w:r w:rsidRPr="00801CD3">
        <w:rPr>
          <w:rFonts w:eastAsiaTheme="minorHAnsi" w:cs="TimesNewRomanPSMT"/>
          <w:b/>
          <w:i/>
        </w:rPr>
        <w:t>was generally consistent with</w:t>
      </w:r>
      <w:r w:rsidRPr="00BB5399">
        <w:rPr>
          <w:rFonts w:eastAsiaTheme="minorHAnsi" w:cs="TimesNewRomanPSMT"/>
          <w:i/>
        </w:rPr>
        <w:t xml:space="preserve"> the safety profile </w:t>
      </w:r>
      <w:r w:rsidRPr="00BB5399">
        <w:rPr>
          <w:rFonts w:eastAsiaTheme="minorHAnsi" w:cs="TimesNewRomanPSMT"/>
          <w:i/>
          <w:strike/>
        </w:rPr>
        <w:t>compared with</w:t>
      </w:r>
      <w:r w:rsidRPr="00BB5399">
        <w:rPr>
          <w:rFonts w:eastAsiaTheme="minorHAnsi" w:cs="TimesNewRomanPSMT"/>
          <w:i/>
        </w:rPr>
        <w:t xml:space="preserve"> </w:t>
      </w:r>
      <w:r w:rsidRPr="00BB5399">
        <w:rPr>
          <w:rFonts w:eastAsiaTheme="minorHAnsi" w:cs="TimesNewRomanPSMT"/>
          <w:i/>
          <w:strike/>
        </w:rPr>
        <w:t xml:space="preserve">use </w:t>
      </w:r>
      <w:r w:rsidRPr="00BB5399">
        <w:rPr>
          <w:rFonts w:eastAsiaTheme="minorHAnsi" w:cs="TimesNewRomanPSMT"/>
          <w:i/>
        </w:rPr>
        <w:t>in patients who were resistant or intolerant to prior therapy</w:t>
      </w:r>
      <w:r w:rsidRPr="00BB5399">
        <w:rPr>
          <w:rFonts w:eastAsiaTheme="minorHAnsi" w:cs="TimesNewRomanPSMT"/>
        </w:rPr>
        <w:t>.</w:t>
      </w:r>
      <w:r w:rsidR="00F64A85">
        <w:rPr>
          <w:rFonts w:eastAsiaTheme="minorHAnsi" w:cs="TimesNewRomanPSMT"/>
        </w:rPr>
        <w:t>’</w:t>
      </w:r>
    </w:p>
    <w:p w14:paraId="13938F6C" w14:textId="3E33266C" w:rsidR="003877B1" w:rsidRPr="00017D07" w:rsidRDefault="00017D07" w:rsidP="003877B1">
      <w:pPr>
        <w:rPr>
          <w:rFonts w:eastAsiaTheme="minorHAnsi" w:cs="TimesNewRomanPSMT"/>
        </w:rPr>
      </w:pPr>
      <w:r w:rsidRPr="0061480D">
        <w:rPr>
          <w:rFonts w:eastAsiaTheme="minorHAnsi" w:cs="TimesNewRomanPSMT"/>
          <w:i/>
        </w:rPr>
        <w:t xml:space="preserve">Recommendation for </w:t>
      </w:r>
      <w:r w:rsidR="00036FE4" w:rsidRPr="0061480D">
        <w:rPr>
          <w:rFonts w:eastAsiaTheme="minorHAnsi" w:cs="TimesNewRomanPSMT"/>
          <w:i/>
        </w:rPr>
        <w:t>sponsor</w:t>
      </w:r>
      <w:r w:rsidRPr="0061480D">
        <w:rPr>
          <w:rFonts w:eastAsiaTheme="minorHAnsi" w:cs="TimesNewRomanPSMT"/>
          <w:i/>
        </w:rPr>
        <w:t>:</w:t>
      </w:r>
      <w:r>
        <w:rPr>
          <w:rFonts w:eastAsiaTheme="minorHAnsi" w:cs="TimesNewRomanPSMT"/>
        </w:rPr>
        <w:t xml:space="preserve"> Please amend the statement under </w:t>
      </w:r>
      <w:r w:rsidR="007E1C18">
        <w:rPr>
          <w:rFonts w:eastAsiaTheme="minorHAnsi" w:cs="TimesNewRomanPSMT"/>
        </w:rPr>
        <w:t xml:space="preserve">adverse effects </w:t>
      </w:r>
      <w:r>
        <w:rPr>
          <w:rFonts w:eastAsiaTheme="minorHAnsi" w:cs="TimesNewRomanPSMT"/>
        </w:rPr>
        <w:t xml:space="preserve">as recommended above </w:t>
      </w:r>
      <w:r w:rsidR="00F64A85">
        <w:rPr>
          <w:rFonts w:eastAsiaTheme="minorHAnsi" w:cs="TimesNewRomanPSMT"/>
        </w:rPr>
        <w:t>[inclusion of the full list of recommended PI changes is beyond the scope of this document].</w:t>
      </w:r>
    </w:p>
    <w:p w14:paraId="1EF1CBAC" w14:textId="77777777" w:rsidR="007B6132" w:rsidRDefault="007B6132" w:rsidP="00555280">
      <w:pPr>
        <w:pStyle w:val="Heading4"/>
      </w:pPr>
      <w:r w:rsidRPr="007B6132">
        <w:t>Clinical evaluator’s recommendation (if applicable)</w:t>
      </w:r>
    </w:p>
    <w:p w14:paraId="3D1F4A1F" w14:textId="77777777" w:rsidR="00456765" w:rsidRPr="00456765" w:rsidRDefault="003877B1" w:rsidP="00456765">
      <w:r w:rsidRPr="003877B1">
        <w:t xml:space="preserve">The clinical evaluator recommends approval of the use of dasatinib for first-line treatment of </w:t>
      </w:r>
      <w:r w:rsidR="0079571B" w:rsidRPr="002B11F8">
        <w:t>Ph</w:t>
      </w:r>
      <w:r w:rsidR="0079571B" w:rsidRPr="0079571B">
        <w:rPr>
          <w:vertAlign w:val="superscript"/>
        </w:rPr>
        <w:t>+</w:t>
      </w:r>
      <w:r w:rsidR="00572940">
        <w:t xml:space="preserve"> ALL in adults.</w:t>
      </w:r>
    </w:p>
    <w:p w14:paraId="746B496C" w14:textId="77777777" w:rsidR="008E7846" w:rsidRDefault="00386150" w:rsidP="007B6132">
      <w:pPr>
        <w:pStyle w:val="Heading3"/>
        <w:rPr>
          <w:lang w:eastAsia="en-AU"/>
        </w:rPr>
      </w:pPr>
      <w:bookmarkStart w:id="116" w:name="_Toc20401747"/>
      <w:r>
        <w:rPr>
          <w:lang w:eastAsia="en-AU"/>
        </w:rPr>
        <w:t>Risk m</w:t>
      </w:r>
      <w:r w:rsidR="008E7846">
        <w:rPr>
          <w:lang w:eastAsia="en-AU"/>
        </w:rPr>
        <w:t xml:space="preserve">anagement </w:t>
      </w:r>
      <w:r>
        <w:rPr>
          <w:lang w:eastAsia="en-AU"/>
        </w:rPr>
        <w:t>p</w:t>
      </w:r>
      <w:r w:rsidR="008E7846">
        <w:rPr>
          <w:lang w:eastAsia="en-AU"/>
        </w:rPr>
        <w:t>lan</w:t>
      </w:r>
      <w:bookmarkEnd w:id="112"/>
      <w:bookmarkEnd w:id="116"/>
    </w:p>
    <w:p w14:paraId="52EC9CFC" w14:textId="77777777" w:rsidR="003877B1" w:rsidRPr="00351A6D" w:rsidRDefault="003877B1" w:rsidP="003877B1">
      <w:r w:rsidRPr="00351A6D">
        <w:t>There were no objections to approval from an RMP perspective and no outstanding issues remained.</w:t>
      </w:r>
    </w:p>
    <w:p w14:paraId="5A4F46FD" w14:textId="77777777" w:rsidR="003877B1" w:rsidRPr="00351A6D" w:rsidRDefault="003877B1" w:rsidP="003877B1">
      <w:r w:rsidRPr="00351A6D">
        <w:t>The RMP evaluator recommended the follo</w:t>
      </w:r>
      <w:r w:rsidR="00572940">
        <w:t>wing condition of registration</w:t>
      </w:r>
      <w:r w:rsidRPr="00351A6D">
        <w:t>:</w:t>
      </w:r>
    </w:p>
    <w:p w14:paraId="2E6330C7" w14:textId="38E371A9" w:rsidR="008E7846" w:rsidRPr="003877B1" w:rsidRDefault="003877B1" w:rsidP="003877B1">
      <w:pPr>
        <w:ind w:left="720"/>
        <w:rPr>
          <w:i/>
        </w:rPr>
      </w:pPr>
      <w:r w:rsidRPr="003877B1">
        <w:rPr>
          <w:i/>
        </w:rPr>
        <w:t>Implement EU-RMP (version 14.0 dated 20 July 2016; DLP 12 November 2015) with Australian Specific Annex (version 5.0, dated 22 February 2017) and any future updates as a condition of registration.</w:t>
      </w:r>
    </w:p>
    <w:p w14:paraId="2E53061B" w14:textId="77777777" w:rsidR="008E7846" w:rsidRDefault="00AA0ED0" w:rsidP="008E7846">
      <w:pPr>
        <w:pStyle w:val="Heading3"/>
      </w:pPr>
      <w:bookmarkStart w:id="117" w:name="_Toc247691531"/>
      <w:bookmarkStart w:id="118" w:name="_Toc314842515"/>
      <w:bookmarkStart w:id="119" w:name="_Toc20401748"/>
      <w:bookmarkStart w:id="120" w:name="_Toc196046505"/>
      <w:bookmarkStart w:id="121" w:name="_Toc196046949"/>
      <w:r>
        <w:t>Risk-benefit a</w:t>
      </w:r>
      <w:r w:rsidR="008E7846">
        <w:t>nalysis</w:t>
      </w:r>
      <w:bookmarkEnd w:id="117"/>
      <w:bookmarkEnd w:id="118"/>
      <w:bookmarkEnd w:id="119"/>
    </w:p>
    <w:p w14:paraId="421DFC0C" w14:textId="77777777" w:rsidR="00D23139" w:rsidRPr="00017D07" w:rsidRDefault="00572940" w:rsidP="00017D07">
      <w:pPr>
        <w:pStyle w:val="Heading4"/>
      </w:pPr>
      <w:r>
        <w:t>Delegate’s considerations</w:t>
      </w:r>
    </w:p>
    <w:p w14:paraId="135B21B8" w14:textId="77777777" w:rsidR="00017D07" w:rsidRDefault="00017D07" w:rsidP="00017D07">
      <w:r w:rsidRPr="001910C8">
        <w:t>Dasatinib in combination with chemotherapy has been associated with notable toxicities and treatment discontinuation</w:t>
      </w:r>
      <w:r>
        <w:t>. Across the 4 pivotal studies, a discontinuation rate of approximately 24% was noted, with approximately 21.9% permanently discontinued. The</w:t>
      </w:r>
      <w:r w:rsidRPr="00DC17D9">
        <w:t xml:space="preserve"> safety data that this dossier encompasses are </w:t>
      </w:r>
      <w:r>
        <w:t>limited. Whilst the evaluator considered that the safety data that is presented reflects a known safety profile for dasatinib and is captured in the current PI, it must be noted that if differences do exist, this may not be identified in the current dossier.</w:t>
      </w:r>
    </w:p>
    <w:p w14:paraId="2A293CA7" w14:textId="03728634" w:rsidR="00017D07" w:rsidRDefault="00017D07" w:rsidP="00017D07">
      <w:r>
        <w:t xml:space="preserve">Balanced against this, </w:t>
      </w:r>
      <w:r w:rsidR="00572940">
        <w:t>the Delegate</w:t>
      </w:r>
      <w:r w:rsidRPr="00DC17D9">
        <w:t xml:space="preserve"> agree</w:t>
      </w:r>
      <w:r w:rsidR="00572940">
        <w:t>d</w:t>
      </w:r>
      <w:r w:rsidRPr="00DC17D9">
        <w:t xml:space="preserve"> with the clinical evaluator that the data presented indicates that for a</w:t>
      </w:r>
      <w:r>
        <w:t xml:space="preserve"> reasonable proportion of the patients studied;</w:t>
      </w:r>
      <w:r w:rsidRPr="00DC17D9">
        <w:t xml:space="preserve"> clinically relevant CR outcomes can be achieved with the use of dasatinib in first line treatment of </w:t>
      </w:r>
      <w:r w:rsidR="0079571B" w:rsidRPr="002B11F8">
        <w:t>Ph</w:t>
      </w:r>
      <w:r w:rsidR="0079571B" w:rsidRPr="0079571B">
        <w:rPr>
          <w:vertAlign w:val="superscript"/>
        </w:rPr>
        <w:t>+</w:t>
      </w:r>
      <w:r w:rsidRPr="00DC17D9">
        <w:t xml:space="preserve"> ALL.</w:t>
      </w:r>
      <w:r>
        <w:t xml:space="preserve"> However, it is not possible based on these data to accurately determine how this compares to current therapy in Australia. The dossier draws historical comparison to imatinib in this setting via the Daver</w:t>
      </w:r>
      <w:r w:rsidR="00F64A85">
        <w:t xml:space="preserve"> et al.,</w:t>
      </w:r>
      <w:r>
        <w:t xml:space="preserve"> </w:t>
      </w:r>
      <w:r w:rsidR="00F64A85">
        <w:t>(</w:t>
      </w:r>
      <w:r>
        <w:t>2015</w:t>
      </w:r>
      <w:r w:rsidR="00F64A85">
        <w:t>)</w:t>
      </w:r>
      <w:r>
        <w:t xml:space="preserve"> study, demonstrating similar efficacy to imatinib.</w:t>
      </w:r>
      <w:r w:rsidR="00572940" w:rsidRPr="00572940">
        <w:rPr>
          <w:vertAlign w:val="superscript"/>
        </w:rPr>
        <w:t xml:space="preserve"> </w:t>
      </w:r>
      <w:r w:rsidR="00572940" w:rsidRPr="00572940">
        <w:rPr>
          <w:vertAlign w:val="superscript"/>
        </w:rPr>
        <w:fldChar w:fldCharType="begin"/>
      </w:r>
      <w:r w:rsidR="00572940" w:rsidRPr="00572940">
        <w:rPr>
          <w:vertAlign w:val="superscript"/>
        </w:rPr>
        <w:instrText xml:space="preserve"> NOTEREF _Ref531176987 \h </w:instrText>
      </w:r>
      <w:r w:rsidR="00572940">
        <w:rPr>
          <w:vertAlign w:val="superscript"/>
        </w:rPr>
        <w:instrText xml:space="preserve"> \* MERGEFORMAT </w:instrText>
      </w:r>
      <w:r w:rsidR="00572940" w:rsidRPr="00572940">
        <w:rPr>
          <w:vertAlign w:val="superscript"/>
        </w:rPr>
      </w:r>
      <w:r w:rsidR="00572940" w:rsidRPr="00572940">
        <w:rPr>
          <w:vertAlign w:val="superscript"/>
        </w:rPr>
        <w:fldChar w:fldCharType="separate"/>
      </w:r>
      <w:r w:rsidR="00572940" w:rsidRPr="00572940">
        <w:rPr>
          <w:vertAlign w:val="superscript"/>
        </w:rPr>
        <w:t>25</w:t>
      </w:r>
      <w:r w:rsidR="00572940" w:rsidRPr="00572940">
        <w:rPr>
          <w:vertAlign w:val="superscript"/>
        </w:rPr>
        <w:fldChar w:fldCharType="end"/>
      </w:r>
      <w:r>
        <w:t xml:space="preserve"> Although this approach is reasonable, it is important to note that there have been other relevant publications in this field. For example, the recent article in the American Society of Hematology educational materials by Ravandi, December 2017</w:t>
      </w:r>
      <w:r w:rsidR="00BB4D43">
        <w:t xml:space="preserve"> (</w:t>
      </w:r>
      <w:r w:rsidR="00A47AEF">
        <w:t xml:space="preserve">see </w:t>
      </w:r>
      <w:r w:rsidR="00BB4D43">
        <w:t>Table 8)</w:t>
      </w:r>
      <w:r w:rsidR="00A47AEF">
        <w:t>.</w:t>
      </w:r>
      <w:r w:rsidR="00E828F1">
        <w:rPr>
          <w:rStyle w:val="FootnoteReference"/>
        </w:rPr>
        <w:footnoteReference w:id="30"/>
      </w:r>
      <w:r>
        <w:t xml:space="preserve">. The rate of allo-HCT following dasatinib therapy is another important consideration. Whist comparison to other therapies is difficult, the </w:t>
      </w:r>
      <w:r w:rsidR="00036FE4">
        <w:t>sponsor</w:t>
      </w:r>
      <w:r>
        <w:t xml:space="preserve"> has been asked to comment on the paper by Ravandi 2017 which indicates that the rate of allo-HCT in the studies by Foá </w:t>
      </w:r>
      <w:r w:rsidRPr="00E828F1">
        <w:t>et al</w:t>
      </w:r>
      <w:r w:rsidR="00A47AEF">
        <w:t>.,</w:t>
      </w:r>
      <w:r w:rsidRPr="00E828F1">
        <w:t xml:space="preserve"> and Ravandi et al</w:t>
      </w:r>
      <w:r w:rsidR="00A47AEF">
        <w:t>.,</w:t>
      </w:r>
      <w:r w:rsidRPr="00E828F1">
        <w:t xml:space="preserve"> </w:t>
      </w:r>
      <w:r>
        <w:t xml:space="preserve">may be lower than that for other </w:t>
      </w:r>
      <w:r w:rsidR="00A47AEF">
        <w:t>TK</w:t>
      </w:r>
      <w:r>
        <w:t xml:space="preserve"> i</w:t>
      </w:r>
      <w:r w:rsidR="00E828F1">
        <w:t>nhibitors in frontline therapy</w:t>
      </w:r>
      <w:r>
        <w:t>.</w:t>
      </w:r>
    </w:p>
    <w:p w14:paraId="0B089DF9" w14:textId="77777777" w:rsidR="00E828F1" w:rsidRDefault="00BB4D43" w:rsidP="00BB4D43">
      <w:pPr>
        <w:pStyle w:val="TableTitle"/>
      </w:pPr>
      <w:r>
        <w:lastRenderedPageBreak/>
        <w:t>Table 8:</w:t>
      </w:r>
      <w:r w:rsidR="00E828F1">
        <w:t xml:space="preserve"> Published selected trials in </w:t>
      </w:r>
      <w:r w:rsidR="00E828F1" w:rsidRPr="002B11F8">
        <w:t>Ph</w:t>
      </w:r>
      <w:r w:rsidR="00E828F1" w:rsidRPr="0079571B">
        <w:rPr>
          <w:vertAlign w:val="superscript"/>
        </w:rPr>
        <w:t>+</w:t>
      </w:r>
      <w:r w:rsidR="00E828F1" w:rsidRPr="00DC17D9">
        <w:t xml:space="preserve"> ALL</w:t>
      </w:r>
    </w:p>
    <w:p w14:paraId="64A121FC" w14:textId="77777777" w:rsidR="00E828F1" w:rsidRDefault="00E828F1" w:rsidP="00017D07">
      <w:r>
        <w:rPr>
          <w:noProof/>
          <w:lang w:eastAsia="en-AU"/>
        </w:rPr>
        <w:drawing>
          <wp:inline distT="0" distB="0" distL="0" distR="0" wp14:anchorId="5A32B232" wp14:editId="65EB121C">
            <wp:extent cx="5400040" cy="2866390"/>
            <wp:effectExtent l="0" t="0" r="0" b="0"/>
            <wp:docPr id="8" name="Picture 8" descr="Table 8: Published selected trials in Ph+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866390"/>
                    </a:xfrm>
                    <a:prstGeom prst="rect">
                      <a:avLst/>
                    </a:prstGeom>
                    <a:noFill/>
                    <a:ln>
                      <a:noFill/>
                    </a:ln>
                  </pic:spPr>
                </pic:pic>
              </a:graphicData>
            </a:graphic>
          </wp:inline>
        </w:drawing>
      </w:r>
    </w:p>
    <w:p w14:paraId="14A1BA29" w14:textId="77777777" w:rsidR="00017D07" w:rsidRDefault="00017D07" w:rsidP="00017D07">
      <w:r>
        <w:t>Other pertinent</w:t>
      </w:r>
      <w:r w:rsidRPr="0014094B">
        <w:t xml:space="preserve"> constraints of this dossier</w:t>
      </w:r>
      <w:r w:rsidRPr="00DC17D9">
        <w:t xml:space="preserve"> apart from the level of evidence</w:t>
      </w:r>
      <w:r>
        <w:t xml:space="preserve"> and difficulties prosecuting literature based evidence; </w:t>
      </w:r>
      <w:r w:rsidRPr="00DC17D9">
        <w:t>include</w:t>
      </w:r>
      <w:r>
        <w:t xml:space="preserve"> </w:t>
      </w:r>
      <w:r w:rsidRPr="00DC17D9">
        <w:t>the varying dosage regimens and strengths of dasatinib</w:t>
      </w:r>
      <w:r>
        <w:t xml:space="preserve"> in the publications presented </w:t>
      </w:r>
      <w:r w:rsidRPr="00DC17D9">
        <w:t>and the varying accompanying chemotherapy regimen</w:t>
      </w:r>
      <w:r>
        <w:t>s</w:t>
      </w:r>
      <w:r w:rsidRPr="00DC17D9">
        <w:t xml:space="preserve">. An ‘agreed’ or ideal regimen does not exist and this remains an absent data set in terms of verifying </w:t>
      </w:r>
      <w:r w:rsidR="00CA76AD">
        <w:t>Phase</w:t>
      </w:r>
      <w:r w:rsidRPr="00DC17D9">
        <w:t xml:space="preserve"> three trials. While treatment dose has been circumscribed largely based upon patient tolerance and toxicity, dosage reg</w:t>
      </w:r>
      <w:r>
        <w:t>imen remains uncertain.</w:t>
      </w:r>
    </w:p>
    <w:p w14:paraId="1B6F62CE" w14:textId="5B931909" w:rsidR="00017D07" w:rsidRDefault="00017D07" w:rsidP="00017D07">
      <w:pPr>
        <w:pStyle w:val="Heading5"/>
      </w:pPr>
      <w:r>
        <w:t xml:space="preserve">Proposed </w:t>
      </w:r>
      <w:r w:rsidR="007E1C18">
        <w:t>indication</w:t>
      </w:r>
    </w:p>
    <w:p w14:paraId="1B2E3D3F" w14:textId="77777777" w:rsidR="00017D07" w:rsidRDefault="00017D07" w:rsidP="00017D07">
      <w:r w:rsidRPr="00F11423">
        <w:t>The indications statement in the annotated PI requires integration of dasatinib treatment with chemotherapy</w:t>
      </w:r>
      <w:r>
        <w:t>:</w:t>
      </w:r>
    </w:p>
    <w:p w14:paraId="57F06D81" w14:textId="314F10E3" w:rsidR="00017D07" w:rsidRPr="00017D07" w:rsidRDefault="0079571B" w:rsidP="00017D07">
      <w:pPr>
        <w:ind w:left="720"/>
        <w:rPr>
          <w:i/>
        </w:rPr>
      </w:pPr>
      <w:r>
        <w:rPr>
          <w:i/>
        </w:rPr>
        <w:t>Sprycel</w:t>
      </w:r>
      <w:r w:rsidR="00017D07" w:rsidRPr="00017D07">
        <w:rPr>
          <w:i/>
        </w:rPr>
        <w:t xml:space="preserve"> (dasatinib) is indicated for the treatment of adults aged 18 years or over with newly diagnosed Philadelphia chromosome positive acute lymphoblastic leukaemia integrated with chemotherapy.</w:t>
      </w:r>
    </w:p>
    <w:p w14:paraId="3DA5E2FA" w14:textId="4147B51F" w:rsidR="00017D07" w:rsidRDefault="00E828F1" w:rsidP="00017D07">
      <w:r>
        <w:t>The Delegate agreed</w:t>
      </w:r>
      <w:r w:rsidR="00017D07">
        <w:t xml:space="preserve"> with the clinical evaluator that </w:t>
      </w:r>
      <w:r w:rsidR="00017D07" w:rsidRPr="00F11423">
        <w:t xml:space="preserve">the most robust data </w:t>
      </w:r>
      <w:r w:rsidR="00017D07">
        <w:t xml:space="preserve">presented in this submission </w:t>
      </w:r>
      <w:r w:rsidR="00017D07" w:rsidRPr="00F11423">
        <w:t xml:space="preserve">are in combination with </w:t>
      </w:r>
      <w:r w:rsidR="00A47AEF">
        <w:t>H</w:t>
      </w:r>
      <w:r w:rsidR="00017D07" w:rsidRPr="00F11423">
        <w:t>CVAD.</w:t>
      </w:r>
    </w:p>
    <w:p w14:paraId="200166FD" w14:textId="77777777" w:rsidR="00017D07" w:rsidRDefault="00017D07" w:rsidP="00017D07">
      <w:pPr>
        <w:pStyle w:val="Heading5"/>
      </w:pPr>
      <w:r w:rsidRPr="00DE2A8F">
        <w:t xml:space="preserve">Use of </w:t>
      </w:r>
      <w:r w:rsidR="00E828F1">
        <w:t>d</w:t>
      </w:r>
      <w:r w:rsidRPr="00DE2A8F">
        <w:t>asatinib with multi-agent regimens</w:t>
      </w:r>
    </w:p>
    <w:p w14:paraId="70D8CD67" w14:textId="76FC4C3C" w:rsidR="003303E3" w:rsidRDefault="00017D07" w:rsidP="00017D07">
      <w:r>
        <w:t xml:space="preserve">No specific drug interaction studies between dasatinib and routinely used chemotherapy regimens have been presented. </w:t>
      </w:r>
      <w:r w:rsidRPr="00F372D0">
        <w:t xml:space="preserve">The </w:t>
      </w:r>
      <w:r w:rsidR="00036FE4">
        <w:t>sponsor</w:t>
      </w:r>
      <w:r w:rsidRPr="00F372D0">
        <w:t xml:space="preserve"> discussed the implications for dasatinib integrated with chemotherapy. The </w:t>
      </w:r>
      <w:r w:rsidR="00036FE4">
        <w:t>sponsor</w:t>
      </w:r>
      <w:r w:rsidRPr="00F372D0">
        <w:t xml:space="preserve"> states that in the Australian clinical setting, the drugs used in the HCVAD (cyclophosphamide/vincristine, doxorubicin/dexamethasone; or methotrexates/cytarabine) or low dose chemotherapy regimens (</w:t>
      </w:r>
      <w:r w:rsidR="00E828F1">
        <w:t>for example</w:t>
      </w:r>
      <w:r w:rsidRPr="00F372D0">
        <w:t xml:space="preserve"> Vincristine, prednisolone/dexamethasone) will likely be the same irrespective of the TKI integrated with chemotherapy in the treatment of newly diagnosed patients with </w:t>
      </w:r>
      <w:r w:rsidR="0079571B" w:rsidRPr="002B11F8">
        <w:t>Ph</w:t>
      </w:r>
      <w:r w:rsidR="0079571B" w:rsidRPr="0079571B">
        <w:rPr>
          <w:vertAlign w:val="superscript"/>
        </w:rPr>
        <w:t>+</w:t>
      </w:r>
      <w:r w:rsidRPr="00F372D0">
        <w:t xml:space="preserve"> ALL</w:t>
      </w:r>
      <w:r w:rsidR="003303E3">
        <w:t>.</w:t>
      </w:r>
    </w:p>
    <w:p w14:paraId="484CCBEC" w14:textId="77777777" w:rsidR="00017D07" w:rsidRPr="00E828F1" w:rsidRDefault="00017D07" w:rsidP="00017D07">
      <w:r w:rsidRPr="00F372D0">
        <w:t>Cyclophosphamide, vincristine, doxorubicin and dexamethasone all have some evidence of interaction with CYP3A family or CYP3A4 metabolising enzymes</w:t>
      </w:r>
      <w:r w:rsidR="00E828F1">
        <w:t>.</w:t>
      </w:r>
    </w:p>
    <w:p w14:paraId="4537FEF7" w14:textId="1B2B1594" w:rsidR="00017D07" w:rsidRDefault="00017D07" w:rsidP="00017D07">
      <w:r>
        <w:t xml:space="preserve">In humans, the major enzyme responsible for the metabolism of dasatinib is CYP3A4 (see current approved dasatinib PI). The current PI includes statements under </w:t>
      </w:r>
      <w:r w:rsidRPr="00C46F03">
        <w:rPr>
          <w:i/>
        </w:rPr>
        <w:t>Interactions with other medicines</w:t>
      </w:r>
      <w:r>
        <w:t xml:space="preserve"> which include paragraphs regarding the following:</w:t>
      </w:r>
    </w:p>
    <w:p w14:paraId="103D2898" w14:textId="77777777" w:rsidR="00017D07" w:rsidRPr="0061480D" w:rsidRDefault="00017D07" w:rsidP="00017D07">
      <w:pPr>
        <w:pStyle w:val="ListBullet"/>
        <w:rPr>
          <w:i/>
        </w:rPr>
      </w:pPr>
      <w:r w:rsidRPr="0061480D">
        <w:rPr>
          <w:i/>
        </w:rPr>
        <w:t>CYP3A4 inhibitors: administration of a potent CYP3A4 inhibitor is not recommended. If systemic administration of a potent CYP3A4 inhibitor cannot be avoided, the patient should be closely monitored for toxicity.</w:t>
      </w:r>
    </w:p>
    <w:p w14:paraId="154B010D" w14:textId="77777777" w:rsidR="00017D07" w:rsidRPr="0061480D" w:rsidRDefault="00017D07" w:rsidP="00017D07">
      <w:pPr>
        <w:pStyle w:val="ListBullet"/>
        <w:rPr>
          <w:i/>
        </w:rPr>
      </w:pPr>
      <w:r w:rsidRPr="0061480D">
        <w:rPr>
          <w:i/>
        </w:rPr>
        <w:lastRenderedPageBreak/>
        <w:t>CYP3A4 inducers: concomitant use of potent CYP3A4 inducers is not recommended.</w:t>
      </w:r>
    </w:p>
    <w:p w14:paraId="7973FB2E" w14:textId="77777777" w:rsidR="00017D07" w:rsidRPr="0061480D" w:rsidRDefault="00017D07" w:rsidP="00017D07">
      <w:pPr>
        <w:pStyle w:val="ListBullet"/>
        <w:rPr>
          <w:i/>
        </w:rPr>
      </w:pPr>
      <w:r w:rsidRPr="0061480D">
        <w:rPr>
          <w:i/>
        </w:rPr>
        <w:t>CYP3A4 substrates: CYP3A4 substrates known to have a narrow therapeutic index</w:t>
      </w:r>
      <w:r w:rsidR="00B90B8B" w:rsidRPr="0061480D">
        <w:rPr>
          <w:i/>
        </w:rPr>
        <w:t xml:space="preserve"> </w:t>
      </w:r>
      <w:r w:rsidRPr="0061480D">
        <w:rPr>
          <w:i/>
        </w:rPr>
        <w:t xml:space="preserve">should be administered with caution in patients receiving </w:t>
      </w:r>
      <w:r w:rsidR="0079571B" w:rsidRPr="0061480D">
        <w:rPr>
          <w:i/>
        </w:rPr>
        <w:t>Sprycel</w:t>
      </w:r>
      <w:r w:rsidRPr="0061480D">
        <w:rPr>
          <w:i/>
        </w:rPr>
        <w:t>.</w:t>
      </w:r>
    </w:p>
    <w:p w14:paraId="7177FB09" w14:textId="77777777" w:rsidR="00017D07" w:rsidRDefault="00017D07" w:rsidP="00017D07">
      <w:r w:rsidRPr="00AD796C">
        <w:t xml:space="preserve">There is no specific mention of the chemotherapy agents listed above in the PI. The </w:t>
      </w:r>
      <w:r w:rsidR="00036FE4">
        <w:t>sponsor</w:t>
      </w:r>
      <w:r w:rsidRPr="00AD796C">
        <w:t xml:space="preserve"> provides justification for this on the basis that the drug-drug interaction studies submitted with previous applications used potent CYP3A4 inhibitors and substrates, commonly used in clinical pharmacology studies, which represent a worst case scenario and dasatinib is not likely to interact differently to imatinib integrated with this commonly used chemotherapy regimen in </w:t>
      </w:r>
      <w:r w:rsidR="0079571B" w:rsidRPr="002B11F8">
        <w:t>Ph</w:t>
      </w:r>
      <w:r w:rsidR="0079571B" w:rsidRPr="0079571B">
        <w:rPr>
          <w:vertAlign w:val="superscript"/>
        </w:rPr>
        <w:t>+</w:t>
      </w:r>
      <w:r w:rsidRPr="00AD796C">
        <w:t xml:space="preserve"> ALL.</w:t>
      </w:r>
    </w:p>
    <w:p w14:paraId="22E674B1" w14:textId="4058BBEB" w:rsidR="00017D07" w:rsidRDefault="00017D07" w:rsidP="00017D07">
      <w:r>
        <w:t xml:space="preserve">Whilst </w:t>
      </w:r>
      <w:r w:rsidR="00E828F1">
        <w:t>the Delegate</w:t>
      </w:r>
      <w:r>
        <w:t xml:space="preserve"> agree</w:t>
      </w:r>
      <w:r w:rsidR="00E828F1">
        <w:t>s</w:t>
      </w:r>
      <w:r>
        <w:t xml:space="preserve"> with the </w:t>
      </w:r>
      <w:r w:rsidR="00036FE4">
        <w:t>sponsor</w:t>
      </w:r>
      <w:r>
        <w:t xml:space="preserve">’s reasoning and current PI statements, prescribers may benefit from the addition of the statement </w:t>
      </w:r>
      <w:r w:rsidR="00A47AEF">
        <w:t>‘</w:t>
      </w:r>
      <w:r w:rsidRPr="00242F26">
        <w:rPr>
          <w:i/>
        </w:rPr>
        <w:t xml:space="preserve">No specific drug interaction studies between dasatinib and chemotherapy regimens routinely used in newly diagnosed </w:t>
      </w:r>
      <w:r w:rsidR="0079571B" w:rsidRPr="002B11F8">
        <w:t>Ph</w:t>
      </w:r>
      <w:r w:rsidR="0079571B" w:rsidRPr="0079571B">
        <w:rPr>
          <w:vertAlign w:val="superscript"/>
        </w:rPr>
        <w:t>+</w:t>
      </w:r>
      <w:r w:rsidRPr="00242F26">
        <w:rPr>
          <w:i/>
        </w:rPr>
        <w:t xml:space="preserve"> ALL have been performed</w:t>
      </w:r>
      <w:r>
        <w:t>.</w:t>
      </w:r>
      <w:r w:rsidR="00A47AEF">
        <w:t>’</w:t>
      </w:r>
      <w:r>
        <w:t xml:space="preserve"> </w:t>
      </w:r>
      <w:r w:rsidR="00E828F1">
        <w:t>The Delegate</w:t>
      </w:r>
      <w:r>
        <w:t xml:space="preserve"> would appreciate the </w:t>
      </w:r>
      <w:r w:rsidR="00A47AEF">
        <w:t>Advisory Committee’s</w:t>
      </w:r>
      <w:r>
        <w:t xml:space="preserve"> clinical opinion on whether such a statement would assist prescribers.</w:t>
      </w:r>
    </w:p>
    <w:p w14:paraId="7E177DD8" w14:textId="77777777" w:rsidR="00017D07" w:rsidRPr="00811635" w:rsidRDefault="00017D07" w:rsidP="00017D07">
      <w:pPr>
        <w:pStyle w:val="Heading5"/>
      </w:pPr>
      <w:r w:rsidRPr="00811635">
        <w:t xml:space="preserve">Recommended dasatinib dose for newly diagnosed </w:t>
      </w:r>
      <w:r w:rsidR="0079571B" w:rsidRPr="002B11F8">
        <w:t>Ph</w:t>
      </w:r>
      <w:r w:rsidR="0079571B" w:rsidRPr="0079571B">
        <w:rPr>
          <w:vertAlign w:val="superscript"/>
        </w:rPr>
        <w:t>+</w:t>
      </w:r>
      <w:r w:rsidRPr="00811635">
        <w:t xml:space="preserve"> ALL</w:t>
      </w:r>
    </w:p>
    <w:p w14:paraId="6643B59D" w14:textId="176EF4F0" w:rsidR="00017D07" w:rsidRDefault="00017D07" w:rsidP="00017D07">
      <w:r w:rsidRPr="00F372D0">
        <w:t xml:space="preserve">The proposed draft PI for Australia recommends a starting dosage of dasatinib for newly diagnosed </w:t>
      </w:r>
      <w:r w:rsidR="0079571B" w:rsidRPr="002B11F8">
        <w:t>Ph</w:t>
      </w:r>
      <w:r w:rsidR="0079571B" w:rsidRPr="0079571B">
        <w:rPr>
          <w:vertAlign w:val="superscript"/>
        </w:rPr>
        <w:t>+</w:t>
      </w:r>
      <w:r w:rsidRPr="00F372D0">
        <w:t xml:space="preserve"> ALL of 100</w:t>
      </w:r>
      <w:r w:rsidR="00665FCA">
        <w:t xml:space="preserve"> mg</w:t>
      </w:r>
      <w:r w:rsidRPr="00F372D0">
        <w:t xml:space="preserve"> administered orally once daily (QD) and should be taken consistently either in the morning or evening. The PI states that </w:t>
      </w:r>
      <w:r w:rsidR="00A47AEF">
        <w:t>’</w:t>
      </w:r>
      <w:r w:rsidRPr="00811635">
        <w:t xml:space="preserve">in clinical studies, treatment with </w:t>
      </w:r>
      <w:r w:rsidR="0079571B">
        <w:t>Sprycel</w:t>
      </w:r>
      <w:r w:rsidRPr="00811635">
        <w:t xml:space="preserve"> was continued in the</w:t>
      </w:r>
      <w:r w:rsidRPr="00F372D0">
        <w:t xml:space="preserve"> maintenance phase until disease progression or until no longer tolerated by the patient.</w:t>
      </w:r>
      <w:r w:rsidR="00A47AEF">
        <w:t>’</w:t>
      </w:r>
      <w:r w:rsidRPr="00F372D0">
        <w:t xml:space="preserve"> A further statement under Dose </w:t>
      </w:r>
      <w:r w:rsidR="00A47AEF">
        <w:t>E</w:t>
      </w:r>
      <w:r w:rsidR="00A47AEF" w:rsidRPr="00F372D0">
        <w:t>scalation</w:t>
      </w:r>
      <w:r w:rsidRPr="00F372D0">
        <w:t xml:space="preserve"> states </w:t>
      </w:r>
      <w:r w:rsidR="00A47AEF">
        <w:t>‘</w:t>
      </w:r>
      <w:r w:rsidRPr="0061480D">
        <w:rPr>
          <w:i/>
        </w:rPr>
        <w:t xml:space="preserve">In clinical studies in adult </w:t>
      </w:r>
      <w:r w:rsidR="0079571B" w:rsidRPr="0061480D">
        <w:rPr>
          <w:i/>
        </w:rPr>
        <w:t>Ph</w:t>
      </w:r>
      <w:r w:rsidR="0079571B" w:rsidRPr="0061480D">
        <w:rPr>
          <w:i/>
          <w:vertAlign w:val="superscript"/>
        </w:rPr>
        <w:t>+</w:t>
      </w:r>
      <w:r w:rsidRPr="0061480D">
        <w:rPr>
          <w:i/>
        </w:rPr>
        <w:t xml:space="preserve"> ALL patients, dose escalation to 140</w:t>
      </w:r>
      <w:r w:rsidR="00665FCA" w:rsidRPr="0061480D">
        <w:rPr>
          <w:i/>
        </w:rPr>
        <w:t xml:space="preserve"> mg</w:t>
      </w:r>
      <w:r w:rsidRPr="0061480D">
        <w:rPr>
          <w:i/>
        </w:rPr>
        <w:t xml:space="preserve"> once daily (newly diagnosed patients) …was allowed in patients who did not achieve a haematologic or cytogenetic response at the recommended starting dosage.</w:t>
      </w:r>
      <w:r w:rsidR="00A47AEF">
        <w:rPr>
          <w:i/>
        </w:rPr>
        <w:t>’</w:t>
      </w:r>
    </w:p>
    <w:p w14:paraId="4E9B2279" w14:textId="16B74826" w:rsidR="00456765" w:rsidRDefault="00017D07" w:rsidP="00017D07">
      <w:r w:rsidRPr="00EB7997">
        <w:t xml:space="preserve">A range of dose regimes were </w:t>
      </w:r>
      <w:r>
        <w:t xml:space="preserve">utilised in the clinical studies submitted as part of this application. The </w:t>
      </w:r>
      <w:r w:rsidR="00036FE4">
        <w:t>sponsor</w:t>
      </w:r>
      <w:r>
        <w:t xml:space="preserve"> has provided the following summary of dasatinib dosing</w:t>
      </w:r>
      <w:r w:rsidR="00A47AEF">
        <w:t>, as shown in Table 9.</w:t>
      </w:r>
    </w:p>
    <w:p w14:paraId="30865F03" w14:textId="77777777" w:rsidR="00017D07" w:rsidRDefault="00017D07" w:rsidP="00017D07">
      <w:pPr>
        <w:pStyle w:val="TableTitle"/>
      </w:pPr>
      <w:r w:rsidRPr="00D01571">
        <w:lastRenderedPageBreak/>
        <w:t>Table</w:t>
      </w:r>
      <w:r w:rsidR="00BB4D43">
        <w:t xml:space="preserve"> 9</w:t>
      </w:r>
      <w:r w:rsidRPr="00D01571">
        <w:t>: Summary of dasatini</w:t>
      </w:r>
      <w:r w:rsidR="00CC1477">
        <w:t>b dosing in the pivotal studies</w:t>
      </w:r>
    </w:p>
    <w:p w14:paraId="2DF7D4E0" w14:textId="77777777" w:rsidR="00017D07" w:rsidRPr="00CC1477" w:rsidRDefault="00CC1477" w:rsidP="00017D07">
      <w:pPr>
        <w:rPr>
          <w:rFonts w:asciiTheme="minorHAnsi" w:hAnsiTheme="minorHAnsi" w:cs="Calibri"/>
          <w:bCs/>
        </w:rPr>
      </w:pPr>
      <w:r w:rsidRPr="00CC1477">
        <w:rPr>
          <w:noProof/>
          <w:lang w:eastAsia="en-AU"/>
        </w:rPr>
        <w:drawing>
          <wp:inline distT="0" distB="0" distL="0" distR="0" wp14:anchorId="0622B63C" wp14:editId="7CB5CB26">
            <wp:extent cx="5400040" cy="4073684"/>
            <wp:effectExtent l="0" t="0" r="0" b="3175"/>
            <wp:docPr id="10" name="Picture 10" descr="Table 9: Summary of dasatinib dosing in the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4073684"/>
                    </a:xfrm>
                    <a:prstGeom prst="rect">
                      <a:avLst/>
                    </a:prstGeom>
                  </pic:spPr>
                </pic:pic>
              </a:graphicData>
            </a:graphic>
          </wp:inline>
        </w:drawing>
      </w:r>
    </w:p>
    <w:p w14:paraId="17AE669A" w14:textId="77777777" w:rsidR="00017D07" w:rsidRPr="00017D07" w:rsidRDefault="00017D07" w:rsidP="00017D07">
      <w:r>
        <w:t xml:space="preserve">The </w:t>
      </w:r>
      <w:r w:rsidR="00036FE4">
        <w:t>sponsor</w:t>
      </w:r>
      <w:r>
        <w:t xml:space="preserve"> states that based on the above, a dose regimen in newly diagnosed patients with </w:t>
      </w:r>
      <w:r w:rsidR="0079571B" w:rsidRPr="002B11F8">
        <w:t>Ph</w:t>
      </w:r>
      <w:r w:rsidR="0079571B" w:rsidRPr="0079571B">
        <w:rPr>
          <w:vertAlign w:val="superscript"/>
        </w:rPr>
        <w:t>+</w:t>
      </w:r>
      <w:r>
        <w:t xml:space="preserve"> ALL is proposed as 100</w:t>
      </w:r>
      <w:r w:rsidR="00665FCA">
        <w:t xml:space="preserve"> mg</w:t>
      </w:r>
      <w:r>
        <w:t xml:space="preserve"> administered orally daily, with does increased or decreased based on individual patient response and tolerability. Although a range of different pre-treatments, induction, consolation and maintenance treatments were included in the dossier, the dosage and administration section indicates this proposed dose of dasatinib as a starting dose and for the maintenance phase (see proposed changes to the dasatinib PI</w:t>
      </w:r>
      <w:r w:rsidRPr="00017D07">
        <w:t>).</w:t>
      </w:r>
    </w:p>
    <w:p w14:paraId="18A2D187" w14:textId="10578CAF" w:rsidR="00017D07" w:rsidRPr="00017D07" w:rsidRDefault="00CC1477" w:rsidP="00017D07">
      <w:r>
        <w:t>The Delegate</w:t>
      </w:r>
      <w:r w:rsidR="00017D07">
        <w:t xml:space="preserve"> agree</w:t>
      </w:r>
      <w:r>
        <w:t>d</w:t>
      </w:r>
      <w:r w:rsidR="00017D07">
        <w:t xml:space="preserve"> with the </w:t>
      </w:r>
      <w:r w:rsidR="00036FE4">
        <w:t>sponsor</w:t>
      </w:r>
      <w:r w:rsidR="00017D07">
        <w:t xml:space="preserve"> and clinical evaluator that the data presented does support a dose of 100</w:t>
      </w:r>
      <w:r w:rsidR="00665FCA">
        <w:t xml:space="preserve"> mg</w:t>
      </w:r>
      <w:r w:rsidR="00017D07">
        <w:t xml:space="preserve"> daily in this setting. Furthermore, it is reasonable to consider that individual patient response and tolerability will largely drive clinical dosing. However, </w:t>
      </w:r>
      <w:r>
        <w:t>the Delegate</w:t>
      </w:r>
      <w:r w:rsidR="00017D07">
        <w:t xml:space="preserve"> would appreciate the </w:t>
      </w:r>
      <w:r w:rsidR="000A771E">
        <w:t xml:space="preserve">Advisory Committee’s </w:t>
      </w:r>
      <w:r w:rsidR="00017D07">
        <w:t>advice on this issue</w:t>
      </w:r>
      <w:r w:rsidR="00017D07" w:rsidRPr="00017D07">
        <w:t>.</w:t>
      </w:r>
    </w:p>
    <w:p w14:paraId="394CE8A2" w14:textId="77777777" w:rsidR="000F267E" w:rsidRPr="002C25F8" w:rsidRDefault="000F267E" w:rsidP="000F267E">
      <w:pPr>
        <w:pStyle w:val="Heading5"/>
      </w:pPr>
      <w:r w:rsidRPr="002C25F8">
        <w:t>CNS involvement in the pivotal studies</w:t>
      </w:r>
    </w:p>
    <w:p w14:paraId="5685585B" w14:textId="77777777" w:rsidR="000F267E" w:rsidRPr="000F267E" w:rsidRDefault="000F267E" w:rsidP="000F267E">
      <w:r w:rsidRPr="000F267E">
        <w:t xml:space="preserve">The reported results from the available publications in newly diagnosed patients with </w:t>
      </w:r>
      <w:r w:rsidR="0079571B" w:rsidRPr="002B11F8">
        <w:t>Ph</w:t>
      </w:r>
      <w:r w:rsidR="0079571B" w:rsidRPr="0079571B">
        <w:rPr>
          <w:vertAlign w:val="superscript"/>
        </w:rPr>
        <w:t>+</w:t>
      </w:r>
      <w:r w:rsidR="00CC1477">
        <w:t> </w:t>
      </w:r>
      <w:r w:rsidRPr="000F267E">
        <w:t>ALL does not include adequate detail to make a clear determination of efficacy in CNS involvement at initial diagnosis.</w:t>
      </w:r>
    </w:p>
    <w:p w14:paraId="549B7C2A" w14:textId="77777777" w:rsidR="000F267E" w:rsidRPr="000F267E" w:rsidRDefault="000F267E" w:rsidP="000F267E">
      <w:pPr>
        <w:pStyle w:val="Heading5"/>
      </w:pPr>
      <w:r w:rsidRPr="000F267E">
        <w:t>Mutation rates in the pivotal studies</w:t>
      </w:r>
    </w:p>
    <w:p w14:paraId="6BF740AE" w14:textId="09BCD5DE" w:rsidR="000F267E" w:rsidRPr="000F267E" w:rsidRDefault="000F267E" w:rsidP="000F267E">
      <w:r w:rsidRPr="000F267E">
        <w:t>Overall, the T315I mutation was more commonly reported after treatment with dasatinib compared to treatment with imatinib</w:t>
      </w:r>
      <w:r w:rsidR="00CC1477">
        <w:t>.</w:t>
      </w:r>
      <w:r w:rsidR="00CC1477" w:rsidRPr="00CC1477">
        <w:rPr>
          <w:vertAlign w:val="superscript"/>
        </w:rPr>
        <w:fldChar w:fldCharType="begin"/>
      </w:r>
      <w:r w:rsidR="00CC1477" w:rsidRPr="00CC1477">
        <w:rPr>
          <w:vertAlign w:val="superscript"/>
        </w:rPr>
        <w:instrText xml:space="preserve"> NOTEREF _Ref531176987 \h </w:instrText>
      </w:r>
      <w:r w:rsidR="00CC1477">
        <w:rPr>
          <w:vertAlign w:val="superscript"/>
        </w:rPr>
        <w:instrText xml:space="preserve">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25</w:t>
      </w:r>
      <w:r w:rsidR="00CC1477" w:rsidRPr="00CC1477">
        <w:rPr>
          <w:vertAlign w:val="superscript"/>
        </w:rPr>
        <w:fldChar w:fldCharType="end"/>
      </w:r>
      <w:r w:rsidRPr="000F267E">
        <w:t xml:space="preserve"> However, not all patients who relapsed underwent mutational analysis. The </w:t>
      </w:r>
      <w:r w:rsidR="00036FE4">
        <w:t>sponsor</w:t>
      </w:r>
      <w:r w:rsidRPr="000F267E">
        <w:t xml:space="preserve"> comments that compared to the results presented in Daver et al</w:t>
      </w:r>
      <w:r w:rsidR="000A771E">
        <w:t>.;</w:t>
      </w:r>
      <w:r w:rsidR="00CC1477" w:rsidRPr="00CC1477">
        <w:rPr>
          <w:vertAlign w:val="superscript"/>
        </w:rPr>
        <w:fldChar w:fldCharType="begin"/>
      </w:r>
      <w:r w:rsidR="00CC1477" w:rsidRPr="00CC1477">
        <w:rPr>
          <w:vertAlign w:val="superscript"/>
        </w:rPr>
        <w:instrText xml:space="preserve"> NOTEREF _Ref531176987 \h </w:instrText>
      </w:r>
      <w:r w:rsidR="00CC1477">
        <w:rPr>
          <w:vertAlign w:val="superscript"/>
        </w:rPr>
        <w:instrText xml:space="preserve">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25</w:t>
      </w:r>
      <w:r w:rsidR="00CC1477" w:rsidRPr="00CC1477">
        <w:rPr>
          <w:vertAlign w:val="superscript"/>
        </w:rPr>
        <w:fldChar w:fldCharType="end"/>
      </w:r>
      <w:r w:rsidRPr="000F267E">
        <w:t xml:space="preserve"> the data suggests that treatment with dasatinib results in a narrower range of mutations than treatment with imatinib. The </w:t>
      </w:r>
      <w:r w:rsidR="00036FE4">
        <w:t>sponsor</w:t>
      </w:r>
      <w:r w:rsidRPr="000F267E">
        <w:t xml:space="preserve"> states that this would be expected as many of the mutations that are resistant to imatinib treatment are sensitive to dasatinib. Whist </w:t>
      </w:r>
      <w:r w:rsidR="00CC1477">
        <w:t xml:space="preserve">the Delegate </w:t>
      </w:r>
      <w:r w:rsidRPr="000F267E">
        <w:t>agree</w:t>
      </w:r>
      <w:r w:rsidR="00CC1477">
        <w:t>d</w:t>
      </w:r>
      <w:r w:rsidRPr="000F267E">
        <w:t xml:space="preserve"> that th</w:t>
      </w:r>
      <w:r w:rsidR="00BB4D43">
        <w:t>e top line view of the data (see Table 10</w:t>
      </w:r>
      <w:r w:rsidRPr="000F267E">
        <w:t>) does support this suggestion; it is difficult to draw a clear conclusion at this stage based on the data presented.</w:t>
      </w:r>
    </w:p>
    <w:p w14:paraId="077942DC" w14:textId="77777777" w:rsidR="000F267E" w:rsidRDefault="000F267E" w:rsidP="000F267E">
      <w:pPr>
        <w:pStyle w:val="TableTitle"/>
      </w:pPr>
      <w:bookmarkStart w:id="122" w:name="_Ref501355366"/>
      <w:r w:rsidRPr="000F267E">
        <w:lastRenderedPageBreak/>
        <w:t>Table</w:t>
      </w:r>
      <w:bookmarkEnd w:id="122"/>
      <w:r w:rsidR="00BB4D43">
        <w:t xml:space="preserve"> 10</w:t>
      </w:r>
      <w:r w:rsidRPr="000F267E">
        <w:t xml:space="preserve">: Comparisons </w:t>
      </w:r>
      <w:r w:rsidR="00CC1477">
        <w:t>of mutations in pivotal studies</w:t>
      </w:r>
    </w:p>
    <w:p w14:paraId="520697E9" w14:textId="77777777" w:rsidR="00017D07" w:rsidRPr="000F267E" w:rsidRDefault="00CC1477" w:rsidP="000F267E">
      <w:r w:rsidRPr="00CC1477">
        <w:rPr>
          <w:noProof/>
          <w:lang w:eastAsia="en-AU"/>
        </w:rPr>
        <w:drawing>
          <wp:inline distT="0" distB="0" distL="0" distR="0" wp14:anchorId="653F6936" wp14:editId="4CB438EC">
            <wp:extent cx="5400040" cy="6559087"/>
            <wp:effectExtent l="0" t="0" r="0" b="0"/>
            <wp:docPr id="12" name="Picture 12" descr="Table 10: Comparisons of mutations in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6559087"/>
                    </a:xfrm>
                    <a:prstGeom prst="rect">
                      <a:avLst/>
                    </a:prstGeom>
                  </pic:spPr>
                </pic:pic>
              </a:graphicData>
            </a:graphic>
          </wp:inline>
        </w:drawing>
      </w:r>
    </w:p>
    <w:p w14:paraId="61FEA301" w14:textId="77777777" w:rsidR="00017D07" w:rsidRDefault="000F267E" w:rsidP="000F267E">
      <w:pPr>
        <w:pStyle w:val="Heading5"/>
      </w:pPr>
      <w:r>
        <w:t>Questions for sponsor</w:t>
      </w:r>
    </w:p>
    <w:p w14:paraId="00C043A5" w14:textId="77777777" w:rsidR="000F267E" w:rsidRPr="007634F7" w:rsidRDefault="00CC1477" w:rsidP="000F267E">
      <w:pPr>
        <w:pStyle w:val="Numberbullet0"/>
      </w:pPr>
      <w:r>
        <w:t>The sponsor</w:t>
      </w:r>
      <w:r w:rsidR="000F267E">
        <w:t xml:space="preserve"> states that this application is specific to Australia and is not planned for submission in other regulatory jurisdictions. Is there any additional information available regarding the rationale for this application in Australia? Has any other regulator provided comment on this application?</w:t>
      </w:r>
    </w:p>
    <w:p w14:paraId="6AEFC218" w14:textId="55E88969" w:rsidR="000F267E" w:rsidRPr="007634F7" w:rsidRDefault="000F267E" w:rsidP="000F267E">
      <w:pPr>
        <w:pStyle w:val="Numberbullet0"/>
      </w:pPr>
      <w:r w:rsidRPr="007634F7">
        <w:rPr>
          <w:rFonts w:asciiTheme="minorHAnsi" w:hAnsiTheme="minorHAnsi"/>
          <w:bCs/>
          <w:szCs w:val="24"/>
        </w:rPr>
        <w:t xml:space="preserve">Whist comparison to other therapies is difficult, please comment on the paper by Ravandi </w:t>
      </w:r>
      <w:r w:rsidR="000A771E">
        <w:rPr>
          <w:rFonts w:asciiTheme="minorHAnsi" w:hAnsiTheme="minorHAnsi"/>
          <w:bCs/>
          <w:szCs w:val="24"/>
        </w:rPr>
        <w:t>et al., (</w:t>
      </w:r>
      <w:r w:rsidRPr="007634F7">
        <w:rPr>
          <w:rFonts w:asciiTheme="minorHAnsi" w:hAnsiTheme="minorHAnsi"/>
          <w:bCs/>
          <w:szCs w:val="24"/>
        </w:rPr>
        <w:t>2017</w:t>
      </w:r>
      <w:r w:rsidR="000A771E">
        <w:rPr>
          <w:rFonts w:asciiTheme="minorHAnsi" w:hAnsiTheme="minorHAnsi"/>
          <w:bCs/>
          <w:szCs w:val="24"/>
        </w:rPr>
        <w:t>)</w:t>
      </w:r>
      <w:r w:rsidRPr="007634F7">
        <w:rPr>
          <w:rFonts w:asciiTheme="minorHAnsi" w:hAnsiTheme="minorHAnsi"/>
          <w:bCs/>
          <w:szCs w:val="24"/>
        </w:rPr>
        <w:t xml:space="preserve"> which indicates that the rate of </w:t>
      </w:r>
      <w:r w:rsidR="000A771E">
        <w:rPr>
          <w:rFonts w:asciiTheme="minorHAnsi" w:hAnsiTheme="minorHAnsi"/>
          <w:bCs/>
          <w:szCs w:val="24"/>
        </w:rPr>
        <w:t>a</w:t>
      </w:r>
      <w:r w:rsidR="000A771E" w:rsidRPr="007634F7">
        <w:rPr>
          <w:rFonts w:asciiTheme="minorHAnsi" w:hAnsiTheme="minorHAnsi"/>
          <w:bCs/>
          <w:szCs w:val="24"/>
        </w:rPr>
        <w:t>llo</w:t>
      </w:r>
      <w:r>
        <w:rPr>
          <w:rFonts w:asciiTheme="minorHAnsi" w:hAnsiTheme="minorHAnsi"/>
          <w:bCs/>
          <w:szCs w:val="24"/>
        </w:rPr>
        <w:t>-</w:t>
      </w:r>
      <w:r w:rsidRPr="007634F7">
        <w:rPr>
          <w:rFonts w:asciiTheme="minorHAnsi" w:hAnsiTheme="minorHAnsi"/>
          <w:bCs/>
          <w:szCs w:val="24"/>
        </w:rPr>
        <w:t xml:space="preserve">HCT in the studies by </w:t>
      </w:r>
      <w:r>
        <w:rPr>
          <w:rFonts w:asciiTheme="minorHAnsi" w:hAnsiTheme="minorHAnsi"/>
          <w:bCs/>
          <w:szCs w:val="24"/>
        </w:rPr>
        <w:t>Foá</w:t>
      </w:r>
      <w:r w:rsidRPr="007634F7">
        <w:rPr>
          <w:rFonts w:asciiTheme="minorHAnsi" w:hAnsiTheme="minorHAnsi"/>
          <w:bCs/>
          <w:szCs w:val="24"/>
        </w:rPr>
        <w:t xml:space="preserve"> </w:t>
      </w:r>
      <w:r w:rsidRPr="0061480D">
        <w:rPr>
          <w:rFonts w:asciiTheme="minorHAnsi" w:hAnsiTheme="minorHAnsi"/>
          <w:bCs/>
          <w:szCs w:val="24"/>
        </w:rPr>
        <w:t>et al</w:t>
      </w:r>
      <w:r w:rsidR="000A771E">
        <w:rPr>
          <w:rFonts w:asciiTheme="minorHAnsi" w:hAnsiTheme="minorHAnsi"/>
          <w:bCs/>
          <w:szCs w:val="24"/>
        </w:rPr>
        <w:t>.,</w:t>
      </w:r>
      <w:r w:rsidRPr="007634F7">
        <w:rPr>
          <w:rFonts w:asciiTheme="minorHAnsi" w:hAnsiTheme="minorHAnsi"/>
          <w:bCs/>
          <w:szCs w:val="24"/>
        </w:rPr>
        <w:t xml:space="preserve"> and Ravandi </w:t>
      </w:r>
      <w:r w:rsidRPr="0061480D">
        <w:rPr>
          <w:rFonts w:asciiTheme="minorHAnsi" w:hAnsiTheme="minorHAnsi"/>
          <w:bCs/>
          <w:szCs w:val="24"/>
        </w:rPr>
        <w:t>et al</w:t>
      </w:r>
      <w:r w:rsidR="000A771E">
        <w:rPr>
          <w:rFonts w:asciiTheme="minorHAnsi" w:hAnsiTheme="minorHAnsi"/>
          <w:bCs/>
          <w:szCs w:val="24"/>
        </w:rPr>
        <w:t>.,</w:t>
      </w:r>
      <w:r w:rsidRPr="007634F7">
        <w:rPr>
          <w:rFonts w:asciiTheme="minorHAnsi" w:hAnsiTheme="minorHAnsi"/>
          <w:bCs/>
          <w:szCs w:val="24"/>
        </w:rPr>
        <w:t xml:space="preserve"> may be lower than that for other </w:t>
      </w:r>
      <w:r w:rsidR="000A771E">
        <w:rPr>
          <w:rFonts w:asciiTheme="minorHAnsi" w:hAnsiTheme="minorHAnsi"/>
          <w:bCs/>
          <w:szCs w:val="24"/>
        </w:rPr>
        <w:t>TK</w:t>
      </w:r>
      <w:r w:rsidRPr="007634F7">
        <w:rPr>
          <w:rFonts w:asciiTheme="minorHAnsi" w:hAnsiTheme="minorHAnsi"/>
          <w:bCs/>
          <w:szCs w:val="24"/>
        </w:rPr>
        <w:t xml:space="preserve"> inhibitors in frontline therapy (not</w:t>
      </w:r>
      <w:r w:rsidR="00B27D94">
        <w:rPr>
          <w:rFonts w:asciiTheme="minorHAnsi" w:hAnsiTheme="minorHAnsi"/>
          <w:bCs/>
          <w:szCs w:val="24"/>
        </w:rPr>
        <w:t>e;</w:t>
      </w:r>
      <w:r w:rsidRPr="007634F7">
        <w:rPr>
          <w:rFonts w:asciiTheme="minorHAnsi" w:hAnsiTheme="minorHAnsi"/>
          <w:bCs/>
          <w:szCs w:val="24"/>
        </w:rPr>
        <w:t xml:space="preserve"> the TGA acknowledges that t</w:t>
      </w:r>
      <w:r>
        <w:rPr>
          <w:rFonts w:asciiTheme="minorHAnsi" w:hAnsiTheme="minorHAnsi"/>
          <w:bCs/>
          <w:szCs w:val="24"/>
        </w:rPr>
        <w:t>he study by Rous</w:t>
      </w:r>
      <w:r w:rsidRPr="007634F7">
        <w:rPr>
          <w:rFonts w:asciiTheme="minorHAnsi" w:hAnsiTheme="minorHAnsi"/>
          <w:bCs/>
          <w:szCs w:val="24"/>
        </w:rPr>
        <w:t>el</w:t>
      </w:r>
      <w:r>
        <w:rPr>
          <w:rFonts w:asciiTheme="minorHAnsi" w:hAnsiTheme="minorHAnsi"/>
          <w:bCs/>
          <w:szCs w:val="24"/>
        </w:rPr>
        <w:t>l</w:t>
      </w:r>
      <w:r w:rsidRPr="007634F7">
        <w:rPr>
          <w:rFonts w:asciiTheme="minorHAnsi" w:hAnsiTheme="minorHAnsi"/>
          <w:bCs/>
          <w:szCs w:val="24"/>
        </w:rPr>
        <w:t xml:space="preserve">ot </w:t>
      </w:r>
      <w:r w:rsidRPr="0061480D">
        <w:rPr>
          <w:rFonts w:asciiTheme="minorHAnsi" w:hAnsiTheme="minorHAnsi"/>
          <w:bCs/>
          <w:szCs w:val="24"/>
        </w:rPr>
        <w:t>et al</w:t>
      </w:r>
      <w:r w:rsidR="000A771E">
        <w:rPr>
          <w:rFonts w:asciiTheme="minorHAnsi" w:hAnsiTheme="minorHAnsi"/>
          <w:bCs/>
          <w:szCs w:val="24"/>
        </w:rPr>
        <w:t>.,</w:t>
      </w:r>
      <w:r w:rsidRPr="007634F7">
        <w:rPr>
          <w:rFonts w:asciiTheme="minorHAnsi" w:hAnsiTheme="minorHAnsi"/>
          <w:bCs/>
          <w:i/>
          <w:szCs w:val="24"/>
        </w:rPr>
        <w:t xml:space="preserve"> </w:t>
      </w:r>
      <w:r w:rsidRPr="007634F7">
        <w:rPr>
          <w:rFonts w:asciiTheme="minorHAnsi" w:hAnsiTheme="minorHAnsi"/>
          <w:bCs/>
          <w:szCs w:val="24"/>
        </w:rPr>
        <w:t xml:space="preserve">is an older cohort of patients, thus likely accounting for the lower rate of </w:t>
      </w:r>
      <w:r w:rsidR="000A771E">
        <w:rPr>
          <w:rFonts w:asciiTheme="minorHAnsi" w:hAnsiTheme="minorHAnsi"/>
          <w:bCs/>
          <w:szCs w:val="24"/>
        </w:rPr>
        <w:t>a</w:t>
      </w:r>
      <w:r w:rsidR="000A771E" w:rsidRPr="007634F7">
        <w:rPr>
          <w:rFonts w:asciiTheme="minorHAnsi" w:hAnsiTheme="minorHAnsi"/>
          <w:bCs/>
          <w:szCs w:val="24"/>
        </w:rPr>
        <w:t>llo</w:t>
      </w:r>
      <w:r>
        <w:rPr>
          <w:rFonts w:asciiTheme="minorHAnsi" w:hAnsiTheme="minorHAnsi"/>
          <w:bCs/>
          <w:szCs w:val="24"/>
        </w:rPr>
        <w:t>-</w:t>
      </w:r>
      <w:r w:rsidRPr="007634F7">
        <w:rPr>
          <w:rFonts w:asciiTheme="minorHAnsi" w:hAnsiTheme="minorHAnsi"/>
          <w:bCs/>
          <w:szCs w:val="24"/>
        </w:rPr>
        <w:t>HCT).</w:t>
      </w:r>
    </w:p>
    <w:p w14:paraId="0AF5F28F" w14:textId="54EC530A" w:rsidR="000F267E" w:rsidRDefault="000F267E" w:rsidP="00D23139">
      <w:pPr>
        <w:pStyle w:val="Heading4"/>
      </w:pPr>
      <w:r>
        <w:lastRenderedPageBreak/>
        <w:t xml:space="preserve">Summary of </w:t>
      </w:r>
      <w:r w:rsidR="000A771E">
        <w:t>i</w:t>
      </w:r>
      <w:r>
        <w:t>ssues</w:t>
      </w:r>
    </w:p>
    <w:p w14:paraId="1866FCE4" w14:textId="093A94EE" w:rsidR="000F267E" w:rsidRDefault="000F267E" w:rsidP="00856DAB">
      <w:pPr>
        <w:pStyle w:val="Numberbullet0"/>
        <w:numPr>
          <w:ilvl w:val="0"/>
          <w:numId w:val="6"/>
        </w:numPr>
      </w:pPr>
      <w:r>
        <w:t xml:space="preserve">Level of evidence in the current dossier supporting the safety and efficacy of dasatinib in the first line treatment of </w:t>
      </w:r>
      <w:r w:rsidR="0079571B" w:rsidRPr="002B11F8">
        <w:t>Ph</w:t>
      </w:r>
      <w:r w:rsidR="0079571B" w:rsidRPr="0079571B">
        <w:rPr>
          <w:vertAlign w:val="superscript"/>
        </w:rPr>
        <w:t>+</w:t>
      </w:r>
      <w:r w:rsidRPr="004F0B54">
        <w:t xml:space="preserve"> ALL</w:t>
      </w:r>
      <w:r>
        <w:t xml:space="preserve"> (discussed </w:t>
      </w:r>
      <w:r w:rsidR="000A771E">
        <w:t>above</w:t>
      </w:r>
      <w:r>
        <w:t>).</w:t>
      </w:r>
    </w:p>
    <w:p w14:paraId="42007F5C" w14:textId="27703053" w:rsidR="000F267E" w:rsidRPr="004F0B54" w:rsidRDefault="000F267E" w:rsidP="00856DAB">
      <w:pPr>
        <w:pStyle w:val="Numberbullet0"/>
        <w:numPr>
          <w:ilvl w:val="0"/>
          <w:numId w:val="6"/>
        </w:numPr>
      </w:pPr>
      <w:r w:rsidRPr="004F0B54">
        <w:t xml:space="preserve">Proposed wording of indication for first line </w:t>
      </w:r>
      <w:r w:rsidR="0079571B" w:rsidRPr="002B11F8">
        <w:t>Ph</w:t>
      </w:r>
      <w:r w:rsidR="0079571B" w:rsidRPr="0079571B">
        <w:rPr>
          <w:vertAlign w:val="superscript"/>
        </w:rPr>
        <w:t>+</w:t>
      </w:r>
      <w:r w:rsidRPr="004F0B54">
        <w:t xml:space="preserve"> ALL in light of the limitations of the dossier presented (discussed </w:t>
      </w:r>
      <w:r w:rsidR="000A771E">
        <w:t>above</w:t>
      </w:r>
      <w:r w:rsidRPr="004F0B54">
        <w:t>).</w:t>
      </w:r>
    </w:p>
    <w:p w14:paraId="2822BFAB" w14:textId="77777777" w:rsidR="000F267E" w:rsidRPr="004F0B54" w:rsidRDefault="000F267E" w:rsidP="00856DAB">
      <w:pPr>
        <w:pStyle w:val="Numberbullet0"/>
        <w:numPr>
          <w:ilvl w:val="0"/>
          <w:numId w:val="6"/>
        </w:numPr>
      </w:pPr>
      <w:r w:rsidRPr="004F0B54">
        <w:t>Acceptability of proposed dosage given diversity of dosage</w:t>
      </w:r>
      <w:r>
        <w:t xml:space="preserve"> regimen</w:t>
      </w:r>
      <w:r w:rsidRPr="004F0B54">
        <w:t xml:space="preserve"> given in clinical trials.</w:t>
      </w:r>
    </w:p>
    <w:p w14:paraId="581FD564" w14:textId="2CB61852" w:rsidR="000F267E" w:rsidRPr="000F267E" w:rsidRDefault="000F267E" w:rsidP="00856DAB">
      <w:pPr>
        <w:pStyle w:val="Numberbullet0"/>
        <w:numPr>
          <w:ilvl w:val="0"/>
          <w:numId w:val="6"/>
        </w:numPr>
      </w:pPr>
      <w:r w:rsidRPr="004F0B54">
        <w:t>Limited availability of safety data in the proposed indicated population</w:t>
      </w:r>
      <w:r w:rsidR="000A771E">
        <w:t>.</w:t>
      </w:r>
    </w:p>
    <w:p w14:paraId="584A481A" w14:textId="77777777" w:rsidR="00D23139" w:rsidRDefault="00D23139" w:rsidP="00D23139">
      <w:pPr>
        <w:pStyle w:val="Heading4"/>
      </w:pPr>
      <w:r w:rsidRPr="00D23139">
        <w:t>Proposed action</w:t>
      </w:r>
    </w:p>
    <w:p w14:paraId="34BCE111" w14:textId="1D16101C" w:rsidR="00456765" w:rsidRPr="00456765" w:rsidRDefault="00CC1477" w:rsidP="000F267E">
      <w:r>
        <w:t>The Delegate was</w:t>
      </w:r>
      <w:r w:rsidR="000F267E" w:rsidRPr="00D92644">
        <w:t xml:space="preserve"> unable to provide a preliminary opinion regarding approval at this time. </w:t>
      </w:r>
      <w:r>
        <w:t>The Delegate sought</w:t>
      </w:r>
      <w:r w:rsidR="000F267E" w:rsidRPr="00D92644">
        <w:t xml:space="preserve"> the advice of the </w:t>
      </w:r>
      <w:r w:rsidR="000A771E">
        <w:t>Avisory Committee on Medicines (</w:t>
      </w:r>
      <w:r w:rsidR="000F267E" w:rsidRPr="00D92644">
        <w:t>ACM</w:t>
      </w:r>
      <w:r w:rsidR="000A771E">
        <w:t>)</w:t>
      </w:r>
      <w:r w:rsidR="000F267E" w:rsidRPr="00D92644">
        <w:t xml:space="preserve"> regarding the issues raised in th</w:t>
      </w:r>
      <w:r>
        <w:t>e</w:t>
      </w:r>
      <w:r w:rsidR="000F267E" w:rsidRPr="00D92644">
        <w:t xml:space="preserve"> overview</w:t>
      </w:r>
    </w:p>
    <w:p w14:paraId="4D1317ED" w14:textId="77777777" w:rsidR="00D23139" w:rsidRDefault="00A22D57" w:rsidP="00D23139">
      <w:pPr>
        <w:pStyle w:val="Heading4"/>
      </w:pPr>
      <w:r>
        <w:t>Request for AC</w:t>
      </w:r>
      <w:r w:rsidR="00D23139" w:rsidRPr="00D23139">
        <w:t>M advice</w:t>
      </w:r>
    </w:p>
    <w:p w14:paraId="7089B543" w14:textId="77777777" w:rsidR="000F267E" w:rsidRPr="000F267E" w:rsidRDefault="000F267E" w:rsidP="000F267E">
      <w:r w:rsidRPr="000F267E">
        <w:t>The committee is requested to provide advice on the following specific issues:</w:t>
      </w:r>
    </w:p>
    <w:p w14:paraId="6DFBC732" w14:textId="7274B4F8" w:rsidR="000F267E" w:rsidRPr="000F267E" w:rsidRDefault="000F267E" w:rsidP="00856DAB">
      <w:pPr>
        <w:pStyle w:val="Numberbullet0"/>
        <w:numPr>
          <w:ilvl w:val="0"/>
          <w:numId w:val="7"/>
        </w:numPr>
      </w:pPr>
      <w:r w:rsidRPr="000F267E">
        <w:t xml:space="preserve">Does the committee feel that there is a sufficient level of evidence for both safety and efficacy in the current dossier to support registration of dasatinib for the treatment of adult patients with newly diagnosed Philadelphia chromosome positive acute lymphoblastic leukaemia </w:t>
      </w:r>
      <w:r w:rsidR="000A771E">
        <w:t>(PH</w:t>
      </w:r>
      <w:r w:rsidR="000A771E" w:rsidRPr="0061480D">
        <w:rPr>
          <w:vertAlign w:val="superscript"/>
        </w:rPr>
        <w:t>+</w:t>
      </w:r>
      <w:r w:rsidR="000A771E">
        <w:t xml:space="preserve"> ALL) </w:t>
      </w:r>
      <w:r w:rsidRPr="000F267E">
        <w:t>integrated with chemotherapy?</w:t>
      </w:r>
    </w:p>
    <w:p w14:paraId="6F15ACBE" w14:textId="77777777" w:rsidR="000F267E" w:rsidRPr="000F267E" w:rsidRDefault="000F267E" w:rsidP="00856DAB">
      <w:pPr>
        <w:pStyle w:val="Numberbullet0"/>
        <w:numPr>
          <w:ilvl w:val="0"/>
          <w:numId w:val="7"/>
        </w:numPr>
      </w:pPr>
      <w:r w:rsidRPr="000F267E">
        <w:t xml:space="preserve">Balanced against the level of data presented in the current submission, limited data allowing direct comparison with imatinib, and limited safety dataset in the first line setting; is the committee satisfied with the wording of the current proposed indication? In particular, could the committee discuss whether there is sufficient evidence to support this indication </w:t>
      </w:r>
      <w:r w:rsidR="00B52C6D">
        <w:t>versus</w:t>
      </w:r>
      <w:r w:rsidRPr="000F267E">
        <w:t xml:space="preserve"> including additional wording limiting dasatinib use for first line </w:t>
      </w:r>
      <w:r w:rsidR="0079571B" w:rsidRPr="002B11F8">
        <w:t>Ph</w:t>
      </w:r>
      <w:r w:rsidR="0079571B" w:rsidRPr="0079571B">
        <w:rPr>
          <w:vertAlign w:val="superscript"/>
        </w:rPr>
        <w:t>+</w:t>
      </w:r>
      <w:r w:rsidRPr="000F267E">
        <w:t xml:space="preserve"> ALL in patients who are ineligible for imatinib (or for whom imatinib is not clinically appropriate)?</w:t>
      </w:r>
    </w:p>
    <w:p w14:paraId="2D90DE4D" w14:textId="77777777" w:rsidR="000F267E" w:rsidRPr="000F267E" w:rsidRDefault="000F267E" w:rsidP="00856DAB">
      <w:pPr>
        <w:pStyle w:val="Numberbullet0"/>
        <w:numPr>
          <w:ilvl w:val="0"/>
          <w:numId w:val="7"/>
        </w:numPr>
      </w:pPr>
      <w:r w:rsidRPr="000F267E">
        <w:t>Does the ACM consider that a specific statement under DRUG INTERACTIONS is required regarding dasatinib use with multi-agent chemotherapy regimens?</w:t>
      </w:r>
    </w:p>
    <w:p w14:paraId="29ACEB64" w14:textId="15FAAD08" w:rsidR="000F267E" w:rsidRPr="000F267E" w:rsidRDefault="000F267E" w:rsidP="00856DAB">
      <w:pPr>
        <w:pStyle w:val="Numberbullet0"/>
        <w:numPr>
          <w:ilvl w:val="0"/>
          <w:numId w:val="7"/>
        </w:numPr>
      </w:pPr>
      <w:r w:rsidRPr="000F267E">
        <w:t>Does the committee consider that the propose dose of 100</w:t>
      </w:r>
      <w:r w:rsidR="00665FCA">
        <w:t xml:space="preserve"> mg</w:t>
      </w:r>
      <w:r w:rsidRPr="000F267E">
        <w:t xml:space="preserve"> dasatinib for the treatment of newly diagnosed </w:t>
      </w:r>
      <w:r w:rsidR="0079571B" w:rsidRPr="002B11F8">
        <w:t>Ph</w:t>
      </w:r>
      <w:r w:rsidR="0079571B" w:rsidRPr="0079571B">
        <w:rPr>
          <w:vertAlign w:val="superscript"/>
        </w:rPr>
        <w:t>+</w:t>
      </w:r>
      <w:r w:rsidRPr="000F267E">
        <w:t xml:space="preserve"> ALL is acceptable? Is the wording of the Dosage and Administration section of the PI appropriate in regards to first line treatment of </w:t>
      </w:r>
      <w:r w:rsidR="0079571B" w:rsidRPr="002B11F8">
        <w:t>Ph</w:t>
      </w:r>
      <w:r w:rsidR="0079571B" w:rsidRPr="0079571B">
        <w:rPr>
          <w:vertAlign w:val="superscript"/>
        </w:rPr>
        <w:t>+</w:t>
      </w:r>
      <w:r w:rsidR="000A771E">
        <w:t> </w:t>
      </w:r>
      <w:r w:rsidRPr="000F267E">
        <w:t>ALL for induction and consolidation/maintenance?</w:t>
      </w:r>
    </w:p>
    <w:p w14:paraId="69CF36BD" w14:textId="77777777" w:rsidR="00456765" w:rsidRPr="00456765" w:rsidRDefault="000F267E" w:rsidP="000F267E">
      <w:r w:rsidRPr="004F0B54">
        <w:t>The committee is also requested to provide advice on any other issues that it thinks may be relevant to a decision on whether or not to approve this application</w:t>
      </w:r>
    </w:p>
    <w:p w14:paraId="4D73E194" w14:textId="77777777" w:rsidR="00D23139" w:rsidRDefault="00456765" w:rsidP="00D23139">
      <w:pPr>
        <w:pStyle w:val="Heading4"/>
      </w:pPr>
      <w:r>
        <w:t xml:space="preserve">Response from </w:t>
      </w:r>
      <w:r w:rsidR="00036FE4">
        <w:t>sponsor</w:t>
      </w:r>
    </w:p>
    <w:p w14:paraId="647671B2" w14:textId="1F291A7C" w:rsidR="000466A2" w:rsidRPr="000466A2" w:rsidRDefault="00CC1477" w:rsidP="000466A2">
      <w:r>
        <w:t>The sponsor</w:t>
      </w:r>
      <w:r w:rsidR="000466A2" w:rsidRPr="000466A2">
        <w:t xml:space="preserve"> welcomes the clinical evaluator’s recommendation for </w:t>
      </w:r>
      <w:r w:rsidR="0058478D">
        <w:t>‘</w:t>
      </w:r>
      <w:r w:rsidR="000466A2" w:rsidRPr="000466A2">
        <w:t>approval of dasatinib for first</w:t>
      </w:r>
      <w:r w:rsidR="0058478D">
        <w:t xml:space="preserve"> </w:t>
      </w:r>
      <w:r w:rsidR="000466A2" w:rsidRPr="000466A2">
        <w:t>line</w:t>
      </w:r>
      <w:r w:rsidR="000466A2">
        <w:t xml:space="preserve"> </w:t>
      </w:r>
      <w:r w:rsidR="000466A2" w:rsidRPr="000466A2">
        <w:t>treatment of Philadelphia chromosome positive acute lymphoblastic leukaemia (</w:t>
      </w:r>
      <w:r w:rsidR="00761035">
        <w:t>Ph</w:t>
      </w:r>
      <w:r w:rsidR="00761035" w:rsidRPr="0061480D">
        <w:rPr>
          <w:vertAlign w:val="superscript"/>
        </w:rPr>
        <w:t>+</w:t>
      </w:r>
      <w:r w:rsidR="00761035">
        <w:t xml:space="preserve"> ALL</w:t>
      </w:r>
      <w:r w:rsidR="000466A2">
        <w:t xml:space="preserve">) in </w:t>
      </w:r>
      <w:r w:rsidR="000466A2" w:rsidRPr="000466A2">
        <w:t>adults</w:t>
      </w:r>
      <w:r w:rsidR="0058478D">
        <w:t>’</w:t>
      </w:r>
      <w:r w:rsidR="000466A2" w:rsidRPr="000466A2">
        <w:t xml:space="preserve"> and provides further clarifying information relating to the Delegate’s request for</w:t>
      </w:r>
      <w:r w:rsidR="000466A2">
        <w:t xml:space="preserve"> advice </w:t>
      </w:r>
      <w:r w:rsidR="000466A2" w:rsidRPr="000466A2">
        <w:t>from the ACM.</w:t>
      </w:r>
    </w:p>
    <w:p w14:paraId="2EF4AEA1" w14:textId="77777777" w:rsidR="00CC1477" w:rsidRDefault="000466A2" w:rsidP="000466A2">
      <w:r w:rsidRPr="000466A2">
        <w:t>In addition to the currently approved indications, the proposed new indication is</w:t>
      </w:r>
      <w:r w:rsidR="00CC1477">
        <w:t>:</w:t>
      </w:r>
    </w:p>
    <w:p w14:paraId="7BDC1EB7" w14:textId="52997657" w:rsidR="000466A2" w:rsidRPr="00CC1477" w:rsidRDefault="0079571B" w:rsidP="00CC1477">
      <w:pPr>
        <w:ind w:left="720"/>
        <w:rPr>
          <w:i/>
        </w:rPr>
      </w:pPr>
      <w:r w:rsidRPr="00CC1477">
        <w:rPr>
          <w:i/>
        </w:rPr>
        <w:t>Sprycel</w:t>
      </w:r>
      <w:r w:rsidR="000466A2" w:rsidRPr="00CC1477">
        <w:rPr>
          <w:i/>
        </w:rPr>
        <w:t xml:space="preserve"> (dasatinib) is indicated for the treatment of adults aged 18 years or over with newly diagnosed Philadelphia chromosome positive acute lymphoblastic leukaemia integrated with chemotherapy.</w:t>
      </w:r>
    </w:p>
    <w:p w14:paraId="46935694" w14:textId="77777777" w:rsidR="000466A2" w:rsidRPr="000466A2" w:rsidRDefault="00761035" w:rsidP="000466A2">
      <w:r>
        <w:lastRenderedPageBreak/>
        <w:t>Ph</w:t>
      </w:r>
      <w:r w:rsidRPr="0061480D">
        <w:rPr>
          <w:vertAlign w:val="superscript"/>
        </w:rPr>
        <w:t>+</w:t>
      </w:r>
      <w:r>
        <w:t xml:space="preserve"> ALL</w:t>
      </w:r>
      <w:r w:rsidR="000466A2" w:rsidRPr="000466A2">
        <w:t xml:space="preserve"> is a severe and rare disease which is orphan designate</w:t>
      </w:r>
      <w:r w:rsidR="000466A2">
        <w:t xml:space="preserve">d in Australia. It is even more </w:t>
      </w:r>
      <w:r w:rsidR="000466A2" w:rsidRPr="000466A2">
        <w:t xml:space="preserve">rare in the subset of adult patients with less than 35 diagnosed </w:t>
      </w:r>
      <w:r w:rsidR="000466A2">
        <w:t xml:space="preserve">annually in Australia. As such, </w:t>
      </w:r>
      <w:r w:rsidR="000466A2" w:rsidRPr="000466A2">
        <w:t>the available evidence for efficacy and safety, based on publis</w:t>
      </w:r>
      <w:r w:rsidR="000466A2">
        <w:t xml:space="preserve">hed data in more than 400 adult </w:t>
      </w:r>
      <w:r w:rsidR="000466A2" w:rsidRPr="000466A2">
        <w:t xml:space="preserve">patients of which 247 were in pivotal, </w:t>
      </w:r>
      <w:r w:rsidR="00CA76AD">
        <w:t>Phase</w:t>
      </w:r>
      <w:r w:rsidR="000466A2" w:rsidRPr="000466A2">
        <w:t xml:space="preserve"> II trials, submitted </w:t>
      </w:r>
      <w:r w:rsidR="000466A2">
        <w:t xml:space="preserve">in support of this application, </w:t>
      </w:r>
      <w:r w:rsidR="000466A2" w:rsidRPr="000466A2">
        <w:t>provides a relatively large body of evidence to support this indication.</w:t>
      </w:r>
    </w:p>
    <w:p w14:paraId="1D6D4E99" w14:textId="77777777" w:rsidR="000466A2" w:rsidRPr="000466A2" w:rsidRDefault="000466A2" w:rsidP="000466A2">
      <w:r w:rsidRPr="000466A2">
        <w:t>The submitted pivotal data demonstrates that dasatinib a</w:t>
      </w:r>
      <w:r>
        <w:t xml:space="preserve">chieved similar, consistent and </w:t>
      </w:r>
      <w:r w:rsidRPr="000466A2">
        <w:t>clinically meaningful efficacy outcomes when compared with the</w:t>
      </w:r>
      <w:r>
        <w:t xml:space="preserve"> outcomes reported for imatinib </w:t>
      </w:r>
      <w:r w:rsidRPr="000466A2">
        <w:t>and the safety profile was unchanged when compared to the currently registered saf</w:t>
      </w:r>
      <w:r>
        <w:t xml:space="preserve">ety profile </w:t>
      </w:r>
      <w:r w:rsidRPr="000466A2">
        <w:t xml:space="preserve">of dasatinib. While the level of evidence is limited to </w:t>
      </w:r>
      <w:r w:rsidR="00CA76AD">
        <w:t>Phase</w:t>
      </w:r>
      <w:r w:rsidRPr="000466A2">
        <w:t xml:space="preserve"> II,</w:t>
      </w:r>
      <w:r>
        <w:t xml:space="preserve"> uncontrolled studies, there is </w:t>
      </w:r>
      <w:r w:rsidRPr="000466A2">
        <w:t>established precedence for such data to be considered appropr</w:t>
      </w:r>
      <w:r>
        <w:t xml:space="preserve">iate for registration of a rare </w:t>
      </w:r>
      <w:r w:rsidRPr="000466A2">
        <w:t>indication, where the outcomes are considered clinically me</w:t>
      </w:r>
      <w:r>
        <w:t xml:space="preserve">aningful and consistent and the </w:t>
      </w:r>
      <w:r w:rsidRPr="000466A2">
        <w:t>safety profile can be adequately managed by an experienced clinician.</w:t>
      </w:r>
    </w:p>
    <w:p w14:paraId="056D0D77" w14:textId="645DB754" w:rsidR="000466A2" w:rsidRPr="000466A2" w:rsidRDefault="000466A2" w:rsidP="000466A2">
      <w:r w:rsidRPr="000466A2">
        <w:t>The proposed indication is similar to that registered for imatini</w:t>
      </w:r>
      <w:r>
        <w:t xml:space="preserve">b and is considered appropriate </w:t>
      </w:r>
      <w:r w:rsidRPr="000466A2">
        <w:t>for a therapeutic alternative to imatinib, given that dasatinib is a s</w:t>
      </w:r>
      <w:r>
        <w:t xml:space="preserve">econd generation, potent, broad </w:t>
      </w:r>
      <w:r w:rsidRPr="000466A2">
        <w:t>spectrum inhibitor of several tyrosine kinases, including BC</w:t>
      </w:r>
      <w:r>
        <w:t>R</w:t>
      </w:r>
      <w:r w:rsidR="0058478D">
        <w:noBreakHyphen/>
      </w:r>
      <w:r>
        <w:t xml:space="preserve">ABL (blocked by imatinib) and </w:t>
      </w:r>
      <w:r w:rsidRPr="000466A2">
        <w:t>SRC (not blocked by imatinib). Dasatinib also effectively inhibit</w:t>
      </w:r>
      <w:r>
        <w:t xml:space="preserve">s the growth of leukemic clones </w:t>
      </w:r>
      <w:r w:rsidRPr="000466A2">
        <w:t>harbouring all known imatinib-resistant BCRABL kinase d</w:t>
      </w:r>
      <w:r>
        <w:t xml:space="preserve">omain point mutations, with the </w:t>
      </w:r>
      <w:r w:rsidRPr="000466A2">
        <w:t>exception of V299L, T315I, and F317L.</w:t>
      </w:r>
    </w:p>
    <w:p w14:paraId="43AA4574" w14:textId="77777777" w:rsidR="000466A2" w:rsidRPr="000466A2" w:rsidRDefault="000466A2" w:rsidP="000466A2">
      <w:r w:rsidRPr="000466A2">
        <w:t>Neither the therapeutic basis, nor the clinical evidence presented, provides a rationale for limiting</w:t>
      </w:r>
      <w:r>
        <w:t xml:space="preserve"> </w:t>
      </w:r>
      <w:r w:rsidRPr="000466A2">
        <w:t>the indication further, to patients who are ineligible for im</w:t>
      </w:r>
      <w:r>
        <w:t xml:space="preserve">atinib, or for whom imatinib is </w:t>
      </w:r>
      <w:r w:rsidRPr="000466A2">
        <w:t>inappropriate. Further, there are no clinically established criteria</w:t>
      </w:r>
      <w:r>
        <w:t xml:space="preserve"> for identifying such patients. </w:t>
      </w:r>
      <w:r w:rsidRPr="000466A2">
        <w:t>The proposed dosing regimen of 100</w:t>
      </w:r>
      <w:r w:rsidR="00665FCA">
        <w:t xml:space="preserve"> mg</w:t>
      </w:r>
      <w:r w:rsidRPr="000466A2">
        <w:t xml:space="preserve"> once daily is support</w:t>
      </w:r>
      <w:r>
        <w:t xml:space="preserve">ed by the available evidence as </w:t>
      </w:r>
      <w:r w:rsidRPr="000466A2">
        <w:t>stated by both the Delegate and clinical evaluator and</w:t>
      </w:r>
      <w:r>
        <w:t xml:space="preserve"> allows for dose adjustment for </w:t>
      </w:r>
      <w:r w:rsidRPr="000466A2">
        <w:t>management of toxicities.</w:t>
      </w:r>
    </w:p>
    <w:p w14:paraId="763747F5" w14:textId="106371C5" w:rsidR="000466A2" w:rsidRPr="000466A2" w:rsidRDefault="000466A2" w:rsidP="000466A2">
      <w:pPr>
        <w:pStyle w:val="Heading5"/>
      </w:pPr>
      <w:r w:rsidRPr="000466A2">
        <w:t>Sponsor comments on advice sought by the TGA</w:t>
      </w:r>
      <w:r>
        <w:t xml:space="preserve"> </w:t>
      </w:r>
      <w:r w:rsidR="00F13EFF">
        <w:t>d</w:t>
      </w:r>
      <w:r w:rsidRPr="000466A2">
        <w:t>elegate from ACM</w:t>
      </w:r>
    </w:p>
    <w:p w14:paraId="41D07385" w14:textId="77777777" w:rsidR="00D44D74" w:rsidRPr="0061480D" w:rsidRDefault="00D44D74" w:rsidP="00856DAB">
      <w:pPr>
        <w:pStyle w:val="Numberbullet0"/>
        <w:numPr>
          <w:ilvl w:val="0"/>
          <w:numId w:val="11"/>
        </w:numPr>
        <w:rPr>
          <w:i/>
        </w:rPr>
      </w:pPr>
      <w:r w:rsidRPr="0061480D">
        <w:rPr>
          <w:i/>
        </w:rPr>
        <w:t>Does the committee feel that there is a sufficient level of evidence for both safety and efficacy in the current dossier to support registration of dasatinib for the treatment of adult patients with newly diagnosed Philadelphia chromosome positive acute lymphoblastic leukaemia</w:t>
      </w:r>
      <w:r w:rsidR="00CC1477" w:rsidRPr="0061480D">
        <w:rPr>
          <w:i/>
        </w:rPr>
        <w:t xml:space="preserve"> </w:t>
      </w:r>
      <w:r w:rsidRPr="0061480D">
        <w:rPr>
          <w:i/>
        </w:rPr>
        <w:t>integrated with chemotherapy?</w:t>
      </w:r>
    </w:p>
    <w:p w14:paraId="74EC9658" w14:textId="5DDE6E69" w:rsidR="00D44D74" w:rsidRPr="00D44D74" w:rsidRDefault="00761035" w:rsidP="00D44D74">
      <w:r>
        <w:t>Ph</w:t>
      </w:r>
      <w:r w:rsidRPr="0061480D">
        <w:rPr>
          <w:vertAlign w:val="superscript"/>
        </w:rPr>
        <w:t>+</w:t>
      </w:r>
      <w:r>
        <w:t xml:space="preserve"> ALL</w:t>
      </w:r>
      <w:r w:rsidR="00D44D74" w:rsidRPr="00D44D74">
        <w:t xml:space="preserve"> in adults is a very rare and severe condition, supported</w:t>
      </w:r>
      <w:r w:rsidR="00D44D74">
        <w:t xml:space="preserve"> by its orphan designation (~</w:t>
      </w:r>
      <w:r w:rsidR="00CC1477">
        <w:t xml:space="preserve"> </w:t>
      </w:r>
      <w:r w:rsidR="00D44D74">
        <w:t xml:space="preserve">35 </w:t>
      </w:r>
      <w:r w:rsidR="00D44D74" w:rsidRPr="00D44D74">
        <w:t>patients diagnosed annually in Australia). As such the submi</w:t>
      </w:r>
      <w:r w:rsidR="00D44D74">
        <w:t xml:space="preserve">tted body of evidence, based on </w:t>
      </w:r>
      <w:r w:rsidR="00D44D74" w:rsidRPr="00D44D74">
        <w:t xml:space="preserve">published data, of over 400 newly diagnosed adult patients with </w:t>
      </w:r>
      <w:r>
        <w:t>Ph</w:t>
      </w:r>
      <w:r w:rsidRPr="0061480D">
        <w:rPr>
          <w:vertAlign w:val="superscript"/>
        </w:rPr>
        <w:t>+</w:t>
      </w:r>
      <w:r w:rsidR="0058478D">
        <w:t> </w:t>
      </w:r>
      <w:r>
        <w:t>ALL</w:t>
      </w:r>
      <w:r w:rsidR="00D44D74">
        <w:t xml:space="preserve"> treated with dasatinib </w:t>
      </w:r>
      <w:r w:rsidR="00D44D74" w:rsidRPr="00D44D74">
        <w:t>is sufficient to enable an adequate assessment of the benefits</w:t>
      </w:r>
      <w:r w:rsidR="00D44D74">
        <w:t xml:space="preserve"> and risks of the treatment and </w:t>
      </w:r>
      <w:r w:rsidR="00D44D74" w:rsidRPr="00D44D74">
        <w:t>should be assessed in this context. It is acknowledged that the available pivotal efficacy studies</w:t>
      </w:r>
      <w:r w:rsidR="00D44D74">
        <w:t xml:space="preserve"> </w:t>
      </w:r>
      <w:r w:rsidR="00D44D74" w:rsidRPr="00D44D74">
        <w:t xml:space="preserve">in 247 newly diagnosed adult </w:t>
      </w:r>
      <w:r>
        <w:t>Ph</w:t>
      </w:r>
      <w:r w:rsidRPr="0061480D">
        <w:rPr>
          <w:vertAlign w:val="superscript"/>
        </w:rPr>
        <w:t>+</w:t>
      </w:r>
      <w:r w:rsidR="0058478D">
        <w:t> </w:t>
      </w:r>
      <w:r>
        <w:t>ALL</w:t>
      </w:r>
      <w:r w:rsidR="00D44D74" w:rsidRPr="00D44D74">
        <w:t xml:space="preserve"> patients are limited to four </w:t>
      </w:r>
      <w:r w:rsidR="00CA76AD">
        <w:t>Phase</w:t>
      </w:r>
      <w:r w:rsidR="00CC1477">
        <w:t xml:space="preserve"> II</w:t>
      </w:r>
      <w:r w:rsidR="00D44D74" w:rsidRPr="00D44D74">
        <w:t xml:space="preserve"> uncontrolled</w:t>
      </w:r>
      <w:r w:rsidR="00D44D74">
        <w:t xml:space="preserve"> </w:t>
      </w:r>
      <w:r w:rsidR="00D44D74" w:rsidRPr="00D44D74">
        <w:t>studies, which have inherent design bias. However, there i</w:t>
      </w:r>
      <w:r w:rsidR="00D44D74">
        <w:t>s well established precedent of</w:t>
      </w:r>
      <w:r w:rsidR="00CC1477">
        <w:t xml:space="preserve"> </w:t>
      </w:r>
      <w:r w:rsidR="00D44D74" w:rsidRPr="00D44D74">
        <w:t>regulatory approvals based on open label, single arm studies i</w:t>
      </w:r>
      <w:r w:rsidR="00D44D74">
        <w:t xml:space="preserve">n the oncology setting for very </w:t>
      </w:r>
      <w:r w:rsidR="00D44D74" w:rsidRPr="00D44D74">
        <w:t>rare diseases, where the achieved outcomes are clinically meaningfu</w:t>
      </w:r>
      <w:r w:rsidR="00D44D74">
        <w:t xml:space="preserve">l, and treatment is </w:t>
      </w:r>
      <w:r w:rsidR="00D44D74" w:rsidRPr="00D44D74">
        <w:t>managed by experienced healthcare professionals with a signifi</w:t>
      </w:r>
      <w:r w:rsidR="00D44D74">
        <w:t xml:space="preserve">cant knowledge of the available </w:t>
      </w:r>
      <w:r w:rsidR="00D44D74" w:rsidRPr="00D44D74">
        <w:t>therapy options, their data limitations and strategies for managing the treatment risks.</w:t>
      </w:r>
    </w:p>
    <w:p w14:paraId="3350B6CA" w14:textId="605D185A" w:rsidR="00D44D74" w:rsidRPr="00D44D74" w:rsidRDefault="00D44D74" w:rsidP="00D44D74">
      <w:r w:rsidRPr="00D44D74">
        <w:t xml:space="preserve">The results of these 4 pivotal studies indicate a </w:t>
      </w:r>
      <w:r w:rsidR="0058478D">
        <w:t>c</w:t>
      </w:r>
      <w:r w:rsidR="0058478D" w:rsidRPr="00D44D74">
        <w:t xml:space="preserve">omplete </w:t>
      </w:r>
      <w:r w:rsidR="0058478D">
        <w:t>r</w:t>
      </w:r>
      <w:r w:rsidR="0058478D" w:rsidRPr="00D44D74">
        <w:t>emis</w:t>
      </w:r>
      <w:r w:rsidR="0058478D">
        <w:t xml:space="preserve">sion </w:t>
      </w:r>
      <w:r>
        <w:t xml:space="preserve">(CR) rate during induction </w:t>
      </w:r>
      <w:r w:rsidR="00CC1477">
        <w:t xml:space="preserve">of 96% to </w:t>
      </w:r>
      <w:r w:rsidRPr="00D44D74">
        <w:t>100% in all studies, which is consistent if not slightly b</w:t>
      </w:r>
      <w:r>
        <w:t xml:space="preserve">etter than the CR reported with </w:t>
      </w:r>
      <w:r w:rsidRPr="00D44D74">
        <w:t>imatinib. The high CR rate enables eligible patients to be</w:t>
      </w:r>
      <w:r>
        <w:t xml:space="preserve"> progressed to transplant where </w:t>
      </w:r>
      <w:r w:rsidRPr="00D44D74">
        <w:t>appropriate in accordance with the standard treatment protocols</w:t>
      </w:r>
      <w:r>
        <w:t xml:space="preserve"> of the hospital and physician. </w:t>
      </w:r>
      <w:r w:rsidR="0058478D">
        <w:t>P</w:t>
      </w:r>
      <w:r w:rsidRPr="00D44D74">
        <w:t>lease also refer t</w:t>
      </w:r>
      <w:r w:rsidR="0058478D">
        <w:t>o the</w:t>
      </w:r>
      <w:r w:rsidR="0061480D">
        <w:t xml:space="preserve"> </w:t>
      </w:r>
      <w:r w:rsidRPr="00D44D74">
        <w:t xml:space="preserve">Response to questions raised by the </w:t>
      </w:r>
      <w:r>
        <w:t xml:space="preserve">Delegate to be addressed by the </w:t>
      </w:r>
      <w:r w:rsidRPr="00D44D74">
        <w:t>sponsor</w:t>
      </w:r>
      <w:r w:rsidR="0058478D">
        <w:t xml:space="preserve">: </w:t>
      </w:r>
      <w:r w:rsidR="00CC1477">
        <w:t>Question 2</w:t>
      </w:r>
      <w:r w:rsidR="0058478D">
        <w:t>, below.</w:t>
      </w:r>
    </w:p>
    <w:p w14:paraId="3A8130EF" w14:textId="71DBADB8" w:rsidR="00D44D74" w:rsidRPr="00D44D74" w:rsidRDefault="00D44D74" w:rsidP="00D44D74">
      <w:r w:rsidRPr="00D44D74">
        <w:t>The long-term survival estimates for patients treated with dasatinib integrated wit</w:t>
      </w:r>
      <w:r>
        <w:t xml:space="preserve">h a high dose </w:t>
      </w:r>
      <w:r w:rsidRPr="00D44D74">
        <w:t xml:space="preserve">chemotherapy regimen was a 4 year </w:t>
      </w:r>
      <w:r w:rsidR="0058478D">
        <w:t>d</w:t>
      </w:r>
      <w:r w:rsidR="0058478D" w:rsidRPr="00D44D74">
        <w:t xml:space="preserve">isease </w:t>
      </w:r>
      <w:r w:rsidR="0058478D">
        <w:t>f</w:t>
      </w:r>
      <w:r w:rsidR="0058478D" w:rsidRPr="00D44D74">
        <w:t xml:space="preserve">ree </w:t>
      </w:r>
      <w:r w:rsidR="0058478D">
        <w:t>s</w:t>
      </w:r>
      <w:r w:rsidR="0058478D" w:rsidRPr="00D44D74">
        <w:t xml:space="preserve">urvival </w:t>
      </w:r>
      <w:r w:rsidRPr="00D44D74">
        <w:t>(DF</w:t>
      </w:r>
      <w:r>
        <w:t xml:space="preserve">S) and </w:t>
      </w:r>
      <w:r w:rsidR="0058478D">
        <w:lastRenderedPageBreak/>
        <w:t>overall</w:t>
      </w:r>
      <w:r w:rsidR="0061480D">
        <w:t> </w:t>
      </w:r>
      <w:r w:rsidR="0058478D">
        <w:t>survival</w:t>
      </w:r>
      <w:r w:rsidR="0061480D">
        <w:t> </w:t>
      </w:r>
      <w:r>
        <w:t xml:space="preserve">(OS) of </w:t>
      </w:r>
      <w:r w:rsidRPr="00D44D74">
        <w:t xml:space="preserve">52% and 51% respectively </w:t>
      </w:r>
      <w:r w:rsidRPr="00CC1477">
        <w:t>reported by Yoon et al</w:t>
      </w:r>
      <w:r w:rsidR="0058478D">
        <w:t>.,</w:t>
      </w:r>
      <w:r w:rsidRPr="00CC1477">
        <w:t xml:space="preserve"> (2016)</w:t>
      </w:r>
      <w:r w:rsidR="0058478D">
        <w:t>;</w:t>
      </w:r>
      <w:r w:rsidR="00CC1477" w:rsidRPr="00CC1477">
        <w:rPr>
          <w:vertAlign w:val="superscript"/>
        </w:rPr>
        <w:fldChar w:fldCharType="begin"/>
      </w:r>
      <w:r w:rsidR="00CC1477" w:rsidRPr="00CC1477">
        <w:rPr>
          <w:vertAlign w:val="superscript"/>
        </w:rPr>
        <w:instrText xml:space="preserve"> NOTEREF _Ref531103040 \h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7</w:t>
      </w:r>
      <w:r w:rsidR="00CC1477" w:rsidRPr="00CC1477">
        <w:rPr>
          <w:vertAlign w:val="superscript"/>
        </w:rPr>
        <w:fldChar w:fldCharType="end"/>
      </w:r>
      <w:r w:rsidRPr="00CC1477">
        <w:t xml:space="preserve"> and</w:t>
      </w:r>
      <w:r>
        <w:t xml:space="preserve"> 5 year DFS and OS of 44% and </w:t>
      </w:r>
      <w:r w:rsidRPr="00D44D74">
        <w:t xml:space="preserve">46% respectively reported </w:t>
      </w:r>
      <w:r w:rsidRPr="00CC1477">
        <w:t>by Ravandi et al</w:t>
      </w:r>
      <w:r w:rsidR="0058478D">
        <w:t>.,</w:t>
      </w:r>
      <w:r w:rsidRPr="00CC1477">
        <w:t xml:space="preserve"> (2015).</w:t>
      </w:r>
      <w:r w:rsidR="00CC1477" w:rsidRPr="00CC1477">
        <w:rPr>
          <w:vertAlign w:val="superscript"/>
        </w:rPr>
        <w:fldChar w:fldCharType="begin"/>
      </w:r>
      <w:r w:rsidR="00CC1477" w:rsidRPr="00CC1477">
        <w:rPr>
          <w:vertAlign w:val="superscript"/>
        </w:rPr>
        <w:instrText xml:space="preserve"> NOTEREF _Ref531103005 \h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6</w:t>
      </w:r>
      <w:r w:rsidR="00CC1477" w:rsidRPr="00CC1477">
        <w:rPr>
          <w:vertAlign w:val="superscript"/>
        </w:rPr>
        <w:fldChar w:fldCharType="end"/>
      </w:r>
      <w:r w:rsidRPr="00CC1477">
        <w:t xml:space="preserve"> The</w:t>
      </w:r>
      <w:r w:rsidR="00CC1477">
        <w:t xml:space="preserve"> long </w:t>
      </w:r>
      <w:r w:rsidRPr="00D44D74">
        <w:t xml:space="preserve">term </w:t>
      </w:r>
      <w:r>
        <w:t xml:space="preserve">survival estimates for patients </w:t>
      </w:r>
      <w:r w:rsidRPr="00D44D74">
        <w:t>treated with dasatinib integrated with low dose chemotherapy</w:t>
      </w:r>
      <w:r>
        <w:t xml:space="preserve"> regimens was DFS and OS (after </w:t>
      </w:r>
      <w:r w:rsidRPr="00D44D74">
        <w:t>20</w:t>
      </w:r>
      <w:r w:rsidR="0058478D">
        <w:t> </w:t>
      </w:r>
      <w:r w:rsidRPr="00D44D74">
        <w:t>months) of 51% and 69% respectively reported by Foa et al</w:t>
      </w:r>
      <w:r w:rsidR="0058478D">
        <w:t>.,</w:t>
      </w:r>
      <w:r w:rsidRPr="00D44D74">
        <w:t xml:space="preserve"> </w:t>
      </w:r>
      <w:r>
        <w:t>(2015)</w:t>
      </w:r>
      <w:r w:rsidR="0058478D">
        <w:t>;</w:t>
      </w:r>
      <w:r w:rsidR="00CC1477" w:rsidRPr="00CC1477">
        <w:rPr>
          <w:vertAlign w:val="superscript"/>
        </w:rPr>
        <w:fldChar w:fldCharType="begin"/>
      </w:r>
      <w:r w:rsidR="00CC1477" w:rsidRPr="00CC1477">
        <w:rPr>
          <w:vertAlign w:val="superscript"/>
        </w:rPr>
        <w:instrText xml:space="preserve"> NOTEREF _Ref531103135 \h </w:instrText>
      </w:r>
      <w:r w:rsidR="00CC1477">
        <w:rPr>
          <w:vertAlign w:val="superscript"/>
        </w:rPr>
        <w:instrText xml:space="preserve">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9</w:t>
      </w:r>
      <w:r w:rsidR="00CC1477" w:rsidRPr="00CC1477">
        <w:rPr>
          <w:vertAlign w:val="superscript"/>
        </w:rPr>
        <w:fldChar w:fldCharType="end"/>
      </w:r>
      <w:r>
        <w:t xml:space="preserve"> and a 5 year </w:t>
      </w:r>
      <w:r w:rsidR="0058478D">
        <w:t>event free s</w:t>
      </w:r>
      <w:r w:rsidR="0058478D" w:rsidRPr="00D44D74">
        <w:t xml:space="preserve">urvival </w:t>
      </w:r>
      <w:r w:rsidRPr="00D44D74">
        <w:t xml:space="preserve">(EFS) and OS of 27% and 36% respectively reported </w:t>
      </w:r>
      <w:r w:rsidRPr="00CC1477">
        <w:t>by Rousselot et al</w:t>
      </w:r>
      <w:r w:rsidR="0058478D">
        <w:t>.,</w:t>
      </w:r>
      <w:r w:rsidRPr="00CC1477">
        <w:t xml:space="preserve"> (2016).</w:t>
      </w:r>
      <w:r w:rsidR="00CC1477" w:rsidRPr="00CC1477">
        <w:rPr>
          <w:vertAlign w:val="superscript"/>
        </w:rPr>
        <w:fldChar w:fldCharType="begin"/>
      </w:r>
      <w:r w:rsidR="00CC1477" w:rsidRPr="00CC1477">
        <w:rPr>
          <w:vertAlign w:val="superscript"/>
        </w:rPr>
        <w:instrText xml:space="preserve"> NOTEREF _Ref531103064 \h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8</w:t>
      </w:r>
      <w:r w:rsidR="00CC1477" w:rsidRPr="00CC1477">
        <w:rPr>
          <w:vertAlign w:val="superscript"/>
        </w:rPr>
        <w:fldChar w:fldCharType="end"/>
      </w:r>
      <w:r w:rsidRPr="00CC1477">
        <w:t xml:space="preserve"> The Rousselot</w:t>
      </w:r>
      <w:r w:rsidRPr="00D44D74">
        <w:t xml:space="preserve"> data was generated in a predominantly elderly patie</w:t>
      </w:r>
      <w:r>
        <w:t xml:space="preserve">nt population with a median age </w:t>
      </w:r>
      <w:r w:rsidRPr="00D44D74">
        <w:t>of 69 and hence is a relatively good long-term outcome consider</w:t>
      </w:r>
      <w:r>
        <w:t xml:space="preserve">ing the advanced age and likely </w:t>
      </w:r>
      <w:r w:rsidRPr="00D44D74">
        <w:t>co-morbidities of this study population.</w:t>
      </w:r>
    </w:p>
    <w:p w14:paraId="093F1A98" w14:textId="245F0AB7" w:rsidR="000466A2" w:rsidRPr="00D44D74" w:rsidRDefault="00D44D74" w:rsidP="00D44D74">
      <w:r w:rsidRPr="00D44D74">
        <w:t>Additionally, the pivotal studies reported a narrower spectru</w:t>
      </w:r>
      <w:r>
        <w:t xml:space="preserve">m of mutations in patients with </w:t>
      </w:r>
      <w:r w:rsidRPr="00D44D74">
        <w:t xml:space="preserve">relapsed disease compared to that reported for </w:t>
      </w:r>
      <w:r w:rsidR="0058478D">
        <w:t>i</w:t>
      </w:r>
      <w:r w:rsidR="0058478D" w:rsidRPr="00D44D74">
        <w:t>matinib</w:t>
      </w:r>
      <w:r w:rsidRPr="00D44D74">
        <w:t>. This result</w:t>
      </w:r>
      <w:r>
        <w:t xml:space="preserve"> is consistent with dasatinib’s </w:t>
      </w:r>
      <w:r w:rsidRPr="00D44D74">
        <w:t>well documented sensitivity to the majority of imatinib resistant mutations</w:t>
      </w:r>
      <w:r w:rsidR="00CC1477">
        <w:t>.</w:t>
      </w:r>
      <w:bookmarkStart w:id="123" w:name="_Ref531182826"/>
      <w:r w:rsidR="00CC1477">
        <w:rPr>
          <w:rStyle w:val="FootnoteReference"/>
        </w:rPr>
        <w:footnoteReference w:id="31"/>
      </w:r>
      <w:bookmarkEnd w:id="123"/>
      <w:r>
        <w:t xml:space="preserve"> The most commonly </w:t>
      </w:r>
      <w:r w:rsidRPr="00D44D74">
        <w:t>reported mutations in dasatinib</w:t>
      </w:r>
      <w:r w:rsidR="0058478D">
        <w:t xml:space="preserve"> </w:t>
      </w:r>
      <w:r w:rsidRPr="00D44D74">
        <w:t>resistant patients were T315I, V299L, F359V and E225K</w:t>
      </w:r>
      <w:r w:rsidR="00CC1477">
        <w:t>.</w:t>
      </w:r>
      <w:r w:rsidR="00CC1477" w:rsidRPr="00CC1477">
        <w:rPr>
          <w:vertAlign w:val="superscript"/>
        </w:rPr>
        <w:fldChar w:fldCharType="begin"/>
      </w:r>
      <w:r w:rsidR="00CC1477" w:rsidRPr="00CC1477">
        <w:rPr>
          <w:vertAlign w:val="superscript"/>
        </w:rPr>
        <w:instrText xml:space="preserve"> NOTEREF _Ref531182826 \h </w:instrText>
      </w:r>
      <w:r w:rsidR="00CC1477">
        <w:rPr>
          <w:vertAlign w:val="superscript"/>
        </w:rPr>
        <w:instrText xml:space="preserve">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30</w:t>
      </w:r>
      <w:r w:rsidR="00CC1477" w:rsidRPr="00CC1477">
        <w:rPr>
          <w:vertAlign w:val="superscript"/>
        </w:rPr>
        <w:fldChar w:fldCharType="end"/>
      </w:r>
    </w:p>
    <w:p w14:paraId="54EBDD8F" w14:textId="217CD1F9" w:rsidR="00D44D74" w:rsidRPr="00D44D74" w:rsidRDefault="00D44D74" w:rsidP="00D44D74">
      <w:r w:rsidRPr="00D44D74">
        <w:t>The safety profile as described in the pivotal published studies, other supportive studies and</w:t>
      </w:r>
      <w:r>
        <w:t xml:space="preserve"> </w:t>
      </w:r>
      <w:r w:rsidRPr="00D44D74">
        <w:t xml:space="preserve">case reports, in newly diagnosed </w:t>
      </w:r>
      <w:r w:rsidR="00761035">
        <w:t>Ph</w:t>
      </w:r>
      <w:r w:rsidR="00761035" w:rsidRPr="0061480D">
        <w:rPr>
          <w:vertAlign w:val="superscript"/>
        </w:rPr>
        <w:t>+</w:t>
      </w:r>
      <w:r w:rsidR="00761035">
        <w:t xml:space="preserve"> ALL</w:t>
      </w:r>
      <w:r w:rsidRPr="00D44D74">
        <w:t xml:space="preserve"> patients treated</w:t>
      </w:r>
      <w:r>
        <w:t xml:space="preserve"> with dasatinib integrated with </w:t>
      </w:r>
      <w:r w:rsidRPr="00D44D74">
        <w:t>chemotherapy is consistent with the known safety profile of d</w:t>
      </w:r>
      <w:r>
        <w:t xml:space="preserve">asatinib as monotherapy with no </w:t>
      </w:r>
      <w:r w:rsidRPr="00D44D74">
        <w:t xml:space="preserve">safety signals that would suggest a difference. Dasatinib has been demonstrated to be safe </w:t>
      </w:r>
      <w:r>
        <w:t xml:space="preserve">and </w:t>
      </w:r>
      <w:r w:rsidRPr="00D44D74">
        <w:t xml:space="preserve">efficacious when used first-line in newly diagnosed patients with </w:t>
      </w:r>
      <w:r w:rsidR="0058478D">
        <w:t>c</w:t>
      </w:r>
      <w:r w:rsidR="0058478D" w:rsidRPr="00D44D74">
        <w:t xml:space="preserve">hronic </w:t>
      </w:r>
      <w:r w:rsidR="0058478D">
        <w:t>p</w:t>
      </w:r>
      <w:r w:rsidR="0058478D" w:rsidRPr="00D44D74">
        <w:t xml:space="preserve">hase </w:t>
      </w:r>
      <w:r w:rsidRPr="00D44D74">
        <w:t>CML.</w:t>
      </w:r>
      <w:r>
        <w:t xml:space="preserve"> </w:t>
      </w:r>
      <w:r w:rsidRPr="00D44D74">
        <w:t>Additionally, dasatinib has been approved for over 10 years for use second line in CML and</w:t>
      </w:r>
      <w:r>
        <w:t xml:space="preserve"> </w:t>
      </w:r>
      <w:r w:rsidR="00761035">
        <w:t>Ph</w:t>
      </w:r>
      <w:r w:rsidR="00761035" w:rsidRPr="0061480D">
        <w:rPr>
          <w:vertAlign w:val="superscript"/>
        </w:rPr>
        <w:t>+</w:t>
      </w:r>
      <w:r w:rsidR="00761035">
        <w:t xml:space="preserve"> ALL</w:t>
      </w:r>
      <w:r w:rsidRPr="00D44D74">
        <w:t xml:space="preserve"> patients who are resistant or intolerant to prior therapy. As such, there is a vast body of</w:t>
      </w:r>
      <w:r>
        <w:t xml:space="preserve"> </w:t>
      </w:r>
      <w:r w:rsidRPr="00D44D74">
        <w:t>safety data collected over a 10</w:t>
      </w:r>
      <w:r w:rsidR="0058478D">
        <w:t xml:space="preserve"> </w:t>
      </w:r>
      <w:r w:rsidRPr="00D44D74">
        <w:t xml:space="preserve">year post marketing period that </w:t>
      </w:r>
      <w:r>
        <w:t xml:space="preserve">helps characterise the risks as </w:t>
      </w:r>
      <w:r w:rsidRPr="00D44D74">
        <w:t>well as provide clinical strategies to mitigate and manage these risks.</w:t>
      </w:r>
    </w:p>
    <w:p w14:paraId="779F9475" w14:textId="77777777" w:rsidR="00D44D74" w:rsidRPr="0061480D" w:rsidRDefault="00D44D74" w:rsidP="00CC1477">
      <w:pPr>
        <w:pStyle w:val="Numberbullet0"/>
        <w:rPr>
          <w:i/>
        </w:rPr>
      </w:pPr>
      <w:r w:rsidRPr="0061480D">
        <w:rPr>
          <w:i/>
        </w:rPr>
        <w:t xml:space="preserve">Balanced against the level of data presented in the current submission, limited data allowing direct comparison with imatinib, and limited safety dataset in the first-line setting; is the committee satisfied with the wording of the current proposed indication? In particular, could the committee discuss whether there is sufficient evidence to support this indication </w:t>
      </w:r>
      <w:r w:rsidR="00B52C6D" w:rsidRPr="0061480D">
        <w:rPr>
          <w:i/>
        </w:rPr>
        <w:t>versus</w:t>
      </w:r>
      <w:r w:rsidRPr="0061480D">
        <w:rPr>
          <w:i/>
        </w:rPr>
        <w:t xml:space="preserve"> including additional wording limiting dasatinib use for first-line </w:t>
      </w:r>
      <w:r w:rsidR="00761035" w:rsidRPr="0061480D">
        <w:rPr>
          <w:i/>
        </w:rPr>
        <w:t>Ph</w:t>
      </w:r>
      <w:r w:rsidR="00761035" w:rsidRPr="0061480D">
        <w:rPr>
          <w:i/>
          <w:vertAlign w:val="superscript"/>
        </w:rPr>
        <w:t>+</w:t>
      </w:r>
      <w:r w:rsidR="00761035" w:rsidRPr="0061480D">
        <w:rPr>
          <w:i/>
        </w:rPr>
        <w:t xml:space="preserve"> ALL</w:t>
      </w:r>
      <w:r w:rsidRPr="0061480D">
        <w:rPr>
          <w:i/>
        </w:rPr>
        <w:t xml:space="preserve"> in patients who are ineligible for imatinib (or for whom imatinib is not clinically appropriate)?</w:t>
      </w:r>
    </w:p>
    <w:p w14:paraId="400F40B8" w14:textId="77777777" w:rsidR="00D44D74" w:rsidRPr="00D44D74" w:rsidRDefault="00CC1477" w:rsidP="00D44D74">
      <w:r>
        <w:t>The sponsor</w:t>
      </w:r>
      <w:r w:rsidR="00D44D74" w:rsidRPr="00D44D74">
        <w:t xml:space="preserve"> does not consider any additional wording is warranted to fu</w:t>
      </w:r>
      <w:r w:rsidR="00D44D74">
        <w:t xml:space="preserve">rther clarify the indication as </w:t>
      </w:r>
      <w:r w:rsidR="00D44D74" w:rsidRPr="00D44D74">
        <w:t>the evidence submitted demonstrates that the efficacy outcomes</w:t>
      </w:r>
      <w:r w:rsidR="00D44D74">
        <w:t xml:space="preserve"> with dasatinib integrated with </w:t>
      </w:r>
      <w:r w:rsidR="00D44D74" w:rsidRPr="00D44D74">
        <w:t>chemotherapy is consistent with the outcomes achieved with i</w:t>
      </w:r>
      <w:r w:rsidR="00D44D74">
        <w:t xml:space="preserve">matinib, regardless of imatinib </w:t>
      </w:r>
      <w:r w:rsidR="00D44D74" w:rsidRPr="00D44D74">
        <w:t>eligibility/appropriateness. As such, it should be registered as a</w:t>
      </w:r>
      <w:r w:rsidR="00D44D74">
        <w:t xml:space="preserve">n alternative therapy option to </w:t>
      </w:r>
      <w:r w:rsidR="00D44D74" w:rsidRPr="00D44D74">
        <w:t>imatinib. Limitations in recruitment, given the rare nature of this disease and ethical</w:t>
      </w:r>
      <w:r w:rsidR="00D44D74">
        <w:t xml:space="preserve"> </w:t>
      </w:r>
      <w:r w:rsidR="00D44D74" w:rsidRPr="00D44D74">
        <w:t>considerations given the established outcomes with both agents, means that a d</w:t>
      </w:r>
      <w:r w:rsidR="00D44D74">
        <w:t xml:space="preserve">irect comparison </w:t>
      </w:r>
      <w:r w:rsidR="00D44D74" w:rsidRPr="00D44D74">
        <w:t>is not feasible.</w:t>
      </w:r>
    </w:p>
    <w:p w14:paraId="2432A232" w14:textId="77777777" w:rsidR="00D44D74" w:rsidRPr="00D44D74" w:rsidRDefault="00D44D74" w:rsidP="00D44D74">
      <w:r w:rsidRPr="00D44D74">
        <w:t xml:space="preserve">Responses in </w:t>
      </w:r>
      <w:r w:rsidR="00761035">
        <w:t>Ph</w:t>
      </w:r>
      <w:r w:rsidR="00761035" w:rsidRPr="0061480D">
        <w:rPr>
          <w:vertAlign w:val="superscript"/>
        </w:rPr>
        <w:t>+</w:t>
      </w:r>
      <w:r w:rsidR="00761035">
        <w:t xml:space="preserve"> ALL</w:t>
      </w:r>
      <w:r w:rsidRPr="00D44D74">
        <w:t xml:space="preserve"> using imatinib-based therapy are often sho</w:t>
      </w:r>
      <w:r>
        <w:t xml:space="preserve">rt-lived, and marrow relapse is </w:t>
      </w:r>
      <w:r w:rsidRPr="00D44D74">
        <w:t xml:space="preserve">frequently associated with the selection of point mutations in </w:t>
      </w:r>
      <w:r>
        <w:t xml:space="preserve">the BCR-ABL kinase domain (KD), </w:t>
      </w:r>
      <w:r w:rsidRPr="00D44D74">
        <w:t>fostered by the high genetic instability of ALL cells</w:t>
      </w:r>
      <w:r w:rsidR="00CC1477">
        <w:t>.</w:t>
      </w:r>
      <w:r w:rsidR="00CC1477" w:rsidRPr="00CC1477">
        <w:rPr>
          <w:vertAlign w:val="superscript"/>
        </w:rPr>
        <w:fldChar w:fldCharType="begin"/>
      </w:r>
      <w:r w:rsidR="00CC1477" w:rsidRPr="00CC1477">
        <w:rPr>
          <w:vertAlign w:val="superscript"/>
        </w:rPr>
        <w:instrText xml:space="preserve"> NOTEREF _Ref531182826 \h </w:instrText>
      </w:r>
      <w:r w:rsidR="00CC1477">
        <w:rPr>
          <w:vertAlign w:val="superscript"/>
        </w:rPr>
        <w:instrText xml:space="preserve"> \* MERGEFORMAT </w:instrText>
      </w:r>
      <w:r w:rsidR="00CC1477" w:rsidRPr="00CC1477">
        <w:rPr>
          <w:vertAlign w:val="superscript"/>
        </w:rPr>
      </w:r>
      <w:r w:rsidR="00CC1477" w:rsidRPr="00CC1477">
        <w:rPr>
          <w:vertAlign w:val="superscript"/>
        </w:rPr>
        <w:fldChar w:fldCharType="separate"/>
      </w:r>
      <w:r w:rsidR="00CC1477" w:rsidRPr="00CC1477">
        <w:rPr>
          <w:vertAlign w:val="superscript"/>
        </w:rPr>
        <w:t>30</w:t>
      </w:r>
      <w:r w:rsidR="00CC1477" w:rsidRPr="00CC1477">
        <w:rPr>
          <w:vertAlign w:val="superscript"/>
        </w:rPr>
        <w:fldChar w:fldCharType="end"/>
      </w:r>
      <w:r w:rsidR="00CC1477" w:rsidRPr="0061480D">
        <w:rPr>
          <w:vertAlign w:val="superscript"/>
        </w:rPr>
        <w:t>,</w:t>
      </w:r>
      <w:r w:rsidR="00CC1477">
        <w:rPr>
          <w:rStyle w:val="FootnoteReference"/>
        </w:rPr>
        <w:footnoteReference w:id="32"/>
      </w:r>
      <w:r w:rsidRPr="00D44D74">
        <w:t xml:space="preserve"> Ther</w:t>
      </w:r>
      <w:r>
        <w:t xml:space="preserve">e is also evidence supported by </w:t>
      </w:r>
      <w:r w:rsidRPr="00D44D74">
        <w:t>literature that indicates that there are other kinases in addi</w:t>
      </w:r>
      <w:r>
        <w:t xml:space="preserve">tion to </w:t>
      </w:r>
      <w:r>
        <w:lastRenderedPageBreak/>
        <w:t xml:space="preserve">BCR-ABL involved in the </w:t>
      </w:r>
      <w:r w:rsidRPr="00D44D74">
        <w:t xml:space="preserve">development of </w:t>
      </w:r>
      <w:r w:rsidR="00761035">
        <w:t>Ph+ ALL</w:t>
      </w:r>
      <w:r w:rsidRPr="00D44D74">
        <w:t>, particularly SRC kinases, which are not blocked by imatinib</w:t>
      </w:r>
      <w:r w:rsidR="00CC1477">
        <w:t>.</w:t>
      </w:r>
      <w:r w:rsidR="00CC1477">
        <w:rPr>
          <w:rStyle w:val="FootnoteReference"/>
        </w:rPr>
        <w:footnoteReference w:id="33"/>
      </w:r>
    </w:p>
    <w:p w14:paraId="4585195A" w14:textId="77777777" w:rsidR="00D44D74" w:rsidRPr="00D44D74" w:rsidRDefault="00D44D74" w:rsidP="00D44D74">
      <w:r w:rsidRPr="00D44D74">
        <w:t>Dasatinib is a second generation, potent, broad spectrum inhibi</w:t>
      </w:r>
      <w:r>
        <w:t xml:space="preserve">tor of several tyrosine kinases </w:t>
      </w:r>
      <w:r w:rsidRPr="00D44D74">
        <w:t>including BCR-ABL and S</w:t>
      </w:r>
      <w:r w:rsidR="00CC1477">
        <w:t xml:space="preserve">RC. In vitro, dasatinib has 325 </w:t>
      </w:r>
      <w:r w:rsidRPr="00D44D74">
        <w:t>fold gr</w:t>
      </w:r>
      <w:r>
        <w:t xml:space="preserve">eater potency than imatinib for </w:t>
      </w:r>
      <w:r w:rsidRPr="00D44D74">
        <w:t xml:space="preserve">inhibiting BCR-ABL by binding to both active and inactive conformations of c-ABL, </w:t>
      </w:r>
      <w:r>
        <w:t xml:space="preserve">whereas </w:t>
      </w:r>
      <w:r w:rsidRPr="00D44D74">
        <w:t xml:space="preserve">imatinib only binds to the inactive state4. Dasatinib effectively </w:t>
      </w:r>
      <w:r>
        <w:t xml:space="preserve">inhibits the growth of leukemic </w:t>
      </w:r>
      <w:r w:rsidRPr="00D44D74">
        <w:t>clone</w:t>
      </w:r>
      <w:r w:rsidR="00CC1477">
        <w:t xml:space="preserve">s harbouring all known imatinib </w:t>
      </w:r>
      <w:r w:rsidRPr="00D44D74">
        <w:t>resistant BCRABL kinase d</w:t>
      </w:r>
      <w:r>
        <w:t xml:space="preserve">omain point mutations, with the </w:t>
      </w:r>
      <w:r w:rsidRPr="00D44D74">
        <w:t>exception of V299L, T315I, and F317L</w:t>
      </w:r>
      <w:r w:rsidR="00CC1477">
        <w:t>.</w:t>
      </w:r>
      <w:r w:rsidR="00CC1477">
        <w:rPr>
          <w:rStyle w:val="FootnoteReference"/>
        </w:rPr>
        <w:footnoteReference w:id="34"/>
      </w:r>
    </w:p>
    <w:p w14:paraId="1E2A6C96" w14:textId="77777777" w:rsidR="00D44D74" w:rsidRPr="00D44D74" w:rsidRDefault="00761035" w:rsidP="00D44D74">
      <w:r>
        <w:t>Ph</w:t>
      </w:r>
      <w:r w:rsidRPr="0061480D">
        <w:rPr>
          <w:vertAlign w:val="superscript"/>
        </w:rPr>
        <w:t>+</w:t>
      </w:r>
      <w:r>
        <w:t xml:space="preserve"> ALL</w:t>
      </w:r>
      <w:r w:rsidR="00D44D74" w:rsidRPr="00D44D74">
        <w:t xml:space="preserve"> with CNS involvement is a further treatment complexity</w:t>
      </w:r>
      <w:r w:rsidR="00D44D74">
        <w:t xml:space="preserve">, noting that imatinib does not </w:t>
      </w:r>
      <w:r w:rsidR="00D44D74" w:rsidRPr="00D44D74">
        <w:t>penetrate the CNS where as dasatinib has been shown to penet</w:t>
      </w:r>
      <w:r w:rsidR="00D44D74">
        <w:t xml:space="preserve">rate the blood brain barrier in </w:t>
      </w:r>
      <w:r w:rsidR="00D44D74" w:rsidRPr="00D44D74">
        <w:t>patients with CNS involvement</w:t>
      </w:r>
      <w:r w:rsidR="00CC1477">
        <w:t>.</w:t>
      </w:r>
      <w:r w:rsidR="00CC1477">
        <w:rPr>
          <w:rStyle w:val="FootnoteReference"/>
        </w:rPr>
        <w:footnoteReference w:id="35"/>
      </w:r>
    </w:p>
    <w:p w14:paraId="5C9476A1" w14:textId="77777777" w:rsidR="00D44D74" w:rsidRPr="00D44D74" w:rsidRDefault="00D44D74" w:rsidP="00D44D74">
      <w:r w:rsidRPr="00D44D74">
        <w:t>Therefore, there is no plausible scientific reason for restricting the i</w:t>
      </w:r>
      <w:r>
        <w:t xml:space="preserve">ndication for dasatinib to only </w:t>
      </w:r>
      <w:r w:rsidRPr="00D44D74">
        <w:t>those patients’ ineligible for imatinib.</w:t>
      </w:r>
    </w:p>
    <w:p w14:paraId="4697EAE9" w14:textId="77777777" w:rsidR="00D44D74" w:rsidRPr="00D44D74" w:rsidRDefault="00D44D74" w:rsidP="00D44D74">
      <w:r w:rsidRPr="00D44D74">
        <w:t>Further, there are no established criteria for identifying newly</w:t>
      </w:r>
      <w:r>
        <w:t xml:space="preserve"> diagnosed patients who may not </w:t>
      </w:r>
      <w:r w:rsidRPr="00D44D74">
        <w:t>be eligible for imatinib or for whom imatinib is not appropriate.</w:t>
      </w:r>
    </w:p>
    <w:p w14:paraId="4D1BC01D" w14:textId="77777777" w:rsidR="00D44D74" w:rsidRPr="0061480D" w:rsidRDefault="00D44D74" w:rsidP="00CC1477">
      <w:pPr>
        <w:pStyle w:val="Numberbullet0"/>
        <w:rPr>
          <w:i/>
        </w:rPr>
      </w:pPr>
      <w:r w:rsidRPr="0061480D">
        <w:rPr>
          <w:i/>
        </w:rPr>
        <w:t>Does the ACM consider that a specific statement under drug interactions is required regarding dasatinib use with multi-agent chemotherapy regimens?</w:t>
      </w:r>
    </w:p>
    <w:p w14:paraId="3CA5FFB6" w14:textId="77777777" w:rsidR="00D44D74" w:rsidRPr="00D44D74" w:rsidRDefault="00CC1477" w:rsidP="00D44D74">
      <w:r>
        <w:t>The sponsor</w:t>
      </w:r>
      <w:r w:rsidR="00D44D74" w:rsidRPr="00D44D74">
        <w:t xml:space="preserve"> acknowledges the Delegate’s comment confirming acce</w:t>
      </w:r>
      <w:r w:rsidR="00D44D74">
        <w:t xml:space="preserve">ptance of our reasoning on this </w:t>
      </w:r>
      <w:r w:rsidR="00D44D74" w:rsidRPr="00D44D74">
        <w:t xml:space="preserve">issue and the current PI statements as stated </w:t>
      </w:r>
      <w:r>
        <w:t>in</w:t>
      </w:r>
      <w:r w:rsidR="00D44D74" w:rsidRPr="00D44D74">
        <w:t xml:space="preserve"> th</w:t>
      </w:r>
      <w:r w:rsidR="00D44D74">
        <w:t xml:space="preserve">e Delegate’s overview. </w:t>
      </w:r>
      <w:r>
        <w:t>The sponsor</w:t>
      </w:r>
      <w:r w:rsidR="00D44D74">
        <w:t xml:space="preserve"> does </w:t>
      </w:r>
      <w:r w:rsidR="00D44D74" w:rsidRPr="00D44D74">
        <w:t>not consider that further statements specific to use with multi</w:t>
      </w:r>
      <w:r w:rsidR="00D44D74">
        <w:t xml:space="preserve"> agent chemotherapy regimens is </w:t>
      </w:r>
      <w:r w:rsidR="00D44D74" w:rsidRPr="00D44D74">
        <w:t>warranted in the Sprycel PI for the reasons discussed below.</w:t>
      </w:r>
    </w:p>
    <w:p w14:paraId="474FC787" w14:textId="77777777" w:rsidR="00D44D74" w:rsidRPr="00D44D74" w:rsidRDefault="00D44D74" w:rsidP="00D44D74">
      <w:r w:rsidRPr="00D44D74">
        <w:t>There is already experience with use of dasatinib with multi agent chemotherapy in newly</w:t>
      </w:r>
      <w:r>
        <w:t xml:space="preserve"> </w:t>
      </w:r>
      <w:r w:rsidRPr="00D44D74">
        <w:t xml:space="preserve">diagnosed patients via the published dasatinib </w:t>
      </w:r>
      <w:r w:rsidR="00761035">
        <w:t>Ph</w:t>
      </w:r>
      <w:r w:rsidR="00761035" w:rsidRPr="0061480D">
        <w:rPr>
          <w:vertAlign w:val="superscript"/>
        </w:rPr>
        <w:t>+</w:t>
      </w:r>
      <w:r w:rsidR="00761035">
        <w:t xml:space="preserve"> ALL</w:t>
      </w:r>
      <w:r w:rsidRPr="00D44D74">
        <w:t xml:space="preserve"> cl</w:t>
      </w:r>
      <w:r>
        <w:t xml:space="preserve">inical studies included in this </w:t>
      </w:r>
      <w:r w:rsidRPr="00D44D74">
        <w:t>submission and in second line treatment where dasati</w:t>
      </w:r>
      <w:r>
        <w:t xml:space="preserve">nib may be co-administered with </w:t>
      </w:r>
      <w:r w:rsidRPr="00D44D74">
        <w:t>dexamethasone and vincristine.</w:t>
      </w:r>
    </w:p>
    <w:p w14:paraId="5AA65AC9" w14:textId="77777777" w:rsidR="00D44D74" w:rsidRPr="00D44D74" w:rsidRDefault="00D44D74" w:rsidP="00D44D74">
      <w:r w:rsidRPr="00D44D74">
        <w:t>Advice from experienced clinicians is that interactions, while relevant, are not primary clinical</w:t>
      </w:r>
      <w:r>
        <w:t xml:space="preserve"> </w:t>
      </w:r>
      <w:r w:rsidRPr="00D44D74">
        <w:t xml:space="preserve">considerations in the treatment of newly diagnosed </w:t>
      </w:r>
      <w:r w:rsidR="00761035">
        <w:t>Ph</w:t>
      </w:r>
      <w:r w:rsidR="00761035" w:rsidRPr="0061480D">
        <w:rPr>
          <w:vertAlign w:val="superscript"/>
        </w:rPr>
        <w:t>+</w:t>
      </w:r>
      <w:r w:rsidR="00761035">
        <w:t xml:space="preserve"> ALL</w:t>
      </w:r>
      <w:r w:rsidRPr="00D44D74">
        <w:t xml:space="preserve"> pat</w:t>
      </w:r>
      <w:r>
        <w:t xml:space="preserve">ients with dasatinib, since the </w:t>
      </w:r>
      <w:r w:rsidRPr="00D44D74">
        <w:t>chemotherapy agents to be co-administered with dasatinib first-line are the same as those</w:t>
      </w:r>
      <w:r>
        <w:t xml:space="preserve"> </w:t>
      </w:r>
      <w:r w:rsidRPr="00D44D74">
        <w:t>already used with imatinib.</w:t>
      </w:r>
    </w:p>
    <w:p w14:paraId="3AF5BB91" w14:textId="4C8FF50E" w:rsidR="00D44D74" w:rsidRPr="00D44D74" w:rsidRDefault="00D44D74" w:rsidP="00D44D74">
      <w:r w:rsidRPr="00D44D74">
        <w:t>Both imatinib and dasatinib are primarily metabolised by</w:t>
      </w:r>
      <w:r>
        <w:t xml:space="preserve"> CYP3A4</w:t>
      </w:r>
      <w:r w:rsidR="0058478D">
        <w:t>;</w:t>
      </w:r>
      <w:r w:rsidR="00801CD3">
        <w:rPr>
          <w:rStyle w:val="FootnoteReference"/>
        </w:rPr>
        <w:footnoteReference w:id="36"/>
      </w:r>
      <w:r>
        <w:t xml:space="preserve"> and details of studies </w:t>
      </w:r>
      <w:r w:rsidRPr="00D44D74">
        <w:t>investigating the effects of potent CYP3A4 inhibitors and induc</w:t>
      </w:r>
      <w:r>
        <w:t xml:space="preserve">ers are already included in the </w:t>
      </w:r>
      <w:r w:rsidRPr="00D44D74">
        <w:t xml:space="preserve">approved Sprycel and Glivec </w:t>
      </w:r>
      <w:r w:rsidR="00CC1477">
        <w:t>PI</w:t>
      </w:r>
      <w:r w:rsidRPr="00D44D74">
        <w:t xml:space="preserve"> documents. </w:t>
      </w:r>
      <w:r>
        <w:t xml:space="preserve">Both imatinib and dasatinib are </w:t>
      </w:r>
      <w:r w:rsidRPr="00D44D74">
        <w:t>known to have their concentrations affected by CYP3A4 inhibitors and inducers.</w:t>
      </w:r>
    </w:p>
    <w:p w14:paraId="00298EC2" w14:textId="77777777" w:rsidR="00D44D74" w:rsidRDefault="00D44D74" w:rsidP="000466A2">
      <w:r w:rsidRPr="00D44D74">
        <w:t>Concentrations (AUC) of simvastatin (a CYP3A4 substrate</w:t>
      </w:r>
      <w:r w:rsidR="00CC1477">
        <w:t xml:space="preserve">) were increased by 3.5 </w:t>
      </w:r>
      <w:r>
        <w:t xml:space="preserve">fold by </w:t>
      </w:r>
      <w:r w:rsidRPr="00D44D74">
        <w:t xml:space="preserve">imatinib and 20% by dasatinib, suggesting imatinib may have </w:t>
      </w:r>
      <w:r>
        <w:t xml:space="preserve">a greater effect on CYP3A4 than </w:t>
      </w:r>
      <w:r w:rsidRPr="00D44D74">
        <w:t>dasatinib. Precautions regarding administration of ima</w:t>
      </w:r>
      <w:r>
        <w:t xml:space="preserve">tinib and dasatinib with CYP3A4 </w:t>
      </w:r>
      <w:r w:rsidRPr="00D44D74">
        <w:t>substrates, particularly those with a narrow therapeutic ind</w:t>
      </w:r>
      <w:r>
        <w:t xml:space="preserve">ex, are already included in the </w:t>
      </w:r>
      <w:r w:rsidRPr="00D44D74">
        <w:t xml:space="preserve">Australian </w:t>
      </w:r>
      <w:r w:rsidR="00CC1477">
        <w:t>PI</w:t>
      </w:r>
      <w:r w:rsidRPr="00D44D74">
        <w:t xml:space="preserve"> documents for both drugs.</w:t>
      </w:r>
    </w:p>
    <w:p w14:paraId="55565D3A" w14:textId="77777777" w:rsidR="00D44D74" w:rsidRPr="00D44D74" w:rsidRDefault="00D44D74" w:rsidP="00D44D74">
      <w:r w:rsidRPr="00D44D74">
        <w:t>Therefore, although there is some evidence that cyclophosphamide, vincristine, doxorubicin and</w:t>
      </w:r>
      <w:r>
        <w:t xml:space="preserve"> </w:t>
      </w:r>
      <w:r w:rsidRPr="00D44D74">
        <w:t>dexamethasone (the drugs comprising the HCVAD regimen)</w:t>
      </w:r>
      <w:r>
        <w:t xml:space="preserve"> interact with the CYP3A family </w:t>
      </w:r>
      <w:r w:rsidRPr="00D44D74">
        <w:t xml:space="preserve">or CYP3A4 metabolising enzymes, the sponsor believes that the </w:t>
      </w:r>
      <w:r>
        <w:lastRenderedPageBreak/>
        <w:t xml:space="preserve">substantial clinical experience </w:t>
      </w:r>
      <w:r w:rsidRPr="00D44D74">
        <w:t>of their co-administration with imatinib, the clinical data incl</w:t>
      </w:r>
      <w:r>
        <w:t xml:space="preserve">uded in this submission and the </w:t>
      </w:r>
      <w:r w:rsidRPr="00D44D74">
        <w:t>information and precautions already included in the dasatinib Product Information</w:t>
      </w:r>
      <w:r>
        <w:t xml:space="preserve"> are adequate </w:t>
      </w:r>
      <w:r w:rsidRPr="00D44D74">
        <w:t>to address this issue.</w:t>
      </w:r>
    </w:p>
    <w:p w14:paraId="6D434F1D" w14:textId="77777777" w:rsidR="00D44D74" w:rsidRPr="00D44D74" w:rsidRDefault="00D44D74" w:rsidP="00D44D74">
      <w:r w:rsidRPr="00D44D74">
        <w:t>Furthermore, no specific precautions are included in the Australia</w:t>
      </w:r>
      <w:r>
        <w:t xml:space="preserve">n Glivec PI with respect to the </w:t>
      </w:r>
      <w:r w:rsidRPr="00D44D74">
        <w:t>use of imatinib together with chemotherapy agents, theref</w:t>
      </w:r>
      <w:r>
        <w:t xml:space="preserve">ore it follows that no specific </w:t>
      </w:r>
      <w:r w:rsidRPr="00D44D74">
        <w:t>precautionary measures are considered necessary when dasatinib is used in the same setting.</w:t>
      </w:r>
    </w:p>
    <w:p w14:paraId="4A3EF9FB" w14:textId="77777777" w:rsidR="00D44D74" w:rsidRPr="00D44D74" w:rsidRDefault="00D44D74" w:rsidP="00D44D74">
      <w:r w:rsidRPr="00D44D74">
        <w:t>A further statement specific to chemotherapy agents in the Spr</w:t>
      </w:r>
      <w:r w:rsidR="00AF3950">
        <w:t xml:space="preserve">ycel PI is therefore considered </w:t>
      </w:r>
      <w:r w:rsidRPr="00D44D74">
        <w:t>unnecessary.</w:t>
      </w:r>
    </w:p>
    <w:p w14:paraId="6D08E221" w14:textId="77777777" w:rsidR="00D44D74" w:rsidRPr="0061480D" w:rsidRDefault="00D44D74" w:rsidP="00CC1477">
      <w:pPr>
        <w:pStyle w:val="Numberbullet0"/>
        <w:rPr>
          <w:i/>
        </w:rPr>
      </w:pPr>
      <w:r w:rsidRPr="0061480D">
        <w:rPr>
          <w:i/>
        </w:rPr>
        <w:t>Does the committee consider that the proposed dose of 100</w:t>
      </w:r>
      <w:r w:rsidR="00665FCA" w:rsidRPr="0061480D">
        <w:rPr>
          <w:i/>
        </w:rPr>
        <w:t xml:space="preserve"> mg</w:t>
      </w:r>
      <w:r w:rsidRPr="0061480D">
        <w:rPr>
          <w:i/>
        </w:rPr>
        <w:t xml:space="preserve"> dasatinib for the treatment</w:t>
      </w:r>
      <w:r w:rsidR="00AF3950" w:rsidRPr="0061480D">
        <w:rPr>
          <w:i/>
        </w:rPr>
        <w:t xml:space="preserve"> of </w:t>
      </w:r>
      <w:r w:rsidRPr="0061480D">
        <w:rPr>
          <w:i/>
        </w:rPr>
        <w:t xml:space="preserve">newly diagnosed </w:t>
      </w:r>
      <w:r w:rsidR="00761035" w:rsidRPr="0061480D">
        <w:rPr>
          <w:i/>
        </w:rPr>
        <w:t>Ph</w:t>
      </w:r>
      <w:r w:rsidR="00761035" w:rsidRPr="0061480D">
        <w:rPr>
          <w:i/>
          <w:vertAlign w:val="superscript"/>
        </w:rPr>
        <w:t>+</w:t>
      </w:r>
      <w:r w:rsidR="00761035" w:rsidRPr="0061480D">
        <w:rPr>
          <w:i/>
        </w:rPr>
        <w:t xml:space="preserve"> ALL</w:t>
      </w:r>
      <w:r w:rsidRPr="0061480D">
        <w:rPr>
          <w:i/>
        </w:rPr>
        <w:t xml:space="preserve"> is acceptable? Is the wording o</w:t>
      </w:r>
      <w:r w:rsidR="00AF3950" w:rsidRPr="0061480D">
        <w:rPr>
          <w:i/>
        </w:rPr>
        <w:t xml:space="preserve">f the dosage and administration </w:t>
      </w:r>
      <w:r w:rsidRPr="0061480D">
        <w:rPr>
          <w:i/>
        </w:rPr>
        <w:t>section of the PI appropriate in regard to first-line treatm</w:t>
      </w:r>
      <w:r w:rsidR="00AF3950" w:rsidRPr="0061480D">
        <w:rPr>
          <w:i/>
        </w:rPr>
        <w:t xml:space="preserve">ent of </w:t>
      </w:r>
      <w:r w:rsidR="00761035" w:rsidRPr="0061480D">
        <w:rPr>
          <w:i/>
        </w:rPr>
        <w:t>Ph</w:t>
      </w:r>
      <w:r w:rsidR="00761035" w:rsidRPr="0061480D">
        <w:rPr>
          <w:i/>
          <w:vertAlign w:val="superscript"/>
        </w:rPr>
        <w:t>+</w:t>
      </w:r>
      <w:r w:rsidR="00761035" w:rsidRPr="0061480D">
        <w:rPr>
          <w:i/>
        </w:rPr>
        <w:t xml:space="preserve"> ALL</w:t>
      </w:r>
      <w:r w:rsidR="00AF3950" w:rsidRPr="0061480D">
        <w:rPr>
          <w:i/>
        </w:rPr>
        <w:t xml:space="preserve"> for induction and </w:t>
      </w:r>
      <w:r w:rsidRPr="0061480D">
        <w:rPr>
          <w:i/>
        </w:rPr>
        <w:t>consolidation/maintenance?</w:t>
      </w:r>
    </w:p>
    <w:p w14:paraId="08D804ED" w14:textId="562AEB83" w:rsidR="00AF3950" w:rsidRPr="00AF3950" w:rsidRDefault="00CC1477" w:rsidP="00AF3950">
      <w:r>
        <w:t>The sponsor</w:t>
      </w:r>
      <w:r w:rsidR="00AF3950" w:rsidRPr="00AF3950">
        <w:t xml:space="preserve"> agrees with the Delegate’s statement that the data presented support a dose of 100</w:t>
      </w:r>
      <w:r w:rsidR="00665FCA">
        <w:t xml:space="preserve"> mg</w:t>
      </w:r>
      <w:r w:rsidR="00AF3950" w:rsidRPr="00AF3950">
        <w:t>/day</w:t>
      </w:r>
      <w:r w:rsidR="00AF3950">
        <w:t xml:space="preserve"> </w:t>
      </w:r>
      <w:r w:rsidR="00AF3950" w:rsidRPr="00AF3950">
        <w:t xml:space="preserve">for the first-line treatment of </w:t>
      </w:r>
      <w:r w:rsidR="00761035">
        <w:t>Ph</w:t>
      </w:r>
      <w:r w:rsidR="00761035" w:rsidRPr="0061480D">
        <w:rPr>
          <w:vertAlign w:val="superscript"/>
        </w:rPr>
        <w:t>+</w:t>
      </w:r>
      <w:r w:rsidR="00761035">
        <w:t xml:space="preserve"> ALL</w:t>
      </w:r>
      <w:r w:rsidR="00AF3950" w:rsidRPr="00AF3950">
        <w:t>, with dosing adjustment</w:t>
      </w:r>
      <w:r w:rsidR="00AF3950">
        <w:t xml:space="preserve">s depending on patient response </w:t>
      </w:r>
      <w:r w:rsidR="00AF3950" w:rsidRPr="00AF3950">
        <w:t>and tolerability. The clinical evaluator also supported a 100</w:t>
      </w:r>
      <w:r w:rsidR="00665FCA">
        <w:t xml:space="preserve"> mg</w:t>
      </w:r>
      <w:r w:rsidR="00AF3950" w:rsidRPr="00AF3950">
        <w:t xml:space="preserve"> dai</w:t>
      </w:r>
      <w:r w:rsidR="00AF3950">
        <w:t xml:space="preserve">ly as the starting dose, noting </w:t>
      </w:r>
      <w:r w:rsidR="00AF3950" w:rsidRPr="00AF3950">
        <w:t xml:space="preserve">in addition that </w:t>
      </w:r>
      <w:r w:rsidR="0058478D">
        <w:t>‘</w:t>
      </w:r>
      <w:r w:rsidR="00AF3950" w:rsidRPr="00AF3950">
        <w:t>the simple truth of treatment with this drug is i</w:t>
      </w:r>
      <w:r w:rsidR="00AF3950">
        <w:t xml:space="preserve">t will be titrated according to </w:t>
      </w:r>
      <w:r w:rsidR="00AF3950" w:rsidRPr="00AF3950">
        <w:t>toxicity</w:t>
      </w:r>
      <w:r w:rsidR="0058478D">
        <w:t>‘</w:t>
      </w:r>
      <w:r w:rsidR="0058478D" w:rsidRPr="00AF3950">
        <w:t xml:space="preserve">. </w:t>
      </w:r>
      <w:r w:rsidR="00AF3950" w:rsidRPr="00AF3950">
        <w:t>Doses of 100</w:t>
      </w:r>
      <w:r w:rsidR="00665FCA">
        <w:t xml:space="preserve"> mg</w:t>
      </w:r>
      <w:r w:rsidR="00AF3950" w:rsidRPr="00AF3950">
        <w:t xml:space="preserve">/day </w:t>
      </w:r>
      <w:r w:rsidR="00AF3950">
        <w:t>(as either 50</w:t>
      </w:r>
      <w:r w:rsidR="00665FCA">
        <w:t xml:space="preserve"> mg</w:t>
      </w:r>
      <w:r>
        <w:t xml:space="preserve"> twice </w:t>
      </w:r>
      <w:r w:rsidR="00AF3950">
        <w:t xml:space="preserve">daily or </w:t>
      </w:r>
      <w:r w:rsidR="00AF3950" w:rsidRPr="00AF3950">
        <w:t>100</w:t>
      </w:r>
      <w:r w:rsidR="00665FCA">
        <w:t xml:space="preserve"> mg</w:t>
      </w:r>
      <w:r>
        <w:t xml:space="preserve"> once </w:t>
      </w:r>
      <w:r w:rsidR="00AF3950" w:rsidRPr="00AF3950">
        <w:t>daily) were used as starting doses for both induction and maintenanc</w:t>
      </w:r>
      <w:r w:rsidR="00AF3950">
        <w:t xml:space="preserve">e in 3 of the </w:t>
      </w:r>
      <w:r w:rsidR="00AF3950" w:rsidRPr="00AF3950">
        <w:t>4 pivotal clinical studies supporting this application.</w:t>
      </w:r>
    </w:p>
    <w:p w14:paraId="6241B22A" w14:textId="4799E36C" w:rsidR="00AF3950" w:rsidRPr="00AF3950" w:rsidRDefault="00AF3950" w:rsidP="00AF3950">
      <w:r w:rsidRPr="00AF3950">
        <w:t>Doses of 50</w:t>
      </w:r>
      <w:r w:rsidR="00665FCA">
        <w:t xml:space="preserve"> mg</w:t>
      </w:r>
      <w:r w:rsidR="00CC1477">
        <w:t xml:space="preserve"> twice </w:t>
      </w:r>
      <w:r w:rsidRPr="00AF3950">
        <w:t>daily were initially administered during the</w:t>
      </w:r>
      <w:r>
        <w:t xml:space="preserve"> induction phase in the </w:t>
      </w:r>
      <w:r w:rsidR="0058478D">
        <w:t xml:space="preserve">studies by </w:t>
      </w:r>
      <w:r>
        <w:t xml:space="preserve">Ravandi </w:t>
      </w:r>
      <w:r w:rsidRPr="00AF3950">
        <w:t>et al</w:t>
      </w:r>
      <w:r w:rsidR="0058478D">
        <w:t>.</w:t>
      </w:r>
      <w:r w:rsidRPr="00AF3950">
        <w:t>, but this was changed by an amendment to the study protocol to 100</w:t>
      </w:r>
      <w:r w:rsidR="00CC1477">
        <w:t> </w:t>
      </w:r>
      <w:r w:rsidR="00665FCA">
        <w:t>mg</w:t>
      </w:r>
      <w:r w:rsidR="00CC1477">
        <w:t xml:space="preserve"> once </w:t>
      </w:r>
      <w:r>
        <w:t xml:space="preserve">daily </w:t>
      </w:r>
      <w:r w:rsidRPr="00AF3950">
        <w:t>when further data on the best dose and schedule of dasati</w:t>
      </w:r>
      <w:r>
        <w:t xml:space="preserve">nib became available. After the </w:t>
      </w:r>
      <w:r w:rsidRPr="00AF3950">
        <w:t>enrolment of the first 42 patients, the protocol was further amen</w:t>
      </w:r>
      <w:r>
        <w:t>ded to 100</w:t>
      </w:r>
      <w:r w:rsidR="00665FCA">
        <w:t xml:space="preserve"> mg</w:t>
      </w:r>
      <w:r>
        <w:t xml:space="preserve"> of dasatinib once </w:t>
      </w:r>
      <w:r w:rsidRPr="00AF3950">
        <w:t>daily in the first 14 days of the first cycle followed by 70</w:t>
      </w:r>
      <w:r w:rsidR="00665FCA">
        <w:t xml:space="preserve"> mg</w:t>
      </w:r>
      <w:r w:rsidRPr="00AF3950">
        <w:t xml:space="preserve"> o</w:t>
      </w:r>
      <w:r>
        <w:t xml:space="preserve">nce daily continuously from the </w:t>
      </w:r>
      <w:r w:rsidRPr="00AF3950">
        <w:t>second cycle. Patients achieving complete remission c</w:t>
      </w:r>
      <w:r>
        <w:t xml:space="preserve">ontinued to receive maintenance </w:t>
      </w:r>
      <w:r w:rsidRPr="00AF3950">
        <w:t>dasatinib; initially 50</w:t>
      </w:r>
      <w:r w:rsidR="00665FCA">
        <w:t xml:space="preserve"> mg</w:t>
      </w:r>
      <w:r w:rsidRPr="00AF3950">
        <w:t xml:space="preserve"> orally twice daily and, after amendm</w:t>
      </w:r>
      <w:r>
        <w:t>ent, 100</w:t>
      </w:r>
      <w:r w:rsidR="00665FCA">
        <w:t xml:space="preserve"> mg</w:t>
      </w:r>
      <w:r>
        <w:t xml:space="preserve"> daily. Further dose </w:t>
      </w:r>
      <w:r w:rsidRPr="00AF3950">
        <w:t>adjustments during the maintenance phase were made based on clinical effects and tolerability.</w:t>
      </w:r>
    </w:p>
    <w:p w14:paraId="0D5CECB2" w14:textId="49B80C93" w:rsidR="00AF3950" w:rsidRPr="00AF3950" w:rsidRDefault="00AF3950" w:rsidP="00AF3950">
      <w:r w:rsidRPr="00AF3950">
        <w:t>Yoon et al</w:t>
      </w:r>
      <w:r w:rsidR="0058478D">
        <w:t>.;</w:t>
      </w:r>
      <w:r w:rsidR="00180694" w:rsidRPr="00180694">
        <w:rPr>
          <w:vertAlign w:val="superscript"/>
        </w:rPr>
        <w:fldChar w:fldCharType="begin"/>
      </w:r>
      <w:r w:rsidR="00180694" w:rsidRPr="00180694">
        <w:rPr>
          <w:vertAlign w:val="superscript"/>
        </w:rPr>
        <w:instrText xml:space="preserve"> NOTEREF _Ref531103040 \h </w:instrText>
      </w:r>
      <w:r w:rsidR="00180694">
        <w:rPr>
          <w:vertAlign w:val="superscript"/>
        </w:rPr>
        <w:instrText xml:space="preserve"> \* MERGEFORMAT </w:instrText>
      </w:r>
      <w:r w:rsidR="00180694" w:rsidRPr="00180694">
        <w:rPr>
          <w:vertAlign w:val="superscript"/>
        </w:rPr>
      </w:r>
      <w:r w:rsidR="00180694" w:rsidRPr="00180694">
        <w:rPr>
          <w:vertAlign w:val="superscript"/>
        </w:rPr>
        <w:fldChar w:fldCharType="separate"/>
      </w:r>
      <w:r w:rsidR="00180694" w:rsidRPr="00180694">
        <w:rPr>
          <w:vertAlign w:val="superscript"/>
        </w:rPr>
        <w:t>7</w:t>
      </w:r>
      <w:r w:rsidR="00180694" w:rsidRPr="00180694">
        <w:rPr>
          <w:vertAlign w:val="superscript"/>
        </w:rPr>
        <w:fldChar w:fldCharType="end"/>
      </w:r>
      <w:r w:rsidRPr="00AF3950">
        <w:t xml:space="preserve"> used 100</w:t>
      </w:r>
      <w:r w:rsidR="00665FCA">
        <w:t xml:space="preserve"> mg</w:t>
      </w:r>
      <w:r w:rsidR="00180694">
        <w:t xml:space="preserve"> once </w:t>
      </w:r>
      <w:r w:rsidRPr="00AF3950">
        <w:t>daily during induction, with a dos</w:t>
      </w:r>
      <w:r w:rsidR="00180694">
        <w:t xml:space="preserve">e </w:t>
      </w:r>
      <w:r>
        <w:t>reduction to 70</w:t>
      </w:r>
      <w:r w:rsidR="00665FCA">
        <w:t xml:space="preserve"> mg</w:t>
      </w:r>
      <w:r w:rsidR="00180694">
        <w:t xml:space="preserve"> once </w:t>
      </w:r>
      <w:r>
        <w:t xml:space="preserve">daily </w:t>
      </w:r>
      <w:r w:rsidR="00180694">
        <w:t xml:space="preserve">permitted for significant drug </w:t>
      </w:r>
      <w:r w:rsidRPr="00AF3950">
        <w:t>related toxicity. Six of 51 enrolled pa</w:t>
      </w:r>
      <w:r>
        <w:t xml:space="preserve">tients temporarily discontinued </w:t>
      </w:r>
      <w:r w:rsidRPr="00AF3950">
        <w:t>therapy. Of these, 4 resumed the drug at 100</w:t>
      </w:r>
      <w:r w:rsidR="00665FCA">
        <w:t xml:space="preserve"> mg</w:t>
      </w:r>
      <w:r w:rsidR="00180694">
        <w:t xml:space="preserve"> once </w:t>
      </w:r>
      <w:r w:rsidRPr="00AF3950">
        <w:t>dai</w:t>
      </w:r>
      <w:r>
        <w:t>ly and 2 resumed at the reduced 70</w:t>
      </w:r>
      <w:r w:rsidR="00665FCA">
        <w:t xml:space="preserve"> mg</w:t>
      </w:r>
      <w:r>
        <w:t xml:space="preserve"> daily dose. </w:t>
      </w:r>
      <w:r w:rsidRPr="00AF3950">
        <w:t>Rousselot et al</w:t>
      </w:r>
      <w:r w:rsidR="0058478D">
        <w:t>.;</w:t>
      </w:r>
      <w:r w:rsidR="00180694" w:rsidRPr="00180694">
        <w:rPr>
          <w:vertAlign w:val="superscript"/>
        </w:rPr>
        <w:fldChar w:fldCharType="begin"/>
      </w:r>
      <w:r w:rsidR="00180694" w:rsidRPr="00180694">
        <w:rPr>
          <w:vertAlign w:val="superscript"/>
        </w:rPr>
        <w:instrText xml:space="preserve"> NOTEREF _Ref531103064 \h </w:instrText>
      </w:r>
      <w:r w:rsidR="00180694">
        <w:rPr>
          <w:vertAlign w:val="superscript"/>
        </w:rPr>
        <w:instrText xml:space="preserve"> \* MERGEFORMAT </w:instrText>
      </w:r>
      <w:r w:rsidR="00180694" w:rsidRPr="00180694">
        <w:rPr>
          <w:vertAlign w:val="superscript"/>
        </w:rPr>
      </w:r>
      <w:r w:rsidR="00180694" w:rsidRPr="00180694">
        <w:rPr>
          <w:vertAlign w:val="superscript"/>
        </w:rPr>
        <w:fldChar w:fldCharType="separate"/>
      </w:r>
      <w:r w:rsidR="00180694" w:rsidRPr="00180694">
        <w:rPr>
          <w:vertAlign w:val="superscript"/>
        </w:rPr>
        <w:t>8</w:t>
      </w:r>
      <w:r w:rsidR="00180694" w:rsidRPr="00180694">
        <w:rPr>
          <w:vertAlign w:val="superscript"/>
        </w:rPr>
        <w:fldChar w:fldCharType="end"/>
      </w:r>
      <w:r w:rsidRPr="00AF3950">
        <w:t xml:space="preserve"> initially used 140</w:t>
      </w:r>
      <w:r w:rsidR="00665FCA">
        <w:t xml:space="preserve"> mg</w:t>
      </w:r>
      <w:r w:rsidRPr="00AF3950">
        <w:t>/day for all patients in the</w:t>
      </w:r>
      <w:r>
        <w:t xml:space="preserve">ir study, but after 15 months a </w:t>
      </w:r>
      <w:r w:rsidRPr="00AF3950">
        <w:t>protocol amendment reduced the dose for patients over 70 years</w:t>
      </w:r>
      <w:r>
        <w:t xml:space="preserve"> to 100</w:t>
      </w:r>
      <w:r w:rsidR="00665FCA">
        <w:t xml:space="preserve"> mg</w:t>
      </w:r>
      <w:r>
        <w:t xml:space="preserve">/day to limit patient </w:t>
      </w:r>
      <w:r w:rsidRPr="00AF3950">
        <w:t>discontinuation. It was noted in the report that safety of the drug was acceptable, especially</w:t>
      </w:r>
      <w:r>
        <w:t xml:space="preserve"> </w:t>
      </w:r>
      <w:r w:rsidRPr="00AF3950">
        <w:t>after the reduction of dasatinib daily dose from 140</w:t>
      </w:r>
      <w:r w:rsidR="00665FCA">
        <w:t xml:space="preserve"> mg</w:t>
      </w:r>
      <w:r w:rsidRPr="00AF3950">
        <w:t xml:space="preserve"> to 100</w:t>
      </w:r>
      <w:r w:rsidR="00665FCA">
        <w:t xml:space="preserve"> mg</w:t>
      </w:r>
      <w:r w:rsidRPr="00AF3950">
        <w:t>/day for these older patients.</w:t>
      </w:r>
    </w:p>
    <w:p w14:paraId="40F130AC" w14:textId="580721E8" w:rsidR="00AF3950" w:rsidRPr="00AF3950" w:rsidRDefault="00AF3950" w:rsidP="00AF3950">
      <w:r w:rsidRPr="00AF3950">
        <w:t>The Foa et al</w:t>
      </w:r>
      <w:r w:rsidR="0058478D">
        <w:t>.,</w:t>
      </w:r>
      <w:r w:rsidRPr="00AF3950">
        <w:t xml:space="preserve"> study</w:t>
      </w:r>
      <w:r w:rsidR="0058478D">
        <w:t>;</w:t>
      </w:r>
      <w:r w:rsidR="00180694" w:rsidRPr="00180694">
        <w:rPr>
          <w:vertAlign w:val="superscript"/>
        </w:rPr>
        <w:fldChar w:fldCharType="begin"/>
      </w:r>
      <w:r w:rsidR="00180694" w:rsidRPr="00180694">
        <w:rPr>
          <w:vertAlign w:val="superscript"/>
        </w:rPr>
        <w:instrText xml:space="preserve"> NOTEREF _Ref531103135 \h </w:instrText>
      </w:r>
      <w:r w:rsidR="00180694">
        <w:rPr>
          <w:vertAlign w:val="superscript"/>
        </w:rPr>
        <w:instrText xml:space="preserve"> \* MERGEFORMAT </w:instrText>
      </w:r>
      <w:r w:rsidR="00180694" w:rsidRPr="00180694">
        <w:rPr>
          <w:vertAlign w:val="superscript"/>
        </w:rPr>
      </w:r>
      <w:r w:rsidR="00180694" w:rsidRPr="00180694">
        <w:rPr>
          <w:vertAlign w:val="superscript"/>
        </w:rPr>
        <w:fldChar w:fldCharType="separate"/>
      </w:r>
      <w:r w:rsidR="00180694" w:rsidRPr="00180694">
        <w:rPr>
          <w:vertAlign w:val="superscript"/>
        </w:rPr>
        <w:t>9</w:t>
      </w:r>
      <w:r w:rsidR="00180694" w:rsidRPr="00180694">
        <w:rPr>
          <w:vertAlign w:val="superscript"/>
        </w:rPr>
        <w:fldChar w:fldCharType="end"/>
      </w:r>
      <w:r w:rsidRPr="00AF3950">
        <w:t xml:space="preserve"> used a dose of 70</w:t>
      </w:r>
      <w:r w:rsidR="00665FCA">
        <w:t xml:space="preserve"> mg</w:t>
      </w:r>
      <w:r w:rsidR="00180694">
        <w:t xml:space="preserve"> twice </w:t>
      </w:r>
      <w:r w:rsidRPr="00AF3950">
        <w:t>daily co-a</w:t>
      </w:r>
      <w:r>
        <w:t xml:space="preserve">dministered with steroids; dose </w:t>
      </w:r>
      <w:r w:rsidRPr="00AF3950">
        <w:t>reduction was permitted for non-haematologic toxicity. Unlike</w:t>
      </w:r>
      <w:r>
        <w:t xml:space="preserve"> the other studies provided, no </w:t>
      </w:r>
      <w:r w:rsidRPr="00AF3950">
        <w:t>systemic chemotherapy other than steroids was administered to patients in this study.</w:t>
      </w:r>
    </w:p>
    <w:p w14:paraId="7FE4FF50" w14:textId="77777777" w:rsidR="00D44D74" w:rsidRPr="00AF3950" w:rsidRDefault="00AF3950" w:rsidP="00AF3950">
      <w:r w:rsidRPr="00AF3950">
        <w:t>Each of the pivotal studies where treatment was integrat</w:t>
      </w:r>
      <w:r>
        <w:t xml:space="preserve">ed with high intensity systemic </w:t>
      </w:r>
      <w:r w:rsidRPr="00AF3950">
        <w:t>chemotherapy used a dasatinib starting dose of 100</w:t>
      </w:r>
      <w:r w:rsidR="00665FCA">
        <w:t xml:space="preserve"> mg</w:t>
      </w:r>
      <w:r w:rsidRPr="00AF3950">
        <w:t xml:space="preserve">/day for </w:t>
      </w:r>
      <w:r>
        <w:t xml:space="preserve">all or a number of the enrolled </w:t>
      </w:r>
      <w:r w:rsidRPr="00AF3950">
        <w:t>patients.</w:t>
      </w:r>
    </w:p>
    <w:p w14:paraId="0F238F2F" w14:textId="77777777" w:rsidR="00D44D74" w:rsidRPr="00AF3950" w:rsidRDefault="00AF3950" w:rsidP="00AF3950">
      <w:r w:rsidRPr="00AF3950">
        <w:t>Consistent with the conclusions of the Delegate and the clinical evaluator, a starting dose of</w:t>
      </w:r>
      <w:r>
        <w:t xml:space="preserve"> </w:t>
      </w:r>
      <w:r w:rsidRPr="00AF3950">
        <w:t>100</w:t>
      </w:r>
      <w:r w:rsidR="00665FCA">
        <w:t xml:space="preserve"> mg</w:t>
      </w:r>
      <w:r w:rsidRPr="00AF3950">
        <w:t>/day is considered appropriate, allowing for dose ad</w:t>
      </w:r>
      <w:r>
        <w:t xml:space="preserve">justments taking into account a </w:t>
      </w:r>
      <w:r w:rsidRPr="00AF3950">
        <w:t>patient’s clinical response or toxicity.</w:t>
      </w:r>
    </w:p>
    <w:p w14:paraId="6238BFEF" w14:textId="33515129" w:rsidR="00D44D74" w:rsidRDefault="00AF3950" w:rsidP="00AF3950">
      <w:pPr>
        <w:pStyle w:val="Heading5"/>
      </w:pPr>
      <w:r w:rsidRPr="00AF3950">
        <w:t>Respo</w:t>
      </w:r>
      <w:r w:rsidR="00180694">
        <w:t xml:space="preserve">nse to questions raised by the </w:t>
      </w:r>
      <w:r w:rsidR="00F13EFF">
        <w:t>d</w:t>
      </w:r>
      <w:r w:rsidRPr="00AF3950">
        <w:t>elegate to be addressed by the</w:t>
      </w:r>
      <w:r>
        <w:t xml:space="preserve"> </w:t>
      </w:r>
      <w:r w:rsidRPr="00AF3950">
        <w:t>sponsor</w:t>
      </w:r>
    </w:p>
    <w:p w14:paraId="36282711" w14:textId="77777777" w:rsidR="00AF3950" w:rsidRPr="0061480D" w:rsidRDefault="00180694" w:rsidP="00856DAB">
      <w:pPr>
        <w:pStyle w:val="Numberbullet0"/>
        <w:numPr>
          <w:ilvl w:val="0"/>
          <w:numId w:val="12"/>
        </w:numPr>
        <w:rPr>
          <w:i/>
        </w:rPr>
      </w:pPr>
      <w:r w:rsidRPr="0061480D">
        <w:rPr>
          <w:i/>
        </w:rPr>
        <w:t>The sponsor</w:t>
      </w:r>
      <w:r w:rsidR="00AF3950" w:rsidRPr="0061480D">
        <w:rPr>
          <w:i/>
        </w:rPr>
        <w:t xml:space="preserve"> states that this application is specific to Australia and is not planned for submission in other regulatory jurisdictions. Is there any additional information </w:t>
      </w:r>
      <w:r w:rsidR="00AF3950" w:rsidRPr="0061480D">
        <w:rPr>
          <w:i/>
        </w:rPr>
        <w:lastRenderedPageBreak/>
        <w:t>available regarding the rationale for this application in Australia? Has any other regulator provided comment on this application?</w:t>
      </w:r>
    </w:p>
    <w:p w14:paraId="3D6F7897" w14:textId="72F7E61E" w:rsidR="00AF3950" w:rsidRPr="00AF3950" w:rsidRDefault="00AF3950" w:rsidP="00AF3950">
      <w:r w:rsidRPr="00AF3950">
        <w:t xml:space="preserve">As clarified in the </w:t>
      </w:r>
      <w:r w:rsidR="0058478D">
        <w:t>c</w:t>
      </w:r>
      <w:r w:rsidR="0058478D" w:rsidRPr="00AF3950">
        <w:t>linica</w:t>
      </w:r>
      <w:r w:rsidR="0058478D">
        <w:t xml:space="preserve">l </w:t>
      </w:r>
      <w:r w:rsidR="00180694">
        <w:t xml:space="preserve">overview to this application </w:t>
      </w:r>
      <w:r>
        <w:t xml:space="preserve">a global </w:t>
      </w:r>
      <w:r w:rsidRPr="00AF3950">
        <w:t xml:space="preserve">development program for dasatinib as first-line therapy is not </w:t>
      </w:r>
      <w:r>
        <w:t xml:space="preserve">planned, as patients in various </w:t>
      </w:r>
      <w:r w:rsidRPr="00AF3950">
        <w:t>other markets already hav</w:t>
      </w:r>
      <w:r w:rsidR="00180694">
        <w:t xml:space="preserve">e access to the treatment first </w:t>
      </w:r>
      <w:r w:rsidRPr="00AF3950">
        <w:t>line</w:t>
      </w:r>
      <w:r>
        <w:t xml:space="preserve">. For example, dasatinib is </w:t>
      </w:r>
      <w:r w:rsidR="00180694">
        <w:t xml:space="preserve">recommended for use as first </w:t>
      </w:r>
      <w:r w:rsidRPr="00AF3950">
        <w:t xml:space="preserve">line treatment in the EU via the </w:t>
      </w:r>
      <w:r w:rsidR="00166605">
        <w:t>European Society for Medical Oncology</w:t>
      </w:r>
      <w:r w:rsidR="00166605" w:rsidRPr="00AF3950">
        <w:t xml:space="preserve"> </w:t>
      </w:r>
      <w:r w:rsidR="00166605">
        <w:t>(</w:t>
      </w:r>
      <w:r w:rsidRPr="00AF3950">
        <w:t>E</w:t>
      </w:r>
      <w:r>
        <w:t>SMO</w:t>
      </w:r>
      <w:r w:rsidR="00166605">
        <w:t>)</w:t>
      </w:r>
      <w:r>
        <w:t xml:space="preserve"> clinical practice guideline </w:t>
      </w:r>
      <w:r w:rsidRPr="00AF3950">
        <w:t xml:space="preserve">for ALL in adults and the US via the </w:t>
      </w:r>
      <w:r w:rsidR="00166605" w:rsidRPr="00166605">
        <w:t>National Comprehensive Cancer Network</w:t>
      </w:r>
      <w:r w:rsidR="00166605" w:rsidRPr="00AF3950">
        <w:t xml:space="preserve"> </w:t>
      </w:r>
      <w:r w:rsidR="00166605">
        <w:t>(</w:t>
      </w:r>
      <w:r w:rsidRPr="00AF3950">
        <w:t>NCCN</w:t>
      </w:r>
      <w:r w:rsidR="00166605">
        <w:t>)</w:t>
      </w:r>
      <w:r w:rsidRPr="00AF3950">
        <w:t xml:space="preserve"> guidelines and is re</w:t>
      </w:r>
      <w:r>
        <w:t xml:space="preserve">imbursed via relevant insurance </w:t>
      </w:r>
      <w:r w:rsidRPr="00AF3950">
        <w:t>schemes. As access in Australia is facilitated by TGA appro</w:t>
      </w:r>
      <w:r>
        <w:t xml:space="preserve">val a regulatory application is </w:t>
      </w:r>
      <w:r w:rsidRPr="00AF3950">
        <w:t>required, as a first step, to ensure all Australian patients also h</w:t>
      </w:r>
      <w:r>
        <w:t xml:space="preserve">ave access to the medicine as a </w:t>
      </w:r>
      <w:r w:rsidRPr="00AF3950">
        <w:t>first-line treatment. Furthermore, this ensures appropriate appr</w:t>
      </w:r>
      <w:r>
        <w:t xml:space="preserve">oved prescribing information is </w:t>
      </w:r>
      <w:r w:rsidRPr="00AF3950">
        <w:t>available to clinicians.</w:t>
      </w:r>
    </w:p>
    <w:p w14:paraId="78720248" w14:textId="77777777" w:rsidR="00AF3950" w:rsidRPr="00AF3950" w:rsidRDefault="00AF3950" w:rsidP="00AF3950">
      <w:r w:rsidRPr="00AF3950">
        <w:t>As a similar application has not been submitted elsewhere at present, no other regulatory agency</w:t>
      </w:r>
      <w:r>
        <w:t xml:space="preserve"> </w:t>
      </w:r>
      <w:r w:rsidRPr="00AF3950">
        <w:t>advice is available.</w:t>
      </w:r>
    </w:p>
    <w:p w14:paraId="48CE84A8" w14:textId="71C5899D" w:rsidR="00AF3950" w:rsidRPr="0061480D" w:rsidRDefault="00AF3950" w:rsidP="00180694">
      <w:pPr>
        <w:pStyle w:val="Numberbullet0"/>
        <w:rPr>
          <w:i/>
        </w:rPr>
      </w:pPr>
      <w:r w:rsidRPr="0061480D">
        <w:rPr>
          <w:i/>
        </w:rPr>
        <w:t>Whilst comparison to other therapies is difficult, please comment on the paper by Ravandi</w:t>
      </w:r>
      <w:r w:rsidR="0058478D">
        <w:rPr>
          <w:i/>
        </w:rPr>
        <w:t xml:space="preserve"> (</w:t>
      </w:r>
      <w:r w:rsidRPr="0061480D">
        <w:rPr>
          <w:i/>
        </w:rPr>
        <w:t>2017</w:t>
      </w:r>
      <w:r w:rsidR="0058478D">
        <w:rPr>
          <w:i/>
        </w:rPr>
        <w:t>)</w:t>
      </w:r>
      <w:r w:rsidRPr="0061480D">
        <w:rPr>
          <w:i/>
        </w:rPr>
        <w:t xml:space="preserve"> which indicates that the rate of </w:t>
      </w:r>
      <w:r w:rsidR="0058478D">
        <w:rPr>
          <w:i/>
        </w:rPr>
        <w:t>a</w:t>
      </w:r>
      <w:r w:rsidR="0058478D" w:rsidRPr="0061480D">
        <w:rPr>
          <w:i/>
        </w:rPr>
        <w:t>llo</w:t>
      </w:r>
      <w:r w:rsidRPr="0061480D">
        <w:rPr>
          <w:i/>
        </w:rPr>
        <w:t>-HCT in the studies by Foá et al</w:t>
      </w:r>
      <w:r w:rsidR="0058478D">
        <w:rPr>
          <w:i/>
        </w:rPr>
        <w:t>.,</w:t>
      </w:r>
      <w:r w:rsidRPr="0061480D">
        <w:rPr>
          <w:i/>
        </w:rPr>
        <w:t xml:space="preserve"> and Ravandi et al</w:t>
      </w:r>
      <w:r w:rsidR="0058478D">
        <w:rPr>
          <w:i/>
        </w:rPr>
        <w:t>.,</w:t>
      </w:r>
      <w:r w:rsidRPr="0061480D">
        <w:rPr>
          <w:i/>
        </w:rPr>
        <w:t xml:space="preserve"> may be lower than that for other tyrosine kinase inhibitors in frontline therapy (note</w:t>
      </w:r>
      <w:r w:rsidR="0058478D">
        <w:rPr>
          <w:i/>
        </w:rPr>
        <w:t xml:space="preserve">: </w:t>
      </w:r>
      <w:r w:rsidRPr="0061480D">
        <w:rPr>
          <w:i/>
        </w:rPr>
        <w:t>the TGA acknowledges that the study by Rousellot et al</w:t>
      </w:r>
      <w:r w:rsidR="0058478D">
        <w:rPr>
          <w:i/>
        </w:rPr>
        <w:t>.,</w:t>
      </w:r>
      <w:r w:rsidRPr="0061480D">
        <w:rPr>
          <w:i/>
        </w:rPr>
        <w:t xml:space="preserve"> is an older cohort of patients, thus likely accounting for the lower rate of </w:t>
      </w:r>
      <w:r w:rsidR="0058478D">
        <w:rPr>
          <w:i/>
        </w:rPr>
        <w:t>a</w:t>
      </w:r>
      <w:r w:rsidR="0058478D" w:rsidRPr="0061480D">
        <w:rPr>
          <w:i/>
        </w:rPr>
        <w:t>llo</w:t>
      </w:r>
      <w:r w:rsidRPr="0061480D">
        <w:rPr>
          <w:i/>
        </w:rPr>
        <w:t>-HCT).</w:t>
      </w:r>
    </w:p>
    <w:p w14:paraId="35C40EA7" w14:textId="42EAC59E" w:rsidR="00AF3950" w:rsidRPr="00AF3950" w:rsidRDefault="00AF3950" w:rsidP="00AF3950">
      <w:r w:rsidRPr="00AF3950">
        <w:t xml:space="preserve">Firstly, it is relevant to note that the Ravandi </w:t>
      </w:r>
      <w:r w:rsidR="0058478D">
        <w:t>(</w:t>
      </w:r>
      <w:r w:rsidRPr="00AF3950">
        <w:t>2017</w:t>
      </w:r>
      <w:r w:rsidR="0058478D">
        <w:t>)</w:t>
      </w:r>
      <w:r w:rsidRPr="00AF3950">
        <w:t xml:space="preserve"> publication is</w:t>
      </w:r>
      <w:r>
        <w:t xml:space="preserve"> an educational paper presented </w:t>
      </w:r>
      <w:r w:rsidRPr="00AF3950">
        <w:t>at a recent American Society of Hematology (ASH) symposium.</w:t>
      </w:r>
      <w:r>
        <w:t xml:space="preserve"> Its objective is to review the </w:t>
      </w:r>
      <w:r w:rsidRPr="00AF3950">
        <w:t xml:space="preserve">available published data on </w:t>
      </w:r>
      <w:r w:rsidR="0058478D" w:rsidRPr="00AF3950">
        <w:t>TK</w:t>
      </w:r>
      <w:r w:rsidR="0058478D">
        <w:t xml:space="preserve"> inhibitor</w:t>
      </w:r>
      <w:r w:rsidR="0058478D" w:rsidRPr="00AF3950">
        <w:t xml:space="preserve">s </w:t>
      </w:r>
      <w:r w:rsidRPr="00AF3950">
        <w:t>for educational purposes and c</w:t>
      </w:r>
      <w:r>
        <w:t xml:space="preserve">onsider the available treatment </w:t>
      </w:r>
      <w:r w:rsidRPr="00AF3950">
        <w:t xml:space="preserve">options for </w:t>
      </w:r>
      <w:r w:rsidR="0058478D" w:rsidRPr="00AF3950">
        <w:t>minimi</w:t>
      </w:r>
      <w:r w:rsidR="0058478D">
        <w:t>s</w:t>
      </w:r>
      <w:r w:rsidR="0058478D" w:rsidRPr="00AF3950">
        <w:t xml:space="preserve">ing </w:t>
      </w:r>
      <w:r w:rsidRPr="00AF3950">
        <w:t>chemotherapy and allo-HCT where possible for optimal patient outcomes.</w:t>
      </w:r>
    </w:p>
    <w:p w14:paraId="3D72EC8B" w14:textId="4A4591E0" w:rsidR="00AF3950" w:rsidRPr="00AF3950" w:rsidRDefault="00AF3950" w:rsidP="00AF3950">
      <w:r w:rsidRPr="00AF3950">
        <w:t xml:space="preserve">The role of transplantation in the current treatment algorithms and standard of care for </w:t>
      </w:r>
      <w:r w:rsidR="00761035">
        <w:t>Ph</w:t>
      </w:r>
      <w:r w:rsidR="00761035" w:rsidRPr="00E418CC">
        <w:rPr>
          <w:vertAlign w:val="superscript"/>
        </w:rPr>
        <w:t>+</w:t>
      </w:r>
      <w:r w:rsidR="00761035">
        <w:t xml:space="preserve"> ALL</w:t>
      </w:r>
      <w:r>
        <w:t xml:space="preserve"> </w:t>
      </w:r>
      <w:r w:rsidRPr="00AF3950">
        <w:t xml:space="preserve">is evolving and as stated in the Ravandi </w:t>
      </w:r>
      <w:r w:rsidR="0058478D">
        <w:t>(</w:t>
      </w:r>
      <w:r w:rsidRPr="00AF3950">
        <w:t>2017</w:t>
      </w:r>
      <w:r w:rsidR="0058478D">
        <w:t>)</w:t>
      </w:r>
      <w:r w:rsidRPr="00AF3950">
        <w:t xml:space="preserve"> publication, clinician</w:t>
      </w:r>
      <w:r>
        <w:t xml:space="preserve">s are investigating alternative </w:t>
      </w:r>
      <w:r w:rsidRPr="00AF3950">
        <w:t>treatment options, especially in patients with a deep molecular</w:t>
      </w:r>
      <w:r>
        <w:t xml:space="preserve"> response to induction therapy, </w:t>
      </w:r>
      <w:r w:rsidRPr="00AF3950">
        <w:t>those not eligible for transplantation and older adults.</w:t>
      </w:r>
    </w:p>
    <w:p w14:paraId="7CE95C18" w14:textId="7913854E" w:rsidR="00AF3950" w:rsidRPr="00AF3950" w:rsidRDefault="00AF3950" w:rsidP="00AF3950">
      <w:r w:rsidRPr="00AF3950">
        <w:t>It is not possible to draw conclusions from the tabulated summary of information on selected</w:t>
      </w:r>
      <w:r>
        <w:t xml:space="preserve"> </w:t>
      </w:r>
      <w:r w:rsidRPr="00AF3950">
        <w:t xml:space="preserve">trials in the Ravandi </w:t>
      </w:r>
      <w:r w:rsidR="0058478D">
        <w:t>(</w:t>
      </w:r>
      <w:r w:rsidRPr="00AF3950">
        <w:t>2017</w:t>
      </w:r>
      <w:r w:rsidR="0058478D">
        <w:t>)</w:t>
      </w:r>
      <w:r w:rsidRPr="00AF3950">
        <w:t xml:space="preserve"> </w:t>
      </w:r>
      <w:r w:rsidRPr="00BB4D43">
        <w:t>publication (</w:t>
      </w:r>
      <w:r w:rsidR="0058478D">
        <w:t xml:space="preserve">see </w:t>
      </w:r>
      <w:r w:rsidRPr="00BB4D43">
        <w:t xml:space="preserve">Table </w:t>
      </w:r>
      <w:r w:rsidR="00BB4D43" w:rsidRPr="00BB4D43">
        <w:t>8</w:t>
      </w:r>
      <w:r w:rsidR="0058478D">
        <w:t>, above</w:t>
      </w:r>
      <w:r w:rsidRPr="00BB4D43">
        <w:t>) by</w:t>
      </w:r>
      <w:r w:rsidRPr="00AF3950">
        <w:t xml:space="preserve"> compa</w:t>
      </w:r>
      <w:r>
        <w:t xml:space="preserve">ring the percentage of patients </w:t>
      </w:r>
      <w:r w:rsidRPr="00AF3950">
        <w:t>progressing to allo-HCT in the listed trials. To progress to allo-HCT, patie</w:t>
      </w:r>
      <w:r>
        <w:t xml:space="preserve">nts not only need to be </w:t>
      </w:r>
      <w:r w:rsidRPr="00AF3950">
        <w:t>in remission but need to have a sibling or matched donor available a</w:t>
      </w:r>
      <w:r>
        <w:t xml:space="preserve">nd to be fit for transplant. In </w:t>
      </w:r>
      <w:r w:rsidRPr="00AF3950">
        <w:t>all of the trials listed, the inclusion criteria, patient demograph</w:t>
      </w:r>
      <w:r>
        <w:t xml:space="preserve">ics, treatment regimen (dosage, </w:t>
      </w:r>
      <w:r w:rsidRPr="00AF3950">
        <w:t xml:space="preserve">consolidation </w:t>
      </w:r>
      <w:r w:rsidR="00B52C6D">
        <w:t>versus</w:t>
      </w:r>
      <w:r w:rsidRPr="00AF3950">
        <w:t>. non consolidation), pre-trial treatment, transp</w:t>
      </w:r>
      <w:r>
        <w:t xml:space="preserve">lant protocol and other factors </w:t>
      </w:r>
      <w:r w:rsidRPr="00AF3950">
        <w:t>impacting on the decision to progress to transplant (</w:t>
      </w:r>
      <w:r w:rsidR="00B44B0F">
        <w:t>for example</w:t>
      </w:r>
      <w:r w:rsidRPr="00AF3950">
        <w:t xml:space="preserve"> age, don</w:t>
      </w:r>
      <w:r>
        <w:t xml:space="preserve">or, BCR-ABL transcript) differ. </w:t>
      </w:r>
      <w:r w:rsidRPr="00AF3950">
        <w:t>An appropriate comparison would only be possible via a randomised clinical trial comparing the</w:t>
      </w:r>
      <w:r>
        <w:t xml:space="preserve"> </w:t>
      </w:r>
      <w:r w:rsidRPr="00AF3950">
        <w:t xml:space="preserve">different </w:t>
      </w:r>
      <w:r w:rsidR="0058478D" w:rsidRPr="00AF3950">
        <w:t>TK</w:t>
      </w:r>
      <w:r w:rsidR="0058478D">
        <w:t xml:space="preserve"> inhibitor</w:t>
      </w:r>
      <w:r w:rsidR="0058478D" w:rsidRPr="00AF3950">
        <w:t xml:space="preserve">s </w:t>
      </w:r>
      <w:r w:rsidRPr="00AF3950">
        <w:t>plus intensive/low-intensity or steroid backbone.</w:t>
      </w:r>
    </w:p>
    <w:p w14:paraId="1F7F0F7D" w14:textId="38E5C539" w:rsidR="00AF3950" w:rsidRPr="00AF3950" w:rsidRDefault="00AF3950" w:rsidP="00AF3950">
      <w:r w:rsidRPr="00AF3950">
        <w:t xml:space="preserve">More importantly, the best assessment of efficacy based on the </w:t>
      </w:r>
      <w:r>
        <w:t xml:space="preserve">data reported in Table </w:t>
      </w:r>
      <w:r w:rsidR="00BB4D43">
        <w:t>8</w:t>
      </w:r>
      <w:r>
        <w:t xml:space="preserve"> of the </w:t>
      </w:r>
      <w:r w:rsidRPr="00AF3950">
        <w:t xml:space="preserve">Ravandi </w:t>
      </w:r>
      <w:r w:rsidR="0058478D">
        <w:t>(</w:t>
      </w:r>
      <w:r w:rsidRPr="00AF3950">
        <w:t>2017</w:t>
      </w:r>
      <w:r w:rsidR="0058478D">
        <w:t>)</w:t>
      </w:r>
      <w:r w:rsidRPr="00AF3950">
        <w:t xml:space="preserve"> publication are the endpoints of </w:t>
      </w:r>
      <w:r w:rsidR="0058478D">
        <w:t>r</w:t>
      </w:r>
      <w:r w:rsidR="0058478D" w:rsidRPr="00AF3950">
        <w:t xml:space="preserve">elapse </w:t>
      </w:r>
      <w:r w:rsidR="0058478D">
        <w:t>f</w:t>
      </w:r>
      <w:r w:rsidR="0058478D" w:rsidRPr="00AF3950">
        <w:t xml:space="preserve">ree </w:t>
      </w:r>
      <w:r w:rsidR="00E418CC">
        <w:t>s</w:t>
      </w:r>
      <w:r w:rsidR="0058478D" w:rsidRPr="00AF3950">
        <w:t>urv</w:t>
      </w:r>
      <w:r w:rsidR="0058478D">
        <w:t xml:space="preserve">ival </w:t>
      </w:r>
      <w:r>
        <w:t xml:space="preserve">(RFS) and </w:t>
      </w:r>
      <w:r w:rsidR="0058478D">
        <w:t xml:space="preserve">overall </w:t>
      </w:r>
      <w:r w:rsidR="00E418CC">
        <w:t>s</w:t>
      </w:r>
      <w:r w:rsidR="0058478D">
        <w:t xml:space="preserve">urvival </w:t>
      </w:r>
      <w:r w:rsidRPr="00AF3950">
        <w:t>(OS) over comparable follow up periods, regardless of transplantation status. This data is not</w:t>
      </w:r>
      <w:r>
        <w:t xml:space="preserve"> </w:t>
      </w:r>
      <w:r w:rsidRPr="00AF3950">
        <w:t>intended to demonstrate a relationship between rate of progression to allo-HCT and long term</w:t>
      </w:r>
      <w:r>
        <w:t xml:space="preserve"> </w:t>
      </w:r>
      <w:r w:rsidRPr="00AF3950">
        <w:t>RFS or OS for either imatinib or dasatinib nor does it appear to show</w:t>
      </w:r>
      <w:r>
        <w:t xml:space="preserve"> one. At face value and </w:t>
      </w:r>
      <w:r w:rsidRPr="00AF3950">
        <w:t xml:space="preserve">taking into consideration the limitations of such a comparison </w:t>
      </w:r>
      <w:r>
        <w:t xml:space="preserve">as discussed above, the rate of </w:t>
      </w:r>
      <w:r w:rsidRPr="00AF3950">
        <w:t>allo-HCT in the Foa et al</w:t>
      </w:r>
      <w:r w:rsidR="0058478D">
        <w:t>.,</w:t>
      </w:r>
      <w:r w:rsidRPr="00AF3950">
        <w:t xml:space="preserve"> and Ravandi et al</w:t>
      </w:r>
      <w:r w:rsidR="0058478D">
        <w:t>.,</w:t>
      </w:r>
      <w:r w:rsidRPr="00AF3950">
        <w:t xml:space="preserve"> studies do not appear t</w:t>
      </w:r>
      <w:r>
        <w:t xml:space="preserve">o translate to detrimental long </w:t>
      </w:r>
      <w:r w:rsidRPr="00AF3950">
        <w:t>term RFS or OS outcomes.</w:t>
      </w:r>
    </w:p>
    <w:p w14:paraId="6881F12B" w14:textId="0EBA97ED" w:rsidR="00AF3950" w:rsidRPr="00AF3950" w:rsidRDefault="00AF3950" w:rsidP="00AF3950">
      <w:r w:rsidRPr="00AF3950">
        <w:lastRenderedPageBreak/>
        <w:t>New information available via a recent paper by Yu et al.</w:t>
      </w:r>
      <w:r w:rsidR="0058478D">
        <w:t>,</w:t>
      </w:r>
      <w:r w:rsidRPr="00AF3950">
        <w:t xml:space="preserve"> </w:t>
      </w:r>
      <w:r w:rsidR="0058478D">
        <w:t>(</w:t>
      </w:r>
      <w:r w:rsidRPr="00AF3950">
        <w:t>2017</w:t>
      </w:r>
      <w:bookmarkStart w:id="124" w:name="_Ref531185100"/>
      <w:r w:rsidR="0058478D">
        <w:t>);</w:t>
      </w:r>
      <w:r w:rsidR="00180694">
        <w:rPr>
          <w:rStyle w:val="FootnoteReference"/>
        </w:rPr>
        <w:footnoteReference w:id="37"/>
      </w:r>
      <w:bookmarkEnd w:id="124"/>
      <w:r w:rsidRPr="00AF3950">
        <w:t xml:space="preserve"> </w:t>
      </w:r>
      <w:r>
        <w:t xml:space="preserve">provides further insight on the </w:t>
      </w:r>
      <w:r w:rsidRPr="00AF3950">
        <w:t>question raised by the Delegate</w:t>
      </w:r>
      <w:r>
        <w:t xml:space="preserve">. The publication </w:t>
      </w:r>
      <w:r w:rsidRPr="00AF3950">
        <w:t xml:space="preserve">reports on a single </w:t>
      </w:r>
      <w:r w:rsidR="00180694" w:rsidRPr="00AF3950">
        <w:t>centre</w:t>
      </w:r>
      <w:r w:rsidRPr="00AF3950">
        <w:t xml:space="preserve"> study comparing the efficacy of</w:t>
      </w:r>
      <w:r>
        <w:t xml:space="preserve"> </w:t>
      </w:r>
      <w:r w:rsidR="00180694">
        <w:t>first</w:t>
      </w:r>
      <w:r>
        <w:t xml:space="preserve"> and </w:t>
      </w:r>
      <w:r w:rsidR="00180694">
        <w:t xml:space="preserve">second </w:t>
      </w:r>
      <w:r>
        <w:t xml:space="preserve">generation </w:t>
      </w:r>
      <w:r w:rsidR="0058478D">
        <w:t xml:space="preserve">TK inhibitors </w:t>
      </w:r>
      <w:r>
        <w:t xml:space="preserve">in </w:t>
      </w:r>
      <w:r w:rsidRPr="00AF3950">
        <w:t>combination</w:t>
      </w:r>
      <w:r w:rsidR="00180694">
        <w:t xml:space="preserve"> with chemotherapy in the first </w:t>
      </w:r>
      <w:r w:rsidRPr="00AF3950">
        <w:t>line treatmen</w:t>
      </w:r>
      <w:r>
        <w:t xml:space="preserve">t of </w:t>
      </w:r>
      <w:r w:rsidR="00761035">
        <w:t>Ph</w:t>
      </w:r>
      <w:r w:rsidR="00761035" w:rsidRPr="00E418CC">
        <w:rPr>
          <w:vertAlign w:val="superscript"/>
        </w:rPr>
        <w:t>+</w:t>
      </w:r>
      <w:r w:rsidR="00761035">
        <w:t xml:space="preserve"> ALL</w:t>
      </w:r>
      <w:r>
        <w:t xml:space="preserve">. Seventy-seven (77) </w:t>
      </w:r>
      <w:r w:rsidRPr="00AF3950">
        <w:t xml:space="preserve">patients </w:t>
      </w:r>
      <w:r w:rsidR="00180694">
        <w:t xml:space="preserve">were enrolled and treated first </w:t>
      </w:r>
      <w:r w:rsidRPr="00AF3950">
        <w:t xml:space="preserve">line with </w:t>
      </w:r>
      <w:r w:rsidR="0058478D" w:rsidRPr="00AF3950">
        <w:t>TK</w:t>
      </w:r>
      <w:r w:rsidR="0058478D">
        <w:t xml:space="preserve"> inhibitor</w:t>
      </w:r>
      <w:r w:rsidR="0058478D" w:rsidRPr="00AF3950">
        <w:t>s</w:t>
      </w:r>
      <w:r w:rsidRPr="00AF3950">
        <w:t>. Patie</w:t>
      </w:r>
      <w:r>
        <w:t xml:space="preserve">nts were grouped based on first </w:t>
      </w:r>
      <w:r w:rsidRPr="00AF3950">
        <w:t xml:space="preserve">(imatinib) </w:t>
      </w:r>
      <w:r w:rsidR="00B52C6D">
        <w:t>versus</w:t>
      </w:r>
      <w:r w:rsidRPr="00AF3950">
        <w:t xml:space="preserve"> second generation (dasatinib, nilotinib) </w:t>
      </w:r>
      <w:r w:rsidR="0058478D" w:rsidRPr="00AF3950">
        <w:t>TK</w:t>
      </w:r>
      <w:r w:rsidR="0058478D">
        <w:t xml:space="preserve"> inhibitor</w:t>
      </w:r>
      <w:r w:rsidR="00E418CC">
        <w:t xml:space="preserve"> </w:t>
      </w:r>
      <w:r w:rsidRPr="00AF3950">
        <w:t>treatment:</w:t>
      </w:r>
      <w:r>
        <w:t xml:space="preserve"> 45 on imatinib (43 at the dose </w:t>
      </w:r>
      <w:r w:rsidRPr="00AF3950">
        <w:t>of 400</w:t>
      </w:r>
      <w:r w:rsidR="00665FCA">
        <w:t xml:space="preserve"> mg</w:t>
      </w:r>
      <w:r w:rsidRPr="00AF3950">
        <w:t xml:space="preserve"> daily), 30 on dasatinib (20/30 at the dose of 100</w:t>
      </w:r>
      <w:r w:rsidR="00665FCA">
        <w:t xml:space="preserve"> mg</w:t>
      </w:r>
      <w:r w:rsidRPr="00AF3950">
        <w:t xml:space="preserve"> daily) and 2 on nilotinib. Fifty</w:t>
      </w:r>
      <w:r w:rsidR="00180694">
        <w:t>-</w:t>
      </w:r>
      <w:r>
        <w:t xml:space="preserve">three </w:t>
      </w:r>
      <w:r w:rsidRPr="00AF3950">
        <w:t>of 77 patients received allo-HCT.</w:t>
      </w:r>
    </w:p>
    <w:p w14:paraId="5C0DF8C1" w14:textId="71C6CBEA" w:rsidR="00AF3950" w:rsidRDefault="00AF3950" w:rsidP="00AF3950">
      <w:r w:rsidRPr="00AF3950">
        <w:t xml:space="preserve">Compared to patients receiving the </w:t>
      </w:r>
      <w:r w:rsidR="00180694">
        <w:t>first</w:t>
      </w:r>
      <w:r w:rsidRPr="00AF3950">
        <w:t xml:space="preserve"> generation TK</w:t>
      </w:r>
      <w:r w:rsidR="0013267C">
        <w:t xml:space="preserve"> inhibitor</w:t>
      </w:r>
      <w:r w:rsidRPr="00AF3950">
        <w:t xml:space="preserve"> (imati</w:t>
      </w:r>
      <w:r>
        <w:t xml:space="preserve">nib), the authors noted a trend </w:t>
      </w:r>
      <w:r w:rsidRPr="00AF3950">
        <w:t xml:space="preserve">toward better </w:t>
      </w:r>
      <w:r w:rsidR="0058478D">
        <w:t>d</w:t>
      </w:r>
      <w:r w:rsidR="0058478D" w:rsidRPr="00AF3950">
        <w:t xml:space="preserve">isease </w:t>
      </w:r>
      <w:r w:rsidR="0058478D">
        <w:t>f</w:t>
      </w:r>
      <w:r w:rsidR="0058478D" w:rsidRPr="00AF3950">
        <w:t xml:space="preserve">ree </w:t>
      </w:r>
      <w:r w:rsidR="0058478D">
        <w:t>s</w:t>
      </w:r>
      <w:r w:rsidR="0058478D" w:rsidRPr="00AF3950">
        <w:t xml:space="preserve">urvival </w:t>
      </w:r>
      <w:r w:rsidRPr="00AF3950">
        <w:t xml:space="preserve">(DFS) in patients being treated with the </w:t>
      </w:r>
      <w:r w:rsidR="00180694">
        <w:t>second</w:t>
      </w:r>
      <w:r w:rsidRPr="00AF3950">
        <w:t xml:space="preserve"> </w:t>
      </w:r>
      <w:r>
        <w:t>generation TK</w:t>
      </w:r>
      <w:r w:rsidR="0013267C">
        <w:t xml:space="preserve"> inhibitor</w:t>
      </w:r>
      <w:r>
        <w:t xml:space="preserve">s </w:t>
      </w:r>
      <w:r w:rsidRPr="00AF3950">
        <w:t>(</w:t>
      </w:r>
      <w:r w:rsidR="00180694">
        <w:t xml:space="preserve">p </w:t>
      </w:r>
      <w:r w:rsidRPr="00AF3950">
        <w:t>= 0.088), although this difference was not statistically sig</w:t>
      </w:r>
      <w:r>
        <w:t xml:space="preserve">nificant. The OS was comparable </w:t>
      </w:r>
      <w:r w:rsidRPr="00AF3950">
        <w:t>between the two groups (</w:t>
      </w:r>
      <w:r w:rsidR="00180694">
        <w:t xml:space="preserve">p </w:t>
      </w:r>
      <w:r w:rsidRPr="00AF3950">
        <w:t>=</w:t>
      </w:r>
      <w:r w:rsidR="00180694">
        <w:t xml:space="preserve"> </w:t>
      </w:r>
      <w:r w:rsidRPr="00AF3950">
        <w:t>0.210). The univariate and multivar</w:t>
      </w:r>
      <w:r>
        <w:t xml:space="preserve">iate analysis further suggested </w:t>
      </w:r>
      <w:r w:rsidRPr="00AF3950">
        <w:t xml:space="preserve">that upfront treatment with the </w:t>
      </w:r>
      <w:r w:rsidR="00180694">
        <w:t>second</w:t>
      </w:r>
      <w:r w:rsidRPr="00AF3950">
        <w:t xml:space="preserve"> generation TK</w:t>
      </w:r>
      <w:r w:rsidR="0013267C">
        <w:t xml:space="preserve"> </w:t>
      </w:r>
      <w:r w:rsidR="00E418CC">
        <w:t>inhibitors</w:t>
      </w:r>
      <w:r w:rsidRPr="00AF3950">
        <w:t xml:space="preserve"> could improve long term survival (</w:t>
      </w:r>
      <w:r w:rsidR="0013267C">
        <w:t xml:space="preserve">see </w:t>
      </w:r>
      <w:r w:rsidR="00BB4D43">
        <w:t xml:space="preserve">Table 11; </w:t>
      </w:r>
      <w:r w:rsidR="0013267C">
        <w:t xml:space="preserve">reproduced from </w:t>
      </w:r>
      <w:r w:rsidRPr="00AF3950">
        <w:t>Table 4 of</w:t>
      </w:r>
      <w:r>
        <w:t xml:space="preserve"> </w:t>
      </w:r>
      <w:r w:rsidR="0013267C">
        <w:t xml:space="preserve">the </w:t>
      </w:r>
      <w:r w:rsidRPr="00AF3950">
        <w:t>publication).</w:t>
      </w:r>
    </w:p>
    <w:p w14:paraId="1F0CE0CD" w14:textId="1BB9FBD6" w:rsidR="00856DAB" w:rsidRPr="00856DAB" w:rsidRDefault="00856DAB" w:rsidP="00856DAB">
      <w:pPr>
        <w:pStyle w:val="TableTitle"/>
      </w:pPr>
      <w:r>
        <w:t xml:space="preserve">Table </w:t>
      </w:r>
      <w:r w:rsidR="00BB4D43">
        <w:t>11:</w:t>
      </w:r>
      <w:r>
        <w:t xml:space="preserve"> The risk factors for DFS and OS in </w:t>
      </w:r>
      <w:r w:rsidR="0013267C">
        <w:t xml:space="preserve">Ph+ </w:t>
      </w:r>
      <w:r>
        <w:t>ALL</w:t>
      </w:r>
      <w:r w:rsidR="0013267C">
        <w:t>; r</w:t>
      </w:r>
      <w:r>
        <w:t>eproduced from Yu G et al</w:t>
      </w:r>
      <w:r w:rsidR="0013267C">
        <w:t>.,</w:t>
      </w:r>
      <w:r>
        <w:t xml:space="preserve"> </w:t>
      </w:r>
      <w:r w:rsidR="0013267C">
        <w:t>(</w:t>
      </w:r>
      <w:r>
        <w:t>2017</w:t>
      </w:r>
      <w:r w:rsidR="0013267C">
        <w:t>)</w:t>
      </w:r>
      <w:r w:rsidRPr="00856DAB">
        <w:rPr>
          <w:vertAlign w:val="superscript"/>
        </w:rPr>
        <w:fldChar w:fldCharType="begin"/>
      </w:r>
      <w:r w:rsidRPr="00856DAB">
        <w:rPr>
          <w:vertAlign w:val="superscript"/>
        </w:rPr>
        <w:instrText xml:space="preserve"> NOTEREF _Ref531185100 \h </w:instrText>
      </w:r>
      <w:r>
        <w:rPr>
          <w:vertAlign w:val="superscript"/>
        </w:rPr>
        <w:instrText xml:space="preserve"> \* MERGEFORMAT </w:instrText>
      </w:r>
      <w:r w:rsidRPr="00856DAB">
        <w:rPr>
          <w:vertAlign w:val="superscript"/>
        </w:rPr>
      </w:r>
      <w:r w:rsidRPr="00856DAB">
        <w:rPr>
          <w:vertAlign w:val="superscript"/>
        </w:rPr>
        <w:fldChar w:fldCharType="separate"/>
      </w:r>
      <w:r w:rsidRPr="00856DAB">
        <w:rPr>
          <w:vertAlign w:val="superscript"/>
        </w:rPr>
        <w:t>35</w:t>
      </w:r>
      <w:r w:rsidRPr="00856DAB">
        <w:rPr>
          <w:vertAlign w:val="superscript"/>
        </w:rPr>
        <w:fldChar w:fldCharType="end"/>
      </w:r>
    </w:p>
    <w:p w14:paraId="4C18E666" w14:textId="77777777" w:rsidR="00856DAB" w:rsidRPr="00856DAB" w:rsidRDefault="00856DAB" w:rsidP="00856DAB">
      <w:r>
        <w:rPr>
          <w:noProof/>
          <w:lang w:eastAsia="en-AU"/>
        </w:rPr>
        <w:drawing>
          <wp:inline distT="0" distB="0" distL="0" distR="0" wp14:anchorId="38F89CB0" wp14:editId="349FD571">
            <wp:extent cx="5400040" cy="2826367"/>
            <wp:effectExtent l="0" t="0" r="0" b="0"/>
            <wp:docPr id="13" name="Picture 13" descr="Table 11: The risk factors for DFS and OS in ph-ALL (Reproduced from Yu G et al 2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826367"/>
                    </a:xfrm>
                    <a:prstGeom prst="rect">
                      <a:avLst/>
                    </a:prstGeom>
                  </pic:spPr>
                </pic:pic>
              </a:graphicData>
            </a:graphic>
          </wp:inline>
        </w:drawing>
      </w:r>
    </w:p>
    <w:p w14:paraId="724BAD4B" w14:textId="381E151F" w:rsidR="00AF3950" w:rsidRPr="00AF3950" w:rsidRDefault="00AF3950" w:rsidP="00AF3950">
      <w:r w:rsidRPr="00AF3950">
        <w:t>Pertinent to the question raised by the Delegate, for patient</w:t>
      </w:r>
      <w:r>
        <w:t xml:space="preserve">s who underwent allo-HCT, there </w:t>
      </w:r>
      <w:r w:rsidRPr="00AF3950">
        <w:t>were better outcomes in both DFS (</w:t>
      </w:r>
      <w:r w:rsidR="00856DAB">
        <w:t xml:space="preserve">p </w:t>
      </w:r>
      <w:r w:rsidRPr="00AF3950">
        <w:t>=</w:t>
      </w:r>
      <w:r w:rsidR="00856DAB">
        <w:t xml:space="preserve"> </w:t>
      </w:r>
      <w:r w:rsidRPr="00AF3950">
        <w:t>0.050) and OS (</w:t>
      </w:r>
      <w:r w:rsidR="00856DAB">
        <w:t xml:space="preserve">p </w:t>
      </w:r>
      <w:r w:rsidRPr="00AF3950">
        <w:t>=</w:t>
      </w:r>
      <w:r w:rsidR="00856DAB">
        <w:t xml:space="preserve"> </w:t>
      </w:r>
      <w:r w:rsidRPr="00AF3950">
        <w:t>0.048) for p</w:t>
      </w:r>
      <w:r>
        <w:t xml:space="preserve">atients treated first-line with </w:t>
      </w:r>
      <w:r w:rsidRPr="00AF3950">
        <w:t xml:space="preserve">the </w:t>
      </w:r>
      <w:r w:rsidR="00856DAB">
        <w:t>second</w:t>
      </w:r>
      <w:r w:rsidRPr="00AF3950">
        <w:t xml:space="preserve"> generation </w:t>
      </w:r>
      <w:r w:rsidR="0013267C" w:rsidRPr="00AF3950">
        <w:t>TK</w:t>
      </w:r>
      <w:r w:rsidR="0013267C">
        <w:t xml:space="preserve"> inhibitor</w:t>
      </w:r>
      <w:r w:rsidR="0013267C" w:rsidRPr="00AF3950">
        <w:t xml:space="preserve">s </w:t>
      </w:r>
      <w:r w:rsidRPr="00AF3950">
        <w:t xml:space="preserve">compared to those on the </w:t>
      </w:r>
      <w:r w:rsidR="00856DAB">
        <w:t>first</w:t>
      </w:r>
      <w:r w:rsidRPr="00AF3950">
        <w:t xml:space="preserve"> generat</w:t>
      </w:r>
      <w:r>
        <w:t xml:space="preserve">ion </w:t>
      </w:r>
      <w:r w:rsidR="0013267C">
        <w:t>TK inhibitors</w:t>
      </w:r>
      <w:r>
        <w:t xml:space="preserve">. The authors conclude, </w:t>
      </w:r>
      <w:r w:rsidRPr="00AF3950">
        <w:t xml:space="preserve">that first-line treatment of newly diagnosed </w:t>
      </w:r>
      <w:r w:rsidR="00761035">
        <w:t>Ph</w:t>
      </w:r>
      <w:r w:rsidR="00761035" w:rsidRPr="00E418CC">
        <w:rPr>
          <w:vertAlign w:val="superscript"/>
        </w:rPr>
        <w:t>+</w:t>
      </w:r>
      <w:r w:rsidR="00761035">
        <w:t xml:space="preserve"> ALL</w:t>
      </w:r>
      <w:r w:rsidRPr="00AF3950">
        <w:t xml:space="preserve"> patients with the </w:t>
      </w:r>
      <w:r w:rsidR="00856DAB">
        <w:t>second</w:t>
      </w:r>
      <w:r w:rsidRPr="00AF3950">
        <w:t xml:space="preserve"> </w:t>
      </w:r>
      <w:r>
        <w:t>generation TK</w:t>
      </w:r>
      <w:r w:rsidR="0013267C">
        <w:t xml:space="preserve"> inhibitor</w:t>
      </w:r>
      <w:r>
        <w:t xml:space="preserve">s, </w:t>
      </w:r>
      <w:r w:rsidRPr="00AF3950">
        <w:t>especially dasatinib, is as effective and safe as imatinib and that</w:t>
      </w:r>
      <w:r w:rsidR="00856DAB">
        <w:t xml:space="preserve"> first </w:t>
      </w:r>
      <w:r>
        <w:t xml:space="preserve">line treatment of </w:t>
      </w:r>
      <w:r w:rsidR="00761035">
        <w:t>Ph</w:t>
      </w:r>
      <w:r w:rsidR="00761035" w:rsidRPr="00E418CC">
        <w:rPr>
          <w:vertAlign w:val="superscript"/>
        </w:rPr>
        <w:t>+</w:t>
      </w:r>
      <w:r w:rsidR="00761035">
        <w:t xml:space="preserve"> ALL</w:t>
      </w:r>
      <w:r>
        <w:t xml:space="preserve"> </w:t>
      </w:r>
      <w:r w:rsidRPr="00AF3950">
        <w:t xml:space="preserve">patients with </w:t>
      </w:r>
      <w:r w:rsidR="00856DAB">
        <w:t>second</w:t>
      </w:r>
      <w:r w:rsidRPr="00AF3950">
        <w:t xml:space="preserve"> generation </w:t>
      </w:r>
      <w:r w:rsidR="0013267C" w:rsidRPr="00AF3950">
        <w:t>TK</w:t>
      </w:r>
      <w:r w:rsidR="0013267C">
        <w:t xml:space="preserve"> inhibitor</w:t>
      </w:r>
      <w:r w:rsidR="0013267C" w:rsidRPr="00AF3950">
        <w:t xml:space="preserve">s </w:t>
      </w:r>
      <w:r w:rsidRPr="00AF3950">
        <w:t>might benefit patients with be</w:t>
      </w:r>
      <w:r>
        <w:t xml:space="preserve">tter survival when allo-HCT was </w:t>
      </w:r>
      <w:r w:rsidRPr="00AF3950">
        <w:t>incorporated as consolidation therapy following first complete remission.</w:t>
      </w:r>
    </w:p>
    <w:p w14:paraId="7D11EFC4" w14:textId="77777777" w:rsidR="0013267C" w:rsidRDefault="00AF3950" w:rsidP="00AF3950">
      <w:r w:rsidRPr="00AF3950">
        <w:t>In conclusion, the decision to progress patients to allo-HCT following first complete remission</w:t>
      </w:r>
      <w:r>
        <w:t xml:space="preserve"> </w:t>
      </w:r>
      <w:r w:rsidRPr="00AF3950">
        <w:t>during induction, is a complex decision based on multiple factors a</w:t>
      </w:r>
      <w:r>
        <w:t xml:space="preserve">nd best explained in the expert </w:t>
      </w:r>
      <w:r w:rsidRPr="00AF3950">
        <w:t>statement provided by</w:t>
      </w:r>
      <w:r w:rsidR="00856DAB">
        <w:t xml:space="preserve"> [Information redacted]</w:t>
      </w:r>
      <w:r w:rsidRPr="00AF3950">
        <w:t xml:space="preserve">. Dr </w:t>
      </w:r>
      <w:r w:rsidR="00856DAB">
        <w:t>[information redacted]</w:t>
      </w:r>
      <w:r w:rsidRPr="00AF3950">
        <w:t xml:space="preserve"> states</w:t>
      </w:r>
      <w:r w:rsidR="0013267C">
        <w:t>:</w:t>
      </w:r>
    </w:p>
    <w:p w14:paraId="5C441912" w14:textId="7942F23E" w:rsidR="00AF3950" w:rsidRPr="00E418CC" w:rsidRDefault="0013267C" w:rsidP="00E418CC">
      <w:pPr>
        <w:ind w:left="720"/>
        <w:rPr>
          <w:i/>
        </w:rPr>
      </w:pPr>
      <w:r w:rsidRPr="00E418CC">
        <w:rPr>
          <w:i/>
        </w:rPr>
        <w:t>‘</w:t>
      </w:r>
      <w:r w:rsidR="00AF3950" w:rsidRPr="00E418CC">
        <w:rPr>
          <w:i/>
        </w:rPr>
        <w:t xml:space="preserve">The decision with respect to allogeneic stem cell transplantation in </w:t>
      </w:r>
      <w:r w:rsidR="00801CD3" w:rsidRPr="00E418CC">
        <w:rPr>
          <w:i/>
        </w:rPr>
        <w:t>Ph</w:t>
      </w:r>
      <w:r w:rsidR="00801CD3" w:rsidRPr="00E418CC">
        <w:rPr>
          <w:i/>
          <w:vertAlign w:val="superscript"/>
        </w:rPr>
        <w:t>+</w:t>
      </w:r>
      <w:r w:rsidR="00801CD3" w:rsidRPr="00E418CC">
        <w:rPr>
          <w:i/>
        </w:rPr>
        <w:t> </w:t>
      </w:r>
      <w:r w:rsidR="00761035" w:rsidRPr="00E418CC">
        <w:rPr>
          <w:i/>
        </w:rPr>
        <w:t>ALL</w:t>
      </w:r>
      <w:r w:rsidR="00AF3950" w:rsidRPr="00E418CC">
        <w:rPr>
          <w:i/>
        </w:rPr>
        <w:t xml:space="preserve"> remains a complicated one, and should not be driven solely by the TK</w:t>
      </w:r>
      <w:r w:rsidRPr="00E418CC">
        <w:rPr>
          <w:i/>
        </w:rPr>
        <w:t xml:space="preserve"> inhibitor</w:t>
      </w:r>
      <w:r w:rsidR="00AF3950" w:rsidRPr="00E418CC">
        <w:rPr>
          <w:i/>
        </w:rPr>
        <w:t xml:space="preserve"> received. </w:t>
      </w:r>
      <w:r w:rsidR="00AF3950" w:rsidRPr="00E418CC">
        <w:rPr>
          <w:i/>
        </w:rPr>
        <w:lastRenderedPageBreak/>
        <w:t>Factors such as age, patient fitness, donor availability, remission status (</w:t>
      </w:r>
      <w:r w:rsidR="00856DAB" w:rsidRPr="00E418CC">
        <w:rPr>
          <w:i/>
        </w:rPr>
        <w:t>first</w:t>
      </w:r>
      <w:r w:rsidR="00AF3950" w:rsidRPr="00E418CC">
        <w:rPr>
          <w:i/>
        </w:rPr>
        <w:t xml:space="preserve"> </w:t>
      </w:r>
      <w:r w:rsidR="00B52C6D" w:rsidRPr="00E418CC">
        <w:rPr>
          <w:i/>
        </w:rPr>
        <w:t>versus</w:t>
      </w:r>
      <w:r w:rsidR="00AF3950" w:rsidRPr="00E418CC">
        <w:rPr>
          <w:i/>
        </w:rPr>
        <w:t xml:space="preserve"> </w:t>
      </w:r>
      <w:r w:rsidR="00856DAB" w:rsidRPr="00E418CC">
        <w:rPr>
          <w:i/>
        </w:rPr>
        <w:t>second</w:t>
      </w:r>
      <w:r w:rsidR="00AF3950" w:rsidRPr="00E418CC">
        <w:rPr>
          <w:i/>
        </w:rPr>
        <w:t xml:space="preserve"> or subsequent) along with molecular response all drive the decision making for allogeneic stem cell transplant.</w:t>
      </w:r>
    </w:p>
    <w:p w14:paraId="3B82A713" w14:textId="77777777" w:rsidR="00AF3950" w:rsidRPr="00E418CC" w:rsidRDefault="00AF3950" w:rsidP="00E418CC">
      <w:pPr>
        <w:ind w:left="720"/>
        <w:rPr>
          <w:i/>
        </w:rPr>
      </w:pPr>
      <w:r w:rsidRPr="00E418CC">
        <w:rPr>
          <w:i/>
        </w:rPr>
        <w:t>As patients with a deep molecular response may do well in the</w:t>
      </w:r>
      <w:r w:rsidR="008254B6" w:rsidRPr="00E418CC">
        <w:rPr>
          <w:i/>
        </w:rPr>
        <w:t xml:space="preserve"> absence of transplantation, as </w:t>
      </w:r>
      <w:r w:rsidRPr="00E418CC">
        <w:rPr>
          <w:i/>
        </w:rPr>
        <w:t>the risks of allogeneic stem cell transplantation increase with a</w:t>
      </w:r>
      <w:r w:rsidR="008254B6" w:rsidRPr="00E418CC">
        <w:rPr>
          <w:i/>
        </w:rPr>
        <w:t xml:space="preserve">ge, it may be reasonable to </w:t>
      </w:r>
      <w:r w:rsidRPr="00E418CC">
        <w:rPr>
          <w:i/>
        </w:rPr>
        <w:t>withhold transplantation, in those who attain a deep molecular re</w:t>
      </w:r>
      <w:r w:rsidR="008254B6" w:rsidRPr="00E418CC">
        <w:rPr>
          <w:i/>
        </w:rPr>
        <w:t xml:space="preserve">sponse, in first remission, and </w:t>
      </w:r>
      <w:r w:rsidRPr="00E418CC">
        <w:rPr>
          <w:i/>
        </w:rPr>
        <w:t>to consider it either at molecular relapse or in second remission.</w:t>
      </w:r>
    </w:p>
    <w:p w14:paraId="1E504E15" w14:textId="718E9448" w:rsidR="008254B6" w:rsidRPr="00E418CC" w:rsidRDefault="00AF3950" w:rsidP="00E418CC">
      <w:pPr>
        <w:ind w:left="720"/>
        <w:rPr>
          <w:i/>
        </w:rPr>
      </w:pPr>
      <w:r w:rsidRPr="00E418CC">
        <w:rPr>
          <w:i/>
        </w:rPr>
        <w:t xml:space="preserve">This is irrespective of the </w:t>
      </w:r>
      <w:r w:rsidR="0013267C" w:rsidRPr="00E418CC">
        <w:rPr>
          <w:i/>
        </w:rPr>
        <w:t>TK</w:t>
      </w:r>
      <w:r w:rsidR="0013267C" w:rsidRPr="0013267C">
        <w:rPr>
          <w:i/>
        </w:rPr>
        <w:t xml:space="preserve"> </w:t>
      </w:r>
      <w:r w:rsidR="0013267C" w:rsidRPr="00E418CC">
        <w:rPr>
          <w:i/>
        </w:rPr>
        <w:t xml:space="preserve">inhibitor </w:t>
      </w:r>
      <w:r w:rsidRPr="00E418CC">
        <w:rPr>
          <w:i/>
        </w:rPr>
        <w:t>received, though what limited (a</w:t>
      </w:r>
      <w:r w:rsidR="008254B6" w:rsidRPr="00E418CC">
        <w:rPr>
          <w:i/>
        </w:rPr>
        <w:t xml:space="preserve">nd retrospective) data there is </w:t>
      </w:r>
      <w:r w:rsidRPr="00E418CC">
        <w:rPr>
          <w:i/>
        </w:rPr>
        <w:t xml:space="preserve">suggests that early molecular responses may be superior to </w:t>
      </w:r>
      <w:r w:rsidR="008254B6" w:rsidRPr="00E418CC">
        <w:rPr>
          <w:i/>
        </w:rPr>
        <w:t xml:space="preserve">imatinib with second generation </w:t>
      </w:r>
      <w:r w:rsidRPr="00E418CC">
        <w:rPr>
          <w:i/>
        </w:rPr>
        <w:t>tyrosine kinase inhibitor thus allowing more patients to potentially pursue this strategy.</w:t>
      </w:r>
      <w:r w:rsidR="0013267C" w:rsidRPr="00E418CC">
        <w:rPr>
          <w:i/>
        </w:rPr>
        <w:t>’</w:t>
      </w:r>
    </w:p>
    <w:p w14:paraId="09D04EBA" w14:textId="77777777" w:rsidR="008E7846" w:rsidRDefault="008E7846" w:rsidP="008E7846">
      <w:pPr>
        <w:pStyle w:val="Heading4"/>
      </w:pPr>
      <w:r>
        <w:t>Advisory Committee Considerations</w:t>
      </w:r>
      <w:r w:rsidR="00456765">
        <w:rPr>
          <w:rStyle w:val="FootnoteReference"/>
        </w:rPr>
        <w:footnoteReference w:id="38"/>
      </w:r>
    </w:p>
    <w:p w14:paraId="1768F9E8" w14:textId="77777777" w:rsidR="00AC26B1" w:rsidRPr="00AC26B1" w:rsidRDefault="00456765" w:rsidP="00AC26B1">
      <w:pPr>
        <w:rPr>
          <w:bCs/>
        </w:rPr>
      </w:pPr>
      <w:r w:rsidRPr="00456765">
        <w:rPr>
          <w:bCs/>
        </w:rPr>
        <w:t>The Advisory Committee on Medicines (ACM), having considered the evaluations and the Delegate’s overview, as well as the sponsor’s response to these documents, advised the following:</w:t>
      </w:r>
    </w:p>
    <w:p w14:paraId="314805EF" w14:textId="77777777" w:rsidR="00AC26B1" w:rsidRPr="00AC26B1" w:rsidRDefault="00AC26B1" w:rsidP="00AC26B1">
      <w:r w:rsidRPr="00AC26B1">
        <w:t xml:space="preserve">The ACM taking into account the submitted evidence of efficacy, safety and quality, the ACM considered the </w:t>
      </w:r>
      <w:r w:rsidR="0079571B">
        <w:t>Sprycel</w:t>
      </w:r>
      <w:r w:rsidRPr="00AC26B1">
        <w:t xml:space="preserve"> tablet containing 20</w:t>
      </w:r>
      <w:r w:rsidR="00665FCA">
        <w:t xml:space="preserve"> mg</w:t>
      </w:r>
      <w:r w:rsidRPr="00AC26B1">
        <w:t>, 50</w:t>
      </w:r>
      <w:r w:rsidR="00665FCA">
        <w:t xml:space="preserve"> mg</w:t>
      </w:r>
      <w:r w:rsidRPr="00AC26B1">
        <w:t>, 70</w:t>
      </w:r>
      <w:r w:rsidR="00665FCA">
        <w:t xml:space="preserve"> mg</w:t>
      </w:r>
      <w:r w:rsidRPr="00AC26B1">
        <w:t xml:space="preserve"> and 100</w:t>
      </w:r>
      <w:r w:rsidR="00665FCA">
        <w:t xml:space="preserve"> mg</w:t>
      </w:r>
      <w:r w:rsidRPr="00AC26B1">
        <w:t xml:space="preserve"> of Dasatinib to have an overall positive benefit-risk profile for the newly proposed indication:</w:t>
      </w:r>
    </w:p>
    <w:p w14:paraId="331874B2" w14:textId="77777777" w:rsidR="00AC26B1" w:rsidRPr="00856DAB" w:rsidRDefault="0079571B" w:rsidP="00856DAB">
      <w:pPr>
        <w:ind w:left="720"/>
        <w:rPr>
          <w:i/>
        </w:rPr>
      </w:pPr>
      <w:r w:rsidRPr="00856DAB">
        <w:rPr>
          <w:i/>
        </w:rPr>
        <w:t>Sprycel</w:t>
      </w:r>
      <w:r w:rsidR="00AC26B1" w:rsidRPr="00856DAB">
        <w:rPr>
          <w:i/>
        </w:rPr>
        <w:t xml:space="preserve"> (dasatinib) is indicated for the treatment of adults aged 18 years or over with newly diagnosed Philadelphia chromosome positive acute lymphoblastic leukaemia integrated with chemotherapy </w:t>
      </w:r>
    </w:p>
    <w:p w14:paraId="4C41A675" w14:textId="05DB73EA" w:rsidR="00AC26B1" w:rsidRPr="00AC26B1" w:rsidRDefault="00AC26B1" w:rsidP="00AC26B1">
      <w:r w:rsidRPr="00AC26B1">
        <w:t>While the current approved indications are as follows:</w:t>
      </w:r>
    </w:p>
    <w:p w14:paraId="0D9BAF86" w14:textId="77777777" w:rsidR="003303E3" w:rsidRDefault="0079571B" w:rsidP="00AC26B1">
      <w:pPr>
        <w:pStyle w:val="ListBullet"/>
        <w:ind w:left="924" w:hanging="357"/>
        <w:rPr>
          <w:i/>
        </w:rPr>
      </w:pPr>
      <w:r>
        <w:rPr>
          <w:i/>
        </w:rPr>
        <w:t>Sprycel</w:t>
      </w:r>
      <w:r w:rsidR="00AC26B1" w:rsidRPr="00AC26B1">
        <w:rPr>
          <w:i/>
        </w:rPr>
        <w:t xml:space="preserve"> (dasatinib) is indicated for the treatment of adults aged 18 years or over with newly diagnosed Philadelphia chromosome positive (</w:t>
      </w:r>
      <w:r w:rsidRPr="002B11F8">
        <w:t>Ph</w:t>
      </w:r>
      <w:r w:rsidRPr="0079571B">
        <w:rPr>
          <w:vertAlign w:val="superscript"/>
        </w:rPr>
        <w:t>+</w:t>
      </w:r>
      <w:r w:rsidR="00AC26B1" w:rsidRPr="00AC26B1">
        <w:rPr>
          <w:i/>
        </w:rPr>
        <w:t>) chronic myeloid leukaemia in the chronic phase</w:t>
      </w:r>
      <w:r w:rsidR="003303E3">
        <w:rPr>
          <w:i/>
        </w:rPr>
        <w:t>.</w:t>
      </w:r>
    </w:p>
    <w:p w14:paraId="28A95311" w14:textId="77777777" w:rsidR="003303E3" w:rsidRDefault="0079571B" w:rsidP="00AC26B1">
      <w:pPr>
        <w:pStyle w:val="ListBullet"/>
        <w:ind w:left="924" w:hanging="357"/>
        <w:rPr>
          <w:i/>
        </w:rPr>
      </w:pPr>
      <w:r>
        <w:rPr>
          <w:i/>
        </w:rPr>
        <w:t>Sprycel</w:t>
      </w:r>
      <w:r w:rsidR="00AC26B1" w:rsidRPr="00AC26B1">
        <w:rPr>
          <w:i/>
        </w:rPr>
        <w:t xml:space="preserve"> (dasatinib) is indicated for the treatment of adults aged 18 years or over with chronic, accelerated or myeloid or lymphoid blast phase chronic myeloid leukaemia with resistance or intolerance to prior therapy including imatinib</w:t>
      </w:r>
      <w:r w:rsidR="003303E3">
        <w:rPr>
          <w:i/>
        </w:rPr>
        <w:t>.</w:t>
      </w:r>
    </w:p>
    <w:p w14:paraId="02E46D2D" w14:textId="77777777" w:rsidR="00AC26B1" w:rsidRPr="00AC26B1" w:rsidRDefault="0079571B" w:rsidP="00AC26B1">
      <w:pPr>
        <w:pStyle w:val="ListBullet"/>
        <w:ind w:left="924" w:hanging="357"/>
        <w:rPr>
          <w:i/>
        </w:rPr>
      </w:pPr>
      <w:r>
        <w:rPr>
          <w:i/>
        </w:rPr>
        <w:t>Sprycel</w:t>
      </w:r>
      <w:r w:rsidR="00AC26B1" w:rsidRPr="00AC26B1">
        <w:rPr>
          <w:i/>
        </w:rPr>
        <w:t xml:space="preserve"> is indicated for the treatment of adults aged 18 years or over with Philadelphia chromosome positive acute lymphoblastic leukaemia with resistance o</w:t>
      </w:r>
      <w:r w:rsidR="00AC26B1">
        <w:rPr>
          <w:i/>
        </w:rPr>
        <w:t>r intolerance to prior therapy.</w:t>
      </w:r>
    </w:p>
    <w:p w14:paraId="103CFB17" w14:textId="77777777" w:rsidR="00AC26B1" w:rsidRPr="00AC26B1" w:rsidRDefault="00AC26B1" w:rsidP="00AC26B1">
      <w:r w:rsidRPr="00AC26B1">
        <w:t xml:space="preserve">The Delegate </w:t>
      </w:r>
      <w:r w:rsidR="00856DAB">
        <w:t>wa</w:t>
      </w:r>
      <w:r w:rsidRPr="00AC26B1">
        <w:t xml:space="preserve">s unable to provide a preliminary opinion regarding approval at this time and </w:t>
      </w:r>
      <w:r w:rsidR="00856DAB">
        <w:t>sought</w:t>
      </w:r>
      <w:r w:rsidRPr="00AC26B1">
        <w:t xml:space="preserve"> the advice of the ACM regarding the </w:t>
      </w:r>
      <w:r>
        <w:t>issues raised in this overview.</w:t>
      </w:r>
    </w:p>
    <w:p w14:paraId="0E796D7D" w14:textId="77777777" w:rsidR="00AC26B1" w:rsidRPr="00AC26B1" w:rsidRDefault="00AC26B1" w:rsidP="00AC26B1">
      <w:pPr>
        <w:pStyle w:val="Heading5"/>
      </w:pPr>
      <w:r w:rsidRPr="00AC26B1">
        <w:t>Prop</w:t>
      </w:r>
      <w:r>
        <w:t>osed conditions of registration</w:t>
      </w:r>
    </w:p>
    <w:p w14:paraId="636A0D81" w14:textId="77777777" w:rsidR="00AC26B1" w:rsidRPr="00AC26B1" w:rsidRDefault="00AC26B1" w:rsidP="00AC26B1">
      <w:r w:rsidRPr="00AC26B1">
        <w:t xml:space="preserve">The ACM agreed with the </w:t>
      </w:r>
      <w:r w:rsidR="00856DAB">
        <w:t>D</w:t>
      </w:r>
      <w:r w:rsidRPr="00AC26B1">
        <w:t>elegate on the propo</w:t>
      </w:r>
      <w:r>
        <w:t>sed conditions of registration.</w:t>
      </w:r>
    </w:p>
    <w:p w14:paraId="7694F76F" w14:textId="21F22190" w:rsidR="00AC26B1" w:rsidRPr="00AC26B1" w:rsidRDefault="00AC26B1" w:rsidP="00AC26B1">
      <w:pPr>
        <w:pStyle w:val="Heading5"/>
      </w:pPr>
      <w:r>
        <w:lastRenderedPageBreak/>
        <w:t xml:space="preserve">Specific </w:t>
      </w:r>
      <w:r w:rsidR="00F13EFF">
        <w:t>a</w:t>
      </w:r>
      <w:r>
        <w:t>dvice</w:t>
      </w:r>
    </w:p>
    <w:p w14:paraId="4BE55AE7" w14:textId="77777777" w:rsidR="00AC26B1" w:rsidRDefault="00AC26B1" w:rsidP="00AC26B1">
      <w:r w:rsidRPr="00AC26B1">
        <w:t xml:space="preserve">The ACM advised the following in response to the </w:t>
      </w:r>
      <w:r w:rsidR="00856DAB">
        <w:t>D</w:t>
      </w:r>
      <w:r w:rsidRPr="00AC26B1">
        <w:t>elegate’s specif</w:t>
      </w:r>
      <w:r>
        <w:t>ic questions on the submission:</w:t>
      </w:r>
    </w:p>
    <w:p w14:paraId="38DD3A3E" w14:textId="77777777" w:rsidR="00AC26B1" w:rsidRPr="00E418CC" w:rsidRDefault="00AC26B1" w:rsidP="00856DAB">
      <w:pPr>
        <w:pStyle w:val="Numberbullet0"/>
        <w:numPr>
          <w:ilvl w:val="0"/>
          <w:numId w:val="8"/>
        </w:numPr>
        <w:rPr>
          <w:i/>
        </w:rPr>
      </w:pPr>
      <w:r w:rsidRPr="00E418CC">
        <w:rPr>
          <w:i/>
        </w:rPr>
        <w:t>Does the committee feel that there is a sufficient level of evidence for both safety and efficacy in the current dossier to support registration of dasatinib for t</w:t>
      </w:r>
      <w:r w:rsidR="007440CF" w:rsidRPr="00E418CC">
        <w:rPr>
          <w:i/>
        </w:rPr>
        <w:t xml:space="preserve">he treatment of adult patients </w:t>
      </w:r>
      <w:r w:rsidRPr="00E418CC">
        <w:rPr>
          <w:i/>
        </w:rPr>
        <w:t>with newly diagnosed Philadelphia chromosome positive acute lymphoblastic leukaemi</w:t>
      </w:r>
      <w:r w:rsidR="00856DAB" w:rsidRPr="00E418CC">
        <w:rPr>
          <w:i/>
        </w:rPr>
        <w:t>a integrated with chemotherapy?</w:t>
      </w:r>
    </w:p>
    <w:p w14:paraId="1A102CB3" w14:textId="77777777" w:rsidR="00AC26B1" w:rsidRPr="00AC26B1" w:rsidRDefault="00AC26B1" w:rsidP="00AC26B1">
      <w:r w:rsidRPr="00AC26B1">
        <w:t xml:space="preserve">Yes, the committee advised that there is a sufficient level of evidence for both safety and efficacy in the current dossier to support the registration of dasatinib for the treatment of adult patients with newly diagnosed Philadelphia chromosome positive acute lymphoblastic leukaemia integrated with chemotherapy. However, the committee noted the limited clinical data available for dasatinib from Phase </w:t>
      </w:r>
      <w:r w:rsidR="00856DAB">
        <w:t>II</w:t>
      </w:r>
      <w:r w:rsidRPr="00AC26B1">
        <w:t xml:space="preserve"> trials, and there is no da</w:t>
      </w:r>
      <w:r w:rsidR="007440CF">
        <w:t xml:space="preserve">ta available as Phase </w:t>
      </w:r>
      <w:r w:rsidR="00856DAB">
        <w:t>III</w:t>
      </w:r>
      <w:r w:rsidR="007440CF">
        <w:t xml:space="preserve"> trials.</w:t>
      </w:r>
    </w:p>
    <w:p w14:paraId="798F9023" w14:textId="77777777" w:rsidR="00AC26B1" w:rsidRPr="00E418CC" w:rsidRDefault="00AC26B1" w:rsidP="007440CF">
      <w:pPr>
        <w:pStyle w:val="Numberbullet0"/>
        <w:rPr>
          <w:i/>
        </w:rPr>
      </w:pPr>
      <w:r w:rsidRPr="00E418CC">
        <w:rPr>
          <w:i/>
        </w:rPr>
        <w:t xml:space="preserve">Balanced against the level of data presented in the current submission, limited data allowing direct comparison with imatinib, and limited safety dataset in the first line setting; is the committee satisfied with the wording of the current proposed indication? In particular, could the committee discuss whether there is sufficient evidence to support this indication </w:t>
      </w:r>
      <w:r w:rsidR="00B52C6D" w:rsidRPr="00E418CC">
        <w:rPr>
          <w:i/>
        </w:rPr>
        <w:t>versus</w:t>
      </w:r>
      <w:r w:rsidRPr="00E418CC">
        <w:rPr>
          <w:i/>
        </w:rPr>
        <w:t xml:space="preserve"> including additional wording limiting dasatinib use for first line </w:t>
      </w:r>
      <w:r w:rsidR="0079571B" w:rsidRPr="00E418CC">
        <w:rPr>
          <w:i/>
        </w:rPr>
        <w:t>Ph</w:t>
      </w:r>
      <w:r w:rsidR="0079571B" w:rsidRPr="00E418CC">
        <w:rPr>
          <w:i/>
          <w:vertAlign w:val="superscript"/>
        </w:rPr>
        <w:t>+</w:t>
      </w:r>
      <w:r w:rsidRPr="00E418CC">
        <w:rPr>
          <w:i/>
        </w:rPr>
        <w:t xml:space="preserve"> ALL in patients who are ineligible for imatinib (or for whom imatinib i</w:t>
      </w:r>
      <w:r w:rsidR="007440CF" w:rsidRPr="00E418CC">
        <w:rPr>
          <w:i/>
        </w:rPr>
        <w:t>s not clinically appropriate)?</w:t>
      </w:r>
    </w:p>
    <w:p w14:paraId="13998900" w14:textId="77777777" w:rsidR="00AC26B1" w:rsidRPr="00AC26B1" w:rsidRDefault="00AC26B1" w:rsidP="00AC26B1">
      <w:r w:rsidRPr="00AC26B1">
        <w:t xml:space="preserve">The ACM was satisfied with the wording of the current proposed indication, as it is consistent with the level of data presented in the current submission, limited data allowing for direct comparison with imatinib, and limited safety dataset in the first line setting. </w:t>
      </w:r>
      <w:r w:rsidR="007440CF" w:rsidRPr="00AC26B1">
        <w:t>Furthermore</w:t>
      </w:r>
      <w:r w:rsidRPr="00AC26B1">
        <w:t xml:space="preserve">, the committee </w:t>
      </w:r>
      <w:r w:rsidR="007440CF" w:rsidRPr="00AC26B1">
        <w:t>recommended</w:t>
      </w:r>
      <w:r w:rsidRPr="00AC26B1">
        <w:t xml:space="preserve"> first line use dasatinib to be provided as an option for patients with </w:t>
      </w:r>
      <w:r w:rsidR="0079571B" w:rsidRPr="002B11F8">
        <w:t>Ph</w:t>
      </w:r>
      <w:r w:rsidR="0079571B" w:rsidRPr="0079571B">
        <w:rPr>
          <w:vertAlign w:val="superscript"/>
        </w:rPr>
        <w:t>+</w:t>
      </w:r>
      <w:r w:rsidRPr="00AC26B1">
        <w:t xml:space="preserve"> ALL at the </w:t>
      </w:r>
      <w:r w:rsidR="007440CF">
        <w:t xml:space="preserve">discretion of the clinician and </w:t>
      </w:r>
      <w:r w:rsidRPr="00AC26B1">
        <w:t xml:space="preserve">the patient circumstances. The committee did not feel that it was </w:t>
      </w:r>
      <w:r w:rsidR="007440CF" w:rsidRPr="00AC26B1">
        <w:t>appropriate</w:t>
      </w:r>
      <w:r w:rsidRPr="00AC26B1">
        <w:t xml:space="preserve"> to limit first line use of dasatinib to patients who are ineligible for imatinib, or for whom imatinib</w:t>
      </w:r>
      <w:r w:rsidR="007440CF">
        <w:t xml:space="preserve"> is not clinically appropriate.</w:t>
      </w:r>
    </w:p>
    <w:p w14:paraId="04298943" w14:textId="77777777" w:rsidR="00AC26B1" w:rsidRPr="00E418CC" w:rsidRDefault="00AC26B1" w:rsidP="007440CF">
      <w:pPr>
        <w:pStyle w:val="Numberbullet0"/>
        <w:rPr>
          <w:i/>
        </w:rPr>
      </w:pPr>
      <w:r w:rsidRPr="00E418CC">
        <w:rPr>
          <w:i/>
        </w:rPr>
        <w:t xml:space="preserve">Does the ACM consider that a specific statement under </w:t>
      </w:r>
      <w:r w:rsidR="00856DAB" w:rsidRPr="00E418CC">
        <w:rPr>
          <w:i/>
        </w:rPr>
        <w:t xml:space="preserve">drug interactions </w:t>
      </w:r>
      <w:r w:rsidRPr="00E418CC">
        <w:rPr>
          <w:i/>
        </w:rPr>
        <w:t>is required regarding dasatinib use with mult</w:t>
      </w:r>
      <w:r w:rsidR="00856DAB" w:rsidRPr="00E418CC">
        <w:rPr>
          <w:i/>
        </w:rPr>
        <w:t>i-agent chemotherapy regimens?</w:t>
      </w:r>
    </w:p>
    <w:p w14:paraId="48839506" w14:textId="77777777" w:rsidR="00AC26B1" w:rsidRPr="007440CF" w:rsidRDefault="00AC26B1" w:rsidP="007440CF">
      <w:r w:rsidRPr="007440CF">
        <w:t xml:space="preserve">The ACM agreed that there was merit in including a specific statement under </w:t>
      </w:r>
      <w:r w:rsidR="00856DAB" w:rsidRPr="007440CF">
        <w:t>drug interactions</w:t>
      </w:r>
      <w:r w:rsidRPr="007440CF">
        <w:t xml:space="preserve"> regarding dasatinib use with multi-agent chemotherapy regimens given the complexity of </w:t>
      </w:r>
      <w:r w:rsidR="0079571B" w:rsidRPr="002B11F8">
        <w:t>Ph</w:t>
      </w:r>
      <w:r w:rsidR="0079571B" w:rsidRPr="0079571B">
        <w:rPr>
          <w:vertAlign w:val="superscript"/>
        </w:rPr>
        <w:t>+</w:t>
      </w:r>
      <w:r w:rsidRPr="007440CF">
        <w:t xml:space="preserve"> ALL therapies and t</w:t>
      </w:r>
      <w:r w:rsidR="007440CF">
        <w:t>he deficiencies of safety data.</w:t>
      </w:r>
    </w:p>
    <w:p w14:paraId="7AF8DE2B" w14:textId="77777777" w:rsidR="00AC26B1" w:rsidRPr="00E418CC" w:rsidRDefault="00AC26B1" w:rsidP="007440CF">
      <w:pPr>
        <w:pStyle w:val="Numberbullet0"/>
        <w:rPr>
          <w:i/>
        </w:rPr>
      </w:pPr>
      <w:r w:rsidRPr="00E418CC">
        <w:rPr>
          <w:i/>
        </w:rPr>
        <w:t>Does the committee consider that the propose dose of 100</w:t>
      </w:r>
      <w:r w:rsidR="00665FCA" w:rsidRPr="00E418CC">
        <w:rPr>
          <w:i/>
        </w:rPr>
        <w:t xml:space="preserve"> mg</w:t>
      </w:r>
      <w:r w:rsidRPr="00E418CC">
        <w:rPr>
          <w:i/>
        </w:rPr>
        <w:t xml:space="preserve"> dasatinib for the treatment of newly diagnosed </w:t>
      </w:r>
      <w:r w:rsidR="0079571B" w:rsidRPr="00E418CC">
        <w:rPr>
          <w:i/>
        </w:rPr>
        <w:t>Ph</w:t>
      </w:r>
      <w:r w:rsidR="0079571B" w:rsidRPr="00E418CC">
        <w:rPr>
          <w:i/>
          <w:vertAlign w:val="superscript"/>
        </w:rPr>
        <w:t>+</w:t>
      </w:r>
      <w:r w:rsidRPr="00E418CC">
        <w:rPr>
          <w:i/>
        </w:rPr>
        <w:t xml:space="preserve"> ALL is acceptable? Is the wording of the Dosage and Administration section of the PI appropriate in regards to first line treatment of </w:t>
      </w:r>
      <w:r w:rsidR="0079571B" w:rsidRPr="00E418CC">
        <w:rPr>
          <w:i/>
        </w:rPr>
        <w:t>Ph</w:t>
      </w:r>
      <w:r w:rsidR="0079571B" w:rsidRPr="00E418CC">
        <w:rPr>
          <w:i/>
          <w:vertAlign w:val="superscript"/>
        </w:rPr>
        <w:t>+</w:t>
      </w:r>
      <w:r w:rsidRPr="00E418CC">
        <w:rPr>
          <w:i/>
        </w:rPr>
        <w:t xml:space="preserve"> ALL for induction and c</w:t>
      </w:r>
      <w:r w:rsidR="00856DAB" w:rsidRPr="00E418CC">
        <w:rPr>
          <w:i/>
        </w:rPr>
        <w:t>onsolidation/maintenance?</w:t>
      </w:r>
    </w:p>
    <w:p w14:paraId="38701367" w14:textId="349192A1" w:rsidR="00AC26B1" w:rsidRPr="007440CF" w:rsidRDefault="00AC26B1" w:rsidP="008E7846">
      <w:r w:rsidRPr="00AC26B1">
        <w:t>The ACM considers the proposed dose of 100</w:t>
      </w:r>
      <w:r w:rsidR="00665FCA">
        <w:t xml:space="preserve"> mg</w:t>
      </w:r>
      <w:r w:rsidRPr="00AC26B1">
        <w:t xml:space="preserve"> dasatinib for the treatment of newly diagnosed </w:t>
      </w:r>
      <w:r w:rsidR="0079571B" w:rsidRPr="002B11F8">
        <w:t>Ph</w:t>
      </w:r>
      <w:r w:rsidR="0079571B" w:rsidRPr="0079571B">
        <w:rPr>
          <w:vertAlign w:val="superscript"/>
        </w:rPr>
        <w:t>+</w:t>
      </w:r>
      <w:r w:rsidRPr="00AC26B1">
        <w:t xml:space="preserve"> ALL to be acceptable and supported by the available evidence. However the committee advised the inclusion of the phrase </w:t>
      </w:r>
      <w:r w:rsidR="0013267C">
        <w:t>’</w:t>
      </w:r>
      <w:r w:rsidRPr="00AC26B1">
        <w:t>as clinically appropriate</w:t>
      </w:r>
      <w:r w:rsidR="0013267C">
        <w:t>’</w:t>
      </w:r>
      <w:r w:rsidRPr="00AC26B1">
        <w:t xml:space="preserve"> in brackets to allow for the discretion of clinicians to modify dosing due to differences in patient characteristics. </w:t>
      </w:r>
      <w:r w:rsidR="00856DAB" w:rsidRPr="00AC26B1">
        <w:t>Furthermore</w:t>
      </w:r>
      <w:r w:rsidRPr="00AC26B1">
        <w:t>, in relation to the dose escalation to 140</w:t>
      </w:r>
      <w:r w:rsidR="00665FCA">
        <w:t xml:space="preserve"> mg</w:t>
      </w:r>
      <w:r w:rsidRPr="00AC26B1">
        <w:t xml:space="preserve"> the committee proposes to remove the word </w:t>
      </w:r>
      <w:r w:rsidR="0013267C">
        <w:t>‘</w:t>
      </w:r>
      <w:r w:rsidR="00856DAB" w:rsidRPr="00AC26B1">
        <w:t>once</w:t>
      </w:r>
      <w:r w:rsidR="0013267C">
        <w:t>‘</w:t>
      </w:r>
      <w:r w:rsidR="0013267C" w:rsidRPr="00AC26B1">
        <w:t xml:space="preserve"> </w:t>
      </w:r>
      <w:r w:rsidRPr="00AC26B1">
        <w:t>from dosage scheduling to allow for split dosin</w:t>
      </w:r>
      <w:r w:rsidR="007440CF">
        <w:t>g where clinically appropriate.</w:t>
      </w:r>
    </w:p>
    <w:p w14:paraId="3EA532F4" w14:textId="77777777" w:rsidR="00456765" w:rsidRPr="00A322B3" w:rsidRDefault="00AC26B1" w:rsidP="008E7846">
      <w:r w:rsidRPr="00AC26B1">
        <w:t>The ACM advised that implementation by the sponsor of the recommendations outlined above to the satisfaction of the TGA, in addition to the evidence of efficacy and safety provided would support the safe and effective use of this product.</w:t>
      </w:r>
    </w:p>
    <w:p w14:paraId="62A0A0FE" w14:textId="77777777" w:rsidR="008E7846" w:rsidRPr="002E238E" w:rsidRDefault="008E7846" w:rsidP="008E7846">
      <w:pPr>
        <w:pStyle w:val="Heading3"/>
      </w:pPr>
      <w:bookmarkStart w:id="125" w:name="_Toc247691532"/>
      <w:bookmarkStart w:id="126" w:name="_Toc314842516"/>
      <w:bookmarkStart w:id="127" w:name="_Toc20401749"/>
      <w:bookmarkEnd w:id="80"/>
      <w:bookmarkEnd w:id="120"/>
      <w:bookmarkEnd w:id="121"/>
      <w:r>
        <w:lastRenderedPageBreak/>
        <w:t>Outcome</w:t>
      </w:r>
      <w:bookmarkEnd w:id="125"/>
      <w:bookmarkEnd w:id="126"/>
      <w:bookmarkEnd w:id="127"/>
    </w:p>
    <w:p w14:paraId="474D0EC2" w14:textId="77777777" w:rsidR="00D23139" w:rsidRPr="00D23139" w:rsidRDefault="00D23139" w:rsidP="00D23139">
      <w:bookmarkStart w:id="128" w:name="_Toc247691533"/>
      <w:bookmarkStart w:id="129" w:name="_Toc314842517"/>
      <w:r w:rsidRPr="00D23139">
        <w:t xml:space="preserve">Based on a review of quality, safety and efficacy, TGA approved the registration of </w:t>
      </w:r>
      <w:r w:rsidR="00DB7874">
        <w:t>Sprycel dasatinib</w:t>
      </w:r>
      <w:r w:rsidRPr="00D23139">
        <w:t xml:space="preserve"> </w:t>
      </w:r>
      <w:r w:rsidR="00DB7874">
        <w:t>20 mg, 50 mg, 70 mg and 100 mg</w:t>
      </w:r>
      <w:r w:rsidR="00DB7874" w:rsidRPr="00D23139">
        <w:t xml:space="preserve"> </w:t>
      </w:r>
      <w:r w:rsidR="00DB7874">
        <w:t>tablet</w:t>
      </w:r>
      <w:r w:rsidRPr="00D23139">
        <w:t>, indicated for:</w:t>
      </w:r>
    </w:p>
    <w:p w14:paraId="723C0430" w14:textId="4FB2EE13" w:rsidR="00D23139" w:rsidRPr="00DB7874" w:rsidRDefault="0013267C" w:rsidP="00DB7874">
      <w:pPr>
        <w:ind w:left="720"/>
        <w:rPr>
          <w:i/>
        </w:rPr>
      </w:pPr>
      <w:r w:rsidRPr="00DB7874">
        <w:rPr>
          <w:i/>
        </w:rPr>
        <w:t>S</w:t>
      </w:r>
      <w:r>
        <w:rPr>
          <w:i/>
        </w:rPr>
        <w:t>prycel</w:t>
      </w:r>
      <w:r w:rsidRPr="00DB7874">
        <w:rPr>
          <w:i/>
        </w:rPr>
        <w:t xml:space="preserve"> </w:t>
      </w:r>
      <w:r w:rsidR="00DB7874" w:rsidRPr="00DB7874">
        <w:rPr>
          <w:i/>
        </w:rPr>
        <w:t>is indicated for the treatment of adults aged 18 years or over with newly diagnosed Philadelphia chromosome positive acute lymphoblastic leukaemia integrated with chemotherapy</w:t>
      </w:r>
    </w:p>
    <w:p w14:paraId="03798BDE" w14:textId="77777777" w:rsidR="00D23139" w:rsidRDefault="00DB7874" w:rsidP="00D23139">
      <w:r>
        <w:t>The full indications are now:</w:t>
      </w:r>
    </w:p>
    <w:p w14:paraId="68F782D0" w14:textId="77777777" w:rsidR="00DB7874" w:rsidRPr="00DB7874" w:rsidRDefault="00DB7874" w:rsidP="00DB7874">
      <w:pPr>
        <w:ind w:left="720"/>
        <w:rPr>
          <w:i/>
        </w:rPr>
      </w:pPr>
      <w:r w:rsidRPr="00DB7874">
        <w:rPr>
          <w:i/>
        </w:rPr>
        <w:t>Sprycel (dasatinib) is indicated for the treatment of adults aged 18 years or over with newly diagnosed Philadelphia chromosome positive (Ph+) chronic myeloid leukaemia in the chronic phase.</w:t>
      </w:r>
    </w:p>
    <w:p w14:paraId="7A62441E" w14:textId="77777777" w:rsidR="00DB7874" w:rsidRPr="00DB7874" w:rsidRDefault="00DB7874" w:rsidP="00DB7874">
      <w:pPr>
        <w:ind w:left="720"/>
        <w:rPr>
          <w:i/>
        </w:rPr>
      </w:pPr>
      <w:r w:rsidRPr="00DB7874">
        <w:rPr>
          <w:i/>
        </w:rPr>
        <w:t>Sprycel (dasatinib) is indicated for the treatment of adults aged 18 years or over with chronic, accelerated or myeloid or lymphoid blast phase chronic myeloid leukaemia with resistance or intolerance to prior therapy including imatinib.</w:t>
      </w:r>
    </w:p>
    <w:p w14:paraId="26DC3BF2" w14:textId="77777777" w:rsidR="00DB7874" w:rsidRPr="00DB7874" w:rsidRDefault="00DB7874" w:rsidP="00DB7874">
      <w:pPr>
        <w:ind w:left="720"/>
        <w:rPr>
          <w:i/>
        </w:rPr>
      </w:pPr>
      <w:r w:rsidRPr="00DB7874">
        <w:rPr>
          <w:i/>
        </w:rPr>
        <w:t>Sprycel is indicated for the treatment of adults aged 18 years or over with Philadelphia chromosome positive acute lymphoblastic leukaemia with resistance or intolerance to prior therapy.</w:t>
      </w:r>
    </w:p>
    <w:p w14:paraId="69F46EEE" w14:textId="77777777" w:rsidR="00DB7874" w:rsidRPr="00DB7874" w:rsidRDefault="00DB7874" w:rsidP="00DB7874">
      <w:pPr>
        <w:ind w:left="720"/>
        <w:rPr>
          <w:i/>
        </w:rPr>
      </w:pPr>
      <w:r w:rsidRPr="00DB7874">
        <w:rPr>
          <w:i/>
        </w:rPr>
        <w:t>Sprycel (dasatinib) is indicated for the treatment of adults aged 18 years or over with newly diagnosed Philadelphia chromosome positive acute lymphoblastic leukaemia integrated with chemotherapy.</w:t>
      </w:r>
    </w:p>
    <w:p w14:paraId="61508D41" w14:textId="77777777" w:rsidR="00D23139" w:rsidRDefault="00D23139" w:rsidP="00D23139">
      <w:pPr>
        <w:pStyle w:val="Heading4"/>
      </w:pPr>
      <w:r w:rsidRPr="00D23139">
        <w:t>Specific conditions of registration applying to these goods</w:t>
      </w:r>
    </w:p>
    <w:p w14:paraId="6A47ECEC" w14:textId="1E64229A" w:rsidR="00DB7874" w:rsidRPr="00DB7874" w:rsidRDefault="00DB7874" w:rsidP="00E418CC">
      <w:pPr>
        <w:pStyle w:val="ListBullet"/>
      </w:pPr>
      <w:r>
        <w:t xml:space="preserve">The </w:t>
      </w:r>
      <w:r w:rsidR="0013267C">
        <w:t xml:space="preserve">Sprycel </w:t>
      </w:r>
      <w:r>
        <w:t>EU-Risk Management Plan (EU-RMP), version 14.0, dated 20 July 2016, DLP 12 November 2015 with Australian Specific Annex (version 5.0, dated 22 September 2017) included with submission PM-2016-04272-1-4, and any subsequent revisions, to be revised to the satisfaction of the TGA will be implemented in Australia.</w:t>
      </w:r>
    </w:p>
    <w:p w14:paraId="645912AB" w14:textId="77777777" w:rsidR="008E7846" w:rsidRDefault="00A80B5B" w:rsidP="00D23139">
      <w:pPr>
        <w:pStyle w:val="Heading2"/>
      </w:pPr>
      <w:bookmarkStart w:id="130" w:name="_Toc20401750"/>
      <w:r>
        <w:t xml:space="preserve">Attachment 1. </w:t>
      </w:r>
      <w:r w:rsidR="008E7846">
        <w:t xml:space="preserve">Product </w:t>
      </w:r>
      <w:r w:rsidR="00AA0ED0">
        <w:t>I</w:t>
      </w:r>
      <w:r w:rsidR="008E7846">
        <w:t>nformation</w:t>
      </w:r>
      <w:bookmarkEnd w:id="128"/>
      <w:bookmarkEnd w:id="129"/>
      <w:bookmarkEnd w:id="130"/>
    </w:p>
    <w:p w14:paraId="482E0A67" w14:textId="77777777" w:rsidR="00C80137" w:rsidRDefault="006136D7" w:rsidP="00C80137">
      <w:pPr>
        <w:rPr>
          <w:color w:val="000000"/>
          <w:lang w:eastAsia="en-AU"/>
        </w:rPr>
      </w:pPr>
      <w:r w:rsidRPr="002B3624">
        <w:t xml:space="preserve">The </w:t>
      </w:r>
      <w:r>
        <w:t>PI</w:t>
      </w:r>
      <w:r w:rsidRPr="002B3624">
        <w:t xml:space="preserve"> for </w:t>
      </w:r>
      <w:r w:rsidR="00856DAB">
        <w:t>Sprycel</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B90B8B">
        <w:t xml:space="preserve">&lt; </w:t>
      </w:r>
      <w:hyperlink r:id="rId29" w:history="1">
        <w:r w:rsidR="007C6B9B" w:rsidRPr="007C6B9B">
          <w:rPr>
            <w:rStyle w:val="Hyperlink"/>
          </w:rPr>
          <w:t>https://www.tga.gov.au/product-information-pi</w:t>
        </w:r>
      </w:hyperlink>
      <w:r w:rsidR="00B90B8B">
        <w:t xml:space="preserve">&gt; </w:t>
      </w:r>
    </w:p>
    <w:p w14:paraId="2951FAEB" w14:textId="77777777" w:rsidR="00C80137" w:rsidRPr="001D043B" w:rsidRDefault="008E7846" w:rsidP="00856DAB">
      <w:pPr>
        <w:autoSpaceDE w:val="0"/>
        <w:autoSpaceDN w:val="0"/>
        <w:adjustRightInd w:val="0"/>
        <w:spacing w:after="0"/>
        <w:rPr>
          <w:lang w:eastAsia="ja-JP"/>
        </w:rPr>
        <w:sectPr w:rsidR="00C80137" w:rsidRPr="001D043B"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99070D8" w14:textId="77777777" w:rsidTr="00A05FA4">
        <w:trPr>
          <w:trHeight w:hRule="exact" w:val="704"/>
        </w:trPr>
        <w:tc>
          <w:tcPr>
            <w:tcW w:w="9175" w:type="dxa"/>
          </w:tcPr>
          <w:p w14:paraId="4913D99E" w14:textId="77777777" w:rsidR="001C32CD" w:rsidRPr="00487162" w:rsidRDefault="001C32CD" w:rsidP="00A05FA4">
            <w:pPr>
              <w:pStyle w:val="TGASignoff"/>
            </w:pPr>
            <w:r w:rsidRPr="00487162">
              <w:lastRenderedPageBreak/>
              <w:t>Therapeutic Goods Administration</w:t>
            </w:r>
          </w:p>
        </w:tc>
      </w:tr>
      <w:tr w:rsidR="001C32CD" w:rsidRPr="004C239D" w14:paraId="1133820D" w14:textId="77777777" w:rsidTr="00A05FA4">
        <w:trPr>
          <w:trHeight w:val="1221"/>
        </w:trPr>
        <w:tc>
          <w:tcPr>
            <w:tcW w:w="9175" w:type="dxa"/>
            <w:tcMar>
              <w:top w:w="28" w:type="dxa"/>
            </w:tcMar>
          </w:tcPr>
          <w:p w14:paraId="5545DE44" w14:textId="77777777" w:rsidR="001C32CD" w:rsidRPr="00487162" w:rsidRDefault="001C32CD" w:rsidP="00A05FA4">
            <w:pPr>
              <w:pStyle w:val="Address"/>
            </w:pPr>
            <w:r w:rsidRPr="00487162">
              <w:t>PO Box 100 Woden ACT 2606 Australia</w:t>
            </w:r>
          </w:p>
          <w:p w14:paraId="746CC1B3" w14:textId="77777777" w:rsidR="001C32CD" w:rsidRPr="00487162" w:rsidRDefault="001C32CD" w:rsidP="00A05FA4">
            <w:pPr>
              <w:pStyle w:val="Address"/>
            </w:pPr>
            <w:r w:rsidRPr="00487162">
              <w:t xml:space="preserve">Email: </w:t>
            </w:r>
            <w:hyperlink r:id="rId34" w:history="1">
              <w:r w:rsidRPr="004C239D">
                <w:rPr>
                  <w:rStyle w:val="Hyperlink"/>
                </w:rPr>
                <w:t>info@tga.gov.au</w:t>
              </w:r>
            </w:hyperlink>
            <w:r w:rsidR="00B90B8B">
              <w:t xml:space="preserve"> </w:t>
            </w:r>
            <w:r w:rsidRPr="00487162">
              <w:t>Phone: 1800 020 653</w:t>
            </w:r>
            <w:r w:rsidR="00B90B8B">
              <w:t xml:space="preserve"> </w:t>
            </w:r>
            <w:r w:rsidRPr="00487162">
              <w:t>Fax: 02 6232 8605</w:t>
            </w:r>
          </w:p>
          <w:p w14:paraId="0B4FD88E" w14:textId="77777777" w:rsidR="001C32CD" w:rsidRPr="004C239D" w:rsidRDefault="00795BEF"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14:paraId="0010E4A0" w14:textId="77777777"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FEB28" w14:textId="77777777" w:rsidR="00883B92" w:rsidRDefault="00883B92" w:rsidP="00C40A36">
      <w:pPr>
        <w:spacing w:after="0"/>
      </w:pPr>
      <w:r>
        <w:separator/>
      </w:r>
    </w:p>
  </w:endnote>
  <w:endnote w:type="continuationSeparator" w:id="0">
    <w:p w14:paraId="145F7A2F" w14:textId="77777777" w:rsidR="00883B92" w:rsidRDefault="00883B9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00000287" w:usb1="08070000" w:usb2="00000010"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dvOTd40fda3b.B+20">
    <w:panose1 w:val="00000000000000000000"/>
    <w:charset w:val="00"/>
    <w:family w:val="auto"/>
    <w:notTrueType/>
    <w:pitch w:val="default"/>
    <w:sig w:usb0="00000003" w:usb1="00000000" w:usb2="00000000" w:usb3="00000000" w:csb0="00000001" w:csb1="00000000"/>
  </w:font>
  <w:font w:name="AdvOTfbba3ace.B+fb">
    <w:panose1 w:val="00000000000000000000"/>
    <w:charset w:val="00"/>
    <w:family w:val="auto"/>
    <w:notTrueType/>
    <w:pitch w:val="default"/>
    <w:sig w:usb0="00000003" w:usb1="00000000" w:usb2="00000000" w:usb3="00000000" w:csb0="00000001" w:csb1="00000000"/>
  </w:font>
  <w:font w:name="AdvOT3c2d9f11">
    <w:panose1 w:val="00000000000000000000"/>
    <w:charset w:val="00"/>
    <w:family w:val="auto"/>
    <w:notTrueType/>
    <w:pitch w:val="default"/>
    <w:sig w:usb0="00000003" w:usb1="00000000" w:usb2="00000000" w:usb3="00000000" w:csb0="00000001" w:csb1="00000000"/>
  </w:font>
  <w:font w:name="AdvOT3c2d9f11+fb">
    <w:panose1 w:val="00000000000000000000"/>
    <w:charset w:val="00"/>
    <w:family w:val="auto"/>
    <w:notTrueType/>
    <w:pitch w:val="default"/>
    <w:sig w:usb0="00000003" w:usb1="00000000" w:usb2="00000000" w:usb3="00000000" w:csb0="00000001" w:csb1="00000000"/>
  </w:font>
  <w:font w:name="34geswsjuefuvco,Bold">
    <w:panose1 w:val="00000000000000000000"/>
    <w:charset w:val="00"/>
    <w:family w:val="swiss"/>
    <w:notTrueType/>
    <w:pitch w:val="default"/>
    <w:sig w:usb0="00000003" w:usb1="00000000" w:usb2="00000000" w:usb3="00000000" w:csb0="00000001" w:csb1="00000000"/>
  </w:font>
  <w:font w:name="AdvOT46dcae81+fb">
    <w:panose1 w:val="00000000000000000000"/>
    <w:charset w:val="00"/>
    <w:family w:val="auto"/>
    <w:notTrueType/>
    <w:pitch w:val="default"/>
    <w:sig w:usb0="00000003" w:usb1="00000000" w:usb2="00000000" w:usb3="00000000" w:csb0="00000001" w:csb1="00000000"/>
  </w:font>
  <w:font w:name="AdvOT46dcae81+20">
    <w:panose1 w:val="00000000000000000000"/>
    <w:charset w:val="00"/>
    <w:family w:val="auto"/>
    <w:notTrueType/>
    <w:pitch w:val="default"/>
    <w:sig w:usb0="00000003" w:usb1="00000000" w:usb2="00000000" w:usb3="00000000" w:csb0="00000001" w:csb1="00000000"/>
  </w:font>
  <w:font w:name="AdvOT65f8a23b.I">
    <w:panose1 w:val="00000000000000000000"/>
    <w:charset w:val="00"/>
    <w:family w:val="auto"/>
    <w:notTrueType/>
    <w:pitch w:val="default"/>
    <w:sig w:usb0="00000003" w:usb1="00000000" w:usb2="00000000" w:usb3="00000000" w:csb0="00000001" w:csb1="00000000"/>
  </w:font>
  <w:font w:name="AdvOT7d6df7ab.I">
    <w:panose1 w:val="00000000000000000000"/>
    <w:charset w:val="00"/>
    <w:family w:val="auto"/>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34C9E" w14:textId="77777777" w:rsidR="00883B92" w:rsidRDefault="00883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83B92" w:rsidRPr="00487162" w14:paraId="0DBC2406" w14:textId="77777777" w:rsidTr="00DB750B">
      <w:trPr>
        <w:trHeight w:val="269"/>
      </w:trPr>
      <w:tc>
        <w:tcPr>
          <w:tcW w:w="7371" w:type="dxa"/>
          <w:tcMar>
            <w:top w:w="142" w:type="dxa"/>
            <w:bottom w:w="0" w:type="dxa"/>
          </w:tcMar>
        </w:tcPr>
        <w:p w14:paraId="109292EE" w14:textId="6481800F" w:rsidR="00883B92" w:rsidRDefault="00883B92" w:rsidP="00141EB7">
          <w:pPr>
            <w:pStyle w:val="Footer"/>
          </w:pPr>
          <w:r>
            <w:t xml:space="preserve">AusPAR - </w:t>
          </w:r>
          <w:r w:rsidRPr="00F20324">
            <w:t>SPRYCEL - Dasatinib - Bristol-Myers Squibb Australi</w:t>
          </w:r>
          <w:r>
            <w:t xml:space="preserve">a Pty Ltd - PM-2016-04274-1-4 </w:t>
          </w:r>
        </w:p>
        <w:p w14:paraId="3B2A4D1A" w14:textId="7879676C" w:rsidR="00883B92" w:rsidRPr="00487162" w:rsidRDefault="00883B92" w:rsidP="00141EB7">
          <w:pPr>
            <w:pStyle w:val="Footer"/>
          </w:pPr>
          <w:r>
            <w:t>FINAL 23 January 2019</w:t>
          </w:r>
        </w:p>
      </w:tc>
      <w:tc>
        <w:tcPr>
          <w:tcW w:w="1490" w:type="dxa"/>
          <w:tcMar>
            <w:top w:w="142" w:type="dxa"/>
            <w:bottom w:w="0" w:type="dxa"/>
          </w:tcMar>
        </w:tcPr>
        <w:p w14:paraId="60DCB297" w14:textId="3F27FF56" w:rsidR="00883B92" w:rsidRPr="00487162" w:rsidRDefault="00883B92" w:rsidP="00DB750B">
          <w:pPr>
            <w:pStyle w:val="Footer"/>
            <w:jc w:val="right"/>
          </w:pPr>
          <w:r w:rsidRPr="00487162">
            <w:t xml:space="preserve">Page </w:t>
          </w:r>
          <w:r>
            <w:fldChar w:fldCharType="begin"/>
          </w:r>
          <w:r>
            <w:instrText xml:space="preserve"> PAGE  \* Arabic </w:instrText>
          </w:r>
          <w:r>
            <w:fldChar w:fldCharType="separate"/>
          </w:r>
          <w:r w:rsidR="00795BEF">
            <w:rPr>
              <w:noProof/>
            </w:rPr>
            <w:t>2</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795BEF">
            <w:rPr>
              <w:noProof/>
            </w:rPr>
            <w:t>48</w:t>
          </w:r>
          <w:r>
            <w:rPr>
              <w:noProof/>
            </w:rPr>
            <w:fldChar w:fldCharType="end"/>
          </w:r>
        </w:p>
      </w:tc>
    </w:tr>
  </w:tbl>
  <w:p w14:paraId="05BEB381" w14:textId="77777777" w:rsidR="00883B92" w:rsidRDefault="00883B92"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7F34B" w14:textId="77777777" w:rsidR="00883B92" w:rsidRDefault="00883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83B92" w:rsidRPr="00487162" w14:paraId="63E7A180" w14:textId="77777777" w:rsidTr="00E45619">
      <w:trPr>
        <w:trHeight w:val="269"/>
      </w:trPr>
      <w:tc>
        <w:tcPr>
          <w:tcW w:w="4519" w:type="dxa"/>
          <w:tcBorders>
            <w:top w:val="single" w:sz="4" w:space="0" w:color="auto"/>
          </w:tcBorders>
          <w:tcMar>
            <w:top w:w="142" w:type="dxa"/>
            <w:bottom w:w="0" w:type="dxa"/>
          </w:tcMar>
        </w:tcPr>
        <w:p w14:paraId="18EB917D" w14:textId="77777777" w:rsidR="00883B92" w:rsidRPr="00487162" w:rsidRDefault="00883B92" w:rsidP="00FE1DEE">
          <w:pPr>
            <w:pStyle w:val="Footer"/>
          </w:pPr>
          <w:r w:rsidRPr="00487162">
            <w:t>Document title, Part #, Section # - Section title</w:t>
          </w:r>
        </w:p>
        <w:p w14:paraId="203927F4" w14:textId="77777777" w:rsidR="00883B92" w:rsidRPr="00487162" w:rsidRDefault="00883B92" w:rsidP="00FE1DEE">
          <w:pPr>
            <w:pStyle w:val="Footer"/>
          </w:pPr>
          <w:r w:rsidRPr="00487162">
            <w:t>V1.0 October 2010</w:t>
          </w:r>
        </w:p>
      </w:tc>
      <w:tc>
        <w:tcPr>
          <w:tcW w:w="4342" w:type="dxa"/>
          <w:tcBorders>
            <w:top w:val="single" w:sz="4" w:space="0" w:color="auto"/>
          </w:tcBorders>
          <w:tcMar>
            <w:top w:w="142" w:type="dxa"/>
            <w:bottom w:w="0" w:type="dxa"/>
          </w:tcMar>
        </w:tcPr>
        <w:p w14:paraId="4BBE7051" w14:textId="77777777" w:rsidR="00883B92" w:rsidRPr="00487162" w:rsidRDefault="00883B9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482B8FAE" w14:textId="77777777" w:rsidR="00883B92" w:rsidRDefault="00883B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C5E90" w14:textId="77777777" w:rsidR="00883B92" w:rsidRPr="001C32CD" w:rsidRDefault="00883B92"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83B92" w14:paraId="684251D4" w14:textId="77777777" w:rsidTr="0010601F">
      <w:trPr>
        <w:trHeight w:val="108"/>
      </w:trPr>
      <w:tc>
        <w:tcPr>
          <w:tcW w:w="8875" w:type="dxa"/>
          <w:gridSpan w:val="2"/>
          <w:tcBorders>
            <w:bottom w:val="single" w:sz="4" w:space="0" w:color="auto"/>
          </w:tcBorders>
          <w:tcMar>
            <w:right w:w="284" w:type="dxa"/>
          </w:tcMar>
        </w:tcPr>
        <w:p w14:paraId="4CE4FD88" w14:textId="77777777" w:rsidR="00883B92" w:rsidRDefault="00883B92" w:rsidP="006E08B3">
          <w:pPr>
            <w:pStyle w:val="Heading3"/>
          </w:pPr>
          <w:r>
            <w:t>Copyright</w:t>
          </w:r>
        </w:p>
        <w:p w14:paraId="07DF22C0" w14:textId="77777777" w:rsidR="00883B92" w:rsidRDefault="00883B92" w:rsidP="006E08B3">
          <w:r>
            <w:rPr>
              <w:rFonts w:cs="Arial"/>
            </w:rPr>
            <w:t>©</w:t>
          </w:r>
          <w:r>
            <w:t xml:space="preserve"> Commonwealth of Australia [add year]</w:t>
          </w:r>
        </w:p>
        <w:p w14:paraId="1644D926" w14:textId="77777777" w:rsidR="00883B92" w:rsidRDefault="00883B92" w:rsidP="006E08B3"/>
        <w:p w14:paraId="6A4B3F86" w14:textId="77777777" w:rsidR="00883B92" w:rsidRDefault="00883B9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3D0E4C6" w14:textId="77777777" w:rsidR="00883B92" w:rsidRDefault="00883B92" w:rsidP="006E08B3"/>
        <w:p w14:paraId="5FE56BC0" w14:textId="77777777" w:rsidR="00883B92" w:rsidRDefault="00883B92" w:rsidP="006E08B3">
          <w:pPr>
            <w:pStyle w:val="Heading3"/>
          </w:pPr>
          <w:r>
            <w:t>Confidentiality</w:t>
          </w:r>
        </w:p>
        <w:p w14:paraId="7F638D32" w14:textId="77777777" w:rsidR="00883B92" w:rsidRDefault="00883B9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92CBF4F" w14:textId="77777777" w:rsidR="00883B92" w:rsidRDefault="00883B92" w:rsidP="006E08B3"/>
        <w:p w14:paraId="34B41530" w14:textId="77777777" w:rsidR="00883B92" w:rsidRDefault="00883B92" w:rsidP="006E08B3">
          <w:r>
            <w:t>For submission made by individuals, all personal details, other than your name, will be removed from your submission before it is published on the TGA’s Internet site.</w:t>
          </w:r>
        </w:p>
        <w:p w14:paraId="7B9DA3F5" w14:textId="77777777" w:rsidR="00883B92" w:rsidRDefault="00883B92" w:rsidP="006E08B3"/>
        <w:p w14:paraId="69A7DFD1" w14:textId="77777777" w:rsidR="00883B92" w:rsidRDefault="00883B92" w:rsidP="006E08B3">
          <w:r>
            <w:t>In addition, a list of parties making submissions will be published. If you do not wish to be identified with your submission you must specifically request this in the space provided ib the submission coversheet.</w:t>
          </w:r>
        </w:p>
      </w:tc>
    </w:tr>
    <w:tr w:rsidR="00883B92" w14:paraId="17B71168" w14:textId="77777777" w:rsidTr="0010601F">
      <w:trPr>
        <w:trHeight w:val="417"/>
      </w:trPr>
      <w:tc>
        <w:tcPr>
          <w:tcW w:w="4519" w:type="dxa"/>
          <w:tcBorders>
            <w:top w:val="single" w:sz="4" w:space="0" w:color="auto"/>
          </w:tcBorders>
          <w:tcMar>
            <w:top w:w="142" w:type="dxa"/>
            <w:bottom w:w="0" w:type="dxa"/>
          </w:tcMar>
        </w:tcPr>
        <w:p w14:paraId="534A2A59" w14:textId="77777777" w:rsidR="00883B92" w:rsidRDefault="00883B92" w:rsidP="006E08B3">
          <w:r>
            <w:t>Document title, Part #, Section # - Section title</w:t>
          </w:r>
        </w:p>
        <w:p w14:paraId="5F478D98" w14:textId="77777777" w:rsidR="00883B92" w:rsidRDefault="00883B92" w:rsidP="006E08B3">
          <w:r>
            <w:t>V1.0 October 2010</w:t>
          </w:r>
        </w:p>
      </w:tc>
      <w:tc>
        <w:tcPr>
          <w:tcW w:w="4356" w:type="dxa"/>
          <w:tcBorders>
            <w:top w:val="single" w:sz="4" w:space="0" w:color="auto"/>
          </w:tcBorders>
          <w:tcMar>
            <w:top w:w="142" w:type="dxa"/>
            <w:bottom w:w="0" w:type="dxa"/>
          </w:tcMar>
        </w:tcPr>
        <w:p w14:paraId="570FE452" w14:textId="77777777" w:rsidR="00883B92" w:rsidRDefault="00883B9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652380AC" w14:textId="77777777" w:rsidR="00883B92" w:rsidRDefault="00883B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16AA1" w14:textId="77777777" w:rsidR="00883B92" w:rsidRDefault="00883B92" w:rsidP="00C40A36">
      <w:pPr>
        <w:spacing w:after="0"/>
      </w:pPr>
      <w:r>
        <w:separator/>
      </w:r>
    </w:p>
  </w:footnote>
  <w:footnote w:type="continuationSeparator" w:id="0">
    <w:p w14:paraId="14BCB033" w14:textId="77777777" w:rsidR="00883B92" w:rsidRDefault="00883B92" w:rsidP="00C40A36">
      <w:pPr>
        <w:spacing w:after="0"/>
      </w:pPr>
      <w:r>
        <w:continuationSeparator/>
      </w:r>
    </w:p>
  </w:footnote>
  <w:footnote w:id="1">
    <w:p w14:paraId="0BDA2323" w14:textId="77777777" w:rsidR="00883B92" w:rsidRPr="0079571B" w:rsidRDefault="00883B92">
      <w:pPr>
        <w:pStyle w:val="FootnoteText"/>
        <w:rPr>
          <w:lang w:val="en-US"/>
        </w:rPr>
      </w:pPr>
      <w:r>
        <w:rPr>
          <w:rStyle w:val="FootnoteReference"/>
        </w:rPr>
        <w:footnoteRef/>
      </w:r>
      <w:r>
        <w:t xml:space="preserve"> Larson, R., Lowenberg B., Rosmarin A. Induction therapy for Philadelphia chromosome positive acute lymphoblastic leukaemia in adults. UpToDate. Feb 2017 (literature search current up until September 2017).</w:t>
      </w:r>
    </w:p>
  </w:footnote>
  <w:footnote w:id="2">
    <w:p w14:paraId="4A8299D4" w14:textId="02901D4E" w:rsidR="00883B92" w:rsidRPr="00B90B8B" w:rsidRDefault="00883B92">
      <w:pPr>
        <w:pStyle w:val="FootnoteText"/>
        <w:rPr>
          <w:lang w:val="en-US"/>
        </w:rPr>
      </w:pPr>
      <w:r>
        <w:rPr>
          <w:rStyle w:val="FootnoteReference"/>
        </w:rPr>
        <w:footnoteRef/>
      </w:r>
      <w:r>
        <w:t xml:space="preserve"> </w:t>
      </w:r>
      <w:r w:rsidRPr="004466D5">
        <w:t>Up to Date 22</w:t>
      </w:r>
      <w:r>
        <w:t xml:space="preserve"> February 20</w:t>
      </w:r>
      <w:r w:rsidRPr="004466D5">
        <w:t>17: Clinical manifestations, pathologic features and diagnosis of Precursor B acute lymphoblastic leukaemia/lymphoma</w:t>
      </w:r>
    </w:p>
  </w:footnote>
  <w:footnote w:id="3">
    <w:p w14:paraId="0F5448FD" w14:textId="77777777" w:rsidR="00883B92" w:rsidRPr="004466D5" w:rsidRDefault="00883B92">
      <w:pPr>
        <w:pStyle w:val="FootnoteText"/>
        <w:rPr>
          <w:lang w:val="en-US"/>
        </w:rPr>
      </w:pPr>
      <w:r>
        <w:rPr>
          <w:rStyle w:val="FootnoteReference"/>
        </w:rPr>
        <w:footnoteRef/>
      </w:r>
      <w:r>
        <w:t xml:space="preserve"> Source: Up to Date 22/2/17: Induction therapy for Philadelphia chromosome positive acute lymphoblastic leukaemia in adults</w:t>
      </w:r>
    </w:p>
  </w:footnote>
  <w:footnote w:id="4">
    <w:p w14:paraId="2F80C5C3" w14:textId="77777777" w:rsidR="00883B92" w:rsidRPr="00494A3E" w:rsidRDefault="00883B92" w:rsidP="00494A3E">
      <w:pPr>
        <w:pStyle w:val="FootnoteText"/>
      </w:pPr>
      <w:r w:rsidRPr="00494A3E">
        <w:rPr>
          <w:rStyle w:val="FootnoteReference"/>
          <w:szCs w:val="18"/>
        </w:rPr>
        <w:footnoteRef/>
      </w:r>
      <w:r w:rsidRPr="00494A3E">
        <w:rPr>
          <w:szCs w:val="18"/>
        </w:rPr>
        <w:t xml:space="preserve"> Ravandi F et al. 2010</w:t>
      </w:r>
      <w:r w:rsidRPr="00494A3E">
        <w:t xml:space="preserve"> First report of phase 2 study of dasatinib with hyper-CVAD for the frontline treatment of patients with Philadelphia chromosome–positive (Ph_) acute lymphoblastic leukemia. </w:t>
      </w:r>
      <w:r w:rsidRPr="00494A3E">
        <w:rPr>
          <w:i/>
        </w:rPr>
        <w:t>Blood</w:t>
      </w:r>
      <w:r w:rsidRPr="00494A3E">
        <w:t xml:space="preserve"> 2010;</w:t>
      </w:r>
      <w:r>
        <w:t xml:space="preserve"> </w:t>
      </w:r>
      <w:r w:rsidRPr="00494A3E">
        <w:t>116:</w:t>
      </w:r>
      <w:r>
        <w:t xml:space="preserve"> </w:t>
      </w:r>
      <w:r w:rsidRPr="00494A3E">
        <w:t>2070-2077</w:t>
      </w:r>
    </w:p>
  </w:footnote>
  <w:footnote w:id="5">
    <w:p w14:paraId="7A2F97FD" w14:textId="77777777" w:rsidR="00883B92" w:rsidRPr="00494A3E" w:rsidRDefault="00883B92" w:rsidP="00494A3E">
      <w:pPr>
        <w:pStyle w:val="FootnoteText"/>
      </w:pPr>
      <w:r w:rsidRPr="00494A3E">
        <w:rPr>
          <w:rStyle w:val="FootnoteReference"/>
        </w:rPr>
        <w:footnoteRef/>
      </w:r>
      <w:r w:rsidRPr="00494A3E">
        <w:t xml:space="preserve"> Ravandi F et al. 2013 Detection of MRD may predict the outcome of patients with Philadelphia chromosome</w:t>
      </w:r>
      <w:r w:rsidRPr="00494A3E">
        <w:rPr>
          <w:rFonts w:ascii="AdvOTd40fda3b.B+20" w:hAnsi="AdvOTd40fda3b.B+20" w:cs="AdvOTd40fda3b.B+20"/>
        </w:rPr>
        <w:noBreakHyphen/>
      </w:r>
      <w:r w:rsidRPr="00494A3E">
        <w:t xml:space="preserve">positive ALL treated with tyrosine kinase inhibitors plus chemotherapy. </w:t>
      </w:r>
      <w:r w:rsidRPr="00494A3E">
        <w:rPr>
          <w:i/>
        </w:rPr>
        <w:t xml:space="preserve">Blood </w:t>
      </w:r>
      <w:r w:rsidRPr="00494A3E">
        <w:t>2013; 122: 1214-1221</w:t>
      </w:r>
    </w:p>
  </w:footnote>
  <w:footnote w:id="6">
    <w:p w14:paraId="0EE6B010" w14:textId="77777777" w:rsidR="00883B92" w:rsidRPr="00494A3E" w:rsidRDefault="00883B92" w:rsidP="00494A3E">
      <w:pPr>
        <w:pStyle w:val="FootnoteText"/>
      </w:pPr>
      <w:r w:rsidRPr="00494A3E">
        <w:rPr>
          <w:rStyle w:val="FootnoteReference"/>
        </w:rPr>
        <w:footnoteRef/>
      </w:r>
      <w:r w:rsidRPr="00494A3E">
        <w:t xml:space="preserve"> Ravandi F et al. 2015 Long-Term Follow-Up of a Phase 2 Study of Chemotherapy Plus Dasatinib for the Initial Treatment of Patients With Philadelphia Chromosome–Positive Acute Lymphoblastic Leukemia. </w:t>
      </w:r>
      <w:r w:rsidRPr="00494A3E">
        <w:rPr>
          <w:i/>
        </w:rPr>
        <w:t xml:space="preserve">Cancer </w:t>
      </w:r>
      <w:r w:rsidRPr="00494A3E">
        <w:t>2015; 121: 4158-4164.</w:t>
      </w:r>
    </w:p>
  </w:footnote>
  <w:footnote w:id="7">
    <w:p w14:paraId="42FCFFB3" w14:textId="77777777" w:rsidR="00883B92" w:rsidRPr="00494A3E" w:rsidRDefault="00883B92" w:rsidP="00494A3E">
      <w:pPr>
        <w:pStyle w:val="FootnoteText"/>
      </w:pPr>
      <w:r w:rsidRPr="00494A3E">
        <w:rPr>
          <w:rStyle w:val="FootnoteReference"/>
        </w:rPr>
        <w:footnoteRef/>
      </w:r>
      <w:r w:rsidRPr="00494A3E">
        <w:t xml:space="preserve"> Yoon J –H et al 2016 Minimal residual disease-based effect and long-term outcome of </w:t>
      </w:r>
      <w:r w:rsidRPr="00494A3E">
        <w:rPr>
          <w:rFonts w:ascii="AdvOTfbba3ace.B+fb" w:hAnsi="AdvOTfbba3ace.B+fb" w:cs="AdvOTfbba3ace.B+fb"/>
        </w:rPr>
        <w:t>fi</w:t>
      </w:r>
      <w:r w:rsidRPr="00494A3E">
        <w:t xml:space="preserve">rst-line dasatinib combined with chemotherapy for adult Philadelphia chromosomepositive acute lymphoblastic leukemia. </w:t>
      </w:r>
      <w:r w:rsidRPr="00494A3E">
        <w:rPr>
          <w:i/>
        </w:rPr>
        <w:t>Annals of Oncology</w:t>
      </w:r>
      <w:r w:rsidRPr="00494A3E">
        <w:t xml:space="preserve"> 2016; 27: 1081–1088</w:t>
      </w:r>
    </w:p>
  </w:footnote>
  <w:footnote w:id="8">
    <w:p w14:paraId="7EEA3E1B" w14:textId="77777777" w:rsidR="00883B92" w:rsidRPr="00494A3E" w:rsidRDefault="00883B92" w:rsidP="00494A3E">
      <w:pPr>
        <w:pStyle w:val="FootnoteText"/>
      </w:pPr>
      <w:r w:rsidRPr="00494A3E">
        <w:rPr>
          <w:rStyle w:val="FootnoteReference"/>
        </w:rPr>
        <w:footnoteRef/>
      </w:r>
      <w:r w:rsidRPr="00494A3E">
        <w:t xml:space="preserve"> Rousselot P et al 2016 Dasatinib and low-intensity chemotherapy in elderly patients with Philadelphia chromosome–positive ALL</w:t>
      </w:r>
      <w:r w:rsidRPr="00494A3E">
        <w:rPr>
          <w:i/>
        </w:rPr>
        <w:t>. Blood</w:t>
      </w:r>
      <w:r w:rsidRPr="00494A3E">
        <w:t xml:space="preserve"> Prepublished online as</w:t>
      </w:r>
    </w:p>
    <w:p w14:paraId="7B5D87F8" w14:textId="77777777" w:rsidR="00883B92" w:rsidRPr="00494A3E" w:rsidRDefault="00883B92" w:rsidP="00494A3E">
      <w:pPr>
        <w:pStyle w:val="FootnoteText"/>
      </w:pPr>
      <w:r w:rsidRPr="00494A3E">
        <w:t>Blood First Edition paper, April 27, 2016</w:t>
      </w:r>
    </w:p>
  </w:footnote>
  <w:footnote w:id="9">
    <w:p w14:paraId="4E36202A" w14:textId="77777777" w:rsidR="00883B92" w:rsidRPr="00494A3E" w:rsidRDefault="00883B92" w:rsidP="00494A3E">
      <w:pPr>
        <w:pStyle w:val="FootnoteText"/>
      </w:pPr>
      <w:r w:rsidRPr="00494A3E">
        <w:rPr>
          <w:rStyle w:val="FootnoteReference"/>
        </w:rPr>
        <w:footnoteRef/>
      </w:r>
      <w:r w:rsidRPr="00494A3E">
        <w:t xml:space="preserve"> Foa R et al 2011 Dasatinib as first-line treatment for adult patients with Philadelphia chromosome–positive acute lymphoblastic leukemia. </w:t>
      </w:r>
      <w:r w:rsidRPr="00494A3E">
        <w:rPr>
          <w:i/>
        </w:rPr>
        <w:t>Blood</w:t>
      </w:r>
      <w:r w:rsidRPr="00494A3E">
        <w:t xml:space="preserve"> 2011; 118: 6521-6528</w:t>
      </w:r>
    </w:p>
  </w:footnote>
  <w:footnote w:id="10">
    <w:p w14:paraId="0D7CDAD4" w14:textId="77777777" w:rsidR="00883B92" w:rsidRPr="00494A3E" w:rsidRDefault="00883B92" w:rsidP="00494A3E">
      <w:pPr>
        <w:pStyle w:val="FootnoteText"/>
      </w:pPr>
      <w:r w:rsidRPr="00494A3E">
        <w:rPr>
          <w:rStyle w:val="FootnoteReference"/>
        </w:rPr>
        <w:footnoteRef/>
      </w:r>
      <w:r w:rsidRPr="00494A3E">
        <w:t xml:space="preserve"> Grigg A et al. 2017 Dasatinib and Hyper-CVAD in Ph+ Acute Lymphoblastic Leukaemia leads to prolonged survival even in the absence of allogeneic stem cell transplantation</w:t>
      </w:r>
    </w:p>
  </w:footnote>
  <w:footnote w:id="11">
    <w:p w14:paraId="09E3BC41" w14:textId="6DC0E504" w:rsidR="00883B92" w:rsidRPr="00494A3E" w:rsidRDefault="00883B92" w:rsidP="00494A3E">
      <w:pPr>
        <w:pStyle w:val="FootnoteText"/>
      </w:pPr>
      <w:r>
        <w:rPr>
          <w:rStyle w:val="FootnoteReference"/>
        </w:rPr>
        <w:footnoteRef/>
      </w:r>
      <w:r>
        <w:t xml:space="preserve"> </w:t>
      </w:r>
      <w:r>
        <w:rPr>
          <w:lang w:eastAsia="ja-JP"/>
        </w:rPr>
        <w:t xml:space="preserve">Slayton W 2015 </w:t>
      </w:r>
      <w:r>
        <w:t>Outcomes of dasatinib plus intensive chemotherapy or stem cell transplant (SCT) for Philadelphia chromosome-positive acute lymphoblastic leukemia (Ph</w:t>
      </w:r>
      <w:r>
        <w:rPr>
          <w:sz w:val="15"/>
          <w:szCs w:val="15"/>
        </w:rPr>
        <w:t xml:space="preserve">+ </w:t>
      </w:r>
      <w:r>
        <w:t xml:space="preserve">ALL) on Children’s Oncology Group </w:t>
      </w:r>
      <w:r w:rsidRPr="00494A3E">
        <w:t>AALL0622. Published on Meeting Library (http://meetinglibrary.asco.org/content/150973-156) (provided</w:t>
      </w:r>
      <w:r>
        <w:t xml:space="preserve"> in the dossier)</w:t>
      </w:r>
    </w:p>
  </w:footnote>
  <w:footnote w:id="12">
    <w:p w14:paraId="00B9B6CD" w14:textId="77777777" w:rsidR="00883B92" w:rsidRPr="00B52C6D" w:rsidRDefault="00883B92" w:rsidP="00B52C6D">
      <w:pPr>
        <w:pStyle w:val="FootnoteText"/>
      </w:pPr>
      <w:r w:rsidRPr="00B52C6D">
        <w:rPr>
          <w:vertAlign w:val="superscript"/>
        </w:rPr>
        <w:footnoteRef/>
      </w:r>
      <w:r w:rsidRPr="00B52C6D">
        <w:t xml:space="preserve"> Caocci G et al 2012  Prophylactic and Preemptive Therapy with Dasatinib after Hematopoietic Stem Cell Transplantation for Philadelphia Chromosome- Positive Acute Lymphoblastic Leukemia. </w:t>
      </w:r>
      <w:r w:rsidRPr="00B52C6D">
        <w:rPr>
          <w:i/>
        </w:rPr>
        <w:t>Biol Blood Marrow Transplant</w:t>
      </w:r>
      <w:r w:rsidRPr="00B52C6D">
        <w:t xml:space="preserve"> 2012; 18: 652-654</w:t>
      </w:r>
    </w:p>
  </w:footnote>
  <w:footnote w:id="13">
    <w:p w14:paraId="6FA677E3" w14:textId="77777777" w:rsidR="00883B92" w:rsidRPr="00B52C6D" w:rsidRDefault="00883B92" w:rsidP="00B52C6D">
      <w:pPr>
        <w:pStyle w:val="FootnoteText"/>
        <w:rPr>
          <w:rFonts w:ascii="34geswsjuefuvco,Bold" w:hAnsi="34geswsjuefuvco,Bold" w:cs="34geswsjuefuvco,Bold"/>
          <w:b/>
          <w:bCs/>
        </w:rPr>
      </w:pPr>
      <w:r w:rsidRPr="00B52C6D">
        <w:rPr>
          <w:rStyle w:val="FootnoteReference"/>
        </w:rPr>
        <w:footnoteRef/>
      </w:r>
      <w:r w:rsidRPr="00B52C6D">
        <w:t xml:space="preserve"> Gurman G et al 2016 The efficacy of tyrosine kinase inhibitors with steroid in ph+ acute lymphoblastic leukemia. </w:t>
      </w:r>
      <w:r w:rsidRPr="00B52C6D">
        <w:rPr>
          <w:i/>
        </w:rPr>
        <w:t>J Clin Oncol</w:t>
      </w:r>
      <w:r w:rsidRPr="00B52C6D">
        <w:t xml:space="preserve"> 2016; 34, (suppl; abstr e18531)</w:t>
      </w:r>
    </w:p>
  </w:footnote>
  <w:footnote w:id="14">
    <w:p w14:paraId="6052401E" w14:textId="77777777" w:rsidR="00883B92" w:rsidRPr="00B52C6D" w:rsidRDefault="00883B92" w:rsidP="00B52C6D">
      <w:pPr>
        <w:pStyle w:val="FootnoteText"/>
      </w:pPr>
      <w:r w:rsidRPr="00B52C6D">
        <w:rPr>
          <w:rStyle w:val="FootnoteReference"/>
        </w:rPr>
        <w:footnoteRef/>
      </w:r>
      <w:r w:rsidRPr="00B52C6D">
        <w:t xml:space="preserve"> Lamanna N et al 2012 High</w:t>
      </w:r>
      <w:r>
        <w:t xml:space="preserve"> Dose Cytarabine and Mitoxantrone in Combination with Dasatinib As Active Induction Therapy in Adult Patients with Philadelphia Chromosome Positive (ph+) Acute Lymphoblastic Leukemia </w:t>
      </w:r>
      <w:r w:rsidRPr="00B52C6D">
        <w:t xml:space="preserve">(ALL) </w:t>
      </w:r>
      <w:r w:rsidRPr="00B52C6D">
        <w:rPr>
          <w:i/>
        </w:rPr>
        <w:t>Blood</w:t>
      </w:r>
      <w:r w:rsidRPr="00B52C6D">
        <w:t xml:space="preserve"> 2012</w:t>
      </w:r>
      <w:r>
        <w:t>;</w:t>
      </w:r>
      <w:r w:rsidRPr="00B52C6D">
        <w:t xml:space="preserve"> 120:</w:t>
      </w:r>
      <w:r>
        <w:t xml:space="preserve"> abstract </w:t>
      </w:r>
      <w:r w:rsidRPr="00B52C6D">
        <w:t>4293</w:t>
      </w:r>
    </w:p>
  </w:footnote>
  <w:footnote w:id="15">
    <w:p w14:paraId="4E729FA1" w14:textId="77777777" w:rsidR="00883B92" w:rsidRPr="00B52C6D" w:rsidRDefault="00883B92" w:rsidP="00B52C6D">
      <w:pPr>
        <w:pStyle w:val="FootnoteText"/>
      </w:pPr>
      <w:r w:rsidRPr="00B52C6D">
        <w:rPr>
          <w:rStyle w:val="FootnoteReference"/>
        </w:rPr>
        <w:footnoteRef/>
      </w:r>
      <w:r w:rsidRPr="00B52C6D">
        <w:t xml:space="preserve"> Pastori G et al 2015 Fludarabine, Cytarabine, Daunoxome Plus Dasatinib Has High Efficacy with an Acceptable Toxicity Profile As Either Consolidation or Salvage Regimen in Adult Philadelphia Positive Acute Lymphoblastic Leukemia Patients </w:t>
      </w:r>
      <w:r w:rsidRPr="00B52C6D">
        <w:rPr>
          <w:i/>
        </w:rPr>
        <w:t>Blood</w:t>
      </w:r>
      <w:r w:rsidRPr="00B52C6D">
        <w:t xml:space="preserve"> 2015; 126: abstract 4908</w:t>
      </w:r>
    </w:p>
  </w:footnote>
  <w:footnote w:id="16">
    <w:p w14:paraId="1E62D070" w14:textId="77777777" w:rsidR="00883B92" w:rsidRPr="00B52C6D" w:rsidRDefault="00883B92" w:rsidP="00B52C6D">
      <w:pPr>
        <w:pStyle w:val="FootnoteText"/>
      </w:pPr>
      <w:r w:rsidRPr="00B52C6D">
        <w:rPr>
          <w:rStyle w:val="FootnoteReference"/>
        </w:rPr>
        <w:footnoteRef/>
      </w:r>
      <w:r w:rsidRPr="00B52C6D">
        <w:t xml:space="preserve"> Sasaki K et al 2016 Propensity score analysis: Frontline therapy with hyper-CVAD (HCVAD) + ponatinib vs. HCVAD + dasatinib in patients</w:t>
      </w:r>
      <w:r>
        <w:t xml:space="preserve"> (pts) with Philadelphia chromosome-positive (Ph+) acute lymphoblastic </w:t>
      </w:r>
      <w:r w:rsidRPr="00B52C6D">
        <w:t xml:space="preserve">leukemia (ALL). </w:t>
      </w:r>
      <w:r w:rsidRPr="00B52C6D">
        <w:rPr>
          <w:i/>
        </w:rPr>
        <w:t>J Clin Oncol</w:t>
      </w:r>
      <w:r w:rsidRPr="00B52C6D">
        <w:t xml:space="preserve"> 2016; 34: (suppl; abstr 7025)</w:t>
      </w:r>
    </w:p>
  </w:footnote>
  <w:footnote w:id="17">
    <w:p w14:paraId="4FE31035" w14:textId="77777777" w:rsidR="00883B92" w:rsidRPr="00B52C6D" w:rsidRDefault="00883B92" w:rsidP="00B52C6D">
      <w:pPr>
        <w:pStyle w:val="FootnoteText"/>
      </w:pPr>
      <w:r w:rsidRPr="00B52C6D">
        <w:rPr>
          <w:rStyle w:val="FootnoteReference"/>
        </w:rPr>
        <w:footnoteRef/>
      </w:r>
      <w:r w:rsidRPr="00B52C6D">
        <w:t xml:space="preserve"> Slayton WB et al 2015 Outcomes of dasatinib plus intensive chemotherapy or stem cell transplant (SCT) for Philadelphia chromosome-positive acute lymphoblastic leukemia (Ph</w:t>
      </w:r>
      <w:r w:rsidRPr="00B52C6D">
        <w:rPr>
          <w:sz w:val="15"/>
          <w:szCs w:val="15"/>
        </w:rPr>
        <w:t xml:space="preserve">+ </w:t>
      </w:r>
      <w:r w:rsidRPr="00B52C6D">
        <w:t>ALL) on Children’s Oncology Group AALL0622</w:t>
      </w:r>
      <w:r w:rsidRPr="00B52C6D">
        <w:rPr>
          <w:i/>
        </w:rPr>
        <w:t>. J Clin Oncol</w:t>
      </w:r>
      <w:r w:rsidRPr="00B52C6D">
        <w:t xml:space="preserve"> 2015; 33: (suppl; abstr 10006)</w:t>
      </w:r>
    </w:p>
  </w:footnote>
  <w:footnote w:id="18">
    <w:p w14:paraId="54F1B1F2" w14:textId="77777777" w:rsidR="00883B92" w:rsidRPr="00B52C6D" w:rsidRDefault="00883B92" w:rsidP="00B52C6D">
      <w:pPr>
        <w:pStyle w:val="FootnoteText"/>
      </w:pPr>
      <w:r w:rsidRPr="00B52C6D">
        <w:rPr>
          <w:rStyle w:val="FootnoteReference"/>
        </w:rPr>
        <w:footnoteRef/>
      </w:r>
      <w:r w:rsidRPr="00B52C6D">
        <w:t xml:space="preserve"> Tekgunduz E et al 2016 Adult Philadelphia Chromosome-Positive Acute Lymphoblastic Leukemia in Daily</w:t>
      </w:r>
      <w:r>
        <w:t xml:space="preserve"> Practice: A </w:t>
      </w:r>
      <w:r w:rsidRPr="00B52C6D">
        <w:t xml:space="preserve">Multicenter Experience. </w:t>
      </w:r>
      <w:r w:rsidRPr="00B52C6D">
        <w:rPr>
          <w:i/>
        </w:rPr>
        <w:t>Clinical Lymphoma, Myeloma &amp; Leukemia</w:t>
      </w:r>
      <w:r w:rsidRPr="00B52C6D">
        <w:t xml:space="preserve">, </w:t>
      </w:r>
      <w:r>
        <w:t>2016; 16:</w:t>
      </w:r>
      <w:r w:rsidRPr="00B52C6D">
        <w:t xml:space="preserve"> 269</w:t>
      </w:r>
      <w:r>
        <w:t>2</w:t>
      </w:r>
      <w:r w:rsidRPr="00B52C6D">
        <w:t>-</w:t>
      </w:r>
      <w:r>
        <w:t>2</w:t>
      </w:r>
      <w:r w:rsidRPr="00B52C6D">
        <w:t>74</w:t>
      </w:r>
    </w:p>
  </w:footnote>
  <w:footnote w:id="19">
    <w:p w14:paraId="574471F2" w14:textId="77777777" w:rsidR="00883B92" w:rsidRPr="00B52C6D" w:rsidRDefault="00883B92" w:rsidP="00B52C6D">
      <w:pPr>
        <w:pStyle w:val="FootnoteText"/>
      </w:pPr>
      <w:r>
        <w:rPr>
          <w:rStyle w:val="FootnoteReference"/>
        </w:rPr>
        <w:footnoteRef/>
      </w:r>
      <w:r>
        <w:t xml:space="preserve"> Le Coutre PD et al 2016 Low incidence of peripheral arterial disease in patients receiving dasatinib in </w:t>
      </w:r>
      <w:r w:rsidRPr="00B52C6D">
        <w:t>clinical trials</w:t>
      </w:r>
      <w:r w:rsidRPr="00B52C6D">
        <w:rPr>
          <w:i/>
        </w:rPr>
        <w:t>. Leukemia</w:t>
      </w:r>
      <w:r w:rsidRPr="00B52C6D">
        <w:t xml:space="preserve"> </w:t>
      </w:r>
      <w:r>
        <w:t>2016;</w:t>
      </w:r>
      <w:r w:rsidRPr="00B52C6D">
        <w:t xml:space="preserve"> </w:t>
      </w:r>
      <w:r>
        <w:t>30:</w:t>
      </w:r>
      <w:r w:rsidRPr="00B52C6D">
        <w:t xml:space="preserve"> 1593–1596</w:t>
      </w:r>
    </w:p>
  </w:footnote>
  <w:footnote w:id="20">
    <w:p w14:paraId="77D4335E" w14:textId="77777777" w:rsidR="00883B92" w:rsidRPr="00B52C6D" w:rsidRDefault="00883B92" w:rsidP="00B52C6D">
      <w:pPr>
        <w:pStyle w:val="FootnoteText"/>
      </w:pPr>
      <w:r>
        <w:rPr>
          <w:rStyle w:val="FootnoteReference"/>
        </w:rPr>
        <w:footnoteRef/>
      </w:r>
      <w:r>
        <w:t xml:space="preserve"> </w:t>
      </w:r>
      <w:r w:rsidRPr="00B52C6D">
        <w:t xml:space="preserve">Cortes J et al 2015 Cardiovascular and pulmonary adverse events in patients treated with BCR-ABL inhibitors: Data from the FDA Adverse Event Reporting System. </w:t>
      </w:r>
      <w:r w:rsidRPr="00B52C6D">
        <w:rPr>
          <w:i/>
        </w:rPr>
        <w:t>Am. J. Hematol.</w:t>
      </w:r>
      <w:r w:rsidRPr="00B52C6D">
        <w:t xml:space="preserve"> </w:t>
      </w:r>
      <w:r>
        <w:t xml:space="preserve">2015; </w:t>
      </w:r>
      <w:r w:rsidRPr="00B52C6D">
        <w:t>90:</w:t>
      </w:r>
      <w:r>
        <w:t xml:space="preserve"> E66–E72</w:t>
      </w:r>
    </w:p>
  </w:footnote>
  <w:footnote w:id="21">
    <w:p w14:paraId="22C390EA" w14:textId="77777777" w:rsidR="00883B92" w:rsidRPr="00BB4D43" w:rsidRDefault="00883B92" w:rsidP="00922EAD">
      <w:pPr>
        <w:pStyle w:val="FootnoteText"/>
      </w:pPr>
      <w:r>
        <w:rPr>
          <w:rStyle w:val="FootnoteReference"/>
        </w:rPr>
        <w:footnoteRef/>
      </w:r>
      <w:r>
        <w:t xml:space="preserve"> The EBGM is calculated by adjusting the observed frequency of the drug-event pair using </w:t>
      </w:r>
      <w:r>
        <w:rPr>
          <w:rFonts w:ascii="AdvOT7d6df7ab.I" w:hAnsi="AdvOT7d6df7ab.I" w:cs="AdvOT7d6df7ab.I"/>
        </w:rPr>
        <w:t>b</w:t>
      </w:r>
      <w:r>
        <w:t xml:space="preserve">, the frequency of reports of the event of interest with all other drugs, and </w:t>
      </w:r>
      <w:r>
        <w:rPr>
          <w:rFonts w:ascii="AdvOT7d6df7ab.I" w:hAnsi="AdvOT7d6df7ab.I" w:cs="AdvOT7d6df7ab.I"/>
        </w:rPr>
        <w:t>c</w:t>
      </w:r>
      <w:r>
        <w:t xml:space="preserve">, the frequency of all other events reported for the drug of interest. The EBGM 90% confidence interval (CI) is defined by EB05 and EB95. Although disproportionality analyses do not measure AE incidence or establish that a drug is causative, higher EBGM or EB05 values indicate higher probability of association, warranting further evaluation. Although </w:t>
      </w:r>
      <w:r w:rsidRPr="00BB4D43">
        <w:t xml:space="preserve">EB05 </w:t>
      </w:r>
      <w:r w:rsidRPr="00BB4D43">
        <w:rPr>
          <w:rFonts w:ascii="AdvP4C4E74" w:hAnsi="AdvP4C4E74" w:cs="AdvP4C4E74"/>
        </w:rPr>
        <w:t>≥</w:t>
      </w:r>
      <w:r>
        <w:rPr>
          <w:rFonts w:ascii="AdvP4C4E74" w:hAnsi="AdvP4C4E74" w:cs="AdvP4C4E74"/>
        </w:rPr>
        <w:t xml:space="preserve"> </w:t>
      </w:r>
      <w:r>
        <w:t xml:space="preserve">2 is commonly used for identifying drug-event associations warranting further investigation, EB05 </w:t>
      </w:r>
      <w:r>
        <w:rPr>
          <w:rFonts w:ascii="AdvP4C4E74" w:hAnsi="AdvP4C4E74" w:cs="AdvP4C4E74"/>
        </w:rPr>
        <w:t xml:space="preserve">≥ </w:t>
      </w:r>
      <w:r>
        <w:t>4 was chosen for this report to identify events more likely to be clinically relevant and potentially attributable to drug therapy.</w:t>
      </w:r>
    </w:p>
  </w:footnote>
  <w:footnote w:id="22">
    <w:p w14:paraId="439B2CE9" w14:textId="77777777" w:rsidR="00883B92" w:rsidRPr="00B44B0F" w:rsidRDefault="00883B92" w:rsidP="00B44B0F">
      <w:pPr>
        <w:pStyle w:val="FootnoteText"/>
      </w:pPr>
      <w:r>
        <w:rPr>
          <w:rStyle w:val="FootnoteReference"/>
        </w:rPr>
        <w:footnoteRef/>
      </w:r>
      <w:r>
        <w:t xml:space="preserve"> Egron A et al 2015 Preventable and potentially preventable serious adverse reactions induced by oral protein kinase inhibitors through a database of adverse drug reaction </w:t>
      </w:r>
      <w:r w:rsidRPr="00B44B0F">
        <w:t xml:space="preserve">reports </w:t>
      </w:r>
      <w:r w:rsidRPr="00B44B0F">
        <w:rPr>
          <w:i/>
        </w:rPr>
        <w:t>Targ Oncol</w:t>
      </w:r>
      <w:r>
        <w:t xml:space="preserve"> 2015;</w:t>
      </w:r>
      <w:r w:rsidRPr="00B44B0F">
        <w:t xml:space="preserve"> 10:</w:t>
      </w:r>
      <w:r>
        <w:t xml:space="preserve"> </w:t>
      </w:r>
      <w:r w:rsidRPr="00B44B0F">
        <w:t>229–234</w:t>
      </w:r>
    </w:p>
  </w:footnote>
  <w:footnote w:id="23">
    <w:p w14:paraId="3316C08F" w14:textId="77777777" w:rsidR="00883B92" w:rsidRPr="00B44B0F" w:rsidRDefault="00883B92">
      <w:pPr>
        <w:pStyle w:val="FootnoteText"/>
        <w:rPr>
          <w:lang w:val="en-US"/>
        </w:rPr>
      </w:pPr>
      <w:r>
        <w:rPr>
          <w:rStyle w:val="FootnoteReference"/>
        </w:rPr>
        <w:footnoteRef/>
      </w:r>
      <w:r>
        <w:t xml:space="preserve"> Samad R et al 2015 Dasatinib-Associated Pleural Effusion in Patients with Hematological and Solid Malignancies. </w:t>
      </w:r>
      <w:r w:rsidRPr="00B44B0F">
        <w:rPr>
          <w:i/>
        </w:rPr>
        <w:t>Am J Respir Crit Care Med</w:t>
      </w:r>
      <w:r>
        <w:t xml:space="preserve"> 2015; 191: A6385</w:t>
      </w:r>
    </w:p>
  </w:footnote>
  <w:footnote w:id="24">
    <w:p w14:paraId="0AE60698" w14:textId="77777777" w:rsidR="00883B92" w:rsidRDefault="00883B92" w:rsidP="007B0A0F">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597A420" w14:textId="77777777" w:rsidR="00883B92" w:rsidRDefault="00883B92" w:rsidP="007B0A0F">
      <w:pPr>
        <w:pStyle w:val="FootnoteText"/>
      </w:pPr>
      <w:r w:rsidRPr="00F12492">
        <w:rPr>
          <w:i/>
        </w:rPr>
        <w:t>Routine pharmacovigilance</w:t>
      </w:r>
      <w:r>
        <w:t xml:space="preserve"> practices involve the following activities:</w:t>
      </w:r>
    </w:p>
    <w:p w14:paraId="15802E3A" w14:textId="77777777" w:rsidR="00883B92" w:rsidRDefault="00883B92" w:rsidP="00856DAB">
      <w:pPr>
        <w:pStyle w:val="FootnoteText"/>
        <w:numPr>
          <w:ilvl w:val="0"/>
          <w:numId w:val="5"/>
        </w:numPr>
      </w:pPr>
      <w:r>
        <w:t>All suspected adverse reactions that are reported to the personnel of the company are collected and collated in an accessible manner;</w:t>
      </w:r>
    </w:p>
    <w:p w14:paraId="717A2F4C" w14:textId="77777777" w:rsidR="00883B92" w:rsidRDefault="00883B92" w:rsidP="00856DAB">
      <w:pPr>
        <w:pStyle w:val="FootnoteText"/>
        <w:numPr>
          <w:ilvl w:val="0"/>
          <w:numId w:val="5"/>
        </w:numPr>
      </w:pPr>
      <w:r>
        <w:t>Reporting to regulatory authorities;</w:t>
      </w:r>
    </w:p>
    <w:p w14:paraId="77757AB4" w14:textId="77777777" w:rsidR="00883B92" w:rsidRDefault="00883B92" w:rsidP="00856DAB">
      <w:pPr>
        <w:pStyle w:val="FootnoteText"/>
        <w:numPr>
          <w:ilvl w:val="0"/>
          <w:numId w:val="5"/>
        </w:numPr>
      </w:pPr>
      <w:r>
        <w:t>Continuous monitoring of the safety profiles of approved products including signal detection and updating of labelling;</w:t>
      </w:r>
    </w:p>
    <w:p w14:paraId="70F15495" w14:textId="77777777" w:rsidR="00883B92" w:rsidRDefault="00883B92" w:rsidP="00856DAB">
      <w:pPr>
        <w:pStyle w:val="FootnoteText"/>
        <w:numPr>
          <w:ilvl w:val="0"/>
          <w:numId w:val="5"/>
        </w:numPr>
      </w:pPr>
      <w:r>
        <w:t>Submission of PSURs;</w:t>
      </w:r>
    </w:p>
    <w:p w14:paraId="7546C872" w14:textId="77777777" w:rsidR="00883B92" w:rsidRPr="00F12492" w:rsidRDefault="00883B92" w:rsidP="00856DAB">
      <w:pPr>
        <w:pStyle w:val="FootnoteText"/>
        <w:numPr>
          <w:ilvl w:val="0"/>
          <w:numId w:val="5"/>
        </w:numPr>
        <w:rPr>
          <w:lang w:val="en-US"/>
        </w:rPr>
      </w:pPr>
      <w:r>
        <w:t>Meeting other local regulatory agency requirements.</w:t>
      </w:r>
    </w:p>
  </w:footnote>
  <w:footnote w:id="25">
    <w:p w14:paraId="3784A20B" w14:textId="77777777" w:rsidR="00883B92" w:rsidRPr="00036FE4" w:rsidRDefault="00883B92">
      <w:pPr>
        <w:pStyle w:val="FootnoteText"/>
        <w:rPr>
          <w:lang w:val="en-US"/>
        </w:rPr>
      </w:pPr>
      <w:r>
        <w:rPr>
          <w:rStyle w:val="FootnoteReference"/>
        </w:rPr>
        <w:footnoteRef/>
      </w:r>
      <w:r>
        <w:t xml:space="preserve"> </w:t>
      </w:r>
      <w:r w:rsidRPr="00431BB4">
        <w:t>Swerdlow SH, et al. World Health Organization Classification of Tumours of Haematopoietic and Lymphoid Tissues, IARC Press, Lyon 2008</w:t>
      </w:r>
    </w:p>
  </w:footnote>
  <w:footnote w:id="26">
    <w:p w14:paraId="764957BC" w14:textId="77777777" w:rsidR="00883B92" w:rsidRPr="00665FCA" w:rsidRDefault="00883B92" w:rsidP="00665FCA">
      <w:pPr>
        <w:pStyle w:val="FootnoteText"/>
      </w:pPr>
      <w:r>
        <w:rPr>
          <w:rStyle w:val="FootnoteReference"/>
        </w:rPr>
        <w:footnoteRef/>
      </w:r>
      <w:r>
        <w:t xml:space="preserve"> </w:t>
      </w:r>
      <w:r>
        <w:rPr>
          <w:lang w:val="en-US"/>
        </w:rPr>
        <w:t xml:space="preserve">Daver N et al 2015. </w:t>
      </w:r>
      <w:r>
        <w:t xml:space="preserve">Final report of a phase II study of imatinib mesylate with hyper-CVAD for the front-line treatment of adult patients with Philadelphia chromosome-positive acute lymphoblastic leukemia. </w:t>
      </w:r>
      <w:r w:rsidRPr="00665FCA">
        <w:rPr>
          <w:i/>
        </w:rPr>
        <w:t xml:space="preserve">Haematologica </w:t>
      </w:r>
      <w:r>
        <w:t>2015</w:t>
      </w:r>
      <w:r w:rsidRPr="00665FCA">
        <w:t>; 100: 653-661</w:t>
      </w:r>
    </w:p>
  </w:footnote>
  <w:footnote w:id="27">
    <w:p w14:paraId="76B7BC08" w14:textId="77777777" w:rsidR="00883B92" w:rsidRPr="00AD5ADE" w:rsidRDefault="00883B92" w:rsidP="003877B1">
      <w:pPr>
        <w:pStyle w:val="FootnoteText"/>
        <w:rPr>
          <w:lang w:val="en-US"/>
        </w:rPr>
      </w:pPr>
      <w:r>
        <w:rPr>
          <w:rStyle w:val="FootnoteReference"/>
        </w:rPr>
        <w:footnoteRef/>
      </w:r>
      <w:r>
        <w:t xml:space="preserve"> In the studies by Ravandi </w:t>
      </w:r>
      <w:r w:rsidRPr="00AD5ADE">
        <w:rPr>
          <w:i/>
        </w:rPr>
        <w:t>et al</w:t>
      </w:r>
      <w:r>
        <w:t xml:space="preserve"> (2010;2013;2015), a </w:t>
      </w:r>
      <w:r w:rsidRPr="00BB1847">
        <w:t>complete response</w:t>
      </w:r>
      <w:r>
        <w:t xml:space="preserve"> was defined as fewer than 5% blasts in the bone marrow, with more than 1x10</w:t>
      </w:r>
      <w:r w:rsidRPr="00B67277">
        <w:rPr>
          <w:vertAlign w:val="superscript"/>
        </w:rPr>
        <w:t>9</w:t>
      </w:r>
      <w:r>
        <w:t>/L neutrophils and more than 100x10</w:t>
      </w:r>
      <w:r w:rsidRPr="00B67277">
        <w:rPr>
          <w:vertAlign w:val="superscript"/>
        </w:rPr>
        <w:t>9</w:t>
      </w:r>
      <w:r>
        <w:t>/L platelets in the peripheral blood and no extramedullary disease</w:t>
      </w:r>
    </w:p>
  </w:footnote>
  <w:footnote w:id="28">
    <w:p w14:paraId="01B57F1D" w14:textId="77777777" w:rsidR="00883B92" w:rsidRPr="00B84414" w:rsidRDefault="00883B92" w:rsidP="003877B1">
      <w:pPr>
        <w:pStyle w:val="FootnoteText"/>
        <w:rPr>
          <w:lang w:val="en-US"/>
        </w:rPr>
      </w:pPr>
      <w:r>
        <w:rPr>
          <w:rStyle w:val="FootnoteReference"/>
        </w:rPr>
        <w:footnoteRef/>
      </w:r>
      <w:r>
        <w:t xml:space="preserve"> </w:t>
      </w:r>
      <w:r w:rsidRPr="00B84414">
        <w:t>MMR was defined as a ratio of BCR-ABL1 to ABL1 of ≤</w:t>
      </w:r>
      <w:r>
        <w:t xml:space="preserve"> </w:t>
      </w:r>
      <w:r w:rsidRPr="00B84414">
        <w:t>0.1% on the international scale for p210BCR-ABL1 or a reduction in BCR-ABL1 transcript level by at least 3-log from the standardised pooled baseline value for p190BCR-ABL1. Complete molecular response was defined as absence of detectable BCR-ABL1 transcripts by centralised PCR assays (4.5 log sensitivity).</w:t>
      </w:r>
    </w:p>
  </w:footnote>
  <w:footnote w:id="29">
    <w:p w14:paraId="2ADA26EC" w14:textId="77777777" w:rsidR="00883B92" w:rsidRPr="008932C5" w:rsidRDefault="00883B92" w:rsidP="003877B1">
      <w:pPr>
        <w:pStyle w:val="FootnoteText"/>
      </w:pPr>
      <w:r>
        <w:rPr>
          <w:rStyle w:val="FootnoteReference"/>
        </w:rPr>
        <w:footnoteRef/>
      </w:r>
      <w:r>
        <w:t xml:space="preserve"> </w:t>
      </w:r>
      <w:r w:rsidRPr="00651584">
        <w:t>Relapse free survival was defined as from the first date of therapy to the relapse date. Event free survival was time between inclusion and death under induction; haematologic relapse, or; death in the first CR. OS was calculated from date of initiation of therapy to death OR last contact.</w:t>
      </w:r>
    </w:p>
  </w:footnote>
  <w:footnote w:id="30">
    <w:p w14:paraId="0E13E5BC" w14:textId="63B91E7C" w:rsidR="00883B92" w:rsidRPr="00E828F1" w:rsidRDefault="00883B92">
      <w:pPr>
        <w:pStyle w:val="FootnoteText"/>
        <w:rPr>
          <w:lang w:val="en-US"/>
        </w:rPr>
      </w:pPr>
      <w:r>
        <w:rPr>
          <w:rStyle w:val="FootnoteReference"/>
        </w:rPr>
        <w:footnoteRef/>
      </w:r>
      <w:r>
        <w:t xml:space="preserve"> </w:t>
      </w:r>
      <w:r w:rsidRPr="00E828F1">
        <w:t>Ravandi F. Current Management of Philadelphia chromosome positive ALL and the role of stem cell transplantation. American Society of Hematology: Acute Lymphocytic Leuaemia: New Approaches in Management. December 2017</w:t>
      </w:r>
    </w:p>
  </w:footnote>
  <w:footnote w:id="31">
    <w:p w14:paraId="2C61180B" w14:textId="77777777" w:rsidR="00883B92" w:rsidRPr="00CC1477" w:rsidRDefault="00883B92">
      <w:pPr>
        <w:pStyle w:val="FootnoteText"/>
        <w:rPr>
          <w:lang w:val="en-US"/>
        </w:rPr>
      </w:pPr>
      <w:r>
        <w:rPr>
          <w:rStyle w:val="FootnoteReference"/>
        </w:rPr>
        <w:footnoteRef/>
      </w:r>
      <w:r>
        <w:t xml:space="preserve"> </w:t>
      </w:r>
      <w:r w:rsidRPr="00CC1477">
        <w:t xml:space="preserve">Soverinin S. et al. 2014 Drug Resistance and BCR-ABL Kinase Domain Mutations in Philadelphia Chromosome–Positive Acute Lymphoblastic Leukemia From the Imatinib to the Second-Generation Tyrosine Kinase Inhibitor Era. </w:t>
      </w:r>
      <w:r w:rsidRPr="00CC1477">
        <w:rPr>
          <w:i/>
        </w:rPr>
        <w:t xml:space="preserve">Cancer </w:t>
      </w:r>
      <w:r w:rsidRPr="00CC1477">
        <w:t>2014: 1004 -1009.</w:t>
      </w:r>
    </w:p>
  </w:footnote>
  <w:footnote w:id="32">
    <w:p w14:paraId="23E4210F" w14:textId="77777777" w:rsidR="00883B92" w:rsidRPr="00CC1477" w:rsidRDefault="00883B92">
      <w:pPr>
        <w:pStyle w:val="FootnoteText"/>
        <w:rPr>
          <w:lang w:val="en-US"/>
        </w:rPr>
      </w:pPr>
      <w:r>
        <w:rPr>
          <w:rStyle w:val="FootnoteReference"/>
        </w:rPr>
        <w:footnoteRef/>
      </w:r>
      <w:r>
        <w:t xml:space="preserve"> </w:t>
      </w:r>
      <w:r w:rsidRPr="00CC1477">
        <w:t>Pfeifer H. et al. Kinase domain mutations of BCR-ABL frequently precede imatinib-based therapy and give rise to relapse in patients with de novo Philadelphia-positive acute lymphoblastic leukemia (</w:t>
      </w:r>
      <w:r>
        <w:t>Ph+ ALL</w:t>
      </w:r>
      <w:r w:rsidRPr="00CC1477">
        <w:t xml:space="preserve">). </w:t>
      </w:r>
      <w:r w:rsidRPr="00CC1477">
        <w:rPr>
          <w:i/>
        </w:rPr>
        <w:t>Blood.</w:t>
      </w:r>
      <w:r w:rsidRPr="00CC1477">
        <w:t xml:space="preserve"> 2007;</w:t>
      </w:r>
      <w:r>
        <w:t xml:space="preserve"> 110</w:t>
      </w:r>
      <w:r w:rsidRPr="00CC1477">
        <w:t>:</w:t>
      </w:r>
      <w:r>
        <w:t xml:space="preserve"> </w:t>
      </w:r>
      <w:r w:rsidRPr="00CC1477">
        <w:t>727-</w:t>
      </w:r>
      <w:r>
        <w:t>7</w:t>
      </w:r>
      <w:r w:rsidRPr="00CC1477">
        <w:t>34.</w:t>
      </w:r>
    </w:p>
  </w:footnote>
  <w:footnote w:id="33">
    <w:p w14:paraId="01D505BC" w14:textId="77777777" w:rsidR="00883B92" w:rsidRPr="00CC1477" w:rsidRDefault="00883B92">
      <w:pPr>
        <w:pStyle w:val="FootnoteText"/>
        <w:rPr>
          <w:lang w:val="en-US"/>
        </w:rPr>
      </w:pPr>
      <w:r>
        <w:rPr>
          <w:rStyle w:val="FootnoteReference"/>
        </w:rPr>
        <w:footnoteRef/>
      </w:r>
      <w:r>
        <w:t xml:space="preserve"> </w:t>
      </w:r>
      <w:r w:rsidRPr="00CC1477">
        <w:t xml:space="preserve">Hu Y. et al </w:t>
      </w:r>
      <w:r>
        <w:t xml:space="preserve">2004 </w:t>
      </w:r>
      <w:r w:rsidRPr="00CC1477">
        <w:t xml:space="preserve">Requirement of Src kinases Lyn, Hck and Fgr for BCR-ABL1-induced Blymphoblastic leukemia but not chronic myeloid leukemia. </w:t>
      </w:r>
      <w:r w:rsidRPr="00CC1477">
        <w:rPr>
          <w:i/>
        </w:rPr>
        <w:t>Nat Genet.</w:t>
      </w:r>
      <w:r>
        <w:t xml:space="preserve"> 2004</w:t>
      </w:r>
      <w:r w:rsidRPr="00CC1477">
        <w:t>;</w:t>
      </w:r>
      <w:r>
        <w:t xml:space="preserve"> 36</w:t>
      </w:r>
      <w:r w:rsidRPr="00CC1477">
        <w:t>:</w:t>
      </w:r>
      <w:r>
        <w:t xml:space="preserve"> </w:t>
      </w:r>
      <w:r w:rsidRPr="00CC1477">
        <w:t>453-</w:t>
      </w:r>
      <w:r>
        <w:t>4</w:t>
      </w:r>
      <w:r w:rsidRPr="00CC1477">
        <w:t>61.</w:t>
      </w:r>
    </w:p>
  </w:footnote>
  <w:footnote w:id="34">
    <w:p w14:paraId="6449A322" w14:textId="77777777" w:rsidR="00883B92" w:rsidRPr="00CC1477" w:rsidRDefault="00883B92">
      <w:pPr>
        <w:pStyle w:val="FootnoteText"/>
        <w:rPr>
          <w:lang w:val="en-US"/>
        </w:rPr>
      </w:pPr>
      <w:r>
        <w:rPr>
          <w:rStyle w:val="FootnoteReference"/>
        </w:rPr>
        <w:footnoteRef/>
      </w:r>
      <w:r>
        <w:t xml:space="preserve"> </w:t>
      </w:r>
      <w:r w:rsidRPr="00CC1477">
        <w:t xml:space="preserve">Lombardo LJ, et al. </w:t>
      </w:r>
      <w:r>
        <w:t>2004</w:t>
      </w:r>
      <w:r w:rsidRPr="00CC1477">
        <w:t xml:space="preserve">Discovery of N-(2-chloro-6-methyl-phenyl)- 2 - (6 - (4 - (2 - hydroxyethyl) - piperazin - 1 - yl) - 2 - methylpyrimidin - 4 - ylamino ) thiazole – 5 - carboxamide (BMS-354825), a dual Src/Abl kinase inhibitor with potent antitumor activity in preclinical assays. </w:t>
      </w:r>
      <w:r w:rsidRPr="00CC1477">
        <w:rPr>
          <w:i/>
        </w:rPr>
        <w:t>J Med Chem</w:t>
      </w:r>
      <w:r w:rsidRPr="00CC1477">
        <w:t xml:space="preserve"> 2004; 47:6658-6661</w:t>
      </w:r>
    </w:p>
  </w:footnote>
  <w:footnote w:id="35">
    <w:p w14:paraId="78044523" w14:textId="77777777" w:rsidR="00883B92" w:rsidRPr="00CC1477" w:rsidRDefault="00883B92">
      <w:pPr>
        <w:pStyle w:val="FootnoteText"/>
        <w:rPr>
          <w:lang w:val="en-US"/>
        </w:rPr>
      </w:pPr>
      <w:r w:rsidRPr="00CC1477">
        <w:rPr>
          <w:rStyle w:val="FootnoteReference"/>
        </w:rPr>
        <w:footnoteRef/>
      </w:r>
      <w:r w:rsidRPr="00CC1477">
        <w:t xml:space="preserve"> Porkka et al. 2008 Dasatinib crosses the blood-brain barrier and is an efficient therapy for central nervous system Philadelphia chromosome-positive leukemia. </w:t>
      </w:r>
      <w:r w:rsidRPr="00CC1477">
        <w:rPr>
          <w:i/>
        </w:rPr>
        <w:t>Blood</w:t>
      </w:r>
      <w:r w:rsidRPr="00CC1477">
        <w:t xml:space="preserve"> 2008; 112: 1005-1012.</w:t>
      </w:r>
    </w:p>
  </w:footnote>
  <w:footnote w:id="36">
    <w:p w14:paraId="56DD553C" w14:textId="77777777" w:rsidR="00883B92" w:rsidRPr="00801CD3" w:rsidRDefault="00883B92">
      <w:pPr>
        <w:pStyle w:val="FootnoteText"/>
        <w:rPr>
          <w:lang w:val="en-US"/>
        </w:rPr>
      </w:pPr>
      <w:r>
        <w:rPr>
          <w:rStyle w:val="FootnoteReference"/>
        </w:rPr>
        <w:footnoteRef/>
      </w:r>
      <w:r>
        <w:t xml:space="preserve"> </w:t>
      </w:r>
      <w:r>
        <w:rPr>
          <w:lang w:val="en-US"/>
        </w:rPr>
        <w:t xml:space="preserve">CYP: Cytochrome P450 </w:t>
      </w:r>
    </w:p>
  </w:footnote>
  <w:footnote w:id="37">
    <w:p w14:paraId="041BD304" w14:textId="40B903AA" w:rsidR="00883B92" w:rsidRPr="00180694" w:rsidRDefault="00883B92" w:rsidP="00180694">
      <w:pPr>
        <w:pStyle w:val="FootnoteText"/>
      </w:pPr>
      <w:r>
        <w:rPr>
          <w:rStyle w:val="FootnoteReference"/>
        </w:rPr>
        <w:footnoteRef/>
      </w:r>
      <w:r>
        <w:t xml:space="preserve"> </w:t>
      </w:r>
      <w:r>
        <w:rPr>
          <w:lang w:val="en-US"/>
        </w:rPr>
        <w:t xml:space="preserve">Yu G et al., (2017) </w:t>
      </w:r>
      <w:r w:rsidRPr="00180694">
        <w:rPr>
          <w:rStyle w:val="FootnoteTextChar"/>
        </w:rPr>
        <w:t>Upfront treatment with the first</w:t>
      </w:r>
      <w:r>
        <w:rPr>
          <w:rStyle w:val="FootnoteTextChar"/>
        </w:rPr>
        <w:t xml:space="preserve"> and second-generation tyrosine </w:t>
      </w:r>
      <w:r w:rsidRPr="00180694">
        <w:t xml:space="preserve">kinase inhibitors in Ph-positive acute lymphoblastic leukemia </w:t>
      </w:r>
      <w:r>
        <w:rPr>
          <w:i/>
        </w:rPr>
        <w:t>Oncotarget</w:t>
      </w:r>
      <w:r>
        <w:t xml:space="preserve"> 2017; 8: </w:t>
      </w:r>
      <w:r w:rsidRPr="00180694">
        <w:t>107022-107032</w:t>
      </w:r>
    </w:p>
  </w:footnote>
  <w:footnote w:id="38">
    <w:p w14:paraId="3A7AE95D" w14:textId="77777777" w:rsidR="00883B92" w:rsidRDefault="00883B9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1857755F" w14:textId="77777777" w:rsidR="00883B92" w:rsidRPr="00456765" w:rsidRDefault="00883B92"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CE4D" w14:textId="77777777" w:rsidR="00883B92" w:rsidRDefault="00883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DFF9" w14:textId="77777777" w:rsidR="00883B92" w:rsidRDefault="00883B92"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C3141" w14:textId="77777777" w:rsidR="00883B92" w:rsidRDefault="00883B92">
    <w:pPr>
      <w:rPr>
        <w:noProof/>
        <w:lang w:eastAsia="en-AU"/>
      </w:rPr>
    </w:pPr>
    <w:r w:rsidRPr="00347824">
      <w:rPr>
        <w:noProof/>
        <w:lang w:eastAsia="en-AU"/>
      </w:rPr>
      <w:drawing>
        <wp:anchor distT="0" distB="0" distL="114300" distR="114300" simplePos="0" relativeHeight="251659264" behindDoc="1" locked="0" layoutInCell="1" allowOverlap="1" wp14:anchorId="5F17A712" wp14:editId="297158DF">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D4A4FC5" w14:textId="77777777" w:rsidR="00883B92" w:rsidRDefault="00883B92" w:rsidP="00593AD1">
    <w:pPr>
      <w:pStyle w:val="HeaderNoLine"/>
    </w:pPr>
    <w:r>
      <w:rPr>
        <w:noProof/>
        <w:lang w:eastAsia="en-AU"/>
      </w:rPr>
      <w:drawing>
        <wp:inline distT="0" distB="0" distL="0" distR="0" wp14:anchorId="7C6B3C19" wp14:editId="38ED8A29">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8E647" w14:textId="77777777" w:rsidR="00883B92" w:rsidRDefault="00883B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9F57" w14:textId="77777777" w:rsidR="00883B92" w:rsidRDefault="00883B9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B9BAE" w14:textId="77777777" w:rsidR="00883B92" w:rsidRDefault="00883B92">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F8E18" w14:textId="77777777" w:rsidR="00883B92" w:rsidRDefault="00883B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44A6" w14:textId="77777777" w:rsidR="00883B92" w:rsidRDefault="00883B92"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D665" w14:textId="77777777" w:rsidR="00883B92" w:rsidRDefault="00883B92" w:rsidP="006E08B3">
    <w:r>
      <w:t>Therapeutic Goods Administration</w:t>
    </w:r>
  </w:p>
  <w:p w14:paraId="23689DD6" w14:textId="77777777" w:rsidR="00883B92" w:rsidRDefault="00883B92"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4D45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6C9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EE2E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10016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FD257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5A1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AD74A858"/>
    <w:lvl w:ilvl="0">
      <w:start w:val="1"/>
      <w:numFmt w:val="decimal"/>
      <w:pStyle w:val="ListNumber"/>
      <w:lvlText w:val="%1."/>
      <w:lvlJc w:val="left"/>
      <w:pPr>
        <w:tabs>
          <w:tab w:val="num" w:pos="360"/>
        </w:tabs>
        <w:ind w:left="360" w:hanging="360"/>
      </w:pPr>
    </w:lvl>
  </w:abstractNum>
  <w:abstractNum w:abstractNumId="7"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68F13E9"/>
    <w:multiLevelType w:val="multilevel"/>
    <w:tmpl w:val="7AEAD2C0"/>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C30414B"/>
    <w:multiLevelType w:val="hybridMultilevel"/>
    <w:tmpl w:val="459E2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9"/>
  </w:num>
  <w:num w:numId="4">
    <w:abstractNumId w:val="8"/>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
  </w:num>
  <w:num w:numId="15">
    <w:abstractNumId w:val="6"/>
  </w:num>
  <w:num w:numId="16">
    <w:abstractNumId w:val="3"/>
  </w:num>
  <w:num w:numId="17">
    <w:abstractNumId w:val="2"/>
  </w:num>
  <w:num w:numId="18">
    <w:abstractNumId w:val="1"/>
  </w:num>
  <w:num w:numId="1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62D"/>
    <w:rsid w:val="00002031"/>
    <w:rsid w:val="00004734"/>
    <w:rsid w:val="00006B22"/>
    <w:rsid w:val="0001276A"/>
    <w:rsid w:val="00017D07"/>
    <w:rsid w:val="000246AE"/>
    <w:rsid w:val="00025C67"/>
    <w:rsid w:val="00036FE4"/>
    <w:rsid w:val="00044772"/>
    <w:rsid w:val="000466A2"/>
    <w:rsid w:val="00050F5E"/>
    <w:rsid w:val="0005559E"/>
    <w:rsid w:val="000604D6"/>
    <w:rsid w:val="000734D8"/>
    <w:rsid w:val="00077775"/>
    <w:rsid w:val="00090471"/>
    <w:rsid w:val="00096AA7"/>
    <w:rsid w:val="000A3AED"/>
    <w:rsid w:val="000A771E"/>
    <w:rsid w:val="000B3532"/>
    <w:rsid w:val="000B3A75"/>
    <w:rsid w:val="000C00C2"/>
    <w:rsid w:val="000C690F"/>
    <w:rsid w:val="000D1295"/>
    <w:rsid w:val="000D391B"/>
    <w:rsid w:val="000D3D6D"/>
    <w:rsid w:val="000D4FC7"/>
    <w:rsid w:val="000D5F80"/>
    <w:rsid w:val="000E6196"/>
    <w:rsid w:val="000F267E"/>
    <w:rsid w:val="000F4869"/>
    <w:rsid w:val="000F5B42"/>
    <w:rsid w:val="000F6E6F"/>
    <w:rsid w:val="0010601F"/>
    <w:rsid w:val="0010788A"/>
    <w:rsid w:val="00107A31"/>
    <w:rsid w:val="00110EA5"/>
    <w:rsid w:val="00112F56"/>
    <w:rsid w:val="00124ACD"/>
    <w:rsid w:val="00125318"/>
    <w:rsid w:val="001305A2"/>
    <w:rsid w:val="0013267C"/>
    <w:rsid w:val="00133238"/>
    <w:rsid w:val="00133A1B"/>
    <w:rsid w:val="0014197B"/>
    <w:rsid w:val="00141EB7"/>
    <w:rsid w:val="001447CD"/>
    <w:rsid w:val="001516B1"/>
    <w:rsid w:val="00154EBB"/>
    <w:rsid w:val="00156316"/>
    <w:rsid w:val="00161181"/>
    <w:rsid w:val="00162D14"/>
    <w:rsid w:val="00163780"/>
    <w:rsid w:val="00165389"/>
    <w:rsid w:val="00166605"/>
    <w:rsid w:val="0017693F"/>
    <w:rsid w:val="00180694"/>
    <w:rsid w:val="0018110E"/>
    <w:rsid w:val="00181684"/>
    <w:rsid w:val="001843C6"/>
    <w:rsid w:val="001850E0"/>
    <w:rsid w:val="001A2158"/>
    <w:rsid w:val="001A525F"/>
    <w:rsid w:val="001B09F9"/>
    <w:rsid w:val="001B5C90"/>
    <w:rsid w:val="001B6448"/>
    <w:rsid w:val="001C32CD"/>
    <w:rsid w:val="001D127F"/>
    <w:rsid w:val="001D2984"/>
    <w:rsid w:val="001E07CF"/>
    <w:rsid w:val="001E59F1"/>
    <w:rsid w:val="001F2CEE"/>
    <w:rsid w:val="001F49EB"/>
    <w:rsid w:val="001F6CBA"/>
    <w:rsid w:val="00201D4E"/>
    <w:rsid w:val="00201E26"/>
    <w:rsid w:val="00204903"/>
    <w:rsid w:val="002076C9"/>
    <w:rsid w:val="00220B8A"/>
    <w:rsid w:val="002257F3"/>
    <w:rsid w:val="00233456"/>
    <w:rsid w:val="002339A5"/>
    <w:rsid w:val="00257848"/>
    <w:rsid w:val="0026615D"/>
    <w:rsid w:val="0027084A"/>
    <w:rsid w:val="00286434"/>
    <w:rsid w:val="00286C59"/>
    <w:rsid w:val="00291957"/>
    <w:rsid w:val="002942D1"/>
    <w:rsid w:val="0029501A"/>
    <w:rsid w:val="002A3721"/>
    <w:rsid w:val="002B1638"/>
    <w:rsid w:val="002B3624"/>
    <w:rsid w:val="002D0952"/>
    <w:rsid w:val="002E40B3"/>
    <w:rsid w:val="002E4C9A"/>
    <w:rsid w:val="002F11F8"/>
    <w:rsid w:val="002F3F56"/>
    <w:rsid w:val="002F44B5"/>
    <w:rsid w:val="002F5122"/>
    <w:rsid w:val="00311AC0"/>
    <w:rsid w:val="003176FC"/>
    <w:rsid w:val="0032583B"/>
    <w:rsid w:val="00327883"/>
    <w:rsid w:val="003303E3"/>
    <w:rsid w:val="00335504"/>
    <w:rsid w:val="00340C18"/>
    <w:rsid w:val="003442FD"/>
    <w:rsid w:val="00347824"/>
    <w:rsid w:val="00350567"/>
    <w:rsid w:val="003521E8"/>
    <w:rsid w:val="00370CE3"/>
    <w:rsid w:val="003720F6"/>
    <w:rsid w:val="003728F3"/>
    <w:rsid w:val="003735BC"/>
    <w:rsid w:val="0037496E"/>
    <w:rsid w:val="00381288"/>
    <w:rsid w:val="00383221"/>
    <w:rsid w:val="00386150"/>
    <w:rsid w:val="003874CE"/>
    <w:rsid w:val="003877B1"/>
    <w:rsid w:val="00390900"/>
    <w:rsid w:val="003A7F6C"/>
    <w:rsid w:val="003B4D60"/>
    <w:rsid w:val="003B7E39"/>
    <w:rsid w:val="003C2B59"/>
    <w:rsid w:val="003C2CDB"/>
    <w:rsid w:val="003C58DC"/>
    <w:rsid w:val="003D1E62"/>
    <w:rsid w:val="003D7F9D"/>
    <w:rsid w:val="003E0B99"/>
    <w:rsid w:val="003E2486"/>
    <w:rsid w:val="003E3208"/>
    <w:rsid w:val="003F0B04"/>
    <w:rsid w:val="00400300"/>
    <w:rsid w:val="0040134E"/>
    <w:rsid w:val="00404916"/>
    <w:rsid w:val="004334C7"/>
    <w:rsid w:val="00440A2D"/>
    <w:rsid w:val="00441C3F"/>
    <w:rsid w:val="004466D5"/>
    <w:rsid w:val="004476B2"/>
    <w:rsid w:val="004564A7"/>
    <w:rsid w:val="00456765"/>
    <w:rsid w:val="004617BF"/>
    <w:rsid w:val="00463658"/>
    <w:rsid w:val="004637A0"/>
    <w:rsid w:val="004722CC"/>
    <w:rsid w:val="004936E4"/>
    <w:rsid w:val="00494A3E"/>
    <w:rsid w:val="00494E60"/>
    <w:rsid w:val="00497487"/>
    <w:rsid w:val="004A6189"/>
    <w:rsid w:val="004A7390"/>
    <w:rsid w:val="004B7B76"/>
    <w:rsid w:val="004C239D"/>
    <w:rsid w:val="004C2DCA"/>
    <w:rsid w:val="004C4934"/>
    <w:rsid w:val="004C61D2"/>
    <w:rsid w:val="004C743F"/>
    <w:rsid w:val="004F0C4A"/>
    <w:rsid w:val="004F0F38"/>
    <w:rsid w:val="004F47D6"/>
    <w:rsid w:val="00500337"/>
    <w:rsid w:val="00501921"/>
    <w:rsid w:val="00530354"/>
    <w:rsid w:val="0053625B"/>
    <w:rsid w:val="005434C6"/>
    <w:rsid w:val="00543B39"/>
    <w:rsid w:val="00546154"/>
    <w:rsid w:val="00550096"/>
    <w:rsid w:val="00555280"/>
    <w:rsid w:val="00557FF9"/>
    <w:rsid w:val="00562327"/>
    <w:rsid w:val="005711D5"/>
    <w:rsid w:val="00572940"/>
    <w:rsid w:val="00576378"/>
    <w:rsid w:val="00577130"/>
    <w:rsid w:val="00577945"/>
    <w:rsid w:val="00577E38"/>
    <w:rsid w:val="0058478D"/>
    <w:rsid w:val="00585322"/>
    <w:rsid w:val="005857C6"/>
    <w:rsid w:val="00592F6E"/>
    <w:rsid w:val="00593AD1"/>
    <w:rsid w:val="005A68B6"/>
    <w:rsid w:val="005C5570"/>
    <w:rsid w:val="005C79A4"/>
    <w:rsid w:val="005D5442"/>
    <w:rsid w:val="00603F32"/>
    <w:rsid w:val="00605AD4"/>
    <w:rsid w:val="00605B7E"/>
    <w:rsid w:val="006136D7"/>
    <w:rsid w:val="0061480D"/>
    <w:rsid w:val="006149B8"/>
    <w:rsid w:val="00625A6E"/>
    <w:rsid w:val="00632398"/>
    <w:rsid w:val="00640FC3"/>
    <w:rsid w:val="00642020"/>
    <w:rsid w:val="0064206D"/>
    <w:rsid w:val="0065337B"/>
    <w:rsid w:val="0065419D"/>
    <w:rsid w:val="006603BC"/>
    <w:rsid w:val="006604D8"/>
    <w:rsid w:val="00664A5B"/>
    <w:rsid w:val="0066568C"/>
    <w:rsid w:val="00665F01"/>
    <w:rsid w:val="00665FCA"/>
    <w:rsid w:val="0066735C"/>
    <w:rsid w:val="006763D2"/>
    <w:rsid w:val="00676FD7"/>
    <w:rsid w:val="00680C08"/>
    <w:rsid w:val="006916A0"/>
    <w:rsid w:val="006931B1"/>
    <w:rsid w:val="006A15C0"/>
    <w:rsid w:val="006B6676"/>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0CF"/>
    <w:rsid w:val="0074429B"/>
    <w:rsid w:val="00760772"/>
    <w:rsid w:val="00761035"/>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571B"/>
    <w:rsid w:val="00795BEF"/>
    <w:rsid w:val="007A46F5"/>
    <w:rsid w:val="007B0A0F"/>
    <w:rsid w:val="007B6132"/>
    <w:rsid w:val="007B6E9F"/>
    <w:rsid w:val="007C1216"/>
    <w:rsid w:val="007C1AF7"/>
    <w:rsid w:val="007C6B9B"/>
    <w:rsid w:val="007E1C18"/>
    <w:rsid w:val="00801CD3"/>
    <w:rsid w:val="00805D27"/>
    <w:rsid w:val="00806DCB"/>
    <w:rsid w:val="00821776"/>
    <w:rsid w:val="008254B6"/>
    <w:rsid w:val="008321F5"/>
    <w:rsid w:val="00832369"/>
    <w:rsid w:val="00834660"/>
    <w:rsid w:val="00836BC2"/>
    <w:rsid w:val="0085156D"/>
    <w:rsid w:val="00852B28"/>
    <w:rsid w:val="0085641B"/>
    <w:rsid w:val="00856DAB"/>
    <w:rsid w:val="00857136"/>
    <w:rsid w:val="00875A6B"/>
    <w:rsid w:val="00883B92"/>
    <w:rsid w:val="00885B11"/>
    <w:rsid w:val="00886D15"/>
    <w:rsid w:val="00887DD8"/>
    <w:rsid w:val="00890C75"/>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62D"/>
    <w:rsid w:val="008F2967"/>
    <w:rsid w:val="008F5B1B"/>
    <w:rsid w:val="008F6943"/>
    <w:rsid w:val="008F6EA6"/>
    <w:rsid w:val="00902A21"/>
    <w:rsid w:val="00910368"/>
    <w:rsid w:val="0091523F"/>
    <w:rsid w:val="00920330"/>
    <w:rsid w:val="009219D7"/>
    <w:rsid w:val="00922877"/>
    <w:rsid w:val="00922D53"/>
    <w:rsid w:val="00922EAD"/>
    <w:rsid w:val="00923B70"/>
    <w:rsid w:val="00924482"/>
    <w:rsid w:val="00930237"/>
    <w:rsid w:val="00937C17"/>
    <w:rsid w:val="00940A89"/>
    <w:rsid w:val="00946EA5"/>
    <w:rsid w:val="00963C08"/>
    <w:rsid w:val="0097047A"/>
    <w:rsid w:val="009752A5"/>
    <w:rsid w:val="0098585A"/>
    <w:rsid w:val="009A4CED"/>
    <w:rsid w:val="009A690D"/>
    <w:rsid w:val="009B1D12"/>
    <w:rsid w:val="009B416B"/>
    <w:rsid w:val="009C4BD5"/>
    <w:rsid w:val="009D7B77"/>
    <w:rsid w:val="009E0BB0"/>
    <w:rsid w:val="009E3FBB"/>
    <w:rsid w:val="009F635A"/>
    <w:rsid w:val="009F7353"/>
    <w:rsid w:val="00A04F85"/>
    <w:rsid w:val="00A05FA4"/>
    <w:rsid w:val="00A102E4"/>
    <w:rsid w:val="00A12C42"/>
    <w:rsid w:val="00A14DF7"/>
    <w:rsid w:val="00A22D57"/>
    <w:rsid w:val="00A3246D"/>
    <w:rsid w:val="00A36FA7"/>
    <w:rsid w:val="00A44DDB"/>
    <w:rsid w:val="00A475B7"/>
    <w:rsid w:val="00A47AEF"/>
    <w:rsid w:val="00A47AF7"/>
    <w:rsid w:val="00A47C3E"/>
    <w:rsid w:val="00A50226"/>
    <w:rsid w:val="00A60BAD"/>
    <w:rsid w:val="00A77B51"/>
    <w:rsid w:val="00A77F87"/>
    <w:rsid w:val="00A80B5B"/>
    <w:rsid w:val="00A84E36"/>
    <w:rsid w:val="00A964D1"/>
    <w:rsid w:val="00A9799B"/>
    <w:rsid w:val="00AA0ED0"/>
    <w:rsid w:val="00AA3C7C"/>
    <w:rsid w:val="00AB0523"/>
    <w:rsid w:val="00AC26B1"/>
    <w:rsid w:val="00AC2B40"/>
    <w:rsid w:val="00AC2BB2"/>
    <w:rsid w:val="00AC2C3C"/>
    <w:rsid w:val="00AC512D"/>
    <w:rsid w:val="00AD0083"/>
    <w:rsid w:val="00AD3935"/>
    <w:rsid w:val="00AD5B27"/>
    <w:rsid w:val="00AE65EB"/>
    <w:rsid w:val="00AE67A7"/>
    <w:rsid w:val="00AF1D94"/>
    <w:rsid w:val="00AF3950"/>
    <w:rsid w:val="00AF60C5"/>
    <w:rsid w:val="00B009C6"/>
    <w:rsid w:val="00B01548"/>
    <w:rsid w:val="00B13EBD"/>
    <w:rsid w:val="00B21D29"/>
    <w:rsid w:val="00B25034"/>
    <w:rsid w:val="00B26BCF"/>
    <w:rsid w:val="00B27D94"/>
    <w:rsid w:val="00B33550"/>
    <w:rsid w:val="00B33588"/>
    <w:rsid w:val="00B33863"/>
    <w:rsid w:val="00B37D17"/>
    <w:rsid w:val="00B4175E"/>
    <w:rsid w:val="00B41C85"/>
    <w:rsid w:val="00B44B0F"/>
    <w:rsid w:val="00B452CE"/>
    <w:rsid w:val="00B52C6D"/>
    <w:rsid w:val="00B54C25"/>
    <w:rsid w:val="00B76B91"/>
    <w:rsid w:val="00B77EB1"/>
    <w:rsid w:val="00B811C6"/>
    <w:rsid w:val="00B855B0"/>
    <w:rsid w:val="00B90B8B"/>
    <w:rsid w:val="00B92E08"/>
    <w:rsid w:val="00BB4D43"/>
    <w:rsid w:val="00BC622A"/>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087"/>
    <w:rsid w:val="00C471B1"/>
    <w:rsid w:val="00C6316B"/>
    <w:rsid w:val="00C634A9"/>
    <w:rsid w:val="00C64586"/>
    <w:rsid w:val="00C70D53"/>
    <w:rsid w:val="00C73D0B"/>
    <w:rsid w:val="00C772FF"/>
    <w:rsid w:val="00C80137"/>
    <w:rsid w:val="00C801AF"/>
    <w:rsid w:val="00C80256"/>
    <w:rsid w:val="00C90CF5"/>
    <w:rsid w:val="00C94CD4"/>
    <w:rsid w:val="00C9747E"/>
    <w:rsid w:val="00CA76AD"/>
    <w:rsid w:val="00CB6BC0"/>
    <w:rsid w:val="00CC1477"/>
    <w:rsid w:val="00CC1B7C"/>
    <w:rsid w:val="00CC727F"/>
    <w:rsid w:val="00CD58BF"/>
    <w:rsid w:val="00CF15C3"/>
    <w:rsid w:val="00CF2B6F"/>
    <w:rsid w:val="00CF2F3E"/>
    <w:rsid w:val="00CF47F2"/>
    <w:rsid w:val="00CF58B6"/>
    <w:rsid w:val="00D0062D"/>
    <w:rsid w:val="00D017ED"/>
    <w:rsid w:val="00D040D3"/>
    <w:rsid w:val="00D04C65"/>
    <w:rsid w:val="00D201D2"/>
    <w:rsid w:val="00D20EB3"/>
    <w:rsid w:val="00D224FE"/>
    <w:rsid w:val="00D23139"/>
    <w:rsid w:val="00D425BB"/>
    <w:rsid w:val="00D44D74"/>
    <w:rsid w:val="00D453FA"/>
    <w:rsid w:val="00D6493E"/>
    <w:rsid w:val="00D7195D"/>
    <w:rsid w:val="00D7301E"/>
    <w:rsid w:val="00D817A5"/>
    <w:rsid w:val="00D83AE1"/>
    <w:rsid w:val="00D855D4"/>
    <w:rsid w:val="00D902C9"/>
    <w:rsid w:val="00D93466"/>
    <w:rsid w:val="00DA1124"/>
    <w:rsid w:val="00DB06B8"/>
    <w:rsid w:val="00DB4E38"/>
    <w:rsid w:val="00DB6124"/>
    <w:rsid w:val="00DB750B"/>
    <w:rsid w:val="00DB75B7"/>
    <w:rsid w:val="00DB7874"/>
    <w:rsid w:val="00DC6E02"/>
    <w:rsid w:val="00DD28CD"/>
    <w:rsid w:val="00DE02AE"/>
    <w:rsid w:val="00DE3176"/>
    <w:rsid w:val="00DE39D1"/>
    <w:rsid w:val="00DF1D7F"/>
    <w:rsid w:val="00DF4BE4"/>
    <w:rsid w:val="00E02382"/>
    <w:rsid w:val="00E02FB4"/>
    <w:rsid w:val="00E047F7"/>
    <w:rsid w:val="00E13FC7"/>
    <w:rsid w:val="00E20571"/>
    <w:rsid w:val="00E21E96"/>
    <w:rsid w:val="00E235F7"/>
    <w:rsid w:val="00E23659"/>
    <w:rsid w:val="00E239D4"/>
    <w:rsid w:val="00E26130"/>
    <w:rsid w:val="00E33789"/>
    <w:rsid w:val="00E40B22"/>
    <w:rsid w:val="00E418CC"/>
    <w:rsid w:val="00E44ED1"/>
    <w:rsid w:val="00E45619"/>
    <w:rsid w:val="00E4588F"/>
    <w:rsid w:val="00E46DA3"/>
    <w:rsid w:val="00E51BB1"/>
    <w:rsid w:val="00E624A5"/>
    <w:rsid w:val="00E64BA4"/>
    <w:rsid w:val="00E7344E"/>
    <w:rsid w:val="00E82665"/>
    <w:rsid w:val="00E828F1"/>
    <w:rsid w:val="00EB0798"/>
    <w:rsid w:val="00EB1B9E"/>
    <w:rsid w:val="00EB40AD"/>
    <w:rsid w:val="00EB586E"/>
    <w:rsid w:val="00EB5FC8"/>
    <w:rsid w:val="00EC463D"/>
    <w:rsid w:val="00EC7A85"/>
    <w:rsid w:val="00ED2922"/>
    <w:rsid w:val="00ED3CAD"/>
    <w:rsid w:val="00ED5A41"/>
    <w:rsid w:val="00EE1DE8"/>
    <w:rsid w:val="00EE22BF"/>
    <w:rsid w:val="00EE27C2"/>
    <w:rsid w:val="00EF4BAD"/>
    <w:rsid w:val="00EF59DC"/>
    <w:rsid w:val="00F033EC"/>
    <w:rsid w:val="00F04F68"/>
    <w:rsid w:val="00F12670"/>
    <w:rsid w:val="00F13EFF"/>
    <w:rsid w:val="00F14B27"/>
    <w:rsid w:val="00F172C6"/>
    <w:rsid w:val="00F20324"/>
    <w:rsid w:val="00F23F71"/>
    <w:rsid w:val="00F3148D"/>
    <w:rsid w:val="00F325C5"/>
    <w:rsid w:val="00F32FE0"/>
    <w:rsid w:val="00F35298"/>
    <w:rsid w:val="00F41B0F"/>
    <w:rsid w:val="00F47333"/>
    <w:rsid w:val="00F47E37"/>
    <w:rsid w:val="00F53C07"/>
    <w:rsid w:val="00F54B65"/>
    <w:rsid w:val="00F640B6"/>
    <w:rsid w:val="00F64A85"/>
    <w:rsid w:val="00F66DF2"/>
    <w:rsid w:val="00F710D5"/>
    <w:rsid w:val="00F80E40"/>
    <w:rsid w:val="00F848D9"/>
    <w:rsid w:val="00FA5069"/>
    <w:rsid w:val="00FA5B82"/>
    <w:rsid w:val="00FA639E"/>
    <w:rsid w:val="00FC1FCA"/>
    <w:rsid w:val="00FC25E4"/>
    <w:rsid w:val="00FC4EF7"/>
    <w:rsid w:val="00FD0824"/>
    <w:rsid w:val="00FD119B"/>
    <w:rsid w:val="00FD1EDC"/>
    <w:rsid w:val="00FD71D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AFA8B55"/>
  <w15:docId w15:val="{F9E623BD-69BF-4BE3-8461-195D2603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571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DE317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317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883B92"/>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3877B1"/>
    <w:pPr>
      <w:adjustRightInd w:val="0"/>
      <w:snapToGrid w:val="0"/>
      <w:spacing w:before="180" w:after="180"/>
      <w:ind w:left="720"/>
      <w:contextualSpacing/>
    </w:pPr>
    <w:rPr>
      <w:rFonts w:eastAsia="MS Mincho"/>
      <w:szCs w:val="20"/>
      <w:lang w:eastAsia="ja-JP"/>
    </w:rPr>
  </w:style>
  <w:style w:type="paragraph" w:customStyle="1" w:styleId="Default">
    <w:name w:val="Default"/>
    <w:rsid w:val="00AC26B1"/>
    <w:pPr>
      <w:autoSpaceDE w:val="0"/>
      <w:autoSpaceDN w:val="0"/>
      <w:adjustRightInd w:val="0"/>
      <w:spacing w:after="0" w:line="240" w:lineRule="auto"/>
    </w:pPr>
    <w:rPr>
      <w:rFonts w:ascii="Cambria" w:hAnsi="Cambria" w:cs="Cambria"/>
      <w:color w:val="000000"/>
      <w:sz w:val="24"/>
      <w:szCs w:val="24"/>
    </w:rPr>
  </w:style>
  <w:style w:type="character" w:customStyle="1" w:styleId="st1">
    <w:name w:val="st1"/>
    <w:basedOn w:val="DefaultParagraphFont"/>
    <w:rsid w:val="00F710D5"/>
  </w:style>
  <w:style w:type="paragraph" w:customStyle="1" w:styleId="Bulletlist">
    <w:name w:val="Bullet list"/>
    <w:basedOn w:val="Normal"/>
    <w:link w:val="BulletlistChar"/>
    <w:qFormat/>
    <w:rsid w:val="007B0A0F"/>
    <w:pPr>
      <w:numPr>
        <w:numId w:val="10"/>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7B0A0F"/>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7B0A0F"/>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7B0A0F"/>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7B0A0F"/>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7B0A0F"/>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B0A0F"/>
    <w:rPr>
      <w:rFonts w:ascii="Cambria" w:eastAsia="Times New Roman" w:hAnsi="Cambria" w:cs="Times New Roman"/>
      <w:snapToGrid w:val="0"/>
      <w:kern w:val="16"/>
      <w:sz w:val="23"/>
      <w:szCs w:val="24"/>
    </w:rPr>
  </w:style>
  <w:style w:type="character" w:customStyle="1" w:styleId="apple-converted-space">
    <w:name w:val="apple-converted-space"/>
    <w:basedOn w:val="DefaultParagraphFont"/>
    <w:rsid w:val="003720F6"/>
  </w:style>
  <w:style w:type="character" w:styleId="Emphasis">
    <w:name w:val="Emphasis"/>
    <w:basedOn w:val="DefaultParagraphFont"/>
    <w:uiPriority w:val="20"/>
    <w:qFormat/>
    <w:rsid w:val="00166605"/>
    <w:rPr>
      <w:i/>
      <w:iCs/>
    </w:rPr>
  </w:style>
  <w:style w:type="paragraph" w:customStyle="1" w:styleId="BMSBodyText">
    <w:name w:val="BMS Body Text"/>
    <w:link w:val="BMSBodyTextChar"/>
    <w:qFormat/>
    <w:rsid w:val="00E33789"/>
    <w:pPr>
      <w:spacing w:after="120" w:line="264" w:lineRule="auto"/>
      <w:jc w:val="both"/>
    </w:pPr>
    <w:rPr>
      <w:rFonts w:ascii="Times New Roman" w:eastAsia="Times New Roman" w:hAnsi="Times New Roman" w:cs="Times New Roman"/>
      <w:color w:val="000000"/>
      <w:sz w:val="24"/>
      <w:szCs w:val="20"/>
      <w:lang w:val="en-US"/>
    </w:rPr>
  </w:style>
  <w:style w:type="character" w:customStyle="1" w:styleId="BMSBodyTextChar">
    <w:name w:val="BMS Body Text Char"/>
    <w:link w:val="BMSBodyText"/>
    <w:rsid w:val="00E33789"/>
    <w:rPr>
      <w:rFonts w:ascii="Times New Roman" w:eastAsia="Times New Roman" w:hAnsi="Times New Roman" w:cs="Times New Roman"/>
      <w:color w:val="000000"/>
      <w:sz w:val="24"/>
      <w:szCs w:val="20"/>
      <w:lang w:val="en-US"/>
    </w:rPr>
  </w:style>
  <w:style w:type="paragraph" w:styleId="Bibliography">
    <w:name w:val="Bibliography"/>
    <w:basedOn w:val="Normal"/>
    <w:next w:val="Normal"/>
    <w:uiPriority w:val="37"/>
    <w:semiHidden/>
    <w:unhideWhenUsed/>
    <w:rsid w:val="00DE3176"/>
  </w:style>
  <w:style w:type="paragraph" w:styleId="BlockText">
    <w:name w:val="Block Text"/>
    <w:basedOn w:val="Normal"/>
    <w:uiPriority w:val="99"/>
    <w:semiHidden/>
    <w:unhideWhenUsed/>
    <w:rsid w:val="00DE3176"/>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DE3176"/>
  </w:style>
  <w:style w:type="character" w:customStyle="1" w:styleId="BodyTextChar">
    <w:name w:val="Body Text Char"/>
    <w:basedOn w:val="DefaultParagraphFont"/>
    <w:link w:val="BodyText"/>
    <w:uiPriority w:val="99"/>
    <w:semiHidden/>
    <w:rsid w:val="00DE3176"/>
    <w:rPr>
      <w:rFonts w:ascii="Cambria" w:eastAsia="Cambria" w:hAnsi="Cambria" w:cs="Times New Roman"/>
    </w:rPr>
  </w:style>
  <w:style w:type="paragraph" w:styleId="BodyText2">
    <w:name w:val="Body Text 2"/>
    <w:basedOn w:val="Normal"/>
    <w:link w:val="BodyText2Char"/>
    <w:uiPriority w:val="99"/>
    <w:semiHidden/>
    <w:unhideWhenUsed/>
    <w:rsid w:val="00DE3176"/>
    <w:pPr>
      <w:spacing w:line="480" w:lineRule="auto"/>
    </w:pPr>
  </w:style>
  <w:style w:type="character" w:customStyle="1" w:styleId="BodyText2Char">
    <w:name w:val="Body Text 2 Char"/>
    <w:basedOn w:val="DefaultParagraphFont"/>
    <w:link w:val="BodyText2"/>
    <w:uiPriority w:val="99"/>
    <w:semiHidden/>
    <w:rsid w:val="00DE3176"/>
    <w:rPr>
      <w:rFonts w:ascii="Cambria" w:eastAsia="Cambria" w:hAnsi="Cambria" w:cs="Times New Roman"/>
    </w:rPr>
  </w:style>
  <w:style w:type="paragraph" w:styleId="BodyText3">
    <w:name w:val="Body Text 3"/>
    <w:basedOn w:val="Normal"/>
    <w:link w:val="BodyText3Char"/>
    <w:uiPriority w:val="99"/>
    <w:semiHidden/>
    <w:unhideWhenUsed/>
    <w:rsid w:val="00DE3176"/>
    <w:rPr>
      <w:sz w:val="16"/>
      <w:szCs w:val="16"/>
    </w:rPr>
  </w:style>
  <w:style w:type="character" w:customStyle="1" w:styleId="BodyText3Char">
    <w:name w:val="Body Text 3 Char"/>
    <w:basedOn w:val="DefaultParagraphFont"/>
    <w:link w:val="BodyText3"/>
    <w:uiPriority w:val="99"/>
    <w:semiHidden/>
    <w:rsid w:val="00DE3176"/>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DE3176"/>
    <w:pPr>
      <w:ind w:firstLine="360"/>
    </w:pPr>
  </w:style>
  <w:style w:type="character" w:customStyle="1" w:styleId="BodyTextFirstIndentChar">
    <w:name w:val="Body Text First Indent Char"/>
    <w:basedOn w:val="BodyTextChar"/>
    <w:link w:val="BodyTextFirstIndent"/>
    <w:uiPriority w:val="99"/>
    <w:semiHidden/>
    <w:rsid w:val="00DE3176"/>
    <w:rPr>
      <w:rFonts w:ascii="Cambria" w:eastAsia="Cambria" w:hAnsi="Cambria" w:cs="Times New Roman"/>
    </w:rPr>
  </w:style>
  <w:style w:type="paragraph" w:styleId="BodyTextIndent">
    <w:name w:val="Body Text Indent"/>
    <w:basedOn w:val="Normal"/>
    <w:link w:val="BodyTextIndentChar"/>
    <w:uiPriority w:val="99"/>
    <w:semiHidden/>
    <w:unhideWhenUsed/>
    <w:rsid w:val="00DE3176"/>
    <w:pPr>
      <w:ind w:left="283"/>
    </w:pPr>
  </w:style>
  <w:style w:type="character" w:customStyle="1" w:styleId="BodyTextIndentChar">
    <w:name w:val="Body Text Indent Char"/>
    <w:basedOn w:val="DefaultParagraphFont"/>
    <w:link w:val="BodyTextIndent"/>
    <w:uiPriority w:val="99"/>
    <w:semiHidden/>
    <w:rsid w:val="00DE3176"/>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DE3176"/>
    <w:pPr>
      <w:ind w:left="360" w:firstLine="360"/>
    </w:pPr>
  </w:style>
  <w:style w:type="character" w:customStyle="1" w:styleId="BodyTextFirstIndent2Char">
    <w:name w:val="Body Text First Indent 2 Char"/>
    <w:basedOn w:val="BodyTextIndentChar"/>
    <w:link w:val="BodyTextFirstIndent2"/>
    <w:uiPriority w:val="99"/>
    <w:semiHidden/>
    <w:rsid w:val="00DE3176"/>
    <w:rPr>
      <w:rFonts w:ascii="Cambria" w:eastAsia="Cambria" w:hAnsi="Cambria" w:cs="Times New Roman"/>
    </w:rPr>
  </w:style>
  <w:style w:type="paragraph" w:styleId="BodyTextIndent2">
    <w:name w:val="Body Text Indent 2"/>
    <w:basedOn w:val="Normal"/>
    <w:link w:val="BodyTextIndent2Char"/>
    <w:uiPriority w:val="99"/>
    <w:semiHidden/>
    <w:unhideWhenUsed/>
    <w:rsid w:val="00DE3176"/>
    <w:pPr>
      <w:spacing w:line="480" w:lineRule="auto"/>
      <w:ind w:left="283"/>
    </w:pPr>
  </w:style>
  <w:style w:type="character" w:customStyle="1" w:styleId="BodyTextIndent2Char">
    <w:name w:val="Body Text Indent 2 Char"/>
    <w:basedOn w:val="DefaultParagraphFont"/>
    <w:link w:val="BodyTextIndent2"/>
    <w:uiPriority w:val="99"/>
    <w:semiHidden/>
    <w:rsid w:val="00DE3176"/>
    <w:rPr>
      <w:rFonts w:ascii="Cambria" w:eastAsia="Cambria" w:hAnsi="Cambria" w:cs="Times New Roman"/>
    </w:rPr>
  </w:style>
  <w:style w:type="paragraph" w:styleId="BodyTextIndent3">
    <w:name w:val="Body Text Indent 3"/>
    <w:basedOn w:val="Normal"/>
    <w:link w:val="BodyTextIndent3Char"/>
    <w:uiPriority w:val="99"/>
    <w:semiHidden/>
    <w:unhideWhenUsed/>
    <w:rsid w:val="00DE3176"/>
    <w:pPr>
      <w:ind w:left="283"/>
    </w:pPr>
    <w:rPr>
      <w:sz w:val="16"/>
      <w:szCs w:val="16"/>
    </w:rPr>
  </w:style>
  <w:style w:type="character" w:customStyle="1" w:styleId="BodyTextIndent3Char">
    <w:name w:val="Body Text Indent 3 Char"/>
    <w:basedOn w:val="DefaultParagraphFont"/>
    <w:link w:val="BodyTextIndent3"/>
    <w:uiPriority w:val="99"/>
    <w:semiHidden/>
    <w:rsid w:val="00DE3176"/>
    <w:rPr>
      <w:rFonts w:ascii="Cambria" w:eastAsia="Cambria" w:hAnsi="Cambria" w:cs="Times New Roman"/>
      <w:sz w:val="16"/>
      <w:szCs w:val="16"/>
    </w:rPr>
  </w:style>
  <w:style w:type="paragraph" w:styleId="Closing">
    <w:name w:val="Closing"/>
    <w:basedOn w:val="Normal"/>
    <w:link w:val="ClosingChar"/>
    <w:uiPriority w:val="99"/>
    <w:semiHidden/>
    <w:unhideWhenUsed/>
    <w:rsid w:val="00DE3176"/>
    <w:pPr>
      <w:spacing w:before="0" w:after="0" w:line="240" w:lineRule="auto"/>
      <w:ind w:left="4252"/>
    </w:pPr>
  </w:style>
  <w:style w:type="character" w:customStyle="1" w:styleId="ClosingChar">
    <w:name w:val="Closing Char"/>
    <w:basedOn w:val="DefaultParagraphFont"/>
    <w:link w:val="Closing"/>
    <w:uiPriority w:val="99"/>
    <w:semiHidden/>
    <w:rsid w:val="00DE3176"/>
    <w:rPr>
      <w:rFonts w:ascii="Cambria" w:eastAsia="Cambria" w:hAnsi="Cambria" w:cs="Times New Roman"/>
    </w:rPr>
  </w:style>
  <w:style w:type="paragraph" w:styleId="DocumentMap">
    <w:name w:val="Document Map"/>
    <w:basedOn w:val="Normal"/>
    <w:link w:val="DocumentMapChar"/>
    <w:uiPriority w:val="99"/>
    <w:semiHidden/>
    <w:unhideWhenUsed/>
    <w:rsid w:val="00DE3176"/>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E3176"/>
    <w:rPr>
      <w:rFonts w:ascii="Segoe UI" w:eastAsia="Cambria" w:hAnsi="Segoe UI" w:cs="Segoe UI"/>
      <w:sz w:val="16"/>
      <w:szCs w:val="16"/>
    </w:rPr>
  </w:style>
  <w:style w:type="paragraph" w:styleId="E-mailSignature">
    <w:name w:val="E-mail Signature"/>
    <w:basedOn w:val="Normal"/>
    <w:link w:val="E-mailSignatureChar"/>
    <w:uiPriority w:val="99"/>
    <w:semiHidden/>
    <w:unhideWhenUsed/>
    <w:rsid w:val="00DE3176"/>
    <w:pPr>
      <w:spacing w:before="0" w:after="0" w:line="240" w:lineRule="auto"/>
    </w:pPr>
  </w:style>
  <w:style w:type="character" w:customStyle="1" w:styleId="E-mailSignatureChar">
    <w:name w:val="E-mail Signature Char"/>
    <w:basedOn w:val="DefaultParagraphFont"/>
    <w:link w:val="E-mailSignature"/>
    <w:uiPriority w:val="99"/>
    <w:semiHidden/>
    <w:rsid w:val="00DE3176"/>
    <w:rPr>
      <w:rFonts w:ascii="Cambria" w:eastAsia="Cambria" w:hAnsi="Cambria" w:cs="Times New Roman"/>
    </w:rPr>
  </w:style>
  <w:style w:type="paragraph" w:styleId="EnvelopeAddress">
    <w:name w:val="envelope address"/>
    <w:basedOn w:val="Normal"/>
    <w:uiPriority w:val="99"/>
    <w:semiHidden/>
    <w:unhideWhenUsed/>
    <w:rsid w:val="00DE317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E3176"/>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DE31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317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E3176"/>
    <w:pPr>
      <w:spacing w:before="0" w:after="0" w:line="240" w:lineRule="auto"/>
    </w:pPr>
    <w:rPr>
      <w:i/>
      <w:iCs/>
    </w:rPr>
  </w:style>
  <w:style w:type="character" w:customStyle="1" w:styleId="HTMLAddressChar">
    <w:name w:val="HTML Address Char"/>
    <w:basedOn w:val="DefaultParagraphFont"/>
    <w:link w:val="HTMLAddress"/>
    <w:uiPriority w:val="99"/>
    <w:semiHidden/>
    <w:rsid w:val="00DE3176"/>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DE3176"/>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3176"/>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DE3176"/>
    <w:pPr>
      <w:spacing w:before="0" w:after="0" w:line="240" w:lineRule="auto"/>
      <w:ind w:left="220" w:hanging="220"/>
    </w:pPr>
  </w:style>
  <w:style w:type="paragraph" w:styleId="Index2">
    <w:name w:val="index 2"/>
    <w:basedOn w:val="Normal"/>
    <w:next w:val="Normal"/>
    <w:autoRedefine/>
    <w:uiPriority w:val="99"/>
    <w:semiHidden/>
    <w:unhideWhenUsed/>
    <w:rsid w:val="00DE3176"/>
    <w:pPr>
      <w:spacing w:before="0" w:after="0" w:line="240" w:lineRule="auto"/>
      <w:ind w:left="440" w:hanging="220"/>
    </w:pPr>
  </w:style>
  <w:style w:type="paragraph" w:styleId="Index3">
    <w:name w:val="index 3"/>
    <w:basedOn w:val="Normal"/>
    <w:next w:val="Normal"/>
    <w:autoRedefine/>
    <w:uiPriority w:val="99"/>
    <w:semiHidden/>
    <w:unhideWhenUsed/>
    <w:rsid w:val="00DE3176"/>
    <w:pPr>
      <w:spacing w:before="0" w:after="0" w:line="240" w:lineRule="auto"/>
      <w:ind w:left="660" w:hanging="220"/>
    </w:pPr>
  </w:style>
  <w:style w:type="paragraph" w:styleId="Index4">
    <w:name w:val="index 4"/>
    <w:basedOn w:val="Normal"/>
    <w:next w:val="Normal"/>
    <w:autoRedefine/>
    <w:uiPriority w:val="99"/>
    <w:semiHidden/>
    <w:unhideWhenUsed/>
    <w:rsid w:val="00DE3176"/>
    <w:pPr>
      <w:spacing w:before="0" w:after="0" w:line="240" w:lineRule="auto"/>
      <w:ind w:left="880" w:hanging="220"/>
    </w:pPr>
  </w:style>
  <w:style w:type="paragraph" w:styleId="Index5">
    <w:name w:val="index 5"/>
    <w:basedOn w:val="Normal"/>
    <w:next w:val="Normal"/>
    <w:autoRedefine/>
    <w:uiPriority w:val="99"/>
    <w:semiHidden/>
    <w:unhideWhenUsed/>
    <w:rsid w:val="00DE3176"/>
    <w:pPr>
      <w:spacing w:before="0" w:after="0" w:line="240" w:lineRule="auto"/>
      <w:ind w:left="1100" w:hanging="220"/>
    </w:pPr>
  </w:style>
  <w:style w:type="paragraph" w:styleId="Index6">
    <w:name w:val="index 6"/>
    <w:basedOn w:val="Normal"/>
    <w:next w:val="Normal"/>
    <w:autoRedefine/>
    <w:uiPriority w:val="99"/>
    <w:semiHidden/>
    <w:unhideWhenUsed/>
    <w:rsid w:val="00DE3176"/>
    <w:pPr>
      <w:spacing w:before="0" w:after="0" w:line="240" w:lineRule="auto"/>
      <w:ind w:left="1320" w:hanging="220"/>
    </w:pPr>
  </w:style>
  <w:style w:type="paragraph" w:styleId="Index7">
    <w:name w:val="index 7"/>
    <w:basedOn w:val="Normal"/>
    <w:next w:val="Normal"/>
    <w:autoRedefine/>
    <w:uiPriority w:val="99"/>
    <w:semiHidden/>
    <w:unhideWhenUsed/>
    <w:rsid w:val="00DE3176"/>
    <w:pPr>
      <w:spacing w:before="0" w:after="0" w:line="240" w:lineRule="auto"/>
      <w:ind w:left="1540" w:hanging="220"/>
    </w:pPr>
  </w:style>
  <w:style w:type="paragraph" w:styleId="Index8">
    <w:name w:val="index 8"/>
    <w:basedOn w:val="Normal"/>
    <w:next w:val="Normal"/>
    <w:autoRedefine/>
    <w:uiPriority w:val="99"/>
    <w:semiHidden/>
    <w:unhideWhenUsed/>
    <w:rsid w:val="00DE3176"/>
    <w:pPr>
      <w:spacing w:before="0" w:after="0" w:line="240" w:lineRule="auto"/>
      <w:ind w:left="1760" w:hanging="220"/>
    </w:pPr>
  </w:style>
  <w:style w:type="paragraph" w:styleId="Index9">
    <w:name w:val="index 9"/>
    <w:basedOn w:val="Normal"/>
    <w:next w:val="Normal"/>
    <w:autoRedefine/>
    <w:uiPriority w:val="99"/>
    <w:semiHidden/>
    <w:unhideWhenUsed/>
    <w:rsid w:val="00DE3176"/>
    <w:pPr>
      <w:spacing w:before="0" w:after="0" w:line="240" w:lineRule="auto"/>
      <w:ind w:left="1980" w:hanging="220"/>
    </w:pPr>
  </w:style>
  <w:style w:type="paragraph" w:styleId="IndexHeading">
    <w:name w:val="index heading"/>
    <w:basedOn w:val="Normal"/>
    <w:next w:val="Index1"/>
    <w:uiPriority w:val="99"/>
    <w:semiHidden/>
    <w:unhideWhenUsed/>
    <w:rsid w:val="00DE317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E3176"/>
    <w:pPr>
      <w:pBdr>
        <w:top w:val="single" w:sz="4" w:space="10" w:color="002C47" w:themeColor="accent1"/>
        <w:bottom w:val="single" w:sz="4" w:space="10" w:color="002C47" w:themeColor="accent1"/>
      </w:pBdr>
      <w:spacing w:before="360" w:after="360"/>
      <w:ind w:left="864" w:right="864"/>
      <w:jc w:val="center"/>
    </w:pPr>
    <w:rPr>
      <w:i/>
      <w:iCs/>
      <w:color w:val="002C47" w:themeColor="accent1"/>
    </w:rPr>
  </w:style>
  <w:style w:type="character" w:customStyle="1" w:styleId="IntenseQuoteChar">
    <w:name w:val="Intense Quote Char"/>
    <w:basedOn w:val="DefaultParagraphFont"/>
    <w:link w:val="IntenseQuote"/>
    <w:uiPriority w:val="30"/>
    <w:rsid w:val="00DE3176"/>
    <w:rPr>
      <w:rFonts w:ascii="Cambria" w:eastAsia="Cambria" w:hAnsi="Cambria" w:cs="Times New Roman"/>
      <w:i/>
      <w:iCs/>
      <w:color w:val="002C47" w:themeColor="accent1"/>
    </w:rPr>
  </w:style>
  <w:style w:type="paragraph" w:styleId="List">
    <w:name w:val="List"/>
    <w:basedOn w:val="Normal"/>
    <w:uiPriority w:val="99"/>
    <w:semiHidden/>
    <w:unhideWhenUsed/>
    <w:rsid w:val="00DE3176"/>
    <w:pPr>
      <w:ind w:left="283" w:hanging="283"/>
      <w:contextualSpacing/>
    </w:pPr>
  </w:style>
  <w:style w:type="paragraph" w:styleId="List2">
    <w:name w:val="List 2"/>
    <w:basedOn w:val="Normal"/>
    <w:uiPriority w:val="99"/>
    <w:semiHidden/>
    <w:unhideWhenUsed/>
    <w:rsid w:val="00DE3176"/>
    <w:pPr>
      <w:ind w:left="566" w:hanging="283"/>
      <w:contextualSpacing/>
    </w:pPr>
  </w:style>
  <w:style w:type="paragraph" w:styleId="List3">
    <w:name w:val="List 3"/>
    <w:basedOn w:val="Normal"/>
    <w:uiPriority w:val="99"/>
    <w:semiHidden/>
    <w:unhideWhenUsed/>
    <w:rsid w:val="00DE3176"/>
    <w:pPr>
      <w:ind w:left="849" w:hanging="283"/>
      <w:contextualSpacing/>
    </w:pPr>
  </w:style>
  <w:style w:type="paragraph" w:styleId="List4">
    <w:name w:val="List 4"/>
    <w:basedOn w:val="Normal"/>
    <w:uiPriority w:val="99"/>
    <w:semiHidden/>
    <w:unhideWhenUsed/>
    <w:rsid w:val="00DE3176"/>
    <w:pPr>
      <w:ind w:left="1132" w:hanging="283"/>
      <w:contextualSpacing/>
    </w:pPr>
  </w:style>
  <w:style w:type="paragraph" w:styleId="List5">
    <w:name w:val="List 5"/>
    <w:basedOn w:val="Normal"/>
    <w:uiPriority w:val="99"/>
    <w:semiHidden/>
    <w:unhideWhenUsed/>
    <w:rsid w:val="00DE3176"/>
    <w:pPr>
      <w:ind w:left="1415" w:hanging="283"/>
      <w:contextualSpacing/>
    </w:pPr>
  </w:style>
  <w:style w:type="paragraph" w:styleId="ListBullet4">
    <w:name w:val="List Bullet 4"/>
    <w:basedOn w:val="Normal"/>
    <w:uiPriority w:val="99"/>
    <w:semiHidden/>
    <w:unhideWhenUsed/>
    <w:rsid w:val="00DE3176"/>
    <w:pPr>
      <w:numPr>
        <w:numId w:val="13"/>
      </w:numPr>
      <w:contextualSpacing/>
    </w:pPr>
  </w:style>
  <w:style w:type="paragraph" w:styleId="ListBullet5">
    <w:name w:val="List Bullet 5"/>
    <w:basedOn w:val="Normal"/>
    <w:uiPriority w:val="99"/>
    <w:semiHidden/>
    <w:unhideWhenUsed/>
    <w:rsid w:val="00DE3176"/>
    <w:pPr>
      <w:numPr>
        <w:numId w:val="14"/>
      </w:numPr>
      <w:contextualSpacing/>
    </w:pPr>
  </w:style>
  <w:style w:type="paragraph" w:styleId="ListContinue">
    <w:name w:val="List Continue"/>
    <w:basedOn w:val="Normal"/>
    <w:uiPriority w:val="99"/>
    <w:semiHidden/>
    <w:unhideWhenUsed/>
    <w:rsid w:val="00DE3176"/>
    <w:pPr>
      <w:ind w:left="283"/>
      <w:contextualSpacing/>
    </w:pPr>
  </w:style>
  <w:style w:type="paragraph" w:styleId="ListContinue2">
    <w:name w:val="List Continue 2"/>
    <w:basedOn w:val="Normal"/>
    <w:uiPriority w:val="99"/>
    <w:semiHidden/>
    <w:unhideWhenUsed/>
    <w:rsid w:val="00DE3176"/>
    <w:pPr>
      <w:ind w:left="566"/>
      <w:contextualSpacing/>
    </w:pPr>
  </w:style>
  <w:style w:type="paragraph" w:styleId="ListContinue3">
    <w:name w:val="List Continue 3"/>
    <w:basedOn w:val="Normal"/>
    <w:uiPriority w:val="99"/>
    <w:semiHidden/>
    <w:unhideWhenUsed/>
    <w:rsid w:val="00DE3176"/>
    <w:pPr>
      <w:ind w:left="849"/>
      <w:contextualSpacing/>
    </w:pPr>
  </w:style>
  <w:style w:type="paragraph" w:styleId="ListContinue4">
    <w:name w:val="List Continue 4"/>
    <w:basedOn w:val="Normal"/>
    <w:uiPriority w:val="99"/>
    <w:semiHidden/>
    <w:unhideWhenUsed/>
    <w:rsid w:val="00DE3176"/>
    <w:pPr>
      <w:ind w:left="1132"/>
      <w:contextualSpacing/>
    </w:pPr>
  </w:style>
  <w:style w:type="paragraph" w:styleId="ListContinue5">
    <w:name w:val="List Continue 5"/>
    <w:basedOn w:val="Normal"/>
    <w:uiPriority w:val="99"/>
    <w:semiHidden/>
    <w:unhideWhenUsed/>
    <w:rsid w:val="00DE3176"/>
    <w:pPr>
      <w:ind w:left="1415"/>
      <w:contextualSpacing/>
    </w:pPr>
  </w:style>
  <w:style w:type="paragraph" w:styleId="ListNumber">
    <w:name w:val="List Number"/>
    <w:basedOn w:val="Normal"/>
    <w:uiPriority w:val="99"/>
    <w:semiHidden/>
    <w:unhideWhenUsed/>
    <w:rsid w:val="00DE3176"/>
    <w:pPr>
      <w:numPr>
        <w:numId w:val="15"/>
      </w:numPr>
      <w:contextualSpacing/>
    </w:pPr>
  </w:style>
  <w:style w:type="paragraph" w:styleId="ListNumber2">
    <w:name w:val="List Number 2"/>
    <w:basedOn w:val="Normal"/>
    <w:uiPriority w:val="99"/>
    <w:semiHidden/>
    <w:unhideWhenUsed/>
    <w:rsid w:val="00DE3176"/>
    <w:pPr>
      <w:numPr>
        <w:numId w:val="16"/>
      </w:numPr>
      <w:contextualSpacing/>
    </w:pPr>
  </w:style>
  <w:style w:type="paragraph" w:styleId="ListNumber3">
    <w:name w:val="List Number 3"/>
    <w:basedOn w:val="Normal"/>
    <w:uiPriority w:val="99"/>
    <w:semiHidden/>
    <w:unhideWhenUsed/>
    <w:rsid w:val="00DE3176"/>
    <w:pPr>
      <w:numPr>
        <w:numId w:val="17"/>
      </w:numPr>
      <w:contextualSpacing/>
    </w:pPr>
  </w:style>
  <w:style w:type="paragraph" w:styleId="ListNumber4">
    <w:name w:val="List Number 4"/>
    <w:basedOn w:val="Normal"/>
    <w:uiPriority w:val="99"/>
    <w:semiHidden/>
    <w:unhideWhenUsed/>
    <w:rsid w:val="00DE3176"/>
    <w:pPr>
      <w:numPr>
        <w:numId w:val="18"/>
      </w:numPr>
      <w:contextualSpacing/>
    </w:pPr>
  </w:style>
  <w:style w:type="paragraph" w:styleId="ListNumber5">
    <w:name w:val="List Number 5"/>
    <w:basedOn w:val="Normal"/>
    <w:uiPriority w:val="99"/>
    <w:semiHidden/>
    <w:unhideWhenUsed/>
    <w:rsid w:val="00DE3176"/>
    <w:pPr>
      <w:numPr>
        <w:numId w:val="19"/>
      </w:numPr>
      <w:contextualSpacing/>
    </w:pPr>
  </w:style>
  <w:style w:type="paragraph" w:styleId="MacroText">
    <w:name w:val="macro"/>
    <w:link w:val="MacroTextChar"/>
    <w:uiPriority w:val="99"/>
    <w:semiHidden/>
    <w:unhideWhenUsed/>
    <w:rsid w:val="00DE3176"/>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DE3176"/>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DE317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E3176"/>
    <w:rPr>
      <w:rFonts w:asciiTheme="majorHAnsi" w:eastAsiaTheme="majorEastAsia" w:hAnsiTheme="majorHAnsi" w:cstheme="majorBidi"/>
      <w:sz w:val="24"/>
      <w:szCs w:val="24"/>
      <w:shd w:val="pct20" w:color="auto" w:fill="auto"/>
    </w:rPr>
  </w:style>
  <w:style w:type="paragraph" w:styleId="NoSpacing">
    <w:name w:val="No Spacing"/>
    <w:uiPriority w:val="1"/>
    <w:rsid w:val="00DE3176"/>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DE3176"/>
    <w:rPr>
      <w:rFonts w:ascii="Times New Roman" w:hAnsi="Times New Roman"/>
      <w:sz w:val="24"/>
      <w:szCs w:val="24"/>
    </w:rPr>
  </w:style>
  <w:style w:type="paragraph" w:styleId="NormalIndent">
    <w:name w:val="Normal Indent"/>
    <w:basedOn w:val="Normal"/>
    <w:uiPriority w:val="99"/>
    <w:semiHidden/>
    <w:unhideWhenUsed/>
    <w:rsid w:val="00DE3176"/>
    <w:pPr>
      <w:ind w:left="720"/>
    </w:pPr>
  </w:style>
  <w:style w:type="paragraph" w:styleId="NoteHeading">
    <w:name w:val="Note Heading"/>
    <w:basedOn w:val="Normal"/>
    <w:next w:val="Normal"/>
    <w:link w:val="NoteHeadingChar"/>
    <w:uiPriority w:val="99"/>
    <w:semiHidden/>
    <w:unhideWhenUsed/>
    <w:rsid w:val="00DE3176"/>
    <w:pPr>
      <w:spacing w:before="0" w:after="0" w:line="240" w:lineRule="auto"/>
    </w:pPr>
  </w:style>
  <w:style w:type="character" w:customStyle="1" w:styleId="NoteHeadingChar">
    <w:name w:val="Note Heading Char"/>
    <w:basedOn w:val="DefaultParagraphFont"/>
    <w:link w:val="NoteHeading"/>
    <w:uiPriority w:val="99"/>
    <w:semiHidden/>
    <w:rsid w:val="00DE3176"/>
    <w:rPr>
      <w:rFonts w:ascii="Cambria" w:eastAsia="Cambria" w:hAnsi="Cambria" w:cs="Times New Roman"/>
    </w:rPr>
  </w:style>
  <w:style w:type="paragraph" w:styleId="PlainText">
    <w:name w:val="Plain Text"/>
    <w:basedOn w:val="Normal"/>
    <w:link w:val="PlainTextChar"/>
    <w:uiPriority w:val="99"/>
    <w:semiHidden/>
    <w:unhideWhenUsed/>
    <w:rsid w:val="00DE3176"/>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E3176"/>
    <w:rPr>
      <w:rFonts w:ascii="Consolas" w:eastAsia="Cambria" w:hAnsi="Consolas" w:cs="Times New Roman"/>
      <w:sz w:val="21"/>
      <w:szCs w:val="21"/>
    </w:rPr>
  </w:style>
  <w:style w:type="paragraph" w:styleId="Quote">
    <w:name w:val="Quote"/>
    <w:basedOn w:val="Normal"/>
    <w:next w:val="Normal"/>
    <w:link w:val="QuoteChar"/>
    <w:uiPriority w:val="29"/>
    <w:rsid w:val="00DE317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E3176"/>
    <w:rPr>
      <w:rFonts w:ascii="Cambria" w:eastAsia="Cambria" w:hAnsi="Cambria" w:cs="Times New Roman"/>
      <w:i/>
      <w:iCs/>
      <w:color w:val="404040" w:themeColor="text1" w:themeTint="BF"/>
    </w:rPr>
  </w:style>
  <w:style w:type="paragraph" w:styleId="Salutation">
    <w:name w:val="Salutation"/>
    <w:basedOn w:val="Normal"/>
    <w:next w:val="Normal"/>
    <w:link w:val="SalutationChar"/>
    <w:uiPriority w:val="99"/>
    <w:semiHidden/>
    <w:unhideWhenUsed/>
    <w:rsid w:val="00DE3176"/>
  </w:style>
  <w:style w:type="character" w:customStyle="1" w:styleId="SalutationChar">
    <w:name w:val="Salutation Char"/>
    <w:basedOn w:val="DefaultParagraphFont"/>
    <w:link w:val="Salutation"/>
    <w:uiPriority w:val="99"/>
    <w:semiHidden/>
    <w:rsid w:val="00DE3176"/>
    <w:rPr>
      <w:rFonts w:ascii="Cambria" w:eastAsia="Cambria" w:hAnsi="Cambria" w:cs="Times New Roman"/>
    </w:rPr>
  </w:style>
  <w:style w:type="paragraph" w:styleId="Signature">
    <w:name w:val="Signature"/>
    <w:basedOn w:val="Normal"/>
    <w:link w:val="SignatureChar"/>
    <w:uiPriority w:val="99"/>
    <w:semiHidden/>
    <w:unhideWhenUsed/>
    <w:rsid w:val="00DE3176"/>
    <w:pPr>
      <w:spacing w:before="0" w:after="0" w:line="240" w:lineRule="auto"/>
      <w:ind w:left="4252"/>
    </w:pPr>
  </w:style>
  <w:style w:type="character" w:customStyle="1" w:styleId="SignatureChar">
    <w:name w:val="Signature Char"/>
    <w:basedOn w:val="DefaultParagraphFont"/>
    <w:link w:val="Signature"/>
    <w:uiPriority w:val="99"/>
    <w:semiHidden/>
    <w:rsid w:val="00DE3176"/>
    <w:rPr>
      <w:rFonts w:ascii="Cambria" w:eastAsia="Cambria" w:hAnsi="Cambria" w:cs="Times New Roman"/>
    </w:rPr>
  </w:style>
  <w:style w:type="paragraph" w:styleId="TableofAuthorities">
    <w:name w:val="table of authorities"/>
    <w:basedOn w:val="Normal"/>
    <w:next w:val="Normal"/>
    <w:uiPriority w:val="99"/>
    <w:semiHidden/>
    <w:unhideWhenUsed/>
    <w:rsid w:val="00DE3176"/>
    <w:pPr>
      <w:spacing w:after="0"/>
      <w:ind w:left="220" w:hanging="220"/>
    </w:pPr>
  </w:style>
  <w:style w:type="paragraph" w:styleId="TableofFigures">
    <w:name w:val="table of figures"/>
    <w:basedOn w:val="Normal"/>
    <w:next w:val="Normal"/>
    <w:uiPriority w:val="99"/>
    <w:semiHidden/>
    <w:unhideWhenUsed/>
    <w:rsid w:val="00DE3176"/>
    <w:pPr>
      <w:spacing w:after="0"/>
    </w:pPr>
  </w:style>
  <w:style w:type="paragraph" w:styleId="TOAHeading">
    <w:name w:val="toa heading"/>
    <w:basedOn w:val="Normal"/>
    <w:next w:val="Normal"/>
    <w:uiPriority w:val="99"/>
    <w:semiHidden/>
    <w:unhideWhenUsed/>
    <w:rsid w:val="00DE3176"/>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E3176"/>
    <w:pPr>
      <w:spacing w:after="100"/>
      <w:ind w:left="660"/>
    </w:pPr>
  </w:style>
  <w:style w:type="paragraph" w:styleId="TOC5">
    <w:name w:val="toc 5"/>
    <w:basedOn w:val="Normal"/>
    <w:next w:val="Normal"/>
    <w:autoRedefine/>
    <w:uiPriority w:val="39"/>
    <w:semiHidden/>
    <w:unhideWhenUsed/>
    <w:rsid w:val="00DE3176"/>
    <w:pPr>
      <w:spacing w:after="100"/>
      <w:ind w:left="880"/>
    </w:pPr>
  </w:style>
  <w:style w:type="paragraph" w:styleId="TOC6">
    <w:name w:val="toc 6"/>
    <w:basedOn w:val="Normal"/>
    <w:next w:val="Normal"/>
    <w:autoRedefine/>
    <w:uiPriority w:val="39"/>
    <w:semiHidden/>
    <w:unhideWhenUsed/>
    <w:rsid w:val="00DE3176"/>
    <w:pPr>
      <w:spacing w:after="100"/>
      <w:ind w:left="1100"/>
    </w:pPr>
  </w:style>
  <w:style w:type="paragraph" w:styleId="TOC7">
    <w:name w:val="toc 7"/>
    <w:basedOn w:val="Normal"/>
    <w:next w:val="Normal"/>
    <w:autoRedefine/>
    <w:uiPriority w:val="39"/>
    <w:semiHidden/>
    <w:unhideWhenUsed/>
    <w:rsid w:val="00DE3176"/>
    <w:pPr>
      <w:spacing w:after="100"/>
      <w:ind w:left="1320"/>
    </w:pPr>
  </w:style>
  <w:style w:type="paragraph" w:styleId="TOC8">
    <w:name w:val="toc 8"/>
    <w:basedOn w:val="Normal"/>
    <w:next w:val="Normal"/>
    <w:autoRedefine/>
    <w:uiPriority w:val="39"/>
    <w:semiHidden/>
    <w:unhideWhenUsed/>
    <w:rsid w:val="00DE3176"/>
    <w:pPr>
      <w:spacing w:after="100"/>
      <w:ind w:left="1540"/>
    </w:pPr>
  </w:style>
  <w:style w:type="paragraph" w:styleId="TOC9">
    <w:name w:val="toc 9"/>
    <w:basedOn w:val="Normal"/>
    <w:next w:val="Normal"/>
    <w:autoRedefine/>
    <w:uiPriority w:val="39"/>
    <w:semiHidden/>
    <w:unhideWhenUsed/>
    <w:rsid w:val="00DE317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68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image" Target="media/image10.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footer" Target="foot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microsoft.com/office/2007/relationships/hdphoto" Target="media/hdphoto2.wdp"/><Relationship Id="rId29" Type="http://schemas.openxmlformats.org/officeDocument/2006/relationships/hyperlink" Target="https://www.tga.gov.au/product-information-p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760\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AA7F6-F921-4DB1-A64A-3A804050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Template>
  <TotalTime>21</TotalTime>
  <Pages>48</Pages>
  <Words>16958</Words>
  <Characters>94122</Characters>
  <Application>Microsoft Office Word</Application>
  <DocSecurity>0</DocSecurity>
  <Lines>1810</Lines>
  <Paragraphs>835</Paragraphs>
  <ScaleCrop>false</ScaleCrop>
  <HeadingPairs>
    <vt:vector size="2" baseType="variant">
      <vt:variant>
        <vt:lpstr>Title</vt:lpstr>
      </vt:variant>
      <vt:variant>
        <vt:i4>1</vt:i4>
      </vt:variant>
    </vt:vector>
  </HeadingPairs>
  <TitlesOfParts>
    <vt:vector size="1" baseType="lpstr">
      <vt:lpstr>Australian Public Assessment Report for Dasatinib</vt:lpstr>
    </vt:vector>
  </TitlesOfParts>
  <Company>Department of Health Therapeutic Goods Administration</Company>
  <LinksUpToDate>false</LinksUpToDate>
  <CharactersWithSpaces>110245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Dasatinib</dc:title>
  <dc:subject>prescription medicines</dc:subject>
  <dc:creator>Therapeutic Goods Administration</dc:creator>
  <cp:keywords>AusPARs</cp:keywords>
  <cp:lastModifiedBy>LACK, Janet</cp:lastModifiedBy>
  <cp:revision>5</cp:revision>
  <cp:lastPrinted>2015-09-22T23:39:00Z</cp:lastPrinted>
  <dcterms:created xsi:type="dcterms:W3CDTF">2019-09-26T04:38:00Z</dcterms:created>
  <dcterms:modified xsi:type="dcterms:W3CDTF">2019-09-26T05:02:00Z</dcterms:modified>
  <cp:category/>
</cp:coreProperties>
</file>