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917BF" w14:textId="77777777" w:rsidR="004032BD" w:rsidRPr="000A4651" w:rsidRDefault="004032BD" w:rsidP="001A2060">
      <w:pPr>
        <w:pStyle w:val="Title"/>
        <w:rPr>
          <w:rFonts w:eastAsia="SimSun"/>
        </w:rPr>
      </w:pPr>
      <w:bookmarkStart w:id="0" w:name="_GoBack"/>
      <w:bookmarkEnd w:id="0"/>
      <w:r w:rsidRPr="000A4651">
        <w:rPr>
          <w:rFonts w:eastAsia="SimSun"/>
        </w:rPr>
        <w:t>Australian P</w:t>
      </w:r>
      <w:r w:rsidR="00544A7F" w:rsidRPr="000A4651">
        <w:rPr>
          <w:rFonts w:eastAsia="SimSun"/>
        </w:rPr>
        <w:t xml:space="preserve">roduct </w:t>
      </w:r>
      <w:r w:rsidRPr="000A4651">
        <w:rPr>
          <w:rFonts w:eastAsia="SimSun"/>
        </w:rPr>
        <w:t>I</w:t>
      </w:r>
      <w:r w:rsidR="00544A7F" w:rsidRPr="000A4651">
        <w:rPr>
          <w:rFonts w:eastAsia="SimSun"/>
        </w:rPr>
        <w:t>nformation</w:t>
      </w:r>
      <w:r w:rsidRPr="000A4651">
        <w:rPr>
          <w:rFonts w:eastAsia="SimSun"/>
        </w:rPr>
        <w:t xml:space="preserve"> –</w:t>
      </w:r>
      <w:r w:rsidR="00544A7F" w:rsidRPr="000A4651">
        <w:rPr>
          <w:rFonts w:eastAsia="SimSun"/>
        </w:rPr>
        <w:t xml:space="preserve"> </w:t>
      </w:r>
      <w:r w:rsidR="00673D9D">
        <w:rPr>
          <w:rFonts w:eastAsia="SimSun"/>
        </w:rPr>
        <w:t>sprycel</w:t>
      </w:r>
      <w:r w:rsidR="004704A9" w:rsidRPr="000A4651">
        <w:rPr>
          <w:rFonts w:eastAsia="SimSun"/>
          <w:vertAlign w:val="superscript"/>
          <w:lang w:val="en-US"/>
        </w:rPr>
        <w:t>®</w:t>
      </w:r>
      <w:r w:rsidR="00544A7F" w:rsidRPr="000A4651">
        <w:rPr>
          <w:rFonts w:eastAsia="SimSun"/>
          <w:vertAlign w:val="superscript"/>
          <w:lang w:val="en-US"/>
        </w:rPr>
        <w:t xml:space="preserve"> </w:t>
      </w:r>
      <w:r w:rsidR="00544A7F" w:rsidRPr="000A4651">
        <w:rPr>
          <w:rFonts w:eastAsia="SimSun"/>
          <w:lang w:val="en-US"/>
        </w:rPr>
        <w:t>(</w:t>
      </w:r>
      <w:r w:rsidR="00673D9D">
        <w:rPr>
          <w:rFonts w:eastAsia="SimSun"/>
        </w:rPr>
        <w:t>dasatinib</w:t>
      </w:r>
      <w:r w:rsidR="00544A7F" w:rsidRPr="000A4651">
        <w:rPr>
          <w:rFonts w:eastAsia="SimSun"/>
        </w:rPr>
        <w:t>)</w:t>
      </w:r>
    </w:p>
    <w:p w14:paraId="2FF0E563" w14:textId="77777777" w:rsidR="001A3992" w:rsidRPr="00E376B1" w:rsidRDefault="001A3992" w:rsidP="00E376B1">
      <w:pPr>
        <w:pStyle w:val="Heading1"/>
        <w:numPr>
          <w:ilvl w:val="0"/>
          <w:numId w:val="30"/>
        </w:numPr>
      </w:pPr>
      <w:r w:rsidRPr="00E376B1">
        <w:t>Name of the medicine</w:t>
      </w:r>
    </w:p>
    <w:p w14:paraId="479CC920" w14:textId="383CD9CD" w:rsidR="00C046F7" w:rsidRPr="00B3545F" w:rsidRDefault="00F6279E" w:rsidP="00C046F7">
      <w:r>
        <w:rPr>
          <w:lang w:val="en-US"/>
        </w:rPr>
        <w:t>SPRYCEL</w:t>
      </w:r>
      <w:r w:rsidR="006821AA">
        <w:rPr>
          <w:lang w:val="en-US"/>
        </w:rPr>
        <w:t xml:space="preserve"> (d</w:t>
      </w:r>
      <w:r w:rsidR="00673D9D" w:rsidRPr="00B3545F">
        <w:rPr>
          <w:lang w:val="en-US"/>
        </w:rPr>
        <w:t>asatinib</w:t>
      </w:r>
      <w:r w:rsidR="006821AA">
        <w:rPr>
          <w:lang w:val="en-US"/>
        </w:rPr>
        <w:t>)</w:t>
      </w:r>
    </w:p>
    <w:p w14:paraId="64DCB95F" w14:textId="77777777" w:rsidR="001A3992" w:rsidRPr="000A4651" w:rsidRDefault="001A3992" w:rsidP="00E376B1">
      <w:pPr>
        <w:pStyle w:val="Heading1"/>
      </w:pPr>
      <w:r w:rsidRPr="00E376B1">
        <w:t>Qualitative</w:t>
      </w:r>
      <w:r w:rsidRPr="000A4651">
        <w:t xml:space="preserve"> and quantitative composition</w:t>
      </w:r>
    </w:p>
    <w:p w14:paraId="4D5F42BE" w14:textId="30E61190" w:rsidR="006172C9" w:rsidRPr="00B3545F" w:rsidRDefault="006172C9" w:rsidP="006172C9">
      <w:r w:rsidRPr="00B3545F">
        <w:t>SPRYCEL</w:t>
      </w:r>
      <w:r w:rsidR="007232B9">
        <w:t xml:space="preserve"> </w:t>
      </w:r>
      <w:r w:rsidRPr="00B3545F">
        <w:t>film-coated tablets contain 20, 50, 70 or 100 mg of dasatinib.</w:t>
      </w:r>
    </w:p>
    <w:p w14:paraId="2B758F8D" w14:textId="0DA63B63" w:rsidR="0019544E" w:rsidRPr="0019544E" w:rsidRDefault="0019544E" w:rsidP="00B3545F">
      <w:pPr>
        <w:pStyle w:val="p14"/>
        <w:spacing w:after="200"/>
        <w:ind w:left="0" w:firstLine="0"/>
        <w:jc w:val="both"/>
        <w:rPr>
          <w:bCs/>
          <w:sz w:val="22"/>
          <w:szCs w:val="22"/>
          <w:lang w:val="en-AU"/>
        </w:rPr>
      </w:pPr>
      <w:r w:rsidRPr="0019544E">
        <w:rPr>
          <w:bCs/>
          <w:sz w:val="22"/>
          <w:szCs w:val="22"/>
          <w:lang w:val="en-AU"/>
        </w:rPr>
        <w:t xml:space="preserve">Dasatinib is a white to off-white powder. </w:t>
      </w:r>
    </w:p>
    <w:p w14:paraId="5810E047" w14:textId="6915E3CB" w:rsidR="00B830E2" w:rsidRPr="00B3545F" w:rsidRDefault="006172C9" w:rsidP="00B830E2">
      <w:r w:rsidRPr="00B3545F">
        <w:t>SPRYCEL film-coated tablets contain lactose</w:t>
      </w:r>
      <w:r w:rsidR="0017277E">
        <w:t xml:space="preserve"> monohydrate</w:t>
      </w:r>
      <w:r w:rsidRPr="00B3545F">
        <w:t xml:space="preserve">. </w:t>
      </w:r>
      <w:r w:rsidR="0019544E" w:rsidRPr="00B3545F">
        <w:t>F</w:t>
      </w:r>
      <w:r w:rsidR="00B830E2" w:rsidRPr="00B3545F">
        <w:t>or the full list of excipients, see Section 6.1</w:t>
      </w:r>
      <w:r w:rsidR="00DE587B" w:rsidRPr="00B3545F">
        <w:t xml:space="preserve"> </w:t>
      </w:r>
      <w:r w:rsidR="0019544E" w:rsidRPr="00B3545F">
        <w:t>L</w:t>
      </w:r>
      <w:r w:rsidR="00DE587B" w:rsidRPr="00B3545F">
        <w:t>ist of excipients</w:t>
      </w:r>
      <w:r w:rsidR="00B830E2" w:rsidRPr="00B3545F">
        <w:t>.</w:t>
      </w:r>
    </w:p>
    <w:p w14:paraId="1A78DC49" w14:textId="77777777" w:rsidR="001A3992" w:rsidRPr="000A4651" w:rsidRDefault="001A3992" w:rsidP="00C27979">
      <w:pPr>
        <w:pStyle w:val="Heading1"/>
      </w:pPr>
      <w:r w:rsidRPr="000A4651">
        <w:t>Pharmaceutical form</w:t>
      </w:r>
    </w:p>
    <w:p w14:paraId="531ED01A" w14:textId="1AF8FCB5" w:rsidR="00303143" w:rsidRDefault="00303143" w:rsidP="00C52BF0">
      <w:r w:rsidRPr="00265791">
        <w:t xml:space="preserve">SPRYCEL </w:t>
      </w:r>
      <w:r>
        <w:t xml:space="preserve">film-coated </w:t>
      </w:r>
      <w:r w:rsidRPr="00265791">
        <w:t>tablets</w:t>
      </w:r>
      <w:r w:rsidR="006172C9">
        <w:t>.</w:t>
      </w:r>
      <w:r w:rsidRPr="00265791">
        <w:t xml:space="preserve"> </w:t>
      </w:r>
    </w:p>
    <w:p w14:paraId="5E33D716" w14:textId="5EB0E292" w:rsidR="00303143" w:rsidRDefault="00303143" w:rsidP="00C52BF0">
      <w:r>
        <w:t>The 20</w:t>
      </w:r>
      <w:r w:rsidR="00C52BF0">
        <w:t xml:space="preserve"> </w:t>
      </w:r>
      <w:r>
        <w:t xml:space="preserve">mg tablets are </w:t>
      </w:r>
      <w:r w:rsidRPr="00265791">
        <w:t>white to off-white, biconvex, round tablets with “BMS” debossed on one side and “527” on the other side.</w:t>
      </w:r>
    </w:p>
    <w:p w14:paraId="5325FC44" w14:textId="77777777" w:rsidR="006172C9" w:rsidRPr="00265791" w:rsidRDefault="006172C9" w:rsidP="006172C9">
      <w:r w:rsidRPr="00265791">
        <w:t>The 50 mg tablets are oval shaped and debossed “BMS” on one side and “528” on the other side.</w:t>
      </w:r>
    </w:p>
    <w:p w14:paraId="449651B6" w14:textId="410EB5B9" w:rsidR="00C52BF0" w:rsidRDefault="00C52BF0" w:rsidP="00C52BF0">
      <w:r>
        <w:t xml:space="preserve">The </w:t>
      </w:r>
      <w:r w:rsidR="00303143">
        <w:t xml:space="preserve">70 mg </w:t>
      </w:r>
      <w:r>
        <w:t xml:space="preserve">tablets are </w:t>
      </w:r>
      <w:r w:rsidR="00303143" w:rsidRPr="00265791">
        <w:t>white to off-white, biconvex, round tablets with “BMS” debossed on one side</w:t>
      </w:r>
      <w:r>
        <w:t xml:space="preserve"> and </w:t>
      </w:r>
      <w:r w:rsidRPr="00265791">
        <w:t>“524” on the other side.</w:t>
      </w:r>
    </w:p>
    <w:p w14:paraId="35A5069F" w14:textId="77777777" w:rsidR="00303143" w:rsidRPr="00265791" w:rsidRDefault="00303143" w:rsidP="00C52BF0">
      <w:r w:rsidRPr="00265791">
        <w:t>The 100 mg tablets are oval shaped and debossed “BMS 100” on one side and “852” on the other side.</w:t>
      </w:r>
    </w:p>
    <w:p w14:paraId="50EF67AA" w14:textId="77777777" w:rsidR="001A3992" w:rsidRPr="000A4651" w:rsidRDefault="001A3992" w:rsidP="00C27979">
      <w:pPr>
        <w:pStyle w:val="Heading1"/>
      </w:pPr>
      <w:r w:rsidRPr="000A4651">
        <w:t>Clinical particulars</w:t>
      </w:r>
    </w:p>
    <w:p w14:paraId="0B68CA4A" w14:textId="77777777" w:rsidR="001A3992" w:rsidRPr="000A4651" w:rsidRDefault="003B14A8" w:rsidP="003144B2">
      <w:pPr>
        <w:pStyle w:val="Heading2"/>
      </w:pPr>
      <w:r w:rsidRPr="000A4651">
        <w:t>Therapeutic indications</w:t>
      </w:r>
    </w:p>
    <w:p w14:paraId="54E9A37C" w14:textId="16F5E5F0" w:rsidR="00872F2A" w:rsidRDefault="00C15DA2" w:rsidP="00C15DA2">
      <w:r w:rsidRPr="002241AF">
        <w:t>SPRYCEL</w:t>
      </w:r>
      <w:r w:rsidR="007232B9">
        <w:t xml:space="preserve"> </w:t>
      </w:r>
      <w:r w:rsidRPr="002241AF">
        <w:t>is indicated for the treatment of adults aged 18 years or over with</w:t>
      </w:r>
      <w:r w:rsidR="00872F2A">
        <w:t>:</w:t>
      </w:r>
    </w:p>
    <w:p w14:paraId="23645140" w14:textId="5D1EDD35" w:rsidR="00C15DA2" w:rsidRPr="002241AF" w:rsidRDefault="00C15DA2" w:rsidP="00872F2A">
      <w:pPr>
        <w:pStyle w:val="ListParagraph"/>
        <w:numPr>
          <w:ilvl w:val="0"/>
          <w:numId w:val="44"/>
        </w:numPr>
      </w:pPr>
      <w:r w:rsidRPr="002241AF">
        <w:t xml:space="preserve">newly diagnosed Philadelphia chromosome positive (Ph+) chronic myeloid leukaemia in the chronic phase. </w:t>
      </w:r>
    </w:p>
    <w:p w14:paraId="0CC22A3C" w14:textId="5799C043" w:rsidR="00C15DA2" w:rsidRPr="002241AF" w:rsidRDefault="00C15DA2" w:rsidP="00872F2A">
      <w:pPr>
        <w:pStyle w:val="ListParagraph"/>
        <w:numPr>
          <w:ilvl w:val="0"/>
          <w:numId w:val="44"/>
        </w:numPr>
      </w:pPr>
      <w:r w:rsidRPr="002241AF">
        <w:t>chronic, accelerated or myeloid or lymphoid blast phase chronic myeloid leukaemia with resistance or intolerance to prior therapy including imatinib.</w:t>
      </w:r>
    </w:p>
    <w:p w14:paraId="5C2F878F" w14:textId="52F3B290" w:rsidR="00C15DA2" w:rsidRPr="002241AF" w:rsidRDefault="00C15DA2" w:rsidP="00872F2A">
      <w:pPr>
        <w:pStyle w:val="ListParagraph"/>
        <w:numPr>
          <w:ilvl w:val="0"/>
          <w:numId w:val="44"/>
        </w:numPr>
      </w:pPr>
      <w:r w:rsidRPr="002241AF">
        <w:t>newly diagnosed Philadelphia chromosome positive acute lymphoblastic leukaemia integrated with chemotherapy.</w:t>
      </w:r>
    </w:p>
    <w:p w14:paraId="40F66098" w14:textId="35F9DE22" w:rsidR="00C15DA2" w:rsidRPr="00265791" w:rsidRDefault="00C15DA2" w:rsidP="00872F2A">
      <w:pPr>
        <w:pStyle w:val="ListParagraph"/>
        <w:numPr>
          <w:ilvl w:val="0"/>
          <w:numId w:val="44"/>
        </w:numPr>
      </w:pPr>
      <w:r w:rsidRPr="002241AF">
        <w:t>Philadelphia chromosome positive acute lymphoblastic leukaemia with resistance or</w:t>
      </w:r>
      <w:r w:rsidRPr="00265791">
        <w:t xml:space="preserve"> intolerance to prior therapy.</w:t>
      </w:r>
    </w:p>
    <w:p w14:paraId="2ABC5C39" w14:textId="77777777" w:rsidR="001A3992" w:rsidRPr="000A4651" w:rsidRDefault="001A3992" w:rsidP="003144B2">
      <w:pPr>
        <w:pStyle w:val="Heading2"/>
      </w:pPr>
      <w:r w:rsidRPr="000A4651">
        <w:t>Do</w:t>
      </w:r>
      <w:r w:rsidR="00413966" w:rsidRPr="000A4651">
        <w:t>se and method of administration</w:t>
      </w:r>
    </w:p>
    <w:p w14:paraId="45E7B48B" w14:textId="01475641" w:rsidR="00D62371" w:rsidRPr="00265791" w:rsidRDefault="00D62371" w:rsidP="00D62371">
      <w:pPr>
        <w:rPr>
          <w:rFonts w:eastAsia="MS Mincho"/>
        </w:rPr>
      </w:pPr>
      <w:r w:rsidRPr="00265791">
        <w:t xml:space="preserve">To achieve the recommended dose, SPRYCEL is available as 20 mg, 50 mg, 70 mg and 100 mg film-coated tablets. </w:t>
      </w:r>
      <w:r w:rsidRPr="00265791">
        <w:rPr>
          <w:rFonts w:eastAsia="MS Mincho"/>
        </w:rPr>
        <w:t>Dose increase or reduction is recommended based on patient response and tolerability.</w:t>
      </w:r>
    </w:p>
    <w:p w14:paraId="3744A488" w14:textId="77777777" w:rsidR="00D62371" w:rsidRPr="00265791" w:rsidRDefault="00D62371" w:rsidP="00D62371">
      <w:pPr>
        <w:pStyle w:val="Heading4"/>
      </w:pPr>
      <w:r>
        <w:t>CML</w:t>
      </w:r>
    </w:p>
    <w:p w14:paraId="5350B0A5" w14:textId="7F32233C" w:rsidR="00D62371" w:rsidRPr="00265791" w:rsidRDefault="00D62371" w:rsidP="00D62371">
      <w:r w:rsidRPr="00265791">
        <w:t xml:space="preserve">The recommended starting dosage of SPRYCEL for chronic phase CML is 100 mg administered orally once daily (QD). The recommended starting dosage of SPRYCEL for accelerated phase CML, </w:t>
      </w:r>
      <w:r w:rsidRPr="00265791">
        <w:lastRenderedPageBreak/>
        <w:t>myeloid or lymphoid blast phase CML is 140 mg/day administered orally once daily and should be taken consistently either in the morning or the evening.</w:t>
      </w:r>
    </w:p>
    <w:p w14:paraId="57636789" w14:textId="56366301" w:rsidR="00D62371" w:rsidRPr="00265791" w:rsidRDefault="00D62371" w:rsidP="00D62371">
      <w:r w:rsidRPr="00265791">
        <w:t>In clinical studies, treatment with SPRYCEL was continued until disease progression or until no longer tolerated by the patient.  The effect of stopping treatment on long-term disease outcome after the achievement of a cytogenetic response (including complete cytogenetic response (CCyR) or major molecular response (MMR and MR4.5) has not been investigated.</w:t>
      </w:r>
    </w:p>
    <w:p w14:paraId="4A41FB44" w14:textId="77777777" w:rsidR="00D62371" w:rsidRPr="00CA0D8E" w:rsidRDefault="00D62371" w:rsidP="00D62371">
      <w:pPr>
        <w:pStyle w:val="Heading4"/>
      </w:pPr>
      <w:r w:rsidRPr="00CA0D8E">
        <w:t>Ph+ ALL</w:t>
      </w:r>
    </w:p>
    <w:p w14:paraId="605149A6" w14:textId="79506283" w:rsidR="00D62371" w:rsidRDefault="00D62371" w:rsidP="00D62371">
      <w:r w:rsidRPr="00265791">
        <w:t>The recommended starting dosage of SPRYCEL</w:t>
      </w:r>
      <w:r w:rsidR="007232B9">
        <w:t xml:space="preserve"> </w:t>
      </w:r>
      <w:r w:rsidRPr="00265791">
        <w:t xml:space="preserve">for </w:t>
      </w:r>
      <w:r>
        <w:t>newly diagnosed Ph+ ALL</w:t>
      </w:r>
      <w:r w:rsidRPr="00265791">
        <w:t xml:space="preserve"> is 100 mg admin</w:t>
      </w:r>
      <w:r>
        <w:t xml:space="preserve">istered orally once daily (QD) or as clinically recommended </w:t>
      </w:r>
      <w:r w:rsidRPr="002241AF">
        <w:t>and should be taken consistently either in the morning or evening.</w:t>
      </w:r>
      <w:r>
        <w:t xml:space="preserve"> </w:t>
      </w:r>
    </w:p>
    <w:p w14:paraId="2FEE4881" w14:textId="45758131" w:rsidR="00D62371" w:rsidRPr="00265791" w:rsidRDefault="00D62371" w:rsidP="00D62371">
      <w:r>
        <w:t xml:space="preserve">The recommended starting dosage of </w:t>
      </w:r>
      <w:r w:rsidRPr="00265791">
        <w:t>SPRYCEL</w:t>
      </w:r>
      <w:r w:rsidR="007232B9">
        <w:t xml:space="preserve"> </w:t>
      </w:r>
      <w:r w:rsidRPr="00265791">
        <w:t xml:space="preserve">for </w:t>
      </w:r>
      <w:r>
        <w:t xml:space="preserve">patients resistant or intolerant to prior therapy is 140 mg/day </w:t>
      </w:r>
      <w:r w:rsidRPr="00265791">
        <w:t>admin</w:t>
      </w:r>
      <w:r>
        <w:t xml:space="preserve">istered orally once daily (QD) </w:t>
      </w:r>
      <w:r w:rsidRPr="00265791">
        <w:t>and should be taken consistently either in the morning or the evening.</w:t>
      </w:r>
    </w:p>
    <w:p w14:paraId="00C01684" w14:textId="416AA263" w:rsidR="00D62371" w:rsidRPr="00F27876" w:rsidRDefault="00D62371" w:rsidP="00D62371">
      <w:pPr>
        <w:tabs>
          <w:tab w:val="left" w:pos="204"/>
        </w:tabs>
      </w:pPr>
      <w:r w:rsidRPr="00265791">
        <w:t>In clinical studies, treatment with SPRYCEL</w:t>
      </w:r>
      <w:r w:rsidR="007232B9">
        <w:t xml:space="preserve"> </w:t>
      </w:r>
      <w:r w:rsidRPr="00265791">
        <w:t xml:space="preserve">was continued </w:t>
      </w:r>
      <w:r w:rsidRPr="00B12D60">
        <w:t>in the maintenance phase</w:t>
      </w:r>
      <w:r>
        <w:t xml:space="preserve"> </w:t>
      </w:r>
      <w:r w:rsidRPr="00265791">
        <w:t xml:space="preserve">until disease progression or until no longer tolerated by the patient.  </w:t>
      </w:r>
    </w:p>
    <w:p w14:paraId="5C9B8A0D" w14:textId="1BB6E6C0" w:rsidR="00413966" w:rsidRDefault="00413966" w:rsidP="00D62371">
      <w:pPr>
        <w:pStyle w:val="Heading3"/>
      </w:pPr>
      <w:r w:rsidRPr="000A4651">
        <w:t>Method of administration,</w:t>
      </w:r>
    </w:p>
    <w:p w14:paraId="5C2570BF" w14:textId="41D655E0" w:rsidR="00D62371" w:rsidRDefault="00D62371" w:rsidP="00D62371">
      <w:r w:rsidRPr="00265791">
        <w:t>To be administered orally.</w:t>
      </w:r>
      <w:r w:rsidR="00CD6878">
        <w:t xml:space="preserve"> </w:t>
      </w:r>
      <w:r w:rsidRPr="00265791">
        <w:t>Tablets must not be crushed or cut in order to minimize risk of dermal exposure, they must be swallowed whole. SPRYCEL can be taken with or without a meal and should be taken consistently either in the morning or the evening.</w:t>
      </w:r>
    </w:p>
    <w:p w14:paraId="64BBC561" w14:textId="77777777" w:rsidR="00D62371" w:rsidRPr="00CA0D8E" w:rsidRDefault="00D62371" w:rsidP="00D62371">
      <w:pPr>
        <w:pStyle w:val="Heading3"/>
      </w:pPr>
      <w:r w:rsidRPr="00CA0D8E">
        <w:t>Dose escalation</w:t>
      </w:r>
    </w:p>
    <w:p w14:paraId="3CAC7A39" w14:textId="77777777" w:rsidR="00D62371" w:rsidRPr="00265791" w:rsidRDefault="00D62371" w:rsidP="00D62371">
      <w:pPr>
        <w:rPr>
          <w:rFonts w:eastAsia="Batang"/>
          <w:lang w:eastAsia="ko-KR"/>
        </w:rPr>
      </w:pPr>
      <w:r w:rsidRPr="00265791">
        <w:rPr>
          <w:rFonts w:eastAsia="Batang"/>
          <w:lang w:eastAsia="ko-KR"/>
        </w:rPr>
        <w:t>In clinical studies in adult CML patients, dose escalation to 140 mg once daily (chronic phase CML) or 180 mg once daily (advanced phase CML) was allowed in patients who did not achieve a haematologic or cytogenetic response at the recommended starting dosage.</w:t>
      </w:r>
    </w:p>
    <w:p w14:paraId="1F7EDC0D" w14:textId="52955952" w:rsidR="00D62371" w:rsidRPr="00265791" w:rsidRDefault="00D62371" w:rsidP="00D62371">
      <w:pPr>
        <w:rPr>
          <w:rFonts w:eastAsia="Batang"/>
          <w:lang w:eastAsia="ko-KR"/>
        </w:rPr>
      </w:pPr>
      <w:r w:rsidRPr="00265791">
        <w:rPr>
          <w:rFonts w:eastAsia="Batang"/>
          <w:lang w:eastAsia="ko-KR"/>
        </w:rPr>
        <w:t>In clinical studies in adult Ph+ ALL patients, dose escalation to 140 mg daily (</w:t>
      </w:r>
      <w:r>
        <w:rPr>
          <w:rFonts w:eastAsia="Batang"/>
          <w:lang w:eastAsia="ko-KR"/>
        </w:rPr>
        <w:t>newly diagnosed patients</w:t>
      </w:r>
      <w:r w:rsidRPr="00265791">
        <w:rPr>
          <w:rFonts w:eastAsia="Batang"/>
          <w:lang w:eastAsia="ko-KR"/>
        </w:rPr>
        <w:t>) or 180 mg once daily (</w:t>
      </w:r>
      <w:r>
        <w:rPr>
          <w:rFonts w:eastAsia="Batang"/>
          <w:lang w:eastAsia="ko-KR"/>
        </w:rPr>
        <w:t>patients on prior therapy</w:t>
      </w:r>
      <w:r w:rsidRPr="00265791">
        <w:rPr>
          <w:rFonts w:eastAsia="Batang"/>
          <w:lang w:eastAsia="ko-KR"/>
        </w:rPr>
        <w:t>) was allowed in patients who did not achieve a haematologic or cytogenetic response at the recommended starting dosage.</w:t>
      </w:r>
    </w:p>
    <w:p w14:paraId="22D2430C" w14:textId="77777777" w:rsidR="00D62371" w:rsidRPr="00CA0D8E" w:rsidRDefault="00D62371" w:rsidP="00D62371">
      <w:pPr>
        <w:pStyle w:val="Heading3"/>
      </w:pPr>
      <w:r w:rsidRPr="00CA0D8E">
        <w:t>Dose adjustment for adverse reactions</w:t>
      </w:r>
    </w:p>
    <w:p w14:paraId="27DE0A23" w14:textId="77777777" w:rsidR="00D62371" w:rsidRPr="00265791" w:rsidRDefault="00D62371" w:rsidP="00D62371">
      <w:pPr>
        <w:pStyle w:val="Heading4"/>
      </w:pPr>
      <w:r w:rsidRPr="00265791">
        <w:t>Myelosuppression</w:t>
      </w:r>
    </w:p>
    <w:p w14:paraId="4F02C205" w14:textId="3079BE52" w:rsidR="00D62371" w:rsidRDefault="00D62371" w:rsidP="00D62371">
      <w:pPr>
        <w:tabs>
          <w:tab w:val="left" w:pos="204"/>
        </w:tabs>
      </w:pPr>
      <w:r w:rsidRPr="00265791">
        <w:t>In clinical studies, myelosuppression was managed by dose interruption, dose reduction, or discontinuation of study therapy. Platelet transfusion and red cell transfusion were used as appropriate. Haematopoietic growth factor has been used in patients with resistant myelosuppression. Guidelines for dose modifications are summarized in Table</w:t>
      </w:r>
      <w:r w:rsidR="00132D63">
        <w:t xml:space="preserve"> 1</w:t>
      </w:r>
      <w:r w:rsidRPr="00265791">
        <w:t xml:space="preserve">. </w:t>
      </w: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09"/>
        <w:gridCol w:w="2177"/>
        <w:gridCol w:w="5011"/>
      </w:tblGrid>
      <w:tr w:rsidR="00D62371" w:rsidRPr="00265791" w14:paraId="6FFEEB4F" w14:textId="77777777" w:rsidTr="002458D3">
        <w:trPr>
          <w:trHeight w:val="454"/>
        </w:trPr>
        <w:tc>
          <w:tcPr>
            <w:tcW w:w="2109" w:type="dxa"/>
            <w:tcBorders>
              <w:right w:val="nil"/>
            </w:tcBorders>
          </w:tcPr>
          <w:p w14:paraId="2E29F2EF" w14:textId="5F46901C" w:rsidR="00D62371" w:rsidRPr="00265791" w:rsidRDefault="00D62371" w:rsidP="002458D3">
            <w:pPr>
              <w:tabs>
                <w:tab w:val="left" w:pos="204"/>
              </w:tabs>
              <w:spacing w:after="120"/>
              <w:jc w:val="left"/>
              <w:rPr>
                <w:b/>
              </w:rPr>
            </w:pPr>
            <w:r w:rsidRPr="00265791">
              <w:rPr>
                <w:b/>
              </w:rPr>
              <w:t>Table 1:</w:t>
            </w:r>
          </w:p>
        </w:tc>
        <w:tc>
          <w:tcPr>
            <w:tcW w:w="7188" w:type="dxa"/>
            <w:gridSpan w:val="2"/>
            <w:tcBorders>
              <w:left w:val="nil"/>
            </w:tcBorders>
          </w:tcPr>
          <w:p w14:paraId="774D6A96" w14:textId="77777777" w:rsidR="00D62371" w:rsidRPr="00265791" w:rsidRDefault="00D62371" w:rsidP="002458D3">
            <w:pPr>
              <w:tabs>
                <w:tab w:val="left" w:pos="204"/>
              </w:tabs>
              <w:spacing w:after="120"/>
              <w:jc w:val="left"/>
              <w:rPr>
                <w:b/>
              </w:rPr>
            </w:pPr>
            <w:r w:rsidRPr="00265791">
              <w:rPr>
                <w:b/>
              </w:rPr>
              <w:t>Dose Adjustments for Neutropenia and Thrombocytopenia</w:t>
            </w:r>
          </w:p>
        </w:tc>
      </w:tr>
      <w:tr w:rsidR="00D62371" w:rsidRPr="00265791" w14:paraId="483B267F" w14:textId="77777777" w:rsidTr="006172C9">
        <w:tc>
          <w:tcPr>
            <w:tcW w:w="2109" w:type="dxa"/>
          </w:tcPr>
          <w:p w14:paraId="189947F2" w14:textId="77777777" w:rsidR="00D62371" w:rsidRPr="00265791" w:rsidRDefault="00D62371" w:rsidP="006172C9">
            <w:pPr>
              <w:tabs>
                <w:tab w:val="left" w:pos="204"/>
              </w:tabs>
              <w:jc w:val="center"/>
            </w:pPr>
            <w:r w:rsidRPr="00265791">
              <w:t>Chronic Phase CML</w:t>
            </w:r>
          </w:p>
          <w:p w14:paraId="363BC681" w14:textId="77777777" w:rsidR="00D62371" w:rsidRDefault="00D62371" w:rsidP="006172C9">
            <w:pPr>
              <w:tabs>
                <w:tab w:val="left" w:pos="204"/>
              </w:tabs>
              <w:jc w:val="center"/>
            </w:pPr>
            <w:r>
              <w:t>Or</w:t>
            </w:r>
          </w:p>
          <w:p w14:paraId="7BEBCF42" w14:textId="77777777" w:rsidR="002458D3" w:rsidRDefault="00D62371" w:rsidP="002458D3">
            <w:pPr>
              <w:tabs>
                <w:tab w:val="left" w:pos="204"/>
              </w:tabs>
              <w:jc w:val="center"/>
            </w:pPr>
            <w:r>
              <w:t>Ph+ ALL - Newly diagnosed patients</w:t>
            </w:r>
          </w:p>
          <w:p w14:paraId="2B0AAC04" w14:textId="14181BB6" w:rsidR="00D62371" w:rsidRPr="00265791" w:rsidRDefault="00D62371" w:rsidP="002458D3">
            <w:pPr>
              <w:tabs>
                <w:tab w:val="left" w:pos="204"/>
              </w:tabs>
              <w:jc w:val="center"/>
            </w:pPr>
            <w:r w:rsidRPr="00265791">
              <w:t>(starting</w:t>
            </w:r>
            <w:r w:rsidR="00303143">
              <w:t xml:space="preserve"> </w:t>
            </w:r>
            <w:r w:rsidRPr="00265791">
              <w:t>dose 100 mg once daily)</w:t>
            </w:r>
          </w:p>
        </w:tc>
        <w:tc>
          <w:tcPr>
            <w:tcW w:w="2177" w:type="dxa"/>
          </w:tcPr>
          <w:p w14:paraId="5375EEB1" w14:textId="77777777" w:rsidR="00D62371" w:rsidRPr="00265791" w:rsidRDefault="00D62371" w:rsidP="006172C9">
            <w:pPr>
              <w:tabs>
                <w:tab w:val="left" w:pos="204"/>
              </w:tabs>
              <w:jc w:val="center"/>
            </w:pPr>
          </w:p>
          <w:p w14:paraId="3EDBFE85" w14:textId="77777777" w:rsidR="00D62371" w:rsidRPr="00265791" w:rsidRDefault="00D62371" w:rsidP="00303143">
            <w:pPr>
              <w:tabs>
                <w:tab w:val="left" w:pos="204"/>
              </w:tabs>
              <w:spacing w:after="0"/>
              <w:jc w:val="center"/>
            </w:pPr>
            <w:r w:rsidRPr="00265791">
              <w:t>ANC* &lt;0.5 x 10</w:t>
            </w:r>
            <w:r w:rsidRPr="00265791">
              <w:rPr>
                <w:vertAlign w:val="superscript"/>
              </w:rPr>
              <w:t>9 </w:t>
            </w:r>
            <w:r w:rsidRPr="00265791">
              <w:t>/L</w:t>
            </w:r>
          </w:p>
          <w:p w14:paraId="18BFFCED" w14:textId="77777777" w:rsidR="00D62371" w:rsidRPr="00265791" w:rsidRDefault="00D62371" w:rsidP="00303143">
            <w:pPr>
              <w:tabs>
                <w:tab w:val="left" w:pos="204"/>
              </w:tabs>
              <w:spacing w:after="0"/>
              <w:jc w:val="center"/>
            </w:pPr>
            <w:r w:rsidRPr="00265791">
              <w:t>and/or</w:t>
            </w:r>
          </w:p>
          <w:p w14:paraId="1856C3F3" w14:textId="77777777" w:rsidR="00D62371" w:rsidRPr="00265791" w:rsidRDefault="00D62371" w:rsidP="00303143">
            <w:pPr>
              <w:tabs>
                <w:tab w:val="left" w:pos="204"/>
              </w:tabs>
              <w:spacing w:after="0"/>
              <w:jc w:val="center"/>
            </w:pPr>
            <w:r w:rsidRPr="00265791">
              <w:t>Platelets &lt;50 x 10</w:t>
            </w:r>
            <w:r w:rsidRPr="00265791">
              <w:rPr>
                <w:vertAlign w:val="superscript"/>
              </w:rPr>
              <w:t>9 </w:t>
            </w:r>
            <w:r w:rsidRPr="00265791">
              <w:t>/L</w:t>
            </w:r>
          </w:p>
          <w:p w14:paraId="53A80F6D" w14:textId="77777777" w:rsidR="00D62371" w:rsidRPr="00265791" w:rsidRDefault="00D62371" w:rsidP="006172C9">
            <w:pPr>
              <w:tabs>
                <w:tab w:val="left" w:pos="204"/>
              </w:tabs>
              <w:jc w:val="center"/>
            </w:pPr>
          </w:p>
        </w:tc>
        <w:tc>
          <w:tcPr>
            <w:tcW w:w="5011" w:type="dxa"/>
          </w:tcPr>
          <w:p w14:paraId="7164B3BE" w14:textId="5248DCD9" w:rsidR="00D62371" w:rsidRPr="00265791" w:rsidRDefault="00D62371" w:rsidP="00D62371">
            <w:pPr>
              <w:widowControl w:val="0"/>
              <w:numPr>
                <w:ilvl w:val="0"/>
                <w:numId w:val="33"/>
              </w:numPr>
              <w:tabs>
                <w:tab w:val="clear" w:pos="720"/>
                <w:tab w:val="num" w:pos="280"/>
              </w:tabs>
              <w:autoSpaceDE w:val="0"/>
              <w:autoSpaceDN w:val="0"/>
              <w:adjustRightInd w:val="0"/>
              <w:spacing w:after="0"/>
              <w:ind w:left="280" w:hanging="280"/>
            </w:pPr>
            <w:r w:rsidRPr="00265791">
              <w:t>Stop SPRYCEL until ANC ≥1.0 x10</w:t>
            </w:r>
            <w:r w:rsidRPr="00265791">
              <w:rPr>
                <w:vertAlign w:val="superscript"/>
              </w:rPr>
              <w:t>9 </w:t>
            </w:r>
            <w:r w:rsidRPr="00265791">
              <w:t>/L and platelets ≥50 x 10</w:t>
            </w:r>
            <w:r w:rsidRPr="00265791">
              <w:rPr>
                <w:vertAlign w:val="superscript"/>
              </w:rPr>
              <w:t>9</w:t>
            </w:r>
            <w:r w:rsidRPr="00265791">
              <w:t> /L</w:t>
            </w:r>
          </w:p>
          <w:p w14:paraId="3F50767C" w14:textId="674A6E6B" w:rsidR="00D62371" w:rsidRPr="00265791" w:rsidRDefault="00D62371" w:rsidP="00D62371">
            <w:pPr>
              <w:widowControl w:val="0"/>
              <w:numPr>
                <w:ilvl w:val="0"/>
                <w:numId w:val="33"/>
              </w:numPr>
              <w:tabs>
                <w:tab w:val="clear" w:pos="720"/>
                <w:tab w:val="num" w:pos="280"/>
              </w:tabs>
              <w:autoSpaceDE w:val="0"/>
              <w:autoSpaceDN w:val="0"/>
              <w:adjustRightInd w:val="0"/>
              <w:spacing w:after="0"/>
              <w:ind w:left="280" w:hanging="280"/>
            </w:pPr>
            <w:r w:rsidRPr="00265791">
              <w:t>Resume treatment with SPRYCEL at the original starting dose</w:t>
            </w:r>
          </w:p>
          <w:p w14:paraId="0CDE53A2" w14:textId="77D0680E" w:rsidR="00D62371" w:rsidRPr="00265791" w:rsidRDefault="00D62371" w:rsidP="00D62371">
            <w:pPr>
              <w:widowControl w:val="0"/>
              <w:numPr>
                <w:ilvl w:val="0"/>
                <w:numId w:val="33"/>
              </w:numPr>
              <w:tabs>
                <w:tab w:val="clear" w:pos="720"/>
                <w:tab w:val="num" w:pos="280"/>
              </w:tabs>
              <w:autoSpaceDE w:val="0"/>
              <w:autoSpaceDN w:val="0"/>
              <w:adjustRightInd w:val="0"/>
              <w:spacing w:after="0"/>
              <w:ind w:left="280" w:hanging="280"/>
            </w:pPr>
            <w:r w:rsidRPr="00265791">
              <w:t>If platelets &lt;25 x10</w:t>
            </w:r>
            <w:r w:rsidRPr="00265791">
              <w:rPr>
                <w:vertAlign w:val="superscript"/>
              </w:rPr>
              <w:t>9 </w:t>
            </w:r>
            <w:r w:rsidRPr="00265791">
              <w:t>/L and/or recurrence of ANC &lt;0.5 x 10</w:t>
            </w:r>
            <w:r w:rsidRPr="00265791">
              <w:rPr>
                <w:vertAlign w:val="superscript"/>
              </w:rPr>
              <w:t>9</w:t>
            </w:r>
            <w:r w:rsidRPr="00265791">
              <w:t xml:space="preserve"> /L for &gt;7 days, repeat step 1 and resume SPRYCEL at a reduced dose of 80 mg once daily for second episode. For third episode further reduce dose to 50 mg once daily (for newly diagnosed </w:t>
            </w:r>
            <w:r w:rsidRPr="00265791">
              <w:lastRenderedPageBreak/>
              <w:t xml:space="preserve">patients) or discontinue (for patients resistant or intolerant to prior therapy including imatinib). </w:t>
            </w:r>
          </w:p>
        </w:tc>
      </w:tr>
      <w:tr w:rsidR="00D62371" w:rsidRPr="00265791" w14:paraId="15CFFC9B" w14:textId="77777777" w:rsidTr="006172C9">
        <w:tc>
          <w:tcPr>
            <w:tcW w:w="2109" w:type="dxa"/>
          </w:tcPr>
          <w:p w14:paraId="6E834648" w14:textId="77777777" w:rsidR="00D62371" w:rsidRPr="00265791" w:rsidRDefault="00D62371" w:rsidP="006172C9">
            <w:pPr>
              <w:tabs>
                <w:tab w:val="left" w:pos="204"/>
              </w:tabs>
              <w:jc w:val="center"/>
            </w:pPr>
            <w:r w:rsidRPr="00265791">
              <w:lastRenderedPageBreak/>
              <w:t>Accelerated Phase CML,</w:t>
            </w:r>
          </w:p>
          <w:p w14:paraId="3D2C203B" w14:textId="77777777" w:rsidR="00D62371" w:rsidRPr="00265791" w:rsidRDefault="00D62371" w:rsidP="006172C9">
            <w:pPr>
              <w:tabs>
                <w:tab w:val="left" w:pos="204"/>
              </w:tabs>
              <w:jc w:val="center"/>
            </w:pPr>
            <w:r w:rsidRPr="00265791">
              <w:t>Blast Phase CML and Ph+ ALL</w:t>
            </w:r>
            <w:r>
              <w:t xml:space="preserve"> (Patients resistant or intolerant to other therapy)</w:t>
            </w:r>
          </w:p>
          <w:p w14:paraId="273E6830" w14:textId="77777777" w:rsidR="00D62371" w:rsidRPr="00265791" w:rsidRDefault="00D62371" w:rsidP="006172C9">
            <w:pPr>
              <w:tabs>
                <w:tab w:val="left" w:pos="204"/>
              </w:tabs>
              <w:jc w:val="center"/>
            </w:pPr>
            <w:r w:rsidRPr="00265791">
              <w:t>(starting dose 140 mg once daily)</w:t>
            </w:r>
          </w:p>
        </w:tc>
        <w:tc>
          <w:tcPr>
            <w:tcW w:w="2177" w:type="dxa"/>
          </w:tcPr>
          <w:p w14:paraId="082BC637" w14:textId="77777777" w:rsidR="00303143" w:rsidRDefault="00303143" w:rsidP="00303143">
            <w:pPr>
              <w:tabs>
                <w:tab w:val="left" w:pos="204"/>
              </w:tabs>
              <w:spacing w:after="0"/>
              <w:jc w:val="center"/>
            </w:pPr>
          </w:p>
          <w:p w14:paraId="2307DA67" w14:textId="3291385B" w:rsidR="00D62371" w:rsidRPr="00265791" w:rsidRDefault="00D62371" w:rsidP="00303143">
            <w:pPr>
              <w:tabs>
                <w:tab w:val="left" w:pos="204"/>
              </w:tabs>
              <w:spacing w:after="0"/>
              <w:jc w:val="center"/>
            </w:pPr>
            <w:r w:rsidRPr="00265791">
              <w:t>ANC* &lt;0.5 x 10</w:t>
            </w:r>
            <w:r w:rsidRPr="00265791">
              <w:rPr>
                <w:vertAlign w:val="superscript"/>
              </w:rPr>
              <w:t>9 </w:t>
            </w:r>
            <w:r w:rsidRPr="00265791">
              <w:t>/L</w:t>
            </w:r>
          </w:p>
          <w:p w14:paraId="7F526FDD" w14:textId="77777777" w:rsidR="00D62371" w:rsidRPr="00265791" w:rsidRDefault="00D62371" w:rsidP="00303143">
            <w:pPr>
              <w:tabs>
                <w:tab w:val="left" w:pos="204"/>
              </w:tabs>
              <w:spacing w:after="0"/>
              <w:jc w:val="center"/>
            </w:pPr>
            <w:r w:rsidRPr="00265791">
              <w:t>and/or</w:t>
            </w:r>
          </w:p>
          <w:p w14:paraId="189A784F" w14:textId="77777777" w:rsidR="00D62371" w:rsidRPr="00265791" w:rsidRDefault="00D62371" w:rsidP="00303143">
            <w:pPr>
              <w:tabs>
                <w:tab w:val="left" w:pos="204"/>
              </w:tabs>
              <w:spacing w:after="0"/>
              <w:jc w:val="center"/>
            </w:pPr>
            <w:r w:rsidRPr="00265791">
              <w:t>Platelets &lt;10 x 10</w:t>
            </w:r>
            <w:r w:rsidRPr="00265791">
              <w:rPr>
                <w:vertAlign w:val="superscript"/>
              </w:rPr>
              <w:t>9 </w:t>
            </w:r>
            <w:r w:rsidRPr="00265791">
              <w:t>/L</w:t>
            </w:r>
          </w:p>
        </w:tc>
        <w:tc>
          <w:tcPr>
            <w:tcW w:w="5011" w:type="dxa"/>
          </w:tcPr>
          <w:p w14:paraId="79062E76" w14:textId="77777777" w:rsidR="00D62371" w:rsidRPr="00265791" w:rsidRDefault="00D62371" w:rsidP="00D62371">
            <w:pPr>
              <w:widowControl w:val="0"/>
              <w:numPr>
                <w:ilvl w:val="0"/>
                <w:numId w:val="34"/>
              </w:numPr>
              <w:tabs>
                <w:tab w:val="clear" w:pos="1080"/>
                <w:tab w:val="left" w:pos="280"/>
                <w:tab w:val="num" w:pos="337"/>
              </w:tabs>
              <w:autoSpaceDE w:val="0"/>
              <w:autoSpaceDN w:val="0"/>
              <w:adjustRightInd w:val="0"/>
              <w:spacing w:after="0"/>
              <w:ind w:left="280" w:hanging="280"/>
            </w:pPr>
            <w:r w:rsidRPr="00265791">
              <w:t>Check if cytopenia is related to leukaemia (marrow aspirate or biopsy)</w:t>
            </w:r>
          </w:p>
          <w:p w14:paraId="7D3154CF" w14:textId="368053BE" w:rsidR="00D62371" w:rsidRPr="00265791" w:rsidRDefault="00D62371" w:rsidP="00D62371">
            <w:pPr>
              <w:widowControl w:val="0"/>
              <w:numPr>
                <w:ilvl w:val="0"/>
                <w:numId w:val="34"/>
              </w:numPr>
              <w:tabs>
                <w:tab w:val="clear" w:pos="1080"/>
                <w:tab w:val="left" w:pos="280"/>
                <w:tab w:val="num" w:pos="337"/>
              </w:tabs>
              <w:autoSpaceDE w:val="0"/>
              <w:autoSpaceDN w:val="0"/>
              <w:adjustRightInd w:val="0"/>
              <w:spacing w:after="0"/>
              <w:ind w:left="280" w:hanging="280"/>
            </w:pPr>
            <w:r w:rsidRPr="00265791">
              <w:t>If cytopenia is unrelated to leukaemia, stop SPRYCEL until ANC ≥1.0 x 10</w:t>
            </w:r>
            <w:r w:rsidRPr="00265791">
              <w:rPr>
                <w:vertAlign w:val="superscript"/>
              </w:rPr>
              <w:t>9</w:t>
            </w:r>
            <w:r w:rsidRPr="00265791">
              <w:t xml:space="preserve"> /L and platelets ≥20 x 10</w:t>
            </w:r>
            <w:r w:rsidRPr="00265791">
              <w:rPr>
                <w:vertAlign w:val="superscript"/>
              </w:rPr>
              <w:t xml:space="preserve">9 </w:t>
            </w:r>
            <w:r w:rsidRPr="00265791">
              <w:t>/L and resume at the original starting dose</w:t>
            </w:r>
          </w:p>
          <w:p w14:paraId="688F716C" w14:textId="4BCF9721" w:rsidR="00D62371" w:rsidRPr="00265791" w:rsidRDefault="00D62371" w:rsidP="00D62371">
            <w:pPr>
              <w:widowControl w:val="0"/>
              <w:numPr>
                <w:ilvl w:val="0"/>
                <w:numId w:val="34"/>
              </w:numPr>
              <w:tabs>
                <w:tab w:val="clear" w:pos="1080"/>
                <w:tab w:val="left" w:pos="280"/>
                <w:tab w:val="num" w:pos="337"/>
              </w:tabs>
              <w:autoSpaceDE w:val="0"/>
              <w:autoSpaceDN w:val="0"/>
              <w:adjustRightInd w:val="0"/>
              <w:spacing w:after="0"/>
              <w:ind w:left="280" w:hanging="280"/>
            </w:pPr>
            <w:r w:rsidRPr="00265791">
              <w:t>If recurrence of cytopenia, repeat step 1 and resume SPRYCEL at a reduced dose of 100 mg once daily (second episode) or 80 mg once daily (third episode)</w:t>
            </w:r>
          </w:p>
          <w:p w14:paraId="61FF2F8C" w14:textId="77777777" w:rsidR="00D62371" w:rsidRPr="00265791" w:rsidRDefault="00D62371" w:rsidP="00D62371">
            <w:pPr>
              <w:widowControl w:val="0"/>
              <w:numPr>
                <w:ilvl w:val="0"/>
                <w:numId w:val="34"/>
              </w:numPr>
              <w:tabs>
                <w:tab w:val="clear" w:pos="1080"/>
                <w:tab w:val="left" w:pos="204"/>
                <w:tab w:val="num" w:pos="337"/>
              </w:tabs>
              <w:autoSpaceDE w:val="0"/>
              <w:autoSpaceDN w:val="0"/>
              <w:adjustRightInd w:val="0"/>
              <w:spacing w:after="0"/>
              <w:ind w:left="280" w:hanging="280"/>
            </w:pPr>
            <w:r w:rsidRPr="00265791">
              <w:t>If cytopenia is related to leukaemia, consider dose escalation to 180 mg once daily</w:t>
            </w:r>
          </w:p>
        </w:tc>
      </w:tr>
      <w:tr w:rsidR="00D62371" w:rsidRPr="00265791" w14:paraId="006B06EB" w14:textId="77777777" w:rsidTr="006172C9">
        <w:tc>
          <w:tcPr>
            <w:tcW w:w="9297" w:type="dxa"/>
            <w:gridSpan w:val="3"/>
          </w:tcPr>
          <w:p w14:paraId="671A8B9D" w14:textId="77777777" w:rsidR="00D62371" w:rsidRPr="00265791" w:rsidRDefault="00D62371" w:rsidP="006172C9">
            <w:pPr>
              <w:tabs>
                <w:tab w:val="left" w:pos="204"/>
              </w:tabs>
            </w:pPr>
            <w:r w:rsidRPr="00265791">
              <w:t>*ANC: absolute neutrophil count</w:t>
            </w:r>
          </w:p>
        </w:tc>
      </w:tr>
    </w:tbl>
    <w:p w14:paraId="24F502AC" w14:textId="77777777" w:rsidR="00D62371" w:rsidRPr="00265791" w:rsidRDefault="00D62371" w:rsidP="00D62371">
      <w:pPr>
        <w:tabs>
          <w:tab w:val="left" w:pos="204"/>
        </w:tabs>
        <w:rPr>
          <w:u w:val="single"/>
        </w:rPr>
      </w:pPr>
    </w:p>
    <w:p w14:paraId="667434C9" w14:textId="77777777" w:rsidR="00D62371" w:rsidRPr="00265791" w:rsidRDefault="00D62371" w:rsidP="00303143">
      <w:pPr>
        <w:pStyle w:val="Heading4"/>
      </w:pPr>
      <w:r w:rsidRPr="00265791">
        <w:t>Non-haematological adverse reactions</w:t>
      </w:r>
    </w:p>
    <w:p w14:paraId="62B7C001" w14:textId="726FE08B" w:rsidR="00D62371" w:rsidRDefault="00D62371" w:rsidP="00D62371">
      <w:pPr>
        <w:tabs>
          <w:tab w:val="left" w:pos="204"/>
        </w:tabs>
      </w:pPr>
      <w:r w:rsidRPr="00265791">
        <w:t>If a severe</w:t>
      </w:r>
      <w:r w:rsidRPr="00265791">
        <w:rPr>
          <w:i/>
        </w:rPr>
        <w:t xml:space="preserve"> </w:t>
      </w:r>
      <w:r w:rsidRPr="00265791">
        <w:t>non-haematological adverse reaction develops with SPRYCEL use, treatment must be withheld until the event has resolved or improved.  Thereafter, treatment can be resumed as appropriate at a reduced dose depending on the severity and recurrence of the event.</w:t>
      </w:r>
    </w:p>
    <w:p w14:paraId="0B17BE78" w14:textId="77777777" w:rsidR="00303143" w:rsidRPr="00CA0D8E" w:rsidRDefault="00303143" w:rsidP="00303143">
      <w:pPr>
        <w:pStyle w:val="Heading3"/>
      </w:pPr>
      <w:r>
        <w:t xml:space="preserve">Special Populations </w:t>
      </w:r>
    </w:p>
    <w:p w14:paraId="3D8E2C31" w14:textId="5066526A" w:rsidR="00303143" w:rsidRDefault="00303143" w:rsidP="00303143">
      <w:pPr>
        <w:pStyle w:val="Heading4"/>
      </w:pPr>
      <w:r w:rsidRPr="00265791">
        <w:t xml:space="preserve">Paediatric population </w:t>
      </w:r>
    </w:p>
    <w:p w14:paraId="027DE0B0" w14:textId="56557CFB" w:rsidR="00303143" w:rsidRPr="00265791" w:rsidRDefault="00303143" w:rsidP="00303143">
      <w:pPr>
        <w:rPr>
          <w:b/>
          <w:bCs/>
          <w:i/>
          <w:spacing w:val="-2"/>
        </w:rPr>
      </w:pPr>
      <w:r w:rsidRPr="00265791">
        <w:rPr>
          <w:bCs/>
          <w:spacing w:val="-3"/>
        </w:rPr>
        <w:t xml:space="preserve">The safety and efficacy of </w:t>
      </w:r>
      <w:r w:rsidRPr="00265791">
        <w:rPr>
          <w:lang w:val="en-US"/>
        </w:rPr>
        <w:t>SPRYCEL in children and adolescents below 18 years of age have not yet been established.  No data are available</w:t>
      </w:r>
      <w:r w:rsidRPr="00265791">
        <w:t xml:space="preserve"> (see </w:t>
      </w:r>
      <w:r w:rsidR="00132D63">
        <w:t xml:space="preserve">Section 4.4 Special </w:t>
      </w:r>
      <w:r w:rsidR="00AB4FA8">
        <w:t>w</w:t>
      </w:r>
      <w:r w:rsidR="00132D63">
        <w:t>arnings and precautions</w:t>
      </w:r>
      <w:r w:rsidR="00AB4FA8">
        <w:t xml:space="preserve"> – Paediatric use</w:t>
      </w:r>
      <w:r w:rsidRPr="00265791">
        <w:t>).</w:t>
      </w:r>
    </w:p>
    <w:p w14:paraId="241B1746" w14:textId="4FE6A90D" w:rsidR="00303143" w:rsidRDefault="00303143" w:rsidP="00303143">
      <w:pPr>
        <w:pStyle w:val="Heading4"/>
      </w:pPr>
      <w:r w:rsidRPr="00265791">
        <w:t xml:space="preserve">Elderly population </w:t>
      </w:r>
    </w:p>
    <w:p w14:paraId="49A5CC0D" w14:textId="56447B04" w:rsidR="00303143" w:rsidRPr="00265791" w:rsidRDefault="00303143" w:rsidP="00303143">
      <w:r w:rsidRPr="00265791">
        <w:t xml:space="preserve">No clinically relevant age-related pharmacokinetic differences have been observed in these patients. No specific dose recommendation is necessary in the elderly (see </w:t>
      </w:r>
      <w:r w:rsidR="00132D63">
        <w:t xml:space="preserve">Section 4.4 Special </w:t>
      </w:r>
      <w:r w:rsidR="00AB4FA8">
        <w:t>w</w:t>
      </w:r>
      <w:r w:rsidR="00132D63">
        <w:t>arnings and precautions</w:t>
      </w:r>
      <w:r w:rsidR="00AB4FA8">
        <w:t xml:space="preserve"> – Use in elderly</w:t>
      </w:r>
      <w:r w:rsidRPr="00265791">
        <w:t>).</w:t>
      </w:r>
    </w:p>
    <w:p w14:paraId="38113653" w14:textId="5C8E76B5" w:rsidR="00303143" w:rsidRDefault="00303143" w:rsidP="00303143">
      <w:pPr>
        <w:pStyle w:val="Heading4"/>
      </w:pPr>
      <w:r w:rsidRPr="00265791">
        <w:t>Hepatic impairment</w:t>
      </w:r>
    </w:p>
    <w:p w14:paraId="10B06CB2" w14:textId="02D5CEA7" w:rsidR="00303143" w:rsidRPr="00265791" w:rsidRDefault="00303143" w:rsidP="00303143">
      <w:r w:rsidRPr="00265791">
        <w:t xml:space="preserve">Patients with mild, moderate or severe hepatic impairment may receive the recommended starting dose. However, caution is recommended when SPRYCEL is administered to patients with hepatic impairment. (see </w:t>
      </w:r>
      <w:r w:rsidR="00132D63">
        <w:t xml:space="preserve">Section 4.4 Special </w:t>
      </w:r>
      <w:r w:rsidR="00AB4FA8">
        <w:t>w</w:t>
      </w:r>
      <w:r w:rsidR="00132D63">
        <w:t>arnings and precautions</w:t>
      </w:r>
      <w:r w:rsidR="00AB4FA8">
        <w:t xml:space="preserve"> – Use in hepatic impairment</w:t>
      </w:r>
      <w:r w:rsidRPr="00265791">
        <w:t>).</w:t>
      </w:r>
    </w:p>
    <w:p w14:paraId="613F7D06" w14:textId="6737B3F4" w:rsidR="00303143" w:rsidRDefault="00303143" w:rsidP="00303143">
      <w:pPr>
        <w:pStyle w:val="Heading4"/>
      </w:pPr>
      <w:r w:rsidRPr="00265791">
        <w:t>Renal impairment</w:t>
      </w:r>
    </w:p>
    <w:p w14:paraId="604D85F3" w14:textId="14A5BA1E" w:rsidR="00303143" w:rsidRPr="00265791" w:rsidRDefault="00303143" w:rsidP="00303143">
      <w:r w:rsidRPr="00265791">
        <w:rPr>
          <w:spacing w:val="-2"/>
        </w:rPr>
        <w:t xml:space="preserve">No clinical trials were conducted with </w:t>
      </w:r>
      <w:r w:rsidRPr="00265791">
        <w:rPr>
          <w:lang w:val="en-US"/>
        </w:rPr>
        <w:t>SPRYCEL</w:t>
      </w:r>
      <w:r w:rsidRPr="00265791">
        <w:rPr>
          <w:spacing w:val="-2"/>
        </w:rPr>
        <w:t xml:space="preserve"> in patients with decreased renal </w:t>
      </w:r>
      <w:r w:rsidRPr="00265791">
        <w:t xml:space="preserve">function (the study in patients with newly diagnosed chronic phase CML excluded patients with serum creatinine &gt; 3 times the upper limit of the normal range, and studies in patients with chronic phase CML with resistance or intolerance to prior imatinib therapy excluded patients with serum creatinine concentration &gt;1.5 times the upper limit of the normal range). Since the renal clearance of dasatinib and its metabolites is &lt;4%, a decrease in total body clearance is not expected in </w:t>
      </w:r>
      <w:r w:rsidRPr="00265791">
        <w:rPr>
          <w:spacing w:val="-2"/>
        </w:rPr>
        <w:t xml:space="preserve">patients with renal insufficiency </w:t>
      </w:r>
      <w:r w:rsidRPr="00265791">
        <w:t xml:space="preserve">(see </w:t>
      </w:r>
      <w:r w:rsidR="00132D63">
        <w:t xml:space="preserve">Section 4.4 Special </w:t>
      </w:r>
      <w:r w:rsidR="00AB4FA8">
        <w:t>w</w:t>
      </w:r>
      <w:r w:rsidR="00132D63">
        <w:t>arnings and precautions</w:t>
      </w:r>
      <w:r w:rsidR="00AB4FA8">
        <w:t xml:space="preserve"> – Use in renal impairment</w:t>
      </w:r>
      <w:r w:rsidRPr="00265791">
        <w:t>).</w:t>
      </w:r>
    </w:p>
    <w:p w14:paraId="14EA8B96" w14:textId="77777777" w:rsidR="001A3992" w:rsidRPr="000A4651" w:rsidRDefault="001A3992" w:rsidP="003144B2">
      <w:pPr>
        <w:pStyle w:val="Heading2"/>
      </w:pPr>
      <w:r w:rsidRPr="000A4651">
        <w:t>Contraindications</w:t>
      </w:r>
    </w:p>
    <w:p w14:paraId="4E9776DE" w14:textId="223A5DD2" w:rsidR="00793041" w:rsidRPr="00265791" w:rsidRDefault="00793041" w:rsidP="00793041">
      <w:pPr>
        <w:tabs>
          <w:tab w:val="left" w:pos="158"/>
        </w:tabs>
      </w:pPr>
      <w:r w:rsidRPr="00265791">
        <w:t>Use of SPRYCEL is contraindicated in patients with hypersensitivity to dasatinib or to any other component of SPRYCEL.</w:t>
      </w:r>
    </w:p>
    <w:p w14:paraId="31D76D54" w14:textId="6B642196" w:rsidR="001A3992" w:rsidRPr="000A4651" w:rsidRDefault="00E74A56" w:rsidP="003144B2">
      <w:pPr>
        <w:pStyle w:val="Heading2"/>
      </w:pPr>
      <w:r w:rsidRPr="000A4651">
        <w:lastRenderedPageBreak/>
        <w:t>Special warnings and p</w:t>
      </w:r>
      <w:r w:rsidR="001A3992" w:rsidRPr="000A4651">
        <w:t xml:space="preserve">recautions </w:t>
      </w:r>
      <w:r w:rsidRPr="000A4651">
        <w:t>for use</w:t>
      </w:r>
    </w:p>
    <w:p w14:paraId="459AF164" w14:textId="77777777" w:rsidR="00793041" w:rsidRPr="00265791" w:rsidRDefault="00793041" w:rsidP="00D62371">
      <w:pPr>
        <w:pStyle w:val="Heading3"/>
      </w:pPr>
      <w:r w:rsidRPr="00265791">
        <w:t>Myelosuppression</w:t>
      </w:r>
    </w:p>
    <w:p w14:paraId="6DADEFA1" w14:textId="45E13C33" w:rsidR="00793041" w:rsidRPr="00265791" w:rsidRDefault="00793041" w:rsidP="00793041">
      <w:pPr>
        <w:tabs>
          <w:tab w:val="left" w:pos="158"/>
        </w:tabs>
      </w:pPr>
      <w:r w:rsidRPr="00265791">
        <w:t xml:space="preserve">Treatment with SPRYCEL is associated with thrombocytopenia, neutropenia and anaemia, which occur earlier and more frequently in patients with advanced phase CML or Ph+ ALL than in patients with chronic phase CML.  In patients with chronic phase CML, complete blood counts (CBCs) should be performed every two weeks for 12 weeks, then every 3 months thereafter, or as clinically indicated.  In patients with advanced phase CML or Ph+ ALL, CBCs should be performed weekly for the first 2 months and then monthly thereafter or as clinically indicated. Myelosuppression is generally reversible and usually managed by withholding SPRYCEL temporarily or dose reduction (see </w:t>
      </w:r>
      <w:r w:rsidR="00132D63">
        <w:t>Section 4.2 Dose and method of administration</w:t>
      </w:r>
      <w:r w:rsidR="00AB4FA8">
        <w:t xml:space="preserve"> – Dose adjustment for adverse reactions</w:t>
      </w:r>
      <w:r w:rsidRPr="00265791">
        <w:t xml:space="preserve"> and </w:t>
      </w:r>
      <w:r w:rsidR="00AB4FA8">
        <w:t xml:space="preserve">Section 4.4 Special warnings and precautions - </w:t>
      </w:r>
      <w:r w:rsidRPr="00265791">
        <w:t>Effect on Laboratory Tests).  CTC Grade 3 or 4 (severe) cases of anaemia were managed with blood transfusions.</w:t>
      </w:r>
    </w:p>
    <w:p w14:paraId="50C111FC" w14:textId="77777777" w:rsidR="00793041" w:rsidRPr="00265791" w:rsidRDefault="00793041" w:rsidP="00D62371">
      <w:pPr>
        <w:pStyle w:val="Heading3"/>
      </w:pPr>
      <w:r w:rsidRPr="00265791">
        <w:t xml:space="preserve">Bleeding </w:t>
      </w:r>
    </w:p>
    <w:p w14:paraId="1EAB3841" w14:textId="5BE542A6" w:rsidR="00793041" w:rsidRPr="00265791" w:rsidRDefault="00793041" w:rsidP="00793041">
      <w:r w:rsidRPr="00265791">
        <w:t>In the</w:t>
      </w:r>
      <w:r>
        <w:t xml:space="preserve"> pooled population of</w:t>
      </w:r>
      <w:r w:rsidRPr="00265791">
        <w:t xml:space="preserve"> Phase III stud</w:t>
      </w:r>
      <w:r>
        <w:t>ies</w:t>
      </w:r>
      <w:r w:rsidRPr="00265791">
        <w:t xml:space="preserve"> in patients with chronic phase CML, 5 patients (1%) receiving SPRYCEL</w:t>
      </w:r>
      <w:r w:rsidRPr="00265791">
        <w:rPr>
          <w:vertAlign w:val="superscript"/>
        </w:rPr>
        <w:t xml:space="preserve"> </w:t>
      </w:r>
      <w:r w:rsidRPr="00265791">
        <w:t>at the recommended dose</w:t>
      </w:r>
      <w:r>
        <w:t xml:space="preserve"> 100 mg daily</w:t>
      </w:r>
      <w:r w:rsidRPr="00265791">
        <w:t xml:space="preserve"> (n=548) had</w:t>
      </w:r>
      <w:r>
        <w:t xml:space="preserve"> drug related</w:t>
      </w:r>
      <w:r w:rsidRPr="00265791">
        <w:t xml:space="preserve"> Grade 3 or 4 haemorrhage.  In</w:t>
      </w:r>
      <w:r>
        <w:t xml:space="preserve"> the pooled population of</w:t>
      </w:r>
      <w:r w:rsidRPr="00265791">
        <w:t xml:space="preserve"> clinical studies in patients with advanced phase CML or Ph+ ALL, severe</w:t>
      </w:r>
      <w:r>
        <w:t xml:space="preserve"> (Grade 3 – 5) drug-related</w:t>
      </w:r>
      <w:r w:rsidRPr="00265791">
        <w:t xml:space="preserve"> CNS haemorrhage, including fatalities, occurred in 1% of patients receiving SPRYCEL at the recommended dose</w:t>
      </w:r>
      <w:r>
        <w:t xml:space="preserve"> 140 mg daily</w:t>
      </w:r>
      <w:r w:rsidRPr="00265791">
        <w:t xml:space="preserve"> (n=304).</w:t>
      </w:r>
      <w:r w:rsidRPr="00265791">
        <w:rPr>
          <w:b/>
        </w:rPr>
        <w:t xml:space="preserve"> </w:t>
      </w:r>
      <w:r w:rsidRPr="00265791">
        <w:t>Eight cases were fatal and 6 of them were associated with Common Toxicity Criteria (CTC) Grade 4 thrombocytopenia.</w:t>
      </w:r>
      <w:r w:rsidRPr="00265791">
        <w:rPr>
          <w:b/>
        </w:rPr>
        <w:t xml:space="preserve"> </w:t>
      </w:r>
      <w:r w:rsidRPr="00265791">
        <w:t>Grade 3 or 4</w:t>
      </w:r>
      <w:r>
        <w:t xml:space="preserve"> drug-related</w:t>
      </w:r>
      <w:r w:rsidRPr="00265791">
        <w:t xml:space="preserve"> gastrointestinal haemorrhage, including fatalities, occurred in 6% of patients and generally required treatment interruptions and transfusions. Other cases of Grade 3 or 4</w:t>
      </w:r>
      <w:r>
        <w:t xml:space="preserve"> drug-related</w:t>
      </w:r>
      <w:r w:rsidRPr="00265791">
        <w:t xml:space="preserve"> haemorrhage occurred in 2% of patients</w:t>
      </w:r>
      <w:r>
        <w:t xml:space="preserve"> treated with dasatinib 140 mg daily dose</w:t>
      </w:r>
      <w:r w:rsidRPr="00265791">
        <w:t xml:space="preserve">.  Most bleeding reactions in clinical studies were typically associated with Grade 3 or 4 thrombocytopenia. Additionally, in </w:t>
      </w:r>
      <w:r w:rsidRPr="00265791">
        <w:rPr>
          <w:i/>
        </w:rPr>
        <w:t>vitro</w:t>
      </w:r>
      <w:r w:rsidRPr="00265791">
        <w:t xml:space="preserve"> and </w:t>
      </w:r>
      <w:r w:rsidRPr="00265791">
        <w:rPr>
          <w:i/>
        </w:rPr>
        <w:t>in vivo</w:t>
      </w:r>
      <w:r w:rsidRPr="00265791">
        <w:t xml:space="preserve"> platelet assays suggest that SPRYCEL</w:t>
      </w:r>
      <w:r w:rsidR="00546BFC">
        <w:rPr>
          <w:rFonts w:eastAsia="MS Mincho"/>
        </w:rPr>
        <w:t xml:space="preserve"> </w:t>
      </w:r>
      <w:r w:rsidRPr="00265791">
        <w:t xml:space="preserve">treatment reversibly affects platelet activation. </w:t>
      </w:r>
    </w:p>
    <w:p w14:paraId="0C7F20A0" w14:textId="77777777" w:rsidR="00793041" w:rsidRPr="00265791" w:rsidRDefault="00793041" w:rsidP="00793041">
      <w:r w:rsidRPr="00265791">
        <w:t>Caution should be exercised if patients are required to take medications that inhibit platelet function or anticoagulants.</w:t>
      </w:r>
    </w:p>
    <w:p w14:paraId="739D7E3A" w14:textId="200CCCA4" w:rsidR="00793041" w:rsidRPr="00265791" w:rsidRDefault="00793041" w:rsidP="00D62371">
      <w:pPr>
        <w:pStyle w:val="Heading3"/>
      </w:pPr>
      <w:r w:rsidRPr="00265791">
        <w:t xml:space="preserve">Fluid </w:t>
      </w:r>
      <w:r w:rsidR="000C3901">
        <w:t>r</w:t>
      </w:r>
      <w:r w:rsidRPr="00265791">
        <w:t>etention</w:t>
      </w:r>
    </w:p>
    <w:p w14:paraId="37010038" w14:textId="0D4EA3BF" w:rsidR="00793041" w:rsidRDefault="00793041" w:rsidP="00793041">
      <w:pPr>
        <w:rPr>
          <w:bCs/>
        </w:rPr>
      </w:pPr>
      <w:r w:rsidRPr="00265791">
        <w:rPr>
          <w:bCs/>
        </w:rPr>
        <w:t>SPRYCEL</w:t>
      </w:r>
      <w:r w:rsidRPr="00265791">
        <w:t xml:space="preserve"> </w:t>
      </w:r>
      <w:r w:rsidRPr="00265791">
        <w:rPr>
          <w:bCs/>
        </w:rPr>
        <w:t>is associated with fluid retention. After 5 years of follow-up in the Phase III clinical study in patients with newly diagnosed chronic phase CML (n=258),</w:t>
      </w:r>
      <w:r>
        <w:rPr>
          <w:bCs/>
        </w:rPr>
        <w:t xml:space="preserve"> drug-related</w:t>
      </w:r>
      <w:r w:rsidRPr="00265791">
        <w:rPr>
          <w:bCs/>
        </w:rPr>
        <w:t xml:space="preserve"> Grade 3 or 4 fluid retention was reported in 13 patients (5%) receiving SPRYCEL compared to 2 patients (1%) receiving imatinib (n=258) </w:t>
      </w:r>
      <w:r w:rsidRPr="001D12E7">
        <w:rPr>
          <w:bCs/>
        </w:rPr>
        <w:t xml:space="preserve">(see </w:t>
      </w:r>
      <w:r w:rsidR="001D12E7" w:rsidRPr="001D12E7">
        <w:rPr>
          <w:bCs/>
        </w:rPr>
        <w:t>Section 4.8 Adverse effects</w:t>
      </w:r>
      <w:r w:rsidR="00E36456">
        <w:rPr>
          <w:bCs/>
        </w:rPr>
        <w:t xml:space="preserve"> (undesirable effects)</w:t>
      </w:r>
      <w:r w:rsidRPr="00265791">
        <w:rPr>
          <w:bCs/>
        </w:rPr>
        <w:t xml:space="preserve">).  </w:t>
      </w:r>
      <w:r>
        <w:rPr>
          <w:bCs/>
        </w:rPr>
        <w:t xml:space="preserve">The cumulative incidence of drug-related pleural effusion (all Grades) in dasatinib-treated subjects increased over time; 7.8% new AEs of pleural effusion occurred in the first year of therapy followed by a smaller, yet consistent increase of ~5% of subjects/year after 24, 36, 48, and 60 months of treatment, respectively. The majority were low grade. </w:t>
      </w:r>
      <w:r w:rsidRPr="00265791">
        <w:rPr>
          <w:bCs/>
        </w:rPr>
        <w:t>In</w:t>
      </w:r>
      <w:r>
        <w:rPr>
          <w:bCs/>
        </w:rPr>
        <w:t xml:space="preserve"> the pooled population of patients</w:t>
      </w:r>
      <w:r w:rsidRPr="00265791">
        <w:rPr>
          <w:bCs/>
        </w:rPr>
        <w:t xml:space="preserve"> with chronic phase CML (n=548), severe</w:t>
      </w:r>
      <w:r>
        <w:rPr>
          <w:bCs/>
        </w:rPr>
        <w:t xml:space="preserve"> (Grade 3 – 4)   drug-related</w:t>
      </w:r>
      <w:r w:rsidRPr="00265791">
        <w:rPr>
          <w:bCs/>
        </w:rPr>
        <w:t xml:space="preserve"> fluid retention occur</w:t>
      </w:r>
      <w:r>
        <w:rPr>
          <w:bCs/>
        </w:rPr>
        <w:t>r</w:t>
      </w:r>
      <w:r w:rsidRPr="00265791">
        <w:rPr>
          <w:bCs/>
        </w:rPr>
        <w:t>ed in 32 (6%) patients receiving SPRYCEL at the</w:t>
      </w:r>
      <w:r>
        <w:rPr>
          <w:bCs/>
        </w:rPr>
        <w:t xml:space="preserve"> 100 mg once daily</w:t>
      </w:r>
      <w:r w:rsidRPr="00265791">
        <w:rPr>
          <w:bCs/>
        </w:rPr>
        <w:t xml:space="preserve"> recommended dose. </w:t>
      </w:r>
    </w:p>
    <w:p w14:paraId="02198D2B" w14:textId="6FE33871" w:rsidR="00793041" w:rsidRDefault="00793041" w:rsidP="00793041">
      <w:r w:rsidRPr="00265791">
        <w:rPr>
          <w:bCs/>
        </w:rPr>
        <w:t>In clinical studies in patients with advan</w:t>
      </w:r>
      <w:r>
        <w:rPr>
          <w:bCs/>
        </w:rPr>
        <w:t>ced phase CML or Ph+ ALL receiv</w:t>
      </w:r>
      <w:r w:rsidRPr="00265791">
        <w:rPr>
          <w:bCs/>
        </w:rPr>
        <w:t xml:space="preserve">ing SPRYCEL at the approved dose </w:t>
      </w:r>
      <w:r>
        <w:rPr>
          <w:bCs/>
        </w:rPr>
        <w:t xml:space="preserve">140 mg daily </w:t>
      </w:r>
      <w:r w:rsidRPr="00265791">
        <w:rPr>
          <w:bCs/>
        </w:rPr>
        <w:t>(n=304), Grade 3 or 4</w:t>
      </w:r>
      <w:r>
        <w:rPr>
          <w:bCs/>
        </w:rPr>
        <w:t xml:space="preserve"> drug-related</w:t>
      </w:r>
      <w:r w:rsidRPr="00265791">
        <w:rPr>
          <w:bCs/>
        </w:rPr>
        <w:t xml:space="preserve"> fluid retention was reported in 8% of patients, including severe pleural and pericardial effusion reported in 7% and 1% of patients, respectively. Severe congestive heart failure/cardiac dysfunction was reported in </w:t>
      </w:r>
      <w:r>
        <w:rPr>
          <w:bCs/>
        </w:rPr>
        <w:t>1</w:t>
      </w:r>
      <w:r w:rsidRPr="00265791">
        <w:rPr>
          <w:bCs/>
        </w:rPr>
        <w:t xml:space="preserve">% of patients. In these patients, severe pulmonary oedema and severe pulmonary hypertension were each reported in 1% of patients. </w:t>
      </w:r>
      <w:r w:rsidRPr="00265791">
        <w:t xml:space="preserve">  </w:t>
      </w:r>
    </w:p>
    <w:p w14:paraId="7FF36802" w14:textId="6324329B" w:rsidR="00793041" w:rsidRPr="00265791" w:rsidRDefault="00793041" w:rsidP="00793041">
      <w:pPr>
        <w:rPr>
          <w:rFonts w:eastAsia="Batang"/>
          <w:sz w:val="20"/>
          <w:szCs w:val="20"/>
          <w:lang w:eastAsia="ko-KR"/>
        </w:rPr>
      </w:pPr>
      <w:r w:rsidRPr="00265791">
        <w:t xml:space="preserve">Patients who develop symptoms suggestive of pleural effusion or other fluid retention such as new or worsened dyspnoea on exertion or at rest, pleuritic chest pain, or dry cough should be evaluated promptly with chest X-ray or additional diagnostic imaging as appropriate. Fluid retention reactions </w:t>
      </w:r>
      <w:r w:rsidRPr="00265791">
        <w:lastRenderedPageBreak/>
        <w:t xml:space="preserve">were typically managed with dasatinib dose interruption or reduction and supportive care measures that may include diuretics or short courses of steroids. Severe pleural effusion may require thoracentesis and oxygen therapy. Dose modification should be considered. While the safety profile of SPRYCEL in the elderly population was similar to that in the younger population, patients aged 65 years and older are more likely to experience pleural effusion, congestive heart failure, gastrointestinal bleeding, and dyspnoea, and should be monitored closely. </w:t>
      </w:r>
    </w:p>
    <w:p w14:paraId="2C28C9A7" w14:textId="02203B66" w:rsidR="00793041" w:rsidRPr="00265791" w:rsidRDefault="00793041" w:rsidP="00D62371">
      <w:pPr>
        <w:pStyle w:val="Heading3"/>
      </w:pPr>
      <w:r w:rsidRPr="00265791">
        <w:t xml:space="preserve">QT </w:t>
      </w:r>
      <w:r w:rsidR="000C3901">
        <w:t>p</w:t>
      </w:r>
      <w:r w:rsidRPr="00265791">
        <w:t>rolongation</w:t>
      </w:r>
    </w:p>
    <w:p w14:paraId="53FB3B83" w14:textId="77777777" w:rsidR="00793041" w:rsidRPr="00265791" w:rsidRDefault="00793041" w:rsidP="00793041">
      <w:r w:rsidRPr="00265791">
        <w:rPr>
          <w:i/>
        </w:rPr>
        <w:t>In vitro</w:t>
      </w:r>
      <w:r w:rsidRPr="00265791">
        <w:t xml:space="preserve"> data showing inhibition of the hERG K+ channel expressed in mammalian cells and action potential prolongation in rabbit Purkinje fibres by dasatinib and a number of its metabolites suggest that dasatinib has the potential to prolong cardiac ventricular repolarisation (QT interval).</w:t>
      </w:r>
    </w:p>
    <w:p w14:paraId="3B5D88B5" w14:textId="56000564" w:rsidR="00793041" w:rsidRPr="00265791" w:rsidRDefault="00793041" w:rsidP="00793041">
      <w:r w:rsidRPr="00265791">
        <w:t xml:space="preserve">After 5 years of follow-up in </w:t>
      </w:r>
      <w:r w:rsidRPr="00265791">
        <w:rPr>
          <w:bCs/>
        </w:rPr>
        <w:t xml:space="preserve">the Phase III study in newly diagnosed chronic phase CML, 1 patient (&lt; 1%) in each of the SPRYCEL (n=258) and imatinib (n=258) treatment groups had QTc prolongation reported as an adverse reaction. The median changes in QTcF from baseline were 3.0 msec in </w:t>
      </w:r>
      <w:r w:rsidRPr="00265791">
        <w:t>SPRYCEL</w:t>
      </w:r>
      <w:r w:rsidRPr="00265791">
        <w:rPr>
          <w:vertAlign w:val="superscript"/>
        </w:rPr>
        <w:t xml:space="preserve"> </w:t>
      </w:r>
      <w:r w:rsidRPr="00265791">
        <w:t>-treated</w:t>
      </w:r>
      <w:r w:rsidRPr="00265791">
        <w:rPr>
          <w:bCs/>
        </w:rPr>
        <w:t xml:space="preserve"> patients compared to 8.2 msec in imatinib-treated patients. One patient (&lt; 1%) in each group experienced a QTcF &gt; 500 msec. </w:t>
      </w:r>
      <w:r w:rsidRPr="00265791">
        <w:t xml:space="preserve">In 865 patients with leukaemia treated with SPRYCEL in Phase II, single-arm clinical studies, the mean QTc interval changes from baseline using Fridericia’s method (QTcF) were 4-6 msec; the upper 95% confidence intervals for all mean changes from baseline were &lt;7 msec. Of the 2,182 patients with resistance or intolerance to prior imatinib therapy treated with SPRYCEL, 15 (1%) had QT prolongation reported as an adverse reaction. Twenty-one (21) of these patients (1%) experienced a QTcF &gt;500 msec.  </w:t>
      </w:r>
    </w:p>
    <w:p w14:paraId="077A0CC9" w14:textId="334F7746" w:rsidR="00793041" w:rsidRPr="00265791" w:rsidRDefault="00793041" w:rsidP="00793041">
      <w:pPr>
        <w:tabs>
          <w:tab w:val="left" w:pos="204"/>
        </w:tabs>
      </w:pPr>
      <w:r w:rsidRPr="00265791">
        <w:t>SPRYCEL should be administered with caution in patients who have or may develop prolongation of QTc.  These include patients with hypokalaemia or hypomagnesaemia, patients with congenital long QT syndrome, patients taking anti-arrhythmic medicines or other medicinal products which lead to QT prolongation and cumulative high dose anthracycline therapy. Hypokalaemia or hypomagnesaemia should be corrected prior to SPRYCEL administration.</w:t>
      </w:r>
    </w:p>
    <w:p w14:paraId="428C6FAE" w14:textId="213D0867" w:rsidR="00793041" w:rsidRPr="00265791" w:rsidRDefault="00793041" w:rsidP="00D62371">
      <w:pPr>
        <w:pStyle w:val="Heading3"/>
      </w:pPr>
      <w:r w:rsidRPr="00265791">
        <w:t xml:space="preserve">Cardiac </w:t>
      </w:r>
      <w:r w:rsidR="000C3901">
        <w:t>a</w:t>
      </w:r>
      <w:r w:rsidRPr="00265791">
        <w:t xml:space="preserve">dverse </w:t>
      </w:r>
      <w:r w:rsidR="000C3901">
        <w:t>r</w:t>
      </w:r>
      <w:r w:rsidRPr="00265791">
        <w:t>eactions</w:t>
      </w:r>
    </w:p>
    <w:p w14:paraId="7DEA8C27" w14:textId="7CA67C92" w:rsidR="00793041" w:rsidRPr="00265791" w:rsidRDefault="00793041" w:rsidP="00793041">
      <w:r w:rsidRPr="00265791">
        <w:t>SPRYCEL</w:t>
      </w:r>
      <w:r w:rsidRPr="00265791">
        <w:rPr>
          <w:vertAlign w:val="superscript"/>
        </w:rPr>
        <w:t xml:space="preserve"> </w:t>
      </w:r>
      <w:r w:rsidRPr="00265791">
        <w:t>was studied in a randomised trial of 519 patients with newly diagnosed CML in chronic phase which included patients with prior cardiac disease.</w:t>
      </w:r>
      <w:r w:rsidRPr="00265791">
        <w:rPr>
          <w:bCs/>
        </w:rPr>
        <w:t xml:space="preserve"> The cardiac adverse reactions of congestive heart failure/cardiac dysfunction</w:t>
      </w:r>
      <w:r>
        <w:rPr>
          <w:bCs/>
        </w:rPr>
        <w:t xml:space="preserve"> (1.9%)</w:t>
      </w:r>
      <w:r w:rsidRPr="00265791">
        <w:rPr>
          <w:bCs/>
        </w:rPr>
        <w:t>, pericardial effusion</w:t>
      </w:r>
      <w:r>
        <w:rPr>
          <w:bCs/>
        </w:rPr>
        <w:t xml:space="preserve"> (4.3%)</w:t>
      </w:r>
      <w:r w:rsidRPr="00265791">
        <w:rPr>
          <w:bCs/>
        </w:rPr>
        <w:t>, arrhythmias</w:t>
      </w:r>
      <w:r>
        <w:rPr>
          <w:bCs/>
        </w:rPr>
        <w:t xml:space="preserve"> (1.2%)</w:t>
      </w:r>
      <w:r w:rsidRPr="00265791">
        <w:rPr>
          <w:bCs/>
        </w:rPr>
        <w:t>, palpitations</w:t>
      </w:r>
      <w:r>
        <w:rPr>
          <w:bCs/>
        </w:rPr>
        <w:t xml:space="preserve"> (1.9%)</w:t>
      </w:r>
      <w:r w:rsidRPr="00265791">
        <w:rPr>
          <w:bCs/>
        </w:rPr>
        <w:t>, QT prolongation</w:t>
      </w:r>
      <w:r>
        <w:rPr>
          <w:bCs/>
        </w:rPr>
        <w:t xml:space="preserve"> (0.4%)</w:t>
      </w:r>
      <w:r w:rsidRPr="00265791">
        <w:rPr>
          <w:bCs/>
        </w:rPr>
        <w:t xml:space="preserve"> and myocardial infarction</w:t>
      </w:r>
      <w:r>
        <w:rPr>
          <w:bCs/>
        </w:rPr>
        <w:t xml:space="preserve"> (0.4%)</w:t>
      </w:r>
      <w:r w:rsidRPr="00265791">
        <w:rPr>
          <w:bCs/>
        </w:rPr>
        <w:t xml:space="preserve"> (including fatal) were reported in patients taking </w:t>
      </w:r>
      <w:r w:rsidRPr="00265791">
        <w:t>SPRYCEL</w:t>
      </w:r>
      <w:r>
        <w:t xml:space="preserve"> (n=258)</w:t>
      </w:r>
      <w:r w:rsidRPr="00265791">
        <w:rPr>
          <w:bCs/>
        </w:rPr>
        <w:t>. Adverse cardiac reactions were more frequent in patients with risk factors or a previous medical history of cardiac disease. Patients with risk factors or a history of cardiac disease should be monitored carefully for signs or symptoms consistent with cardiac dysfunction and should be evaluated and treated appropriately</w:t>
      </w:r>
      <w:r w:rsidRPr="00265791">
        <w:t>.</w:t>
      </w:r>
    </w:p>
    <w:p w14:paraId="76733A0A" w14:textId="54FD5745" w:rsidR="00793041" w:rsidRPr="00265791" w:rsidRDefault="00793041" w:rsidP="00793041">
      <w:pPr>
        <w:tabs>
          <w:tab w:val="left" w:pos="204"/>
        </w:tabs>
      </w:pPr>
      <w:r w:rsidRPr="00265791">
        <w:t>Patients with uncontrolled or significant cardiovascular disease were not included in the clinical studies.</w:t>
      </w:r>
    </w:p>
    <w:p w14:paraId="3D86888B" w14:textId="36CD6A66" w:rsidR="00793041" w:rsidRPr="00265791" w:rsidRDefault="00793041" w:rsidP="00D62371">
      <w:pPr>
        <w:pStyle w:val="Heading3"/>
      </w:pPr>
      <w:r w:rsidRPr="00265791">
        <w:t xml:space="preserve">Pulmonary </w:t>
      </w:r>
      <w:r w:rsidR="000C3901">
        <w:t>a</w:t>
      </w:r>
      <w:r w:rsidRPr="00265791">
        <w:t xml:space="preserve">rterial </w:t>
      </w:r>
      <w:r w:rsidR="000C3901">
        <w:t>h</w:t>
      </w:r>
      <w:r w:rsidRPr="00265791">
        <w:t>ypertension</w:t>
      </w:r>
    </w:p>
    <w:p w14:paraId="6D312086" w14:textId="5974B1A9" w:rsidR="00793041" w:rsidRPr="00265791" w:rsidRDefault="00793041" w:rsidP="00793041">
      <w:pPr>
        <w:rPr>
          <w:lang w:val="en-GB"/>
        </w:rPr>
      </w:pPr>
      <w:r w:rsidRPr="00265791">
        <w:rPr>
          <w:lang w:val="en-GB"/>
        </w:rPr>
        <w:t xml:space="preserve">Pulmonary arterial hypertension (PAH), confirmed by right heart catheterization, has been reported in association with </w:t>
      </w:r>
      <w:r w:rsidRPr="00265791">
        <w:t>SPRYCEL</w:t>
      </w:r>
      <w:r w:rsidRPr="00265791">
        <w:rPr>
          <w:lang w:val="en-GB"/>
        </w:rPr>
        <w:t xml:space="preserve"> treatment. In these cases, PAH was reported after initiation of </w:t>
      </w:r>
      <w:r w:rsidRPr="00265791">
        <w:t>SPRYCEL</w:t>
      </w:r>
      <w:r w:rsidRPr="00265791">
        <w:rPr>
          <w:lang w:val="en-GB"/>
        </w:rPr>
        <w:t xml:space="preserve"> therapy, including after more than one year of treatment. Patients with PAH reported during </w:t>
      </w:r>
      <w:r w:rsidRPr="00265791">
        <w:t>SPRYCEL</w:t>
      </w:r>
      <w:r w:rsidRPr="00265791">
        <w:rPr>
          <w:lang w:val="en-GB"/>
        </w:rPr>
        <w:t xml:space="preserve"> treatment were often taking concomitant medications or had co-morbidities in addition to the underlying malignancy.</w:t>
      </w:r>
    </w:p>
    <w:p w14:paraId="10B9A154" w14:textId="49AB354D" w:rsidR="00793041" w:rsidRPr="00265791" w:rsidRDefault="00793041" w:rsidP="00793041">
      <w:pPr>
        <w:rPr>
          <w:lang w:val="en-GB"/>
        </w:rPr>
      </w:pPr>
      <w:r w:rsidRPr="00265791">
        <w:rPr>
          <w:lang w:val="en-GB"/>
        </w:rPr>
        <w:t xml:space="preserve">Patients should be evaluated for signs and symptoms of underlying cardiopulmonary disease prior to initiating </w:t>
      </w:r>
      <w:r w:rsidRPr="00265791">
        <w:t>SPRYCEL</w:t>
      </w:r>
      <w:r w:rsidRPr="00265791">
        <w:rPr>
          <w:lang w:val="en-GB"/>
        </w:rPr>
        <w:t xml:space="preserve"> therapy. Patients who develop dyspnoea and fatigue after initiation of therapy should be evaluated for more common etiologies including pleural effusion, pulmonary oedema, anaemia, or lung infiltration. During this evaluation, guidelines for non-hematologic adverse reactions </w:t>
      </w:r>
      <w:r w:rsidRPr="00265791">
        <w:rPr>
          <w:lang w:val="en-GB"/>
        </w:rPr>
        <w:lastRenderedPageBreak/>
        <w:t xml:space="preserve">should be followed (see </w:t>
      </w:r>
      <w:r w:rsidR="00AB4FA8">
        <w:rPr>
          <w:lang w:val="en-GB"/>
        </w:rPr>
        <w:t>Section 4.2 Dose and method of administration – Dose adjustment for adverse reactions</w:t>
      </w:r>
      <w:r w:rsidRPr="00265791">
        <w:rPr>
          <w:lang w:val="en-GB"/>
        </w:rPr>
        <w:t xml:space="preserve">): if the adverse reaction is severe, treatment must be withheld until the event has resolved or improved. If no alternative diagnosis is found, the diagnosis of PAH should be considered. If PAH is confirmed, </w:t>
      </w:r>
      <w:r w:rsidRPr="00265791">
        <w:t>SPRYCEL</w:t>
      </w:r>
      <w:r w:rsidRPr="00265791">
        <w:rPr>
          <w:lang w:val="en-GB"/>
        </w:rPr>
        <w:t xml:space="preserve"> should be permanently discontinued. Follow up should be performed according to standard practice guidelines. Improvements in hemodynamic and clinical parameters have been observed in </w:t>
      </w:r>
      <w:r w:rsidRPr="00265791">
        <w:t>SPRYCEL</w:t>
      </w:r>
      <w:r w:rsidRPr="00265791">
        <w:rPr>
          <w:vertAlign w:val="superscript"/>
        </w:rPr>
        <w:t xml:space="preserve"> </w:t>
      </w:r>
      <w:r w:rsidRPr="00265791">
        <w:rPr>
          <w:lang w:val="en-GB"/>
        </w:rPr>
        <w:t xml:space="preserve">treated patients with PAH following cessation of </w:t>
      </w:r>
      <w:r w:rsidRPr="00265791">
        <w:t>SPRYCEL</w:t>
      </w:r>
      <w:r w:rsidRPr="00265791">
        <w:rPr>
          <w:lang w:val="en-GB"/>
        </w:rPr>
        <w:t xml:space="preserve"> therapy.</w:t>
      </w:r>
    </w:p>
    <w:p w14:paraId="3C6ED5AE" w14:textId="3120E397" w:rsidR="00793041" w:rsidRPr="001F4D3A" w:rsidRDefault="00793041" w:rsidP="00D62371">
      <w:pPr>
        <w:pStyle w:val="Heading3"/>
      </w:pPr>
      <w:r w:rsidRPr="001F4D3A">
        <w:t xml:space="preserve">Hepatitis B </w:t>
      </w:r>
      <w:r w:rsidR="000C3901">
        <w:t>v</w:t>
      </w:r>
      <w:r w:rsidRPr="001F4D3A">
        <w:t xml:space="preserve">irus </w:t>
      </w:r>
      <w:r w:rsidR="000C3901">
        <w:t>r</w:t>
      </w:r>
      <w:r w:rsidRPr="001F4D3A">
        <w:t>eactivation</w:t>
      </w:r>
    </w:p>
    <w:p w14:paraId="0308369A" w14:textId="3DE8EE36" w:rsidR="00793041" w:rsidRPr="001F4D3A" w:rsidRDefault="00793041" w:rsidP="00793041">
      <w:pPr>
        <w:rPr>
          <w:lang w:val="en-GB"/>
        </w:rPr>
      </w:pPr>
      <w:r w:rsidRPr="001F4D3A">
        <w:rPr>
          <w:lang w:val="en-GB"/>
        </w:rPr>
        <w:t>BCR-ABL TKIs have been associated with hepatitis B virus (HBV) reactivation including individual case reports for SPRYCEL. In some instances, HBV reactivation occurring in conjunction with other BCR-ABL TKIs resulted in acute hepatic failure or fulminant hepatitis leading to liver transplantation or a fatal outcome.</w:t>
      </w:r>
    </w:p>
    <w:p w14:paraId="6D2362DF" w14:textId="5BAEFF28" w:rsidR="00793041" w:rsidRPr="001F4D3A" w:rsidRDefault="00793041" w:rsidP="00793041">
      <w:pPr>
        <w:rPr>
          <w:lang w:val="en-GB"/>
        </w:rPr>
      </w:pPr>
      <w:r w:rsidRPr="001F4D3A">
        <w:rPr>
          <w:lang w:val="en-GB"/>
        </w:rPr>
        <w:t>Screening for HBV should be considered in accordance with published guidelines before starting therapy with SPRYCEL. Consultation with a physician with expertise in the treatment of HBV is recommended for patients who test positive for HBV serology.</w:t>
      </w:r>
    </w:p>
    <w:p w14:paraId="0194F64F" w14:textId="17C9845D" w:rsidR="00793041" w:rsidRPr="001F4D3A" w:rsidRDefault="00793041" w:rsidP="00793041">
      <w:pPr>
        <w:rPr>
          <w:lang w:val="en-GB" w:eastAsia="ja-JP"/>
        </w:rPr>
      </w:pPr>
      <w:r w:rsidRPr="001F4D3A">
        <w:rPr>
          <w:lang w:val="en-GB" w:eastAsia="ja-JP"/>
        </w:rPr>
        <w:t>Patients who are carriers of HBV and require treatment with BCR-ABL TKIs should be closely monitored for clinical and laboratory signs of active HBV infection throughout therapy and for several months following termination of therapy. In patients who develop reactivation of HBV while receiving SPRYCEL, prompt consultation with a physician with expertise in the treatment of HBV is recommended.</w:t>
      </w:r>
    </w:p>
    <w:p w14:paraId="5A7147FC" w14:textId="59B4DA3D" w:rsidR="00793041" w:rsidRDefault="00793041" w:rsidP="00D62371">
      <w:pPr>
        <w:pStyle w:val="Heading3"/>
      </w:pPr>
      <w:r>
        <w:t xml:space="preserve">Severe </w:t>
      </w:r>
      <w:r w:rsidR="000C3901">
        <w:t>d</w:t>
      </w:r>
      <w:r>
        <w:t xml:space="preserve">ermatologic </w:t>
      </w:r>
      <w:r w:rsidR="000C3901">
        <w:t>r</w:t>
      </w:r>
      <w:r>
        <w:t>eactions</w:t>
      </w:r>
    </w:p>
    <w:p w14:paraId="1CF791D6" w14:textId="2EF1AEF4" w:rsidR="00793041" w:rsidRPr="00E14CBE" w:rsidRDefault="00793041" w:rsidP="00793041">
      <w:r>
        <w:t xml:space="preserve">Individual cases of severe mucocutaneous dermatologic reactions, including Stevens-Johnson syndrome and erythema multiforme, have been reported with the use of SPRYCEL. SPRYCEL should be permanently discontinued in patients who experience a severe mucocutaneous reaction during treatment if no other etiology can be identified. </w:t>
      </w:r>
    </w:p>
    <w:p w14:paraId="57B34A16" w14:textId="509D4A33" w:rsidR="00793041" w:rsidRPr="00265791" w:rsidRDefault="00793041" w:rsidP="00D62371">
      <w:pPr>
        <w:pStyle w:val="Heading3"/>
      </w:pPr>
      <w:r w:rsidRPr="00265791">
        <w:t xml:space="preserve">Lactose </w:t>
      </w:r>
      <w:r w:rsidR="000C3901">
        <w:t>c</w:t>
      </w:r>
      <w:r w:rsidRPr="00265791">
        <w:t>ontent</w:t>
      </w:r>
    </w:p>
    <w:p w14:paraId="460BDB3F" w14:textId="085ADE58" w:rsidR="00793041" w:rsidRPr="00265791" w:rsidRDefault="00793041" w:rsidP="00793041">
      <w:r w:rsidRPr="00265791">
        <w:t>SPRYCEL contains 135 mg of lactose monohydrate in a 100 mg daily dose and 189 mg of lactose monohydrate in a 140 mg daily dose.</w:t>
      </w:r>
    </w:p>
    <w:p w14:paraId="6A58C797" w14:textId="77777777" w:rsidR="001A3992" w:rsidRPr="000A4651" w:rsidRDefault="001F57B8" w:rsidP="00D62371">
      <w:pPr>
        <w:pStyle w:val="Heading3"/>
      </w:pPr>
      <w:r w:rsidRPr="000A4651">
        <w:t>Use in hepatic impairment</w:t>
      </w:r>
    </w:p>
    <w:p w14:paraId="56FC9B23" w14:textId="65CD95C8" w:rsidR="00F16D0E" w:rsidRPr="00265791" w:rsidRDefault="00F16D0E" w:rsidP="00F16D0E">
      <w:pPr>
        <w:tabs>
          <w:tab w:val="left" w:pos="204"/>
        </w:tabs>
      </w:pPr>
      <w:r w:rsidRPr="00265791">
        <w:t xml:space="preserve">Based on the findings from a single-dose pharmacokinetic study, patients with mild, moderate or severe hepatic impairment may receive the recommended starting dose (see </w:t>
      </w:r>
      <w:r w:rsidR="002B0D52">
        <w:t>Section 4.2 Dose and method of administration – Special populations</w:t>
      </w:r>
      <w:r w:rsidRPr="00265791">
        <w:t xml:space="preserve"> and </w:t>
      </w:r>
      <w:r w:rsidR="002B0D52">
        <w:t xml:space="preserve">Section 5.2 Pharmacokinetic properties </w:t>
      </w:r>
      <w:r w:rsidRPr="00265791">
        <w:t xml:space="preserve">- Special Populations). Due to the limitations of this clinical study, caution is recommended when SPRYCEL is administered to patients with hepatic impairment. </w:t>
      </w:r>
    </w:p>
    <w:p w14:paraId="43F8F375" w14:textId="77777777" w:rsidR="001A3992" w:rsidRPr="000A4651" w:rsidRDefault="001F57B8" w:rsidP="00D62371">
      <w:pPr>
        <w:pStyle w:val="Heading3"/>
      </w:pPr>
      <w:r w:rsidRPr="000A4651">
        <w:t>Use in renal impairment</w:t>
      </w:r>
    </w:p>
    <w:p w14:paraId="1BBCE880" w14:textId="32B3DEFD" w:rsidR="00F16D0E" w:rsidRPr="00265791" w:rsidRDefault="00F16D0E" w:rsidP="00F16D0E">
      <w:pPr>
        <w:tabs>
          <w:tab w:val="left" w:pos="204"/>
        </w:tabs>
      </w:pPr>
      <w:r w:rsidRPr="00265791">
        <w:t>There are currently no clinical studies with SPRYCEL in patients with impaired renal function (the study in patients with newly diagnosed chronic phase CML excluded patients with serum creatinine &gt; 3 times the upper limit of the normal range, and clinical studies in patients with chronic phase CML with resistance or intolerance to prior imatinib therapy have excluded patients with serum creatinine concentration &gt;1.5 times the upper limit of the normal range). Dasatinib and its metabolites are minimally excreted via the kidney.  Since the renal excretion of unchanged dasatinib and its metabolites is &lt;4%, a decrease in total body clearance is not expected in patients with renal insufficiency.</w:t>
      </w:r>
    </w:p>
    <w:p w14:paraId="700315D3" w14:textId="490AC89B" w:rsidR="001A3992" w:rsidRDefault="001A3992" w:rsidP="00D62371">
      <w:pPr>
        <w:pStyle w:val="Heading3"/>
      </w:pPr>
      <w:r w:rsidRPr="000A4651">
        <w:lastRenderedPageBreak/>
        <w:t>Use in the elderly</w:t>
      </w:r>
    </w:p>
    <w:p w14:paraId="6FAD1D8A" w14:textId="576FA1EA" w:rsidR="00F16D0E" w:rsidRDefault="00F16D0E" w:rsidP="00F16D0E">
      <w:r w:rsidRPr="00265791">
        <w:t xml:space="preserve">Of the 2,712 patients in clinical studies of SPRYCEL, 617 (23%) were 65 years of age and older and 123 (5%) were 75 years of age and older. </w:t>
      </w:r>
    </w:p>
    <w:p w14:paraId="131D76FE" w14:textId="77777777" w:rsidR="00F16D0E" w:rsidRDefault="00F16D0E" w:rsidP="00F16D0E">
      <w:pPr>
        <w:rPr>
          <w:rStyle w:val="BMSSuperscript"/>
        </w:rPr>
      </w:pPr>
      <w:r w:rsidRPr="0012104B">
        <w:t>Patients aged 65 years and older are more likely to experience the commonly reported adverse reactions appetite disturbance (14.5% vs 8.0%), fatigue (27.4% vs 19.7%), pleural effusion (46.2 vs 28.4), cough (13.6% vs 8.4%),  and dyspnoea</w:t>
      </w:r>
      <w:r w:rsidRPr="008F5AA5">
        <w:t xml:space="preserve"> (34.5% vs 17.7%)), and more likely to experience the less frequently reported adverse events abdominal distention </w:t>
      </w:r>
      <w:r>
        <w:t>(</w:t>
      </w:r>
      <w:r w:rsidRPr="008F5AA5">
        <w:t>3.9% vs 2.9%), dizziness (7.1% vs 4.6%), lower gastrointestinal haemorrhage (2.4% vs 0.7%),</w:t>
      </w:r>
      <w:r>
        <w:t xml:space="preserve"> </w:t>
      </w:r>
      <w:r w:rsidRPr="008F5AA5">
        <w:t>pericardial effusion (7.6% vs 4.9%), congestive heart failure (3.1% vs 0.7%) and weight decrease (7.5% vs 3.7%)</w:t>
      </w:r>
      <w:r w:rsidRPr="00265791">
        <w:t xml:space="preserve">, and should be monitored closely. </w:t>
      </w:r>
      <w:r w:rsidRPr="00265791">
        <w:rPr>
          <w:rStyle w:val="BMSSuperscript"/>
        </w:rPr>
        <w:t xml:space="preserve"> </w:t>
      </w:r>
    </w:p>
    <w:p w14:paraId="55BD0707" w14:textId="77777777" w:rsidR="00F16D0E" w:rsidRDefault="00F16D0E" w:rsidP="00F16D0E">
      <w:r w:rsidRPr="005E74A0">
        <w:t xml:space="preserve">Comparisons based on efficacy are based on limited number of </w:t>
      </w:r>
      <w:r>
        <w:t>subjects in specific age groups</w:t>
      </w:r>
      <w:r w:rsidRPr="005E74A0">
        <w:t xml:space="preserve"> in individual studies, however </w:t>
      </w:r>
      <w:r>
        <w:t xml:space="preserve">similar rates of </w:t>
      </w:r>
      <w:r w:rsidRPr="005E74A0">
        <w:t>cCCyR and MMR were observed between older and younger patients</w:t>
      </w:r>
      <w:r>
        <w:t>.</w:t>
      </w:r>
    </w:p>
    <w:p w14:paraId="416940C1" w14:textId="25423681" w:rsidR="001A3992" w:rsidRDefault="001A3992" w:rsidP="00D62371">
      <w:pPr>
        <w:pStyle w:val="Heading3"/>
      </w:pPr>
      <w:r w:rsidRPr="000A4651">
        <w:t>Paediatric use</w:t>
      </w:r>
    </w:p>
    <w:p w14:paraId="4380E0D7" w14:textId="606DF09D" w:rsidR="00F16D0E" w:rsidRPr="00265791" w:rsidRDefault="00F16D0E" w:rsidP="00F16D0E">
      <w:pPr>
        <w:tabs>
          <w:tab w:val="left" w:pos="204"/>
        </w:tabs>
      </w:pPr>
      <w:r w:rsidRPr="00265791">
        <w:t>The safety and efficacy of SPRYCEL in patients &lt;18 years of age have not been established.</w:t>
      </w:r>
    </w:p>
    <w:p w14:paraId="7DE604C0" w14:textId="77777777" w:rsidR="001A3992" w:rsidRPr="000A4651" w:rsidRDefault="001A3992" w:rsidP="00D62371">
      <w:pPr>
        <w:pStyle w:val="Heading3"/>
      </w:pPr>
      <w:r w:rsidRPr="000A4651">
        <w:t>Effects on laboratory tests</w:t>
      </w:r>
    </w:p>
    <w:p w14:paraId="56FC3B6D" w14:textId="77777777" w:rsidR="00F16D0E" w:rsidRPr="00265791" w:rsidRDefault="00F16D0E" w:rsidP="00F16D0E">
      <w:pPr>
        <w:pStyle w:val="Heading4"/>
      </w:pPr>
      <w:r w:rsidRPr="00265791">
        <w:t>Haematology and Biochemistry in patients with newly diagnosed chronic phase CML</w:t>
      </w:r>
    </w:p>
    <w:p w14:paraId="5613B4C7" w14:textId="180DE9AF" w:rsidR="00F16D0E" w:rsidRPr="00265791" w:rsidRDefault="00F16D0E" w:rsidP="00F16D0E">
      <w:r w:rsidRPr="00265791">
        <w:t xml:space="preserve">The comparative frequency of Grade 3 and 4 laboratory abnormalities in patients with newly diagnosed chronic phase CML is presented in Table </w:t>
      </w:r>
      <w:r w:rsidR="002B0D52">
        <w:t>2</w:t>
      </w:r>
      <w:r w:rsidRPr="00265791">
        <w:t>. There were no discontinuations of SPRYCEL therapy due to the biochemical laboratory parameters.</w:t>
      </w:r>
    </w:p>
    <w:tbl>
      <w:tblPr>
        <w:tblW w:w="8493" w:type="dxa"/>
        <w:tblInd w:w="40" w:type="dxa"/>
        <w:tblLayout w:type="fixed"/>
        <w:tblCellMar>
          <w:left w:w="40" w:type="dxa"/>
          <w:right w:w="40" w:type="dxa"/>
        </w:tblCellMar>
        <w:tblLook w:val="0000" w:firstRow="0" w:lastRow="0" w:firstColumn="0" w:lastColumn="0" w:noHBand="0" w:noVBand="0"/>
      </w:tblPr>
      <w:tblGrid>
        <w:gridCol w:w="3409"/>
        <w:gridCol w:w="2405"/>
        <w:gridCol w:w="2679"/>
      </w:tblGrid>
      <w:tr w:rsidR="00F16D0E" w:rsidRPr="00F16D0E" w14:paraId="3DD03B7D" w14:textId="77777777" w:rsidTr="00F75E7E">
        <w:trPr>
          <w:trHeight w:val="615"/>
        </w:trPr>
        <w:tc>
          <w:tcPr>
            <w:tcW w:w="5000" w:type="pct"/>
            <w:gridSpan w:val="3"/>
            <w:tcBorders>
              <w:bottom w:val="double" w:sz="4" w:space="0" w:color="auto"/>
            </w:tcBorders>
          </w:tcPr>
          <w:p w14:paraId="3B3D681F" w14:textId="1286D928" w:rsidR="00F16D0E" w:rsidRPr="00F16D0E" w:rsidRDefault="00F16D0E" w:rsidP="00F75E7E">
            <w:pPr>
              <w:pStyle w:val="BMSTableTitle"/>
              <w:rPr>
                <w:sz w:val="22"/>
                <w:szCs w:val="22"/>
                <w:lang w:val="en-GB"/>
              </w:rPr>
            </w:pPr>
            <w:r w:rsidRPr="00F16D0E">
              <w:rPr>
                <w:sz w:val="22"/>
                <w:szCs w:val="22"/>
                <w:lang w:val="en-GB"/>
              </w:rPr>
              <w:t xml:space="preserve">Table </w:t>
            </w:r>
            <w:r w:rsidR="002B0D52">
              <w:rPr>
                <w:sz w:val="22"/>
                <w:szCs w:val="22"/>
                <w:lang w:val="en-GB"/>
              </w:rPr>
              <w:t>2</w:t>
            </w:r>
            <w:r w:rsidRPr="00F16D0E">
              <w:rPr>
                <w:sz w:val="22"/>
                <w:szCs w:val="22"/>
                <w:lang w:val="en-GB"/>
              </w:rPr>
              <w:t>:</w:t>
            </w:r>
            <w:r w:rsidRPr="00F16D0E">
              <w:rPr>
                <w:sz w:val="22"/>
                <w:szCs w:val="22"/>
                <w:lang w:val="en-GB"/>
              </w:rPr>
              <w:tab/>
              <w:t xml:space="preserve">CTC Grade 3/4 Laboratory Abnormalities in a Phase III Study of Patients with Newly Diagnosed Chronic Phase </w:t>
            </w:r>
          </w:p>
        </w:tc>
      </w:tr>
      <w:tr w:rsidR="00F16D0E" w:rsidRPr="00265791" w14:paraId="40DD2A8C" w14:textId="77777777" w:rsidTr="00F75E7E">
        <w:trPr>
          <w:cantSplit/>
          <w:trHeight w:val="315"/>
        </w:trPr>
        <w:tc>
          <w:tcPr>
            <w:tcW w:w="2007" w:type="pct"/>
            <w:tcBorders>
              <w:top w:val="single" w:sz="6" w:space="0" w:color="auto"/>
            </w:tcBorders>
            <w:shd w:val="clear" w:color="auto" w:fill="auto"/>
            <w:vAlign w:val="center"/>
          </w:tcPr>
          <w:p w14:paraId="7886F629" w14:textId="77777777" w:rsidR="00F16D0E" w:rsidRPr="00265791" w:rsidRDefault="00F16D0E" w:rsidP="00F75E7E">
            <w:pPr>
              <w:pStyle w:val="BMSTableHeader"/>
              <w:keepNext/>
              <w:spacing w:before="0" w:after="0"/>
              <w:rPr>
                <w:sz w:val="18"/>
                <w:szCs w:val="18"/>
                <w:lang w:val="en-GB"/>
              </w:rPr>
            </w:pPr>
          </w:p>
        </w:tc>
        <w:tc>
          <w:tcPr>
            <w:tcW w:w="1416" w:type="pct"/>
            <w:tcBorders>
              <w:top w:val="single" w:sz="6" w:space="0" w:color="auto"/>
              <w:bottom w:val="single" w:sz="6" w:space="0" w:color="auto"/>
              <w:right w:val="single" w:sz="4" w:space="0" w:color="auto"/>
            </w:tcBorders>
            <w:vAlign w:val="center"/>
          </w:tcPr>
          <w:p w14:paraId="6C9E753C" w14:textId="4B7706D5" w:rsidR="00F16D0E" w:rsidRPr="00265791" w:rsidRDefault="00F16D0E" w:rsidP="00F75E7E">
            <w:pPr>
              <w:pStyle w:val="BMSTableHeader"/>
              <w:keepNext/>
              <w:spacing w:before="0" w:after="0"/>
              <w:rPr>
                <w:sz w:val="18"/>
                <w:szCs w:val="18"/>
                <w:lang w:val="en-GB"/>
              </w:rPr>
            </w:pPr>
            <w:r w:rsidRPr="00265791">
              <w:rPr>
                <w:spacing w:val="-2"/>
                <w:sz w:val="22"/>
                <w:szCs w:val="22"/>
                <w:lang w:val="en-GB"/>
              </w:rPr>
              <w:t>SPRYCEL</w:t>
            </w:r>
            <w:r w:rsidRPr="00265791">
              <w:rPr>
                <w:sz w:val="18"/>
                <w:szCs w:val="18"/>
                <w:lang w:val="en-GB"/>
              </w:rPr>
              <w:br/>
            </w:r>
            <w:r w:rsidRPr="00265791">
              <w:rPr>
                <w:sz w:val="22"/>
                <w:szCs w:val="18"/>
                <w:lang w:val="en-GB"/>
              </w:rPr>
              <w:t>n= 258</w:t>
            </w:r>
          </w:p>
        </w:tc>
        <w:tc>
          <w:tcPr>
            <w:tcW w:w="1577" w:type="pct"/>
            <w:tcBorders>
              <w:top w:val="single" w:sz="6" w:space="0" w:color="auto"/>
              <w:left w:val="single" w:sz="4" w:space="0" w:color="auto"/>
              <w:bottom w:val="single" w:sz="6" w:space="0" w:color="auto"/>
            </w:tcBorders>
            <w:vAlign w:val="center"/>
          </w:tcPr>
          <w:p w14:paraId="16045FD5" w14:textId="77777777" w:rsidR="00F16D0E" w:rsidRPr="00265791" w:rsidRDefault="00F16D0E" w:rsidP="00F75E7E">
            <w:pPr>
              <w:pStyle w:val="BMSTableHeader"/>
              <w:keepNext/>
              <w:spacing w:before="0" w:after="0"/>
              <w:rPr>
                <w:sz w:val="18"/>
                <w:szCs w:val="18"/>
                <w:lang w:val="en-GB"/>
              </w:rPr>
            </w:pPr>
            <w:r w:rsidRPr="00265791">
              <w:rPr>
                <w:sz w:val="22"/>
                <w:szCs w:val="18"/>
                <w:lang w:val="en-GB"/>
              </w:rPr>
              <w:t>imatinib</w:t>
            </w:r>
            <w:r w:rsidRPr="00265791">
              <w:rPr>
                <w:sz w:val="22"/>
                <w:szCs w:val="18"/>
                <w:lang w:val="en-GB"/>
              </w:rPr>
              <w:br/>
              <w:t>n= 258</w:t>
            </w:r>
          </w:p>
        </w:tc>
      </w:tr>
      <w:tr w:rsidR="00F16D0E" w:rsidRPr="00265791" w14:paraId="0707547A" w14:textId="77777777" w:rsidTr="00F75E7E">
        <w:trPr>
          <w:cantSplit/>
        </w:trPr>
        <w:tc>
          <w:tcPr>
            <w:tcW w:w="2007" w:type="pct"/>
            <w:tcBorders>
              <w:bottom w:val="single" w:sz="6" w:space="0" w:color="auto"/>
            </w:tcBorders>
            <w:shd w:val="clear" w:color="auto" w:fill="auto"/>
            <w:vAlign w:val="center"/>
          </w:tcPr>
          <w:p w14:paraId="7FB6113A" w14:textId="77777777" w:rsidR="00F16D0E" w:rsidRPr="00265791" w:rsidRDefault="00F16D0E" w:rsidP="00F75E7E">
            <w:pPr>
              <w:pStyle w:val="BMSTableTextLarge"/>
              <w:keepNext/>
              <w:rPr>
                <w:b/>
                <w:sz w:val="18"/>
                <w:szCs w:val="18"/>
                <w:lang w:val="en-GB"/>
              </w:rPr>
            </w:pPr>
          </w:p>
        </w:tc>
        <w:tc>
          <w:tcPr>
            <w:tcW w:w="2993" w:type="pct"/>
            <w:gridSpan w:val="2"/>
            <w:tcBorders>
              <w:top w:val="single" w:sz="6" w:space="0" w:color="auto"/>
              <w:bottom w:val="single" w:sz="6" w:space="0" w:color="auto"/>
            </w:tcBorders>
            <w:vAlign w:val="center"/>
          </w:tcPr>
          <w:p w14:paraId="06BFCC25" w14:textId="77777777" w:rsidR="00F16D0E" w:rsidRPr="00265791" w:rsidRDefault="00F16D0E" w:rsidP="00F75E7E">
            <w:pPr>
              <w:pStyle w:val="BMSTableHeader"/>
              <w:keepNext/>
              <w:spacing w:before="0" w:after="0"/>
              <w:rPr>
                <w:sz w:val="18"/>
                <w:szCs w:val="18"/>
                <w:lang w:val="en-GB"/>
              </w:rPr>
            </w:pPr>
            <w:r w:rsidRPr="00265791">
              <w:rPr>
                <w:sz w:val="18"/>
                <w:szCs w:val="18"/>
                <w:lang w:val="en-GB"/>
              </w:rPr>
              <w:t>Percent (%) of Patients</w:t>
            </w:r>
          </w:p>
        </w:tc>
      </w:tr>
      <w:tr w:rsidR="00F16D0E" w:rsidRPr="00265791" w14:paraId="73C1BBD1" w14:textId="77777777" w:rsidTr="00F75E7E">
        <w:trPr>
          <w:trHeight w:val="399"/>
        </w:trPr>
        <w:tc>
          <w:tcPr>
            <w:tcW w:w="2007" w:type="pct"/>
          </w:tcPr>
          <w:p w14:paraId="3F40862A" w14:textId="77777777" w:rsidR="00F16D0E" w:rsidRPr="00265791" w:rsidRDefault="00F16D0E" w:rsidP="00F75E7E">
            <w:pPr>
              <w:pStyle w:val="BMSTableText"/>
              <w:keepNext/>
              <w:tabs>
                <w:tab w:val="clear" w:pos="360"/>
                <w:tab w:val="left" w:pos="177"/>
                <w:tab w:val="left" w:pos="375"/>
                <w:tab w:val="left" w:pos="600"/>
              </w:tabs>
              <w:spacing w:beforeLines="20" w:before="48" w:afterLines="20" w:after="48"/>
              <w:ind w:left="177" w:hanging="180"/>
              <w:jc w:val="left"/>
              <w:rPr>
                <w:lang w:val="en-GB"/>
              </w:rPr>
            </w:pPr>
            <w:r w:rsidRPr="00265791">
              <w:rPr>
                <w:b/>
                <w:lang w:val="en-GB"/>
              </w:rPr>
              <w:t>Haematology Parameters</w:t>
            </w:r>
          </w:p>
        </w:tc>
        <w:tc>
          <w:tcPr>
            <w:tcW w:w="1416" w:type="pct"/>
            <w:tcBorders>
              <w:right w:val="single" w:sz="4" w:space="0" w:color="auto"/>
            </w:tcBorders>
            <w:shd w:val="clear" w:color="auto" w:fill="auto"/>
            <w:vAlign w:val="center"/>
          </w:tcPr>
          <w:p w14:paraId="2967DBCA" w14:textId="77777777" w:rsidR="00F16D0E" w:rsidRPr="00265791" w:rsidRDefault="00F16D0E" w:rsidP="00F75E7E">
            <w:pPr>
              <w:pStyle w:val="BMSTableText"/>
              <w:keepNext/>
              <w:tabs>
                <w:tab w:val="clear" w:pos="360"/>
                <w:tab w:val="left" w:pos="375"/>
                <w:tab w:val="left" w:pos="600"/>
              </w:tabs>
              <w:spacing w:beforeLines="20" w:before="48" w:afterLines="20" w:after="48"/>
              <w:rPr>
                <w:lang w:val="en-GB"/>
              </w:rPr>
            </w:pPr>
          </w:p>
        </w:tc>
        <w:tc>
          <w:tcPr>
            <w:tcW w:w="1577" w:type="pct"/>
            <w:tcBorders>
              <w:left w:val="single" w:sz="4" w:space="0" w:color="auto"/>
            </w:tcBorders>
            <w:shd w:val="clear" w:color="auto" w:fill="auto"/>
            <w:vAlign w:val="center"/>
          </w:tcPr>
          <w:p w14:paraId="1067A8C1" w14:textId="77777777" w:rsidR="00F16D0E" w:rsidRPr="00265791" w:rsidRDefault="00F16D0E" w:rsidP="00F75E7E">
            <w:pPr>
              <w:pStyle w:val="BMSTableText"/>
              <w:keepNext/>
              <w:tabs>
                <w:tab w:val="clear" w:pos="360"/>
                <w:tab w:val="left" w:pos="375"/>
                <w:tab w:val="left" w:pos="600"/>
              </w:tabs>
              <w:spacing w:beforeLines="20" w:before="48" w:afterLines="20" w:after="48"/>
              <w:rPr>
                <w:lang w:val="en-GB"/>
              </w:rPr>
            </w:pPr>
          </w:p>
        </w:tc>
      </w:tr>
      <w:tr w:rsidR="00F16D0E" w:rsidRPr="00265791" w14:paraId="6FDF07C0" w14:textId="77777777" w:rsidTr="00F75E7E">
        <w:tc>
          <w:tcPr>
            <w:tcW w:w="2007" w:type="pct"/>
          </w:tcPr>
          <w:p w14:paraId="6A4F3A9B" w14:textId="77777777" w:rsidR="00F16D0E" w:rsidRPr="00265791" w:rsidRDefault="00F16D0E" w:rsidP="00F75E7E">
            <w:pPr>
              <w:pStyle w:val="BMSTableText"/>
              <w:tabs>
                <w:tab w:val="clear" w:pos="360"/>
                <w:tab w:val="left" w:pos="184"/>
                <w:tab w:val="left" w:pos="375"/>
                <w:tab w:val="left" w:pos="600"/>
              </w:tabs>
              <w:spacing w:beforeLines="20" w:before="48" w:afterLines="20" w:after="48"/>
              <w:ind w:left="357" w:hanging="360"/>
              <w:jc w:val="left"/>
              <w:rPr>
                <w:lang w:val="en-GB"/>
              </w:rPr>
            </w:pPr>
            <w:r w:rsidRPr="00265791">
              <w:rPr>
                <w:lang w:val="en-GB"/>
              </w:rPr>
              <w:tab/>
              <w:t>Neutropenia</w:t>
            </w:r>
          </w:p>
        </w:tc>
        <w:tc>
          <w:tcPr>
            <w:tcW w:w="1416" w:type="pct"/>
            <w:tcBorders>
              <w:right w:val="single" w:sz="4" w:space="0" w:color="auto"/>
            </w:tcBorders>
            <w:shd w:val="clear" w:color="auto" w:fill="auto"/>
            <w:vAlign w:val="center"/>
          </w:tcPr>
          <w:p w14:paraId="7C884BE8"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Pr>
                <w:lang w:val="en-GB"/>
              </w:rPr>
              <w:t>29</w:t>
            </w:r>
          </w:p>
        </w:tc>
        <w:tc>
          <w:tcPr>
            <w:tcW w:w="1577" w:type="pct"/>
            <w:tcBorders>
              <w:left w:val="single" w:sz="4" w:space="0" w:color="auto"/>
            </w:tcBorders>
            <w:shd w:val="clear" w:color="auto" w:fill="auto"/>
            <w:vAlign w:val="center"/>
          </w:tcPr>
          <w:p w14:paraId="13D5104D"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Pr>
                <w:lang w:val="en-GB"/>
              </w:rPr>
              <w:t>24</w:t>
            </w:r>
          </w:p>
        </w:tc>
      </w:tr>
      <w:tr w:rsidR="00F16D0E" w:rsidRPr="00265791" w14:paraId="48847252" w14:textId="77777777" w:rsidTr="00F75E7E">
        <w:tc>
          <w:tcPr>
            <w:tcW w:w="2007" w:type="pct"/>
            <w:vAlign w:val="center"/>
          </w:tcPr>
          <w:p w14:paraId="5A395047" w14:textId="77777777" w:rsidR="00F16D0E" w:rsidRPr="00265791" w:rsidRDefault="00F16D0E" w:rsidP="00F75E7E">
            <w:pPr>
              <w:pStyle w:val="BMSTableText"/>
              <w:tabs>
                <w:tab w:val="clear" w:pos="360"/>
                <w:tab w:val="left" w:pos="177"/>
                <w:tab w:val="left" w:pos="375"/>
                <w:tab w:val="left" w:pos="600"/>
              </w:tabs>
              <w:spacing w:beforeLines="20" w:before="48" w:afterLines="20" w:after="48"/>
              <w:ind w:left="177" w:hanging="180"/>
              <w:jc w:val="left"/>
              <w:rPr>
                <w:lang w:val="en-GB"/>
              </w:rPr>
            </w:pPr>
            <w:r w:rsidRPr="00265791">
              <w:rPr>
                <w:lang w:val="en-GB"/>
              </w:rPr>
              <w:tab/>
              <w:t>Thrombocytopenia</w:t>
            </w:r>
          </w:p>
        </w:tc>
        <w:tc>
          <w:tcPr>
            <w:tcW w:w="1416" w:type="pct"/>
            <w:tcBorders>
              <w:right w:val="single" w:sz="4" w:space="0" w:color="auto"/>
            </w:tcBorders>
            <w:shd w:val="clear" w:color="auto" w:fill="auto"/>
            <w:vAlign w:val="center"/>
          </w:tcPr>
          <w:p w14:paraId="63C993A0"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Pr>
                <w:lang w:val="en-GB"/>
              </w:rPr>
              <w:t>22</w:t>
            </w:r>
          </w:p>
        </w:tc>
        <w:tc>
          <w:tcPr>
            <w:tcW w:w="1577" w:type="pct"/>
            <w:tcBorders>
              <w:left w:val="single" w:sz="4" w:space="0" w:color="auto"/>
            </w:tcBorders>
            <w:shd w:val="clear" w:color="auto" w:fill="auto"/>
            <w:vAlign w:val="center"/>
          </w:tcPr>
          <w:p w14:paraId="4731472D"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1</w:t>
            </w:r>
            <w:r>
              <w:rPr>
                <w:lang w:val="en-GB"/>
              </w:rPr>
              <w:t>4</w:t>
            </w:r>
          </w:p>
        </w:tc>
      </w:tr>
      <w:tr w:rsidR="00F16D0E" w:rsidRPr="00265791" w14:paraId="513B8992" w14:textId="77777777" w:rsidTr="00F75E7E">
        <w:tc>
          <w:tcPr>
            <w:tcW w:w="2007" w:type="pct"/>
          </w:tcPr>
          <w:p w14:paraId="1C229FFD" w14:textId="77777777" w:rsidR="00F16D0E" w:rsidRPr="00265791" w:rsidRDefault="00F16D0E" w:rsidP="00F75E7E">
            <w:pPr>
              <w:pStyle w:val="BMSTableText"/>
              <w:tabs>
                <w:tab w:val="clear" w:pos="360"/>
                <w:tab w:val="left" w:pos="177"/>
                <w:tab w:val="left" w:pos="375"/>
                <w:tab w:val="left" w:pos="600"/>
              </w:tabs>
              <w:spacing w:beforeLines="20" w:before="48" w:afterLines="20" w:after="48"/>
              <w:ind w:left="177" w:hanging="180"/>
              <w:jc w:val="left"/>
              <w:rPr>
                <w:lang w:val="en-GB"/>
              </w:rPr>
            </w:pPr>
            <w:r w:rsidRPr="00265791">
              <w:rPr>
                <w:lang w:val="en-GB"/>
              </w:rPr>
              <w:tab/>
              <w:t>Anaemia</w:t>
            </w:r>
          </w:p>
        </w:tc>
        <w:tc>
          <w:tcPr>
            <w:tcW w:w="1416" w:type="pct"/>
            <w:tcBorders>
              <w:right w:val="single" w:sz="4" w:space="0" w:color="auto"/>
            </w:tcBorders>
            <w:shd w:val="clear" w:color="auto" w:fill="auto"/>
            <w:vAlign w:val="center"/>
          </w:tcPr>
          <w:p w14:paraId="77606B79"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1</w:t>
            </w:r>
            <w:r>
              <w:rPr>
                <w:lang w:val="en-GB"/>
              </w:rPr>
              <w:t>3</w:t>
            </w:r>
          </w:p>
        </w:tc>
        <w:tc>
          <w:tcPr>
            <w:tcW w:w="1577" w:type="pct"/>
            <w:tcBorders>
              <w:left w:val="single" w:sz="4" w:space="0" w:color="auto"/>
            </w:tcBorders>
            <w:shd w:val="clear" w:color="auto" w:fill="auto"/>
            <w:vAlign w:val="center"/>
          </w:tcPr>
          <w:p w14:paraId="4907F47F"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9</w:t>
            </w:r>
          </w:p>
        </w:tc>
      </w:tr>
      <w:tr w:rsidR="00F16D0E" w:rsidRPr="00265791" w14:paraId="4F3F8762" w14:textId="77777777" w:rsidTr="00F75E7E">
        <w:tc>
          <w:tcPr>
            <w:tcW w:w="2007" w:type="pct"/>
          </w:tcPr>
          <w:p w14:paraId="74199348" w14:textId="77777777" w:rsidR="00F16D0E" w:rsidRPr="00265791" w:rsidRDefault="00F16D0E" w:rsidP="00F75E7E">
            <w:pPr>
              <w:pStyle w:val="BMSTableText"/>
              <w:tabs>
                <w:tab w:val="clear" w:pos="360"/>
                <w:tab w:val="left" w:pos="177"/>
                <w:tab w:val="left" w:pos="297"/>
                <w:tab w:val="left" w:pos="375"/>
                <w:tab w:val="left" w:pos="600"/>
              </w:tabs>
              <w:spacing w:beforeLines="20" w:before="48" w:afterLines="20" w:after="48"/>
              <w:ind w:left="177" w:hanging="180"/>
              <w:jc w:val="left"/>
              <w:rPr>
                <w:lang w:val="en-GB"/>
              </w:rPr>
            </w:pPr>
            <w:r w:rsidRPr="00265791">
              <w:rPr>
                <w:b/>
                <w:lang w:val="en-GB"/>
              </w:rPr>
              <w:t>Biochemistry Parameters</w:t>
            </w:r>
          </w:p>
        </w:tc>
        <w:tc>
          <w:tcPr>
            <w:tcW w:w="1416" w:type="pct"/>
            <w:tcBorders>
              <w:right w:val="single" w:sz="4" w:space="0" w:color="auto"/>
            </w:tcBorders>
            <w:shd w:val="clear" w:color="auto" w:fill="auto"/>
            <w:vAlign w:val="center"/>
          </w:tcPr>
          <w:p w14:paraId="14342AEB"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p>
        </w:tc>
        <w:tc>
          <w:tcPr>
            <w:tcW w:w="1577" w:type="pct"/>
            <w:tcBorders>
              <w:left w:val="single" w:sz="4" w:space="0" w:color="auto"/>
            </w:tcBorders>
            <w:shd w:val="clear" w:color="auto" w:fill="auto"/>
            <w:vAlign w:val="center"/>
          </w:tcPr>
          <w:p w14:paraId="305F334B"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p>
        </w:tc>
      </w:tr>
      <w:tr w:rsidR="00F16D0E" w:rsidRPr="00265791" w14:paraId="71404FDA" w14:textId="77777777" w:rsidTr="00F75E7E">
        <w:tc>
          <w:tcPr>
            <w:tcW w:w="2007" w:type="pct"/>
          </w:tcPr>
          <w:p w14:paraId="53398AD9" w14:textId="77777777" w:rsidR="00F16D0E" w:rsidRPr="00265791" w:rsidRDefault="00F16D0E" w:rsidP="00F75E7E">
            <w:pPr>
              <w:pStyle w:val="BMSTableText"/>
              <w:tabs>
                <w:tab w:val="clear" w:pos="360"/>
                <w:tab w:val="left" w:pos="177"/>
                <w:tab w:val="left" w:pos="297"/>
                <w:tab w:val="left" w:pos="375"/>
                <w:tab w:val="left" w:pos="600"/>
              </w:tabs>
              <w:spacing w:beforeLines="20" w:before="48" w:afterLines="20" w:after="48"/>
              <w:ind w:left="177" w:hanging="180"/>
              <w:jc w:val="left"/>
              <w:rPr>
                <w:lang w:val="en-GB"/>
              </w:rPr>
            </w:pPr>
            <w:r w:rsidRPr="00265791">
              <w:rPr>
                <w:lang w:val="en-AU"/>
              </w:rPr>
              <w:tab/>
              <w:t>Hypophosphataemia</w:t>
            </w:r>
          </w:p>
        </w:tc>
        <w:tc>
          <w:tcPr>
            <w:tcW w:w="1416" w:type="pct"/>
            <w:tcBorders>
              <w:right w:val="single" w:sz="4" w:space="0" w:color="auto"/>
            </w:tcBorders>
            <w:shd w:val="clear" w:color="auto" w:fill="auto"/>
            <w:vAlign w:val="center"/>
          </w:tcPr>
          <w:p w14:paraId="61909546"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7</w:t>
            </w:r>
          </w:p>
        </w:tc>
        <w:tc>
          <w:tcPr>
            <w:tcW w:w="1577" w:type="pct"/>
            <w:tcBorders>
              <w:left w:val="single" w:sz="4" w:space="0" w:color="auto"/>
            </w:tcBorders>
            <w:shd w:val="clear" w:color="auto" w:fill="auto"/>
            <w:vAlign w:val="center"/>
          </w:tcPr>
          <w:p w14:paraId="02BB9498"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3</w:t>
            </w:r>
            <w:r>
              <w:rPr>
                <w:lang w:val="en-GB"/>
              </w:rPr>
              <w:t>1</w:t>
            </w:r>
          </w:p>
        </w:tc>
      </w:tr>
      <w:tr w:rsidR="00F16D0E" w:rsidRPr="00265791" w14:paraId="7A92BFF3" w14:textId="77777777" w:rsidTr="00F75E7E">
        <w:tc>
          <w:tcPr>
            <w:tcW w:w="2007" w:type="pct"/>
          </w:tcPr>
          <w:p w14:paraId="4B4446B9" w14:textId="77777777" w:rsidR="00F16D0E" w:rsidRPr="00265791" w:rsidRDefault="00F16D0E" w:rsidP="00F75E7E">
            <w:pPr>
              <w:pStyle w:val="BMSTableText"/>
              <w:tabs>
                <w:tab w:val="clear" w:pos="360"/>
                <w:tab w:val="left" w:pos="177"/>
                <w:tab w:val="left" w:pos="297"/>
                <w:tab w:val="left" w:pos="375"/>
                <w:tab w:val="left" w:pos="600"/>
              </w:tabs>
              <w:spacing w:beforeLines="20" w:before="48" w:afterLines="20" w:after="48"/>
              <w:ind w:left="177" w:hanging="180"/>
              <w:jc w:val="left"/>
              <w:rPr>
                <w:lang w:val="en-GB"/>
              </w:rPr>
            </w:pPr>
            <w:r w:rsidRPr="00265791">
              <w:rPr>
                <w:lang w:val="en-GB"/>
              </w:rPr>
              <w:t xml:space="preserve"> </w:t>
            </w:r>
            <w:r w:rsidRPr="00265791">
              <w:rPr>
                <w:lang w:val="en-GB"/>
              </w:rPr>
              <w:tab/>
              <w:t>Hypokalaemia</w:t>
            </w:r>
          </w:p>
        </w:tc>
        <w:tc>
          <w:tcPr>
            <w:tcW w:w="1416" w:type="pct"/>
            <w:tcBorders>
              <w:right w:val="single" w:sz="4" w:space="0" w:color="auto"/>
            </w:tcBorders>
            <w:shd w:val="clear" w:color="auto" w:fill="auto"/>
            <w:vAlign w:val="center"/>
          </w:tcPr>
          <w:p w14:paraId="155A0099"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0</w:t>
            </w:r>
          </w:p>
        </w:tc>
        <w:tc>
          <w:tcPr>
            <w:tcW w:w="1577" w:type="pct"/>
            <w:tcBorders>
              <w:left w:val="single" w:sz="4" w:space="0" w:color="auto"/>
            </w:tcBorders>
            <w:shd w:val="clear" w:color="auto" w:fill="auto"/>
            <w:vAlign w:val="center"/>
          </w:tcPr>
          <w:p w14:paraId="38D5BBCF"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3</w:t>
            </w:r>
          </w:p>
        </w:tc>
      </w:tr>
      <w:tr w:rsidR="00F16D0E" w:rsidRPr="00265791" w14:paraId="77C61524" w14:textId="77777777" w:rsidTr="00F75E7E">
        <w:tc>
          <w:tcPr>
            <w:tcW w:w="2007" w:type="pct"/>
          </w:tcPr>
          <w:p w14:paraId="6ADABF9E" w14:textId="77777777" w:rsidR="00F16D0E" w:rsidRPr="00265791" w:rsidRDefault="00F16D0E" w:rsidP="00F75E7E">
            <w:pPr>
              <w:pStyle w:val="BMSTableText"/>
              <w:tabs>
                <w:tab w:val="clear" w:pos="360"/>
                <w:tab w:val="left" w:pos="177"/>
                <w:tab w:val="left" w:pos="297"/>
                <w:tab w:val="left" w:pos="375"/>
                <w:tab w:val="left" w:pos="600"/>
              </w:tabs>
              <w:spacing w:beforeLines="20" w:before="48" w:afterLines="20" w:after="48"/>
              <w:ind w:left="177" w:hanging="180"/>
              <w:jc w:val="left"/>
              <w:rPr>
                <w:lang w:val="en-GB"/>
              </w:rPr>
            </w:pPr>
            <w:r w:rsidRPr="00265791">
              <w:rPr>
                <w:lang w:val="en-GB"/>
              </w:rPr>
              <w:tab/>
              <w:t>Hypocalcaemia</w:t>
            </w:r>
          </w:p>
        </w:tc>
        <w:tc>
          <w:tcPr>
            <w:tcW w:w="1416" w:type="pct"/>
            <w:tcBorders>
              <w:right w:val="single" w:sz="4" w:space="0" w:color="auto"/>
            </w:tcBorders>
            <w:shd w:val="clear" w:color="auto" w:fill="auto"/>
            <w:vAlign w:val="center"/>
          </w:tcPr>
          <w:p w14:paraId="64F5F16E"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Pr>
                <w:lang w:val="en-GB"/>
              </w:rPr>
              <w:t>4</w:t>
            </w:r>
          </w:p>
        </w:tc>
        <w:tc>
          <w:tcPr>
            <w:tcW w:w="1577" w:type="pct"/>
            <w:tcBorders>
              <w:left w:val="single" w:sz="4" w:space="0" w:color="auto"/>
            </w:tcBorders>
            <w:shd w:val="clear" w:color="auto" w:fill="auto"/>
            <w:vAlign w:val="center"/>
          </w:tcPr>
          <w:p w14:paraId="4A3BEB7E"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Pr>
                <w:lang w:val="en-GB"/>
              </w:rPr>
              <w:t>3</w:t>
            </w:r>
          </w:p>
        </w:tc>
      </w:tr>
      <w:tr w:rsidR="00F16D0E" w:rsidRPr="00265791" w14:paraId="024E33D5" w14:textId="77777777" w:rsidTr="00F75E7E">
        <w:tc>
          <w:tcPr>
            <w:tcW w:w="2007" w:type="pct"/>
          </w:tcPr>
          <w:p w14:paraId="0525F427" w14:textId="77777777" w:rsidR="00F16D0E" w:rsidRPr="00265791" w:rsidRDefault="00F16D0E" w:rsidP="00F75E7E">
            <w:pPr>
              <w:pStyle w:val="BMSTableText"/>
              <w:tabs>
                <w:tab w:val="clear" w:pos="360"/>
                <w:tab w:val="left" w:pos="386"/>
              </w:tabs>
              <w:spacing w:beforeLines="20" w:before="48" w:afterLines="20" w:after="48"/>
              <w:jc w:val="left"/>
              <w:rPr>
                <w:lang w:val="en-GB"/>
              </w:rPr>
            </w:pPr>
            <w:r w:rsidRPr="00265791">
              <w:rPr>
                <w:lang w:val="en-GB"/>
              </w:rPr>
              <w:t xml:space="preserve">    Elevated SGPT (ALT)</w:t>
            </w:r>
          </w:p>
        </w:tc>
        <w:tc>
          <w:tcPr>
            <w:tcW w:w="1416" w:type="pct"/>
            <w:tcBorders>
              <w:right w:val="single" w:sz="4" w:space="0" w:color="auto"/>
            </w:tcBorders>
            <w:shd w:val="clear" w:color="auto" w:fill="auto"/>
            <w:vAlign w:val="center"/>
          </w:tcPr>
          <w:p w14:paraId="1C142934"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&lt; 1</w:t>
            </w:r>
          </w:p>
        </w:tc>
        <w:tc>
          <w:tcPr>
            <w:tcW w:w="1577" w:type="pct"/>
            <w:tcBorders>
              <w:left w:val="single" w:sz="4" w:space="0" w:color="auto"/>
            </w:tcBorders>
            <w:shd w:val="clear" w:color="auto" w:fill="auto"/>
            <w:vAlign w:val="center"/>
          </w:tcPr>
          <w:p w14:paraId="4C7D69BC"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2</w:t>
            </w:r>
          </w:p>
        </w:tc>
      </w:tr>
      <w:tr w:rsidR="00F16D0E" w:rsidRPr="00265791" w14:paraId="37B44E66" w14:textId="77777777" w:rsidTr="00F75E7E">
        <w:tc>
          <w:tcPr>
            <w:tcW w:w="2007" w:type="pct"/>
          </w:tcPr>
          <w:p w14:paraId="0D272063" w14:textId="77777777" w:rsidR="00F16D0E" w:rsidRPr="00265791" w:rsidRDefault="00F16D0E" w:rsidP="00F75E7E">
            <w:pPr>
              <w:pStyle w:val="BMSTableText"/>
              <w:tabs>
                <w:tab w:val="clear" w:pos="360"/>
                <w:tab w:val="left" w:pos="177"/>
                <w:tab w:val="left" w:pos="375"/>
                <w:tab w:val="left" w:pos="600"/>
              </w:tabs>
              <w:spacing w:beforeLines="20" w:before="48" w:afterLines="20" w:after="48"/>
              <w:ind w:left="177" w:hanging="180"/>
              <w:jc w:val="left"/>
              <w:rPr>
                <w:lang w:val="en-GB"/>
              </w:rPr>
            </w:pPr>
            <w:r w:rsidRPr="00265791">
              <w:rPr>
                <w:lang w:val="en-GB"/>
              </w:rPr>
              <w:tab/>
              <w:t>Elevated SGOT (AST)</w:t>
            </w:r>
          </w:p>
        </w:tc>
        <w:tc>
          <w:tcPr>
            <w:tcW w:w="1416" w:type="pct"/>
            <w:tcBorders>
              <w:right w:val="single" w:sz="4" w:space="0" w:color="auto"/>
            </w:tcBorders>
            <w:shd w:val="clear" w:color="auto" w:fill="auto"/>
            <w:vAlign w:val="center"/>
          </w:tcPr>
          <w:p w14:paraId="31123DAD"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&lt; 1</w:t>
            </w:r>
          </w:p>
        </w:tc>
        <w:tc>
          <w:tcPr>
            <w:tcW w:w="1577" w:type="pct"/>
            <w:tcBorders>
              <w:left w:val="single" w:sz="4" w:space="0" w:color="auto"/>
            </w:tcBorders>
            <w:shd w:val="clear" w:color="auto" w:fill="auto"/>
            <w:vAlign w:val="center"/>
          </w:tcPr>
          <w:p w14:paraId="23D4D9CD"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1</w:t>
            </w:r>
          </w:p>
        </w:tc>
      </w:tr>
      <w:tr w:rsidR="00F16D0E" w:rsidRPr="00265791" w14:paraId="6F22E7DF" w14:textId="77777777" w:rsidTr="00F75E7E">
        <w:tc>
          <w:tcPr>
            <w:tcW w:w="2007" w:type="pct"/>
          </w:tcPr>
          <w:p w14:paraId="1B3074BD" w14:textId="77777777" w:rsidR="00F16D0E" w:rsidRPr="00265791" w:rsidRDefault="00F16D0E" w:rsidP="00F75E7E">
            <w:pPr>
              <w:pStyle w:val="BMSTableText"/>
              <w:keepNext/>
              <w:tabs>
                <w:tab w:val="clear" w:pos="360"/>
                <w:tab w:val="left" w:pos="177"/>
                <w:tab w:val="left" w:pos="375"/>
                <w:tab w:val="left" w:pos="600"/>
              </w:tabs>
              <w:spacing w:beforeLines="20" w:before="48" w:afterLines="20" w:after="48"/>
              <w:ind w:left="177" w:hanging="180"/>
              <w:jc w:val="left"/>
              <w:rPr>
                <w:lang w:val="en-GB"/>
              </w:rPr>
            </w:pPr>
            <w:r w:rsidRPr="00265791">
              <w:rPr>
                <w:lang w:val="en-GB"/>
              </w:rPr>
              <w:tab/>
              <w:t>Elevated Bilirubin</w:t>
            </w:r>
          </w:p>
        </w:tc>
        <w:tc>
          <w:tcPr>
            <w:tcW w:w="1416" w:type="pct"/>
            <w:tcBorders>
              <w:right w:val="single" w:sz="4" w:space="0" w:color="auto"/>
            </w:tcBorders>
            <w:shd w:val="clear" w:color="auto" w:fill="auto"/>
            <w:vAlign w:val="center"/>
          </w:tcPr>
          <w:p w14:paraId="2CFB3201" w14:textId="77777777" w:rsidR="00F16D0E" w:rsidRPr="00265791" w:rsidRDefault="00F16D0E" w:rsidP="00F75E7E">
            <w:pPr>
              <w:pStyle w:val="BMSTableText"/>
              <w:keepNext/>
              <w:tabs>
                <w:tab w:val="clear" w:pos="360"/>
                <w:tab w:val="left" w:pos="375"/>
                <w:tab w:val="left" w:pos="600"/>
              </w:tabs>
              <w:spacing w:beforeLines="20" w:before="48" w:afterLines="20" w:after="48"/>
              <w:rPr>
                <w:lang w:val="en-GB"/>
              </w:rPr>
            </w:pPr>
            <w:r w:rsidRPr="00265791">
              <w:rPr>
                <w:lang w:val="en-GB"/>
              </w:rPr>
              <w:t>1</w:t>
            </w:r>
          </w:p>
        </w:tc>
        <w:tc>
          <w:tcPr>
            <w:tcW w:w="1577" w:type="pct"/>
            <w:tcBorders>
              <w:left w:val="single" w:sz="4" w:space="0" w:color="auto"/>
            </w:tcBorders>
            <w:shd w:val="clear" w:color="auto" w:fill="auto"/>
            <w:vAlign w:val="center"/>
          </w:tcPr>
          <w:p w14:paraId="3BBA24CF" w14:textId="77777777" w:rsidR="00F16D0E" w:rsidRPr="00265791" w:rsidRDefault="00F16D0E" w:rsidP="00F75E7E">
            <w:pPr>
              <w:pStyle w:val="BMSTableText"/>
              <w:keepNext/>
              <w:tabs>
                <w:tab w:val="clear" w:pos="360"/>
                <w:tab w:val="left" w:pos="375"/>
                <w:tab w:val="left" w:pos="600"/>
              </w:tabs>
              <w:spacing w:beforeLines="20" w:before="48" w:afterLines="20" w:after="48"/>
              <w:rPr>
                <w:lang w:val="en-GB"/>
              </w:rPr>
            </w:pPr>
            <w:r w:rsidRPr="00265791">
              <w:rPr>
                <w:lang w:val="en-GB"/>
              </w:rPr>
              <w:t>0</w:t>
            </w:r>
          </w:p>
        </w:tc>
      </w:tr>
      <w:tr w:rsidR="00F16D0E" w:rsidRPr="00265791" w14:paraId="548ECFC5" w14:textId="77777777" w:rsidTr="00F75E7E">
        <w:tc>
          <w:tcPr>
            <w:tcW w:w="2007" w:type="pct"/>
          </w:tcPr>
          <w:p w14:paraId="29264B93" w14:textId="77777777" w:rsidR="00F16D0E" w:rsidRPr="00265791" w:rsidRDefault="00F16D0E" w:rsidP="00F75E7E">
            <w:pPr>
              <w:pStyle w:val="BMSTableText"/>
              <w:tabs>
                <w:tab w:val="clear" w:pos="360"/>
                <w:tab w:val="left" w:pos="177"/>
                <w:tab w:val="left" w:pos="375"/>
                <w:tab w:val="left" w:pos="600"/>
              </w:tabs>
              <w:spacing w:beforeLines="20" w:before="48" w:afterLines="20" w:after="48"/>
              <w:ind w:left="177" w:hanging="180"/>
              <w:jc w:val="left"/>
              <w:rPr>
                <w:lang w:val="en-GB"/>
              </w:rPr>
            </w:pPr>
            <w:r w:rsidRPr="00265791">
              <w:rPr>
                <w:lang w:val="en-GB"/>
              </w:rPr>
              <w:tab/>
              <w:t>Elevated Creatinine</w:t>
            </w:r>
          </w:p>
        </w:tc>
        <w:tc>
          <w:tcPr>
            <w:tcW w:w="1416" w:type="pct"/>
            <w:tcBorders>
              <w:right w:val="single" w:sz="4" w:space="0" w:color="auto"/>
            </w:tcBorders>
            <w:shd w:val="clear" w:color="auto" w:fill="auto"/>
            <w:vAlign w:val="center"/>
          </w:tcPr>
          <w:p w14:paraId="3D2E2018"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1</w:t>
            </w:r>
          </w:p>
        </w:tc>
        <w:tc>
          <w:tcPr>
            <w:tcW w:w="1577" w:type="pct"/>
            <w:tcBorders>
              <w:left w:val="single" w:sz="4" w:space="0" w:color="auto"/>
            </w:tcBorders>
            <w:shd w:val="clear" w:color="auto" w:fill="auto"/>
            <w:vAlign w:val="center"/>
          </w:tcPr>
          <w:p w14:paraId="2D91FC75" w14:textId="77777777" w:rsidR="00F16D0E" w:rsidRPr="00265791" w:rsidRDefault="00F16D0E" w:rsidP="00F75E7E">
            <w:pPr>
              <w:pStyle w:val="BMSTableText"/>
              <w:tabs>
                <w:tab w:val="clear" w:pos="360"/>
                <w:tab w:val="left" w:pos="375"/>
                <w:tab w:val="left" w:pos="600"/>
              </w:tabs>
              <w:spacing w:beforeLines="20" w:before="48" w:afterLines="20" w:after="48"/>
              <w:rPr>
                <w:lang w:val="en-GB"/>
              </w:rPr>
            </w:pPr>
            <w:r w:rsidRPr="00265791">
              <w:rPr>
                <w:lang w:val="en-GB"/>
              </w:rPr>
              <w:t>1</w:t>
            </w:r>
          </w:p>
        </w:tc>
      </w:tr>
      <w:tr w:rsidR="00F16D0E" w:rsidRPr="00F16D0E" w14:paraId="0B73E495" w14:textId="77777777" w:rsidTr="00F75E7E">
        <w:tc>
          <w:tcPr>
            <w:tcW w:w="5000" w:type="pct"/>
            <w:gridSpan w:val="3"/>
            <w:tcBorders>
              <w:top w:val="double" w:sz="4" w:space="0" w:color="auto"/>
            </w:tcBorders>
          </w:tcPr>
          <w:p w14:paraId="05C5AC69" w14:textId="77777777" w:rsidR="00F16D0E" w:rsidRPr="00F16D0E" w:rsidRDefault="00F16D0E" w:rsidP="00F75E7E">
            <w:pPr>
              <w:pStyle w:val="BMSTableText"/>
              <w:jc w:val="both"/>
              <w:rPr>
                <w:sz w:val="18"/>
                <w:szCs w:val="18"/>
                <w:lang w:val="en-GB"/>
              </w:rPr>
            </w:pPr>
            <w:r w:rsidRPr="00F16D0E">
              <w:rPr>
                <w:sz w:val="18"/>
                <w:szCs w:val="18"/>
              </w:rPr>
              <w:t xml:space="preserve">CTC grades: neutropenia (Grade 3 ≥ 0.5 – &lt; 1.0 × 109/l, Grade 4 &lt; 0.5 × 109/l); thrombocytopenia (Grade 3 ≥ 25 – &lt; 50 × 109/l, Grade 4 &lt; 25 × 109/l); anaemia (haemoglobin Grade 3 ≥ 65 – &lt; 80 g/l, Grade 4 &lt; 65 g/l); elevated creatinine (Grade 3 &gt; 3 – 6 × upper limit of normal range (ULN), Grade 4 &gt; 6 × ULN); elevated bilirubin (Grade 3 &gt; 3 – 10 × ULN, Grade 4 &gt; 10 × ULN); elevated SGOT or SGPT (Grade 3 &gt; 5 – 20 × ULN, Grade 4 &gt; 20 × ULN); hypocalcaemia (Grade 3 &lt; 7.0 – 6.0 mg/dl, Grade 4 &lt; 6.0 mg/dl); hypophosphataemia (Grade 3 &lt; 2.0 – 1.0 mg/dl, </w:t>
            </w:r>
            <w:r w:rsidRPr="00F16D0E">
              <w:rPr>
                <w:sz w:val="18"/>
                <w:szCs w:val="18"/>
              </w:rPr>
              <w:lastRenderedPageBreak/>
              <w:t>Grade 4 &lt; 1.0 mg/dl); hypokalaemia (Grade 3 &lt; 3.0 – 2.5 mmol/l, Grade 4 &lt; 2.5 mmol/l).</w:t>
            </w:r>
          </w:p>
        </w:tc>
      </w:tr>
    </w:tbl>
    <w:p w14:paraId="7814D096" w14:textId="77777777" w:rsidR="00F16D0E" w:rsidRPr="00265791" w:rsidRDefault="00F16D0E" w:rsidP="00F16D0E">
      <w:pPr>
        <w:pStyle w:val="EMEABodyText"/>
        <w:keepNext/>
        <w:rPr>
          <w:sz w:val="24"/>
          <w:u w:val="single"/>
        </w:rPr>
      </w:pPr>
    </w:p>
    <w:p w14:paraId="51930DFE" w14:textId="77777777" w:rsidR="00F16D0E" w:rsidRPr="00265791" w:rsidRDefault="00F16D0E" w:rsidP="00F16D0E">
      <w:pPr>
        <w:pStyle w:val="Heading4"/>
      </w:pPr>
      <w:r w:rsidRPr="00265791">
        <w:t>Haematology and Biochemistry in patients with resistance or intolerance to prior imatinib therapy:</w:t>
      </w:r>
    </w:p>
    <w:p w14:paraId="5A186FB1" w14:textId="656DE8FF" w:rsidR="00F16D0E" w:rsidRDefault="00F16D0E" w:rsidP="00F16D0E">
      <w:pPr>
        <w:rPr>
          <w:lang w:val="en-GB"/>
        </w:rPr>
      </w:pPr>
      <w:r w:rsidRPr="00265791">
        <w:rPr>
          <w:lang w:val="en-GB"/>
        </w:rPr>
        <w:t xml:space="preserve">Table </w:t>
      </w:r>
      <w:r w:rsidR="002B0D52">
        <w:rPr>
          <w:lang w:val="en-GB"/>
        </w:rPr>
        <w:t>3</w:t>
      </w:r>
      <w:r w:rsidRPr="00265791">
        <w:rPr>
          <w:lang w:val="en-GB"/>
        </w:rPr>
        <w:t xml:space="preserve"> shows laboratory findings from</w:t>
      </w:r>
      <w:r>
        <w:rPr>
          <w:lang w:val="en-GB"/>
        </w:rPr>
        <w:t xml:space="preserve"> </w:t>
      </w:r>
      <w:r w:rsidRPr="00265791">
        <w:rPr>
          <w:lang w:val="en-GB"/>
        </w:rPr>
        <w:t xml:space="preserve">clinical trials in </w:t>
      </w:r>
      <w:r>
        <w:rPr>
          <w:lang w:val="en-GB"/>
        </w:rPr>
        <w:t xml:space="preserve">CML patients with imatinib resistance or intolerance received at 24 months of follow up. </w:t>
      </w:r>
    </w:p>
    <w:p w14:paraId="449060DE" w14:textId="77777777" w:rsidR="00CB6CB4" w:rsidRPr="00265791" w:rsidRDefault="00CB6CB4" w:rsidP="00F16D0E">
      <w:pPr>
        <w:rPr>
          <w:lang w:val="en-GB"/>
        </w:rPr>
      </w:pPr>
    </w:p>
    <w:tbl>
      <w:tblPr>
        <w:tblW w:w="9404" w:type="dxa"/>
        <w:jc w:val="center"/>
        <w:tblBorders>
          <w:bottom w:val="double" w:sz="4" w:space="0" w:color="auto"/>
        </w:tblBorders>
        <w:tblLayout w:type="fixed"/>
        <w:tblCellMar>
          <w:left w:w="40" w:type="dxa"/>
          <w:right w:w="40" w:type="dxa"/>
        </w:tblCellMar>
        <w:tblLook w:val="0000" w:firstRow="0" w:lastRow="0" w:firstColumn="0" w:lastColumn="0" w:noHBand="0" w:noVBand="0"/>
      </w:tblPr>
      <w:tblGrid>
        <w:gridCol w:w="2376"/>
        <w:gridCol w:w="1182"/>
        <w:gridCol w:w="1311"/>
        <w:gridCol w:w="169"/>
        <w:gridCol w:w="1497"/>
        <w:gridCol w:w="26"/>
        <w:gridCol w:w="1444"/>
        <w:gridCol w:w="1399"/>
      </w:tblGrid>
      <w:tr w:rsidR="00F16D0E" w:rsidRPr="00F16D0E" w14:paraId="68DEFC74" w14:textId="77777777" w:rsidTr="00F75E7E">
        <w:trPr>
          <w:trHeight w:val="606"/>
          <w:tblHeader/>
          <w:jc w:val="center"/>
        </w:trPr>
        <w:tc>
          <w:tcPr>
            <w:tcW w:w="5000" w:type="pct"/>
            <w:gridSpan w:val="8"/>
            <w:tcBorders>
              <w:bottom w:val="double" w:sz="4" w:space="0" w:color="auto"/>
            </w:tcBorders>
          </w:tcPr>
          <w:p w14:paraId="7681B3E3" w14:textId="6CE4D70C" w:rsidR="00F16D0E" w:rsidRPr="00F16D0E" w:rsidRDefault="00F16D0E" w:rsidP="00F75E7E">
            <w:pPr>
              <w:pStyle w:val="BMSTableTitle"/>
              <w:spacing w:before="240" w:after="0"/>
              <w:rPr>
                <w:sz w:val="22"/>
                <w:szCs w:val="22"/>
              </w:rPr>
            </w:pPr>
            <w:r w:rsidRPr="00F16D0E">
              <w:rPr>
                <w:sz w:val="22"/>
                <w:szCs w:val="22"/>
              </w:rPr>
              <w:t xml:space="preserve">Table </w:t>
            </w:r>
            <w:r w:rsidR="002B0D52">
              <w:rPr>
                <w:sz w:val="22"/>
                <w:szCs w:val="22"/>
              </w:rPr>
              <w:t>3</w:t>
            </w:r>
            <w:r w:rsidRPr="00F16D0E">
              <w:rPr>
                <w:sz w:val="22"/>
                <w:szCs w:val="22"/>
              </w:rPr>
              <w:t>:</w:t>
            </w:r>
            <w:r w:rsidRPr="00F16D0E">
              <w:rPr>
                <w:sz w:val="22"/>
                <w:szCs w:val="22"/>
              </w:rPr>
              <w:tab/>
              <w:t>CTC Grades 3/4 Laboratory Abnormalities in Studies of Patients with CML Resistant or Intolerant to Prior Imatinib Therapy</w:t>
            </w:r>
            <w:r w:rsidRPr="00F16D0E">
              <w:rPr>
                <w:sz w:val="22"/>
                <w:szCs w:val="22"/>
                <w:vertAlign w:val="superscript"/>
              </w:rPr>
              <w:t>a</w:t>
            </w:r>
          </w:p>
        </w:tc>
      </w:tr>
      <w:tr w:rsidR="00F16D0E" w:rsidRPr="00265791" w14:paraId="19645F7A" w14:textId="77777777" w:rsidTr="00F75E7E">
        <w:trPr>
          <w:trHeight w:val="468"/>
          <w:tblHeader/>
          <w:jc w:val="center"/>
        </w:trPr>
        <w:tc>
          <w:tcPr>
            <w:tcW w:w="1263" w:type="pct"/>
            <w:tcBorders>
              <w:top w:val="nil"/>
              <w:bottom w:val="single" w:sz="4" w:space="0" w:color="auto"/>
            </w:tcBorders>
          </w:tcPr>
          <w:p w14:paraId="4D87EB0C" w14:textId="77777777" w:rsidR="00F16D0E" w:rsidRPr="00265791" w:rsidRDefault="00F16D0E" w:rsidP="00F75E7E">
            <w:pPr>
              <w:pStyle w:val="BMSTableHeader"/>
              <w:keepNext/>
              <w:keepLines/>
              <w:spacing w:before="0" w:after="0"/>
              <w:jc w:val="left"/>
            </w:pPr>
          </w:p>
        </w:tc>
        <w:tc>
          <w:tcPr>
            <w:tcW w:w="628" w:type="pct"/>
            <w:tcBorders>
              <w:top w:val="double" w:sz="4" w:space="0" w:color="auto"/>
              <w:bottom w:val="single" w:sz="6" w:space="0" w:color="auto"/>
            </w:tcBorders>
            <w:vAlign w:val="bottom"/>
          </w:tcPr>
          <w:p w14:paraId="7250FD54" w14:textId="77777777" w:rsidR="00F16D0E" w:rsidRPr="00265791" w:rsidRDefault="00F16D0E" w:rsidP="00F75E7E">
            <w:pPr>
              <w:pStyle w:val="BMSTableHeader"/>
              <w:keepNext/>
              <w:keepLines/>
              <w:spacing w:before="0" w:after="0"/>
            </w:pPr>
            <w:r w:rsidRPr="00265791">
              <w:t xml:space="preserve">Chronic </w:t>
            </w:r>
            <w:r>
              <w:t>Phase</w:t>
            </w:r>
            <w:r w:rsidRPr="006F2578">
              <w:rPr>
                <w:vertAlign w:val="superscript"/>
              </w:rPr>
              <w:t>b</w:t>
            </w:r>
          </w:p>
          <w:p w14:paraId="281374C8" w14:textId="77777777" w:rsidR="00F16D0E" w:rsidRPr="00265791" w:rsidRDefault="00F16D0E" w:rsidP="00F75E7E">
            <w:pPr>
              <w:pStyle w:val="BMSTableHeader"/>
              <w:keepNext/>
              <w:keepLines/>
              <w:spacing w:before="0" w:after="0"/>
            </w:pPr>
            <w:r w:rsidRPr="00265791">
              <w:t>(n=</w:t>
            </w:r>
            <w:r>
              <w:t>165</w:t>
            </w:r>
            <w:r w:rsidRPr="00265791">
              <w:t>)</w:t>
            </w:r>
          </w:p>
        </w:tc>
        <w:tc>
          <w:tcPr>
            <w:tcW w:w="697" w:type="pct"/>
            <w:tcBorders>
              <w:top w:val="double" w:sz="4" w:space="0" w:color="auto"/>
              <w:bottom w:val="single" w:sz="6" w:space="0" w:color="auto"/>
            </w:tcBorders>
            <w:vAlign w:val="bottom"/>
          </w:tcPr>
          <w:p w14:paraId="0D73DA7A" w14:textId="77777777" w:rsidR="00F16D0E" w:rsidRPr="00265791" w:rsidRDefault="00F16D0E" w:rsidP="00F75E7E">
            <w:pPr>
              <w:pStyle w:val="BMSTableHeader"/>
              <w:keepNext/>
              <w:keepLines/>
              <w:spacing w:before="0" w:after="0"/>
            </w:pPr>
            <w:r w:rsidRPr="00265791">
              <w:t xml:space="preserve">Accelerated </w:t>
            </w:r>
            <w:r>
              <w:t>Phase</w:t>
            </w:r>
            <w:r w:rsidRPr="006F2578">
              <w:rPr>
                <w:vertAlign w:val="superscript"/>
              </w:rPr>
              <w:t>c</w:t>
            </w:r>
          </w:p>
          <w:p w14:paraId="3091282D" w14:textId="77777777" w:rsidR="00F16D0E" w:rsidRPr="00265791" w:rsidRDefault="00F16D0E" w:rsidP="00F75E7E">
            <w:pPr>
              <w:pStyle w:val="BMSTableHeader"/>
              <w:keepNext/>
              <w:keepLines/>
              <w:spacing w:before="0" w:after="0"/>
            </w:pPr>
            <w:r w:rsidRPr="00265791">
              <w:t>(n=</w:t>
            </w:r>
            <w:r>
              <w:t>157</w:t>
            </w:r>
            <w:r w:rsidRPr="00265791">
              <w:t>)</w:t>
            </w:r>
          </w:p>
        </w:tc>
        <w:tc>
          <w:tcPr>
            <w:tcW w:w="900" w:type="pct"/>
            <w:gridSpan w:val="3"/>
            <w:tcBorders>
              <w:top w:val="double" w:sz="4" w:space="0" w:color="auto"/>
              <w:bottom w:val="single" w:sz="6" w:space="0" w:color="auto"/>
            </w:tcBorders>
            <w:vAlign w:val="bottom"/>
          </w:tcPr>
          <w:p w14:paraId="4BBF267B" w14:textId="77777777" w:rsidR="00F16D0E" w:rsidRPr="00265791" w:rsidRDefault="00F16D0E" w:rsidP="00F75E7E">
            <w:pPr>
              <w:pStyle w:val="BMSTableHeader"/>
              <w:keepNext/>
              <w:keepLines/>
              <w:spacing w:before="0" w:after="0"/>
            </w:pPr>
            <w:r w:rsidRPr="00265791">
              <w:t>Myeloid Blast</w:t>
            </w:r>
            <w:r>
              <w:t xml:space="preserve"> Phase</w:t>
            </w:r>
            <w:r w:rsidRPr="006F2578">
              <w:rPr>
                <w:vertAlign w:val="superscript"/>
              </w:rPr>
              <w:t>c</w:t>
            </w:r>
            <w:r w:rsidRPr="00265791">
              <w:t xml:space="preserve"> </w:t>
            </w:r>
          </w:p>
          <w:p w14:paraId="7F34183E" w14:textId="77777777" w:rsidR="00F16D0E" w:rsidRPr="00265791" w:rsidRDefault="00F16D0E" w:rsidP="00F75E7E">
            <w:pPr>
              <w:pStyle w:val="BMSTableHeader"/>
              <w:keepNext/>
              <w:keepLines/>
              <w:spacing w:before="0" w:after="0"/>
            </w:pPr>
            <w:r w:rsidRPr="00265791">
              <w:t>(n=</w:t>
            </w:r>
            <w:r>
              <w:t>74</w:t>
            </w:r>
            <w:r w:rsidRPr="00265791">
              <w:t>)</w:t>
            </w:r>
          </w:p>
        </w:tc>
        <w:tc>
          <w:tcPr>
            <w:tcW w:w="768" w:type="pct"/>
            <w:tcBorders>
              <w:top w:val="double" w:sz="4" w:space="0" w:color="auto"/>
              <w:bottom w:val="single" w:sz="6" w:space="0" w:color="auto"/>
            </w:tcBorders>
            <w:vAlign w:val="bottom"/>
          </w:tcPr>
          <w:p w14:paraId="0C930161" w14:textId="77777777" w:rsidR="00F16D0E" w:rsidRPr="00265791" w:rsidRDefault="00F16D0E" w:rsidP="00F75E7E">
            <w:pPr>
              <w:pStyle w:val="BMSTableHeader"/>
              <w:keepNext/>
              <w:keepLines/>
              <w:spacing w:before="0" w:after="0"/>
            </w:pPr>
            <w:r w:rsidRPr="00265791">
              <w:t xml:space="preserve">Lymphoid Blast </w:t>
            </w:r>
            <w:r>
              <w:t>Phase</w:t>
            </w:r>
            <w:r w:rsidRPr="006F2578">
              <w:rPr>
                <w:vertAlign w:val="superscript"/>
              </w:rPr>
              <w:t>c</w:t>
            </w:r>
            <w:r w:rsidRPr="00265791">
              <w:t xml:space="preserve"> (n=</w:t>
            </w:r>
            <w:r>
              <w:t>33</w:t>
            </w:r>
            <w:r w:rsidRPr="00265791">
              <w:t xml:space="preserve">) </w:t>
            </w:r>
          </w:p>
        </w:tc>
        <w:tc>
          <w:tcPr>
            <w:tcW w:w="745" w:type="pct"/>
            <w:tcBorders>
              <w:top w:val="double" w:sz="4" w:space="0" w:color="auto"/>
              <w:bottom w:val="single" w:sz="6" w:space="0" w:color="auto"/>
            </w:tcBorders>
            <w:vAlign w:val="bottom"/>
          </w:tcPr>
          <w:p w14:paraId="7EA8ADA4" w14:textId="77777777" w:rsidR="00F16D0E" w:rsidRDefault="00F16D0E" w:rsidP="00F75E7E">
            <w:pPr>
              <w:pStyle w:val="BMSTableHeader"/>
              <w:keepNext/>
              <w:keepLines/>
              <w:spacing w:before="0" w:after="0"/>
            </w:pPr>
            <w:r w:rsidRPr="00265791">
              <w:t>Ph+ ALL</w:t>
            </w:r>
            <w:r w:rsidRPr="006231E9">
              <w:rPr>
                <w:vertAlign w:val="superscript"/>
              </w:rPr>
              <w:t>c</w:t>
            </w:r>
          </w:p>
          <w:p w14:paraId="281A70C1" w14:textId="77777777" w:rsidR="00F16D0E" w:rsidRPr="00265791" w:rsidRDefault="00F16D0E" w:rsidP="00F75E7E">
            <w:pPr>
              <w:pStyle w:val="BMSTableHeader"/>
              <w:keepNext/>
              <w:keepLines/>
              <w:spacing w:before="0" w:after="0"/>
            </w:pPr>
            <w:r w:rsidRPr="00265791">
              <w:t>(n=</w:t>
            </w:r>
            <w:r>
              <w:t>40</w:t>
            </w:r>
            <w:r w:rsidRPr="00265791">
              <w:t>)</w:t>
            </w:r>
          </w:p>
        </w:tc>
      </w:tr>
      <w:tr w:rsidR="00F16D0E" w:rsidRPr="00265791" w14:paraId="1BF82C8A" w14:textId="77777777" w:rsidTr="00F75E7E">
        <w:trPr>
          <w:jc w:val="center"/>
        </w:trPr>
        <w:tc>
          <w:tcPr>
            <w:tcW w:w="1263" w:type="pct"/>
            <w:tcBorders>
              <w:top w:val="single" w:sz="4" w:space="0" w:color="auto"/>
              <w:bottom w:val="single" w:sz="6" w:space="0" w:color="auto"/>
            </w:tcBorders>
          </w:tcPr>
          <w:p w14:paraId="3AAF8A1C" w14:textId="77777777" w:rsidR="00F16D0E" w:rsidRPr="00265791" w:rsidRDefault="00F16D0E" w:rsidP="00F75E7E">
            <w:pPr>
              <w:pStyle w:val="BMSTableHeader"/>
              <w:keepNext/>
              <w:keepLines/>
              <w:spacing w:before="20" w:after="20"/>
            </w:pPr>
          </w:p>
        </w:tc>
        <w:tc>
          <w:tcPr>
            <w:tcW w:w="3737" w:type="pct"/>
            <w:gridSpan w:val="7"/>
            <w:tcBorders>
              <w:top w:val="single" w:sz="6" w:space="0" w:color="auto"/>
              <w:bottom w:val="single" w:sz="6" w:space="0" w:color="auto"/>
            </w:tcBorders>
          </w:tcPr>
          <w:p w14:paraId="7B523640" w14:textId="77777777" w:rsidR="00F16D0E" w:rsidRPr="00265791" w:rsidRDefault="00F16D0E" w:rsidP="00F75E7E">
            <w:pPr>
              <w:pStyle w:val="BMSTableHeader"/>
              <w:keepNext/>
              <w:keepLines/>
              <w:spacing w:before="0" w:after="0"/>
            </w:pPr>
            <w:r w:rsidRPr="00265791">
              <w:t>Percent (%) of Patients</w:t>
            </w:r>
          </w:p>
        </w:tc>
      </w:tr>
      <w:tr w:rsidR="00F16D0E" w:rsidRPr="00265791" w14:paraId="2ACE4A47" w14:textId="77777777" w:rsidTr="00F75E7E">
        <w:trPr>
          <w:jc w:val="center"/>
        </w:trPr>
        <w:tc>
          <w:tcPr>
            <w:tcW w:w="1263" w:type="pct"/>
            <w:tcBorders>
              <w:top w:val="single" w:sz="6" w:space="0" w:color="auto"/>
            </w:tcBorders>
          </w:tcPr>
          <w:p w14:paraId="1AD16434" w14:textId="77777777" w:rsidR="00F16D0E" w:rsidRPr="00265791" w:rsidRDefault="00F16D0E" w:rsidP="00F75E7E">
            <w:pPr>
              <w:pStyle w:val="BMSTableText"/>
              <w:keepNext/>
              <w:keepLines/>
              <w:spacing w:beforeLines="20" w:before="48" w:afterLines="20" w:after="48"/>
              <w:jc w:val="left"/>
              <w:rPr>
                <w:b/>
              </w:rPr>
            </w:pPr>
            <w:r w:rsidRPr="00265791">
              <w:rPr>
                <w:b/>
              </w:rPr>
              <w:t>Haematology Parameters</w:t>
            </w:r>
          </w:p>
        </w:tc>
        <w:tc>
          <w:tcPr>
            <w:tcW w:w="628" w:type="pct"/>
            <w:tcBorders>
              <w:top w:val="single" w:sz="6" w:space="0" w:color="auto"/>
            </w:tcBorders>
            <w:vAlign w:val="center"/>
          </w:tcPr>
          <w:p w14:paraId="6DFDEFF6" w14:textId="77777777" w:rsidR="00F16D0E" w:rsidRPr="00265791" w:rsidRDefault="00F16D0E" w:rsidP="00F75E7E">
            <w:pPr>
              <w:pStyle w:val="BMSTableText"/>
              <w:keepNext/>
              <w:keepLines/>
              <w:spacing w:beforeLines="20" w:before="48" w:afterLines="20" w:after="48"/>
            </w:pPr>
          </w:p>
        </w:tc>
        <w:tc>
          <w:tcPr>
            <w:tcW w:w="787" w:type="pct"/>
            <w:gridSpan w:val="2"/>
            <w:tcBorders>
              <w:top w:val="single" w:sz="6" w:space="0" w:color="auto"/>
            </w:tcBorders>
            <w:vAlign w:val="center"/>
          </w:tcPr>
          <w:p w14:paraId="41EB9EBD" w14:textId="77777777" w:rsidR="00F16D0E" w:rsidRPr="00265791" w:rsidRDefault="00F16D0E" w:rsidP="00F75E7E">
            <w:pPr>
              <w:pStyle w:val="BMSTableText"/>
              <w:keepNext/>
              <w:keepLines/>
              <w:spacing w:beforeLines="20" w:before="48" w:afterLines="20" w:after="48"/>
            </w:pPr>
          </w:p>
        </w:tc>
        <w:tc>
          <w:tcPr>
            <w:tcW w:w="796" w:type="pct"/>
            <w:tcBorders>
              <w:top w:val="single" w:sz="6" w:space="0" w:color="auto"/>
            </w:tcBorders>
            <w:vAlign w:val="center"/>
          </w:tcPr>
          <w:p w14:paraId="07358192" w14:textId="77777777" w:rsidR="00F16D0E" w:rsidRPr="00265791" w:rsidRDefault="00F16D0E" w:rsidP="00F75E7E">
            <w:pPr>
              <w:pStyle w:val="BMSTableText"/>
              <w:keepNext/>
              <w:keepLines/>
              <w:spacing w:beforeLines="20" w:before="48" w:afterLines="20" w:after="48"/>
            </w:pPr>
          </w:p>
        </w:tc>
        <w:tc>
          <w:tcPr>
            <w:tcW w:w="782" w:type="pct"/>
            <w:gridSpan w:val="2"/>
            <w:tcBorders>
              <w:top w:val="single" w:sz="6" w:space="0" w:color="auto"/>
            </w:tcBorders>
            <w:shd w:val="clear" w:color="auto" w:fill="auto"/>
            <w:vAlign w:val="center"/>
          </w:tcPr>
          <w:p w14:paraId="2AB86767" w14:textId="77777777" w:rsidR="00F16D0E" w:rsidRPr="00265791" w:rsidRDefault="00F16D0E" w:rsidP="00F75E7E">
            <w:pPr>
              <w:pStyle w:val="BMSTableText"/>
              <w:keepNext/>
              <w:keepLines/>
              <w:tabs>
                <w:tab w:val="clear" w:pos="360"/>
                <w:tab w:val="decimal" w:pos="318"/>
              </w:tabs>
              <w:spacing w:beforeLines="20" w:before="48" w:afterLines="20" w:after="48"/>
            </w:pPr>
          </w:p>
        </w:tc>
        <w:tc>
          <w:tcPr>
            <w:tcW w:w="745" w:type="pct"/>
            <w:tcBorders>
              <w:top w:val="single" w:sz="6" w:space="0" w:color="auto"/>
            </w:tcBorders>
            <w:shd w:val="clear" w:color="auto" w:fill="auto"/>
            <w:vAlign w:val="center"/>
          </w:tcPr>
          <w:p w14:paraId="7F639815" w14:textId="77777777" w:rsidR="00F16D0E" w:rsidRPr="00265791" w:rsidRDefault="00F16D0E" w:rsidP="00F75E7E">
            <w:pPr>
              <w:pStyle w:val="BMSTableText"/>
              <w:keepNext/>
              <w:keepLines/>
              <w:tabs>
                <w:tab w:val="decimal" w:pos="318"/>
              </w:tabs>
              <w:spacing w:beforeLines="20" w:before="48" w:afterLines="20" w:after="48"/>
            </w:pPr>
          </w:p>
        </w:tc>
      </w:tr>
      <w:tr w:rsidR="00F16D0E" w:rsidRPr="00265791" w14:paraId="0283AE22" w14:textId="77777777" w:rsidTr="00F75E7E">
        <w:trPr>
          <w:jc w:val="center"/>
        </w:trPr>
        <w:tc>
          <w:tcPr>
            <w:tcW w:w="1263" w:type="pct"/>
          </w:tcPr>
          <w:p w14:paraId="470447F4" w14:textId="77777777" w:rsidR="00F16D0E" w:rsidRPr="00265791" w:rsidRDefault="00F16D0E" w:rsidP="00F75E7E">
            <w:pPr>
              <w:pStyle w:val="BMSTableText"/>
              <w:keepNext/>
              <w:keepLines/>
              <w:spacing w:beforeLines="20" w:before="48" w:afterLines="20" w:after="48"/>
              <w:jc w:val="left"/>
            </w:pPr>
            <w:r w:rsidRPr="00265791">
              <w:tab/>
              <w:t>Neutropenia</w:t>
            </w:r>
          </w:p>
        </w:tc>
        <w:tc>
          <w:tcPr>
            <w:tcW w:w="628" w:type="pct"/>
            <w:vAlign w:val="center"/>
          </w:tcPr>
          <w:p w14:paraId="0A494465" w14:textId="77777777" w:rsidR="00F16D0E" w:rsidRPr="00265791" w:rsidRDefault="00F16D0E" w:rsidP="00F75E7E">
            <w:pPr>
              <w:pStyle w:val="BMSTableText"/>
              <w:keepNext/>
              <w:keepLines/>
              <w:tabs>
                <w:tab w:val="clear" w:pos="360"/>
                <w:tab w:val="decimal" w:pos="318"/>
              </w:tabs>
              <w:spacing w:beforeLines="20" w:before="48" w:afterLines="20" w:after="48"/>
            </w:pPr>
            <w:r>
              <w:t>35</w:t>
            </w:r>
          </w:p>
        </w:tc>
        <w:tc>
          <w:tcPr>
            <w:tcW w:w="787" w:type="pct"/>
            <w:gridSpan w:val="2"/>
            <w:vAlign w:val="center"/>
          </w:tcPr>
          <w:p w14:paraId="37D1879F" w14:textId="77777777" w:rsidR="00F16D0E" w:rsidRPr="00265791" w:rsidRDefault="00F16D0E" w:rsidP="00F75E7E">
            <w:pPr>
              <w:pStyle w:val="BMSTableText"/>
              <w:keepNext/>
              <w:keepLines/>
              <w:tabs>
                <w:tab w:val="clear" w:pos="360"/>
                <w:tab w:val="decimal" w:pos="318"/>
              </w:tabs>
              <w:spacing w:beforeLines="20" w:before="48" w:afterLines="20" w:after="48"/>
            </w:pPr>
            <w:r>
              <w:t>58</w:t>
            </w:r>
          </w:p>
        </w:tc>
        <w:tc>
          <w:tcPr>
            <w:tcW w:w="796" w:type="pct"/>
            <w:vAlign w:val="center"/>
          </w:tcPr>
          <w:p w14:paraId="7C4CA9B0" w14:textId="77777777" w:rsidR="00F16D0E" w:rsidRPr="00265791" w:rsidRDefault="00F16D0E" w:rsidP="00F75E7E">
            <w:pPr>
              <w:pStyle w:val="BMSTableText"/>
              <w:keepNext/>
              <w:keepLines/>
              <w:tabs>
                <w:tab w:val="clear" w:pos="360"/>
                <w:tab w:val="decimal" w:pos="318"/>
              </w:tabs>
              <w:spacing w:beforeLines="20" w:before="48" w:afterLines="20" w:after="48"/>
            </w:pPr>
            <w:r>
              <w:t>77</w:t>
            </w:r>
          </w:p>
        </w:tc>
        <w:tc>
          <w:tcPr>
            <w:tcW w:w="782" w:type="pct"/>
            <w:gridSpan w:val="2"/>
            <w:shd w:val="clear" w:color="auto" w:fill="auto"/>
            <w:vAlign w:val="center"/>
          </w:tcPr>
          <w:p w14:paraId="2416B75B" w14:textId="77777777" w:rsidR="00F16D0E" w:rsidRPr="00265791" w:rsidRDefault="00F16D0E" w:rsidP="00F75E7E">
            <w:pPr>
              <w:pStyle w:val="BMSTableText"/>
              <w:keepNext/>
              <w:keepLines/>
              <w:tabs>
                <w:tab w:val="decimal" w:pos="318"/>
              </w:tabs>
              <w:spacing w:beforeLines="20" w:before="48" w:afterLines="20" w:after="48"/>
            </w:pPr>
            <w:r>
              <w:t>79</w:t>
            </w:r>
          </w:p>
        </w:tc>
        <w:tc>
          <w:tcPr>
            <w:tcW w:w="745" w:type="pct"/>
            <w:shd w:val="clear" w:color="auto" w:fill="auto"/>
            <w:vAlign w:val="center"/>
          </w:tcPr>
          <w:p w14:paraId="1684DFA0" w14:textId="77777777" w:rsidR="00F16D0E" w:rsidRPr="00265791" w:rsidRDefault="00F16D0E" w:rsidP="00F75E7E">
            <w:pPr>
              <w:pStyle w:val="BMSTableText"/>
              <w:keepNext/>
              <w:keepLines/>
              <w:tabs>
                <w:tab w:val="decimal" w:pos="318"/>
              </w:tabs>
              <w:spacing w:beforeLines="20" w:before="48" w:afterLines="20" w:after="48"/>
            </w:pPr>
            <w:r>
              <w:t>67</w:t>
            </w:r>
          </w:p>
        </w:tc>
      </w:tr>
      <w:tr w:rsidR="00F16D0E" w:rsidRPr="00265791" w14:paraId="6F1A2BEE" w14:textId="77777777" w:rsidTr="00F75E7E">
        <w:trPr>
          <w:trHeight w:val="327"/>
          <w:jc w:val="center"/>
        </w:trPr>
        <w:tc>
          <w:tcPr>
            <w:tcW w:w="1263" w:type="pct"/>
            <w:vAlign w:val="center"/>
          </w:tcPr>
          <w:p w14:paraId="10BBF9E3" w14:textId="77777777" w:rsidR="00F16D0E" w:rsidRPr="00265791" w:rsidRDefault="00F16D0E" w:rsidP="00F75E7E">
            <w:pPr>
              <w:pStyle w:val="BMSTableText"/>
              <w:keepNext/>
              <w:keepLines/>
              <w:spacing w:beforeLines="20" w:before="48" w:afterLines="20" w:after="48"/>
              <w:jc w:val="left"/>
            </w:pPr>
            <w:r w:rsidRPr="00265791">
              <w:tab/>
              <w:t>Thrombocytopenia</w:t>
            </w:r>
          </w:p>
        </w:tc>
        <w:tc>
          <w:tcPr>
            <w:tcW w:w="628" w:type="pct"/>
            <w:vAlign w:val="center"/>
          </w:tcPr>
          <w:p w14:paraId="166E4167" w14:textId="77777777" w:rsidR="00F16D0E" w:rsidRPr="00265791" w:rsidRDefault="00F16D0E" w:rsidP="00F75E7E">
            <w:pPr>
              <w:pStyle w:val="BMSTableText"/>
              <w:keepNext/>
              <w:keepLines/>
              <w:tabs>
                <w:tab w:val="clear" w:pos="360"/>
                <w:tab w:val="decimal" w:pos="318"/>
              </w:tabs>
              <w:spacing w:beforeLines="20" w:before="48" w:afterLines="20" w:after="48"/>
            </w:pPr>
            <w:r>
              <w:t>23</w:t>
            </w:r>
          </w:p>
        </w:tc>
        <w:tc>
          <w:tcPr>
            <w:tcW w:w="787" w:type="pct"/>
            <w:gridSpan w:val="2"/>
            <w:vAlign w:val="center"/>
          </w:tcPr>
          <w:p w14:paraId="1ECFBEEC" w14:textId="77777777" w:rsidR="00F16D0E" w:rsidRPr="00265791" w:rsidRDefault="00F16D0E" w:rsidP="00F75E7E">
            <w:pPr>
              <w:pStyle w:val="BMSTableText"/>
              <w:keepNext/>
              <w:keepLines/>
              <w:tabs>
                <w:tab w:val="clear" w:pos="360"/>
                <w:tab w:val="decimal" w:pos="318"/>
              </w:tabs>
              <w:spacing w:beforeLines="20" w:before="48" w:afterLines="20" w:after="48"/>
            </w:pPr>
            <w:r>
              <w:t>63</w:t>
            </w:r>
          </w:p>
        </w:tc>
        <w:tc>
          <w:tcPr>
            <w:tcW w:w="796" w:type="pct"/>
            <w:vAlign w:val="center"/>
          </w:tcPr>
          <w:p w14:paraId="22DC278C" w14:textId="77777777" w:rsidR="00F16D0E" w:rsidRPr="00265791" w:rsidRDefault="00F16D0E" w:rsidP="00F75E7E">
            <w:pPr>
              <w:pStyle w:val="BMSTableText"/>
              <w:keepNext/>
              <w:keepLines/>
              <w:tabs>
                <w:tab w:val="clear" w:pos="360"/>
                <w:tab w:val="decimal" w:pos="318"/>
              </w:tabs>
              <w:spacing w:beforeLines="20" w:before="48" w:afterLines="20" w:after="48"/>
            </w:pPr>
            <w:r>
              <w:t>78</w:t>
            </w:r>
          </w:p>
        </w:tc>
        <w:tc>
          <w:tcPr>
            <w:tcW w:w="782" w:type="pct"/>
            <w:gridSpan w:val="2"/>
            <w:shd w:val="clear" w:color="auto" w:fill="auto"/>
            <w:vAlign w:val="center"/>
          </w:tcPr>
          <w:p w14:paraId="72E5E818" w14:textId="77777777" w:rsidR="00F16D0E" w:rsidRPr="00265791" w:rsidRDefault="00F16D0E" w:rsidP="00F75E7E">
            <w:pPr>
              <w:pStyle w:val="BMSTableText"/>
              <w:keepNext/>
              <w:keepLines/>
              <w:tabs>
                <w:tab w:val="decimal" w:pos="318"/>
              </w:tabs>
              <w:spacing w:beforeLines="20" w:before="48" w:afterLines="20" w:after="48"/>
            </w:pPr>
            <w:r w:rsidRPr="00265791">
              <w:t>8</w:t>
            </w:r>
            <w:r>
              <w:t>5</w:t>
            </w:r>
          </w:p>
        </w:tc>
        <w:tc>
          <w:tcPr>
            <w:tcW w:w="745" w:type="pct"/>
            <w:shd w:val="clear" w:color="auto" w:fill="auto"/>
            <w:vAlign w:val="center"/>
          </w:tcPr>
          <w:p w14:paraId="7905D06F" w14:textId="77777777" w:rsidR="00F16D0E" w:rsidRPr="00265791" w:rsidRDefault="00F16D0E" w:rsidP="00F75E7E">
            <w:pPr>
              <w:pStyle w:val="BMSTableText"/>
              <w:keepNext/>
              <w:keepLines/>
              <w:tabs>
                <w:tab w:val="decimal" w:pos="318"/>
              </w:tabs>
              <w:spacing w:beforeLines="20" w:before="48" w:afterLines="20" w:after="48"/>
            </w:pPr>
            <w:r>
              <w:t>72</w:t>
            </w:r>
          </w:p>
        </w:tc>
      </w:tr>
      <w:tr w:rsidR="00F16D0E" w:rsidRPr="00265791" w14:paraId="65458D4E" w14:textId="77777777" w:rsidTr="00F75E7E">
        <w:trPr>
          <w:jc w:val="center"/>
        </w:trPr>
        <w:tc>
          <w:tcPr>
            <w:tcW w:w="1263" w:type="pct"/>
          </w:tcPr>
          <w:p w14:paraId="5A14422B" w14:textId="77777777" w:rsidR="00F16D0E" w:rsidRPr="00265791" w:rsidRDefault="00F16D0E" w:rsidP="00F75E7E">
            <w:pPr>
              <w:pStyle w:val="BMSTableText"/>
              <w:keepNext/>
              <w:keepLines/>
              <w:spacing w:beforeLines="20" w:before="48" w:afterLines="20" w:after="48"/>
              <w:jc w:val="left"/>
            </w:pPr>
            <w:r w:rsidRPr="00265791">
              <w:rPr>
                <w:lang w:val="en-AU"/>
              </w:rPr>
              <w:tab/>
              <w:t>Anaemia</w:t>
            </w:r>
          </w:p>
        </w:tc>
        <w:tc>
          <w:tcPr>
            <w:tcW w:w="628" w:type="pct"/>
            <w:vAlign w:val="center"/>
          </w:tcPr>
          <w:p w14:paraId="563B5D70" w14:textId="77777777" w:rsidR="00F16D0E" w:rsidRPr="00265791" w:rsidRDefault="00F16D0E" w:rsidP="00F75E7E">
            <w:pPr>
              <w:pStyle w:val="BMSTableText"/>
              <w:keepNext/>
              <w:keepLines/>
              <w:tabs>
                <w:tab w:val="clear" w:pos="360"/>
                <w:tab w:val="decimal" w:pos="318"/>
              </w:tabs>
              <w:spacing w:beforeLines="20" w:before="48" w:afterLines="20" w:after="48"/>
            </w:pPr>
            <w:r>
              <w:t>13</w:t>
            </w:r>
          </w:p>
        </w:tc>
        <w:tc>
          <w:tcPr>
            <w:tcW w:w="787" w:type="pct"/>
            <w:gridSpan w:val="2"/>
            <w:vAlign w:val="center"/>
          </w:tcPr>
          <w:p w14:paraId="3E7C6828" w14:textId="77777777" w:rsidR="00F16D0E" w:rsidRPr="00265791" w:rsidRDefault="00F16D0E" w:rsidP="00F75E7E">
            <w:pPr>
              <w:pStyle w:val="BMSTableText"/>
              <w:keepNext/>
              <w:keepLines/>
              <w:tabs>
                <w:tab w:val="clear" w:pos="360"/>
                <w:tab w:val="decimal" w:pos="318"/>
              </w:tabs>
              <w:spacing w:beforeLines="20" w:before="48" w:afterLines="20" w:after="48"/>
            </w:pPr>
            <w:r>
              <w:t>47</w:t>
            </w:r>
          </w:p>
        </w:tc>
        <w:tc>
          <w:tcPr>
            <w:tcW w:w="796" w:type="pct"/>
            <w:vAlign w:val="center"/>
          </w:tcPr>
          <w:p w14:paraId="45B49189" w14:textId="77777777" w:rsidR="00F16D0E" w:rsidRPr="00265791" w:rsidRDefault="00F16D0E" w:rsidP="00F75E7E">
            <w:pPr>
              <w:pStyle w:val="BMSTableText"/>
              <w:keepNext/>
              <w:keepLines/>
              <w:tabs>
                <w:tab w:val="clear" w:pos="360"/>
                <w:tab w:val="decimal" w:pos="318"/>
              </w:tabs>
              <w:spacing w:beforeLines="20" w:before="48" w:afterLines="20" w:after="48"/>
            </w:pPr>
            <w:r>
              <w:t>74</w:t>
            </w:r>
          </w:p>
        </w:tc>
        <w:tc>
          <w:tcPr>
            <w:tcW w:w="782" w:type="pct"/>
            <w:gridSpan w:val="2"/>
            <w:shd w:val="clear" w:color="auto" w:fill="auto"/>
            <w:vAlign w:val="center"/>
          </w:tcPr>
          <w:p w14:paraId="3B4007CA" w14:textId="77777777" w:rsidR="00F16D0E" w:rsidRPr="00265791" w:rsidRDefault="00F16D0E" w:rsidP="00F75E7E">
            <w:pPr>
              <w:pStyle w:val="BMSTableText"/>
              <w:keepNext/>
              <w:keepLines/>
              <w:tabs>
                <w:tab w:val="decimal" w:pos="318"/>
              </w:tabs>
              <w:spacing w:beforeLines="20" w:before="48" w:afterLines="20" w:after="48"/>
            </w:pPr>
            <w:r w:rsidRPr="00265791">
              <w:t>5</w:t>
            </w:r>
            <w:r>
              <w:t>2</w:t>
            </w:r>
          </w:p>
        </w:tc>
        <w:tc>
          <w:tcPr>
            <w:tcW w:w="745" w:type="pct"/>
            <w:shd w:val="clear" w:color="auto" w:fill="auto"/>
            <w:vAlign w:val="center"/>
          </w:tcPr>
          <w:p w14:paraId="2277B41D" w14:textId="77777777" w:rsidR="00F16D0E" w:rsidRPr="00265791" w:rsidRDefault="00F16D0E" w:rsidP="00F75E7E">
            <w:pPr>
              <w:pStyle w:val="BMSTableText"/>
              <w:keepNext/>
              <w:keepLines/>
              <w:tabs>
                <w:tab w:val="decimal" w:pos="318"/>
              </w:tabs>
              <w:spacing w:beforeLines="20" w:before="48" w:afterLines="20" w:after="48"/>
            </w:pPr>
            <w:r>
              <w:t>36</w:t>
            </w:r>
          </w:p>
        </w:tc>
      </w:tr>
      <w:tr w:rsidR="00F16D0E" w:rsidRPr="00265791" w14:paraId="37A46796" w14:textId="77777777" w:rsidTr="00F75E7E">
        <w:trPr>
          <w:jc w:val="center"/>
        </w:trPr>
        <w:tc>
          <w:tcPr>
            <w:tcW w:w="1263" w:type="pct"/>
            <w:tcBorders>
              <w:bottom w:val="nil"/>
            </w:tcBorders>
          </w:tcPr>
          <w:p w14:paraId="384AE232" w14:textId="77777777" w:rsidR="00F16D0E" w:rsidRPr="00265791" w:rsidRDefault="00F16D0E" w:rsidP="00F75E7E">
            <w:pPr>
              <w:pStyle w:val="BMSTableText"/>
              <w:keepNext/>
              <w:keepLines/>
              <w:spacing w:beforeLines="20" w:before="48" w:afterLines="20" w:after="48"/>
              <w:jc w:val="left"/>
              <w:rPr>
                <w:b/>
              </w:rPr>
            </w:pPr>
            <w:r w:rsidRPr="00265791">
              <w:rPr>
                <w:b/>
              </w:rPr>
              <w:t>Biochemistry Parameters</w:t>
            </w:r>
          </w:p>
        </w:tc>
        <w:tc>
          <w:tcPr>
            <w:tcW w:w="628" w:type="pct"/>
            <w:tcBorders>
              <w:bottom w:val="nil"/>
            </w:tcBorders>
            <w:vAlign w:val="center"/>
          </w:tcPr>
          <w:p w14:paraId="2BD4717B" w14:textId="77777777" w:rsidR="00F16D0E" w:rsidRPr="00265791" w:rsidRDefault="00F16D0E" w:rsidP="00F75E7E">
            <w:pPr>
              <w:pStyle w:val="BMSTableText"/>
              <w:keepNext/>
              <w:keepLines/>
              <w:tabs>
                <w:tab w:val="clear" w:pos="360"/>
                <w:tab w:val="decimal" w:pos="318"/>
              </w:tabs>
              <w:spacing w:beforeLines="20" w:before="48" w:afterLines="20" w:after="48"/>
            </w:pPr>
          </w:p>
        </w:tc>
        <w:tc>
          <w:tcPr>
            <w:tcW w:w="787" w:type="pct"/>
            <w:gridSpan w:val="2"/>
            <w:tcBorders>
              <w:bottom w:val="nil"/>
            </w:tcBorders>
            <w:vAlign w:val="center"/>
          </w:tcPr>
          <w:p w14:paraId="101242F2" w14:textId="77777777" w:rsidR="00F16D0E" w:rsidRPr="00265791" w:rsidRDefault="00F16D0E" w:rsidP="00F75E7E">
            <w:pPr>
              <w:pStyle w:val="BMSTableText"/>
              <w:keepNext/>
              <w:keepLines/>
              <w:tabs>
                <w:tab w:val="clear" w:pos="360"/>
                <w:tab w:val="decimal" w:pos="318"/>
              </w:tabs>
              <w:spacing w:beforeLines="20" w:before="48" w:afterLines="20" w:after="48"/>
            </w:pPr>
          </w:p>
        </w:tc>
        <w:tc>
          <w:tcPr>
            <w:tcW w:w="796" w:type="pct"/>
            <w:tcBorders>
              <w:bottom w:val="nil"/>
            </w:tcBorders>
            <w:vAlign w:val="center"/>
          </w:tcPr>
          <w:p w14:paraId="279EE76D" w14:textId="77777777" w:rsidR="00F16D0E" w:rsidRPr="00265791" w:rsidRDefault="00F16D0E" w:rsidP="00F75E7E">
            <w:pPr>
              <w:pStyle w:val="BMSTableText"/>
              <w:keepNext/>
              <w:keepLines/>
              <w:tabs>
                <w:tab w:val="clear" w:pos="360"/>
                <w:tab w:val="decimal" w:pos="318"/>
              </w:tabs>
              <w:spacing w:beforeLines="20" w:before="48" w:afterLines="20" w:after="48"/>
            </w:pPr>
          </w:p>
        </w:tc>
        <w:tc>
          <w:tcPr>
            <w:tcW w:w="782" w:type="pct"/>
            <w:gridSpan w:val="2"/>
            <w:shd w:val="clear" w:color="auto" w:fill="auto"/>
            <w:vAlign w:val="center"/>
          </w:tcPr>
          <w:p w14:paraId="16210C34" w14:textId="77777777" w:rsidR="00F16D0E" w:rsidRPr="00265791" w:rsidRDefault="00F16D0E" w:rsidP="00F75E7E">
            <w:pPr>
              <w:pStyle w:val="BMSTableText"/>
              <w:keepNext/>
              <w:keepLines/>
              <w:tabs>
                <w:tab w:val="decimal" w:pos="318"/>
              </w:tabs>
              <w:spacing w:beforeLines="20" w:before="48" w:afterLines="20" w:after="48"/>
            </w:pPr>
          </w:p>
        </w:tc>
        <w:tc>
          <w:tcPr>
            <w:tcW w:w="745" w:type="pct"/>
            <w:shd w:val="clear" w:color="auto" w:fill="auto"/>
            <w:vAlign w:val="center"/>
          </w:tcPr>
          <w:p w14:paraId="0CDDE4EF" w14:textId="77777777" w:rsidR="00F16D0E" w:rsidRPr="00265791" w:rsidRDefault="00F16D0E" w:rsidP="00F75E7E">
            <w:pPr>
              <w:pStyle w:val="BMSTableText"/>
              <w:keepNext/>
              <w:keepLines/>
              <w:tabs>
                <w:tab w:val="decimal" w:pos="318"/>
              </w:tabs>
              <w:spacing w:beforeLines="20" w:before="48" w:afterLines="20" w:after="48"/>
            </w:pPr>
          </w:p>
        </w:tc>
      </w:tr>
      <w:tr w:rsidR="00F16D0E" w:rsidRPr="00265791" w14:paraId="6DA8FB08" w14:textId="77777777" w:rsidTr="00F75E7E">
        <w:trPr>
          <w:jc w:val="center"/>
        </w:trPr>
        <w:tc>
          <w:tcPr>
            <w:tcW w:w="1263" w:type="pct"/>
            <w:tcBorders>
              <w:top w:val="nil"/>
              <w:bottom w:val="nil"/>
            </w:tcBorders>
          </w:tcPr>
          <w:p w14:paraId="3926B943" w14:textId="77777777" w:rsidR="00F16D0E" w:rsidRPr="00265791" w:rsidRDefault="00F16D0E" w:rsidP="00F75E7E">
            <w:pPr>
              <w:pStyle w:val="BMSTableText"/>
              <w:keepNext/>
              <w:keepLines/>
              <w:spacing w:beforeLines="20" w:before="48" w:afterLines="20" w:after="48"/>
              <w:jc w:val="left"/>
            </w:pPr>
            <w:r w:rsidRPr="00265791">
              <w:tab/>
              <w:t>Hypophosphataemia</w:t>
            </w:r>
          </w:p>
        </w:tc>
        <w:tc>
          <w:tcPr>
            <w:tcW w:w="628" w:type="pct"/>
            <w:tcBorders>
              <w:top w:val="nil"/>
              <w:bottom w:val="nil"/>
            </w:tcBorders>
            <w:vAlign w:val="center"/>
          </w:tcPr>
          <w:p w14:paraId="1D9E1C07" w14:textId="77777777" w:rsidR="00F16D0E" w:rsidRPr="00265791" w:rsidRDefault="00F16D0E" w:rsidP="00F75E7E">
            <w:pPr>
              <w:pStyle w:val="BMSTableText"/>
              <w:keepNext/>
              <w:keepLines/>
              <w:tabs>
                <w:tab w:val="clear" w:pos="360"/>
                <w:tab w:val="decimal" w:pos="318"/>
              </w:tabs>
              <w:spacing w:beforeLines="20" w:before="48" w:afterLines="20" w:after="48"/>
            </w:pPr>
            <w:r w:rsidRPr="00265791">
              <w:t>10</w:t>
            </w:r>
          </w:p>
        </w:tc>
        <w:tc>
          <w:tcPr>
            <w:tcW w:w="787" w:type="pct"/>
            <w:gridSpan w:val="2"/>
            <w:tcBorders>
              <w:top w:val="nil"/>
              <w:bottom w:val="nil"/>
            </w:tcBorders>
            <w:vAlign w:val="center"/>
          </w:tcPr>
          <w:p w14:paraId="55A60678" w14:textId="77777777" w:rsidR="00F16D0E" w:rsidRPr="00265791" w:rsidRDefault="00F16D0E" w:rsidP="00F75E7E">
            <w:pPr>
              <w:pStyle w:val="BMSTableText"/>
              <w:keepNext/>
              <w:keepLines/>
              <w:tabs>
                <w:tab w:val="clear" w:pos="360"/>
                <w:tab w:val="decimal" w:pos="318"/>
              </w:tabs>
              <w:spacing w:beforeLines="20" w:before="48" w:afterLines="20" w:after="48"/>
            </w:pPr>
            <w:r w:rsidRPr="00265791">
              <w:t>1</w:t>
            </w:r>
            <w:r>
              <w:t>3</w:t>
            </w:r>
          </w:p>
        </w:tc>
        <w:tc>
          <w:tcPr>
            <w:tcW w:w="796" w:type="pct"/>
            <w:tcBorders>
              <w:top w:val="nil"/>
              <w:bottom w:val="nil"/>
            </w:tcBorders>
            <w:vAlign w:val="center"/>
          </w:tcPr>
          <w:p w14:paraId="5D52FFD6" w14:textId="77777777" w:rsidR="00F16D0E" w:rsidRPr="00265791" w:rsidRDefault="00F16D0E" w:rsidP="00F75E7E">
            <w:pPr>
              <w:pStyle w:val="BMSTableText"/>
              <w:keepNext/>
              <w:keepLines/>
              <w:tabs>
                <w:tab w:val="clear" w:pos="360"/>
                <w:tab w:val="decimal" w:pos="318"/>
              </w:tabs>
              <w:spacing w:beforeLines="20" w:before="48" w:afterLines="20" w:after="48"/>
            </w:pPr>
            <w:r>
              <w:t>12</w:t>
            </w:r>
          </w:p>
        </w:tc>
        <w:tc>
          <w:tcPr>
            <w:tcW w:w="782" w:type="pct"/>
            <w:gridSpan w:val="2"/>
            <w:shd w:val="clear" w:color="auto" w:fill="auto"/>
            <w:vAlign w:val="center"/>
          </w:tcPr>
          <w:p w14:paraId="542D9134" w14:textId="77777777" w:rsidR="00F16D0E" w:rsidRPr="00265791" w:rsidRDefault="00F16D0E" w:rsidP="00F75E7E">
            <w:pPr>
              <w:pStyle w:val="BMSTableText"/>
              <w:keepNext/>
              <w:keepLines/>
              <w:tabs>
                <w:tab w:val="decimal" w:pos="318"/>
              </w:tabs>
              <w:spacing w:beforeLines="20" w:before="48" w:afterLines="20" w:after="48"/>
            </w:pPr>
            <w:r w:rsidRPr="00265791">
              <w:t>1</w:t>
            </w:r>
            <w:r>
              <w:t>8</w:t>
            </w:r>
          </w:p>
        </w:tc>
        <w:tc>
          <w:tcPr>
            <w:tcW w:w="745" w:type="pct"/>
            <w:shd w:val="clear" w:color="auto" w:fill="auto"/>
            <w:vAlign w:val="center"/>
          </w:tcPr>
          <w:p w14:paraId="73285746" w14:textId="77777777" w:rsidR="00F16D0E" w:rsidRPr="00265791" w:rsidRDefault="00F16D0E" w:rsidP="00F75E7E">
            <w:pPr>
              <w:pStyle w:val="BMSTableText"/>
              <w:keepNext/>
              <w:keepLines/>
              <w:tabs>
                <w:tab w:val="decimal" w:pos="318"/>
              </w:tabs>
              <w:spacing w:beforeLines="20" w:before="48" w:afterLines="20" w:after="48"/>
            </w:pPr>
            <w:r>
              <w:t>16</w:t>
            </w:r>
          </w:p>
        </w:tc>
      </w:tr>
      <w:tr w:rsidR="00F16D0E" w:rsidRPr="00265791" w14:paraId="419FA2FA" w14:textId="77777777" w:rsidTr="00F75E7E">
        <w:trPr>
          <w:jc w:val="center"/>
        </w:trPr>
        <w:tc>
          <w:tcPr>
            <w:tcW w:w="1263" w:type="pct"/>
            <w:tcBorders>
              <w:bottom w:val="nil"/>
            </w:tcBorders>
          </w:tcPr>
          <w:p w14:paraId="06B3639C" w14:textId="77777777" w:rsidR="00F16D0E" w:rsidRPr="00265791" w:rsidRDefault="00F16D0E" w:rsidP="00F75E7E">
            <w:pPr>
              <w:pStyle w:val="BMSTableText"/>
              <w:keepNext/>
              <w:keepLines/>
              <w:spacing w:beforeLines="20" w:before="48" w:afterLines="20" w:after="48"/>
              <w:jc w:val="left"/>
            </w:pPr>
            <w:r w:rsidRPr="00265791">
              <w:tab/>
              <w:t>Hypokalaemia</w:t>
            </w:r>
          </w:p>
        </w:tc>
        <w:tc>
          <w:tcPr>
            <w:tcW w:w="628" w:type="pct"/>
            <w:tcBorders>
              <w:bottom w:val="nil"/>
            </w:tcBorders>
            <w:vAlign w:val="center"/>
          </w:tcPr>
          <w:p w14:paraId="2B011B55" w14:textId="77777777" w:rsidR="00F16D0E" w:rsidRPr="00265791" w:rsidRDefault="00F16D0E" w:rsidP="00F75E7E">
            <w:pPr>
              <w:pStyle w:val="BMSTableText"/>
              <w:keepNext/>
              <w:keepLines/>
              <w:tabs>
                <w:tab w:val="clear" w:pos="360"/>
                <w:tab w:val="decimal" w:pos="318"/>
              </w:tabs>
              <w:spacing w:beforeLines="20" w:before="48" w:afterLines="20" w:after="48"/>
            </w:pPr>
            <w:r>
              <w:t>2</w:t>
            </w:r>
          </w:p>
        </w:tc>
        <w:tc>
          <w:tcPr>
            <w:tcW w:w="787" w:type="pct"/>
            <w:gridSpan w:val="2"/>
            <w:tcBorders>
              <w:bottom w:val="nil"/>
            </w:tcBorders>
            <w:vAlign w:val="center"/>
          </w:tcPr>
          <w:p w14:paraId="6482668A" w14:textId="77777777" w:rsidR="00F16D0E" w:rsidRPr="00265791" w:rsidRDefault="00F16D0E" w:rsidP="00F75E7E">
            <w:pPr>
              <w:pStyle w:val="BMSTableText"/>
              <w:keepNext/>
              <w:keepLines/>
              <w:tabs>
                <w:tab w:val="clear" w:pos="360"/>
                <w:tab w:val="decimal" w:pos="318"/>
              </w:tabs>
              <w:spacing w:beforeLines="20" w:before="48" w:afterLines="20" w:after="48"/>
            </w:pPr>
            <w:r>
              <w:t>7</w:t>
            </w:r>
          </w:p>
        </w:tc>
        <w:tc>
          <w:tcPr>
            <w:tcW w:w="796" w:type="pct"/>
            <w:tcBorders>
              <w:bottom w:val="nil"/>
            </w:tcBorders>
            <w:vAlign w:val="center"/>
          </w:tcPr>
          <w:p w14:paraId="79A4B417" w14:textId="77777777" w:rsidR="00F16D0E" w:rsidRPr="00265791" w:rsidRDefault="00F16D0E" w:rsidP="00F75E7E">
            <w:pPr>
              <w:pStyle w:val="BMSTableText"/>
              <w:keepNext/>
              <w:keepLines/>
              <w:tabs>
                <w:tab w:val="clear" w:pos="360"/>
                <w:tab w:val="decimal" w:pos="318"/>
              </w:tabs>
              <w:spacing w:beforeLines="20" w:before="48" w:afterLines="20" w:after="48"/>
            </w:pPr>
            <w:r>
              <w:t>11</w:t>
            </w:r>
          </w:p>
        </w:tc>
        <w:tc>
          <w:tcPr>
            <w:tcW w:w="782" w:type="pct"/>
            <w:gridSpan w:val="2"/>
            <w:shd w:val="clear" w:color="auto" w:fill="auto"/>
            <w:vAlign w:val="center"/>
          </w:tcPr>
          <w:p w14:paraId="3E9DCF24" w14:textId="77777777" w:rsidR="00F16D0E" w:rsidRPr="00265791" w:rsidRDefault="00F16D0E" w:rsidP="00F75E7E">
            <w:pPr>
              <w:pStyle w:val="BMSTableText"/>
              <w:keepNext/>
              <w:keepLines/>
              <w:tabs>
                <w:tab w:val="decimal" w:pos="318"/>
              </w:tabs>
              <w:spacing w:beforeLines="20" w:before="48" w:afterLines="20" w:after="48"/>
            </w:pPr>
            <w:r w:rsidRPr="00265791">
              <w:t>1</w:t>
            </w:r>
            <w:r>
              <w:t>5</w:t>
            </w:r>
          </w:p>
        </w:tc>
        <w:tc>
          <w:tcPr>
            <w:tcW w:w="745" w:type="pct"/>
            <w:shd w:val="clear" w:color="auto" w:fill="auto"/>
            <w:vAlign w:val="center"/>
          </w:tcPr>
          <w:p w14:paraId="47206A6D" w14:textId="77777777" w:rsidR="00F16D0E" w:rsidRPr="00265791" w:rsidRDefault="00F16D0E" w:rsidP="00F75E7E">
            <w:pPr>
              <w:pStyle w:val="BMSTableText"/>
              <w:keepNext/>
              <w:keepLines/>
              <w:tabs>
                <w:tab w:val="decimal" w:pos="318"/>
              </w:tabs>
              <w:spacing w:beforeLines="20" w:before="48" w:afterLines="20" w:after="48"/>
            </w:pPr>
            <w:r>
              <w:t>8</w:t>
            </w:r>
          </w:p>
        </w:tc>
      </w:tr>
      <w:tr w:rsidR="00F16D0E" w:rsidRPr="00265791" w14:paraId="14F9ED70" w14:textId="77777777" w:rsidTr="00F75E7E">
        <w:trPr>
          <w:jc w:val="center"/>
        </w:trPr>
        <w:tc>
          <w:tcPr>
            <w:tcW w:w="1263" w:type="pct"/>
            <w:tcBorders>
              <w:bottom w:val="nil"/>
            </w:tcBorders>
          </w:tcPr>
          <w:p w14:paraId="243C2052" w14:textId="77777777" w:rsidR="00F16D0E" w:rsidRPr="00265791" w:rsidRDefault="00F16D0E" w:rsidP="00F75E7E">
            <w:pPr>
              <w:pStyle w:val="BMSTableText"/>
              <w:keepNext/>
              <w:keepLines/>
              <w:spacing w:beforeLines="20" w:before="48" w:afterLines="20" w:after="48"/>
              <w:jc w:val="left"/>
            </w:pPr>
            <w:r w:rsidRPr="00265791">
              <w:tab/>
              <w:t>Hypocalcaemia</w:t>
            </w:r>
          </w:p>
        </w:tc>
        <w:tc>
          <w:tcPr>
            <w:tcW w:w="628" w:type="pct"/>
            <w:tcBorders>
              <w:bottom w:val="nil"/>
            </w:tcBorders>
            <w:vAlign w:val="center"/>
          </w:tcPr>
          <w:p w14:paraId="31B0B8EA" w14:textId="77777777" w:rsidR="00F16D0E" w:rsidRPr="00265791" w:rsidRDefault="00F16D0E" w:rsidP="00F75E7E">
            <w:pPr>
              <w:pStyle w:val="BMSTableText"/>
              <w:keepNext/>
              <w:keepLines/>
              <w:tabs>
                <w:tab w:val="clear" w:pos="360"/>
                <w:tab w:val="decimal" w:pos="318"/>
              </w:tabs>
              <w:spacing w:beforeLines="20" w:before="48" w:afterLines="20" w:after="48"/>
            </w:pPr>
            <w:r>
              <w:t>&lt;1</w:t>
            </w:r>
          </w:p>
        </w:tc>
        <w:tc>
          <w:tcPr>
            <w:tcW w:w="787" w:type="pct"/>
            <w:gridSpan w:val="2"/>
            <w:tcBorders>
              <w:bottom w:val="nil"/>
            </w:tcBorders>
            <w:vAlign w:val="center"/>
          </w:tcPr>
          <w:p w14:paraId="63B2BBA7" w14:textId="77777777" w:rsidR="00F16D0E" w:rsidRPr="00265791" w:rsidRDefault="00F16D0E" w:rsidP="00F75E7E">
            <w:pPr>
              <w:pStyle w:val="BMSTableText"/>
              <w:keepNext/>
              <w:keepLines/>
              <w:tabs>
                <w:tab w:val="clear" w:pos="360"/>
                <w:tab w:val="decimal" w:pos="318"/>
              </w:tabs>
              <w:spacing w:beforeLines="20" w:before="48" w:afterLines="20" w:after="48"/>
            </w:pPr>
            <w:r>
              <w:t>4</w:t>
            </w:r>
          </w:p>
        </w:tc>
        <w:tc>
          <w:tcPr>
            <w:tcW w:w="796" w:type="pct"/>
            <w:tcBorders>
              <w:bottom w:val="nil"/>
            </w:tcBorders>
            <w:vAlign w:val="center"/>
          </w:tcPr>
          <w:p w14:paraId="5AD5DCEB" w14:textId="77777777" w:rsidR="00F16D0E" w:rsidRPr="00265791" w:rsidRDefault="00F16D0E" w:rsidP="00F75E7E">
            <w:pPr>
              <w:pStyle w:val="BMSTableText"/>
              <w:keepNext/>
              <w:keepLines/>
              <w:tabs>
                <w:tab w:val="clear" w:pos="360"/>
                <w:tab w:val="decimal" w:pos="318"/>
              </w:tabs>
              <w:spacing w:beforeLines="20" w:before="48" w:afterLines="20" w:after="48"/>
            </w:pPr>
            <w:r>
              <w:t>9</w:t>
            </w:r>
          </w:p>
        </w:tc>
        <w:tc>
          <w:tcPr>
            <w:tcW w:w="782" w:type="pct"/>
            <w:gridSpan w:val="2"/>
            <w:shd w:val="clear" w:color="auto" w:fill="auto"/>
            <w:vAlign w:val="center"/>
          </w:tcPr>
          <w:p w14:paraId="598908BF" w14:textId="77777777" w:rsidR="00F16D0E" w:rsidRPr="00265791" w:rsidRDefault="00F16D0E" w:rsidP="00F75E7E">
            <w:pPr>
              <w:pStyle w:val="BMSTableText"/>
              <w:keepNext/>
              <w:keepLines/>
              <w:tabs>
                <w:tab w:val="decimal" w:pos="318"/>
              </w:tabs>
              <w:spacing w:beforeLines="20" w:before="48" w:afterLines="20" w:after="48"/>
            </w:pPr>
            <w:r w:rsidRPr="00265791">
              <w:t>1</w:t>
            </w:r>
            <w:r>
              <w:t>2</w:t>
            </w:r>
          </w:p>
        </w:tc>
        <w:tc>
          <w:tcPr>
            <w:tcW w:w="745" w:type="pct"/>
            <w:shd w:val="clear" w:color="auto" w:fill="auto"/>
            <w:vAlign w:val="center"/>
          </w:tcPr>
          <w:p w14:paraId="79217E5F" w14:textId="77777777" w:rsidR="00F16D0E" w:rsidRPr="00265791" w:rsidRDefault="00F16D0E" w:rsidP="00F75E7E">
            <w:pPr>
              <w:pStyle w:val="BMSTableText"/>
              <w:keepNext/>
              <w:keepLines/>
              <w:tabs>
                <w:tab w:val="decimal" w:pos="318"/>
              </w:tabs>
              <w:spacing w:beforeLines="20" w:before="48" w:afterLines="20" w:after="48"/>
            </w:pPr>
            <w:r>
              <w:t>5</w:t>
            </w:r>
          </w:p>
        </w:tc>
      </w:tr>
      <w:tr w:rsidR="00F16D0E" w:rsidRPr="00265791" w14:paraId="1979C96A" w14:textId="77777777" w:rsidTr="00F75E7E">
        <w:trPr>
          <w:jc w:val="center"/>
        </w:trPr>
        <w:tc>
          <w:tcPr>
            <w:tcW w:w="1263" w:type="pct"/>
            <w:tcBorders>
              <w:bottom w:val="nil"/>
            </w:tcBorders>
          </w:tcPr>
          <w:p w14:paraId="53169CF4" w14:textId="77777777" w:rsidR="00F16D0E" w:rsidRPr="00265791" w:rsidRDefault="00F16D0E" w:rsidP="00F75E7E">
            <w:pPr>
              <w:pStyle w:val="BMSTableText"/>
              <w:keepNext/>
              <w:keepLines/>
              <w:spacing w:beforeLines="20" w:before="48" w:afterLines="20" w:after="48"/>
              <w:jc w:val="left"/>
            </w:pPr>
            <w:r w:rsidRPr="00265791">
              <w:tab/>
              <w:t>Elevated SGPT (ALT)</w:t>
            </w:r>
          </w:p>
        </w:tc>
        <w:tc>
          <w:tcPr>
            <w:tcW w:w="628" w:type="pct"/>
            <w:tcBorders>
              <w:bottom w:val="nil"/>
            </w:tcBorders>
            <w:vAlign w:val="center"/>
          </w:tcPr>
          <w:p w14:paraId="2590307B" w14:textId="77777777" w:rsidR="00F16D0E" w:rsidRPr="00265791" w:rsidRDefault="00F16D0E" w:rsidP="00F75E7E">
            <w:pPr>
              <w:pStyle w:val="BMSTableText"/>
              <w:keepNext/>
              <w:keepLines/>
              <w:tabs>
                <w:tab w:val="clear" w:pos="360"/>
                <w:tab w:val="decimal" w:pos="318"/>
              </w:tabs>
              <w:spacing w:beforeLines="20" w:before="48" w:afterLines="20" w:after="48"/>
            </w:pPr>
            <w:r>
              <w:t>0</w:t>
            </w:r>
          </w:p>
        </w:tc>
        <w:tc>
          <w:tcPr>
            <w:tcW w:w="787" w:type="pct"/>
            <w:gridSpan w:val="2"/>
            <w:tcBorders>
              <w:bottom w:val="nil"/>
            </w:tcBorders>
            <w:vAlign w:val="center"/>
          </w:tcPr>
          <w:p w14:paraId="27A0B17B" w14:textId="77777777" w:rsidR="00F16D0E" w:rsidRPr="00265791" w:rsidRDefault="00F16D0E" w:rsidP="00F75E7E">
            <w:pPr>
              <w:pStyle w:val="BMSTableText"/>
              <w:keepNext/>
              <w:keepLines/>
              <w:tabs>
                <w:tab w:val="clear" w:pos="360"/>
                <w:tab w:val="decimal" w:pos="318"/>
              </w:tabs>
              <w:spacing w:beforeLines="20" w:before="48" w:afterLines="20" w:after="48"/>
            </w:pPr>
            <w:r>
              <w:t>2</w:t>
            </w:r>
          </w:p>
        </w:tc>
        <w:tc>
          <w:tcPr>
            <w:tcW w:w="796" w:type="pct"/>
            <w:tcBorders>
              <w:bottom w:val="nil"/>
            </w:tcBorders>
            <w:vAlign w:val="center"/>
          </w:tcPr>
          <w:p w14:paraId="5AC58A82" w14:textId="77777777" w:rsidR="00F16D0E" w:rsidRPr="00265791" w:rsidRDefault="00F16D0E" w:rsidP="00F75E7E">
            <w:pPr>
              <w:pStyle w:val="BMSTableHeader"/>
              <w:keepNext/>
              <w:keepLines/>
              <w:spacing w:before="0" w:after="0"/>
              <w:rPr>
                <w:b w:val="0"/>
              </w:rPr>
            </w:pPr>
            <w:r>
              <w:rPr>
                <w:b w:val="0"/>
              </w:rPr>
              <w:t>5</w:t>
            </w:r>
          </w:p>
        </w:tc>
        <w:tc>
          <w:tcPr>
            <w:tcW w:w="782" w:type="pct"/>
            <w:gridSpan w:val="2"/>
            <w:shd w:val="clear" w:color="auto" w:fill="auto"/>
            <w:vAlign w:val="center"/>
          </w:tcPr>
          <w:p w14:paraId="675F7A5C" w14:textId="77777777" w:rsidR="00F16D0E" w:rsidRPr="00265791" w:rsidRDefault="00F16D0E" w:rsidP="00F75E7E">
            <w:pPr>
              <w:pStyle w:val="BMSTableText"/>
              <w:keepNext/>
              <w:keepLines/>
              <w:tabs>
                <w:tab w:val="decimal" w:pos="318"/>
              </w:tabs>
              <w:spacing w:beforeLines="20" w:before="48" w:afterLines="20" w:after="48"/>
            </w:pPr>
            <w:r>
              <w:t>3</w:t>
            </w:r>
          </w:p>
        </w:tc>
        <w:tc>
          <w:tcPr>
            <w:tcW w:w="745" w:type="pct"/>
            <w:shd w:val="clear" w:color="auto" w:fill="auto"/>
            <w:vAlign w:val="center"/>
          </w:tcPr>
          <w:p w14:paraId="54E61328" w14:textId="77777777" w:rsidR="00F16D0E" w:rsidRPr="00265791" w:rsidRDefault="00F16D0E" w:rsidP="00F75E7E">
            <w:pPr>
              <w:pStyle w:val="BMSTableText"/>
              <w:keepNext/>
              <w:keepLines/>
              <w:tabs>
                <w:tab w:val="decimal" w:pos="318"/>
              </w:tabs>
              <w:spacing w:beforeLines="20" w:before="48" w:afterLines="20" w:after="48"/>
            </w:pPr>
            <w:r>
              <w:t>8</w:t>
            </w:r>
          </w:p>
        </w:tc>
      </w:tr>
      <w:tr w:rsidR="00F16D0E" w:rsidRPr="00265791" w14:paraId="3A508C44" w14:textId="77777777" w:rsidTr="00F75E7E">
        <w:trPr>
          <w:jc w:val="center"/>
        </w:trPr>
        <w:tc>
          <w:tcPr>
            <w:tcW w:w="1263" w:type="pct"/>
          </w:tcPr>
          <w:p w14:paraId="70309FDA" w14:textId="77777777" w:rsidR="00F16D0E" w:rsidRPr="00265791" w:rsidRDefault="00F16D0E" w:rsidP="00F75E7E">
            <w:pPr>
              <w:pStyle w:val="BMSTableText"/>
              <w:keepNext/>
              <w:keepLines/>
              <w:spacing w:beforeLines="20" w:before="48" w:afterLines="20" w:after="48"/>
              <w:jc w:val="left"/>
            </w:pPr>
            <w:r w:rsidRPr="00265791">
              <w:tab/>
              <w:t>Elevated SGOT (AST)</w:t>
            </w:r>
          </w:p>
        </w:tc>
        <w:tc>
          <w:tcPr>
            <w:tcW w:w="628" w:type="pct"/>
            <w:vAlign w:val="center"/>
          </w:tcPr>
          <w:p w14:paraId="14715ED1" w14:textId="77777777" w:rsidR="00F16D0E" w:rsidRPr="00265791" w:rsidRDefault="00F16D0E" w:rsidP="00F75E7E">
            <w:pPr>
              <w:pStyle w:val="BMSTableText"/>
              <w:keepNext/>
              <w:keepLines/>
              <w:tabs>
                <w:tab w:val="clear" w:pos="360"/>
                <w:tab w:val="decimal" w:pos="318"/>
              </w:tabs>
              <w:spacing w:beforeLines="20" w:before="48" w:afterLines="20" w:after="48"/>
            </w:pPr>
            <w:r>
              <w:t>&lt;</w:t>
            </w:r>
            <w:r w:rsidRPr="00265791">
              <w:t>1</w:t>
            </w:r>
          </w:p>
        </w:tc>
        <w:tc>
          <w:tcPr>
            <w:tcW w:w="787" w:type="pct"/>
            <w:gridSpan w:val="2"/>
            <w:vAlign w:val="center"/>
          </w:tcPr>
          <w:p w14:paraId="5C4F2BB3" w14:textId="77777777" w:rsidR="00F16D0E" w:rsidRPr="00265791" w:rsidRDefault="00F16D0E" w:rsidP="00F75E7E">
            <w:pPr>
              <w:pStyle w:val="BMSTableText"/>
              <w:keepNext/>
              <w:keepLines/>
              <w:tabs>
                <w:tab w:val="clear" w:pos="360"/>
                <w:tab w:val="decimal" w:pos="318"/>
              </w:tabs>
              <w:spacing w:beforeLines="20" w:before="48" w:afterLines="20" w:after="48"/>
            </w:pPr>
            <w:r>
              <w:t>0</w:t>
            </w:r>
          </w:p>
        </w:tc>
        <w:tc>
          <w:tcPr>
            <w:tcW w:w="796" w:type="pct"/>
            <w:vAlign w:val="center"/>
          </w:tcPr>
          <w:p w14:paraId="644C5F92" w14:textId="77777777" w:rsidR="00F16D0E" w:rsidRPr="00265791" w:rsidRDefault="00F16D0E" w:rsidP="00F75E7E">
            <w:pPr>
              <w:pStyle w:val="BMSTableHeader"/>
              <w:keepNext/>
              <w:keepLines/>
              <w:spacing w:before="0" w:after="0"/>
              <w:rPr>
                <w:b w:val="0"/>
              </w:rPr>
            </w:pPr>
            <w:r w:rsidRPr="00265791">
              <w:rPr>
                <w:b w:val="0"/>
              </w:rPr>
              <w:t>4</w:t>
            </w:r>
          </w:p>
        </w:tc>
        <w:tc>
          <w:tcPr>
            <w:tcW w:w="782" w:type="pct"/>
            <w:gridSpan w:val="2"/>
            <w:shd w:val="clear" w:color="auto" w:fill="auto"/>
            <w:vAlign w:val="center"/>
          </w:tcPr>
          <w:p w14:paraId="60FB534E" w14:textId="77777777" w:rsidR="00F16D0E" w:rsidRPr="00265791" w:rsidRDefault="00F16D0E" w:rsidP="00F75E7E">
            <w:pPr>
              <w:pStyle w:val="BMSTableText"/>
              <w:keepNext/>
              <w:keepLines/>
              <w:tabs>
                <w:tab w:val="decimal" w:pos="318"/>
              </w:tabs>
              <w:spacing w:beforeLines="20" w:before="48" w:afterLines="20" w:after="48"/>
            </w:pPr>
            <w:r>
              <w:t>3</w:t>
            </w:r>
          </w:p>
        </w:tc>
        <w:tc>
          <w:tcPr>
            <w:tcW w:w="745" w:type="pct"/>
            <w:shd w:val="clear" w:color="auto" w:fill="auto"/>
            <w:vAlign w:val="center"/>
          </w:tcPr>
          <w:p w14:paraId="24B7CD6D" w14:textId="77777777" w:rsidR="00F16D0E" w:rsidRPr="00265791" w:rsidRDefault="00F16D0E" w:rsidP="00F75E7E">
            <w:pPr>
              <w:pStyle w:val="BMSTableText"/>
              <w:keepNext/>
              <w:keepLines/>
              <w:tabs>
                <w:tab w:val="decimal" w:pos="318"/>
              </w:tabs>
              <w:spacing w:beforeLines="20" w:before="48" w:afterLines="20" w:after="48"/>
            </w:pPr>
            <w:r>
              <w:t>3</w:t>
            </w:r>
          </w:p>
        </w:tc>
      </w:tr>
      <w:tr w:rsidR="00F16D0E" w:rsidRPr="00265791" w14:paraId="6F829381" w14:textId="77777777" w:rsidTr="00F75E7E">
        <w:trPr>
          <w:jc w:val="center"/>
        </w:trPr>
        <w:tc>
          <w:tcPr>
            <w:tcW w:w="1263" w:type="pct"/>
          </w:tcPr>
          <w:p w14:paraId="3F21D2FC" w14:textId="77777777" w:rsidR="00F16D0E" w:rsidRPr="00265791" w:rsidRDefault="00F16D0E" w:rsidP="00F75E7E">
            <w:pPr>
              <w:pStyle w:val="BMSTableText"/>
              <w:keepNext/>
              <w:keepLines/>
              <w:spacing w:beforeLines="20" w:before="48" w:afterLines="20" w:after="48"/>
              <w:jc w:val="left"/>
            </w:pPr>
            <w:r w:rsidRPr="00265791">
              <w:tab/>
              <w:t>Elevated Bilirubin</w:t>
            </w:r>
          </w:p>
        </w:tc>
        <w:tc>
          <w:tcPr>
            <w:tcW w:w="628" w:type="pct"/>
            <w:vAlign w:val="center"/>
          </w:tcPr>
          <w:p w14:paraId="0FA7F5ED" w14:textId="77777777" w:rsidR="00F16D0E" w:rsidRPr="00265791" w:rsidRDefault="00F16D0E" w:rsidP="00F75E7E">
            <w:pPr>
              <w:pStyle w:val="BMSTableText"/>
              <w:keepNext/>
              <w:keepLines/>
              <w:tabs>
                <w:tab w:val="clear" w:pos="360"/>
                <w:tab w:val="decimal" w:pos="318"/>
              </w:tabs>
              <w:spacing w:beforeLines="20" w:before="48" w:afterLines="20" w:after="48"/>
            </w:pPr>
            <w:r>
              <w:t>&lt;</w:t>
            </w:r>
            <w:r w:rsidRPr="00265791">
              <w:t>1</w:t>
            </w:r>
          </w:p>
        </w:tc>
        <w:tc>
          <w:tcPr>
            <w:tcW w:w="787" w:type="pct"/>
            <w:gridSpan w:val="2"/>
            <w:vAlign w:val="center"/>
          </w:tcPr>
          <w:p w14:paraId="3992398C" w14:textId="77777777" w:rsidR="00F16D0E" w:rsidRPr="00265791" w:rsidRDefault="00F16D0E" w:rsidP="00F75E7E">
            <w:pPr>
              <w:pStyle w:val="BMSTableText"/>
              <w:keepNext/>
              <w:keepLines/>
              <w:tabs>
                <w:tab w:val="clear" w:pos="360"/>
                <w:tab w:val="decimal" w:pos="318"/>
              </w:tabs>
              <w:spacing w:beforeLines="20" w:before="48" w:afterLines="20" w:after="48"/>
            </w:pPr>
            <w:r w:rsidRPr="00265791">
              <w:t>1</w:t>
            </w:r>
          </w:p>
        </w:tc>
        <w:tc>
          <w:tcPr>
            <w:tcW w:w="796" w:type="pct"/>
            <w:vAlign w:val="center"/>
          </w:tcPr>
          <w:p w14:paraId="39B68F65" w14:textId="77777777" w:rsidR="00F16D0E" w:rsidRPr="00265791" w:rsidRDefault="00F16D0E" w:rsidP="00F75E7E">
            <w:pPr>
              <w:pStyle w:val="BMSTableHeader"/>
              <w:keepNext/>
              <w:keepLines/>
              <w:spacing w:before="0" w:after="0"/>
              <w:rPr>
                <w:b w:val="0"/>
              </w:rPr>
            </w:pPr>
            <w:r>
              <w:rPr>
                <w:b w:val="0"/>
              </w:rPr>
              <w:t>3</w:t>
            </w:r>
          </w:p>
        </w:tc>
        <w:tc>
          <w:tcPr>
            <w:tcW w:w="782" w:type="pct"/>
            <w:gridSpan w:val="2"/>
            <w:shd w:val="clear" w:color="auto" w:fill="auto"/>
            <w:vAlign w:val="center"/>
          </w:tcPr>
          <w:p w14:paraId="2BA7DFDF" w14:textId="77777777" w:rsidR="00F16D0E" w:rsidRPr="00265791" w:rsidRDefault="00F16D0E" w:rsidP="00F75E7E">
            <w:pPr>
              <w:pStyle w:val="BMSTableText"/>
              <w:keepNext/>
              <w:keepLines/>
              <w:tabs>
                <w:tab w:val="decimal" w:pos="318"/>
              </w:tabs>
              <w:spacing w:beforeLines="20" w:before="48" w:afterLines="20" w:after="48"/>
            </w:pPr>
            <w:r>
              <w:t>6</w:t>
            </w:r>
          </w:p>
        </w:tc>
        <w:tc>
          <w:tcPr>
            <w:tcW w:w="745" w:type="pct"/>
            <w:shd w:val="clear" w:color="auto" w:fill="auto"/>
            <w:vAlign w:val="center"/>
          </w:tcPr>
          <w:p w14:paraId="6244411B" w14:textId="77777777" w:rsidR="00F16D0E" w:rsidRPr="00265791" w:rsidRDefault="00F16D0E" w:rsidP="00F75E7E">
            <w:pPr>
              <w:pStyle w:val="BMSTableText"/>
              <w:keepNext/>
              <w:keepLines/>
              <w:tabs>
                <w:tab w:val="decimal" w:pos="318"/>
              </w:tabs>
              <w:spacing w:beforeLines="20" w:before="48" w:afterLines="20" w:after="48"/>
            </w:pPr>
            <w:r>
              <w:t>3</w:t>
            </w:r>
          </w:p>
        </w:tc>
      </w:tr>
      <w:tr w:rsidR="00F16D0E" w:rsidRPr="00265791" w14:paraId="76C434FE" w14:textId="77777777" w:rsidTr="00F75E7E">
        <w:trPr>
          <w:jc w:val="center"/>
        </w:trPr>
        <w:tc>
          <w:tcPr>
            <w:tcW w:w="1263" w:type="pct"/>
            <w:tcBorders>
              <w:top w:val="nil"/>
            </w:tcBorders>
          </w:tcPr>
          <w:p w14:paraId="7F61AEE0" w14:textId="77777777" w:rsidR="00F16D0E" w:rsidRPr="00265791" w:rsidRDefault="00F16D0E" w:rsidP="00F75E7E">
            <w:pPr>
              <w:pStyle w:val="BMSTableText"/>
              <w:keepNext/>
              <w:keepLines/>
              <w:spacing w:beforeLines="20" w:before="48" w:afterLines="20" w:after="48"/>
              <w:jc w:val="left"/>
            </w:pPr>
            <w:r w:rsidRPr="00265791">
              <w:tab/>
              <w:t>Elevated Creatinine</w:t>
            </w:r>
          </w:p>
        </w:tc>
        <w:tc>
          <w:tcPr>
            <w:tcW w:w="628" w:type="pct"/>
            <w:tcBorders>
              <w:top w:val="nil"/>
            </w:tcBorders>
            <w:vAlign w:val="center"/>
          </w:tcPr>
          <w:p w14:paraId="617EC0AF" w14:textId="77777777" w:rsidR="00F16D0E" w:rsidRPr="00265791" w:rsidRDefault="00F16D0E" w:rsidP="00F75E7E">
            <w:pPr>
              <w:pStyle w:val="BMSTableText"/>
              <w:keepNext/>
              <w:keepLines/>
              <w:tabs>
                <w:tab w:val="clear" w:pos="360"/>
                <w:tab w:val="decimal" w:pos="318"/>
              </w:tabs>
              <w:spacing w:beforeLines="20" w:before="48" w:afterLines="20" w:after="48"/>
            </w:pPr>
            <w:r>
              <w:t>0</w:t>
            </w:r>
          </w:p>
        </w:tc>
        <w:tc>
          <w:tcPr>
            <w:tcW w:w="787" w:type="pct"/>
            <w:gridSpan w:val="2"/>
            <w:tcBorders>
              <w:top w:val="nil"/>
            </w:tcBorders>
            <w:vAlign w:val="center"/>
          </w:tcPr>
          <w:p w14:paraId="56B2D669" w14:textId="77777777" w:rsidR="00F16D0E" w:rsidRPr="00265791" w:rsidRDefault="00F16D0E" w:rsidP="00F75E7E">
            <w:pPr>
              <w:pStyle w:val="BMSTableText"/>
              <w:keepNext/>
              <w:keepLines/>
              <w:tabs>
                <w:tab w:val="clear" w:pos="360"/>
                <w:tab w:val="decimal" w:pos="318"/>
              </w:tabs>
              <w:spacing w:beforeLines="20" w:before="48" w:afterLines="20" w:after="48"/>
            </w:pPr>
            <w:r>
              <w:t>2</w:t>
            </w:r>
          </w:p>
        </w:tc>
        <w:tc>
          <w:tcPr>
            <w:tcW w:w="796" w:type="pct"/>
            <w:tcBorders>
              <w:top w:val="nil"/>
            </w:tcBorders>
            <w:vAlign w:val="center"/>
          </w:tcPr>
          <w:p w14:paraId="25D85602" w14:textId="77777777" w:rsidR="00F16D0E" w:rsidRPr="00265791" w:rsidRDefault="00F16D0E" w:rsidP="00F75E7E">
            <w:pPr>
              <w:pStyle w:val="BMSTableHeader"/>
              <w:keepNext/>
              <w:keepLines/>
              <w:spacing w:before="0" w:after="0"/>
              <w:rPr>
                <w:b w:val="0"/>
              </w:rPr>
            </w:pPr>
            <w:r>
              <w:rPr>
                <w:b w:val="0"/>
              </w:rPr>
              <w:t>8</w:t>
            </w:r>
          </w:p>
        </w:tc>
        <w:tc>
          <w:tcPr>
            <w:tcW w:w="782" w:type="pct"/>
            <w:gridSpan w:val="2"/>
            <w:shd w:val="clear" w:color="auto" w:fill="auto"/>
            <w:vAlign w:val="center"/>
          </w:tcPr>
          <w:p w14:paraId="776858B9" w14:textId="77777777" w:rsidR="00F16D0E" w:rsidRPr="00265791" w:rsidRDefault="00F16D0E" w:rsidP="00F75E7E">
            <w:pPr>
              <w:pStyle w:val="BMSTableText"/>
              <w:keepNext/>
              <w:keepLines/>
              <w:tabs>
                <w:tab w:val="clear" w:pos="360"/>
                <w:tab w:val="decimal" w:pos="745"/>
              </w:tabs>
              <w:spacing w:beforeLines="20" w:before="48" w:afterLines="20" w:after="48"/>
              <w:jc w:val="left"/>
            </w:pPr>
            <w:r w:rsidRPr="00265791">
              <w:t xml:space="preserve">   </w:t>
            </w:r>
            <w:r>
              <w:t>0</w:t>
            </w:r>
          </w:p>
        </w:tc>
        <w:tc>
          <w:tcPr>
            <w:tcW w:w="745" w:type="pct"/>
            <w:shd w:val="clear" w:color="auto" w:fill="auto"/>
            <w:vAlign w:val="center"/>
          </w:tcPr>
          <w:p w14:paraId="7920B4C7" w14:textId="77777777" w:rsidR="00F16D0E" w:rsidRPr="00265791" w:rsidRDefault="00F16D0E" w:rsidP="00F75E7E">
            <w:pPr>
              <w:pStyle w:val="BMSTableText"/>
              <w:keepNext/>
              <w:keepLines/>
              <w:tabs>
                <w:tab w:val="clear" w:pos="360"/>
              </w:tabs>
              <w:spacing w:beforeLines="20" w:before="48" w:afterLines="20" w:after="48"/>
            </w:pPr>
            <w:r w:rsidRPr="00265791">
              <w:t>0</w:t>
            </w:r>
          </w:p>
        </w:tc>
      </w:tr>
      <w:tr w:rsidR="00F16D0E" w:rsidRPr="00F16D0E" w14:paraId="144F59D7" w14:textId="77777777" w:rsidTr="00F75E7E">
        <w:trPr>
          <w:trHeight w:val="1291"/>
          <w:jc w:val="center"/>
        </w:trPr>
        <w:tc>
          <w:tcPr>
            <w:tcW w:w="5000" w:type="pct"/>
            <w:gridSpan w:val="8"/>
            <w:tcBorders>
              <w:top w:val="double" w:sz="4" w:space="0" w:color="auto"/>
              <w:bottom w:val="double" w:sz="4" w:space="0" w:color="auto"/>
            </w:tcBorders>
          </w:tcPr>
          <w:p w14:paraId="6031FA78" w14:textId="77777777" w:rsidR="00F16D0E" w:rsidRPr="00F16D0E" w:rsidRDefault="00F16D0E" w:rsidP="00F75E7E">
            <w:pPr>
              <w:pStyle w:val="BMSTableText"/>
              <w:keepNext/>
              <w:keepLines/>
              <w:jc w:val="both"/>
              <w:rPr>
                <w:sz w:val="18"/>
                <w:szCs w:val="18"/>
              </w:rPr>
            </w:pPr>
            <w:r w:rsidRPr="00F16D0E">
              <w:rPr>
                <w:sz w:val="18"/>
                <w:szCs w:val="18"/>
                <w:vertAlign w:val="superscript"/>
              </w:rPr>
              <w:t>a</w:t>
            </w:r>
            <w:r w:rsidRPr="00F16D0E">
              <w:rPr>
                <w:sz w:val="18"/>
                <w:szCs w:val="18"/>
              </w:rPr>
              <w:t xml:space="preserve"> Phase III dose optimisation study results reported at 2 years study follow up </w:t>
            </w:r>
          </w:p>
          <w:p w14:paraId="7862B3B8" w14:textId="77777777" w:rsidR="00F16D0E" w:rsidRPr="00F16D0E" w:rsidRDefault="00F16D0E" w:rsidP="00F75E7E">
            <w:pPr>
              <w:pStyle w:val="BMSTableText"/>
              <w:keepNext/>
              <w:keepLines/>
              <w:jc w:val="both"/>
              <w:rPr>
                <w:sz w:val="18"/>
                <w:szCs w:val="18"/>
              </w:rPr>
            </w:pPr>
            <w:r w:rsidRPr="00F16D0E">
              <w:rPr>
                <w:sz w:val="18"/>
                <w:szCs w:val="18"/>
                <w:vertAlign w:val="superscript"/>
              </w:rPr>
              <w:t>b</w:t>
            </w:r>
            <w:r w:rsidRPr="00F16D0E">
              <w:rPr>
                <w:sz w:val="18"/>
                <w:szCs w:val="18"/>
              </w:rPr>
              <w:t xml:space="preserve"> CA 180-034 study results in recommended starting dose of 100 mg once daily</w:t>
            </w:r>
          </w:p>
          <w:p w14:paraId="7D9589C8" w14:textId="77777777" w:rsidR="00F16D0E" w:rsidRPr="00F16D0E" w:rsidRDefault="00F16D0E" w:rsidP="00F75E7E">
            <w:pPr>
              <w:pStyle w:val="BMSTableText"/>
              <w:keepNext/>
              <w:keepLines/>
              <w:jc w:val="both"/>
              <w:rPr>
                <w:sz w:val="18"/>
                <w:szCs w:val="18"/>
                <w:vertAlign w:val="superscript"/>
              </w:rPr>
            </w:pPr>
            <w:r w:rsidRPr="00F16D0E">
              <w:rPr>
                <w:sz w:val="18"/>
                <w:szCs w:val="18"/>
                <w:vertAlign w:val="superscript"/>
              </w:rPr>
              <w:t xml:space="preserve">c </w:t>
            </w:r>
            <w:r w:rsidRPr="00F16D0E">
              <w:rPr>
                <w:sz w:val="18"/>
                <w:szCs w:val="18"/>
              </w:rPr>
              <w:t>CA 180-035 study results in recommended starting dose of 140 mg once daily</w:t>
            </w:r>
          </w:p>
          <w:p w14:paraId="6CD3CC3E" w14:textId="77777777" w:rsidR="00F16D0E" w:rsidRPr="00F16D0E" w:rsidRDefault="00F16D0E" w:rsidP="00F75E7E">
            <w:pPr>
              <w:pStyle w:val="BMSTableText"/>
              <w:keepNext/>
              <w:keepLines/>
              <w:jc w:val="both"/>
              <w:rPr>
                <w:sz w:val="18"/>
                <w:szCs w:val="18"/>
              </w:rPr>
            </w:pPr>
            <w:r w:rsidRPr="00F16D0E">
              <w:rPr>
                <w:sz w:val="18"/>
                <w:szCs w:val="18"/>
              </w:rPr>
              <w:t>CTC grades: neutropenia (Grade 3 ≥0.5–&lt;1.0 × 10</w:t>
            </w:r>
            <w:r w:rsidRPr="00F16D0E">
              <w:rPr>
                <w:rStyle w:val="BMSSuperscript"/>
                <w:sz w:val="18"/>
                <w:szCs w:val="18"/>
              </w:rPr>
              <w:t>9</w:t>
            </w:r>
            <w:r w:rsidRPr="00F16D0E">
              <w:rPr>
                <w:sz w:val="18"/>
                <w:szCs w:val="18"/>
              </w:rPr>
              <w:t>/L, Grade 4 &lt;0.5 × 10</w:t>
            </w:r>
            <w:r w:rsidRPr="00F16D0E">
              <w:rPr>
                <w:rStyle w:val="BMSSuperscript"/>
                <w:sz w:val="18"/>
                <w:szCs w:val="18"/>
              </w:rPr>
              <w:t>9</w:t>
            </w:r>
            <w:r w:rsidRPr="00F16D0E">
              <w:rPr>
                <w:sz w:val="18"/>
                <w:szCs w:val="18"/>
              </w:rPr>
              <w:t>/L); thrombocytopenia (Grade 3 ≥25–&lt;50 × 10</w:t>
            </w:r>
            <w:r w:rsidRPr="00F16D0E">
              <w:rPr>
                <w:rStyle w:val="BMSSuperscript"/>
                <w:sz w:val="18"/>
                <w:szCs w:val="18"/>
              </w:rPr>
              <w:t>9</w:t>
            </w:r>
            <w:r w:rsidRPr="00F16D0E">
              <w:rPr>
                <w:sz w:val="18"/>
                <w:szCs w:val="18"/>
              </w:rPr>
              <w:t>/L, Grade 4 &lt;25 × 10</w:t>
            </w:r>
            <w:r w:rsidRPr="00F16D0E">
              <w:rPr>
                <w:rStyle w:val="BMSSuperscript"/>
                <w:sz w:val="18"/>
                <w:szCs w:val="18"/>
              </w:rPr>
              <w:t>9</w:t>
            </w:r>
            <w:r w:rsidRPr="00F16D0E">
              <w:rPr>
                <w:sz w:val="18"/>
                <w:szCs w:val="18"/>
              </w:rPr>
              <w:t>/L);</w:t>
            </w:r>
            <w:r w:rsidRPr="00F16D0E">
              <w:rPr>
                <w:sz w:val="18"/>
                <w:szCs w:val="18"/>
                <w:lang w:val="en-AU"/>
              </w:rPr>
              <w:t xml:space="preserve"> anaemia</w:t>
            </w:r>
            <w:r w:rsidRPr="00F16D0E">
              <w:rPr>
                <w:sz w:val="18"/>
                <w:szCs w:val="18"/>
              </w:rPr>
              <w:t xml:space="preserve"> (hemoglobin  Grade 3 ≥65–&lt;80 g/L, Grade 4 &lt;65 g/L); elevated creatinine (Grade 3 &gt;3–6 × upper limit of normal range (ULN), Grade 4 &gt;6 × ULN); elevated bilirubin (Grade 3 &gt;3–10 × ULN, Grade 4 &gt;10 × ULN); elevated SGOT or SGPT (Grade 3 &gt;5–20 × ULN, Grade 4 &gt;20 × ULN); hypocalcaemia (Grade 3 &lt;7.0–6.0 mg/dL, Grade 4 &lt;6.0 mg/dL); hypophosphataemia (Grade 3 &lt;2.0–1.0 mg/dL, Grade 4 &lt;1.0 mg/dL); hypokalaemia (Grade 3 &lt;3.0-2.5 mmol/L, Grade 4 &lt;2.5 mmol/L). </w:t>
            </w:r>
          </w:p>
        </w:tc>
      </w:tr>
    </w:tbl>
    <w:p w14:paraId="43365590" w14:textId="77777777" w:rsidR="00F16D0E" w:rsidRPr="00265791" w:rsidRDefault="00F16D0E" w:rsidP="00F16D0E"/>
    <w:p w14:paraId="167D4198" w14:textId="77777777" w:rsidR="00F16D0E" w:rsidRPr="00265791" w:rsidRDefault="00F16D0E" w:rsidP="00F16D0E">
      <w:r w:rsidRPr="00265791">
        <w:t>Myelosuppression was commonly reported in all patient populations. In newly diagnosed chronic phase CML, myelosupression was less frequently reported than in chronic phase CML patients with resistance or intolerance to prior imatinib therapy. The frequency of Grade 3 or 4 neutropenia, thrombocytopenia, and anaemia was higher in patients with advanced CML or Ph+ ALL than in chronic phase CML.</w:t>
      </w:r>
    </w:p>
    <w:p w14:paraId="5AF79F49" w14:textId="77777777" w:rsidR="00F16D0E" w:rsidRPr="00265791" w:rsidRDefault="00F16D0E" w:rsidP="00F16D0E">
      <w:r w:rsidRPr="00265791">
        <w:t>In patients who experienced Grade 3 or 4 myelosuppression, recovery generally occurred following dose interruption or reduction; permanent discontinuation of treatment occurred in 2% of newly diagnosed chronic phase CML patients</w:t>
      </w:r>
      <w:r>
        <w:t xml:space="preserve"> in the Phase III study</w:t>
      </w:r>
      <w:r w:rsidRPr="00265791">
        <w:t xml:space="preserve"> and in 5% of patients with resistance or intolerance to prior imatinib therapy</w:t>
      </w:r>
      <w:r>
        <w:t xml:space="preserve"> in the Phase III study</w:t>
      </w:r>
      <w:r w:rsidRPr="00265791">
        <w:t xml:space="preserve">. </w:t>
      </w:r>
    </w:p>
    <w:p w14:paraId="582258C0" w14:textId="77777777" w:rsidR="00F16D0E" w:rsidRPr="00265791" w:rsidRDefault="00F16D0E" w:rsidP="00F16D0E">
      <w:r w:rsidRPr="00265791">
        <w:lastRenderedPageBreak/>
        <w:t>Grade 3 or 4 elevations in transaminases or bilirubin and Grade 3 or 4 hypocalcaemia, hypokalaemia, and hypophosphataemia were reported in all phases of CML but were reported with an increased frequency in patients with myeloid or lymphoid blast phase CML and Ph+ ALL. Elevations in</w:t>
      </w:r>
      <w:r w:rsidRPr="00265791">
        <w:rPr>
          <w:lang w:val="en-BZ"/>
        </w:rPr>
        <w:t xml:space="preserve"> transaminases</w:t>
      </w:r>
      <w:r w:rsidRPr="00265791">
        <w:t xml:space="preserve"> or bilirubin were usually managed with dose reduction or interruption. In general, decreased calcium levels were not associated with clinical symptoms. Patients developing Grade 3 or 4 hypocalcaemia often had recovery with oral calcium supplementation.</w:t>
      </w:r>
    </w:p>
    <w:p w14:paraId="38B3920C" w14:textId="77777777" w:rsidR="00F16D0E" w:rsidRPr="00265791" w:rsidRDefault="00F16D0E" w:rsidP="00F16D0E"/>
    <w:p w14:paraId="16AC1793" w14:textId="77777777" w:rsidR="002458D3" w:rsidRDefault="002458D3">
      <w:pPr>
        <w:spacing w:after="0"/>
        <w:jc w:val="left"/>
        <w:rPr>
          <w:b/>
          <w:smallCaps/>
          <w:sz w:val="26"/>
          <w:szCs w:val="26"/>
        </w:rPr>
      </w:pPr>
      <w:r>
        <w:br w:type="page"/>
      </w:r>
    </w:p>
    <w:p w14:paraId="4325D98B" w14:textId="20026367" w:rsidR="001A3992" w:rsidRPr="000A4651" w:rsidRDefault="001A3992" w:rsidP="003144B2">
      <w:pPr>
        <w:pStyle w:val="Heading2"/>
      </w:pPr>
      <w:r w:rsidRPr="000A4651">
        <w:lastRenderedPageBreak/>
        <w:t>Interactions with other medicines and other forms of interactions</w:t>
      </w:r>
    </w:p>
    <w:p w14:paraId="1518213E" w14:textId="77777777" w:rsidR="00F16D0E" w:rsidRPr="00265791" w:rsidRDefault="00F16D0E" w:rsidP="00D62371">
      <w:pPr>
        <w:pStyle w:val="Heading3"/>
      </w:pPr>
      <w:r w:rsidRPr="00265791">
        <w:t>Drugs that may increase dasatinib plasma concentrations</w:t>
      </w:r>
    </w:p>
    <w:p w14:paraId="70CEE035" w14:textId="51D011B9" w:rsidR="00F75E7E" w:rsidRDefault="00F16D0E" w:rsidP="00F75E7E">
      <w:pPr>
        <w:pStyle w:val="Heading4"/>
      </w:pPr>
      <w:r w:rsidRPr="00265791">
        <w:t>CYP3A4 Inhibitors</w:t>
      </w:r>
    </w:p>
    <w:p w14:paraId="3665F127" w14:textId="2E62BADC" w:rsidR="00F16D0E" w:rsidRPr="00265791" w:rsidRDefault="00F16D0E" w:rsidP="00F16D0E">
      <w:pPr>
        <w:tabs>
          <w:tab w:val="left" w:pos="204"/>
        </w:tabs>
      </w:pPr>
      <w:r w:rsidRPr="00265791">
        <w:rPr>
          <w:i/>
        </w:rPr>
        <w:t>In vitro</w:t>
      </w:r>
      <w:r w:rsidRPr="00265791">
        <w:t xml:space="preserve">, dasatinib is a CYP3A4 substrate.  Concomitant use of SPRYCEL and substances that potently inhibit CYP3A4 (e.g. ketoconazole, itraconazole, erythromycin, clarithromycin, ritonavir, atazanavir, lopinavir, grapefruit juice) may increase exposure to dasatinib.  Therefore, in patients receiving treatment with SPRYCEL, systemic administration of a potent CYP3A4 inhibitor is not recommended. Selection of an alternate concomitant medication with no or minimal CYP3A4 inhibition potential is recommended. If systemic administration of a potent CYP3A4 inhibitor cannot be avoided, the patient should be closely monitored for toxicity.   </w:t>
      </w:r>
    </w:p>
    <w:p w14:paraId="7FCABAEE" w14:textId="77777777" w:rsidR="00F16D0E" w:rsidRPr="00265791" w:rsidRDefault="00F16D0E" w:rsidP="00D62371">
      <w:pPr>
        <w:pStyle w:val="Heading3"/>
      </w:pPr>
      <w:r w:rsidRPr="00265791">
        <w:t>Drugs that may decrease dasatinib plasma concentrations</w:t>
      </w:r>
    </w:p>
    <w:p w14:paraId="729ACF18" w14:textId="091ECB5E" w:rsidR="00F75E7E" w:rsidRDefault="00F16D0E" w:rsidP="00F75E7E">
      <w:pPr>
        <w:pStyle w:val="Heading4"/>
      </w:pPr>
      <w:r w:rsidRPr="00265791">
        <w:t xml:space="preserve">CYP3A4 Inducers </w:t>
      </w:r>
    </w:p>
    <w:p w14:paraId="7A5AB0D9" w14:textId="504F4195" w:rsidR="00F16D0E" w:rsidRPr="00265791" w:rsidRDefault="00F16D0E" w:rsidP="00F16D0E">
      <w:pPr>
        <w:tabs>
          <w:tab w:val="left" w:pos="204"/>
        </w:tabs>
      </w:pPr>
      <w:r w:rsidRPr="00265791">
        <w:t>Drugs that induce CYP3A4 activity may increase metabolism and decrease dasatinib plasma concentration.  Therefore, concomitant use of potent CYP3A4 inducers (e.g., dexamethasone, phenytoin, carbamazepine, rifampicin, phenobarbital or Hypericum perforatum, also known as St. John’s Wort) with SPRYCEL</w:t>
      </w:r>
      <w:r w:rsidRPr="00265791">
        <w:rPr>
          <w:vertAlign w:val="superscript"/>
        </w:rPr>
        <w:t xml:space="preserve"> </w:t>
      </w:r>
      <w:r w:rsidRPr="00265791">
        <w:t xml:space="preserve">is not recommended.  In healthy subjects, the concomitant use of SPRYCEL and rifampicin, a potent CYP3A4 inducer, resulted in a five-fold decrease in dasatinib exposure.  In patients for whom rifampicin or other CYP3A4 inducers are indicated, alternative agents with less enzyme induction potential should be used.  </w:t>
      </w:r>
    </w:p>
    <w:p w14:paraId="667E468A" w14:textId="099BD44D" w:rsidR="00F75E7E" w:rsidRDefault="00F16D0E" w:rsidP="00F75E7E">
      <w:pPr>
        <w:pStyle w:val="Heading4"/>
      </w:pPr>
      <w:r w:rsidRPr="00265791">
        <w:t xml:space="preserve">Antacids </w:t>
      </w:r>
    </w:p>
    <w:p w14:paraId="12C43D39" w14:textId="58C770AD" w:rsidR="00F16D0E" w:rsidRPr="00265791" w:rsidRDefault="00F16D0E" w:rsidP="00F16D0E">
      <w:pPr>
        <w:tabs>
          <w:tab w:val="left" w:pos="204"/>
        </w:tabs>
      </w:pPr>
      <w:r w:rsidRPr="00265791">
        <w:t>Non-clinical data demonstrate that the solubility of dasatinib is pH dependent.  In healthy subjects, the concomitant use of aluminium hydroxide/magnesium hydroxide antacids with SPRYCEL</w:t>
      </w:r>
      <w:r w:rsidRPr="00265791">
        <w:rPr>
          <w:vertAlign w:val="superscript"/>
        </w:rPr>
        <w:t xml:space="preserve"> </w:t>
      </w:r>
      <w:r w:rsidRPr="00265791">
        <w:t>reduced the AUC of a single dose of SPRYCEL by 55% and the C</w:t>
      </w:r>
      <w:r w:rsidRPr="002458D3">
        <w:rPr>
          <w:vertAlign w:val="subscript"/>
        </w:rPr>
        <w:t>max</w:t>
      </w:r>
      <w:r w:rsidRPr="00265791">
        <w:t xml:space="preserve"> by 58%.  However, when antacids were administered 2 hours prior to a single dose of SPRYCEL, no relevant changes in SPRYCEL, concentration or exposure were observed.  Thus, antacids may be administered up to 2 hours prior to or 2 hours following SPRYCEL. Simultaneous administration of SPRYCEL with antacids should be avoided. </w:t>
      </w:r>
    </w:p>
    <w:p w14:paraId="70F94EB1" w14:textId="6FDD0282" w:rsidR="00F75E7E" w:rsidRDefault="00F16D0E" w:rsidP="00F75E7E">
      <w:pPr>
        <w:pStyle w:val="Heading4"/>
      </w:pPr>
      <w:r w:rsidRPr="00265791">
        <w:t>Histamine-2 Antagonists /Proton Pump Inhibitors</w:t>
      </w:r>
    </w:p>
    <w:p w14:paraId="391967E0" w14:textId="24765BCF" w:rsidR="00F16D0E" w:rsidRPr="00265791" w:rsidRDefault="00F16D0E" w:rsidP="00F16D0E">
      <w:pPr>
        <w:tabs>
          <w:tab w:val="left" w:pos="204"/>
        </w:tabs>
      </w:pPr>
      <w:r w:rsidRPr="00265791">
        <w:t>Long-term suppression of gastric secretion by Histamine-2 Antagonists or proton pump inhibitors (e.g. famotidine and omeprazole) is likely to reduce dasatinib exposure. The concomitant use of Histamine-2 Antagonists or proton pump inhibitors with SPRYCEL</w:t>
      </w:r>
      <w:r w:rsidR="00546BFC">
        <w:t xml:space="preserve"> </w:t>
      </w:r>
      <w:r w:rsidRPr="00265791">
        <w:t>is not recommended. In a single-dose study in healthy subjects, the administration of famotidine 10 hours prior to a single dose of SPRYCEL reduced dasatinib exposure by 61%.  The use of antacids should be considered in place of Histamine-2 Antagonists or proton pump inhibitors in patients receiving SPRYCEL therapy.</w:t>
      </w:r>
    </w:p>
    <w:p w14:paraId="4E5DA751" w14:textId="77777777" w:rsidR="00F16D0E" w:rsidRPr="00265791" w:rsidRDefault="00F16D0E" w:rsidP="00D62371">
      <w:pPr>
        <w:pStyle w:val="Heading3"/>
      </w:pPr>
      <w:r w:rsidRPr="00265791">
        <w:t>Drugs that may have their plasma concentration altered by dasatinib</w:t>
      </w:r>
    </w:p>
    <w:p w14:paraId="73DBF72C" w14:textId="299B26A2" w:rsidR="00F75E7E" w:rsidRDefault="00F16D0E" w:rsidP="00F75E7E">
      <w:pPr>
        <w:pStyle w:val="Heading4"/>
      </w:pPr>
      <w:r w:rsidRPr="00265791">
        <w:t xml:space="preserve">CYP3A4 Substrates </w:t>
      </w:r>
    </w:p>
    <w:p w14:paraId="6BF6BC9C" w14:textId="5F29391A" w:rsidR="00F16D0E" w:rsidRPr="00265791" w:rsidRDefault="00F16D0E" w:rsidP="00F16D0E">
      <w:pPr>
        <w:tabs>
          <w:tab w:val="left" w:pos="204"/>
        </w:tabs>
      </w:pPr>
      <w:r w:rsidRPr="00265791">
        <w:t>In a study in healthy subjects, a single 100 mg dose of SPRYCEL increased exposure to simvastatin, a known CYP3A4 substrate, by 20%.  Therefore, CYP3A4 substrates known to have a narrow therapeutic index such as astemizole, terfenadine, cisapride, pimozide, quinidine, bepridil or ergot alkaloids (ergotamine, dihydroergotamine) should be administered with caution in patients receiving SPRYCEL. (</w:t>
      </w:r>
      <w:r w:rsidR="00B3545F">
        <w:t>s</w:t>
      </w:r>
      <w:r w:rsidRPr="00265791">
        <w:t xml:space="preserve">ee </w:t>
      </w:r>
      <w:r w:rsidR="002B0D52">
        <w:t>Section 5.1 Pharmacodynamic properties – Mechanism of action</w:t>
      </w:r>
      <w:r w:rsidRPr="00265791">
        <w:t>).</w:t>
      </w:r>
    </w:p>
    <w:p w14:paraId="0A34584A" w14:textId="77777777" w:rsidR="00F16D0E" w:rsidRDefault="00F16D0E" w:rsidP="00D62371">
      <w:pPr>
        <w:pStyle w:val="Heading3"/>
      </w:pPr>
      <w:r>
        <w:t>Other interactions</w:t>
      </w:r>
    </w:p>
    <w:p w14:paraId="48CC6C1D" w14:textId="77777777" w:rsidR="00F16D0E" w:rsidRDefault="00F16D0E" w:rsidP="00F16D0E">
      <w:pPr>
        <w:tabs>
          <w:tab w:val="left" w:pos="204"/>
        </w:tabs>
      </w:pPr>
      <w:r w:rsidRPr="00265791">
        <w:rPr>
          <w:i/>
        </w:rPr>
        <w:t>In vitro</w:t>
      </w:r>
      <w:r w:rsidRPr="00265791">
        <w:t xml:space="preserve"> data indicate a potential risk for interaction with CYP2C8 substrates, such as glitazones.</w:t>
      </w:r>
    </w:p>
    <w:p w14:paraId="01EB4021" w14:textId="052C1614" w:rsidR="00F16D0E" w:rsidRPr="00265791" w:rsidRDefault="00F16D0E" w:rsidP="00F16D0E">
      <w:pPr>
        <w:tabs>
          <w:tab w:val="left" w:pos="204"/>
        </w:tabs>
      </w:pPr>
      <w:r w:rsidRPr="00CC35E2">
        <w:lastRenderedPageBreak/>
        <w:t>No specific drug interaction studies between dasatinib and chemotherapy regime</w:t>
      </w:r>
      <w:r>
        <w:t xml:space="preserve">ns routinely used </w:t>
      </w:r>
      <w:r w:rsidRPr="00CC35E2">
        <w:t xml:space="preserve">in newly diagnosed Ph+ ALL </w:t>
      </w:r>
      <w:r>
        <w:t xml:space="preserve">patients </w:t>
      </w:r>
      <w:r w:rsidRPr="00CC35E2">
        <w:t>have been performed.</w:t>
      </w:r>
    </w:p>
    <w:p w14:paraId="0907958B" w14:textId="77777777" w:rsidR="001A3992" w:rsidRPr="000A4651" w:rsidRDefault="001A3992" w:rsidP="003144B2">
      <w:pPr>
        <w:pStyle w:val="Heading2"/>
      </w:pPr>
      <w:r w:rsidRPr="000A4651">
        <w:t xml:space="preserve">Fertility, pregnancy and lactation </w:t>
      </w:r>
    </w:p>
    <w:p w14:paraId="0300B87C" w14:textId="06830ED3" w:rsidR="001A3992" w:rsidRDefault="001A3992" w:rsidP="00D62371">
      <w:pPr>
        <w:pStyle w:val="Heading3"/>
      </w:pPr>
      <w:r w:rsidRPr="000A4651">
        <w:t>Effects on fertility</w:t>
      </w:r>
    </w:p>
    <w:p w14:paraId="1D386D9B" w14:textId="1032917B" w:rsidR="00793041" w:rsidRPr="00265791" w:rsidRDefault="00793041" w:rsidP="00793041">
      <w:r w:rsidRPr="00265791">
        <w:t xml:space="preserve">Dasatinib did not affect male or female fertility in a conventional rat fertility and early embryonic development study at approximately 1x human clinical exposure (100 or 140 mg dose). However, embryolethality was evident when dams were treated at these doses. </w:t>
      </w:r>
      <w:r w:rsidRPr="00265791">
        <w:rPr>
          <w:bCs/>
        </w:rPr>
        <w:t xml:space="preserve">Dasatinib caused atrophy/degeneration of the testis in rats and monkeys and an increase in the number of corpora lutea in the ovaries in rats at doses producing plasma exposure levels below or close to that anticipated in patients receiving SPRYCEL therapy. Data evaluating reproductive toxicity in male patients taking SPRYCEL is limited (see </w:t>
      </w:r>
      <w:r w:rsidR="002B0D52">
        <w:rPr>
          <w:bCs/>
        </w:rPr>
        <w:t>Section 4.6 Fertility, pregnancy and lactation – Use in pregnancy</w:t>
      </w:r>
      <w:r w:rsidRPr="00265791">
        <w:rPr>
          <w:bCs/>
        </w:rPr>
        <w:t xml:space="preserve">).  </w:t>
      </w:r>
    </w:p>
    <w:p w14:paraId="4DB22F5C" w14:textId="38FE8132" w:rsidR="001A3992" w:rsidRDefault="003C741E" w:rsidP="00D62371">
      <w:pPr>
        <w:pStyle w:val="Heading3"/>
      </w:pPr>
      <w:r w:rsidRPr="000A4651">
        <w:t>Use in pregnancy</w:t>
      </w:r>
    </w:p>
    <w:p w14:paraId="22FEEEB5" w14:textId="77777777" w:rsidR="00793041" w:rsidRPr="00793041" w:rsidRDefault="00793041" w:rsidP="00793041">
      <w:pPr>
        <w:rPr>
          <w:b/>
        </w:rPr>
      </w:pPr>
      <w:r w:rsidRPr="00793041">
        <w:rPr>
          <w:b/>
        </w:rPr>
        <w:t>Pregnancy Category D</w:t>
      </w:r>
    </w:p>
    <w:p w14:paraId="24DDA12D" w14:textId="1220D92B" w:rsidR="00793041" w:rsidRPr="00265791" w:rsidRDefault="00793041" w:rsidP="00793041">
      <w:r w:rsidRPr="00265791">
        <w:t xml:space="preserve">Dasatinib may cause fetal harm when administered to a pregnant woman (see </w:t>
      </w:r>
      <w:r w:rsidR="002B0D52">
        <w:rPr>
          <w:bCs/>
        </w:rPr>
        <w:t>Section 4.6 Fertility, pregnancy and lactation – Embryofetal toxicity</w:t>
      </w:r>
      <w:r w:rsidRPr="00265791">
        <w:t xml:space="preserve">).  In non-clinical studies, at exposure levels that are readily achievable in humans receiving therapeutic doses of 100 mg of SPRYCEL serious embryo fetal toxicity was observed in both pregnant rats and rabbits.  Malformations and fetal death were observed in rats treated with dasatinib. </w:t>
      </w:r>
    </w:p>
    <w:p w14:paraId="064D1608" w14:textId="71F59FCE" w:rsidR="00793041" w:rsidRPr="00265791" w:rsidRDefault="00793041" w:rsidP="00793041">
      <w:r w:rsidRPr="00265791">
        <w:t>SPRYCEL is therefore not recommended for use in women who are pregnant or contemplating pregnancy. Women must be advised to avoid becoming pregnant while on therapy. If SPRYCEL is used during pregnancy, or if the patient becomes pregnant while taking SPRYCEL, the patient should be apprised of the potential hazard to the fetus.</w:t>
      </w:r>
    </w:p>
    <w:p w14:paraId="47AB3745" w14:textId="43B82AB0" w:rsidR="00793041" w:rsidRPr="00265791" w:rsidRDefault="00793041" w:rsidP="00793041">
      <w:r w:rsidRPr="00265791">
        <w:t>The potential effects of SPRYCEL on sperm have been evaluated in an oral study of fertility and early embryonic development in rats. Dasatinib is not a reproductive toxicant in male rats at clinically relevant exposures (see</w:t>
      </w:r>
      <w:r w:rsidR="002B0D52">
        <w:t xml:space="preserve"> </w:t>
      </w:r>
      <w:r w:rsidR="002B0D52">
        <w:rPr>
          <w:bCs/>
        </w:rPr>
        <w:t>Section 4.6 Fertility, pregnancy and lactation -</w:t>
      </w:r>
      <w:r w:rsidRPr="00265791">
        <w:t xml:space="preserve"> </w:t>
      </w:r>
      <w:r w:rsidR="002B0D52">
        <w:t>E</w:t>
      </w:r>
      <w:r w:rsidR="002B0D52" w:rsidRPr="00265791">
        <w:t>ffects on fertility</w:t>
      </w:r>
      <w:r w:rsidRPr="00265791">
        <w:t>). However, data evaluating reproductive toxicity in male patients taking SPRYCEL are limited.</w:t>
      </w:r>
    </w:p>
    <w:p w14:paraId="1A26F08F" w14:textId="02B69BE9" w:rsidR="00793041" w:rsidRPr="00265791" w:rsidRDefault="00793041" w:rsidP="00793041">
      <w:r w:rsidRPr="00265791">
        <w:t>Sexually active male or female patients of child bearing potential taking SPRYCEL should use adequate contraception.</w:t>
      </w:r>
    </w:p>
    <w:p w14:paraId="3B6C98B1" w14:textId="42C6FA87" w:rsidR="00793041" w:rsidRPr="00265791" w:rsidRDefault="00793041" w:rsidP="00D62371">
      <w:pPr>
        <w:pStyle w:val="Heading3"/>
      </w:pPr>
      <w:r w:rsidRPr="00265791">
        <w:t xml:space="preserve">Embryofetal </w:t>
      </w:r>
      <w:r w:rsidR="002B0D52">
        <w:t>t</w:t>
      </w:r>
      <w:r w:rsidRPr="00265791">
        <w:t>oxicity</w:t>
      </w:r>
    </w:p>
    <w:p w14:paraId="0991F77E" w14:textId="72E9A514" w:rsidR="00793041" w:rsidRPr="00265791" w:rsidRDefault="00793041" w:rsidP="00793041">
      <w:r w:rsidRPr="00265791">
        <w:t xml:space="preserve">Dasatinib can cause fetal harm when administered to a pregnant woman. There have been post-marketing reports of spontaneous abortion and fetal and infant anomalies from women who have taken SPRYCEL during pregnancy. </w:t>
      </w:r>
    </w:p>
    <w:p w14:paraId="47CFACBF" w14:textId="77777777" w:rsidR="001A3992" w:rsidRPr="000A4651" w:rsidRDefault="003C741E" w:rsidP="00D62371">
      <w:pPr>
        <w:pStyle w:val="Heading3"/>
      </w:pPr>
      <w:r w:rsidRPr="000A4651">
        <w:t>Use in lactation.</w:t>
      </w:r>
    </w:p>
    <w:p w14:paraId="0B0F4E78" w14:textId="6BEDDD37" w:rsidR="00F16D0E" w:rsidRPr="00265791" w:rsidRDefault="00F16D0E" w:rsidP="00F16D0E">
      <w:pPr>
        <w:tabs>
          <w:tab w:val="left" w:pos="204"/>
        </w:tabs>
      </w:pPr>
      <w:bookmarkStart w:id="1" w:name="_Hlk506569750"/>
      <w:r w:rsidRPr="00265791">
        <w:t>It is unknown whether SPRYCEL is excreted in human milk. Women who are taking SPRYCEL should not breastfeed. In an exploratory peri- and postnatal development study in rats, dasatinib was detectable in the plasma of breast-fed pups with levels 30-40% of the maternal levels. Pleural effusion and deaths were seen in maternally-exposed rat pups, indicating indirect exposure of dasatinib was incompatible with pup survival, even at sub-therapeutic maternal exposure.</w:t>
      </w:r>
    </w:p>
    <w:bookmarkEnd w:id="1"/>
    <w:p w14:paraId="7C6E5596" w14:textId="77777777" w:rsidR="001A3992" w:rsidRPr="000A4651" w:rsidRDefault="001A3992" w:rsidP="003144B2">
      <w:pPr>
        <w:pStyle w:val="Heading2"/>
      </w:pPr>
      <w:r w:rsidRPr="000A4651">
        <w:t>Effects on ab</w:t>
      </w:r>
      <w:r w:rsidR="003C741E" w:rsidRPr="000A4651">
        <w:t>ility to drive and use machines</w:t>
      </w:r>
    </w:p>
    <w:p w14:paraId="4B5B0D52" w14:textId="77DC22E8" w:rsidR="003C741E" w:rsidRPr="00B3545F" w:rsidRDefault="003C741E" w:rsidP="000C3901">
      <w:r w:rsidRPr="00B3545F">
        <w:t>The effects of this medicine on a person’s ability to drive and use machines were not assessed as part of its registration</w:t>
      </w:r>
      <w:r w:rsidR="00CC55B8" w:rsidRPr="00B3545F">
        <w:t>.</w:t>
      </w:r>
    </w:p>
    <w:p w14:paraId="06779EE2" w14:textId="77777777" w:rsidR="00CB6CB4" w:rsidRDefault="00CB6CB4">
      <w:pPr>
        <w:spacing w:after="0"/>
        <w:jc w:val="left"/>
        <w:rPr>
          <w:b/>
          <w:smallCaps/>
          <w:sz w:val="26"/>
          <w:szCs w:val="26"/>
        </w:rPr>
      </w:pPr>
      <w:r>
        <w:lastRenderedPageBreak/>
        <w:br w:type="page"/>
      </w:r>
    </w:p>
    <w:p w14:paraId="7F1ADDF9" w14:textId="55B4719E" w:rsidR="001A3992" w:rsidRPr="000A4651" w:rsidRDefault="001A3992" w:rsidP="003144B2">
      <w:pPr>
        <w:pStyle w:val="Heading2"/>
      </w:pPr>
      <w:r w:rsidRPr="000A4651">
        <w:lastRenderedPageBreak/>
        <w:t>Adverse effects (Undesirable effects)</w:t>
      </w:r>
    </w:p>
    <w:p w14:paraId="7FCD89E7" w14:textId="1C804AE7" w:rsidR="00F75E7E" w:rsidRPr="00265791" w:rsidRDefault="00F75E7E" w:rsidP="00F75E7E">
      <w:pPr>
        <w:rPr>
          <w:lang w:val="en-US"/>
        </w:rPr>
      </w:pPr>
      <w:r w:rsidRPr="00265791">
        <w:t xml:space="preserve">The data described below reflect exposure to </w:t>
      </w:r>
      <w:r w:rsidRPr="00265791">
        <w:rPr>
          <w:lang w:val="en-US"/>
        </w:rPr>
        <w:t>SPRYCEL</w:t>
      </w:r>
      <w:r w:rsidRPr="00265791">
        <w:t xml:space="preserve"> </w:t>
      </w:r>
      <w:r>
        <w:t xml:space="preserve">at all doses studied </w:t>
      </w:r>
      <w:r w:rsidRPr="00265791">
        <w:t>in</w:t>
      </w:r>
      <w:r>
        <w:t xml:space="preserve"> 324 patients with newly diagnosed chronic phase CML and in 2388 patients with imatinib resistant or intolerant chronic or advanced phase CML or Ph+ ALL. The median duration of therapy in 2712 SPRYCEL treated patients was 19.2 months (range 0-93.2 months).</w:t>
      </w:r>
      <w:r w:rsidRPr="00265791">
        <w:t xml:space="preserve"> </w:t>
      </w:r>
    </w:p>
    <w:p w14:paraId="590FBCC0" w14:textId="48E16257" w:rsidR="00F75E7E" w:rsidRPr="00265791" w:rsidRDefault="00F75E7E" w:rsidP="00F75E7E">
      <w:pPr>
        <w:rPr>
          <w:lang w:val="en-US"/>
        </w:rPr>
      </w:pPr>
      <w:r w:rsidRPr="00265791">
        <w:rPr>
          <w:lang w:val="en-US"/>
        </w:rPr>
        <w:t>In the Phase III study of patients with newly diagnosed chronic phase CML the median duration of therapy was</w:t>
      </w:r>
      <w:r>
        <w:rPr>
          <w:lang w:val="en-US"/>
        </w:rPr>
        <w:t xml:space="preserve"> approximately 60</w:t>
      </w:r>
      <w:r w:rsidRPr="00265791">
        <w:rPr>
          <w:lang w:val="en-US"/>
        </w:rPr>
        <w:t xml:space="preserve"> months for</w:t>
      </w:r>
      <w:r>
        <w:rPr>
          <w:lang w:val="en-US"/>
        </w:rPr>
        <w:t xml:space="preserve"> both</w:t>
      </w:r>
      <w:r w:rsidRPr="00265791">
        <w:rPr>
          <w:lang w:val="en-US"/>
        </w:rPr>
        <w:t xml:space="preserve"> SPRYCEL</w:t>
      </w:r>
      <w:r w:rsidRPr="00265791">
        <w:rPr>
          <w:vertAlign w:val="superscript"/>
          <w:lang w:val="en-US"/>
        </w:rPr>
        <w:t xml:space="preserve"> </w:t>
      </w:r>
      <w:r>
        <w:rPr>
          <w:lang w:val="en-US"/>
        </w:rPr>
        <w:t xml:space="preserve">(range 0.03 to 72.7 months) </w:t>
      </w:r>
      <w:r w:rsidRPr="00265791">
        <w:rPr>
          <w:lang w:val="en-US"/>
        </w:rPr>
        <w:t>and imatinib</w:t>
      </w:r>
      <w:r>
        <w:rPr>
          <w:lang w:val="en-US"/>
        </w:rPr>
        <w:t xml:space="preserve"> (range 0.3 to 74.6 months).The median duration of therapy in 1618 patients with chronic phase CML was 29 months (range 0 to 92.9 months). In 1094 patients with advanced phase CML or Ph+ ALL, the median duration of treatment for patients was 6.2 months (range 0 to 93.2 months). </w:t>
      </w:r>
    </w:p>
    <w:p w14:paraId="786715FA" w14:textId="3D2C75EC" w:rsidR="00F75E7E" w:rsidRPr="00265791" w:rsidRDefault="00F75E7E" w:rsidP="00F75E7E">
      <w:r w:rsidRPr="00265791">
        <w:t xml:space="preserve">The majority of patients treated with SPRYCEL, regardless of dose or schedule, experienced adverse reactions at some time. </w:t>
      </w:r>
      <w:r>
        <w:t xml:space="preserve">In the overall population of 2712 SPRYCEL-treated subjects, 520 (19%) experience adverse drug reactions leading to treatment discontinuation. </w:t>
      </w:r>
    </w:p>
    <w:p w14:paraId="491B88E3" w14:textId="09F9E6C5" w:rsidR="00F75E7E" w:rsidRPr="00265791" w:rsidRDefault="00F75E7E" w:rsidP="00F75E7E">
      <w:r w:rsidRPr="00265791">
        <w:t>In the Phase III study in patients with newly diagnosed chronic phase CML, treatment was discontinued for drug-related adverse reactions in 1</w:t>
      </w:r>
      <w:r>
        <w:t>4</w:t>
      </w:r>
      <w:r w:rsidRPr="00265791">
        <w:t xml:space="preserve">% of </w:t>
      </w:r>
      <w:r w:rsidRPr="00265791">
        <w:rPr>
          <w:lang w:val="en-US"/>
        </w:rPr>
        <w:t>SPRYCEL</w:t>
      </w:r>
      <w:r w:rsidRPr="00265791">
        <w:t xml:space="preserve">-treated patients and 7% of imatinib-treated patients with a minimum of </w:t>
      </w:r>
      <w:r>
        <w:t>60</w:t>
      </w:r>
      <w:r w:rsidRPr="00265791">
        <w:t xml:space="preserve"> months follow-up. </w:t>
      </w:r>
      <w:r>
        <w:t xml:space="preserve">Among the pooled population of 1618 SPRYCEL-treated subjects with chronic phase CML, adverse reactions leading to discontinuation were reported in 329 (20.3%) subjects, and among the 1094 SPRYCEL-treated subjects with advanced phase disease, adverse drug reactions leading to discontinuation were reported in 191 (17.5%) subjects. </w:t>
      </w:r>
    </w:p>
    <w:p w14:paraId="24A572A7" w14:textId="2F4F2D15" w:rsidR="00F75E7E" w:rsidRPr="00265791" w:rsidRDefault="00F75E7E" w:rsidP="00F75E7E">
      <w:pPr>
        <w:rPr>
          <w:spacing w:val="-2"/>
        </w:rPr>
      </w:pPr>
      <w:r w:rsidRPr="00265791">
        <w:rPr>
          <w:spacing w:val="-2"/>
        </w:rPr>
        <w:t xml:space="preserve">The majority of imatinib-intolerant patients in chronic phase CML were able to tolerate treatment with SPRYCEL. In clinical studies with 24 months minimum follow-up </w:t>
      </w:r>
      <w:r w:rsidRPr="00265791">
        <w:rPr>
          <w:bCs/>
          <w:spacing w:val="-2"/>
        </w:rPr>
        <w:t xml:space="preserve">in </w:t>
      </w:r>
      <w:r w:rsidRPr="00265791">
        <w:rPr>
          <w:spacing w:val="-2"/>
        </w:rPr>
        <w:t xml:space="preserve">chronic phase CML, 10 of the 215 imatinib-intolerant patients had the same </w:t>
      </w:r>
      <w:r w:rsidRPr="00265791">
        <w:rPr>
          <w:bCs/>
          <w:spacing w:val="-2"/>
        </w:rPr>
        <w:t>Grade</w:t>
      </w:r>
      <w:r w:rsidRPr="00265791">
        <w:rPr>
          <w:spacing w:val="-2"/>
        </w:rPr>
        <w:t xml:space="preserve"> 3 or 4 non-</w:t>
      </w:r>
      <w:r w:rsidRPr="00265791">
        <w:rPr>
          <w:bCs/>
          <w:spacing w:val="-2"/>
        </w:rPr>
        <w:t>haematological</w:t>
      </w:r>
      <w:r w:rsidRPr="00265791">
        <w:rPr>
          <w:spacing w:val="-2"/>
        </w:rPr>
        <w:t xml:space="preserve"> toxicity with </w:t>
      </w:r>
      <w:r w:rsidRPr="00265791">
        <w:rPr>
          <w:lang w:val="en-US"/>
        </w:rPr>
        <w:t>SPRYCEL</w:t>
      </w:r>
      <w:r w:rsidRPr="00265791">
        <w:t xml:space="preserve"> </w:t>
      </w:r>
      <w:r w:rsidRPr="00265791">
        <w:rPr>
          <w:spacing w:val="-2"/>
        </w:rPr>
        <w:t xml:space="preserve">as they did with prior imatinib; 8 of the 10 patients were managed with dose reduction and were able to continue </w:t>
      </w:r>
      <w:r w:rsidRPr="00265791">
        <w:rPr>
          <w:lang w:val="en-US"/>
        </w:rPr>
        <w:t>SPRYCEL</w:t>
      </w:r>
      <w:r w:rsidRPr="00265791">
        <w:rPr>
          <w:vertAlign w:val="superscript"/>
          <w:lang w:val="en-US"/>
        </w:rPr>
        <w:t xml:space="preserve"> </w:t>
      </w:r>
      <w:r w:rsidRPr="00265791">
        <w:rPr>
          <w:spacing w:val="-2"/>
        </w:rPr>
        <w:t>treatment.</w:t>
      </w:r>
    </w:p>
    <w:p w14:paraId="0DEBA928" w14:textId="0515EEB2" w:rsidR="00F75E7E" w:rsidRDefault="00F75E7E" w:rsidP="00F75E7E">
      <w:r>
        <w:t>A</w:t>
      </w:r>
      <w:r w:rsidRPr="00265791">
        <w:t>dverse reactions reported in</w:t>
      </w:r>
      <w:r>
        <w:t xml:space="preserve"> ≥10% of patients, and other adverse reactions of interest, in a Phase III trial of newly diagnosed chronic phase CML at a median follow-up of approximately 60 months are presented in Table </w:t>
      </w:r>
      <w:r w:rsidR="007232B9">
        <w:t>4</w:t>
      </w:r>
      <w:r>
        <w:t xml:space="preserve">. In this study, drug-related pleural effusion was reported in 73 patients (28%) receiving SPRYCEL. The median time to onset for Grade 1 or 2 pleural effusion events was 114 weeks (range 4-299 weeks). Fewer than 3% of pleural effusion events were Grade 3 or 4. The cumulative incidence of drug-related pleural effusion (all grades) in dasatinib-treated subjects increased over time; the majority are low grade. With appropriate medical care, 58 patients (80% of those with pleural effusion) were able to continue on SPRYCEL (see </w:t>
      </w:r>
      <w:r w:rsidR="000C3901">
        <w:t>Section 4.4 Special warnings and precautions – Fluid Retention</w:t>
      </w:r>
      <w:r>
        <w:t xml:space="preserve"> and </w:t>
      </w:r>
      <w:r w:rsidR="000C3901">
        <w:t>Section 4.2 Dose and method of administration – Dose adjustment for adverse reactions</w:t>
      </w:r>
      <w:r>
        <w:t>).</w:t>
      </w:r>
      <w:r w:rsidRPr="00265791">
        <w:t xml:space="preserve">  </w:t>
      </w:r>
    </w:p>
    <w:p w14:paraId="36E586D9" w14:textId="2DBE2BED" w:rsidR="00F75E7E" w:rsidRPr="00265791" w:rsidRDefault="00F75E7E" w:rsidP="00F75E7E">
      <w:pPr>
        <w:pStyle w:val="EMEABodyText"/>
        <w:jc w:val="both"/>
        <w:rPr>
          <w:sz w:val="24"/>
          <w:szCs w:val="22"/>
        </w:rPr>
      </w:pPr>
      <w:r w:rsidRPr="00265791">
        <w:rPr>
          <w:sz w:val="24"/>
        </w:rPr>
        <w:t xml:space="preserve">The most frequently reported adverse reactions in </w:t>
      </w:r>
      <w:r w:rsidRPr="00265791">
        <w:rPr>
          <w:sz w:val="24"/>
          <w:lang w:val="en-US"/>
        </w:rPr>
        <w:t>SPRYCEL-treated patients with resistance or intolerance to prior imatinib therapy</w:t>
      </w:r>
      <w:r w:rsidRPr="00265791">
        <w:rPr>
          <w:sz w:val="24"/>
        </w:rPr>
        <w:t xml:space="preserve"> were fluid</w:t>
      </w:r>
      <w:r w:rsidRPr="00265791">
        <w:rPr>
          <w:sz w:val="24"/>
          <w:szCs w:val="22"/>
        </w:rPr>
        <w:t xml:space="preserve"> retention (including pleural effusion), diarrhoea, nausea, headache, nausea, skin rash,</w:t>
      </w:r>
      <w:r w:rsidRPr="00265791">
        <w:rPr>
          <w:sz w:val="24"/>
        </w:rPr>
        <w:t xml:space="preserve"> dyspnoea, haemorrhage, fatigue, musculoskeletal pain, infection, vomiting, cough, abdominal pain and pyrexia. </w:t>
      </w:r>
      <w:r>
        <w:rPr>
          <w:sz w:val="24"/>
        </w:rPr>
        <w:t>In the Phase III study in patients with resistance or intolerance to prior imatinib therapy, d</w:t>
      </w:r>
      <w:r w:rsidRPr="00265791">
        <w:rPr>
          <w:sz w:val="24"/>
        </w:rPr>
        <w:t xml:space="preserve">rug-related febrile neutropenia was reported in </w:t>
      </w:r>
      <w:r>
        <w:rPr>
          <w:sz w:val="24"/>
        </w:rPr>
        <w:t>2.1</w:t>
      </w:r>
      <w:r w:rsidRPr="00265791">
        <w:rPr>
          <w:sz w:val="24"/>
        </w:rPr>
        <w:t xml:space="preserve">% of </w:t>
      </w:r>
      <w:r w:rsidRPr="00265791">
        <w:rPr>
          <w:sz w:val="24"/>
          <w:szCs w:val="22"/>
          <w:lang w:val="en-US"/>
        </w:rPr>
        <w:t>SPRYCEL</w:t>
      </w:r>
      <w:r w:rsidRPr="00265791">
        <w:rPr>
          <w:sz w:val="24"/>
          <w:szCs w:val="22"/>
          <w:lang w:val="en-US"/>
        </w:rPr>
        <w:noBreakHyphen/>
      </w:r>
      <w:r w:rsidRPr="00265791">
        <w:rPr>
          <w:sz w:val="24"/>
          <w:szCs w:val="22"/>
        </w:rPr>
        <w:t>treated patients.</w:t>
      </w:r>
    </w:p>
    <w:p w14:paraId="1E7312D1" w14:textId="77777777" w:rsidR="00F75E7E" w:rsidRPr="00265791" w:rsidRDefault="00F75E7E" w:rsidP="00F75E7E">
      <w:pPr>
        <w:pStyle w:val="EMEABodyText"/>
        <w:jc w:val="both"/>
        <w:rPr>
          <w:sz w:val="24"/>
        </w:rPr>
      </w:pPr>
    </w:p>
    <w:p w14:paraId="3FA5A98D" w14:textId="57704B59" w:rsidR="00F75E7E" w:rsidRPr="00265791" w:rsidRDefault="00F75E7E" w:rsidP="00F75E7E">
      <w:r>
        <w:t>Based on 2 year pooled data, t</w:t>
      </w:r>
      <w:r w:rsidRPr="00265791">
        <w:t>he use of SPRYCEL</w:t>
      </w:r>
      <w:r w:rsidR="00546BFC">
        <w:t xml:space="preserve"> </w:t>
      </w:r>
      <w:r w:rsidRPr="00265791">
        <w:t xml:space="preserve">is associated with fluid retention with Grade 3 and 4 cases in 11% of patients with resistance or intolerance to prior imatinib therapy. Grade 3 or 4 pleural and pericardial effusion were reported in 7% and 2% of patients. </w:t>
      </w:r>
      <w:r w:rsidRPr="00265791">
        <w:rPr>
          <w:bCs/>
        </w:rPr>
        <w:t xml:space="preserve">Severe congestive heart failure/cardiac dysfunction was reported in 2% of patients. </w:t>
      </w:r>
      <w:r w:rsidRPr="00265791">
        <w:t xml:space="preserve">Grade 3 or 4 ascites and generalised oedema were each reported in &lt;1%. One percent of patients experienced Grade 3 or 4 pulmonary </w:t>
      </w:r>
      <w:r w:rsidRPr="00265791">
        <w:lastRenderedPageBreak/>
        <w:t>oedema. Fluid retention reactions were typically managed by supportive care measures that include diuretics or short courses of steroids (</w:t>
      </w:r>
      <w:r w:rsidR="00B3545F">
        <w:t>s</w:t>
      </w:r>
      <w:r w:rsidRPr="00265791">
        <w:t xml:space="preserve">ee </w:t>
      </w:r>
      <w:r w:rsidR="000C3901">
        <w:t>Section 4.4 Special warnings and precautions – Fluid Retention</w:t>
      </w:r>
      <w:r w:rsidRPr="00265791">
        <w:t>).</w:t>
      </w:r>
    </w:p>
    <w:p w14:paraId="60888B96" w14:textId="1E61478F" w:rsidR="00F75E7E" w:rsidRPr="00265791" w:rsidRDefault="00F75E7E" w:rsidP="00F75E7E">
      <w:r w:rsidRPr="00265791">
        <w:t>Bleeding drug-related events, ranging from petechiae and epistaxis to Grade 3 or 4 gastrointestinal haemorrhage and CNS bleeding, were reported in patients taking SPRYCEL.  In the Phase III study in patients with newly diagnosed chronic phase CML, 2 patients (1%) receiving SPRYCEL</w:t>
      </w:r>
      <w:r w:rsidRPr="00265791">
        <w:rPr>
          <w:vertAlign w:val="superscript"/>
          <w:lang w:val="en-US"/>
        </w:rPr>
        <w:t xml:space="preserve"> </w:t>
      </w:r>
      <w:r w:rsidRPr="00265791">
        <w:rPr>
          <w:lang w:val="en-US"/>
        </w:rPr>
        <w:t>compared to 3 patients (1%) receiving imatinib had Grade 3 or 4</w:t>
      </w:r>
      <w:r w:rsidRPr="00265791">
        <w:t xml:space="preserve"> haemorrhage</w:t>
      </w:r>
      <w:r w:rsidRPr="00265791">
        <w:rPr>
          <w:lang w:val="en-US"/>
        </w:rPr>
        <w:t xml:space="preserve">.  </w:t>
      </w:r>
      <w:r>
        <w:rPr>
          <w:lang w:val="en-US"/>
        </w:rPr>
        <w:t>Based on 2 year pooled data for</w:t>
      </w:r>
      <w:r w:rsidRPr="00265791">
        <w:rPr>
          <w:lang w:val="en-US"/>
        </w:rPr>
        <w:t xml:space="preserve"> clinical studies in patients with resistance or intolerance to prior imatinib therapy, </w:t>
      </w:r>
      <w:r w:rsidRPr="00265791">
        <w:t xml:space="preserve">severe CNS haemorrhage occurred in &lt; 1% of patients.  Eight (8) cases were fatal and 6 of them were associated with CTC Grade 4 thrombocytopenia. Grade 3 or 4 gastrointestinal haemorrhage occurred in 4% of patients with resistance or intolerance to prior imatinib therapy and generally required treatment interruption and transfusions. Other Grade 3 or 4 haemorrhage occurred in 2% of patients with resistance or intolerance to prior imatinib therapy. Most bleeding related events in these patients were typically associated with Grade 3 or 4 thrombocytopenia. Additionally, </w:t>
      </w:r>
      <w:r w:rsidRPr="00265791">
        <w:rPr>
          <w:i/>
        </w:rPr>
        <w:t>in vitro</w:t>
      </w:r>
      <w:r w:rsidRPr="00265791">
        <w:t xml:space="preserve"> and </w:t>
      </w:r>
      <w:r w:rsidRPr="00265791">
        <w:rPr>
          <w:i/>
        </w:rPr>
        <w:t>in vivo</w:t>
      </w:r>
      <w:r w:rsidRPr="00265791">
        <w:t xml:space="preserve"> platelet assays suggest that SPRYCEL</w:t>
      </w:r>
      <w:r w:rsidRPr="00265791">
        <w:rPr>
          <w:rFonts w:eastAsia="MS Mincho"/>
        </w:rPr>
        <w:t xml:space="preserve"> </w:t>
      </w:r>
      <w:r w:rsidRPr="00265791">
        <w:t>treatment reversibly affects platelet activation.</w:t>
      </w:r>
    </w:p>
    <w:p w14:paraId="04D66E92" w14:textId="3EBBD6B3" w:rsidR="00F75E7E" w:rsidRPr="00265791" w:rsidRDefault="00F75E7E" w:rsidP="00F75E7E">
      <w:r w:rsidRPr="00265791">
        <w:t>Treatment with SPRYCEL is associated with anaemia, neutropenia and thrombocytopenia. Their occurrence is more frequent in patients with advanced phase CML or Ph+ ALL than in chronic phase CML.</w:t>
      </w:r>
    </w:p>
    <w:p w14:paraId="474EAF36" w14:textId="6CE9D41D" w:rsidR="00F75E7E" w:rsidRPr="00265791" w:rsidRDefault="00F75E7E" w:rsidP="00F75E7E">
      <w:r w:rsidRPr="00265791">
        <w:t xml:space="preserve">QT Prolongation: in the Phase III study in patients with newly diagnosed chronic phase CML, one patient (&lt; 1%) of the SPRYCEL-treated patients, and one patient (&lt; 1%) of the imatinib-treated patients had a QTcF &gt; 500 msec (see </w:t>
      </w:r>
      <w:r w:rsidR="000C3901">
        <w:t>Section 4.4 Special warnings and precautions – QT prolongation</w:t>
      </w:r>
      <w:r w:rsidRPr="00265791">
        <w:t xml:space="preserve">). </w:t>
      </w:r>
    </w:p>
    <w:p w14:paraId="176D43E4" w14:textId="3E0F8D6D" w:rsidR="00F75E7E" w:rsidRPr="00265791" w:rsidRDefault="00F75E7E" w:rsidP="00F75E7E">
      <w:pPr>
        <w:rPr>
          <w:bCs/>
        </w:rPr>
      </w:pPr>
      <w:r w:rsidRPr="00265791">
        <w:rPr>
          <w:bCs/>
        </w:rPr>
        <w:t xml:space="preserve">Patients with risk factors or a history of cardiac disease should be monitored carefully for signs or symptoms consistent with cardiac dysfunction and should be evaluated and treated appropriately (see </w:t>
      </w:r>
      <w:r w:rsidR="000C3901">
        <w:t>Section 4.4 Special warnings and precautions – Cardiac adverse reactions</w:t>
      </w:r>
      <w:r w:rsidRPr="00265791">
        <w:rPr>
          <w:bCs/>
        </w:rPr>
        <w:t xml:space="preserve">). </w:t>
      </w:r>
    </w:p>
    <w:p w14:paraId="7CC3DDF6" w14:textId="790C7499" w:rsidR="00F75E7E" w:rsidRPr="00265791" w:rsidRDefault="00F75E7E" w:rsidP="00F75E7E">
      <w:r w:rsidRPr="00265791">
        <w:t>In clinical trials with patients with resistance or intolerance to prior imatinib therapy, it was recommended that treatment with imatinib be discontinued at least 7 days before starting treatment with SPRYCEL.</w:t>
      </w:r>
    </w:p>
    <w:p w14:paraId="54D76E08" w14:textId="387173E5" w:rsidR="00F75E7E" w:rsidRPr="00265791" w:rsidRDefault="00F75E7E" w:rsidP="00F75E7E">
      <w:pPr>
        <w:rPr>
          <w:rFonts w:eastAsia="MS Mincho"/>
        </w:rPr>
      </w:pPr>
      <w:r w:rsidRPr="00265791">
        <w:rPr>
          <w:rFonts w:eastAsia="MS Mincho"/>
        </w:rPr>
        <w:t xml:space="preserve">The comparative frequency of adverse reactions (excluding laboratory abnormalities) that were reported in at least 10% of the patients with newly diagnosed chronic phase CML are presented in Table </w:t>
      </w:r>
      <w:r w:rsidR="000C3901">
        <w:rPr>
          <w:rFonts w:eastAsia="MS Mincho"/>
        </w:rPr>
        <w:t>4</w:t>
      </w:r>
      <w:r w:rsidRPr="00265791">
        <w:rPr>
          <w:rFonts w:eastAsia="MS Mincho"/>
        </w:rPr>
        <w:t>.</w:t>
      </w:r>
    </w:p>
    <w:tbl>
      <w:tblPr>
        <w:tblW w:w="8495" w:type="dxa"/>
        <w:jc w:val="center"/>
        <w:tblLayout w:type="fixed"/>
        <w:tblCellMar>
          <w:left w:w="40" w:type="dxa"/>
          <w:right w:w="40" w:type="dxa"/>
        </w:tblCellMar>
        <w:tblLook w:val="0000" w:firstRow="0" w:lastRow="0" w:firstColumn="0" w:lastColumn="0" w:noHBand="0" w:noVBand="0"/>
      </w:tblPr>
      <w:tblGrid>
        <w:gridCol w:w="3663"/>
        <w:gridCol w:w="1199"/>
        <w:gridCol w:w="1098"/>
        <w:gridCol w:w="1215"/>
        <w:gridCol w:w="1320"/>
      </w:tblGrid>
      <w:tr w:rsidR="00F75E7E" w:rsidRPr="00F75E7E" w14:paraId="7410AF19" w14:textId="77777777" w:rsidTr="00F75E7E">
        <w:trPr>
          <w:trHeight w:val="615"/>
          <w:jc w:val="center"/>
        </w:trPr>
        <w:tc>
          <w:tcPr>
            <w:tcW w:w="5000" w:type="pct"/>
            <w:gridSpan w:val="5"/>
            <w:tcBorders>
              <w:bottom w:val="double" w:sz="4" w:space="0" w:color="auto"/>
            </w:tcBorders>
          </w:tcPr>
          <w:p w14:paraId="40B4D308" w14:textId="05D6BA2E" w:rsidR="00F75E7E" w:rsidRPr="00F75E7E" w:rsidRDefault="00F75E7E" w:rsidP="00F75E7E">
            <w:pPr>
              <w:pStyle w:val="BMSTableTitle"/>
              <w:rPr>
                <w:sz w:val="22"/>
                <w:szCs w:val="22"/>
                <w:lang w:val="en-GB"/>
              </w:rPr>
            </w:pPr>
            <w:r w:rsidRPr="00F75E7E">
              <w:rPr>
                <w:sz w:val="22"/>
                <w:szCs w:val="22"/>
                <w:lang w:val="en-GB"/>
              </w:rPr>
              <w:t xml:space="preserve">Table </w:t>
            </w:r>
            <w:r w:rsidR="000C3901">
              <w:rPr>
                <w:sz w:val="22"/>
                <w:szCs w:val="22"/>
                <w:lang w:val="en-GB"/>
              </w:rPr>
              <w:t>4</w:t>
            </w:r>
            <w:r w:rsidRPr="00F75E7E">
              <w:rPr>
                <w:sz w:val="22"/>
                <w:szCs w:val="22"/>
                <w:lang w:val="en-GB"/>
              </w:rPr>
              <w:t>:</w:t>
            </w:r>
            <w:r w:rsidRPr="00F75E7E">
              <w:rPr>
                <w:sz w:val="22"/>
                <w:szCs w:val="22"/>
                <w:lang w:val="en-GB"/>
              </w:rPr>
              <w:tab/>
              <w:t>Adverse Reactions Reported in ≥ 10% of Patients in a Phase III Study (Newly Diagnosed Chronic Phase CML, 60 month minimum follow-up)</w:t>
            </w:r>
          </w:p>
        </w:tc>
      </w:tr>
      <w:tr w:rsidR="00F75E7E" w:rsidRPr="00265791" w14:paraId="36E62C72" w14:textId="77777777" w:rsidTr="00F75E7E">
        <w:trPr>
          <w:cantSplit/>
          <w:trHeight w:val="315"/>
          <w:jc w:val="center"/>
        </w:trPr>
        <w:tc>
          <w:tcPr>
            <w:tcW w:w="2156" w:type="pct"/>
            <w:tcBorders>
              <w:top w:val="single" w:sz="6" w:space="0" w:color="auto"/>
            </w:tcBorders>
            <w:shd w:val="clear" w:color="auto" w:fill="auto"/>
            <w:vAlign w:val="center"/>
          </w:tcPr>
          <w:p w14:paraId="3F1A4014" w14:textId="77777777" w:rsidR="00F75E7E" w:rsidRPr="00265791" w:rsidRDefault="00F75E7E" w:rsidP="00F75E7E">
            <w:pPr>
              <w:pStyle w:val="BMSTableHeader"/>
              <w:keepNext/>
              <w:spacing w:before="0" w:after="0"/>
              <w:rPr>
                <w:sz w:val="18"/>
                <w:szCs w:val="18"/>
                <w:lang w:val="en-GB"/>
              </w:rPr>
            </w:pPr>
          </w:p>
        </w:tc>
        <w:tc>
          <w:tcPr>
            <w:tcW w:w="1352" w:type="pct"/>
            <w:gridSpan w:val="2"/>
            <w:tcBorders>
              <w:top w:val="single" w:sz="6" w:space="0" w:color="auto"/>
              <w:bottom w:val="single" w:sz="6" w:space="0" w:color="auto"/>
              <w:right w:val="single" w:sz="4" w:space="0" w:color="auto"/>
            </w:tcBorders>
            <w:vAlign w:val="bottom"/>
          </w:tcPr>
          <w:p w14:paraId="6D190B9D" w14:textId="77777777" w:rsidR="00F75E7E" w:rsidRPr="00265791" w:rsidRDefault="00F75E7E" w:rsidP="00F75E7E">
            <w:pPr>
              <w:pStyle w:val="BMSTableHeader"/>
              <w:keepNext/>
              <w:spacing w:before="0" w:after="0"/>
              <w:rPr>
                <w:sz w:val="18"/>
                <w:szCs w:val="18"/>
                <w:lang w:val="en-GB"/>
              </w:rPr>
            </w:pPr>
          </w:p>
          <w:p w14:paraId="74DF89C2" w14:textId="77777777" w:rsidR="00F75E7E" w:rsidRPr="00265791" w:rsidRDefault="00F75E7E" w:rsidP="00F75E7E">
            <w:pPr>
              <w:pStyle w:val="BMSTableHeader"/>
              <w:keepNext/>
              <w:spacing w:before="0" w:after="0"/>
              <w:rPr>
                <w:sz w:val="18"/>
                <w:szCs w:val="18"/>
                <w:lang w:val="en-GB"/>
              </w:rPr>
            </w:pPr>
            <w:r w:rsidRPr="00265791">
              <w:rPr>
                <w:sz w:val="18"/>
                <w:szCs w:val="18"/>
                <w:lang w:val="en-GB"/>
              </w:rPr>
              <w:t xml:space="preserve">All Grades </w:t>
            </w:r>
          </w:p>
        </w:tc>
        <w:tc>
          <w:tcPr>
            <w:tcW w:w="1492" w:type="pct"/>
            <w:gridSpan w:val="2"/>
            <w:tcBorders>
              <w:top w:val="single" w:sz="6" w:space="0" w:color="auto"/>
              <w:left w:val="single" w:sz="4" w:space="0" w:color="auto"/>
              <w:bottom w:val="single" w:sz="6" w:space="0" w:color="auto"/>
            </w:tcBorders>
            <w:vAlign w:val="bottom"/>
          </w:tcPr>
          <w:p w14:paraId="3EB4BDE7" w14:textId="77777777" w:rsidR="00F75E7E" w:rsidRPr="00265791" w:rsidRDefault="00F75E7E" w:rsidP="00F75E7E">
            <w:pPr>
              <w:pStyle w:val="BMSTableHeader"/>
              <w:keepNext/>
              <w:spacing w:before="0" w:after="0"/>
              <w:rPr>
                <w:sz w:val="18"/>
                <w:szCs w:val="18"/>
                <w:lang w:val="en-GB"/>
              </w:rPr>
            </w:pPr>
            <w:r w:rsidRPr="00265791">
              <w:rPr>
                <w:sz w:val="18"/>
                <w:szCs w:val="18"/>
                <w:lang w:val="en-GB"/>
              </w:rPr>
              <w:t>Grade 3/4</w:t>
            </w:r>
          </w:p>
        </w:tc>
      </w:tr>
      <w:tr w:rsidR="00F75E7E" w:rsidRPr="00265791" w14:paraId="2058F34A" w14:textId="77777777" w:rsidTr="00F75E7E">
        <w:trPr>
          <w:cantSplit/>
          <w:trHeight w:val="315"/>
          <w:jc w:val="center"/>
        </w:trPr>
        <w:tc>
          <w:tcPr>
            <w:tcW w:w="2156" w:type="pct"/>
            <w:vMerge w:val="restart"/>
            <w:tcBorders>
              <w:bottom w:val="single" w:sz="6" w:space="0" w:color="auto"/>
            </w:tcBorders>
            <w:shd w:val="clear" w:color="auto" w:fill="auto"/>
            <w:vAlign w:val="bottom"/>
          </w:tcPr>
          <w:p w14:paraId="3743EFF9" w14:textId="77777777" w:rsidR="00F75E7E" w:rsidRPr="00265791" w:rsidRDefault="00F75E7E" w:rsidP="00F75E7E">
            <w:pPr>
              <w:pStyle w:val="BMSTableHeader"/>
              <w:keepNext/>
              <w:spacing w:before="0" w:after="0"/>
              <w:jc w:val="left"/>
              <w:rPr>
                <w:sz w:val="18"/>
                <w:szCs w:val="18"/>
                <w:lang w:val="en-GB"/>
              </w:rPr>
            </w:pPr>
            <w:r w:rsidRPr="00265791">
              <w:rPr>
                <w:sz w:val="18"/>
                <w:szCs w:val="18"/>
                <w:lang w:val="en-GB"/>
              </w:rPr>
              <w:t>Preferred Term</w:t>
            </w:r>
          </w:p>
        </w:tc>
        <w:tc>
          <w:tcPr>
            <w:tcW w:w="706" w:type="pct"/>
            <w:tcBorders>
              <w:top w:val="single" w:sz="6" w:space="0" w:color="auto"/>
              <w:bottom w:val="single" w:sz="6" w:space="0" w:color="auto"/>
            </w:tcBorders>
            <w:vAlign w:val="center"/>
          </w:tcPr>
          <w:p w14:paraId="445A0623" w14:textId="2FE196E0" w:rsidR="00F75E7E" w:rsidRPr="00265791" w:rsidRDefault="00F75E7E" w:rsidP="00F75E7E">
            <w:pPr>
              <w:pStyle w:val="BMSTableHeader"/>
              <w:keepNext/>
              <w:spacing w:before="0" w:after="0"/>
              <w:rPr>
                <w:sz w:val="18"/>
                <w:szCs w:val="18"/>
                <w:lang w:val="en-GB"/>
              </w:rPr>
            </w:pPr>
            <w:r w:rsidRPr="00265791">
              <w:rPr>
                <w:sz w:val="18"/>
                <w:szCs w:val="18"/>
                <w:lang w:val="en-GB"/>
              </w:rPr>
              <w:t>SPRYCEL</w:t>
            </w:r>
            <w:r w:rsidRPr="00265791">
              <w:rPr>
                <w:sz w:val="18"/>
                <w:szCs w:val="18"/>
                <w:lang w:val="en-GB"/>
              </w:rPr>
              <w:br/>
              <w:t>n= 258</w:t>
            </w:r>
          </w:p>
        </w:tc>
        <w:tc>
          <w:tcPr>
            <w:tcW w:w="646" w:type="pct"/>
            <w:tcBorders>
              <w:top w:val="single" w:sz="6" w:space="0" w:color="auto"/>
              <w:bottom w:val="single" w:sz="6" w:space="0" w:color="auto"/>
              <w:right w:val="single" w:sz="4" w:space="0" w:color="auto"/>
            </w:tcBorders>
            <w:vAlign w:val="center"/>
          </w:tcPr>
          <w:p w14:paraId="4CAA4F05" w14:textId="77777777" w:rsidR="00F75E7E" w:rsidRPr="00265791" w:rsidRDefault="00F75E7E" w:rsidP="00F75E7E">
            <w:pPr>
              <w:pStyle w:val="BMSTableHeader"/>
              <w:keepNext/>
              <w:spacing w:before="0" w:after="0"/>
              <w:rPr>
                <w:sz w:val="18"/>
                <w:szCs w:val="18"/>
                <w:lang w:val="en-GB"/>
              </w:rPr>
            </w:pPr>
            <w:r w:rsidRPr="00265791">
              <w:rPr>
                <w:sz w:val="18"/>
                <w:szCs w:val="18"/>
                <w:lang w:val="en-GB"/>
              </w:rPr>
              <w:t>imatinib</w:t>
            </w:r>
            <w:r w:rsidRPr="00265791">
              <w:rPr>
                <w:sz w:val="18"/>
                <w:szCs w:val="18"/>
                <w:lang w:val="en-GB"/>
              </w:rPr>
              <w:br/>
              <w:t>n= 258</w:t>
            </w:r>
          </w:p>
        </w:tc>
        <w:tc>
          <w:tcPr>
            <w:tcW w:w="715" w:type="pct"/>
            <w:tcBorders>
              <w:top w:val="single" w:sz="6" w:space="0" w:color="auto"/>
              <w:left w:val="single" w:sz="4" w:space="0" w:color="auto"/>
              <w:bottom w:val="single" w:sz="6" w:space="0" w:color="auto"/>
            </w:tcBorders>
            <w:vAlign w:val="center"/>
          </w:tcPr>
          <w:p w14:paraId="3CA658A5" w14:textId="4568EE05" w:rsidR="00F75E7E" w:rsidRPr="00265791" w:rsidRDefault="00F75E7E" w:rsidP="00F75E7E">
            <w:pPr>
              <w:pStyle w:val="BMSTableHeader"/>
              <w:keepNext/>
              <w:spacing w:before="0" w:after="0"/>
              <w:rPr>
                <w:sz w:val="18"/>
                <w:szCs w:val="18"/>
                <w:lang w:val="en-GB"/>
              </w:rPr>
            </w:pPr>
            <w:r w:rsidRPr="00265791">
              <w:rPr>
                <w:sz w:val="18"/>
                <w:szCs w:val="18"/>
                <w:lang w:val="en-GB"/>
              </w:rPr>
              <w:t>SPRYCEL</w:t>
            </w:r>
            <w:r w:rsidRPr="00265791">
              <w:rPr>
                <w:sz w:val="18"/>
                <w:szCs w:val="18"/>
                <w:lang w:val="en-GB"/>
              </w:rPr>
              <w:br/>
              <w:t>n= 258</w:t>
            </w:r>
          </w:p>
        </w:tc>
        <w:tc>
          <w:tcPr>
            <w:tcW w:w="777" w:type="pct"/>
            <w:tcBorders>
              <w:top w:val="single" w:sz="6" w:space="0" w:color="auto"/>
              <w:bottom w:val="single" w:sz="6" w:space="0" w:color="auto"/>
            </w:tcBorders>
            <w:vAlign w:val="center"/>
          </w:tcPr>
          <w:p w14:paraId="54A38603" w14:textId="77777777" w:rsidR="00F75E7E" w:rsidRPr="00265791" w:rsidRDefault="00F75E7E" w:rsidP="00F75E7E">
            <w:pPr>
              <w:pStyle w:val="BMSTableHeader"/>
              <w:keepNext/>
              <w:spacing w:before="0" w:after="0"/>
              <w:rPr>
                <w:sz w:val="18"/>
                <w:szCs w:val="18"/>
                <w:lang w:val="en-GB"/>
              </w:rPr>
            </w:pPr>
            <w:r w:rsidRPr="00265791">
              <w:rPr>
                <w:sz w:val="18"/>
                <w:szCs w:val="18"/>
                <w:lang w:val="en-GB"/>
              </w:rPr>
              <w:t>imatinib</w:t>
            </w:r>
            <w:r w:rsidRPr="00265791">
              <w:rPr>
                <w:sz w:val="18"/>
                <w:szCs w:val="18"/>
                <w:lang w:val="en-GB"/>
              </w:rPr>
              <w:br/>
              <w:t>n= 258</w:t>
            </w:r>
          </w:p>
        </w:tc>
      </w:tr>
      <w:tr w:rsidR="00F75E7E" w:rsidRPr="00265791" w14:paraId="25B61D91" w14:textId="77777777" w:rsidTr="00F75E7E">
        <w:trPr>
          <w:cantSplit/>
          <w:jc w:val="center"/>
        </w:trPr>
        <w:tc>
          <w:tcPr>
            <w:tcW w:w="2156" w:type="pct"/>
            <w:vMerge/>
            <w:tcBorders>
              <w:bottom w:val="single" w:sz="6" w:space="0" w:color="auto"/>
            </w:tcBorders>
            <w:vAlign w:val="center"/>
          </w:tcPr>
          <w:p w14:paraId="0F7A1B54" w14:textId="77777777" w:rsidR="00F75E7E" w:rsidRPr="00265791" w:rsidRDefault="00F75E7E" w:rsidP="00F75E7E">
            <w:pPr>
              <w:pStyle w:val="BMSTableTextLarge"/>
              <w:keepNext/>
              <w:rPr>
                <w:b/>
                <w:sz w:val="18"/>
                <w:szCs w:val="18"/>
                <w:lang w:val="en-GB"/>
              </w:rPr>
            </w:pPr>
          </w:p>
        </w:tc>
        <w:tc>
          <w:tcPr>
            <w:tcW w:w="2844" w:type="pct"/>
            <w:gridSpan w:val="4"/>
            <w:tcBorders>
              <w:top w:val="single" w:sz="6" w:space="0" w:color="auto"/>
              <w:bottom w:val="single" w:sz="6" w:space="0" w:color="auto"/>
            </w:tcBorders>
            <w:vAlign w:val="center"/>
          </w:tcPr>
          <w:p w14:paraId="5A7716E4" w14:textId="77777777" w:rsidR="00F75E7E" w:rsidRPr="00265791" w:rsidRDefault="00F75E7E" w:rsidP="00F75E7E">
            <w:pPr>
              <w:pStyle w:val="BMSTableHeader"/>
              <w:keepNext/>
              <w:spacing w:before="0" w:after="0"/>
              <w:rPr>
                <w:sz w:val="18"/>
                <w:szCs w:val="18"/>
                <w:lang w:val="en-GB"/>
              </w:rPr>
            </w:pPr>
            <w:r w:rsidRPr="00265791">
              <w:rPr>
                <w:sz w:val="18"/>
                <w:szCs w:val="18"/>
                <w:lang w:val="en-GB"/>
              </w:rPr>
              <w:t>Percent (%) of Patients</w:t>
            </w:r>
          </w:p>
        </w:tc>
      </w:tr>
      <w:tr w:rsidR="00F75E7E" w:rsidRPr="00265791" w14:paraId="7DB4B264" w14:textId="77777777" w:rsidTr="00F75E7E">
        <w:trPr>
          <w:trHeight w:val="318"/>
          <w:jc w:val="center"/>
        </w:trPr>
        <w:tc>
          <w:tcPr>
            <w:tcW w:w="2156" w:type="pct"/>
            <w:vAlign w:val="center"/>
          </w:tcPr>
          <w:p w14:paraId="56991D5D" w14:textId="77777777" w:rsidR="00F75E7E" w:rsidRPr="00265791" w:rsidRDefault="00F75E7E" w:rsidP="00F75E7E">
            <w:pPr>
              <w:pStyle w:val="BMSTableText"/>
              <w:keepNext/>
              <w:tabs>
                <w:tab w:val="clear" w:pos="360"/>
                <w:tab w:val="left" w:pos="177"/>
                <w:tab w:val="left" w:pos="330"/>
                <w:tab w:val="left" w:pos="530"/>
              </w:tabs>
              <w:spacing w:beforeLines="20" w:before="48" w:afterLines="20" w:after="48"/>
              <w:ind w:left="177" w:hanging="180"/>
              <w:jc w:val="left"/>
              <w:rPr>
                <w:b/>
                <w:bCs/>
                <w:lang w:val="en-GB"/>
              </w:rPr>
            </w:pPr>
            <w:r w:rsidRPr="00265791">
              <w:rPr>
                <w:b/>
                <w:bCs/>
                <w:lang w:val="en-GB"/>
              </w:rPr>
              <w:t>Fluid Retention</w:t>
            </w:r>
            <w:r w:rsidRPr="00103791">
              <w:rPr>
                <w:b/>
                <w:bCs/>
                <w:vertAlign w:val="superscript"/>
                <w:lang w:val="en-GB"/>
              </w:rPr>
              <w:t>e</w:t>
            </w:r>
          </w:p>
        </w:tc>
        <w:tc>
          <w:tcPr>
            <w:tcW w:w="706" w:type="pct"/>
            <w:shd w:val="clear" w:color="auto" w:fill="auto"/>
            <w:vAlign w:val="center"/>
          </w:tcPr>
          <w:p w14:paraId="4B0862E2" w14:textId="77777777" w:rsidR="00F75E7E" w:rsidRPr="00265791" w:rsidRDefault="00F75E7E" w:rsidP="00F75E7E">
            <w:pPr>
              <w:pStyle w:val="BMSTableText"/>
              <w:keepNext/>
              <w:tabs>
                <w:tab w:val="clear" w:pos="360"/>
                <w:tab w:val="decimal" w:pos="593"/>
              </w:tabs>
              <w:spacing w:beforeLines="20" w:before="48" w:afterLines="20" w:after="48"/>
              <w:jc w:val="left"/>
              <w:rPr>
                <w:lang w:val="en-GB"/>
              </w:rPr>
            </w:pPr>
            <w:r w:rsidRPr="00265791">
              <w:rPr>
                <w:lang w:val="en-GB"/>
              </w:rPr>
              <w:t>3</w:t>
            </w:r>
            <w:r>
              <w:rPr>
                <w:lang w:val="en-GB"/>
              </w:rPr>
              <w:t>9</w:t>
            </w:r>
          </w:p>
        </w:tc>
        <w:tc>
          <w:tcPr>
            <w:tcW w:w="646" w:type="pct"/>
            <w:tcBorders>
              <w:right w:val="single" w:sz="4" w:space="0" w:color="auto"/>
            </w:tcBorders>
            <w:shd w:val="clear" w:color="auto" w:fill="auto"/>
            <w:vAlign w:val="center"/>
          </w:tcPr>
          <w:p w14:paraId="1BC659BC" w14:textId="77777777" w:rsidR="00F75E7E" w:rsidRPr="00265791" w:rsidRDefault="00F75E7E" w:rsidP="00F75E7E">
            <w:pPr>
              <w:pStyle w:val="BMSTableText"/>
              <w:keepNext/>
              <w:tabs>
                <w:tab w:val="clear" w:pos="360"/>
                <w:tab w:val="decimal" w:pos="593"/>
              </w:tabs>
              <w:spacing w:beforeLines="20" w:before="48" w:afterLines="20" w:after="48"/>
              <w:jc w:val="left"/>
              <w:rPr>
                <w:lang w:val="en-GB"/>
              </w:rPr>
            </w:pPr>
            <w:r w:rsidRPr="00265791">
              <w:rPr>
                <w:lang w:val="en-GB"/>
              </w:rPr>
              <w:t>45</w:t>
            </w:r>
          </w:p>
        </w:tc>
        <w:tc>
          <w:tcPr>
            <w:tcW w:w="715" w:type="pct"/>
            <w:tcBorders>
              <w:left w:val="single" w:sz="4" w:space="0" w:color="auto"/>
            </w:tcBorders>
            <w:shd w:val="clear" w:color="auto" w:fill="auto"/>
            <w:vAlign w:val="center"/>
          </w:tcPr>
          <w:p w14:paraId="236D4EC6" w14:textId="77777777" w:rsidR="00F75E7E" w:rsidRPr="00265791" w:rsidRDefault="00F75E7E" w:rsidP="00F75E7E">
            <w:pPr>
              <w:pStyle w:val="BMSTableText"/>
              <w:keepNext/>
              <w:tabs>
                <w:tab w:val="clear" w:pos="360"/>
                <w:tab w:val="decimal" w:pos="593"/>
              </w:tabs>
              <w:spacing w:beforeLines="20" w:before="48" w:afterLines="20" w:after="48"/>
              <w:jc w:val="left"/>
              <w:rPr>
                <w:lang w:val="en-GB"/>
              </w:rPr>
            </w:pPr>
            <w:r>
              <w:rPr>
                <w:lang w:val="en-GB"/>
              </w:rPr>
              <w:t>5</w:t>
            </w:r>
          </w:p>
        </w:tc>
        <w:tc>
          <w:tcPr>
            <w:tcW w:w="777" w:type="pct"/>
            <w:shd w:val="clear" w:color="auto" w:fill="auto"/>
            <w:vAlign w:val="center"/>
          </w:tcPr>
          <w:p w14:paraId="3373D4BA" w14:textId="77777777" w:rsidR="00F75E7E" w:rsidRPr="00265791" w:rsidRDefault="00F75E7E" w:rsidP="00F75E7E">
            <w:pPr>
              <w:pStyle w:val="BMSTableText"/>
              <w:keepNext/>
              <w:tabs>
                <w:tab w:val="clear" w:pos="360"/>
                <w:tab w:val="decimal" w:pos="593"/>
              </w:tabs>
              <w:spacing w:beforeLines="20" w:before="48" w:afterLines="20" w:after="48"/>
              <w:jc w:val="left"/>
              <w:rPr>
                <w:lang w:val="en-GB"/>
              </w:rPr>
            </w:pPr>
            <w:r w:rsidRPr="00265791">
              <w:rPr>
                <w:lang w:val="en-GB"/>
              </w:rPr>
              <w:t>1</w:t>
            </w:r>
          </w:p>
        </w:tc>
      </w:tr>
      <w:tr w:rsidR="00F75E7E" w:rsidRPr="00265791" w14:paraId="39A2582A" w14:textId="77777777" w:rsidTr="00F75E7E">
        <w:trPr>
          <w:jc w:val="center"/>
        </w:trPr>
        <w:tc>
          <w:tcPr>
            <w:tcW w:w="2156" w:type="pct"/>
            <w:vAlign w:val="center"/>
          </w:tcPr>
          <w:p w14:paraId="182CA9D4" w14:textId="77777777" w:rsidR="00F75E7E" w:rsidRPr="00265791" w:rsidRDefault="00F75E7E" w:rsidP="00F75E7E">
            <w:pPr>
              <w:pStyle w:val="BMSTableText"/>
              <w:tabs>
                <w:tab w:val="clear" w:pos="360"/>
                <w:tab w:val="left" w:pos="184"/>
                <w:tab w:val="left" w:pos="357"/>
              </w:tabs>
              <w:spacing w:beforeLines="20" w:before="48" w:afterLines="20" w:after="48"/>
              <w:ind w:left="357" w:hanging="360"/>
              <w:jc w:val="left"/>
              <w:rPr>
                <w:lang w:val="en-GB"/>
              </w:rPr>
            </w:pPr>
            <w:r w:rsidRPr="00265791">
              <w:rPr>
                <w:lang w:val="en-GB"/>
              </w:rPr>
              <w:tab/>
              <w:t>Superficial localised oedema</w:t>
            </w:r>
          </w:p>
        </w:tc>
        <w:tc>
          <w:tcPr>
            <w:tcW w:w="706" w:type="pct"/>
            <w:shd w:val="clear" w:color="auto" w:fill="auto"/>
            <w:vAlign w:val="center"/>
          </w:tcPr>
          <w:p w14:paraId="047BFB77"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r>
              <w:rPr>
                <w:lang w:val="en-GB"/>
              </w:rPr>
              <w:t>4</w:t>
            </w:r>
          </w:p>
        </w:tc>
        <w:tc>
          <w:tcPr>
            <w:tcW w:w="646" w:type="pct"/>
            <w:tcBorders>
              <w:right w:val="single" w:sz="4" w:space="0" w:color="auto"/>
            </w:tcBorders>
            <w:shd w:val="clear" w:color="auto" w:fill="auto"/>
            <w:vAlign w:val="center"/>
          </w:tcPr>
          <w:p w14:paraId="236AC8B8"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3</w:t>
            </w:r>
            <w:r>
              <w:rPr>
                <w:lang w:val="en-GB"/>
              </w:rPr>
              <w:t>8</w:t>
            </w:r>
          </w:p>
        </w:tc>
        <w:tc>
          <w:tcPr>
            <w:tcW w:w="715" w:type="pct"/>
            <w:tcBorders>
              <w:left w:val="single" w:sz="4" w:space="0" w:color="auto"/>
            </w:tcBorders>
            <w:shd w:val="clear" w:color="auto" w:fill="auto"/>
            <w:vAlign w:val="center"/>
          </w:tcPr>
          <w:p w14:paraId="52A2EF11"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c>
          <w:tcPr>
            <w:tcW w:w="777" w:type="pct"/>
            <w:shd w:val="clear" w:color="auto" w:fill="auto"/>
            <w:vAlign w:val="center"/>
          </w:tcPr>
          <w:p w14:paraId="4FBA502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&lt; 1</w:t>
            </w:r>
          </w:p>
        </w:tc>
      </w:tr>
      <w:tr w:rsidR="00F75E7E" w:rsidRPr="00265791" w14:paraId="1BBACFFA" w14:textId="77777777" w:rsidTr="00F75E7E">
        <w:trPr>
          <w:jc w:val="center"/>
        </w:trPr>
        <w:tc>
          <w:tcPr>
            <w:tcW w:w="2156" w:type="pct"/>
            <w:vAlign w:val="center"/>
          </w:tcPr>
          <w:p w14:paraId="241D153B"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ab/>
              <w:t>Pleural effusion</w:t>
            </w:r>
          </w:p>
        </w:tc>
        <w:tc>
          <w:tcPr>
            <w:tcW w:w="706" w:type="pct"/>
            <w:shd w:val="clear" w:color="auto" w:fill="auto"/>
            <w:vAlign w:val="center"/>
          </w:tcPr>
          <w:p w14:paraId="0AC44756"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2</w:t>
            </w:r>
            <w:r>
              <w:rPr>
                <w:lang w:val="en-GB"/>
              </w:rPr>
              <w:t>8</w:t>
            </w:r>
          </w:p>
        </w:tc>
        <w:tc>
          <w:tcPr>
            <w:tcW w:w="646" w:type="pct"/>
            <w:tcBorders>
              <w:right w:val="single" w:sz="4" w:space="0" w:color="auto"/>
            </w:tcBorders>
            <w:shd w:val="clear" w:color="auto" w:fill="auto"/>
            <w:vAlign w:val="center"/>
          </w:tcPr>
          <w:p w14:paraId="26F16BFC"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c>
          <w:tcPr>
            <w:tcW w:w="715" w:type="pct"/>
            <w:tcBorders>
              <w:left w:val="single" w:sz="4" w:space="0" w:color="auto"/>
            </w:tcBorders>
            <w:shd w:val="clear" w:color="auto" w:fill="auto"/>
            <w:vAlign w:val="center"/>
          </w:tcPr>
          <w:p w14:paraId="16C86FCD"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3</w:t>
            </w:r>
          </w:p>
        </w:tc>
        <w:tc>
          <w:tcPr>
            <w:tcW w:w="777" w:type="pct"/>
            <w:shd w:val="clear" w:color="auto" w:fill="auto"/>
            <w:vAlign w:val="center"/>
          </w:tcPr>
          <w:p w14:paraId="2275C95E"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r>
      <w:tr w:rsidR="00F75E7E" w:rsidRPr="00265791" w14:paraId="2988B8A7" w14:textId="77777777" w:rsidTr="00F75E7E">
        <w:trPr>
          <w:jc w:val="center"/>
        </w:trPr>
        <w:tc>
          <w:tcPr>
            <w:tcW w:w="2156" w:type="pct"/>
            <w:vAlign w:val="center"/>
          </w:tcPr>
          <w:p w14:paraId="68C95F78" w14:textId="77777777" w:rsidR="00F75E7E" w:rsidRPr="00265791" w:rsidRDefault="00F75E7E" w:rsidP="00F75E7E">
            <w:pPr>
              <w:pStyle w:val="BMSTableText"/>
              <w:tabs>
                <w:tab w:val="clear" w:pos="360"/>
                <w:tab w:val="left" w:pos="177"/>
                <w:tab w:val="left" w:pos="297"/>
                <w:tab w:val="left" w:pos="330"/>
                <w:tab w:val="left" w:pos="530"/>
              </w:tabs>
              <w:spacing w:beforeLines="20" w:before="48" w:afterLines="20" w:after="48"/>
              <w:ind w:left="177" w:hanging="180"/>
              <w:jc w:val="left"/>
              <w:rPr>
                <w:lang w:val="en-GB"/>
              </w:rPr>
            </w:pPr>
            <w:r w:rsidRPr="00265791">
              <w:rPr>
                <w:lang w:val="en-GB"/>
              </w:rPr>
              <w:tab/>
              <w:t>Generalised oedema</w:t>
            </w:r>
          </w:p>
        </w:tc>
        <w:tc>
          <w:tcPr>
            <w:tcW w:w="706" w:type="pct"/>
            <w:shd w:val="clear" w:color="auto" w:fill="auto"/>
            <w:vAlign w:val="center"/>
          </w:tcPr>
          <w:p w14:paraId="10605A89"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4</w:t>
            </w:r>
          </w:p>
        </w:tc>
        <w:tc>
          <w:tcPr>
            <w:tcW w:w="646" w:type="pct"/>
            <w:tcBorders>
              <w:right w:val="single" w:sz="4" w:space="0" w:color="auto"/>
            </w:tcBorders>
            <w:shd w:val="clear" w:color="auto" w:fill="auto"/>
            <w:vAlign w:val="center"/>
          </w:tcPr>
          <w:p w14:paraId="5B7DE860"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7</w:t>
            </w:r>
          </w:p>
        </w:tc>
        <w:tc>
          <w:tcPr>
            <w:tcW w:w="715" w:type="pct"/>
            <w:tcBorders>
              <w:left w:val="single" w:sz="4" w:space="0" w:color="auto"/>
            </w:tcBorders>
            <w:shd w:val="clear" w:color="auto" w:fill="auto"/>
            <w:vAlign w:val="center"/>
          </w:tcPr>
          <w:p w14:paraId="084883F8"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c>
          <w:tcPr>
            <w:tcW w:w="777" w:type="pct"/>
            <w:shd w:val="clear" w:color="auto" w:fill="auto"/>
            <w:vAlign w:val="center"/>
          </w:tcPr>
          <w:p w14:paraId="60FB7372"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r>
      <w:tr w:rsidR="00F75E7E" w:rsidRPr="00265791" w14:paraId="2FEAF9BD" w14:textId="77777777" w:rsidTr="00F75E7E">
        <w:trPr>
          <w:jc w:val="center"/>
        </w:trPr>
        <w:tc>
          <w:tcPr>
            <w:tcW w:w="2156" w:type="pct"/>
            <w:vAlign w:val="center"/>
          </w:tcPr>
          <w:p w14:paraId="7D20A925" w14:textId="77777777" w:rsidR="00F75E7E" w:rsidRPr="00265791" w:rsidRDefault="00F75E7E" w:rsidP="00F75E7E">
            <w:pPr>
              <w:pStyle w:val="BMSTableText"/>
              <w:tabs>
                <w:tab w:val="clear" w:pos="360"/>
                <w:tab w:val="left" w:pos="177"/>
                <w:tab w:val="left" w:pos="297"/>
                <w:tab w:val="left" w:pos="330"/>
                <w:tab w:val="left" w:pos="530"/>
              </w:tabs>
              <w:spacing w:beforeLines="20" w:before="48" w:afterLines="20" w:after="48"/>
              <w:ind w:left="177" w:hanging="180"/>
              <w:jc w:val="left"/>
              <w:rPr>
                <w:lang w:val="en-GB"/>
              </w:rPr>
            </w:pPr>
            <w:r w:rsidRPr="00265791">
              <w:rPr>
                <w:lang w:val="en-GB"/>
              </w:rPr>
              <w:tab/>
              <w:t>Pericardial effusion</w:t>
            </w:r>
          </w:p>
        </w:tc>
        <w:tc>
          <w:tcPr>
            <w:tcW w:w="706" w:type="pct"/>
            <w:shd w:val="clear" w:color="auto" w:fill="auto"/>
            <w:vAlign w:val="center"/>
          </w:tcPr>
          <w:p w14:paraId="6905DF68"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4</w:t>
            </w:r>
          </w:p>
        </w:tc>
        <w:tc>
          <w:tcPr>
            <w:tcW w:w="646" w:type="pct"/>
            <w:tcBorders>
              <w:right w:val="single" w:sz="4" w:space="0" w:color="auto"/>
            </w:tcBorders>
            <w:shd w:val="clear" w:color="auto" w:fill="auto"/>
            <w:vAlign w:val="center"/>
          </w:tcPr>
          <w:p w14:paraId="2158996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c>
          <w:tcPr>
            <w:tcW w:w="715" w:type="pct"/>
            <w:tcBorders>
              <w:left w:val="single" w:sz="4" w:space="0" w:color="auto"/>
            </w:tcBorders>
            <w:shd w:val="clear" w:color="auto" w:fill="auto"/>
            <w:vAlign w:val="center"/>
          </w:tcPr>
          <w:p w14:paraId="5F030C71"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c>
          <w:tcPr>
            <w:tcW w:w="777" w:type="pct"/>
            <w:shd w:val="clear" w:color="auto" w:fill="auto"/>
            <w:vAlign w:val="center"/>
          </w:tcPr>
          <w:p w14:paraId="13013215"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r>
      <w:tr w:rsidR="00F75E7E" w:rsidRPr="00265791" w14:paraId="4277DC77" w14:textId="77777777" w:rsidTr="00F75E7E">
        <w:trPr>
          <w:trHeight w:val="539"/>
          <w:jc w:val="center"/>
        </w:trPr>
        <w:tc>
          <w:tcPr>
            <w:tcW w:w="2156" w:type="pct"/>
            <w:vAlign w:val="center"/>
          </w:tcPr>
          <w:p w14:paraId="647BA4A5" w14:textId="77777777" w:rsidR="00F75E7E" w:rsidRPr="00265791" w:rsidRDefault="00F75E7E" w:rsidP="00F75E7E">
            <w:pPr>
              <w:pStyle w:val="BMSTableText"/>
              <w:tabs>
                <w:tab w:val="clear" w:pos="360"/>
                <w:tab w:val="left" w:pos="177"/>
              </w:tabs>
              <w:spacing w:beforeLines="20" w:before="48" w:afterLines="20" w:after="48"/>
              <w:ind w:left="222" w:hanging="225"/>
              <w:jc w:val="left"/>
              <w:rPr>
                <w:lang w:val="en-GB"/>
              </w:rPr>
            </w:pPr>
            <w:r w:rsidRPr="00265791">
              <w:rPr>
                <w:lang w:val="en-GB"/>
              </w:rPr>
              <w:tab/>
              <w:t>Congestive heart failure/</w:t>
            </w:r>
            <w:r w:rsidRPr="00265791">
              <w:rPr>
                <w:lang w:val="en-GB"/>
              </w:rPr>
              <w:br/>
              <w:t>cardiac dysfunction</w:t>
            </w:r>
            <w:r w:rsidRPr="00265791">
              <w:rPr>
                <w:rStyle w:val="BMSSuperscript"/>
                <w:sz w:val="18"/>
                <w:szCs w:val="18"/>
                <w:lang w:val="en-GB"/>
              </w:rPr>
              <w:t>a</w:t>
            </w:r>
          </w:p>
        </w:tc>
        <w:tc>
          <w:tcPr>
            <w:tcW w:w="706" w:type="pct"/>
            <w:shd w:val="clear" w:color="auto" w:fill="auto"/>
            <w:vAlign w:val="center"/>
          </w:tcPr>
          <w:p w14:paraId="766837BD"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2</w:t>
            </w:r>
          </w:p>
        </w:tc>
        <w:tc>
          <w:tcPr>
            <w:tcW w:w="646" w:type="pct"/>
            <w:tcBorders>
              <w:right w:val="single" w:sz="4" w:space="0" w:color="auto"/>
            </w:tcBorders>
            <w:shd w:val="clear" w:color="auto" w:fill="auto"/>
            <w:vAlign w:val="center"/>
          </w:tcPr>
          <w:p w14:paraId="172F39C9"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c>
          <w:tcPr>
            <w:tcW w:w="715" w:type="pct"/>
            <w:tcBorders>
              <w:left w:val="single" w:sz="4" w:space="0" w:color="auto"/>
            </w:tcBorders>
            <w:shd w:val="clear" w:color="auto" w:fill="auto"/>
            <w:vAlign w:val="center"/>
          </w:tcPr>
          <w:p w14:paraId="09C88BB2"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&lt; 1</w:t>
            </w:r>
          </w:p>
        </w:tc>
        <w:tc>
          <w:tcPr>
            <w:tcW w:w="777" w:type="pct"/>
            <w:shd w:val="clear" w:color="auto" w:fill="auto"/>
            <w:vAlign w:val="center"/>
          </w:tcPr>
          <w:p w14:paraId="6DA3DD90"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&lt; 1</w:t>
            </w:r>
          </w:p>
        </w:tc>
      </w:tr>
      <w:tr w:rsidR="00F75E7E" w:rsidRPr="00265791" w14:paraId="605AAAE1" w14:textId="77777777" w:rsidTr="00F75E7E">
        <w:trPr>
          <w:jc w:val="center"/>
        </w:trPr>
        <w:tc>
          <w:tcPr>
            <w:tcW w:w="2156" w:type="pct"/>
            <w:vAlign w:val="center"/>
          </w:tcPr>
          <w:p w14:paraId="0B51A484" w14:textId="77777777" w:rsidR="00F75E7E" w:rsidRPr="00265791" w:rsidRDefault="00F75E7E" w:rsidP="00F75E7E">
            <w:pPr>
              <w:pStyle w:val="BMSTableText"/>
              <w:tabs>
                <w:tab w:val="clear" w:pos="360"/>
                <w:tab w:val="left" w:pos="177"/>
                <w:tab w:val="left" w:pos="297"/>
                <w:tab w:val="left" w:pos="330"/>
                <w:tab w:val="left" w:pos="530"/>
              </w:tabs>
              <w:spacing w:beforeLines="20" w:before="48" w:afterLines="20" w:after="48"/>
              <w:ind w:left="177" w:hanging="180"/>
              <w:jc w:val="left"/>
              <w:rPr>
                <w:lang w:val="en-GB"/>
              </w:rPr>
            </w:pPr>
            <w:r w:rsidRPr="00265791">
              <w:rPr>
                <w:lang w:val="en-GB"/>
              </w:rPr>
              <w:lastRenderedPageBreak/>
              <w:tab/>
              <w:t>Pulmonary hypertension</w:t>
            </w:r>
          </w:p>
        </w:tc>
        <w:tc>
          <w:tcPr>
            <w:tcW w:w="706" w:type="pct"/>
            <w:shd w:val="clear" w:color="auto" w:fill="auto"/>
            <w:vAlign w:val="center"/>
          </w:tcPr>
          <w:p w14:paraId="562102EA"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5</w:t>
            </w:r>
          </w:p>
        </w:tc>
        <w:tc>
          <w:tcPr>
            <w:tcW w:w="646" w:type="pct"/>
            <w:tcBorders>
              <w:right w:val="single" w:sz="4" w:space="0" w:color="auto"/>
            </w:tcBorders>
            <w:shd w:val="clear" w:color="auto" w:fill="auto"/>
            <w:vAlign w:val="center"/>
          </w:tcPr>
          <w:p w14:paraId="4B79B63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c>
          <w:tcPr>
            <w:tcW w:w="715" w:type="pct"/>
            <w:tcBorders>
              <w:left w:val="single" w:sz="4" w:space="0" w:color="auto"/>
            </w:tcBorders>
            <w:shd w:val="clear" w:color="auto" w:fill="auto"/>
            <w:vAlign w:val="center"/>
          </w:tcPr>
          <w:p w14:paraId="1750CC81"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&lt; 1</w:t>
            </w:r>
          </w:p>
        </w:tc>
        <w:tc>
          <w:tcPr>
            <w:tcW w:w="777" w:type="pct"/>
            <w:shd w:val="clear" w:color="auto" w:fill="auto"/>
            <w:vAlign w:val="center"/>
          </w:tcPr>
          <w:p w14:paraId="11C226E4"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r>
      <w:tr w:rsidR="00F75E7E" w:rsidRPr="00265791" w14:paraId="4AA8F8EE" w14:textId="77777777" w:rsidTr="00F75E7E">
        <w:trPr>
          <w:jc w:val="center"/>
        </w:trPr>
        <w:tc>
          <w:tcPr>
            <w:tcW w:w="2156" w:type="pct"/>
            <w:vAlign w:val="center"/>
          </w:tcPr>
          <w:p w14:paraId="115A6078" w14:textId="77777777" w:rsidR="00F75E7E" w:rsidRPr="00265791" w:rsidRDefault="00F75E7E" w:rsidP="00F75E7E">
            <w:pPr>
              <w:pStyle w:val="BMSTableText"/>
              <w:tabs>
                <w:tab w:val="clear" w:pos="360"/>
                <w:tab w:val="left" w:pos="177"/>
                <w:tab w:val="left" w:pos="297"/>
                <w:tab w:val="left" w:pos="330"/>
                <w:tab w:val="left" w:pos="530"/>
              </w:tabs>
              <w:spacing w:beforeLines="20" w:before="48" w:afterLines="20" w:after="48"/>
              <w:ind w:left="177" w:hanging="180"/>
              <w:jc w:val="left"/>
              <w:rPr>
                <w:lang w:val="en-GB"/>
              </w:rPr>
            </w:pPr>
            <w:r w:rsidRPr="00265791">
              <w:rPr>
                <w:lang w:val="en-GB"/>
              </w:rPr>
              <w:tab/>
              <w:t>Pulmonary oedema</w:t>
            </w:r>
          </w:p>
        </w:tc>
        <w:tc>
          <w:tcPr>
            <w:tcW w:w="706" w:type="pct"/>
            <w:shd w:val="clear" w:color="auto" w:fill="auto"/>
            <w:vAlign w:val="center"/>
          </w:tcPr>
          <w:p w14:paraId="53339031"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c>
          <w:tcPr>
            <w:tcW w:w="646" w:type="pct"/>
            <w:tcBorders>
              <w:right w:val="single" w:sz="4" w:space="0" w:color="auto"/>
            </w:tcBorders>
            <w:shd w:val="clear" w:color="auto" w:fill="auto"/>
            <w:vAlign w:val="center"/>
          </w:tcPr>
          <w:p w14:paraId="7C2F9545"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c>
          <w:tcPr>
            <w:tcW w:w="715" w:type="pct"/>
            <w:tcBorders>
              <w:left w:val="single" w:sz="4" w:space="0" w:color="auto"/>
            </w:tcBorders>
            <w:shd w:val="clear" w:color="auto" w:fill="auto"/>
            <w:vAlign w:val="center"/>
          </w:tcPr>
          <w:p w14:paraId="487E605E"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c>
          <w:tcPr>
            <w:tcW w:w="777" w:type="pct"/>
            <w:shd w:val="clear" w:color="auto" w:fill="auto"/>
            <w:vAlign w:val="center"/>
          </w:tcPr>
          <w:p w14:paraId="3343C9F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r>
      <w:tr w:rsidR="00F75E7E" w:rsidRPr="00265791" w14:paraId="0A494651" w14:textId="77777777" w:rsidTr="00F75E7E">
        <w:trPr>
          <w:jc w:val="center"/>
        </w:trPr>
        <w:tc>
          <w:tcPr>
            <w:tcW w:w="2156" w:type="pct"/>
            <w:vAlign w:val="center"/>
          </w:tcPr>
          <w:p w14:paraId="4F628C44"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Diarrhoea</w:t>
            </w:r>
          </w:p>
        </w:tc>
        <w:tc>
          <w:tcPr>
            <w:tcW w:w="706" w:type="pct"/>
            <w:shd w:val="clear" w:color="auto" w:fill="auto"/>
            <w:vAlign w:val="center"/>
          </w:tcPr>
          <w:p w14:paraId="12ABE353"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22</w:t>
            </w:r>
          </w:p>
        </w:tc>
        <w:tc>
          <w:tcPr>
            <w:tcW w:w="646" w:type="pct"/>
            <w:tcBorders>
              <w:right w:val="single" w:sz="4" w:space="0" w:color="auto"/>
            </w:tcBorders>
            <w:shd w:val="clear" w:color="auto" w:fill="auto"/>
            <w:vAlign w:val="center"/>
          </w:tcPr>
          <w:p w14:paraId="673C99BA"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23</w:t>
            </w:r>
          </w:p>
        </w:tc>
        <w:tc>
          <w:tcPr>
            <w:tcW w:w="715" w:type="pct"/>
            <w:tcBorders>
              <w:left w:val="single" w:sz="4" w:space="0" w:color="auto"/>
            </w:tcBorders>
            <w:shd w:val="clear" w:color="auto" w:fill="auto"/>
            <w:vAlign w:val="center"/>
          </w:tcPr>
          <w:p w14:paraId="1AE265B7"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c>
          <w:tcPr>
            <w:tcW w:w="777" w:type="pct"/>
            <w:shd w:val="clear" w:color="auto" w:fill="auto"/>
            <w:vAlign w:val="center"/>
          </w:tcPr>
          <w:p w14:paraId="7A64DB98"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r>
      <w:tr w:rsidR="00F75E7E" w:rsidRPr="00265791" w14:paraId="5AE2D795" w14:textId="77777777" w:rsidTr="00F75E7E">
        <w:trPr>
          <w:jc w:val="center"/>
        </w:trPr>
        <w:tc>
          <w:tcPr>
            <w:tcW w:w="2156" w:type="pct"/>
            <w:vAlign w:val="center"/>
          </w:tcPr>
          <w:p w14:paraId="381B3AB6"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Nausea</w:t>
            </w:r>
          </w:p>
        </w:tc>
        <w:tc>
          <w:tcPr>
            <w:tcW w:w="706" w:type="pct"/>
            <w:shd w:val="clear" w:color="auto" w:fill="auto"/>
            <w:vAlign w:val="center"/>
          </w:tcPr>
          <w:p w14:paraId="07A8352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r>
              <w:rPr>
                <w:lang w:val="en-GB"/>
              </w:rPr>
              <w:t>0</w:t>
            </w:r>
          </w:p>
        </w:tc>
        <w:tc>
          <w:tcPr>
            <w:tcW w:w="646" w:type="pct"/>
            <w:tcBorders>
              <w:right w:val="single" w:sz="4" w:space="0" w:color="auto"/>
            </w:tcBorders>
            <w:shd w:val="clear" w:color="auto" w:fill="auto"/>
            <w:vAlign w:val="center"/>
          </w:tcPr>
          <w:p w14:paraId="5B0CF01D"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25</w:t>
            </w:r>
          </w:p>
        </w:tc>
        <w:tc>
          <w:tcPr>
            <w:tcW w:w="715" w:type="pct"/>
            <w:tcBorders>
              <w:left w:val="single" w:sz="4" w:space="0" w:color="auto"/>
            </w:tcBorders>
            <w:shd w:val="clear" w:color="auto" w:fill="auto"/>
            <w:vAlign w:val="center"/>
          </w:tcPr>
          <w:p w14:paraId="1A64708A"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c>
          <w:tcPr>
            <w:tcW w:w="777" w:type="pct"/>
            <w:shd w:val="clear" w:color="auto" w:fill="auto"/>
            <w:vAlign w:val="center"/>
          </w:tcPr>
          <w:p w14:paraId="1A3E161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r>
      <w:tr w:rsidR="00F75E7E" w:rsidRPr="00265791" w14:paraId="7869B47A" w14:textId="77777777" w:rsidTr="00F75E7E">
        <w:trPr>
          <w:jc w:val="center"/>
        </w:trPr>
        <w:tc>
          <w:tcPr>
            <w:tcW w:w="2156" w:type="pct"/>
            <w:vAlign w:val="center"/>
          </w:tcPr>
          <w:p w14:paraId="4B755DCC"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Pr>
                <w:lang w:val="en-GB"/>
              </w:rPr>
              <w:t>Abdominal pain</w:t>
            </w:r>
          </w:p>
        </w:tc>
        <w:tc>
          <w:tcPr>
            <w:tcW w:w="706" w:type="pct"/>
            <w:shd w:val="clear" w:color="auto" w:fill="auto"/>
            <w:vAlign w:val="center"/>
          </w:tcPr>
          <w:p w14:paraId="709C3FC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11</w:t>
            </w:r>
          </w:p>
        </w:tc>
        <w:tc>
          <w:tcPr>
            <w:tcW w:w="646" w:type="pct"/>
            <w:tcBorders>
              <w:right w:val="single" w:sz="4" w:space="0" w:color="auto"/>
            </w:tcBorders>
            <w:shd w:val="clear" w:color="auto" w:fill="auto"/>
            <w:vAlign w:val="center"/>
          </w:tcPr>
          <w:p w14:paraId="3548ED33"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8</w:t>
            </w:r>
          </w:p>
        </w:tc>
        <w:tc>
          <w:tcPr>
            <w:tcW w:w="715" w:type="pct"/>
            <w:tcBorders>
              <w:left w:val="single" w:sz="4" w:space="0" w:color="auto"/>
            </w:tcBorders>
            <w:shd w:val="clear" w:color="auto" w:fill="auto"/>
            <w:vAlign w:val="center"/>
          </w:tcPr>
          <w:p w14:paraId="49C080E3"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77" w:type="pct"/>
            <w:shd w:val="clear" w:color="auto" w:fill="auto"/>
            <w:vAlign w:val="center"/>
          </w:tcPr>
          <w:p w14:paraId="791D699D"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&lt;1</w:t>
            </w:r>
          </w:p>
        </w:tc>
      </w:tr>
      <w:tr w:rsidR="00F75E7E" w:rsidRPr="00265791" w14:paraId="13B91579" w14:textId="77777777" w:rsidTr="00F75E7E">
        <w:trPr>
          <w:jc w:val="center"/>
        </w:trPr>
        <w:tc>
          <w:tcPr>
            <w:tcW w:w="2156" w:type="pct"/>
            <w:vAlign w:val="center"/>
          </w:tcPr>
          <w:p w14:paraId="0A3DA3AF"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Vomiting</w:t>
            </w:r>
          </w:p>
        </w:tc>
        <w:tc>
          <w:tcPr>
            <w:tcW w:w="706" w:type="pct"/>
            <w:shd w:val="clear" w:color="auto" w:fill="auto"/>
            <w:vAlign w:val="center"/>
          </w:tcPr>
          <w:p w14:paraId="79BD31A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5</w:t>
            </w:r>
          </w:p>
        </w:tc>
        <w:tc>
          <w:tcPr>
            <w:tcW w:w="646" w:type="pct"/>
            <w:tcBorders>
              <w:right w:val="single" w:sz="4" w:space="0" w:color="auto"/>
            </w:tcBorders>
            <w:shd w:val="clear" w:color="auto" w:fill="auto"/>
            <w:vAlign w:val="center"/>
          </w:tcPr>
          <w:p w14:paraId="6A2800D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r>
              <w:rPr>
                <w:lang w:val="en-GB"/>
              </w:rPr>
              <w:t>2</w:t>
            </w:r>
          </w:p>
        </w:tc>
        <w:tc>
          <w:tcPr>
            <w:tcW w:w="715" w:type="pct"/>
            <w:tcBorders>
              <w:left w:val="single" w:sz="4" w:space="0" w:color="auto"/>
            </w:tcBorders>
            <w:shd w:val="clear" w:color="auto" w:fill="auto"/>
            <w:vAlign w:val="center"/>
          </w:tcPr>
          <w:p w14:paraId="1BB5BC2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c>
          <w:tcPr>
            <w:tcW w:w="777" w:type="pct"/>
            <w:shd w:val="clear" w:color="auto" w:fill="auto"/>
            <w:vAlign w:val="center"/>
          </w:tcPr>
          <w:p w14:paraId="26011CC2"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r>
      <w:tr w:rsidR="00F75E7E" w:rsidRPr="00265791" w14:paraId="65A8B249" w14:textId="77777777" w:rsidTr="00F75E7E">
        <w:trPr>
          <w:jc w:val="center"/>
        </w:trPr>
        <w:tc>
          <w:tcPr>
            <w:tcW w:w="2156" w:type="pct"/>
            <w:vAlign w:val="center"/>
          </w:tcPr>
          <w:p w14:paraId="3E797203"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Headache</w:t>
            </w:r>
          </w:p>
        </w:tc>
        <w:tc>
          <w:tcPr>
            <w:tcW w:w="706" w:type="pct"/>
            <w:shd w:val="clear" w:color="auto" w:fill="auto"/>
            <w:vAlign w:val="center"/>
          </w:tcPr>
          <w:p w14:paraId="5417B9A0"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13</w:t>
            </w:r>
          </w:p>
        </w:tc>
        <w:tc>
          <w:tcPr>
            <w:tcW w:w="646" w:type="pct"/>
            <w:tcBorders>
              <w:right w:val="single" w:sz="4" w:space="0" w:color="auto"/>
            </w:tcBorders>
            <w:shd w:val="clear" w:color="auto" w:fill="auto"/>
            <w:vAlign w:val="center"/>
          </w:tcPr>
          <w:p w14:paraId="2D39157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11</w:t>
            </w:r>
          </w:p>
        </w:tc>
        <w:tc>
          <w:tcPr>
            <w:tcW w:w="715" w:type="pct"/>
            <w:tcBorders>
              <w:left w:val="single" w:sz="4" w:space="0" w:color="auto"/>
            </w:tcBorders>
            <w:shd w:val="clear" w:color="auto" w:fill="auto"/>
            <w:vAlign w:val="center"/>
          </w:tcPr>
          <w:p w14:paraId="01F9C7C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c>
          <w:tcPr>
            <w:tcW w:w="777" w:type="pct"/>
            <w:shd w:val="clear" w:color="auto" w:fill="auto"/>
            <w:vAlign w:val="center"/>
          </w:tcPr>
          <w:p w14:paraId="6673058C"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r>
      <w:tr w:rsidR="00F75E7E" w:rsidRPr="00265791" w14:paraId="7231BCB1" w14:textId="77777777" w:rsidTr="00F75E7E">
        <w:trPr>
          <w:jc w:val="center"/>
        </w:trPr>
        <w:tc>
          <w:tcPr>
            <w:tcW w:w="2156" w:type="pct"/>
            <w:vAlign w:val="center"/>
          </w:tcPr>
          <w:p w14:paraId="13CC96FA"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Rash</w:t>
            </w:r>
            <w:r w:rsidRPr="00265791">
              <w:rPr>
                <w:rStyle w:val="BMSSuperscript"/>
                <w:sz w:val="18"/>
                <w:szCs w:val="18"/>
                <w:lang w:val="en-GB"/>
              </w:rPr>
              <w:t>b</w:t>
            </w:r>
          </w:p>
        </w:tc>
        <w:tc>
          <w:tcPr>
            <w:tcW w:w="706" w:type="pct"/>
            <w:shd w:val="clear" w:color="auto" w:fill="auto"/>
            <w:vAlign w:val="center"/>
          </w:tcPr>
          <w:p w14:paraId="2AC8C359"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r>
              <w:rPr>
                <w:lang w:val="en-GB"/>
              </w:rPr>
              <w:t>4</w:t>
            </w:r>
          </w:p>
        </w:tc>
        <w:tc>
          <w:tcPr>
            <w:tcW w:w="646" w:type="pct"/>
            <w:tcBorders>
              <w:right w:val="single" w:sz="4" w:space="0" w:color="auto"/>
            </w:tcBorders>
            <w:shd w:val="clear" w:color="auto" w:fill="auto"/>
            <w:vAlign w:val="center"/>
          </w:tcPr>
          <w:p w14:paraId="72FAEE97"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18</w:t>
            </w:r>
          </w:p>
        </w:tc>
        <w:tc>
          <w:tcPr>
            <w:tcW w:w="715" w:type="pct"/>
            <w:tcBorders>
              <w:left w:val="single" w:sz="4" w:space="0" w:color="auto"/>
            </w:tcBorders>
            <w:shd w:val="clear" w:color="auto" w:fill="auto"/>
            <w:vAlign w:val="center"/>
          </w:tcPr>
          <w:p w14:paraId="1FA01F14"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c>
          <w:tcPr>
            <w:tcW w:w="777" w:type="pct"/>
            <w:shd w:val="clear" w:color="auto" w:fill="auto"/>
            <w:vAlign w:val="center"/>
          </w:tcPr>
          <w:p w14:paraId="5CD4FE6E"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2</w:t>
            </w:r>
          </w:p>
        </w:tc>
      </w:tr>
      <w:tr w:rsidR="00F75E7E" w:rsidRPr="00265791" w14:paraId="778BF008" w14:textId="77777777" w:rsidTr="00F75E7E">
        <w:trPr>
          <w:jc w:val="center"/>
        </w:trPr>
        <w:tc>
          <w:tcPr>
            <w:tcW w:w="2156" w:type="pct"/>
            <w:vAlign w:val="center"/>
          </w:tcPr>
          <w:p w14:paraId="7920C05E" w14:textId="77777777" w:rsidR="00F75E7E" w:rsidRPr="00265791" w:rsidRDefault="00F75E7E" w:rsidP="00F75E7E">
            <w:pPr>
              <w:pStyle w:val="BMSTableText"/>
              <w:keepNext/>
              <w:tabs>
                <w:tab w:val="clear" w:pos="360"/>
                <w:tab w:val="left" w:pos="177"/>
                <w:tab w:val="left" w:pos="330"/>
                <w:tab w:val="left" w:pos="530"/>
              </w:tabs>
              <w:spacing w:beforeLines="20" w:before="48" w:afterLines="20" w:after="48"/>
              <w:ind w:left="177" w:hanging="180"/>
              <w:jc w:val="left"/>
              <w:rPr>
                <w:lang w:val="en-GB"/>
              </w:rPr>
            </w:pPr>
            <w:r w:rsidRPr="00265791">
              <w:rPr>
                <w:lang w:val="en-GB"/>
              </w:rPr>
              <w:t>Fatigue</w:t>
            </w:r>
          </w:p>
        </w:tc>
        <w:tc>
          <w:tcPr>
            <w:tcW w:w="706" w:type="pct"/>
            <w:shd w:val="clear" w:color="auto" w:fill="auto"/>
            <w:vAlign w:val="center"/>
          </w:tcPr>
          <w:p w14:paraId="7880CFE7" w14:textId="77777777" w:rsidR="00F75E7E" w:rsidRPr="00265791" w:rsidRDefault="00F75E7E" w:rsidP="00F75E7E">
            <w:pPr>
              <w:pStyle w:val="BMSTableText"/>
              <w:keepNext/>
              <w:tabs>
                <w:tab w:val="clear" w:pos="360"/>
                <w:tab w:val="decimal" w:pos="593"/>
              </w:tabs>
              <w:spacing w:beforeLines="20" w:before="48" w:afterLines="20" w:after="48"/>
              <w:jc w:val="left"/>
              <w:rPr>
                <w:lang w:val="en-GB"/>
              </w:rPr>
            </w:pPr>
            <w:r w:rsidRPr="00265791">
              <w:rPr>
                <w:lang w:val="en-GB"/>
              </w:rPr>
              <w:t>1</w:t>
            </w:r>
            <w:r>
              <w:rPr>
                <w:lang w:val="en-GB"/>
              </w:rPr>
              <w:t>1</w:t>
            </w:r>
          </w:p>
        </w:tc>
        <w:tc>
          <w:tcPr>
            <w:tcW w:w="646" w:type="pct"/>
            <w:tcBorders>
              <w:right w:val="single" w:sz="4" w:space="0" w:color="auto"/>
            </w:tcBorders>
            <w:shd w:val="clear" w:color="auto" w:fill="auto"/>
            <w:vAlign w:val="center"/>
          </w:tcPr>
          <w:p w14:paraId="00B4D791" w14:textId="77777777" w:rsidR="00F75E7E" w:rsidRPr="00265791" w:rsidRDefault="00F75E7E" w:rsidP="00F75E7E">
            <w:pPr>
              <w:pStyle w:val="BMSTableText"/>
              <w:keepNext/>
              <w:tabs>
                <w:tab w:val="clear" w:pos="360"/>
                <w:tab w:val="decimal" w:pos="593"/>
              </w:tabs>
              <w:spacing w:beforeLines="20" w:before="48" w:afterLines="20" w:after="48"/>
              <w:jc w:val="left"/>
              <w:rPr>
                <w:lang w:val="en-GB"/>
              </w:rPr>
            </w:pPr>
            <w:r w:rsidRPr="00265791">
              <w:rPr>
                <w:lang w:val="en-GB"/>
              </w:rPr>
              <w:t>1</w:t>
            </w:r>
            <w:r>
              <w:rPr>
                <w:lang w:val="en-GB"/>
              </w:rPr>
              <w:t>2</w:t>
            </w:r>
          </w:p>
        </w:tc>
        <w:tc>
          <w:tcPr>
            <w:tcW w:w="715" w:type="pct"/>
            <w:tcBorders>
              <w:left w:val="single" w:sz="4" w:space="0" w:color="auto"/>
            </w:tcBorders>
            <w:shd w:val="clear" w:color="auto" w:fill="auto"/>
            <w:vAlign w:val="center"/>
          </w:tcPr>
          <w:p w14:paraId="34BE98E3" w14:textId="77777777" w:rsidR="00F75E7E" w:rsidRPr="00265791" w:rsidRDefault="00F75E7E" w:rsidP="00F75E7E">
            <w:pPr>
              <w:pStyle w:val="BMSTableText"/>
              <w:keepNext/>
              <w:tabs>
                <w:tab w:val="clear" w:pos="360"/>
                <w:tab w:val="decimal" w:pos="593"/>
              </w:tabs>
              <w:spacing w:beforeLines="20" w:before="48" w:afterLines="20" w:after="48"/>
              <w:jc w:val="left"/>
              <w:rPr>
                <w:lang w:val="en-GB"/>
              </w:rPr>
            </w:pPr>
            <w:r w:rsidRPr="00265791">
              <w:rPr>
                <w:lang w:val="en-GB"/>
              </w:rPr>
              <w:t>&lt; 1</w:t>
            </w:r>
          </w:p>
        </w:tc>
        <w:tc>
          <w:tcPr>
            <w:tcW w:w="777" w:type="pct"/>
            <w:shd w:val="clear" w:color="auto" w:fill="auto"/>
            <w:vAlign w:val="center"/>
          </w:tcPr>
          <w:p w14:paraId="0EFC13B0" w14:textId="77777777" w:rsidR="00F75E7E" w:rsidRPr="00265791" w:rsidRDefault="00F75E7E" w:rsidP="00F75E7E">
            <w:pPr>
              <w:pStyle w:val="BMSTableText"/>
              <w:keepNext/>
              <w:tabs>
                <w:tab w:val="clear" w:pos="360"/>
                <w:tab w:val="decimal" w:pos="593"/>
              </w:tabs>
              <w:spacing w:beforeLines="20" w:before="48" w:afterLines="20" w:after="48"/>
              <w:jc w:val="left"/>
              <w:rPr>
                <w:lang w:val="en-GB"/>
              </w:rPr>
            </w:pPr>
            <w:r w:rsidRPr="00265791">
              <w:rPr>
                <w:lang w:val="en-GB"/>
              </w:rPr>
              <w:t>0</w:t>
            </w:r>
          </w:p>
        </w:tc>
      </w:tr>
      <w:tr w:rsidR="00F75E7E" w:rsidRPr="00265791" w14:paraId="119D12E4" w14:textId="77777777" w:rsidTr="00F75E7E">
        <w:trPr>
          <w:jc w:val="center"/>
        </w:trPr>
        <w:tc>
          <w:tcPr>
            <w:tcW w:w="2156" w:type="pct"/>
            <w:vAlign w:val="center"/>
          </w:tcPr>
          <w:p w14:paraId="4E846817" w14:textId="77777777" w:rsidR="00F75E7E" w:rsidRPr="00265791" w:rsidRDefault="00F75E7E" w:rsidP="00341A90">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Musculoskeletal pain</w:t>
            </w:r>
          </w:p>
        </w:tc>
        <w:tc>
          <w:tcPr>
            <w:tcW w:w="706" w:type="pct"/>
            <w:shd w:val="clear" w:color="auto" w:fill="auto"/>
            <w:vAlign w:val="center"/>
          </w:tcPr>
          <w:p w14:paraId="489A2248"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1</w:t>
            </w:r>
            <w:r>
              <w:rPr>
                <w:lang w:val="en-GB"/>
              </w:rPr>
              <w:t>4</w:t>
            </w:r>
          </w:p>
        </w:tc>
        <w:tc>
          <w:tcPr>
            <w:tcW w:w="646" w:type="pct"/>
            <w:tcBorders>
              <w:right w:val="single" w:sz="4" w:space="0" w:color="auto"/>
            </w:tcBorders>
            <w:shd w:val="clear" w:color="auto" w:fill="auto"/>
            <w:vAlign w:val="center"/>
          </w:tcPr>
          <w:p w14:paraId="5C21FB85"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17</w:t>
            </w:r>
          </w:p>
        </w:tc>
        <w:tc>
          <w:tcPr>
            <w:tcW w:w="715" w:type="pct"/>
            <w:tcBorders>
              <w:left w:val="single" w:sz="4" w:space="0" w:color="auto"/>
            </w:tcBorders>
            <w:shd w:val="clear" w:color="auto" w:fill="auto"/>
            <w:vAlign w:val="center"/>
          </w:tcPr>
          <w:p w14:paraId="1EBB1594"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0</w:t>
            </w:r>
          </w:p>
        </w:tc>
        <w:tc>
          <w:tcPr>
            <w:tcW w:w="777" w:type="pct"/>
            <w:shd w:val="clear" w:color="auto" w:fill="auto"/>
            <w:vAlign w:val="center"/>
          </w:tcPr>
          <w:p w14:paraId="0A3796B3"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&lt; 1</w:t>
            </w:r>
          </w:p>
        </w:tc>
      </w:tr>
      <w:tr w:rsidR="00F75E7E" w:rsidRPr="00265791" w14:paraId="6A66667F" w14:textId="77777777" w:rsidTr="00F75E7E">
        <w:trPr>
          <w:jc w:val="center"/>
        </w:trPr>
        <w:tc>
          <w:tcPr>
            <w:tcW w:w="2156" w:type="pct"/>
            <w:vAlign w:val="center"/>
          </w:tcPr>
          <w:p w14:paraId="51EA81B4" w14:textId="77777777" w:rsidR="00F75E7E" w:rsidRPr="00265791" w:rsidRDefault="00F75E7E" w:rsidP="00341A90">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Myalgia</w:t>
            </w:r>
          </w:p>
        </w:tc>
        <w:tc>
          <w:tcPr>
            <w:tcW w:w="706" w:type="pct"/>
            <w:shd w:val="clear" w:color="auto" w:fill="auto"/>
            <w:vAlign w:val="center"/>
          </w:tcPr>
          <w:p w14:paraId="2C7EBE2B"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7</w:t>
            </w:r>
          </w:p>
        </w:tc>
        <w:tc>
          <w:tcPr>
            <w:tcW w:w="646" w:type="pct"/>
            <w:tcBorders>
              <w:right w:val="single" w:sz="4" w:space="0" w:color="auto"/>
            </w:tcBorders>
            <w:shd w:val="clear" w:color="auto" w:fill="auto"/>
            <w:vAlign w:val="center"/>
          </w:tcPr>
          <w:p w14:paraId="1552410E"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12</w:t>
            </w:r>
          </w:p>
        </w:tc>
        <w:tc>
          <w:tcPr>
            <w:tcW w:w="715" w:type="pct"/>
            <w:tcBorders>
              <w:left w:val="single" w:sz="4" w:space="0" w:color="auto"/>
            </w:tcBorders>
            <w:shd w:val="clear" w:color="auto" w:fill="auto"/>
            <w:vAlign w:val="center"/>
          </w:tcPr>
          <w:p w14:paraId="0F9669DD"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0</w:t>
            </w:r>
          </w:p>
        </w:tc>
        <w:tc>
          <w:tcPr>
            <w:tcW w:w="777" w:type="pct"/>
            <w:shd w:val="clear" w:color="auto" w:fill="auto"/>
            <w:vAlign w:val="center"/>
          </w:tcPr>
          <w:p w14:paraId="18680A78"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0</w:t>
            </w:r>
          </w:p>
        </w:tc>
      </w:tr>
      <w:tr w:rsidR="00F75E7E" w:rsidRPr="00265791" w14:paraId="1ACAF96D" w14:textId="77777777" w:rsidTr="00F75E7E">
        <w:trPr>
          <w:jc w:val="center"/>
        </w:trPr>
        <w:tc>
          <w:tcPr>
            <w:tcW w:w="2156" w:type="pct"/>
            <w:vAlign w:val="center"/>
          </w:tcPr>
          <w:p w14:paraId="75770C39" w14:textId="77777777" w:rsidR="00F75E7E" w:rsidRPr="00265791" w:rsidRDefault="00F75E7E" w:rsidP="00341A90">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AU"/>
              </w:rPr>
              <w:t>Arthralgia</w:t>
            </w:r>
          </w:p>
        </w:tc>
        <w:tc>
          <w:tcPr>
            <w:tcW w:w="706" w:type="pct"/>
            <w:shd w:val="clear" w:color="auto" w:fill="auto"/>
            <w:vAlign w:val="center"/>
          </w:tcPr>
          <w:p w14:paraId="731CCABC" w14:textId="77777777" w:rsidR="00F75E7E" w:rsidRPr="00265791" w:rsidDel="006000D3" w:rsidRDefault="00F75E7E" w:rsidP="00341A90">
            <w:pPr>
              <w:pStyle w:val="BMSTableText"/>
              <w:tabs>
                <w:tab w:val="clear" w:pos="360"/>
                <w:tab w:val="decimal" w:pos="593"/>
              </w:tabs>
              <w:spacing w:beforeLines="20" w:before="48" w:afterLines="20" w:after="48"/>
              <w:jc w:val="left"/>
              <w:rPr>
                <w:lang w:val="en-GB"/>
              </w:rPr>
            </w:pPr>
            <w:r w:rsidRPr="00265791">
              <w:rPr>
                <w:lang w:val="en-GB"/>
              </w:rPr>
              <w:t>7</w:t>
            </w:r>
          </w:p>
        </w:tc>
        <w:tc>
          <w:tcPr>
            <w:tcW w:w="646" w:type="pct"/>
            <w:tcBorders>
              <w:right w:val="single" w:sz="4" w:space="0" w:color="auto"/>
            </w:tcBorders>
            <w:shd w:val="clear" w:color="auto" w:fill="auto"/>
            <w:vAlign w:val="center"/>
          </w:tcPr>
          <w:p w14:paraId="329A7B05"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10</w:t>
            </w:r>
          </w:p>
        </w:tc>
        <w:tc>
          <w:tcPr>
            <w:tcW w:w="715" w:type="pct"/>
            <w:tcBorders>
              <w:left w:val="single" w:sz="4" w:space="0" w:color="auto"/>
            </w:tcBorders>
            <w:shd w:val="clear" w:color="auto" w:fill="auto"/>
            <w:vAlign w:val="center"/>
          </w:tcPr>
          <w:p w14:paraId="6B6E37DF"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0</w:t>
            </w:r>
          </w:p>
        </w:tc>
        <w:tc>
          <w:tcPr>
            <w:tcW w:w="777" w:type="pct"/>
            <w:shd w:val="clear" w:color="auto" w:fill="auto"/>
            <w:vAlign w:val="center"/>
          </w:tcPr>
          <w:p w14:paraId="7E6243AB"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&lt; 1</w:t>
            </w:r>
          </w:p>
        </w:tc>
      </w:tr>
      <w:tr w:rsidR="00F75E7E" w:rsidRPr="00265791" w14:paraId="0844D0C1" w14:textId="77777777" w:rsidTr="00F75E7E">
        <w:trPr>
          <w:jc w:val="center"/>
        </w:trPr>
        <w:tc>
          <w:tcPr>
            <w:tcW w:w="2156" w:type="pct"/>
            <w:vAlign w:val="center"/>
          </w:tcPr>
          <w:p w14:paraId="77CF7946" w14:textId="77777777" w:rsidR="00F75E7E" w:rsidRPr="00265791" w:rsidRDefault="00F75E7E" w:rsidP="00341A90">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Muscle spasm</w:t>
            </w:r>
          </w:p>
        </w:tc>
        <w:tc>
          <w:tcPr>
            <w:tcW w:w="706" w:type="pct"/>
            <w:shd w:val="clear" w:color="auto" w:fill="auto"/>
            <w:vAlign w:val="center"/>
          </w:tcPr>
          <w:p w14:paraId="6D6C78D9"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5</w:t>
            </w:r>
          </w:p>
        </w:tc>
        <w:tc>
          <w:tcPr>
            <w:tcW w:w="646" w:type="pct"/>
            <w:tcBorders>
              <w:right w:val="single" w:sz="4" w:space="0" w:color="auto"/>
            </w:tcBorders>
            <w:shd w:val="clear" w:color="auto" w:fill="auto"/>
            <w:vAlign w:val="center"/>
          </w:tcPr>
          <w:p w14:paraId="756517F0"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21</w:t>
            </w:r>
          </w:p>
        </w:tc>
        <w:tc>
          <w:tcPr>
            <w:tcW w:w="715" w:type="pct"/>
            <w:tcBorders>
              <w:left w:val="single" w:sz="4" w:space="0" w:color="auto"/>
            </w:tcBorders>
            <w:shd w:val="clear" w:color="auto" w:fill="auto"/>
            <w:vAlign w:val="center"/>
          </w:tcPr>
          <w:p w14:paraId="42543CD0"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0</w:t>
            </w:r>
          </w:p>
        </w:tc>
        <w:tc>
          <w:tcPr>
            <w:tcW w:w="777" w:type="pct"/>
            <w:shd w:val="clear" w:color="auto" w:fill="auto"/>
            <w:vAlign w:val="center"/>
          </w:tcPr>
          <w:p w14:paraId="34ADBD52" w14:textId="77777777" w:rsidR="00F75E7E" w:rsidRPr="00265791" w:rsidRDefault="00F75E7E" w:rsidP="00341A90">
            <w:pPr>
              <w:pStyle w:val="BMSTableText"/>
              <w:tabs>
                <w:tab w:val="clear" w:pos="360"/>
                <w:tab w:val="decimal" w:pos="593"/>
              </w:tabs>
              <w:spacing w:beforeLines="20" w:before="48" w:afterLines="20" w:after="48"/>
              <w:jc w:val="left"/>
              <w:rPr>
                <w:lang w:val="en-GB"/>
              </w:rPr>
            </w:pPr>
            <w:r w:rsidRPr="00265791">
              <w:rPr>
                <w:lang w:val="en-GB"/>
              </w:rPr>
              <w:t>&lt; 1</w:t>
            </w:r>
          </w:p>
        </w:tc>
      </w:tr>
      <w:tr w:rsidR="00F75E7E" w:rsidRPr="00265791" w14:paraId="6DE81C89" w14:textId="77777777" w:rsidTr="00F75E7E">
        <w:trPr>
          <w:jc w:val="center"/>
        </w:trPr>
        <w:tc>
          <w:tcPr>
            <w:tcW w:w="2156" w:type="pct"/>
            <w:vAlign w:val="center"/>
          </w:tcPr>
          <w:p w14:paraId="5309270C"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b/>
                <w:bCs/>
                <w:lang w:val="en-GB"/>
              </w:rPr>
            </w:pPr>
            <w:r w:rsidRPr="00265791">
              <w:rPr>
                <w:b/>
                <w:bCs/>
                <w:lang w:val="en-GB"/>
              </w:rPr>
              <w:t>Haemorrhage</w:t>
            </w:r>
            <w:r w:rsidRPr="00265791">
              <w:rPr>
                <w:b/>
                <w:bCs/>
                <w:vertAlign w:val="superscript"/>
                <w:lang w:val="en-GB"/>
              </w:rPr>
              <w:t>c</w:t>
            </w:r>
          </w:p>
        </w:tc>
        <w:tc>
          <w:tcPr>
            <w:tcW w:w="706" w:type="pct"/>
            <w:shd w:val="clear" w:color="auto" w:fill="auto"/>
            <w:vAlign w:val="center"/>
          </w:tcPr>
          <w:p w14:paraId="212BD446"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7</w:t>
            </w:r>
          </w:p>
        </w:tc>
        <w:tc>
          <w:tcPr>
            <w:tcW w:w="646" w:type="pct"/>
            <w:tcBorders>
              <w:right w:val="single" w:sz="4" w:space="0" w:color="auto"/>
            </w:tcBorders>
            <w:shd w:val="clear" w:color="auto" w:fill="auto"/>
            <w:vAlign w:val="center"/>
          </w:tcPr>
          <w:p w14:paraId="297B3DE6"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7</w:t>
            </w:r>
          </w:p>
        </w:tc>
        <w:tc>
          <w:tcPr>
            <w:tcW w:w="715" w:type="pct"/>
            <w:tcBorders>
              <w:left w:val="single" w:sz="4" w:space="0" w:color="auto"/>
            </w:tcBorders>
            <w:shd w:val="clear" w:color="auto" w:fill="auto"/>
            <w:vAlign w:val="center"/>
          </w:tcPr>
          <w:p w14:paraId="78026A6E"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c>
          <w:tcPr>
            <w:tcW w:w="777" w:type="pct"/>
            <w:shd w:val="clear" w:color="auto" w:fill="auto"/>
            <w:vAlign w:val="center"/>
          </w:tcPr>
          <w:p w14:paraId="0FBA01EA"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r>
      <w:tr w:rsidR="00F75E7E" w:rsidRPr="00265791" w14:paraId="6E583D40" w14:textId="77777777" w:rsidTr="00F75E7E">
        <w:trPr>
          <w:jc w:val="center"/>
        </w:trPr>
        <w:tc>
          <w:tcPr>
            <w:tcW w:w="2156" w:type="pct"/>
            <w:vAlign w:val="center"/>
          </w:tcPr>
          <w:p w14:paraId="7C9BAC40"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ab/>
              <w:t>Gastrointestinal bleeding</w:t>
            </w:r>
          </w:p>
        </w:tc>
        <w:tc>
          <w:tcPr>
            <w:tcW w:w="706" w:type="pct"/>
            <w:shd w:val="clear" w:color="auto" w:fill="auto"/>
            <w:vAlign w:val="center"/>
          </w:tcPr>
          <w:p w14:paraId="7B2C1672"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2</w:t>
            </w:r>
          </w:p>
        </w:tc>
        <w:tc>
          <w:tcPr>
            <w:tcW w:w="646" w:type="pct"/>
            <w:tcBorders>
              <w:right w:val="single" w:sz="4" w:space="0" w:color="auto"/>
            </w:tcBorders>
            <w:shd w:val="clear" w:color="auto" w:fill="auto"/>
            <w:vAlign w:val="center"/>
          </w:tcPr>
          <w:p w14:paraId="656615B6"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c>
          <w:tcPr>
            <w:tcW w:w="715" w:type="pct"/>
            <w:tcBorders>
              <w:left w:val="single" w:sz="4" w:space="0" w:color="auto"/>
            </w:tcBorders>
            <w:shd w:val="clear" w:color="auto" w:fill="auto"/>
            <w:vAlign w:val="center"/>
          </w:tcPr>
          <w:p w14:paraId="185BE287"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c>
          <w:tcPr>
            <w:tcW w:w="777" w:type="pct"/>
            <w:shd w:val="clear" w:color="auto" w:fill="auto"/>
            <w:vAlign w:val="center"/>
          </w:tcPr>
          <w:p w14:paraId="180E0EBE"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r>
      <w:tr w:rsidR="00F75E7E" w:rsidRPr="00265791" w14:paraId="0D4CFBF0" w14:textId="77777777" w:rsidTr="00F75E7E">
        <w:trPr>
          <w:jc w:val="center"/>
        </w:trPr>
        <w:tc>
          <w:tcPr>
            <w:tcW w:w="2156" w:type="pct"/>
            <w:tcBorders>
              <w:bottom w:val="double" w:sz="4" w:space="0" w:color="auto"/>
            </w:tcBorders>
            <w:vAlign w:val="center"/>
          </w:tcPr>
          <w:p w14:paraId="4A32C339"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ab/>
              <w:t>Other bleeding</w:t>
            </w:r>
            <w:r w:rsidRPr="00265791">
              <w:rPr>
                <w:vertAlign w:val="superscript"/>
                <w:lang w:val="en-GB"/>
              </w:rPr>
              <w:t>d</w:t>
            </w:r>
          </w:p>
        </w:tc>
        <w:tc>
          <w:tcPr>
            <w:tcW w:w="706" w:type="pct"/>
            <w:tcBorders>
              <w:bottom w:val="double" w:sz="4" w:space="0" w:color="auto"/>
            </w:tcBorders>
            <w:shd w:val="clear" w:color="auto" w:fill="auto"/>
            <w:vAlign w:val="center"/>
          </w:tcPr>
          <w:p w14:paraId="18784F08"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6</w:t>
            </w:r>
          </w:p>
        </w:tc>
        <w:tc>
          <w:tcPr>
            <w:tcW w:w="646" w:type="pct"/>
            <w:tcBorders>
              <w:bottom w:val="double" w:sz="4" w:space="0" w:color="auto"/>
              <w:right w:val="single" w:sz="4" w:space="0" w:color="auto"/>
            </w:tcBorders>
            <w:shd w:val="clear" w:color="auto" w:fill="auto"/>
            <w:vAlign w:val="center"/>
          </w:tcPr>
          <w:p w14:paraId="5A7C99E8"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6</w:t>
            </w:r>
          </w:p>
        </w:tc>
        <w:tc>
          <w:tcPr>
            <w:tcW w:w="715" w:type="pct"/>
            <w:tcBorders>
              <w:left w:val="single" w:sz="4" w:space="0" w:color="auto"/>
              <w:bottom w:val="double" w:sz="4" w:space="0" w:color="auto"/>
            </w:tcBorders>
            <w:shd w:val="clear" w:color="auto" w:fill="auto"/>
            <w:vAlign w:val="center"/>
          </w:tcPr>
          <w:p w14:paraId="7929355D"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0</w:t>
            </w:r>
          </w:p>
        </w:tc>
        <w:tc>
          <w:tcPr>
            <w:tcW w:w="777" w:type="pct"/>
            <w:tcBorders>
              <w:bottom w:val="double" w:sz="4" w:space="0" w:color="auto"/>
            </w:tcBorders>
            <w:shd w:val="clear" w:color="auto" w:fill="auto"/>
            <w:vAlign w:val="center"/>
          </w:tcPr>
          <w:p w14:paraId="3CF13A0E"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sidRPr="00265791">
              <w:rPr>
                <w:lang w:val="en-GB"/>
              </w:rPr>
              <w:t>1</w:t>
            </w:r>
          </w:p>
        </w:tc>
      </w:tr>
      <w:tr w:rsidR="00F75E7E" w:rsidRPr="00F75E7E" w14:paraId="45C000DB" w14:textId="77777777" w:rsidTr="00F75E7E">
        <w:trPr>
          <w:jc w:val="center"/>
        </w:trPr>
        <w:tc>
          <w:tcPr>
            <w:tcW w:w="5000" w:type="pct"/>
            <w:gridSpan w:val="5"/>
            <w:tcBorders>
              <w:top w:val="double" w:sz="4" w:space="0" w:color="auto"/>
            </w:tcBorders>
            <w:vAlign w:val="center"/>
          </w:tcPr>
          <w:p w14:paraId="5D69D94A" w14:textId="77777777" w:rsidR="00F75E7E" w:rsidRPr="00F75E7E" w:rsidRDefault="00F75E7E" w:rsidP="00F75E7E">
            <w:pPr>
              <w:pStyle w:val="BMSTableText"/>
              <w:widowControl w:val="0"/>
              <w:tabs>
                <w:tab w:val="clear" w:pos="360"/>
                <w:tab w:val="left" w:pos="177"/>
              </w:tabs>
              <w:spacing w:before="0" w:after="0"/>
              <w:ind w:left="187" w:hanging="187"/>
              <w:jc w:val="both"/>
              <w:rPr>
                <w:sz w:val="18"/>
                <w:szCs w:val="18"/>
                <w:lang w:val="en-GB"/>
              </w:rPr>
            </w:pPr>
            <w:r w:rsidRPr="00F75E7E">
              <w:rPr>
                <w:rStyle w:val="BMSSuperscript"/>
                <w:sz w:val="18"/>
                <w:szCs w:val="18"/>
                <w:lang w:val="en-GB"/>
              </w:rPr>
              <w:t>a</w:t>
            </w:r>
            <w:r w:rsidRPr="00F75E7E">
              <w:rPr>
                <w:sz w:val="18"/>
                <w:szCs w:val="18"/>
                <w:lang w:val="en-GB"/>
              </w:rPr>
              <w:tab/>
              <w:t>Includes cardiac failure acute, cardiac failure congestive, cardiomyopathy, diastolic dysfunction, ejection fraction decreased and left ventricular dysfunction.</w:t>
            </w:r>
          </w:p>
          <w:p w14:paraId="40C1C114" w14:textId="77777777" w:rsidR="00F75E7E" w:rsidRPr="00F75E7E" w:rsidRDefault="00F75E7E" w:rsidP="00F75E7E">
            <w:pPr>
              <w:pStyle w:val="BMSTableText"/>
              <w:widowControl w:val="0"/>
              <w:tabs>
                <w:tab w:val="clear" w:pos="360"/>
                <w:tab w:val="left" w:pos="180"/>
              </w:tabs>
              <w:spacing w:before="0" w:after="0"/>
              <w:ind w:left="180" w:hanging="180"/>
              <w:jc w:val="both"/>
              <w:rPr>
                <w:sz w:val="18"/>
                <w:szCs w:val="18"/>
                <w:lang w:val="en-GB"/>
              </w:rPr>
            </w:pPr>
            <w:r w:rsidRPr="00F75E7E">
              <w:rPr>
                <w:rStyle w:val="BMSSuperscript"/>
                <w:sz w:val="18"/>
                <w:szCs w:val="18"/>
                <w:lang w:val="en-GB"/>
              </w:rPr>
              <w:t>b</w:t>
            </w:r>
            <w:r w:rsidRPr="00F75E7E">
              <w:rPr>
                <w:sz w:val="18"/>
                <w:szCs w:val="18"/>
                <w:lang w:val="en-GB"/>
              </w:rPr>
              <w:tab/>
              <w:t>Includes erythema, erythema multiforme, rash, rash generalised, rash macular, rash papular, rash pustular, skin exfoliation and rash vesicular.</w:t>
            </w:r>
          </w:p>
          <w:p w14:paraId="6418E3E5" w14:textId="77777777" w:rsidR="00F75E7E" w:rsidRPr="00F75E7E" w:rsidRDefault="00F75E7E" w:rsidP="00F75E7E">
            <w:pPr>
              <w:pStyle w:val="BMSTableText"/>
              <w:widowControl w:val="0"/>
              <w:tabs>
                <w:tab w:val="clear" w:pos="360"/>
                <w:tab w:val="left" w:pos="180"/>
              </w:tabs>
              <w:spacing w:before="0" w:after="0"/>
              <w:ind w:left="180" w:hanging="180"/>
              <w:jc w:val="both"/>
              <w:rPr>
                <w:sz w:val="18"/>
                <w:szCs w:val="18"/>
                <w:lang w:val="en-GB"/>
              </w:rPr>
            </w:pPr>
            <w:r w:rsidRPr="00F75E7E">
              <w:rPr>
                <w:rStyle w:val="BMSSuperscript"/>
                <w:sz w:val="18"/>
                <w:szCs w:val="18"/>
                <w:lang w:val="en-GB"/>
              </w:rPr>
              <w:t>c</w:t>
            </w:r>
            <w:r w:rsidRPr="00F75E7E">
              <w:rPr>
                <w:sz w:val="18"/>
                <w:szCs w:val="18"/>
                <w:lang w:val="en-GB"/>
              </w:rPr>
              <w:tab/>
              <w:t>Important adverse reaction of special interest with &lt; 10% frequency.</w:t>
            </w:r>
          </w:p>
          <w:p w14:paraId="29EBBAE9" w14:textId="77777777" w:rsidR="00F75E7E" w:rsidRPr="00F75E7E" w:rsidRDefault="00F75E7E" w:rsidP="00F75E7E">
            <w:pPr>
              <w:pStyle w:val="BMSTableText"/>
              <w:widowControl w:val="0"/>
              <w:tabs>
                <w:tab w:val="clear" w:pos="360"/>
              </w:tabs>
              <w:spacing w:before="0" w:after="0"/>
              <w:ind w:left="181" w:hanging="181"/>
              <w:jc w:val="both"/>
              <w:rPr>
                <w:sz w:val="18"/>
                <w:szCs w:val="18"/>
                <w:lang w:val="en-GB"/>
              </w:rPr>
            </w:pPr>
            <w:r w:rsidRPr="00F75E7E">
              <w:rPr>
                <w:rStyle w:val="BMSSuperscript"/>
                <w:sz w:val="18"/>
                <w:szCs w:val="18"/>
                <w:lang w:val="en-GB"/>
              </w:rPr>
              <w:t>d</w:t>
            </w:r>
            <w:r w:rsidRPr="00F75E7E">
              <w:rPr>
                <w:sz w:val="18"/>
                <w:szCs w:val="18"/>
                <w:lang w:val="en-GB"/>
              </w:rPr>
              <w:tab/>
              <w:t>Includes conjunctival haemorrhage, ear haemorrhage, ecchymosis, epistaxis, eye haemorrhage, gingival bleeding, haematoma, haematuria, haemoptysis, intra-abdominal haematoma, petechiae, scleral haemorrhage, uterine haemorrhage and vaginal haemorrhage.</w:t>
            </w:r>
          </w:p>
          <w:p w14:paraId="536E33A4" w14:textId="77777777" w:rsidR="00F75E7E" w:rsidRPr="00F75E7E" w:rsidRDefault="00F75E7E" w:rsidP="00F75E7E">
            <w:pPr>
              <w:pStyle w:val="BMSTableText"/>
              <w:widowControl w:val="0"/>
              <w:tabs>
                <w:tab w:val="clear" w:pos="360"/>
              </w:tabs>
              <w:spacing w:before="0" w:after="0"/>
              <w:ind w:left="181" w:hanging="181"/>
              <w:jc w:val="both"/>
              <w:rPr>
                <w:sz w:val="18"/>
                <w:szCs w:val="18"/>
                <w:lang w:val="en-GB"/>
              </w:rPr>
            </w:pPr>
            <w:r w:rsidRPr="00F75E7E">
              <w:rPr>
                <w:rStyle w:val="BMSSuperscript"/>
                <w:sz w:val="18"/>
                <w:szCs w:val="18"/>
                <w:lang w:val="en-GB"/>
              </w:rPr>
              <w:t>e</w:t>
            </w:r>
            <w:r w:rsidRPr="00F75E7E">
              <w:rPr>
                <w:sz w:val="18"/>
                <w:szCs w:val="18"/>
                <w:lang w:val="en-GB"/>
              </w:rPr>
              <w:tab/>
            </w:r>
            <w:r w:rsidRPr="00F75E7E">
              <w:rPr>
                <w:sz w:val="18"/>
                <w:szCs w:val="18"/>
              </w:rPr>
              <w:t>Miscellaneous adverse reactions such as pleural effusion, ascites, pulmonary oedema and pericardial effusion with or without superficial oedema may be collectively described as “fluid retention”</w:t>
            </w:r>
          </w:p>
        </w:tc>
      </w:tr>
    </w:tbl>
    <w:p w14:paraId="71EDA912" w14:textId="77777777" w:rsidR="00F75E7E" w:rsidRPr="00265791" w:rsidRDefault="00F75E7E" w:rsidP="00F75E7E">
      <w:pPr>
        <w:pStyle w:val="EMEABodyText"/>
        <w:jc w:val="both"/>
        <w:rPr>
          <w:rFonts w:eastAsia="MS Mincho"/>
          <w:sz w:val="24"/>
          <w:lang w:val="en-US"/>
        </w:rPr>
      </w:pPr>
    </w:p>
    <w:p w14:paraId="457C1DBC" w14:textId="50EA3395" w:rsidR="00F75E7E" w:rsidRDefault="00F75E7E" w:rsidP="00F75E7E">
      <w:pPr>
        <w:rPr>
          <w:lang w:val="en-US"/>
        </w:rPr>
      </w:pPr>
      <w:r>
        <w:rPr>
          <w:lang w:val="en-US"/>
        </w:rPr>
        <w:t xml:space="preserve">A comparison of cumulative rates of selected adverse reactions in the Phase III study of newly diagnosed patients with chronic phase CML with minimum follow-up of one and five years are shown in Table </w:t>
      </w:r>
      <w:r w:rsidR="000C3901">
        <w:rPr>
          <w:lang w:val="en-US"/>
        </w:rPr>
        <w:t>5</w:t>
      </w:r>
      <w:r>
        <w:rPr>
          <w:lang w:val="en-US"/>
        </w:rPr>
        <w:t>.</w:t>
      </w:r>
    </w:p>
    <w:tbl>
      <w:tblPr>
        <w:tblW w:w="8495" w:type="dxa"/>
        <w:jc w:val="center"/>
        <w:tblLayout w:type="fixed"/>
        <w:tblCellMar>
          <w:left w:w="40" w:type="dxa"/>
          <w:right w:w="40" w:type="dxa"/>
        </w:tblCellMar>
        <w:tblLook w:val="0000" w:firstRow="0" w:lastRow="0" w:firstColumn="0" w:lastColumn="0" w:noHBand="0" w:noVBand="0"/>
      </w:tblPr>
      <w:tblGrid>
        <w:gridCol w:w="3663"/>
        <w:gridCol w:w="1199"/>
        <w:gridCol w:w="1098"/>
        <w:gridCol w:w="1215"/>
        <w:gridCol w:w="1320"/>
      </w:tblGrid>
      <w:tr w:rsidR="00F75E7E" w:rsidRPr="00F75E7E" w14:paraId="13DF9C6D" w14:textId="77777777" w:rsidTr="00F75E7E">
        <w:trPr>
          <w:trHeight w:val="615"/>
          <w:jc w:val="center"/>
        </w:trPr>
        <w:tc>
          <w:tcPr>
            <w:tcW w:w="5000" w:type="pct"/>
            <w:gridSpan w:val="5"/>
            <w:tcBorders>
              <w:bottom w:val="double" w:sz="4" w:space="0" w:color="auto"/>
            </w:tcBorders>
          </w:tcPr>
          <w:p w14:paraId="64906E2D" w14:textId="60885829" w:rsidR="00F75E7E" w:rsidRPr="00F75E7E" w:rsidRDefault="00F75E7E" w:rsidP="00F75E7E">
            <w:pPr>
              <w:pStyle w:val="BMSTableTitle"/>
              <w:rPr>
                <w:sz w:val="22"/>
                <w:szCs w:val="22"/>
                <w:lang w:val="en-GB"/>
              </w:rPr>
            </w:pPr>
            <w:r w:rsidRPr="00F75E7E">
              <w:rPr>
                <w:sz w:val="22"/>
                <w:szCs w:val="22"/>
                <w:lang w:val="en-GB"/>
              </w:rPr>
              <w:t xml:space="preserve">Table </w:t>
            </w:r>
            <w:r w:rsidR="000C3901">
              <w:rPr>
                <w:sz w:val="22"/>
                <w:szCs w:val="22"/>
                <w:lang w:val="en-GB"/>
              </w:rPr>
              <w:t>5</w:t>
            </w:r>
            <w:r w:rsidRPr="00F75E7E">
              <w:rPr>
                <w:sz w:val="22"/>
                <w:szCs w:val="22"/>
                <w:lang w:val="en-GB"/>
              </w:rPr>
              <w:t>:</w:t>
            </w:r>
            <w:r w:rsidRPr="00F75E7E">
              <w:rPr>
                <w:sz w:val="22"/>
                <w:szCs w:val="22"/>
                <w:lang w:val="en-GB"/>
              </w:rPr>
              <w:tab/>
              <w:t>Selected Adverse Drug Reactions Reported in a Phase III Study (Newly Diagnosed Chronic Phase CML (n=258))</w:t>
            </w:r>
          </w:p>
        </w:tc>
      </w:tr>
      <w:tr w:rsidR="00F75E7E" w:rsidRPr="00265791" w14:paraId="156C8BFF" w14:textId="77777777" w:rsidTr="00F75E7E">
        <w:trPr>
          <w:cantSplit/>
          <w:trHeight w:val="315"/>
          <w:jc w:val="center"/>
        </w:trPr>
        <w:tc>
          <w:tcPr>
            <w:tcW w:w="2156" w:type="pct"/>
            <w:tcBorders>
              <w:top w:val="single" w:sz="6" w:space="0" w:color="auto"/>
            </w:tcBorders>
            <w:shd w:val="clear" w:color="auto" w:fill="auto"/>
            <w:vAlign w:val="center"/>
          </w:tcPr>
          <w:p w14:paraId="0480C08B" w14:textId="77777777" w:rsidR="00F75E7E" w:rsidRPr="00265791" w:rsidRDefault="00F75E7E" w:rsidP="00F75E7E">
            <w:pPr>
              <w:pStyle w:val="BMSTableHeader"/>
              <w:keepNext/>
              <w:spacing w:before="0" w:after="0"/>
              <w:rPr>
                <w:sz w:val="18"/>
                <w:szCs w:val="18"/>
                <w:lang w:val="en-GB"/>
              </w:rPr>
            </w:pPr>
          </w:p>
        </w:tc>
        <w:tc>
          <w:tcPr>
            <w:tcW w:w="1352" w:type="pct"/>
            <w:gridSpan w:val="2"/>
            <w:tcBorders>
              <w:top w:val="single" w:sz="6" w:space="0" w:color="auto"/>
              <w:bottom w:val="single" w:sz="6" w:space="0" w:color="auto"/>
              <w:right w:val="single" w:sz="4" w:space="0" w:color="auto"/>
            </w:tcBorders>
            <w:vAlign w:val="bottom"/>
          </w:tcPr>
          <w:p w14:paraId="5A6737C9" w14:textId="77777777" w:rsidR="00F75E7E" w:rsidRPr="00265791" w:rsidRDefault="00F75E7E" w:rsidP="00F75E7E">
            <w:pPr>
              <w:pStyle w:val="BMSTableHeader"/>
              <w:keepNext/>
              <w:spacing w:before="0" w:after="0"/>
              <w:rPr>
                <w:sz w:val="18"/>
                <w:szCs w:val="18"/>
                <w:lang w:val="en-GB"/>
              </w:rPr>
            </w:pPr>
            <w:r>
              <w:rPr>
                <w:sz w:val="18"/>
                <w:szCs w:val="18"/>
                <w:lang w:val="en-GB"/>
              </w:rPr>
              <w:t>Minimum of 1 Year Follow Up</w:t>
            </w:r>
          </w:p>
        </w:tc>
        <w:tc>
          <w:tcPr>
            <w:tcW w:w="1492" w:type="pct"/>
            <w:gridSpan w:val="2"/>
            <w:tcBorders>
              <w:top w:val="single" w:sz="6" w:space="0" w:color="auto"/>
              <w:left w:val="single" w:sz="4" w:space="0" w:color="auto"/>
              <w:bottom w:val="single" w:sz="6" w:space="0" w:color="auto"/>
            </w:tcBorders>
            <w:vAlign w:val="bottom"/>
          </w:tcPr>
          <w:p w14:paraId="44D40910" w14:textId="77777777" w:rsidR="00F75E7E" w:rsidRPr="00265791" w:rsidRDefault="00F75E7E" w:rsidP="00F75E7E">
            <w:pPr>
              <w:pStyle w:val="BMSTableHeader"/>
              <w:keepNext/>
              <w:spacing w:before="0" w:after="0"/>
              <w:rPr>
                <w:sz w:val="18"/>
                <w:szCs w:val="18"/>
                <w:lang w:val="en-GB"/>
              </w:rPr>
            </w:pPr>
            <w:r>
              <w:rPr>
                <w:sz w:val="18"/>
                <w:szCs w:val="18"/>
                <w:lang w:val="en-GB"/>
              </w:rPr>
              <w:t>Minimum of 5 Years Follow Up</w:t>
            </w:r>
          </w:p>
        </w:tc>
      </w:tr>
      <w:tr w:rsidR="00F75E7E" w:rsidRPr="00265791" w14:paraId="40BA8692" w14:textId="77777777" w:rsidTr="00F75E7E">
        <w:trPr>
          <w:cantSplit/>
          <w:trHeight w:val="315"/>
          <w:jc w:val="center"/>
        </w:trPr>
        <w:tc>
          <w:tcPr>
            <w:tcW w:w="2156" w:type="pct"/>
            <w:vMerge w:val="restart"/>
            <w:tcBorders>
              <w:bottom w:val="single" w:sz="6" w:space="0" w:color="auto"/>
            </w:tcBorders>
            <w:shd w:val="clear" w:color="auto" w:fill="auto"/>
            <w:vAlign w:val="bottom"/>
          </w:tcPr>
          <w:p w14:paraId="00437FAC" w14:textId="77777777" w:rsidR="00F75E7E" w:rsidRPr="00265791" w:rsidRDefault="00F75E7E" w:rsidP="00F75E7E">
            <w:pPr>
              <w:pStyle w:val="BMSTableHeader"/>
              <w:keepNext/>
              <w:spacing w:before="0" w:after="0"/>
              <w:jc w:val="left"/>
              <w:rPr>
                <w:sz w:val="18"/>
                <w:szCs w:val="18"/>
                <w:lang w:val="en-GB"/>
              </w:rPr>
            </w:pPr>
            <w:r w:rsidRPr="00265791">
              <w:rPr>
                <w:sz w:val="18"/>
                <w:szCs w:val="18"/>
                <w:lang w:val="en-GB"/>
              </w:rPr>
              <w:t>Preferred Term</w:t>
            </w:r>
          </w:p>
        </w:tc>
        <w:tc>
          <w:tcPr>
            <w:tcW w:w="706" w:type="pct"/>
            <w:tcBorders>
              <w:top w:val="single" w:sz="6" w:space="0" w:color="auto"/>
              <w:bottom w:val="single" w:sz="6" w:space="0" w:color="auto"/>
            </w:tcBorders>
            <w:vAlign w:val="center"/>
          </w:tcPr>
          <w:p w14:paraId="38858848" w14:textId="77777777" w:rsidR="00F75E7E" w:rsidRPr="00265791" w:rsidRDefault="00F75E7E" w:rsidP="00F75E7E">
            <w:pPr>
              <w:pStyle w:val="BMSTableHeader"/>
              <w:keepNext/>
              <w:spacing w:before="0" w:after="0"/>
              <w:rPr>
                <w:sz w:val="18"/>
                <w:szCs w:val="18"/>
                <w:lang w:val="en-GB"/>
              </w:rPr>
            </w:pPr>
            <w:r>
              <w:rPr>
                <w:sz w:val="18"/>
                <w:szCs w:val="18"/>
                <w:lang w:val="en-GB"/>
              </w:rPr>
              <w:t>All Grades</w:t>
            </w:r>
          </w:p>
        </w:tc>
        <w:tc>
          <w:tcPr>
            <w:tcW w:w="646" w:type="pct"/>
            <w:tcBorders>
              <w:top w:val="single" w:sz="6" w:space="0" w:color="auto"/>
              <w:bottom w:val="single" w:sz="6" w:space="0" w:color="auto"/>
              <w:right w:val="single" w:sz="4" w:space="0" w:color="auto"/>
            </w:tcBorders>
            <w:vAlign w:val="center"/>
          </w:tcPr>
          <w:p w14:paraId="75C9FEBB" w14:textId="77777777" w:rsidR="00F75E7E" w:rsidRPr="00265791" w:rsidRDefault="00F75E7E" w:rsidP="00F75E7E">
            <w:pPr>
              <w:pStyle w:val="BMSTableHeader"/>
              <w:keepNext/>
              <w:spacing w:before="0" w:after="0"/>
              <w:rPr>
                <w:sz w:val="18"/>
                <w:szCs w:val="18"/>
                <w:lang w:val="en-GB"/>
              </w:rPr>
            </w:pPr>
            <w:r>
              <w:rPr>
                <w:sz w:val="18"/>
                <w:szCs w:val="18"/>
                <w:lang w:val="en-GB"/>
              </w:rPr>
              <w:t>Grade 3/4</w:t>
            </w:r>
          </w:p>
        </w:tc>
        <w:tc>
          <w:tcPr>
            <w:tcW w:w="715" w:type="pct"/>
            <w:tcBorders>
              <w:top w:val="single" w:sz="6" w:space="0" w:color="auto"/>
              <w:left w:val="single" w:sz="4" w:space="0" w:color="auto"/>
              <w:bottom w:val="single" w:sz="6" w:space="0" w:color="auto"/>
            </w:tcBorders>
            <w:vAlign w:val="center"/>
          </w:tcPr>
          <w:p w14:paraId="613E4C95" w14:textId="77777777" w:rsidR="00F75E7E" w:rsidRPr="00265791" w:rsidRDefault="00F75E7E" w:rsidP="00F75E7E">
            <w:pPr>
              <w:pStyle w:val="BMSTableHeader"/>
              <w:keepNext/>
              <w:spacing w:before="0" w:after="0"/>
              <w:rPr>
                <w:sz w:val="18"/>
                <w:szCs w:val="18"/>
                <w:lang w:val="en-GB"/>
              </w:rPr>
            </w:pPr>
            <w:r>
              <w:rPr>
                <w:sz w:val="18"/>
                <w:szCs w:val="18"/>
                <w:lang w:val="en-GB"/>
              </w:rPr>
              <w:t>All Grades</w:t>
            </w:r>
          </w:p>
        </w:tc>
        <w:tc>
          <w:tcPr>
            <w:tcW w:w="777" w:type="pct"/>
            <w:tcBorders>
              <w:top w:val="single" w:sz="6" w:space="0" w:color="auto"/>
              <w:bottom w:val="single" w:sz="6" w:space="0" w:color="auto"/>
            </w:tcBorders>
            <w:vAlign w:val="center"/>
          </w:tcPr>
          <w:p w14:paraId="2E0CEBB0" w14:textId="77777777" w:rsidR="00F75E7E" w:rsidRPr="00265791" w:rsidRDefault="00F75E7E" w:rsidP="00F75E7E">
            <w:pPr>
              <w:pStyle w:val="BMSTableHeader"/>
              <w:keepNext/>
              <w:spacing w:before="0" w:after="0"/>
              <w:rPr>
                <w:sz w:val="18"/>
                <w:szCs w:val="18"/>
                <w:lang w:val="en-GB"/>
              </w:rPr>
            </w:pPr>
            <w:r>
              <w:rPr>
                <w:sz w:val="18"/>
                <w:szCs w:val="18"/>
                <w:lang w:val="en-GB"/>
              </w:rPr>
              <w:t>Grade 3/4</w:t>
            </w:r>
          </w:p>
        </w:tc>
      </w:tr>
      <w:tr w:rsidR="00F75E7E" w:rsidRPr="00265791" w14:paraId="7FC28E36" w14:textId="77777777" w:rsidTr="00F75E7E">
        <w:trPr>
          <w:cantSplit/>
          <w:jc w:val="center"/>
        </w:trPr>
        <w:tc>
          <w:tcPr>
            <w:tcW w:w="2156" w:type="pct"/>
            <w:vMerge/>
            <w:tcBorders>
              <w:bottom w:val="single" w:sz="6" w:space="0" w:color="auto"/>
            </w:tcBorders>
            <w:vAlign w:val="center"/>
          </w:tcPr>
          <w:p w14:paraId="4EC95B64" w14:textId="77777777" w:rsidR="00F75E7E" w:rsidRPr="00265791" w:rsidRDefault="00F75E7E" w:rsidP="00F75E7E">
            <w:pPr>
              <w:pStyle w:val="BMSTableTextLarge"/>
              <w:keepNext/>
              <w:rPr>
                <w:b/>
                <w:sz w:val="18"/>
                <w:szCs w:val="18"/>
                <w:lang w:val="en-GB"/>
              </w:rPr>
            </w:pPr>
          </w:p>
        </w:tc>
        <w:tc>
          <w:tcPr>
            <w:tcW w:w="2844" w:type="pct"/>
            <w:gridSpan w:val="4"/>
            <w:tcBorders>
              <w:top w:val="single" w:sz="6" w:space="0" w:color="auto"/>
              <w:bottom w:val="single" w:sz="6" w:space="0" w:color="auto"/>
            </w:tcBorders>
            <w:vAlign w:val="center"/>
          </w:tcPr>
          <w:p w14:paraId="1DC3E8B1" w14:textId="77777777" w:rsidR="00F75E7E" w:rsidRPr="00265791" w:rsidRDefault="00F75E7E" w:rsidP="00F75E7E">
            <w:pPr>
              <w:pStyle w:val="BMSTableHeader"/>
              <w:keepNext/>
              <w:spacing w:before="0" w:after="0"/>
              <w:rPr>
                <w:sz w:val="18"/>
                <w:szCs w:val="18"/>
                <w:lang w:val="en-GB"/>
              </w:rPr>
            </w:pPr>
            <w:r w:rsidRPr="00265791">
              <w:rPr>
                <w:sz w:val="18"/>
                <w:szCs w:val="18"/>
                <w:lang w:val="en-GB"/>
              </w:rPr>
              <w:t>Percent (%) of Patients</w:t>
            </w:r>
          </w:p>
        </w:tc>
      </w:tr>
      <w:tr w:rsidR="00F75E7E" w:rsidRPr="00265791" w14:paraId="5BA7D219" w14:textId="77777777" w:rsidTr="00F75E7E">
        <w:trPr>
          <w:trHeight w:val="318"/>
          <w:jc w:val="center"/>
        </w:trPr>
        <w:tc>
          <w:tcPr>
            <w:tcW w:w="2156" w:type="pct"/>
            <w:vAlign w:val="center"/>
          </w:tcPr>
          <w:p w14:paraId="65D6AB7F" w14:textId="77777777" w:rsidR="00F75E7E" w:rsidRPr="00265791" w:rsidRDefault="00F75E7E" w:rsidP="00F75E7E">
            <w:pPr>
              <w:pStyle w:val="BMSTableText"/>
              <w:keepNext/>
              <w:tabs>
                <w:tab w:val="clear" w:pos="360"/>
                <w:tab w:val="left" w:pos="177"/>
                <w:tab w:val="left" w:pos="330"/>
                <w:tab w:val="left" w:pos="530"/>
              </w:tabs>
              <w:spacing w:beforeLines="20" w:before="48" w:afterLines="20" w:after="48"/>
              <w:ind w:left="177" w:hanging="180"/>
              <w:jc w:val="left"/>
              <w:rPr>
                <w:b/>
                <w:bCs/>
                <w:lang w:val="en-GB"/>
              </w:rPr>
            </w:pPr>
            <w:r w:rsidRPr="00265791">
              <w:rPr>
                <w:b/>
                <w:bCs/>
                <w:lang w:val="en-GB"/>
              </w:rPr>
              <w:t>Fluid Retention</w:t>
            </w:r>
            <w:r w:rsidRPr="00103791">
              <w:rPr>
                <w:b/>
                <w:bCs/>
                <w:vertAlign w:val="superscript"/>
                <w:lang w:val="en-GB"/>
              </w:rPr>
              <w:t>f</w:t>
            </w:r>
          </w:p>
        </w:tc>
        <w:tc>
          <w:tcPr>
            <w:tcW w:w="706" w:type="pct"/>
            <w:shd w:val="clear" w:color="auto" w:fill="auto"/>
            <w:vAlign w:val="center"/>
          </w:tcPr>
          <w:p w14:paraId="777E06F8" w14:textId="77777777" w:rsidR="00F75E7E" w:rsidRPr="00265791" w:rsidRDefault="00F75E7E" w:rsidP="00F75E7E">
            <w:pPr>
              <w:pStyle w:val="BMSTableText"/>
              <w:keepNext/>
              <w:tabs>
                <w:tab w:val="clear" w:pos="360"/>
                <w:tab w:val="decimal" w:pos="593"/>
              </w:tabs>
              <w:spacing w:beforeLines="20" w:before="48" w:afterLines="20" w:after="48"/>
              <w:jc w:val="left"/>
              <w:rPr>
                <w:lang w:val="en-GB"/>
              </w:rPr>
            </w:pPr>
            <w:r>
              <w:rPr>
                <w:lang w:val="en-GB"/>
              </w:rPr>
              <w:t>19</w:t>
            </w:r>
          </w:p>
        </w:tc>
        <w:tc>
          <w:tcPr>
            <w:tcW w:w="646" w:type="pct"/>
            <w:tcBorders>
              <w:right w:val="single" w:sz="4" w:space="0" w:color="auto"/>
            </w:tcBorders>
            <w:shd w:val="clear" w:color="auto" w:fill="auto"/>
            <w:vAlign w:val="center"/>
          </w:tcPr>
          <w:p w14:paraId="38DE3E26" w14:textId="77777777" w:rsidR="00F75E7E" w:rsidRPr="00265791" w:rsidRDefault="00F75E7E" w:rsidP="00F75E7E">
            <w:pPr>
              <w:pStyle w:val="BMSTableText"/>
              <w:keepNext/>
              <w:tabs>
                <w:tab w:val="clear" w:pos="360"/>
                <w:tab w:val="decimal" w:pos="593"/>
              </w:tabs>
              <w:spacing w:beforeLines="20" w:before="48" w:afterLines="20" w:after="48"/>
              <w:jc w:val="left"/>
              <w:rPr>
                <w:lang w:val="en-GB"/>
              </w:rPr>
            </w:pPr>
            <w:r>
              <w:rPr>
                <w:lang w:val="en-GB"/>
              </w:rPr>
              <w:t>1</w:t>
            </w:r>
          </w:p>
        </w:tc>
        <w:tc>
          <w:tcPr>
            <w:tcW w:w="715" w:type="pct"/>
            <w:tcBorders>
              <w:left w:val="single" w:sz="4" w:space="0" w:color="auto"/>
            </w:tcBorders>
            <w:shd w:val="clear" w:color="auto" w:fill="auto"/>
            <w:vAlign w:val="center"/>
          </w:tcPr>
          <w:p w14:paraId="4102FA91" w14:textId="77777777" w:rsidR="00F75E7E" w:rsidRPr="00265791" w:rsidRDefault="00F75E7E" w:rsidP="00F75E7E">
            <w:pPr>
              <w:pStyle w:val="BMSTableText"/>
              <w:keepNext/>
              <w:tabs>
                <w:tab w:val="clear" w:pos="360"/>
                <w:tab w:val="decimal" w:pos="593"/>
              </w:tabs>
              <w:spacing w:beforeLines="20" w:before="48" w:afterLines="20" w:after="48"/>
              <w:jc w:val="left"/>
              <w:rPr>
                <w:lang w:val="en-GB"/>
              </w:rPr>
            </w:pPr>
            <w:r>
              <w:rPr>
                <w:lang w:val="en-GB"/>
              </w:rPr>
              <w:t>39</w:t>
            </w:r>
          </w:p>
        </w:tc>
        <w:tc>
          <w:tcPr>
            <w:tcW w:w="777" w:type="pct"/>
            <w:shd w:val="clear" w:color="auto" w:fill="auto"/>
            <w:vAlign w:val="center"/>
          </w:tcPr>
          <w:p w14:paraId="2A536072" w14:textId="77777777" w:rsidR="00F75E7E" w:rsidRPr="00265791" w:rsidRDefault="00F75E7E" w:rsidP="00F75E7E">
            <w:pPr>
              <w:pStyle w:val="BMSTableText"/>
              <w:keepNext/>
              <w:tabs>
                <w:tab w:val="clear" w:pos="360"/>
                <w:tab w:val="decimal" w:pos="593"/>
              </w:tabs>
              <w:spacing w:beforeLines="20" w:before="48" w:afterLines="20" w:after="48"/>
              <w:jc w:val="left"/>
              <w:rPr>
                <w:lang w:val="en-GB"/>
              </w:rPr>
            </w:pPr>
            <w:r>
              <w:rPr>
                <w:lang w:val="en-GB"/>
              </w:rPr>
              <w:t>5</w:t>
            </w:r>
          </w:p>
        </w:tc>
      </w:tr>
      <w:tr w:rsidR="00F75E7E" w:rsidRPr="00265791" w14:paraId="12016F3F" w14:textId="77777777" w:rsidTr="00F75E7E">
        <w:trPr>
          <w:jc w:val="center"/>
        </w:trPr>
        <w:tc>
          <w:tcPr>
            <w:tcW w:w="2156" w:type="pct"/>
            <w:vAlign w:val="center"/>
          </w:tcPr>
          <w:p w14:paraId="5033FD5F" w14:textId="77777777" w:rsidR="00F75E7E" w:rsidRPr="00265791" w:rsidRDefault="00F75E7E" w:rsidP="00F75E7E">
            <w:pPr>
              <w:pStyle w:val="BMSTableText"/>
              <w:tabs>
                <w:tab w:val="clear" w:pos="360"/>
                <w:tab w:val="left" w:pos="184"/>
                <w:tab w:val="left" w:pos="357"/>
              </w:tabs>
              <w:spacing w:beforeLines="20" w:before="48" w:afterLines="20" w:after="48"/>
              <w:ind w:left="357" w:hanging="360"/>
              <w:jc w:val="left"/>
              <w:rPr>
                <w:lang w:val="en-GB"/>
              </w:rPr>
            </w:pPr>
            <w:r w:rsidRPr="00265791">
              <w:rPr>
                <w:lang w:val="en-GB"/>
              </w:rPr>
              <w:tab/>
              <w:t>Pleural effusion</w:t>
            </w:r>
          </w:p>
        </w:tc>
        <w:tc>
          <w:tcPr>
            <w:tcW w:w="706" w:type="pct"/>
            <w:shd w:val="clear" w:color="auto" w:fill="auto"/>
            <w:vAlign w:val="center"/>
          </w:tcPr>
          <w:p w14:paraId="758BFBC0"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8</w:t>
            </w:r>
          </w:p>
        </w:tc>
        <w:tc>
          <w:tcPr>
            <w:tcW w:w="646" w:type="pct"/>
            <w:tcBorders>
              <w:right w:val="single" w:sz="4" w:space="0" w:color="auto"/>
            </w:tcBorders>
            <w:shd w:val="clear" w:color="auto" w:fill="auto"/>
            <w:vAlign w:val="center"/>
          </w:tcPr>
          <w:p w14:paraId="1645F794"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1537A1F0"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28</w:t>
            </w:r>
          </w:p>
        </w:tc>
        <w:tc>
          <w:tcPr>
            <w:tcW w:w="777" w:type="pct"/>
            <w:shd w:val="clear" w:color="auto" w:fill="auto"/>
            <w:vAlign w:val="center"/>
          </w:tcPr>
          <w:p w14:paraId="124C3E5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3</w:t>
            </w:r>
          </w:p>
        </w:tc>
      </w:tr>
      <w:tr w:rsidR="00F75E7E" w:rsidRPr="00265791" w14:paraId="40FA900D" w14:textId="77777777" w:rsidTr="00F75E7E">
        <w:trPr>
          <w:jc w:val="center"/>
        </w:trPr>
        <w:tc>
          <w:tcPr>
            <w:tcW w:w="2156" w:type="pct"/>
            <w:vAlign w:val="center"/>
          </w:tcPr>
          <w:p w14:paraId="5C158838"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ab/>
              <w:t>Superficial localised oedema</w:t>
            </w:r>
          </w:p>
        </w:tc>
        <w:tc>
          <w:tcPr>
            <w:tcW w:w="706" w:type="pct"/>
            <w:shd w:val="clear" w:color="auto" w:fill="auto"/>
            <w:vAlign w:val="center"/>
          </w:tcPr>
          <w:p w14:paraId="4117BF5C"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9</w:t>
            </w:r>
          </w:p>
        </w:tc>
        <w:tc>
          <w:tcPr>
            <w:tcW w:w="646" w:type="pct"/>
            <w:tcBorders>
              <w:right w:val="single" w:sz="4" w:space="0" w:color="auto"/>
            </w:tcBorders>
            <w:shd w:val="clear" w:color="auto" w:fill="auto"/>
            <w:vAlign w:val="center"/>
          </w:tcPr>
          <w:p w14:paraId="4714FF4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0B92B60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14</w:t>
            </w:r>
          </w:p>
        </w:tc>
        <w:tc>
          <w:tcPr>
            <w:tcW w:w="777" w:type="pct"/>
            <w:shd w:val="clear" w:color="auto" w:fill="auto"/>
            <w:vAlign w:val="center"/>
          </w:tcPr>
          <w:p w14:paraId="165E76A7"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265791" w14:paraId="3A61E32E" w14:textId="77777777" w:rsidTr="00F75E7E">
        <w:trPr>
          <w:jc w:val="center"/>
        </w:trPr>
        <w:tc>
          <w:tcPr>
            <w:tcW w:w="2156" w:type="pct"/>
            <w:vAlign w:val="center"/>
          </w:tcPr>
          <w:p w14:paraId="67752314"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ab/>
            </w:r>
            <w:r>
              <w:rPr>
                <w:lang w:val="en-GB"/>
              </w:rPr>
              <w:t>Face oedema</w:t>
            </w:r>
          </w:p>
        </w:tc>
        <w:tc>
          <w:tcPr>
            <w:tcW w:w="706" w:type="pct"/>
            <w:shd w:val="clear" w:color="auto" w:fill="auto"/>
            <w:vAlign w:val="center"/>
          </w:tcPr>
          <w:p w14:paraId="13CFA6BC"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6</w:t>
            </w:r>
          </w:p>
        </w:tc>
        <w:tc>
          <w:tcPr>
            <w:tcW w:w="646" w:type="pct"/>
            <w:tcBorders>
              <w:right w:val="single" w:sz="4" w:space="0" w:color="auto"/>
            </w:tcBorders>
            <w:shd w:val="clear" w:color="auto" w:fill="auto"/>
            <w:vAlign w:val="center"/>
          </w:tcPr>
          <w:p w14:paraId="203C466D"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43668C0E"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10</w:t>
            </w:r>
          </w:p>
        </w:tc>
        <w:tc>
          <w:tcPr>
            <w:tcW w:w="777" w:type="pct"/>
            <w:shd w:val="clear" w:color="auto" w:fill="auto"/>
            <w:vAlign w:val="center"/>
          </w:tcPr>
          <w:p w14:paraId="5017C15D"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265791" w14:paraId="1E2CE6A3" w14:textId="77777777" w:rsidTr="00F75E7E">
        <w:trPr>
          <w:jc w:val="center"/>
        </w:trPr>
        <w:tc>
          <w:tcPr>
            <w:tcW w:w="2156" w:type="pct"/>
            <w:vAlign w:val="center"/>
          </w:tcPr>
          <w:p w14:paraId="58551FBF" w14:textId="77777777" w:rsidR="00F75E7E" w:rsidRPr="00265791" w:rsidRDefault="00F75E7E" w:rsidP="00F75E7E">
            <w:pPr>
              <w:pStyle w:val="BMSTableText"/>
              <w:tabs>
                <w:tab w:val="clear" w:pos="360"/>
                <w:tab w:val="left" w:pos="177"/>
                <w:tab w:val="left" w:pos="297"/>
                <w:tab w:val="left" w:pos="330"/>
                <w:tab w:val="left" w:pos="530"/>
              </w:tabs>
              <w:spacing w:beforeLines="20" w:before="48" w:afterLines="20" w:after="48"/>
              <w:ind w:left="177" w:hanging="180"/>
              <w:jc w:val="left"/>
              <w:rPr>
                <w:lang w:val="en-GB"/>
              </w:rPr>
            </w:pPr>
            <w:r w:rsidRPr="00265791">
              <w:rPr>
                <w:lang w:val="en-GB"/>
              </w:rPr>
              <w:tab/>
              <w:t>Pulmonary hypertension</w:t>
            </w:r>
          </w:p>
        </w:tc>
        <w:tc>
          <w:tcPr>
            <w:tcW w:w="706" w:type="pct"/>
            <w:shd w:val="clear" w:color="auto" w:fill="auto"/>
            <w:vAlign w:val="center"/>
          </w:tcPr>
          <w:p w14:paraId="54AFB987"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w:t>
            </w:r>
          </w:p>
        </w:tc>
        <w:tc>
          <w:tcPr>
            <w:tcW w:w="646" w:type="pct"/>
            <w:tcBorders>
              <w:right w:val="single" w:sz="4" w:space="0" w:color="auto"/>
            </w:tcBorders>
            <w:shd w:val="clear" w:color="auto" w:fill="auto"/>
            <w:vAlign w:val="center"/>
          </w:tcPr>
          <w:p w14:paraId="746D5365"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2125445A"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5</w:t>
            </w:r>
          </w:p>
        </w:tc>
        <w:tc>
          <w:tcPr>
            <w:tcW w:w="777" w:type="pct"/>
            <w:shd w:val="clear" w:color="auto" w:fill="auto"/>
            <w:vAlign w:val="center"/>
          </w:tcPr>
          <w:p w14:paraId="2DBBF182"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&lt;1</w:t>
            </w:r>
          </w:p>
        </w:tc>
      </w:tr>
      <w:tr w:rsidR="00F75E7E" w:rsidRPr="00265791" w14:paraId="56F01F38" w14:textId="77777777" w:rsidTr="00F75E7E">
        <w:trPr>
          <w:jc w:val="center"/>
        </w:trPr>
        <w:tc>
          <w:tcPr>
            <w:tcW w:w="2156" w:type="pct"/>
            <w:vAlign w:val="center"/>
          </w:tcPr>
          <w:p w14:paraId="3B98CFF6" w14:textId="77777777" w:rsidR="00F75E7E" w:rsidRPr="00265791" w:rsidRDefault="00F75E7E" w:rsidP="00F75E7E">
            <w:pPr>
              <w:pStyle w:val="BMSTableText"/>
              <w:tabs>
                <w:tab w:val="clear" w:pos="360"/>
                <w:tab w:val="left" w:pos="177"/>
                <w:tab w:val="left" w:pos="297"/>
                <w:tab w:val="left" w:pos="330"/>
                <w:tab w:val="left" w:pos="530"/>
              </w:tabs>
              <w:spacing w:beforeLines="20" w:before="48" w:afterLines="20" w:after="48"/>
              <w:ind w:left="177" w:hanging="180"/>
              <w:jc w:val="left"/>
              <w:rPr>
                <w:lang w:val="en-GB"/>
              </w:rPr>
            </w:pPr>
            <w:r w:rsidRPr="00265791">
              <w:rPr>
                <w:lang w:val="en-GB"/>
              </w:rPr>
              <w:tab/>
              <w:t>Generalised oedema</w:t>
            </w:r>
          </w:p>
        </w:tc>
        <w:tc>
          <w:tcPr>
            <w:tcW w:w="706" w:type="pct"/>
            <w:shd w:val="clear" w:color="auto" w:fill="auto"/>
            <w:vAlign w:val="center"/>
          </w:tcPr>
          <w:p w14:paraId="706ED48D"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2</w:t>
            </w:r>
          </w:p>
        </w:tc>
        <w:tc>
          <w:tcPr>
            <w:tcW w:w="646" w:type="pct"/>
            <w:tcBorders>
              <w:right w:val="single" w:sz="4" w:space="0" w:color="auto"/>
            </w:tcBorders>
            <w:shd w:val="clear" w:color="auto" w:fill="auto"/>
            <w:vAlign w:val="center"/>
          </w:tcPr>
          <w:p w14:paraId="66DD0A4D"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48E10729"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4</w:t>
            </w:r>
          </w:p>
        </w:tc>
        <w:tc>
          <w:tcPr>
            <w:tcW w:w="777" w:type="pct"/>
            <w:shd w:val="clear" w:color="auto" w:fill="auto"/>
            <w:vAlign w:val="center"/>
          </w:tcPr>
          <w:p w14:paraId="7BDC8BE7"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265791" w14:paraId="54B55781" w14:textId="77777777" w:rsidTr="00F75E7E">
        <w:trPr>
          <w:jc w:val="center"/>
        </w:trPr>
        <w:tc>
          <w:tcPr>
            <w:tcW w:w="2156" w:type="pct"/>
            <w:vAlign w:val="center"/>
          </w:tcPr>
          <w:p w14:paraId="54EA7C63" w14:textId="77777777" w:rsidR="00F75E7E" w:rsidRPr="00265791" w:rsidRDefault="00F75E7E" w:rsidP="00F75E7E">
            <w:pPr>
              <w:pStyle w:val="BMSTableText"/>
              <w:tabs>
                <w:tab w:val="clear" w:pos="360"/>
                <w:tab w:val="left" w:pos="177"/>
                <w:tab w:val="left" w:pos="297"/>
                <w:tab w:val="left" w:pos="330"/>
                <w:tab w:val="left" w:pos="530"/>
              </w:tabs>
              <w:spacing w:beforeLines="20" w:before="48" w:afterLines="20" w:after="48"/>
              <w:ind w:left="177" w:hanging="180"/>
              <w:jc w:val="left"/>
              <w:rPr>
                <w:lang w:val="en-GB"/>
              </w:rPr>
            </w:pPr>
            <w:r w:rsidRPr="00265791">
              <w:rPr>
                <w:lang w:val="en-GB"/>
              </w:rPr>
              <w:tab/>
              <w:t>Pericardial effusion</w:t>
            </w:r>
          </w:p>
        </w:tc>
        <w:tc>
          <w:tcPr>
            <w:tcW w:w="706" w:type="pct"/>
            <w:shd w:val="clear" w:color="auto" w:fill="auto"/>
            <w:vAlign w:val="center"/>
          </w:tcPr>
          <w:p w14:paraId="42B2C206"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w:t>
            </w:r>
          </w:p>
        </w:tc>
        <w:tc>
          <w:tcPr>
            <w:tcW w:w="646" w:type="pct"/>
            <w:tcBorders>
              <w:right w:val="single" w:sz="4" w:space="0" w:color="auto"/>
            </w:tcBorders>
            <w:shd w:val="clear" w:color="auto" w:fill="auto"/>
            <w:vAlign w:val="center"/>
          </w:tcPr>
          <w:p w14:paraId="5ECA34C6"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&lt;1</w:t>
            </w:r>
          </w:p>
        </w:tc>
        <w:tc>
          <w:tcPr>
            <w:tcW w:w="715" w:type="pct"/>
            <w:tcBorders>
              <w:left w:val="single" w:sz="4" w:space="0" w:color="auto"/>
            </w:tcBorders>
            <w:shd w:val="clear" w:color="auto" w:fill="auto"/>
            <w:vAlign w:val="center"/>
          </w:tcPr>
          <w:p w14:paraId="0E576C8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4</w:t>
            </w:r>
          </w:p>
        </w:tc>
        <w:tc>
          <w:tcPr>
            <w:tcW w:w="777" w:type="pct"/>
            <w:shd w:val="clear" w:color="auto" w:fill="auto"/>
            <w:vAlign w:val="center"/>
          </w:tcPr>
          <w:p w14:paraId="4AEBD774"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w:t>
            </w:r>
          </w:p>
        </w:tc>
      </w:tr>
      <w:tr w:rsidR="00F75E7E" w:rsidRPr="00265791" w14:paraId="5A2CB7D6" w14:textId="77777777" w:rsidTr="00F75E7E">
        <w:trPr>
          <w:trHeight w:val="539"/>
          <w:jc w:val="center"/>
        </w:trPr>
        <w:tc>
          <w:tcPr>
            <w:tcW w:w="2156" w:type="pct"/>
            <w:vAlign w:val="center"/>
          </w:tcPr>
          <w:p w14:paraId="4BEACBF3" w14:textId="77777777" w:rsidR="00F75E7E" w:rsidRPr="00265791" w:rsidRDefault="00F75E7E" w:rsidP="00F75E7E">
            <w:pPr>
              <w:pStyle w:val="BMSTableText"/>
              <w:tabs>
                <w:tab w:val="clear" w:pos="360"/>
                <w:tab w:val="left" w:pos="177"/>
              </w:tabs>
              <w:spacing w:beforeLines="20" w:before="48" w:afterLines="20" w:after="48"/>
              <w:ind w:left="222" w:hanging="225"/>
              <w:jc w:val="left"/>
              <w:rPr>
                <w:lang w:val="en-GB"/>
              </w:rPr>
            </w:pPr>
            <w:r w:rsidRPr="00265791">
              <w:rPr>
                <w:lang w:val="en-GB"/>
              </w:rPr>
              <w:tab/>
              <w:t>Congestive heart failure/</w:t>
            </w:r>
            <w:r w:rsidRPr="00265791">
              <w:rPr>
                <w:lang w:val="en-GB"/>
              </w:rPr>
              <w:br/>
              <w:t>cardiac dysfunction</w:t>
            </w:r>
            <w:r w:rsidRPr="00265791">
              <w:rPr>
                <w:rStyle w:val="BMSSuperscript"/>
                <w:sz w:val="18"/>
                <w:szCs w:val="18"/>
                <w:lang w:val="en-GB"/>
              </w:rPr>
              <w:t>a</w:t>
            </w:r>
          </w:p>
        </w:tc>
        <w:tc>
          <w:tcPr>
            <w:tcW w:w="706" w:type="pct"/>
            <w:shd w:val="clear" w:color="auto" w:fill="auto"/>
            <w:vAlign w:val="center"/>
          </w:tcPr>
          <w:p w14:paraId="099F0C30"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2</w:t>
            </w:r>
          </w:p>
        </w:tc>
        <w:tc>
          <w:tcPr>
            <w:tcW w:w="646" w:type="pct"/>
            <w:tcBorders>
              <w:right w:val="single" w:sz="4" w:space="0" w:color="auto"/>
            </w:tcBorders>
            <w:shd w:val="clear" w:color="auto" w:fill="auto"/>
            <w:vAlign w:val="center"/>
          </w:tcPr>
          <w:p w14:paraId="35A337EC"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&lt;1</w:t>
            </w:r>
          </w:p>
        </w:tc>
        <w:tc>
          <w:tcPr>
            <w:tcW w:w="715" w:type="pct"/>
            <w:tcBorders>
              <w:left w:val="single" w:sz="4" w:space="0" w:color="auto"/>
            </w:tcBorders>
            <w:shd w:val="clear" w:color="auto" w:fill="auto"/>
            <w:vAlign w:val="center"/>
          </w:tcPr>
          <w:p w14:paraId="51A53233"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2</w:t>
            </w:r>
          </w:p>
        </w:tc>
        <w:tc>
          <w:tcPr>
            <w:tcW w:w="777" w:type="pct"/>
            <w:shd w:val="clear" w:color="auto" w:fill="auto"/>
            <w:vAlign w:val="center"/>
          </w:tcPr>
          <w:p w14:paraId="4983A3B8"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w:t>
            </w:r>
          </w:p>
        </w:tc>
      </w:tr>
      <w:tr w:rsidR="00F75E7E" w:rsidRPr="00265791" w14:paraId="2DAC23C5" w14:textId="77777777" w:rsidTr="00F75E7E">
        <w:trPr>
          <w:jc w:val="center"/>
        </w:trPr>
        <w:tc>
          <w:tcPr>
            <w:tcW w:w="2156" w:type="pct"/>
            <w:vAlign w:val="center"/>
          </w:tcPr>
          <w:p w14:paraId="00957F76" w14:textId="77777777" w:rsidR="00F75E7E" w:rsidRPr="00265791" w:rsidRDefault="00F75E7E" w:rsidP="00F75E7E">
            <w:pPr>
              <w:pStyle w:val="BMSTableText"/>
              <w:tabs>
                <w:tab w:val="clear" w:pos="360"/>
                <w:tab w:val="left" w:pos="177"/>
                <w:tab w:val="left" w:pos="297"/>
                <w:tab w:val="left" w:pos="330"/>
                <w:tab w:val="left" w:pos="530"/>
              </w:tabs>
              <w:spacing w:beforeLines="20" w:before="48" w:afterLines="20" w:after="48"/>
              <w:ind w:left="177" w:hanging="180"/>
              <w:jc w:val="left"/>
              <w:rPr>
                <w:lang w:val="en-GB"/>
              </w:rPr>
            </w:pPr>
            <w:r w:rsidRPr="00265791">
              <w:rPr>
                <w:lang w:val="en-GB"/>
              </w:rPr>
              <w:tab/>
              <w:t>Pulmonary oedema</w:t>
            </w:r>
          </w:p>
        </w:tc>
        <w:tc>
          <w:tcPr>
            <w:tcW w:w="706" w:type="pct"/>
            <w:shd w:val="clear" w:color="auto" w:fill="auto"/>
            <w:vAlign w:val="center"/>
          </w:tcPr>
          <w:p w14:paraId="024788DE"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&lt;1</w:t>
            </w:r>
          </w:p>
        </w:tc>
        <w:tc>
          <w:tcPr>
            <w:tcW w:w="646" w:type="pct"/>
            <w:tcBorders>
              <w:right w:val="single" w:sz="4" w:space="0" w:color="auto"/>
            </w:tcBorders>
            <w:shd w:val="clear" w:color="auto" w:fill="auto"/>
            <w:vAlign w:val="center"/>
          </w:tcPr>
          <w:p w14:paraId="0D5A6C91"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6103B354"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w:t>
            </w:r>
          </w:p>
        </w:tc>
        <w:tc>
          <w:tcPr>
            <w:tcW w:w="777" w:type="pct"/>
            <w:shd w:val="clear" w:color="auto" w:fill="auto"/>
            <w:vAlign w:val="center"/>
          </w:tcPr>
          <w:p w14:paraId="660374FE"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265791" w14:paraId="5095E5B7" w14:textId="77777777" w:rsidTr="00F75E7E">
        <w:trPr>
          <w:jc w:val="center"/>
        </w:trPr>
        <w:tc>
          <w:tcPr>
            <w:tcW w:w="2156" w:type="pct"/>
            <w:vAlign w:val="center"/>
          </w:tcPr>
          <w:p w14:paraId="3FE4FAD5"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lastRenderedPageBreak/>
              <w:t>Diarrhoea</w:t>
            </w:r>
          </w:p>
        </w:tc>
        <w:tc>
          <w:tcPr>
            <w:tcW w:w="706" w:type="pct"/>
            <w:shd w:val="clear" w:color="auto" w:fill="auto"/>
            <w:vAlign w:val="center"/>
          </w:tcPr>
          <w:p w14:paraId="4E77950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17</w:t>
            </w:r>
          </w:p>
        </w:tc>
        <w:tc>
          <w:tcPr>
            <w:tcW w:w="646" w:type="pct"/>
            <w:tcBorders>
              <w:right w:val="single" w:sz="4" w:space="0" w:color="auto"/>
            </w:tcBorders>
            <w:shd w:val="clear" w:color="auto" w:fill="auto"/>
            <w:vAlign w:val="center"/>
          </w:tcPr>
          <w:p w14:paraId="5C9DB4C4"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&lt;1</w:t>
            </w:r>
          </w:p>
        </w:tc>
        <w:tc>
          <w:tcPr>
            <w:tcW w:w="715" w:type="pct"/>
            <w:tcBorders>
              <w:left w:val="single" w:sz="4" w:space="0" w:color="auto"/>
            </w:tcBorders>
            <w:shd w:val="clear" w:color="auto" w:fill="auto"/>
            <w:vAlign w:val="center"/>
          </w:tcPr>
          <w:p w14:paraId="292CA104"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22</w:t>
            </w:r>
          </w:p>
        </w:tc>
        <w:tc>
          <w:tcPr>
            <w:tcW w:w="777" w:type="pct"/>
            <w:shd w:val="clear" w:color="auto" w:fill="auto"/>
            <w:vAlign w:val="center"/>
          </w:tcPr>
          <w:p w14:paraId="3029D9D1"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w:t>
            </w:r>
          </w:p>
        </w:tc>
      </w:tr>
      <w:tr w:rsidR="00F75E7E" w:rsidRPr="00265791" w14:paraId="70A963A0" w14:textId="77777777" w:rsidTr="00F75E7E">
        <w:trPr>
          <w:jc w:val="center"/>
        </w:trPr>
        <w:tc>
          <w:tcPr>
            <w:tcW w:w="2156" w:type="pct"/>
            <w:vAlign w:val="center"/>
          </w:tcPr>
          <w:p w14:paraId="219A7F90"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Musculoskeletal pain</w:t>
            </w:r>
          </w:p>
        </w:tc>
        <w:tc>
          <w:tcPr>
            <w:tcW w:w="706" w:type="pct"/>
            <w:shd w:val="clear" w:color="auto" w:fill="auto"/>
            <w:vAlign w:val="center"/>
          </w:tcPr>
          <w:p w14:paraId="3F1C883C"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11</w:t>
            </w:r>
          </w:p>
        </w:tc>
        <w:tc>
          <w:tcPr>
            <w:tcW w:w="646" w:type="pct"/>
            <w:tcBorders>
              <w:right w:val="single" w:sz="4" w:space="0" w:color="auto"/>
            </w:tcBorders>
            <w:shd w:val="clear" w:color="auto" w:fill="auto"/>
            <w:vAlign w:val="center"/>
          </w:tcPr>
          <w:p w14:paraId="44A3463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46CA1682"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14</w:t>
            </w:r>
          </w:p>
        </w:tc>
        <w:tc>
          <w:tcPr>
            <w:tcW w:w="777" w:type="pct"/>
            <w:shd w:val="clear" w:color="auto" w:fill="auto"/>
            <w:vAlign w:val="center"/>
          </w:tcPr>
          <w:p w14:paraId="51CE413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265791" w14:paraId="3B0D5079" w14:textId="77777777" w:rsidTr="00F75E7E">
        <w:trPr>
          <w:jc w:val="center"/>
        </w:trPr>
        <w:tc>
          <w:tcPr>
            <w:tcW w:w="2156" w:type="pct"/>
            <w:vAlign w:val="center"/>
          </w:tcPr>
          <w:p w14:paraId="2D5FE03F"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Rash</w:t>
            </w:r>
            <w:r w:rsidRPr="00265791">
              <w:rPr>
                <w:rStyle w:val="BMSSuperscript"/>
                <w:sz w:val="18"/>
                <w:szCs w:val="18"/>
                <w:lang w:val="en-GB"/>
              </w:rPr>
              <w:t>b</w:t>
            </w:r>
          </w:p>
        </w:tc>
        <w:tc>
          <w:tcPr>
            <w:tcW w:w="706" w:type="pct"/>
            <w:shd w:val="clear" w:color="auto" w:fill="auto"/>
            <w:vAlign w:val="center"/>
          </w:tcPr>
          <w:p w14:paraId="522A92B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11</w:t>
            </w:r>
          </w:p>
        </w:tc>
        <w:tc>
          <w:tcPr>
            <w:tcW w:w="646" w:type="pct"/>
            <w:tcBorders>
              <w:right w:val="single" w:sz="4" w:space="0" w:color="auto"/>
            </w:tcBorders>
            <w:shd w:val="clear" w:color="auto" w:fill="auto"/>
            <w:vAlign w:val="center"/>
          </w:tcPr>
          <w:p w14:paraId="464C9CA0"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04218DE8"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14</w:t>
            </w:r>
          </w:p>
        </w:tc>
        <w:tc>
          <w:tcPr>
            <w:tcW w:w="777" w:type="pct"/>
            <w:shd w:val="clear" w:color="auto" w:fill="auto"/>
            <w:vAlign w:val="center"/>
          </w:tcPr>
          <w:p w14:paraId="164DA05A"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265791" w14:paraId="64729D29" w14:textId="77777777" w:rsidTr="00F75E7E">
        <w:trPr>
          <w:jc w:val="center"/>
        </w:trPr>
        <w:tc>
          <w:tcPr>
            <w:tcW w:w="2156" w:type="pct"/>
            <w:vAlign w:val="center"/>
          </w:tcPr>
          <w:p w14:paraId="08D4F925"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Headache</w:t>
            </w:r>
          </w:p>
        </w:tc>
        <w:tc>
          <w:tcPr>
            <w:tcW w:w="706" w:type="pct"/>
            <w:shd w:val="clear" w:color="auto" w:fill="auto"/>
            <w:vAlign w:val="center"/>
          </w:tcPr>
          <w:p w14:paraId="6D66A2F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12</w:t>
            </w:r>
          </w:p>
        </w:tc>
        <w:tc>
          <w:tcPr>
            <w:tcW w:w="646" w:type="pct"/>
            <w:tcBorders>
              <w:right w:val="single" w:sz="4" w:space="0" w:color="auto"/>
            </w:tcBorders>
            <w:shd w:val="clear" w:color="auto" w:fill="auto"/>
            <w:vAlign w:val="center"/>
          </w:tcPr>
          <w:p w14:paraId="15876D46"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0777D419"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14</w:t>
            </w:r>
          </w:p>
        </w:tc>
        <w:tc>
          <w:tcPr>
            <w:tcW w:w="777" w:type="pct"/>
            <w:shd w:val="clear" w:color="auto" w:fill="auto"/>
            <w:vAlign w:val="center"/>
          </w:tcPr>
          <w:p w14:paraId="1B10895E"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265791" w14:paraId="6DBE93D5" w14:textId="77777777" w:rsidTr="00F75E7E">
        <w:trPr>
          <w:jc w:val="center"/>
        </w:trPr>
        <w:tc>
          <w:tcPr>
            <w:tcW w:w="2156" w:type="pct"/>
            <w:vAlign w:val="center"/>
          </w:tcPr>
          <w:p w14:paraId="1C0408B6"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Fatigue</w:t>
            </w:r>
          </w:p>
        </w:tc>
        <w:tc>
          <w:tcPr>
            <w:tcW w:w="706" w:type="pct"/>
            <w:shd w:val="clear" w:color="auto" w:fill="auto"/>
            <w:vAlign w:val="center"/>
          </w:tcPr>
          <w:p w14:paraId="61CEE749"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8</w:t>
            </w:r>
          </w:p>
        </w:tc>
        <w:tc>
          <w:tcPr>
            <w:tcW w:w="646" w:type="pct"/>
            <w:tcBorders>
              <w:right w:val="single" w:sz="4" w:space="0" w:color="auto"/>
            </w:tcBorders>
            <w:shd w:val="clear" w:color="auto" w:fill="auto"/>
            <w:vAlign w:val="center"/>
          </w:tcPr>
          <w:p w14:paraId="598BCC10"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&lt;1</w:t>
            </w:r>
          </w:p>
        </w:tc>
        <w:tc>
          <w:tcPr>
            <w:tcW w:w="715" w:type="pct"/>
            <w:tcBorders>
              <w:left w:val="single" w:sz="4" w:space="0" w:color="auto"/>
            </w:tcBorders>
            <w:shd w:val="clear" w:color="auto" w:fill="auto"/>
            <w:vAlign w:val="center"/>
          </w:tcPr>
          <w:p w14:paraId="632054E8"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11</w:t>
            </w:r>
          </w:p>
        </w:tc>
        <w:tc>
          <w:tcPr>
            <w:tcW w:w="777" w:type="pct"/>
            <w:shd w:val="clear" w:color="auto" w:fill="auto"/>
            <w:vAlign w:val="center"/>
          </w:tcPr>
          <w:p w14:paraId="6A6632FA"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&lt;1</w:t>
            </w:r>
          </w:p>
        </w:tc>
      </w:tr>
      <w:tr w:rsidR="00F75E7E" w:rsidRPr="00265791" w14:paraId="25613563" w14:textId="77777777" w:rsidTr="00F75E7E">
        <w:trPr>
          <w:jc w:val="center"/>
        </w:trPr>
        <w:tc>
          <w:tcPr>
            <w:tcW w:w="2156" w:type="pct"/>
            <w:vAlign w:val="center"/>
          </w:tcPr>
          <w:p w14:paraId="433A4B9D"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Nausea</w:t>
            </w:r>
          </w:p>
        </w:tc>
        <w:tc>
          <w:tcPr>
            <w:tcW w:w="706" w:type="pct"/>
            <w:shd w:val="clear" w:color="auto" w:fill="auto"/>
            <w:vAlign w:val="center"/>
          </w:tcPr>
          <w:p w14:paraId="2E739BF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8</w:t>
            </w:r>
          </w:p>
        </w:tc>
        <w:tc>
          <w:tcPr>
            <w:tcW w:w="646" w:type="pct"/>
            <w:tcBorders>
              <w:right w:val="single" w:sz="4" w:space="0" w:color="auto"/>
            </w:tcBorders>
            <w:shd w:val="clear" w:color="auto" w:fill="auto"/>
            <w:vAlign w:val="center"/>
          </w:tcPr>
          <w:p w14:paraId="2433ACC6"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6D77F16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10</w:t>
            </w:r>
          </w:p>
        </w:tc>
        <w:tc>
          <w:tcPr>
            <w:tcW w:w="777" w:type="pct"/>
            <w:shd w:val="clear" w:color="auto" w:fill="auto"/>
            <w:vAlign w:val="center"/>
          </w:tcPr>
          <w:p w14:paraId="2D76106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265791" w14:paraId="4163698B" w14:textId="77777777" w:rsidTr="00F75E7E">
        <w:trPr>
          <w:jc w:val="center"/>
        </w:trPr>
        <w:tc>
          <w:tcPr>
            <w:tcW w:w="2156" w:type="pct"/>
            <w:vAlign w:val="center"/>
          </w:tcPr>
          <w:p w14:paraId="1D49E03F" w14:textId="77777777" w:rsidR="00F75E7E"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Myalgia</w:t>
            </w:r>
          </w:p>
        </w:tc>
        <w:tc>
          <w:tcPr>
            <w:tcW w:w="706" w:type="pct"/>
            <w:shd w:val="clear" w:color="auto" w:fill="auto"/>
            <w:vAlign w:val="center"/>
          </w:tcPr>
          <w:p w14:paraId="362C9D17"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6</w:t>
            </w:r>
          </w:p>
        </w:tc>
        <w:tc>
          <w:tcPr>
            <w:tcW w:w="646" w:type="pct"/>
            <w:tcBorders>
              <w:right w:val="single" w:sz="4" w:space="0" w:color="auto"/>
            </w:tcBorders>
            <w:shd w:val="clear" w:color="auto" w:fill="auto"/>
            <w:vAlign w:val="center"/>
          </w:tcPr>
          <w:p w14:paraId="68934AC7"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75A8A2C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7</w:t>
            </w:r>
          </w:p>
        </w:tc>
        <w:tc>
          <w:tcPr>
            <w:tcW w:w="777" w:type="pct"/>
            <w:shd w:val="clear" w:color="auto" w:fill="auto"/>
            <w:vAlign w:val="center"/>
          </w:tcPr>
          <w:p w14:paraId="617ADC54"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265791" w14:paraId="671C1851" w14:textId="77777777" w:rsidTr="00F75E7E">
        <w:trPr>
          <w:jc w:val="center"/>
        </w:trPr>
        <w:tc>
          <w:tcPr>
            <w:tcW w:w="2156" w:type="pct"/>
            <w:vAlign w:val="center"/>
          </w:tcPr>
          <w:p w14:paraId="1DD4C9F9"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AU"/>
              </w:rPr>
              <w:t>Arthralgia</w:t>
            </w:r>
          </w:p>
        </w:tc>
        <w:tc>
          <w:tcPr>
            <w:tcW w:w="706" w:type="pct"/>
            <w:shd w:val="clear" w:color="auto" w:fill="auto"/>
            <w:vAlign w:val="center"/>
          </w:tcPr>
          <w:p w14:paraId="07550C15"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5</w:t>
            </w:r>
          </w:p>
        </w:tc>
        <w:tc>
          <w:tcPr>
            <w:tcW w:w="646" w:type="pct"/>
            <w:tcBorders>
              <w:right w:val="single" w:sz="4" w:space="0" w:color="auto"/>
            </w:tcBorders>
            <w:shd w:val="clear" w:color="auto" w:fill="auto"/>
            <w:vAlign w:val="center"/>
          </w:tcPr>
          <w:p w14:paraId="64BD4510"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4C0F62E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7</w:t>
            </w:r>
          </w:p>
        </w:tc>
        <w:tc>
          <w:tcPr>
            <w:tcW w:w="777" w:type="pct"/>
            <w:shd w:val="clear" w:color="auto" w:fill="auto"/>
            <w:vAlign w:val="center"/>
          </w:tcPr>
          <w:p w14:paraId="055348CA"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265791" w14:paraId="2B536C20" w14:textId="77777777" w:rsidTr="00F75E7E">
        <w:trPr>
          <w:jc w:val="center"/>
        </w:trPr>
        <w:tc>
          <w:tcPr>
            <w:tcW w:w="2156" w:type="pct"/>
            <w:vAlign w:val="center"/>
          </w:tcPr>
          <w:p w14:paraId="3BDDB856"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b/>
                <w:bCs/>
                <w:lang w:val="en-GB"/>
              </w:rPr>
            </w:pPr>
            <w:r w:rsidRPr="00265791">
              <w:rPr>
                <w:b/>
                <w:bCs/>
                <w:lang w:val="en-GB"/>
              </w:rPr>
              <w:t>Haemorrhage</w:t>
            </w:r>
            <w:r w:rsidRPr="00265791">
              <w:rPr>
                <w:b/>
                <w:bCs/>
                <w:vertAlign w:val="superscript"/>
                <w:lang w:val="en-GB"/>
              </w:rPr>
              <w:t>c</w:t>
            </w:r>
          </w:p>
        </w:tc>
        <w:tc>
          <w:tcPr>
            <w:tcW w:w="706" w:type="pct"/>
            <w:shd w:val="clear" w:color="auto" w:fill="auto"/>
            <w:vAlign w:val="center"/>
          </w:tcPr>
          <w:p w14:paraId="43F59E13"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5</w:t>
            </w:r>
          </w:p>
        </w:tc>
        <w:tc>
          <w:tcPr>
            <w:tcW w:w="646" w:type="pct"/>
            <w:tcBorders>
              <w:right w:val="single" w:sz="4" w:space="0" w:color="auto"/>
            </w:tcBorders>
            <w:shd w:val="clear" w:color="auto" w:fill="auto"/>
            <w:vAlign w:val="center"/>
          </w:tcPr>
          <w:p w14:paraId="40BE08C8"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&lt;1</w:t>
            </w:r>
          </w:p>
        </w:tc>
        <w:tc>
          <w:tcPr>
            <w:tcW w:w="715" w:type="pct"/>
            <w:tcBorders>
              <w:left w:val="single" w:sz="4" w:space="0" w:color="auto"/>
            </w:tcBorders>
            <w:shd w:val="clear" w:color="auto" w:fill="auto"/>
            <w:vAlign w:val="center"/>
          </w:tcPr>
          <w:p w14:paraId="5563BE3E"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8</w:t>
            </w:r>
          </w:p>
        </w:tc>
        <w:tc>
          <w:tcPr>
            <w:tcW w:w="777" w:type="pct"/>
            <w:shd w:val="clear" w:color="auto" w:fill="auto"/>
            <w:vAlign w:val="center"/>
          </w:tcPr>
          <w:p w14:paraId="6E862557"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w:t>
            </w:r>
          </w:p>
        </w:tc>
      </w:tr>
      <w:tr w:rsidR="00F75E7E" w:rsidRPr="00265791" w14:paraId="08D05B19" w14:textId="77777777" w:rsidTr="00F75E7E">
        <w:trPr>
          <w:jc w:val="center"/>
        </w:trPr>
        <w:tc>
          <w:tcPr>
            <w:tcW w:w="2156" w:type="pct"/>
            <w:vAlign w:val="center"/>
          </w:tcPr>
          <w:p w14:paraId="3A67C24B"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ab/>
              <w:t>Gastrointestinal bleeding</w:t>
            </w:r>
          </w:p>
        </w:tc>
        <w:tc>
          <w:tcPr>
            <w:tcW w:w="706" w:type="pct"/>
            <w:shd w:val="clear" w:color="auto" w:fill="auto"/>
            <w:vAlign w:val="center"/>
          </w:tcPr>
          <w:p w14:paraId="399599B4"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w:t>
            </w:r>
          </w:p>
        </w:tc>
        <w:tc>
          <w:tcPr>
            <w:tcW w:w="646" w:type="pct"/>
            <w:tcBorders>
              <w:right w:val="single" w:sz="4" w:space="0" w:color="auto"/>
            </w:tcBorders>
            <w:shd w:val="clear" w:color="auto" w:fill="auto"/>
            <w:vAlign w:val="center"/>
          </w:tcPr>
          <w:p w14:paraId="3B365BCB"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&lt;1</w:t>
            </w:r>
          </w:p>
        </w:tc>
        <w:tc>
          <w:tcPr>
            <w:tcW w:w="715" w:type="pct"/>
            <w:tcBorders>
              <w:left w:val="single" w:sz="4" w:space="0" w:color="auto"/>
            </w:tcBorders>
            <w:shd w:val="clear" w:color="auto" w:fill="auto"/>
            <w:vAlign w:val="center"/>
          </w:tcPr>
          <w:p w14:paraId="2F6C4693"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2</w:t>
            </w:r>
          </w:p>
        </w:tc>
        <w:tc>
          <w:tcPr>
            <w:tcW w:w="777" w:type="pct"/>
            <w:shd w:val="clear" w:color="auto" w:fill="auto"/>
            <w:vAlign w:val="center"/>
          </w:tcPr>
          <w:p w14:paraId="67DC4859"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1</w:t>
            </w:r>
          </w:p>
        </w:tc>
      </w:tr>
      <w:tr w:rsidR="00F75E7E" w:rsidRPr="00265791" w14:paraId="6ED4AA90" w14:textId="77777777" w:rsidTr="00F75E7E">
        <w:trPr>
          <w:jc w:val="center"/>
        </w:trPr>
        <w:tc>
          <w:tcPr>
            <w:tcW w:w="2156" w:type="pct"/>
            <w:vAlign w:val="center"/>
          </w:tcPr>
          <w:p w14:paraId="3C437C9D"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ab/>
              <w:t>Other bleeding</w:t>
            </w:r>
            <w:r w:rsidRPr="00265791">
              <w:rPr>
                <w:vertAlign w:val="superscript"/>
                <w:lang w:val="en-GB"/>
              </w:rPr>
              <w:t>d</w:t>
            </w:r>
          </w:p>
        </w:tc>
        <w:tc>
          <w:tcPr>
            <w:tcW w:w="706" w:type="pct"/>
            <w:shd w:val="clear" w:color="auto" w:fill="auto"/>
            <w:vAlign w:val="center"/>
          </w:tcPr>
          <w:p w14:paraId="04106529"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4</w:t>
            </w:r>
          </w:p>
        </w:tc>
        <w:tc>
          <w:tcPr>
            <w:tcW w:w="646" w:type="pct"/>
            <w:tcBorders>
              <w:right w:val="single" w:sz="4" w:space="0" w:color="auto"/>
            </w:tcBorders>
            <w:shd w:val="clear" w:color="auto" w:fill="auto"/>
            <w:vAlign w:val="center"/>
          </w:tcPr>
          <w:p w14:paraId="04058C5F"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63E6CE02"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6</w:t>
            </w:r>
          </w:p>
        </w:tc>
        <w:tc>
          <w:tcPr>
            <w:tcW w:w="777" w:type="pct"/>
            <w:shd w:val="clear" w:color="auto" w:fill="auto"/>
            <w:vAlign w:val="center"/>
          </w:tcPr>
          <w:p w14:paraId="287A1718"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265791" w14:paraId="164354B2" w14:textId="77777777" w:rsidTr="00F75E7E">
        <w:trPr>
          <w:jc w:val="center"/>
        </w:trPr>
        <w:tc>
          <w:tcPr>
            <w:tcW w:w="2156" w:type="pct"/>
            <w:vAlign w:val="center"/>
          </w:tcPr>
          <w:p w14:paraId="6FA05503"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Vomiting</w:t>
            </w:r>
          </w:p>
        </w:tc>
        <w:tc>
          <w:tcPr>
            <w:tcW w:w="706" w:type="pct"/>
            <w:shd w:val="clear" w:color="auto" w:fill="auto"/>
            <w:vAlign w:val="center"/>
          </w:tcPr>
          <w:p w14:paraId="74EA5A49"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5</w:t>
            </w:r>
          </w:p>
        </w:tc>
        <w:tc>
          <w:tcPr>
            <w:tcW w:w="646" w:type="pct"/>
            <w:tcBorders>
              <w:right w:val="single" w:sz="4" w:space="0" w:color="auto"/>
            </w:tcBorders>
            <w:shd w:val="clear" w:color="auto" w:fill="auto"/>
            <w:vAlign w:val="center"/>
          </w:tcPr>
          <w:p w14:paraId="5D9688A5"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tcBorders>
            <w:shd w:val="clear" w:color="auto" w:fill="auto"/>
            <w:vAlign w:val="center"/>
          </w:tcPr>
          <w:p w14:paraId="730511F5"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5</w:t>
            </w:r>
          </w:p>
        </w:tc>
        <w:tc>
          <w:tcPr>
            <w:tcW w:w="777" w:type="pct"/>
            <w:shd w:val="clear" w:color="auto" w:fill="auto"/>
            <w:vAlign w:val="center"/>
          </w:tcPr>
          <w:p w14:paraId="248ED30D"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265791" w14:paraId="5AB911AC" w14:textId="77777777" w:rsidTr="00F75E7E">
        <w:trPr>
          <w:jc w:val="center"/>
        </w:trPr>
        <w:tc>
          <w:tcPr>
            <w:tcW w:w="2156" w:type="pct"/>
            <w:tcBorders>
              <w:bottom w:val="double" w:sz="4" w:space="0" w:color="auto"/>
            </w:tcBorders>
            <w:vAlign w:val="center"/>
          </w:tcPr>
          <w:p w14:paraId="3014E245" w14:textId="77777777" w:rsidR="00F75E7E" w:rsidRPr="00265791" w:rsidRDefault="00F75E7E" w:rsidP="00F75E7E">
            <w:pPr>
              <w:pStyle w:val="BMSTableText"/>
              <w:tabs>
                <w:tab w:val="clear" w:pos="360"/>
                <w:tab w:val="left" w:pos="177"/>
                <w:tab w:val="left" w:pos="330"/>
                <w:tab w:val="left" w:pos="530"/>
              </w:tabs>
              <w:spacing w:beforeLines="20" w:before="48" w:afterLines="20" w:after="48"/>
              <w:ind w:left="177" w:hanging="180"/>
              <w:jc w:val="left"/>
              <w:rPr>
                <w:lang w:val="en-GB"/>
              </w:rPr>
            </w:pPr>
            <w:r w:rsidRPr="00265791">
              <w:rPr>
                <w:lang w:val="en-GB"/>
              </w:rPr>
              <w:t>Muscle spasm</w:t>
            </w:r>
            <w:r w:rsidRPr="0020431F">
              <w:rPr>
                <w:vertAlign w:val="superscript"/>
                <w:lang w:val="en-GB"/>
              </w:rPr>
              <w:t>e</w:t>
            </w:r>
          </w:p>
        </w:tc>
        <w:tc>
          <w:tcPr>
            <w:tcW w:w="706" w:type="pct"/>
            <w:tcBorders>
              <w:bottom w:val="double" w:sz="4" w:space="0" w:color="auto"/>
            </w:tcBorders>
            <w:shd w:val="clear" w:color="auto" w:fill="auto"/>
            <w:vAlign w:val="center"/>
          </w:tcPr>
          <w:p w14:paraId="2C392DFC"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4</w:t>
            </w:r>
          </w:p>
        </w:tc>
        <w:tc>
          <w:tcPr>
            <w:tcW w:w="646" w:type="pct"/>
            <w:tcBorders>
              <w:bottom w:val="double" w:sz="4" w:space="0" w:color="auto"/>
              <w:right w:val="single" w:sz="4" w:space="0" w:color="auto"/>
            </w:tcBorders>
            <w:shd w:val="clear" w:color="auto" w:fill="auto"/>
            <w:vAlign w:val="center"/>
          </w:tcPr>
          <w:p w14:paraId="28A5E9E0"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c>
          <w:tcPr>
            <w:tcW w:w="715" w:type="pct"/>
            <w:tcBorders>
              <w:left w:val="single" w:sz="4" w:space="0" w:color="auto"/>
              <w:bottom w:val="double" w:sz="4" w:space="0" w:color="auto"/>
            </w:tcBorders>
            <w:shd w:val="clear" w:color="auto" w:fill="auto"/>
            <w:vAlign w:val="center"/>
          </w:tcPr>
          <w:p w14:paraId="0009FB3D"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5</w:t>
            </w:r>
          </w:p>
        </w:tc>
        <w:tc>
          <w:tcPr>
            <w:tcW w:w="777" w:type="pct"/>
            <w:tcBorders>
              <w:bottom w:val="double" w:sz="4" w:space="0" w:color="auto"/>
            </w:tcBorders>
            <w:shd w:val="clear" w:color="auto" w:fill="auto"/>
            <w:vAlign w:val="center"/>
          </w:tcPr>
          <w:p w14:paraId="19F803DE" w14:textId="77777777" w:rsidR="00F75E7E" w:rsidRPr="00265791" w:rsidRDefault="00F75E7E" w:rsidP="00F75E7E">
            <w:pPr>
              <w:pStyle w:val="BMSTableText"/>
              <w:tabs>
                <w:tab w:val="clear" w:pos="360"/>
                <w:tab w:val="decimal" w:pos="593"/>
              </w:tabs>
              <w:spacing w:beforeLines="20" w:before="48" w:afterLines="20" w:after="48"/>
              <w:jc w:val="left"/>
              <w:rPr>
                <w:lang w:val="en-GB"/>
              </w:rPr>
            </w:pPr>
            <w:r>
              <w:rPr>
                <w:lang w:val="en-GB"/>
              </w:rPr>
              <w:t>0</w:t>
            </w:r>
          </w:p>
        </w:tc>
      </w:tr>
      <w:tr w:rsidR="00F75E7E" w:rsidRPr="00F75E7E" w14:paraId="5C4A7DD7" w14:textId="77777777" w:rsidTr="00F75E7E">
        <w:trPr>
          <w:jc w:val="center"/>
        </w:trPr>
        <w:tc>
          <w:tcPr>
            <w:tcW w:w="5000" w:type="pct"/>
            <w:gridSpan w:val="5"/>
            <w:tcBorders>
              <w:top w:val="double" w:sz="4" w:space="0" w:color="auto"/>
            </w:tcBorders>
            <w:vAlign w:val="center"/>
          </w:tcPr>
          <w:p w14:paraId="08E7D98F" w14:textId="77777777" w:rsidR="00F75E7E" w:rsidRPr="00F75E7E" w:rsidRDefault="00F75E7E" w:rsidP="00F75E7E">
            <w:pPr>
              <w:pStyle w:val="BMSTableText"/>
              <w:widowControl w:val="0"/>
              <w:tabs>
                <w:tab w:val="clear" w:pos="360"/>
                <w:tab w:val="left" w:pos="177"/>
              </w:tabs>
              <w:spacing w:before="0" w:after="0"/>
              <w:ind w:left="187" w:hanging="187"/>
              <w:jc w:val="both"/>
              <w:rPr>
                <w:sz w:val="18"/>
                <w:szCs w:val="18"/>
                <w:lang w:val="en-GB"/>
              </w:rPr>
            </w:pPr>
            <w:r w:rsidRPr="00F75E7E">
              <w:rPr>
                <w:rStyle w:val="BMSSuperscript"/>
                <w:sz w:val="18"/>
                <w:szCs w:val="18"/>
                <w:lang w:val="en-GB"/>
              </w:rPr>
              <w:t>a</w:t>
            </w:r>
            <w:r w:rsidRPr="00F75E7E">
              <w:rPr>
                <w:sz w:val="18"/>
                <w:szCs w:val="18"/>
                <w:lang w:val="en-GB"/>
              </w:rPr>
              <w:tab/>
              <w:t>Includes cardiac failure acute, cardiac failure congestive, cardiomyopathy, diastolic dysfunction, ejection fraction decreased and left ventricular dysfunction.</w:t>
            </w:r>
          </w:p>
          <w:p w14:paraId="4191FDB1" w14:textId="77777777" w:rsidR="00F75E7E" w:rsidRPr="00F75E7E" w:rsidRDefault="00F75E7E" w:rsidP="00F75E7E">
            <w:pPr>
              <w:pStyle w:val="BMSTableText"/>
              <w:widowControl w:val="0"/>
              <w:tabs>
                <w:tab w:val="clear" w:pos="360"/>
                <w:tab w:val="left" w:pos="180"/>
              </w:tabs>
              <w:spacing w:before="0" w:after="0"/>
              <w:ind w:left="180" w:hanging="180"/>
              <w:jc w:val="both"/>
              <w:rPr>
                <w:sz w:val="18"/>
                <w:szCs w:val="18"/>
                <w:lang w:val="en-GB"/>
              </w:rPr>
            </w:pPr>
            <w:r w:rsidRPr="00F75E7E">
              <w:rPr>
                <w:rStyle w:val="BMSSuperscript"/>
                <w:sz w:val="18"/>
                <w:szCs w:val="18"/>
                <w:lang w:val="en-GB"/>
              </w:rPr>
              <w:t>b</w:t>
            </w:r>
            <w:r w:rsidRPr="00F75E7E">
              <w:rPr>
                <w:sz w:val="18"/>
                <w:szCs w:val="18"/>
                <w:lang w:val="en-GB"/>
              </w:rPr>
              <w:tab/>
              <w:t>Includes erythema, erythema multiforme, rash, rash generalised, rash macular, rash papular, rash pustular, skin exfoliation and rash vesicular.</w:t>
            </w:r>
          </w:p>
          <w:p w14:paraId="18BE58BA" w14:textId="77777777" w:rsidR="00F75E7E" w:rsidRPr="00F75E7E" w:rsidRDefault="00F75E7E" w:rsidP="00F75E7E">
            <w:pPr>
              <w:pStyle w:val="BMSTableText"/>
              <w:widowControl w:val="0"/>
              <w:tabs>
                <w:tab w:val="clear" w:pos="360"/>
                <w:tab w:val="left" w:pos="180"/>
              </w:tabs>
              <w:spacing w:before="0" w:after="0"/>
              <w:ind w:left="180" w:hanging="180"/>
              <w:jc w:val="both"/>
              <w:rPr>
                <w:sz w:val="18"/>
                <w:szCs w:val="18"/>
                <w:lang w:val="en-GB"/>
              </w:rPr>
            </w:pPr>
            <w:r w:rsidRPr="00F75E7E">
              <w:rPr>
                <w:rStyle w:val="BMSSuperscript"/>
                <w:sz w:val="18"/>
                <w:szCs w:val="18"/>
                <w:lang w:val="en-GB"/>
              </w:rPr>
              <w:t>c</w:t>
            </w:r>
            <w:r w:rsidRPr="00F75E7E">
              <w:rPr>
                <w:sz w:val="18"/>
                <w:szCs w:val="18"/>
                <w:lang w:val="en-GB"/>
              </w:rPr>
              <w:tab/>
              <w:t>Adverse reaction of special interest with &lt; 10% frequency.</w:t>
            </w:r>
          </w:p>
          <w:p w14:paraId="595EA0D9" w14:textId="77777777" w:rsidR="00F75E7E" w:rsidRPr="00F75E7E" w:rsidRDefault="00F75E7E" w:rsidP="00F75E7E">
            <w:pPr>
              <w:pStyle w:val="BMSTableText"/>
              <w:widowControl w:val="0"/>
              <w:tabs>
                <w:tab w:val="clear" w:pos="360"/>
              </w:tabs>
              <w:spacing w:before="0" w:after="0"/>
              <w:ind w:left="181" w:hanging="181"/>
              <w:jc w:val="both"/>
              <w:rPr>
                <w:sz w:val="18"/>
                <w:szCs w:val="18"/>
                <w:lang w:val="en-GB"/>
              </w:rPr>
            </w:pPr>
            <w:r w:rsidRPr="00F75E7E">
              <w:rPr>
                <w:rStyle w:val="BMSSuperscript"/>
                <w:sz w:val="18"/>
                <w:szCs w:val="18"/>
                <w:lang w:val="en-GB"/>
              </w:rPr>
              <w:t>d</w:t>
            </w:r>
            <w:r w:rsidRPr="00F75E7E">
              <w:rPr>
                <w:sz w:val="18"/>
                <w:szCs w:val="18"/>
                <w:lang w:val="en-GB"/>
              </w:rPr>
              <w:tab/>
              <w:t>Includes conjunctival haemorrhage, ear haemorrhage, ecchymosis, epistaxis, eye haemorrhage, gingival bleeding, haematoma, haematuria, haemoptysis, intra-abdominal haematoma, petechiae, scleral haemorrhage, uterine haemorrhage and vaginal haemorrhage.</w:t>
            </w:r>
          </w:p>
          <w:p w14:paraId="1E4D9766" w14:textId="77777777" w:rsidR="00F75E7E" w:rsidRPr="00F75E7E" w:rsidRDefault="00F75E7E" w:rsidP="00F75E7E">
            <w:pPr>
              <w:pStyle w:val="BMSTableText"/>
              <w:widowControl w:val="0"/>
              <w:tabs>
                <w:tab w:val="clear" w:pos="360"/>
              </w:tabs>
              <w:spacing w:before="0" w:after="0"/>
              <w:ind w:left="181" w:hanging="181"/>
              <w:jc w:val="both"/>
              <w:rPr>
                <w:sz w:val="18"/>
                <w:szCs w:val="18"/>
                <w:lang w:val="en-GB"/>
              </w:rPr>
            </w:pPr>
            <w:r w:rsidRPr="00F75E7E">
              <w:rPr>
                <w:rStyle w:val="BMSSuperscript"/>
                <w:sz w:val="18"/>
                <w:szCs w:val="18"/>
                <w:lang w:val="en-GB"/>
              </w:rPr>
              <w:t>e</w:t>
            </w:r>
            <w:r w:rsidRPr="00F75E7E">
              <w:rPr>
                <w:sz w:val="18"/>
                <w:szCs w:val="18"/>
                <w:lang w:val="en-GB"/>
              </w:rPr>
              <w:tab/>
              <w:t>In the 60 month analysis the term “muscle inflammation” was re-mapped to “muscle spasm”</w:t>
            </w:r>
          </w:p>
          <w:p w14:paraId="21B5F37B" w14:textId="77777777" w:rsidR="00F75E7E" w:rsidRPr="00F75E7E" w:rsidRDefault="00F75E7E" w:rsidP="00F75E7E">
            <w:pPr>
              <w:pStyle w:val="BMSTableText"/>
              <w:widowControl w:val="0"/>
              <w:tabs>
                <w:tab w:val="clear" w:pos="360"/>
              </w:tabs>
              <w:spacing w:before="0" w:after="0"/>
              <w:ind w:left="181" w:hanging="181"/>
              <w:jc w:val="both"/>
              <w:rPr>
                <w:sz w:val="18"/>
                <w:szCs w:val="18"/>
                <w:lang w:val="en-GB"/>
              </w:rPr>
            </w:pPr>
            <w:r w:rsidRPr="00F75E7E">
              <w:rPr>
                <w:rStyle w:val="BMSSuperscript"/>
                <w:sz w:val="18"/>
                <w:szCs w:val="18"/>
                <w:lang w:val="en-GB"/>
              </w:rPr>
              <w:t>f</w:t>
            </w:r>
            <w:r w:rsidRPr="00F75E7E">
              <w:rPr>
                <w:sz w:val="18"/>
                <w:szCs w:val="18"/>
                <w:lang w:val="en-GB"/>
              </w:rPr>
              <w:tab/>
            </w:r>
            <w:r w:rsidRPr="00F75E7E">
              <w:rPr>
                <w:sz w:val="18"/>
                <w:szCs w:val="18"/>
              </w:rPr>
              <w:t>Miscellaneous adverse reactions such as pleural effusion, ascites, pulmonary oedema and pericardial effusion with or without superficial oedema may be collectively described as “fluid retention”</w:t>
            </w:r>
          </w:p>
        </w:tc>
      </w:tr>
    </w:tbl>
    <w:p w14:paraId="30CA77E0" w14:textId="77777777" w:rsidR="00F75E7E" w:rsidRDefault="00F75E7E" w:rsidP="00F75E7E">
      <w:pPr>
        <w:pStyle w:val="EMEABodyText"/>
        <w:jc w:val="both"/>
        <w:rPr>
          <w:rFonts w:eastAsia="MS Mincho"/>
          <w:sz w:val="24"/>
          <w:lang w:val="en-US"/>
        </w:rPr>
      </w:pPr>
    </w:p>
    <w:p w14:paraId="6CDAC95D" w14:textId="11ED7824" w:rsidR="00F75E7E" w:rsidRDefault="00F75E7E" w:rsidP="00F75E7E">
      <w:r w:rsidRPr="00265791">
        <w:t>In the Phase III dose-optimisation study in patients with chronic phase CML</w:t>
      </w:r>
      <w:r>
        <w:t xml:space="preserve"> resistant or intolerant to imatinib, the overall median duration of therapy was approximately 30 months (range &lt;1 to 93 months), with a median duration in the 100 mg once daily group of 37 months (range 1 to 91 months). The study evaluated once daily and twice daily dosage regimens (100 mg and 140 mg once daily, and 50 mg and 70 mg twice daily). Following Year 2 analysis many patients switched to once daily dosing regimens during the subsequent extension of the study. Cumulative rates of selected adverse reactions that were reported in the 100 mg once daily recommended starting dose (n=165) are shown in Table </w:t>
      </w:r>
      <w:r w:rsidR="003E2DA1">
        <w:t>6</w:t>
      </w:r>
      <w:r>
        <w:t>.</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992"/>
        <w:gridCol w:w="1276"/>
        <w:gridCol w:w="992"/>
        <w:gridCol w:w="1276"/>
        <w:gridCol w:w="979"/>
        <w:gridCol w:w="1210"/>
      </w:tblGrid>
      <w:tr w:rsidR="00F75E7E" w14:paraId="632B4D6F" w14:textId="77777777" w:rsidTr="00F75E7E">
        <w:tc>
          <w:tcPr>
            <w:tcW w:w="9243" w:type="dxa"/>
            <w:gridSpan w:val="7"/>
            <w:tcBorders>
              <w:top w:val="nil"/>
              <w:left w:val="nil"/>
              <w:bottom w:val="double" w:sz="4" w:space="0" w:color="auto"/>
              <w:right w:val="nil"/>
            </w:tcBorders>
          </w:tcPr>
          <w:p w14:paraId="2537A7C1" w14:textId="0E1CC7B0" w:rsidR="00F75E7E" w:rsidRPr="00110DCD" w:rsidRDefault="00F75E7E" w:rsidP="00F75E7E">
            <w:pPr>
              <w:pStyle w:val="EMEABodyText"/>
              <w:ind w:left="2163" w:hanging="2163"/>
              <w:jc w:val="both"/>
              <w:rPr>
                <w:b/>
                <w:sz w:val="24"/>
              </w:rPr>
            </w:pPr>
            <w:r w:rsidRPr="007A30B6">
              <w:rPr>
                <w:b/>
              </w:rPr>
              <w:t>Table</w:t>
            </w:r>
            <w:r>
              <w:rPr>
                <w:b/>
              </w:rPr>
              <w:t xml:space="preserve"> </w:t>
            </w:r>
            <w:r w:rsidR="003E2DA1">
              <w:rPr>
                <w:b/>
              </w:rPr>
              <w:t>6</w:t>
            </w:r>
            <w:r w:rsidRPr="007A30B6">
              <w:rPr>
                <w:b/>
              </w:rPr>
              <w:t xml:space="preserve">: </w:t>
            </w:r>
            <w:r w:rsidRPr="007A30B6">
              <w:rPr>
                <w:b/>
              </w:rPr>
              <w:tab/>
            </w:r>
            <w:r>
              <w:rPr>
                <w:b/>
              </w:rPr>
              <w:t xml:space="preserve">Adverse Drug Reactions reported in </w:t>
            </w:r>
            <w:r w:rsidRPr="007A30B6">
              <w:rPr>
                <w:b/>
              </w:rPr>
              <w:t>Phase III Dose</w:t>
            </w:r>
            <w:r w:rsidRPr="007A30B6">
              <w:rPr>
                <w:b/>
                <w:lang w:val="en-AU"/>
              </w:rPr>
              <w:t>-Optimisation</w:t>
            </w:r>
            <w:r w:rsidRPr="007A30B6">
              <w:rPr>
                <w:b/>
              </w:rPr>
              <w:t xml:space="preserve"> Study: Chronic Phase CML (Imatinib Intolerant or</w:t>
            </w:r>
            <w:r w:rsidR="0004690D">
              <w:rPr>
                <w:b/>
              </w:rPr>
              <w:t xml:space="preserve"> </w:t>
            </w:r>
            <w:r w:rsidRPr="007A30B6">
              <w:rPr>
                <w:b/>
              </w:rPr>
              <w:t>Resistant Chronic Phase CML)</w:t>
            </w:r>
            <w:r w:rsidRPr="007A30B6">
              <w:rPr>
                <w:b/>
                <w:vertAlign w:val="superscript"/>
              </w:rPr>
              <w:t>a</w:t>
            </w:r>
            <w:r>
              <w:rPr>
                <w:b/>
              </w:rPr>
              <w:t xml:space="preserve"> (n=165)</w:t>
            </w:r>
          </w:p>
        </w:tc>
      </w:tr>
      <w:tr w:rsidR="00F75E7E" w:rsidRPr="003E2DA1" w14:paraId="4006D53E" w14:textId="77777777" w:rsidTr="00F75E7E">
        <w:tc>
          <w:tcPr>
            <w:tcW w:w="2518" w:type="dxa"/>
            <w:tcBorders>
              <w:top w:val="double" w:sz="4" w:space="0" w:color="auto"/>
              <w:left w:val="nil"/>
              <w:bottom w:val="single" w:sz="4" w:space="0" w:color="auto"/>
            </w:tcBorders>
          </w:tcPr>
          <w:p w14:paraId="0F468F9E" w14:textId="77777777" w:rsidR="00F75E7E" w:rsidRPr="003E2DA1" w:rsidRDefault="00F75E7E" w:rsidP="00F75E7E">
            <w:pPr>
              <w:pStyle w:val="EMEABodyText"/>
              <w:jc w:val="both"/>
              <w:rPr>
                <w:sz w:val="20"/>
                <w:szCs w:val="20"/>
              </w:rPr>
            </w:pPr>
          </w:p>
        </w:tc>
        <w:tc>
          <w:tcPr>
            <w:tcW w:w="2268" w:type="dxa"/>
            <w:gridSpan w:val="2"/>
            <w:tcBorders>
              <w:top w:val="double" w:sz="4" w:space="0" w:color="auto"/>
              <w:bottom w:val="single" w:sz="4" w:space="0" w:color="auto"/>
            </w:tcBorders>
          </w:tcPr>
          <w:p w14:paraId="21005048" w14:textId="77777777" w:rsidR="00F75E7E" w:rsidRPr="003E2DA1" w:rsidRDefault="00F75E7E" w:rsidP="00F75E7E">
            <w:pPr>
              <w:pStyle w:val="EMEABodyText"/>
              <w:jc w:val="center"/>
              <w:rPr>
                <w:b/>
                <w:sz w:val="20"/>
                <w:szCs w:val="20"/>
              </w:rPr>
            </w:pPr>
            <w:r w:rsidRPr="003E2DA1">
              <w:rPr>
                <w:b/>
                <w:sz w:val="20"/>
                <w:szCs w:val="20"/>
              </w:rPr>
              <w:t>Minimum of 2 Years Follow Up</w:t>
            </w:r>
          </w:p>
        </w:tc>
        <w:tc>
          <w:tcPr>
            <w:tcW w:w="2268" w:type="dxa"/>
            <w:gridSpan w:val="2"/>
            <w:tcBorders>
              <w:top w:val="double" w:sz="4" w:space="0" w:color="auto"/>
              <w:bottom w:val="single" w:sz="4" w:space="0" w:color="auto"/>
            </w:tcBorders>
          </w:tcPr>
          <w:p w14:paraId="24149042" w14:textId="77777777" w:rsidR="00F75E7E" w:rsidRPr="003E2DA1" w:rsidRDefault="00F75E7E" w:rsidP="00F75E7E">
            <w:pPr>
              <w:pStyle w:val="EMEABodyText"/>
              <w:jc w:val="center"/>
              <w:rPr>
                <w:b/>
                <w:sz w:val="20"/>
                <w:szCs w:val="20"/>
              </w:rPr>
            </w:pPr>
            <w:r w:rsidRPr="003E2DA1">
              <w:rPr>
                <w:b/>
                <w:sz w:val="20"/>
                <w:szCs w:val="20"/>
              </w:rPr>
              <w:t>Minimum of 5 Years Follow Up</w:t>
            </w:r>
          </w:p>
        </w:tc>
        <w:tc>
          <w:tcPr>
            <w:tcW w:w="2189" w:type="dxa"/>
            <w:gridSpan w:val="2"/>
            <w:tcBorders>
              <w:top w:val="double" w:sz="4" w:space="0" w:color="auto"/>
              <w:bottom w:val="single" w:sz="4" w:space="0" w:color="auto"/>
              <w:right w:val="nil"/>
            </w:tcBorders>
          </w:tcPr>
          <w:p w14:paraId="43EEECFF" w14:textId="77777777" w:rsidR="00F75E7E" w:rsidRPr="003E2DA1" w:rsidRDefault="00F75E7E" w:rsidP="00F75E7E">
            <w:pPr>
              <w:pStyle w:val="EMEABodyText"/>
              <w:jc w:val="center"/>
              <w:rPr>
                <w:b/>
                <w:sz w:val="20"/>
                <w:szCs w:val="20"/>
              </w:rPr>
            </w:pPr>
            <w:r w:rsidRPr="003E2DA1">
              <w:rPr>
                <w:b/>
                <w:sz w:val="20"/>
                <w:szCs w:val="20"/>
              </w:rPr>
              <w:t>Minimum of 7 Years Follow Up</w:t>
            </w:r>
          </w:p>
        </w:tc>
      </w:tr>
      <w:tr w:rsidR="00F75E7E" w:rsidRPr="003E2DA1" w14:paraId="74582ADD" w14:textId="77777777" w:rsidTr="00341A90">
        <w:tc>
          <w:tcPr>
            <w:tcW w:w="2518" w:type="dxa"/>
            <w:tcBorders>
              <w:top w:val="single" w:sz="4" w:space="0" w:color="auto"/>
              <w:left w:val="nil"/>
              <w:bottom w:val="single" w:sz="4" w:space="0" w:color="auto"/>
            </w:tcBorders>
          </w:tcPr>
          <w:p w14:paraId="612F86DC" w14:textId="77777777" w:rsidR="00F75E7E" w:rsidRPr="003E2DA1" w:rsidRDefault="00F75E7E" w:rsidP="00F75E7E">
            <w:pPr>
              <w:pStyle w:val="EMEABodyText"/>
              <w:jc w:val="both"/>
              <w:rPr>
                <w:sz w:val="20"/>
                <w:szCs w:val="20"/>
              </w:rPr>
            </w:pPr>
          </w:p>
        </w:tc>
        <w:tc>
          <w:tcPr>
            <w:tcW w:w="992" w:type="dxa"/>
            <w:tcBorders>
              <w:top w:val="single" w:sz="4" w:space="0" w:color="auto"/>
              <w:bottom w:val="single" w:sz="4" w:space="0" w:color="auto"/>
              <w:right w:val="nil"/>
            </w:tcBorders>
          </w:tcPr>
          <w:p w14:paraId="77558FDE" w14:textId="77777777" w:rsidR="00F75E7E" w:rsidRPr="003E2DA1" w:rsidRDefault="00F75E7E" w:rsidP="00F75E7E">
            <w:pPr>
              <w:pStyle w:val="EMEABodyText"/>
              <w:jc w:val="center"/>
              <w:rPr>
                <w:b/>
                <w:sz w:val="20"/>
                <w:szCs w:val="20"/>
              </w:rPr>
            </w:pPr>
            <w:r w:rsidRPr="003E2DA1">
              <w:rPr>
                <w:b/>
                <w:sz w:val="20"/>
                <w:szCs w:val="20"/>
              </w:rPr>
              <w:t>All Grades</w:t>
            </w:r>
          </w:p>
        </w:tc>
        <w:tc>
          <w:tcPr>
            <w:tcW w:w="1276" w:type="dxa"/>
            <w:tcBorders>
              <w:top w:val="single" w:sz="4" w:space="0" w:color="auto"/>
              <w:left w:val="nil"/>
              <w:bottom w:val="single" w:sz="4" w:space="0" w:color="auto"/>
            </w:tcBorders>
          </w:tcPr>
          <w:p w14:paraId="287D31B5" w14:textId="77777777" w:rsidR="00F75E7E" w:rsidRPr="003E2DA1" w:rsidRDefault="00F75E7E" w:rsidP="00F75E7E">
            <w:pPr>
              <w:pStyle w:val="EMEABodyText"/>
              <w:jc w:val="center"/>
              <w:rPr>
                <w:b/>
                <w:sz w:val="20"/>
                <w:szCs w:val="20"/>
              </w:rPr>
            </w:pPr>
            <w:r w:rsidRPr="003E2DA1">
              <w:rPr>
                <w:b/>
                <w:sz w:val="20"/>
                <w:szCs w:val="20"/>
              </w:rPr>
              <w:t>Grade 3/4</w:t>
            </w:r>
          </w:p>
        </w:tc>
        <w:tc>
          <w:tcPr>
            <w:tcW w:w="992" w:type="dxa"/>
            <w:tcBorders>
              <w:top w:val="single" w:sz="4" w:space="0" w:color="auto"/>
              <w:bottom w:val="single" w:sz="4" w:space="0" w:color="auto"/>
              <w:right w:val="nil"/>
            </w:tcBorders>
          </w:tcPr>
          <w:p w14:paraId="65E8C28B" w14:textId="77777777" w:rsidR="00F75E7E" w:rsidRPr="003E2DA1" w:rsidRDefault="00F75E7E" w:rsidP="00F75E7E">
            <w:pPr>
              <w:pStyle w:val="EMEABodyText"/>
              <w:jc w:val="center"/>
              <w:rPr>
                <w:b/>
                <w:sz w:val="20"/>
                <w:szCs w:val="20"/>
              </w:rPr>
            </w:pPr>
            <w:r w:rsidRPr="003E2DA1">
              <w:rPr>
                <w:b/>
                <w:sz w:val="20"/>
                <w:szCs w:val="20"/>
              </w:rPr>
              <w:t>All Grades</w:t>
            </w:r>
          </w:p>
        </w:tc>
        <w:tc>
          <w:tcPr>
            <w:tcW w:w="1276" w:type="dxa"/>
            <w:tcBorders>
              <w:top w:val="single" w:sz="4" w:space="0" w:color="auto"/>
              <w:left w:val="nil"/>
              <w:bottom w:val="single" w:sz="4" w:space="0" w:color="auto"/>
            </w:tcBorders>
          </w:tcPr>
          <w:p w14:paraId="2D7C4DE0" w14:textId="77777777" w:rsidR="00F75E7E" w:rsidRPr="003E2DA1" w:rsidRDefault="00F75E7E" w:rsidP="00F75E7E">
            <w:pPr>
              <w:pStyle w:val="EMEABodyText"/>
              <w:jc w:val="center"/>
              <w:rPr>
                <w:b/>
                <w:sz w:val="20"/>
                <w:szCs w:val="20"/>
              </w:rPr>
            </w:pPr>
            <w:r w:rsidRPr="003E2DA1">
              <w:rPr>
                <w:b/>
                <w:sz w:val="20"/>
                <w:szCs w:val="20"/>
              </w:rPr>
              <w:t>Grade 3/4</w:t>
            </w:r>
          </w:p>
        </w:tc>
        <w:tc>
          <w:tcPr>
            <w:tcW w:w="979" w:type="dxa"/>
            <w:tcBorders>
              <w:top w:val="single" w:sz="4" w:space="0" w:color="auto"/>
              <w:bottom w:val="single" w:sz="4" w:space="0" w:color="auto"/>
              <w:right w:val="nil"/>
            </w:tcBorders>
          </w:tcPr>
          <w:p w14:paraId="14C45C20" w14:textId="77777777" w:rsidR="00F75E7E" w:rsidRPr="003E2DA1" w:rsidRDefault="00F75E7E" w:rsidP="00F75E7E">
            <w:pPr>
              <w:pStyle w:val="EMEABodyText"/>
              <w:jc w:val="center"/>
              <w:rPr>
                <w:b/>
                <w:sz w:val="20"/>
                <w:szCs w:val="20"/>
              </w:rPr>
            </w:pPr>
            <w:r w:rsidRPr="003E2DA1">
              <w:rPr>
                <w:b/>
                <w:sz w:val="20"/>
                <w:szCs w:val="20"/>
              </w:rPr>
              <w:t>All Grades</w:t>
            </w:r>
          </w:p>
        </w:tc>
        <w:tc>
          <w:tcPr>
            <w:tcW w:w="1210" w:type="dxa"/>
            <w:tcBorders>
              <w:top w:val="single" w:sz="4" w:space="0" w:color="auto"/>
              <w:left w:val="nil"/>
              <w:bottom w:val="single" w:sz="4" w:space="0" w:color="auto"/>
              <w:right w:val="nil"/>
            </w:tcBorders>
          </w:tcPr>
          <w:p w14:paraId="4C0EF19E" w14:textId="77777777" w:rsidR="00F75E7E" w:rsidRPr="003E2DA1" w:rsidRDefault="00F75E7E" w:rsidP="00F75E7E">
            <w:pPr>
              <w:pStyle w:val="EMEABodyText"/>
              <w:jc w:val="center"/>
              <w:rPr>
                <w:b/>
                <w:sz w:val="20"/>
                <w:szCs w:val="20"/>
              </w:rPr>
            </w:pPr>
            <w:r w:rsidRPr="003E2DA1">
              <w:rPr>
                <w:b/>
                <w:sz w:val="20"/>
                <w:szCs w:val="20"/>
              </w:rPr>
              <w:t>Grade 3/4</w:t>
            </w:r>
          </w:p>
        </w:tc>
      </w:tr>
      <w:tr w:rsidR="00F75E7E" w:rsidRPr="003E2DA1" w14:paraId="5A02E61A" w14:textId="77777777" w:rsidTr="00341A90">
        <w:tc>
          <w:tcPr>
            <w:tcW w:w="2518" w:type="dxa"/>
            <w:tcBorders>
              <w:top w:val="single" w:sz="4" w:space="0" w:color="auto"/>
              <w:left w:val="nil"/>
              <w:bottom w:val="single" w:sz="4" w:space="0" w:color="auto"/>
              <w:right w:val="nil"/>
            </w:tcBorders>
          </w:tcPr>
          <w:p w14:paraId="757152C6" w14:textId="77777777" w:rsidR="00F75E7E" w:rsidRPr="003E2DA1" w:rsidRDefault="00F75E7E" w:rsidP="00F75E7E">
            <w:pPr>
              <w:pStyle w:val="EMEABodyText"/>
              <w:jc w:val="both"/>
              <w:rPr>
                <w:b/>
                <w:sz w:val="20"/>
                <w:szCs w:val="20"/>
              </w:rPr>
            </w:pPr>
            <w:r w:rsidRPr="003E2DA1">
              <w:rPr>
                <w:b/>
                <w:sz w:val="20"/>
                <w:szCs w:val="20"/>
              </w:rPr>
              <w:t>Preferred Term</w:t>
            </w:r>
          </w:p>
        </w:tc>
        <w:tc>
          <w:tcPr>
            <w:tcW w:w="6725" w:type="dxa"/>
            <w:gridSpan w:val="6"/>
            <w:tcBorders>
              <w:top w:val="single" w:sz="4" w:space="0" w:color="auto"/>
              <w:left w:val="nil"/>
              <w:bottom w:val="single" w:sz="4" w:space="0" w:color="auto"/>
              <w:right w:val="nil"/>
            </w:tcBorders>
          </w:tcPr>
          <w:p w14:paraId="178164C0" w14:textId="77777777" w:rsidR="00F75E7E" w:rsidRPr="003E2DA1" w:rsidRDefault="00F75E7E" w:rsidP="00F75E7E">
            <w:pPr>
              <w:pStyle w:val="EMEABodyText"/>
              <w:jc w:val="center"/>
              <w:rPr>
                <w:sz w:val="20"/>
                <w:szCs w:val="20"/>
              </w:rPr>
            </w:pPr>
            <w:r w:rsidRPr="003E2DA1">
              <w:rPr>
                <w:sz w:val="20"/>
                <w:szCs w:val="20"/>
              </w:rPr>
              <w:t>Percent (%) of Patients</w:t>
            </w:r>
          </w:p>
        </w:tc>
      </w:tr>
      <w:tr w:rsidR="00F75E7E" w:rsidRPr="003E2DA1" w14:paraId="61E71AFB" w14:textId="77777777" w:rsidTr="00341A90">
        <w:trPr>
          <w:trHeight w:val="329"/>
        </w:trPr>
        <w:tc>
          <w:tcPr>
            <w:tcW w:w="2518" w:type="dxa"/>
            <w:tcBorders>
              <w:top w:val="single" w:sz="4" w:space="0" w:color="auto"/>
              <w:left w:val="nil"/>
              <w:bottom w:val="nil"/>
              <w:right w:val="nil"/>
            </w:tcBorders>
          </w:tcPr>
          <w:p w14:paraId="3C4250CE" w14:textId="77777777" w:rsidR="00F75E7E" w:rsidRPr="003E2DA1" w:rsidRDefault="00F75E7E" w:rsidP="00341A90">
            <w:pPr>
              <w:pStyle w:val="EMEABodyText"/>
              <w:spacing w:before="4" w:after="4"/>
              <w:jc w:val="both"/>
              <w:rPr>
                <w:sz w:val="20"/>
                <w:szCs w:val="20"/>
              </w:rPr>
            </w:pPr>
            <w:r w:rsidRPr="003E2DA1">
              <w:rPr>
                <w:sz w:val="20"/>
                <w:szCs w:val="20"/>
              </w:rPr>
              <w:t>Diarrhoea</w:t>
            </w:r>
          </w:p>
        </w:tc>
        <w:tc>
          <w:tcPr>
            <w:tcW w:w="992" w:type="dxa"/>
            <w:tcBorders>
              <w:top w:val="single" w:sz="4" w:space="0" w:color="auto"/>
              <w:left w:val="nil"/>
              <w:bottom w:val="nil"/>
              <w:right w:val="nil"/>
            </w:tcBorders>
          </w:tcPr>
          <w:p w14:paraId="5722D51D" w14:textId="77777777" w:rsidR="00F75E7E" w:rsidRPr="003E2DA1" w:rsidRDefault="00F75E7E" w:rsidP="00341A90">
            <w:pPr>
              <w:pStyle w:val="EMEABodyText"/>
              <w:spacing w:before="4" w:after="4"/>
              <w:jc w:val="center"/>
              <w:rPr>
                <w:sz w:val="20"/>
                <w:szCs w:val="20"/>
              </w:rPr>
            </w:pPr>
            <w:r w:rsidRPr="003E2DA1">
              <w:rPr>
                <w:sz w:val="20"/>
                <w:szCs w:val="20"/>
              </w:rPr>
              <w:t>21</w:t>
            </w:r>
          </w:p>
        </w:tc>
        <w:tc>
          <w:tcPr>
            <w:tcW w:w="1276" w:type="dxa"/>
            <w:tcBorders>
              <w:top w:val="single" w:sz="4" w:space="0" w:color="auto"/>
              <w:left w:val="nil"/>
              <w:bottom w:val="nil"/>
              <w:right w:val="nil"/>
            </w:tcBorders>
          </w:tcPr>
          <w:p w14:paraId="6E56910D" w14:textId="77777777" w:rsidR="00F75E7E" w:rsidRPr="003E2DA1" w:rsidRDefault="00F75E7E" w:rsidP="00341A90">
            <w:pPr>
              <w:pStyle w:val="EMEABodyText"/>
              <w:spacing w:before="4" w:after="4"/>
              <w:jc w:val="center"/>
              <w:rPr>
                <w:sz w:val="20"/>
                <w:szCs w:val="20"/>
              </w:rPr>
            </w:pPr>
            <w:r w:rsidRPr="003E2DA1">
              <w:rPr>
                <w:sz w:val="20"/>
                <w:szCs w:val="20"/>
              </w:rPr>
              <w:t>2</w:t>
            </w:r>
          </w:p>
        </w:tc>
        <w:tc>
          <w:tcPr>
            <w:tcW w:w="992" w:type="dxa"/>
            <w:tcBorders>
              <w:top w:val="single" w:sz="4" w:space="0" w:color="auto"/>
              <w:left w:val="nil"/>
              <w:bottom w:val="nil"/>
              <w:right w:val="nil"/>
            </w:tcBorders>
          </w:tcPr>
          <w:p w14:paraId="0A077F8F" w14:textId="77777777" w:rsidR="00F75E7E" w:rsidRPr="003E2DA1" w:rsidRDefault="00F75E7E" w:rsidP="00341A90">
            <w:pPr>
              <w:pStyle w:val="EMEABodyText"/>
              <w:spacing w:before="4" w:after="4"/>
              <w:jc w:val="center"/>
              <w:rPr>
                <w:sz w:val="20"/>
                <w:szCs w:val="20"/>
              </w:rPr>
            </w:pPr>
            <w:r w:rsidRPr="003E2DA1">
              <w:rPr>
                <w:sz w:val="20"/>
                <w:szCs w:val="20"/>
              </w:rPr>
              <w:t>28</w:t>
            </w:r>
          </w:p>
        </w:tc>
        <w:tc>
          <w:tcPr>
            <w:tcW w:w="1276" w:type="dxa"/>
            <w:tcBorders>
              <w:top w:val="single" w:sz="4" w:space="0" w:color="auto"/>
              <w:left w:val="nil"/>
              <w:bottom w:val="nil"/>
              <w:right w:val="nil"/>
            </w:tcBorders>
          </w:tcPr>
          <w:p w14:paraId="5CB550B6" w14:textId="77777777" w:rsidR="00F75E7E" w:rsidRPr="003E2DA1" w:rsidRDefault="00F75E7E" w:rsidP="00341A90">
            <w:pPr>
              <w:pStyle w:val="EMEABodyText"/>
              <w:spacing w:before="4" w:after="4"/>
              <w:jc w:val="center"/>
              <w:rPr>
                <w:sz w:val="20"/>
                <w:szCs w:val="20"/>
              </w:rPr>
            </w:pPr>
            <w:r w:rsidRPr="003E2DA1">
              <w:rPr>
                <w:sz w:val="20"/>
                <w:szCs w:val="20"/>
              </w:rPr>
              <w:t>2</w:t>
            </w:r>
          </w:p>
        </w:tc>
        <w:tc>
          <w:tcPr>
            <w:tcW w:w="979" w:type="dxa"/>
            <w:tcBorders>
              <w:top w:val="single" w:sz="4" w:space="0" w:color="auto"/>
              <w:left w:val="nil"/>
              <w:bottom w:val="nil"/>
              <w:right w:val="nil"/>
            </w:tcBorders>
          </w:tcPr>
          <w:p w14:paraId="32E64610" w14:textId="77777777" w:rsidR="00F75E7E" w:rsidRPr="003E2DA1" w:rsidRDefault="00F75E7E" w:rsidP="00341A90">
            <w:pPr>
              <w:pStyle w:val="EMEABodyText"/>
              <w:spacing w:before="4" w:after="4"/>
              <w:jc w:val="center"/>
              <w:rPr>
                <w:sz w:val="20"/>
                <w:szCs w:val="20"/>
              </w:rPr>
            </w:pPr>
            <w:r w:rsidRPr="003E2DA1">
              <w:rPr>
                <w:sz w:val="20"/>
                <w:szCs w:val="20"/>
              </w:rPr>
              <w:t>28</w:t>
            </w:r>
          </w:p>
        </w:tc>
        <w:tc>
          <w:tcPr>
            <w:tcW w:w="1210" w:type="dxa"/>
            <w:tcBorders>
              <w:top w:val="single" w:sz="4" w:space="0" w:color="auto"/>
              <w:left w:val="nil"/>
              <w:bottom w:val="nil"/>
              <w:right w:val="nil"/>
            </w:tcBorders>
          </w:tcPr>
          <w:p w14:paraId="471A9586" w14:textId="77777777" w:rsidR="00F75E7E" w:rsidRPr="003E2DA1" w:rsidRDefault="00F75E7E" w:rsidP="00341A90">
            <w:pPr>
              <w:pStyle w:val="EMEABodyText"/>
              <w:spacing w:before="4" w:after="4"/>
              <w:jc w:val="center"/>
              <w:rPr>
                <w:sz w:val="20"/>
                <w:szCs w:val="20"/>
              </w:rPr>
            </w:pPr>
            <w:r w:rsidRPr="003E2DA1">
              <w:rPr>
                <w:sz w:val="20"/>
                <w:szCs w:val="20"/>
              </w:rPr>
              <w:t>2</w:t>
            </w:r>
          </w:p>
        </w:tc>
      </w:tr>
      <w:tr w:rsidR="00F75E7E" w:rsidRPr="003E2DA1" w14:paraId="16029BF4" w14:textId="77777777" w:rsidTr="00341A90">
        <w:trPr>
          <w:trHeight w:val="329"/>
        </w:trPr>
        <w:tc>
          <w:tcPr>
            <w:tcW w:w="2518" w:type="dxa"/>
            <w:tcBorders>
              <w:top w:val="nil"/>
              <w:left w:val="nil"/>
              <w:bottom w:val="nil"/>
              <w:right w:val="nil"/>
            </w:tcBorders>
          </w:tcPr>
          <w:p w14:paraId="7A02FF33" w14:textId="77777777" w:rsidR="00F75E7E" w:rsidRPr="003E2DA1" w:rsidRDefault="00F75E7E" w:rsidP="00341A90">
            <w:pPr>
              <w:pStyle w:val="EMEABodyText"/>
              <w:spacing w:before="4" w:after="4"/>
              <w:jc w:val="both"/>
              <w:rPr>
                <w:sz w:val="20"/>
                <w:szCs w:val="20"/>
              </w:rPr>
            </w:pPr>
            <w:r w:rsidRPr="003E2DA1">
              <w:rPr>
                <w:sz w:val="20"/>
                <w:szCs w:val="20"/>
              </w:rPr>
              <w:t>Fluid Retention</w:t>
            </w:r>
            <w:r w:rsidRPr="003E2DA1">
              <w:rPr>
                <w:sz w:val="20"/>
                <w:szCs w:val="20"/>
                <w:vertAlign w:val="superscript"/>
              </w:rPr>
              <w:t>b</w:t>
            </w:r>
          </w:p>
        </w:tc>
        <w:tc>
          <w:tcPr>
            <w:tcW w:w="992" w:type="dxa"/>
            <w:tcBorders>
              <w:top w:val="nil"/>
              <w:left w:val="nil"/>
              <w:bottom w:val="nil"/>
              <w:right w:val="nil"/>
            </w:tcBorders>
          </w:tcPr>
          <w:p w14:paraId="60053692" w14:textId="77777777" w:rsidR="00F75E7E" w:rsidRPr="003E2DA1" w:rsidRDefault="00F75E7E" w:rsidP="00341A90">
            <w:pPr>
              <w:pStyle w:val="EMEABodyText"/>
              <w:spacing w:before="4" w:after="4"/>
              <w:jc w:val="center"/>
              <w:rPr>
                <w:sz w:val="20"/>
                <w:szCs w:val="20"/>
              </w:rPr>
            </w:pPr>
            <w:r w:rsidRPr="003E2DA1">
              <w:rPr>
                <w:sz w:val="20"/>
                <w:szCs w:val="20"/>
              </w:rPr>
              <w:t>34</w:t>
            </w:r>
          </w:p>
        </w:tc>
        <w:tc>
          <w:tcPr>
            <w:tcW w:w="1276" w:type="dxa"/>
            <w:tcBorders>
              <w:top w:val="nil"/>
              <w:left w:val="nil"/>
              <w:bottom w:val="nil"/>
              <w:right w:val="nil"/>
            </w:tcBorders>
          </w:tcPr>
          <w:p w14:paraId="430B605F" w14:textId="77777777" w:rsidR="00F75E7E" w:rsidRPr="003E2DA1" w:rsidRDefault="00F75E7E" w:rsidP="00341A90">
            <w:pPr>
              <w:pStyle w:val="EMEABodyText"/>
              <w:spacing w:before="4" w:after="4"/>
              <w:jc w:val="center"/>
              <w:rPr>
                <w:sz w:val="20"/>
                <w:szCs w:val="20"/>
              </w:rPr>
            </w:pPr>
            <w:r w:rsidRPr="003E2DA1">
              <w:rPr>
                <w:sz w:val="20"/>
                <w:szCs w:val="20"/>
              </w:rPr>
              <w:t>4</w:t>
            </w:r>
          </w:p>
        </w:tc>
        <w:tc>
          <w:tcPr>
            <w:tcW w:w="992" w:type="dxa"/>
            <w:tcBorders>
              <w:top w:val="nil"/>
              <w:left w:val="nil"/>
              <w:bottom w:val="nil"/>
              <w:right w:val="nil"/>
            </w:tcBorders>
          </w:tcPr>
          <w:p w14:paraId="267CF47B" w14:textId="77777777" w:rsidR="00F75E7E" w:rsidRPr="003E2DA1" w:rsidRDefault="00F75E7E" w:rsidP="00341A90">
            <w:pPr>
              <w:pStyle w:val="EMEABodyText"/>
              <w:spacing w:before="4" w:after="4"/>
              <w:jc w:val="center"/>
              <w:rPr>
                <w:sz w:val="20"/>
                <w:szCs w:val="20"/>
              </w:rPr>
            </w:pPr>
            <w:r w:rsidRPr="003E2DA1">
              <w:rPr>
                <w:sz w:val="20"/>
                <w:szCs w:val="20"/>
              </w:rPr>
              <w:t>42</w:t>
            </w:r>
          </w:p>
        </w:tc>
        <w:tc>
          <w:tcPr>
            <w:tcW w:w="1276" w:type="dxa"/>
            <w:tcBorders>
              <w:top w:val="nil"/>
              <w:left w:val="nil"/>
              <w:bottom w:val="nil"/>
              <w:right w:val="nil"/>
            </w:tcBorders>
          </w:tcPr>
          <w:p w14:paraId="22BBCF9A" w14:textId="77777777" w:rsidR="00F75E7E" w:rsidRPr="003E2DA1" w:rsidRDefault="00F75E7E" w:rsidP="00341A90">
            <w:pPr>
              <w:pStyle w:val="EMEABodyText"/>
              <w:spacing w:before="4" w:after="4"/>
              <w:jc w:val="center"/>
              <w:rPr>
                <w:sz w:val="20"/>
                <w:szCs w:val="20"/>
              </w:rPr>
            </w:pPr>
            <w:r w:rsidRPr="003E2DA1">
              <w:rPr>
                <w:sz w:val="20"/>
                <w:szCs w:val="20"/>
              </w:rPr>
              <w:t>6</w:t>
            </w:r>
          </w:p>
        </w:tc>
        <w:tc>
          <w:tcPr>
            <w:tcW w:w="979" w:type="dxa"/>
            <w:tcBorders>
              <w:top w:val="nil"/>
              <w:left w:val="nil"/>
              <w:bottom w:val="nil"/>
              <w:right w:val="nil"/>
            </w:tcBorders>
          </w:tcPr>
          <w:p w14:paraId="1A181446" w14:textId="77777777" w:rsidR="00F75E7E" w:rsidRPr="003E2DA1" w:rsidRDefault="00F75E7E" w:rsidP="00341A90">
            <w:pPr>
              <w:pStyle w:val="EMEABodyText"/>
              <w:spacing w:before="4" w:after="4"/>
              <w:jc w:val="center"/>
              <w:rPr>
                <w:sz w:val="20"/>
                <w:szCs w:val="20"/>
              </w:rPr>
            </w:pPr>
            <w:r w:rsidRPr="003E2DA1">
              <w:rPr>
                <w:sz w:val="20"/>
                <w:szCs w:val="20"/>
              </w:rPr>
              <w:t>48</w:t>
            </w:r>
          </w:p>
        </w:tc>
        <w:tc>
          <w:tcPr>
            <w:tcW w:w="1210" w:type="dxa"/>
            <w:tcBorders>
              <w:top w:val="nil"/>
              <w:left w:val="nil"/>
              <w:bottom w:val="nil"/>
              <w:right w:val="nil"/>
            </w:tcBorders>
          </w:tcPr>
          <w:p w14:paraId="28CE864A" w14:textId="77777777" w:rsidR="00F75E7E" w:rsidRPr="003E2DA1" w:rsidRDefault="00F75E7E" w:rsidP="00341A90">
            <w:pPr>
              <w:pStyle w:val="EMEABodyText"/>
              <w:spacing w:before="4" w:after="4"/>
              <w:jc w:val="center"/>
              <w:rPr>
                <w:sz w:val="20"/>
                <w:szCs w:val="20"/>
              </w:rPr>
            </w:pPr>
            <w:r w:rsidRPr="003E2DA1">
              <w:rPr>
                <w:sz w:val="20"/>
                <w:szCs w:val="20"/>
              </w:rPr>
              <w:t>7</w:t>
            </w:r>
          </w:p>
        </w:tc>
      </w:tr>
      <w:tr w:rsidR="00F75E7E" w:rsidRPr="003E2DA1" w14:paraId="0B807841" w14:textId="77777777" w:rsidTr="00341A90">
        <w:trPr>
          <w:trHeight w:val="329"/>
        </w:trPr>
        <w:tc>
          <w:tcPr>
            <w:tcW w:w="2518" w:type="dxa"/>
            <w:tcBorders>
              <w:top w:val="nil"/>
              <w:left w:val="nil"/>
              <w:bottom w:val="nil"/>
              <w:right w:val="nil"/>
            </w:tcBorders>
          </w:tcPr>
          <w:p w14:paraId="7D2595A9" w14:textId="77777777" w:rsidR="00F75E7E" w:rsidRPr="003E2DA1" w:rsidRDefault="00F75E7E" w:rsidP="00341A90">
            <w:pPr>
              <w:pStyle w:val="EMEABodyText"/>
              <w:tabs>
                <w:tab w:val="left" w:pos="315"/>
              </w:tabs>
              <w:spacing w:before="4" w:after="4"/>
              <w:jc w:val="both"/>
              <w:rPr>
                <w:sz w:val="20"/>
                <w:szCs w:val="20"/>
              </w:rPr>
            </w:pPr>
            <w:r w:rsidRPr="003E2DA1">
              <w:rPr>
                <w:sz w:val="20"/>
                <w:szCs w:val="20"/>
              </w:rPr>
              <w:tab/>
              <w:t>Superficial oedema</w:t>
            </w:r>
          </w:p>
        </w:tc>
        <w:tc>
          <w:tcPr>
            <w:tcW w:w="992" w:type="dxa"/>
            <w:tcBorders>
              <w:top w:val="nil"/>
              <w:left w:val="nil"/>
              <w:bottom w:val="nil"/>
              <w:right w:val="nil"/>
            </w:tcBorders>
          </w:tcPr>
          <w:p w14:paraId="25EB732D" w14:textId="77777777" w:rsidR="00F75E7E" w:rsidRPr="003E2DA1" w:rsidRDefault="00F75E7E" w:rsidP="00341A90">
            <w:pPr>
              <w:pStyle w:val="EMEABodyText"/>
              <w:spacing w:before="4" w:after="4"/>
              <w:jc w:val="center"/>
              <w:rPr>
                <w:sz w:val="20"/>
                <w:szCs w:val="20"/>
              </w:rPr>
            </w:pPr>
            <w:r w:rsidRPr="003E2DA1">
              <w:rPr>
                <w:sz w:val="20"/>
                <w:szCs w:val="20"/>
              </w:rPr>
              <w:t>18</w:t>
            </w:r>
          </w:p>
        </w:tc>
        <w:tc>
          <w:tcPr>
            <w:tcW w:w="1276" w:type="dxa"/>
            <w:tcBorders>
              <w:top w:val="nil"/>
              <w:left w:val="nil"/>
              <w:bottom w:val="nil"/>
              <w:right w:val="nil"/>
            </w:tcBorders>
          </w:tcPr>
          <w:p w14:paraId="54AE45B6" w14:textId="77777777" w:rsidR="00F75E7E" w:rsidRPr="003E2DA1" w:rsidRDefault="00F75E7E" w:rsidP="00341A90">
            <w:pPr>
              <w:pStyle w:val="EMEABodyText"/>
              <w:spacing w:before="4" w:after="4"/>
              <w:jc w:val="center"/>
              <w:rPr>
                <w:sz w:val="20"/>
                <w:szCs w:val="20"/>
              </w:rPr>
            </w:pPr>
            <w:r w:rsidRPr="003E2DA1">
              <w:rPr>
                <w:sz w:val="20"/>
                <w:szCs w:val="20"/>
              </w:rPr>
              <w:t>0</w:t>
            </w:r>
          </w:p>
        </w:tc>
        <w:tc>
          <w:tcPr>
            <w:tcW w:w="992" w:type="dxa"/>
            <w:tcBorders>
              <w:top w:val="nil"/>
              <w:left w:val="nil"/>
              <w:bottom w:val="nil"/>
              <w:right w:val="nil"/>
            </w:tcBorders>
          </w:tcPr>
          <w:p w14:paraId="3CB53215" w14:textId="77777777" w:rsidR="00F75E7E" w:rsidRPr="003E2DA1" w:rsidRDefault="00F75E7E" w:rsidP="00341A90">
            <w:pPr>
              <w:pStyle w:val="EMEABodyText"/>
              <w:spacing w:before="4" w:after="4"/>
              <w:jc w:val="center"/>
              <w:rPr>
                <w:sz w:val="20"/>
                <w:szCs w:val="20"/>
              </w:rPr>
            </w:pPr>
            <w:r w:rsidRPr="003E2DA1">
              <w:rPr>
                <w:sz w:val="20"/>
                <w:szCs w:val="20"/>
              </w:rPr>
              <w:t>21</w:t>
            </w:r>
          </w:p>
        </w:tc>
        <w:tc>
          <w:tcPr>
            <w:tcW w:w="1276" w:type="dxa"/>
            <w:tcBorders>
              <w:top w:val="nil"/>
              <w:left w:val="nil"/>
              <w:bottom w:val="nil"/>
              <w:right w:val="nil"/>
            </w:tcBorders>
          </w:tcPr>
          <w:p w14:paraId="0E4F16BD" w14:textId="77777777" w:rsidR="00F75E7E" w:rsidRPr="003E2DA1" w:rsidRDefault="00F75E7E" w:rsidP="00341A90">
            <w:pPr>
              <w:pStyle w:val="EMEABodyText"/>
              <w:spacing w:before="4" w:after="4"/>
              <w:jc w:val="center"/>
              <w:rPr>
                <w:sz w:val="20"/>
                <w:szCs w:val="20"/>
              </w:rPr>
            </w:pPr>
            <w:r w:rsidRPr="003E2DA1">
              <w:rPr>
                <w:sz w:val="20"/>
                <w:szCs w:val="20"/>
              </w:rPr>
              <w:t>0</w:t>
            </w:r>
          </w:p>
        </w:tc>
        <w:tc>
          <w:tcPr>
            <w:tcW w:w="979" w:type="dxa"/>
            <w:tcBorders>
              <w:top w:val="nil"/>
              <w:left w:val="nil"/>
              <w:bottom w:val="nil"/>
              <w:right w:val="nil"/>
            </w:tcBorders>
          </w:tcPr>
          <w:p w14:paraId="0B28129A" w14:textId="77777777" w:rsidR="00F75E7E" w:rsidRPr="003E2DA1" w:rsidRDefault="00F75E7E" w:rsidP="00341A90">
            <w:pPr>
              <w:pStyle w:val="EMEABodyText"/>
              <w:spacing w:before="4" w:after="4"/>
              <w:jc w:val="center"/>
              <w:rPr>
                <w:sz w:val="20"/>
                <w:szCs w:val="20"/>
              </w:rPr>
            </w:pPr>
            <w:r w:rsidRPr="003E2DA1">
              <w:rPr>
                <w:sz w:val="20"/>
                <w:szCs w:val="20"/>
              </w:rPr>
              <w:t>22</w:t>
            </w:r>
          </w:p>
        </w:tc>
        <w:tc>
          <w:tcPr>
            <w:tcW w:w="1210" w:type="dxa"/>
            <w:tcBorders>
              <w:top w:val="nil"/>
              <w:left w:val="nil"/>
              <w:bottom w:val="nil"/>
              <w:right w:val="nil"/>
            </w:tcBorders>
          </w:tcPr>
          <w:p w14:paraId="1B5E4B6E" w14:textId="77777777" w:rsidR="00F75E7E" w:rsidRPr="003E2DA1" w:rsidRDefault="00F75E7E" w:rsidP="00341A90">
            <w:pPr>
              <w:pStyle w:val="EMEABodyText"/>
              <w:spacing w:before="4" w:after="4"/>
              <w:jc w:val="center"/>
              <w:rPr>
                <w:sz w:val="20"/>
                <w:szCs w:val="20"/>
              </w:rPr>
            </w:pPr>
            <w:r w:rsidRPr="003E2DA1">
              <w:rPr>
                <w:sz w:val="20"/>
                <w:szCs w:val="20"/>
              </w:rPr>
              <w:t>0</w:t>
            </w:r>
          </w:p>
        </w:tc>
      </w:tr>
      <w:tr w:rsidR="00F75E7E" w:rsidRPr="003E2DA1" w14:paraId="73785060" w14:textId="77777777" w:rsidTr="00341A90">
        <w:trPr>
          <w:trHeight w:val="329"/>
        </w:trPr>
        <w:tc>
          <w:tcPr>
            <w:tcW w:w="2518" w:type="dxa"/>
            <w:tcBorders>
              <w:top w:val="nil"/>
              <w:left w:val="nil"/>
              <w:bottom w:val="nil"/>
              <w:right w:val="nil"/>
            </w:tcBorders>
          </w:tcPr>
          <w:p w14:paraId="5A921F6B" w14:textId="77777777" w:rsidR="00F75E7E" w:rsidRPr="003E2DA1" w:rsidRDefault="00F75E7E" w:rsidP="00341A90">
            <w:pPr>
              <w:pStyle w:val="EMEABodyText"/>
              <w:tabs>
                <w:tab w:val="left" w:pos="315"/>
              </w:tabs>
              <w:spacing w:before="4" w:after="4"/>
              <w:jc w:val="both"/>
              <w:rPr>
                <w:sz w:val="20"/>
                <w:szCs w:val="20"/>
              </w:rPr>
            </w:pPr>
            <w:r w:rsidRPr="003E2DA1">
              <w:rPr>
                <w:sz w:val="20"/>
                <w:szCs w:val="20"/>
              </w:rPr>
              <w:tab/>
              <w:t>Pleural effusion</w:t>
            </w:r>
          </w:p>
        </w:tc>
        <w:tc>
          <w:tcPr>
            <w:tcW w:w="992" w:type="dxa"/>
            <w:tcBorders>
              <w:top w:val="nil"/>
              <w:left w:val="nil"/>
              <w:bottom w:val="nil"/>
              <w:right w:val="nil"/>
            </w:tcBorders>
          </w:tcPr>
          <w:p w14:paraId="32CC227D" w14:textId="77777777" w:rsidR="00F75E7E" w:rsidRPr="003E2DA1" w:rsidRDefault="00F75E7E" w:rsidP="00341A90">
            <w:pPr>
              <w:pStyle w:val="EMEABodyText"/>
              <w:spacing w:before="4" w:after="4"/>
              <w:jc w:val="center"/>
              <w:rPr>
                <w:sz w:val="20"/>
                <w:szCs w:val="20"/>
              </w:rPr>
            </w:pPr>
            <w:r w:rsidRPr="003E2DA1">
              <w:rPr>
                <w:sz w:val="20"/>
                <w:szCs w:val="20"/>
              </w:rPr>
              <w:t>18</w:t>
            </w:r>
          </w:p>
        </w:tc>
        <w:tc>
          <w:tcPr>
            <w:tcW w:w="1276" w:type="dxa"/>
            <w:tcBorders>
              <w:top w:val="nil"/>
              <w:left w:val="nil"/>
              <w:bottom w:val="nil"/>
              <w:right w:val="nil"/>
            </w:tcBorders>
          </w:tcPr>
          <w:p w14:paraId="5C53EE59" w14:textId="77777777" w:rsidR="00F75E7E" w:rsidRPr="003E2DA1" w:rsidRDefault="00F75E7E" w:rsidP="00341A90">
            <w:pPr>
              <w:pStyle w:val="EMEABodyText"/>
              <w:spacing w:before="4" w:after="4"/>
              <w:jc w:val="center"/>
              <w:rPr>
                <w:sz w:val="20"/>
                <w:szCs w:val="20"/>
              </w:rPr>
            </w:pPr>
            <w:r w:rsidRPr="003E2DA1">
              <w:rPr>
                <w:sz w:val="20"/>
                <w:szCs w:val="20"/>
              </w:rPr>
              <w:t>2</w:t>
            </w:r>
          </w:p>
        </w:tc>
        <w:tc>
          <w:tcPr>
            <w:tcW w:w="992" w:type="dxa"/>
            <w:tcBorders>
              <w:top w:val="nil"/>
              <w:left w:val="nil"/>
              <w:bottom w:val="nil"/>
              <w:right w:val="nil"/>
            </w:tcBorders>
          </w:tcPr>
          <w:p w14:paraId="1AEBBD7A" w14:textId="77777777" w:rsidR="00F75E7E" w:rsidRPr="003E2DA1" w:rsidRDefault="00F75E7E" w:rsidP="00341A90">
            <w:pPr>
              <w:pStyle w:val="EMEABodyText"/>
              <w:spacing w:before="4" w:after="4"/>
              <w:jc w:val="center"/>
              <w:rPr>
                <w:sz w:val="20"/>
                <w:szCs w:val="20"/>
              </w:rPr>
            </w:pPr>
            <w:r w:rsidRPr="003E2DA1">
              <w:rPr>
                <w:sz w:val="20"/>
                <w:szCs w:val="20"/>
              </w:rPr>
              <w:t>24</w:t>
            </w:r>
          </w:p>
        </w:tc>
        <w:tc>
          <w:tcPr>
            <w:tcW w:w="1276" w:type="dxa"/>
            <w:tcBorders>
              <w:top w:val="nil"/>
              <w:left w:val="nil"/>
              <w:bottom w:val="nil"/>
              <w:right w:val="nil"/>
            </w:tcBorders>
          </w:tcPr>
          <w:p w14:paraId="60D0AF6F" w14:textId="77777777" w:rsidR="00F75E7E" w:rsidRPr="003E2DA1" w:rsidRDefault="00F75E7E" w:rsidP="00341A90">
            <w:pPr>
              <w:pStyle w:val="EMEABodyText"/>
              <w:spacing w:before="4" w:after="4"/>
              <w:jc w:val="center"/>
              <w:rPr>
                <w:sz w:val="20"/>
                <w:szCs w:val="20"/>
              </w:rPr>
            </w:pPr>
            <w:r w:rsidRPr="003E2DA1">
              <w:rPr>
                <w:sz w:val="20"/>
                <w:szCs w:val="20"/>
              </w:rPr>
              <w:t>4</w:t>
            </w:r>
          </w:p>
        </w:tc>
        <w:tc>
          <w:tcPr>
            <w:tcW w:w="979" w:type="dxa"/>
            <w:tcBorders>
              <w:top w:val="nil"/>
              <w:left w:val="nil"/>
              <w:bottom w:val="nil"/>
              <w:right w:val="nil"/>
            </w:tcBorders>
          </w:tcPr>
          <w:p w14:paraId="40E7256B" w14:textId="77777777" w:rsidR="00F75E7E" w:rsidRPr="003E2DA1" w:rsidRDefault="00F75E7E" w:rsidP="00341A90">
            <w:pPr>
              <w:pStyle w:val="EMEABodyText"/>
              <w:spacing w:before="4" w:after="4"/>
              <w:jc w:val="center"/>
              <w:rPr>
                <w:sz w:val="20"/>
                <w:szCs w:val="20"/>
              </w:rPr>
            </w:pPr>
            <w:r w:rsidRPr="003E2DA1">
              <w:rPr>
                <w:sz w:val="20"/>
                <w:szCs w:val="20"/>
              </w:rPr>
              <w:t>28</w:t>
            </w:r>
          </w:p>
        </w:tc>
        <w:tc>
          <w:tcPr>
            <w:tcW w:w="1210" w:type="dxa"/>
            <w:tcBorders>
              <w:top w:val="nil"/>
              <w:left w:val="nil"/>
              <w:bottom w:val="nil"/>
              <w:right w:val="nil"/>
            </w:tcBorders>
          </w:tcPr>
          <w:p w14:paraId="7E934984" w14:textId="77777777" w:rsidR="00F75E7E" w:rsidRPr="003E2DA1" w:rsidRDefault="00F75E7E" w:rsidP="00341A90">
            <w:pPr>
              <w:pStyle w:val="EMEABodyText"/>
              <w:spacing w:before="4" w:after="4"/>
              <w:jc w:val="center"/>
              <w:rPr>
                <w:sz w:val="20"/>
                <w:szCs w:val="20"/>
              </w:rPr>
            </w:pPr>
            <w:r w:rsidRPr="003E2DA1">
              <w:rPr>
                <w:sz w:val="20"/>
                <w:szCs w:val="20"/>
              </w:rPr>
              <w:t>5</w:t>
            </w:r>
          </w:p>
        </w:tc>
      </w:tr>
      <w:tr w:rsidR="00F75E7E" w:rsidRPr="003E2DA1" w14:paraId="64D00E2A" w14:textId="77777777" w:rsidTr="00341A90">
        <w:trPr>
          <w:trHeight w:val="329"/>
        </w:trPr>
        <w:tc>
          <w:tcPr>
            <w:tcW w:w="2518" w:type="dxa"/>
            <w:tcBorders>
              <w:top w:val="nil"/>
              <w:left w:val="nil"/>
              <w:bottom w:val="nil"/>
              <w:right w:val="nil"/>
            </w:tcBorders>
          </w:tcPr>
          <w:p w14:paraId="69B063CA" w14:textId="77777777" w:rsidR="00F75E7E" w:rsidRPr="003E2DA1" w:rsidRDefault="00F75E7E" w:rsidP="00341A90">
            <w:pPr>
              <w:pStyle w:val="EMEABodyText"/>
              <w:tabs>
                <w:tab w:val="left" w:pos="284"/>
              </w:tabs>
              <w:spacing w:before="4" w:after="4"/>
              <w:jc w:val="both"/>
              <w:rPr>
                <w:sz w:val="20"/>
                <w:szCs w:val="20"/>
              </w:rPr>
            </w:pPr>
            <w:r w:rsidRPr="003E2DA1">
              <w:rPr>
                <w:sz w:val="20"/>
                <w:szCs w:val="20"/>
              </w:rPr>
              <w:tab/>
              <w:t>Generalised oedema</w:t>
            </w:r>
          </w:p>
        </w:tc>
        <w:tc>
          <w:tcPr>
            <w:tcW w:w="992" w:type="dxa"/>
            <w:tcBorders>
              <w:top w:val="nil"/>
              <w:left w:val="nil"/>
              <w:bottom w:val="nil"/>
              <w:right w:val="nil"/>
            </w:tcBorders>
          </w:tcPr>
          <w:p w14:paraId="2EF13265" w14:textId="77777777" w:rsidR="00F75E7E" w:rsidRPr="003E2DA1" w:rsidRDefault="00F75E7E" w:rsidP="00341A90">
            <w:pPr>
              <w:pStyle w:val="EMEABodyText"/>
              <w:spacing w:before="4" w:after="4"/>
              <w:jc w:val="center"/>
              <w:rPr>
                <w:sz w:val="20"/>
                <w:szCs w:val="20"/>
              </w:rPr>
            </w:pPr>
            <w:r w:rsidRPr="003E2DA1">
              <w:rPr>
                <w:sz w:val="20"/>
                <w:szCs w:val="20"/>
              </w:rPr>
              <w:t>3</w:t>
            </w:r>
          </w:p>
        </w:tc>
        <w:tc>
          <w:tcPr>
            <w:tcW w:w="1276" w:type="dxa"/>
            <w:tcBorders>
              <w:top w:val="nil"/>
              <w:left w:val="nil"/>
              <w:bottom w:val="nil"/>
              <w:right w:val="nil"/>
            </w:tcBorders>
          </w:tcPr>
          <w:p w14:paraId="762729C0" w14:textId="77777777" w:rsidR="00F75E7E" w:rsidRPr="003E2DA1" w:rsidRDefault="00F75E7E" w:rsidP="00341A90">
            <w:pPr>
              <w:pStyle w:val="EMEABodyText"/>
              <w:spacing w:before="4" w:after="4"/>
              <w:jc w:val="center"/>
              <w:rPr>
                <w:sz w:val="20"/>
                <w:szCs w:val="20"/>
              </w:rPr>
            </w:pPr>
            <w:r w:rsidRPr="003E2DA1">
              <w:rPr>
                <w:sz w:val="20"/>
                <w:szCs w:val="20"/>
              </w:rPr>
              <w:t>0</w:t>
            </w:r>
          </w:p>
        </w:tc>
        <w:tc>
          <w:tcPr>
            <w:tcW w:w="992" w:type="dxa"/>
            <w:tcBorders>
              <w:top w:val="nil"/>
              <w:left w:val="nil"/>
              <w:bottom w:val="nil"/>
              <w:right w:val="nil"/>
            </w:tcBorders>
          </w:tcPr>
          <w:p w14:paraId="57799B84" w14:textId="77777777" w:rsidR="00F75E7E" w:rsidRPr="003E2DA1" w:rsidRDefault="00F75E7E" w:rsidP="00341A90">
            <w:pPr>
              <w:pStyle w:val="EMEABodyText"/>
              <w:spacing w:before="4" w:after="4"/>
              <w:jc w:val="center"/>
              <w:rPr>
                <w:sz w:val="20"/>
                <w:szCs w:val="20"/>
              </w:rPr>
            </w:pPr>
            <w:r w:rsidRPr="003E2DA1">
              <w:rPr>
                <w:sz w:val="20"/>
                <w:szCs w:val="20"/>
              </w:rPr>
              <w:t>4</w:t>
            </w:r>
          </w:p>
        </w:tc>
        <w:tc>
          <w:tcPr>
            <w:tcW w:w="1276" w:type="dxa"/>
            <w:tcBorders>
              <w:top w:val="nil"/>
              <w:left w:val="nil"/>
              <w:bottom w:val="nil"/>
              <w:right w:val="nil"/>
            </w:tcBorders>
          </w:tcPr>
          <w:p w14:paraId="6F4FFF07" w14:textId="77777777" w:rsidR="00F75E7E" w:rsidRPr="003E2DA1" w:rsidRDefault="00F75E7E" w:rsidP="00341A90">
            <w:pPr>
              <w:pStyle w:val="EMEABodyText"/>
              <w:spacing w:before="4" w:after="4"/>
              <w:jc w:val="center"/>
              <w:rPr>
                <w:sz w:val="20"/>
                <w:szCs w:val="20"/>
              </w:rPr>
            </w:pPr>
            <w:r w:rsidRPr="003E2DA1">
              <w:rPr>
                <w:sz w:val="20"/>
                <w:szCs w:val="20"/>
              </w:rPr>
              <w:t>0</w:t>
            </w:r>
          </w:p>
        </w:tc>
        <w:tc>
          <w:tcPr>
            <w:tcW w:w="979" w:type="dxa"/>
            <w:tcBorders>
              <w:top w:val="nil"/>
              <w:left w:val="nil"/>
              <w:bottom w:val="nil"/>
              <w:right w:val="nil"/>
            </w:tcBorders>
          </w:tcPr>
          <w:p w14:paraId="6AF794D8" w14:textId="77777777" w:rsidR="00F75E7E" w:rsidRPr="003E2DA1" w:rsidRDefault="00F75E7E" w:rsidP="00341A90">
            <w:pPr>
              <w:pStyle w:val="EMEABodyText"/>
              <w:spacing w:before="4" w:after="4"/>
              <w:jc w:val="center"/>
              <w:rPr>
                <w:sz w:val="20"/>
                <w:szCs w:val="20"/>
              </w:rPr>
            </w:pPr>
            <w:r w:rsidRPr="003E2DA1">
              <w:rPr>
                <w:sz w:val="20"/>
                <w:szCs w:val="20"/>
              </w:rPr>
              <w:t>4</w:t>
            </w:r>
          </w:p>
        </w:tc>
        <w:tc>
          <w:tcPr>
            <w:tcW w:w="1210" w:type="dxa"/>
            <w:tcBorders>
              <w:top w:val="nil"/>
              <w:left w:val="nil"/>
              <w:bottom w:val="nil"/>
              <w:right w:val="nil"/>
            </w:tcBorders>
          </w:tcPr>
          <w:p w14:paraId="3716127D" w14:textId="77777777" w:rsidR="00F75E7E" w:rsidRPr="003E2DA1" w:rsidRDefault="00F75E7E" w:rsidP="00341A90">
            <w:pPr>
              <w:pStyle w:val="EMEABodyText"/>
              <w:spacing w:before="4" w:after="4"/>
              <w:jc w:val="center"/>
              <w:rPr>
                <w:sz w:val="20"/>
                <w:szCs w:val="20"/>
              </w:rPr>
            </w:pPr>
            <w:r w:rsidRPr="003E2DA1">
              <w:rPr>
                <w:sz w:val="20"/>
                <w:szCs w:val="20"/>
              </w:rPr>
              <w:t>0</w:t>
            </w:r>
          </w:p>
        </w:tc>
      </w:tr>
      <w:tr w:rsidR="00F75E7E" w:rsidRPr="003E2DA1" w14:paraId="59CFC1C5" w14:textId="77777777" w:rsidTr="00341A90">
        <w:trPr>
          <w:trHeight w:val="329"/>
        </w:trPr>
        <w:tc>
          <w:tcPr>
            <w:tcW w:w="2518" w:type="dxa"/>
            <w:tcBorders>
              <w:top w:val="nil"/>
              <w:left w:val="nil"/>
              <w:bottom w:val="nil"/>
              <w:right w:val="nil"/>
            </w:tcBorders>
          </w:tcPr>
          <w:p w14:paraId="1CBC4969" w14:textId="77777777" w:rsidR="00F75E7E" w:rsidRPr="003E2DA1" w:rsidRDefault="00F75E7E" w:rsidP="00341A90">
            <w:pPr>
              <w:pStyle w:val="EMEABodyText"/>
              <w:tabs>
                <w:tab w:val="left" w:pos="315"/>
              </w:tabs>
              <w:spacing w:before="4" w:after="4"/>
              <w:jc w:val="both"/>
              <w:rPr>
                <w:sz w:val="20"/>
                <w:szCs w:val="20"/>
              </w:rPr>
            </w:pPr>
            <w:r w:rsidRPr="003E2DA1">
              <w:rPr>
                <w:sz w:val="20"/>
                <w:szCs w:val="20"/>
              </w:rPr>
              <w:tab/>
              <w:t>Pericardial effusion</w:t>
            </w:r>
          </w:p>
        </w:tc>
        <w:tc>
          <w:tcPr>
            <w:tcW w:w="992" w:type="dxa"/>
            <w:tcBorders>
              <w:top w:val="nil"/>
              <w:left w:val="nil"/>
              <w:bottom w:val="nil"/>
              <w:right w:val="nil"/>
            </w:tcBorders>
          </w:tcPr>
          <w:p w14:paraId="7E59070D" w14:textId="77777777" w:rsidR="00F75E7E" w:rsidRPr="003E2DA1" w:rsidRDefault="00F75E7E" w:rsidP="00341A90">
            <w:pPr>
              <w:pStyle w:val="EMEABodyText"/>
              <w:spacing w:before="4" w:after="4"/>
              <w:jc w:val="center"/>
              <w:rPr>
                <w:sz w:val="20"/>
                <w:szCs w:val="20"/>
              </w:rPr>
            </w:pPr>
            <w:r w:rsidRPr="003E2DA1">
              <w:rPr>
                <w:sz w:val="20"/>
                <w:szCs w:val="20"/>
              </w:rPr>
              <w:t>2</w:t>
            </w:r>
          </w:p>
        </w:tc>
        <w:tc>
          <w:tcPr>
            <w:tcW w:w="1276" w:type="dxa"/>
            <w:tcBorders>
              <w:top w:val="nil"/>
              <w:left w:val="nil"/>
              <w:bottom w:val="nil"/>
              <w:right w:val="nil"/>
            </w:tcBorders>
          </w:tcPr>
          <w:p w14:paraId="3870699F" w14:textId="77777777" w:rsidR="00F75E7E" w:rsidRPr="003E2DA1" w:rsidRDefault="00F75E7E" w:rsidP="00341A90">
            <w:pPr>
              <w:pStyle w:val="EMEABodyText"/>
              <w:spacing w:before="4" w:after="4"/>
              <w:jc w:val="center"/>
              <w:rPr>
                <w:sz w:val="20"/>
                <w:szCs w:val="20"/>
              </w:rPr>
            </w:pPr>
            <w:r w:rsidRPr="003E2DA1">
              <w:rPr>
                <w:sz w:val="20"/>
                <w:szCs w:val="20"/>
              </w:rPr>
              <w:t>1</w:t>
            </w:r>
          </w:p>
        </w:tc>
        <w:tc>
          <w:tcPr>
            <w:tcW w:w="992" w:type="dxa"/>
            <w:tcBorders>
              <w:top w:val="nil"/>
              <w:left w:val="nil"/>
              <w:bottom w:val="nil"/>
              <w:right w:val="nil"/>
            </w:tcBorders>
          </w:tcPr>
          <w:p w14:paraId="4B90C1D1" w14:textId="77777777" w:rsidR="00F75E7E" w:rsidRPr="003E2DA1" w:rsidRDefault="00F75E7E" w:rsidP="00341A90">
            <w:pPr>
              <w:pStyle w:val="EMEABodyText"/>
              <w:spacing w:before="4" w:after="4"/>
              <w:jc w:val="center"/>
              <w:rPr>
                <w:sz w:val="20"/>
                <w:szCs w:val="20"/>
              </w:rPr>
            </w:pPr>
            <w:r w:rsidRPr="003E2DA1">
              <w:rPr>
                <w:sz w:val="20"/>
                <w:szCs w:val="20"/>
              </w:rPr>
              <w:t>2</w:t>
            </w:r>
          </w:p>
        </w:tc>
        <w:tc>
          <w:tcPr>
            <w:tcW w:w="1276" w:type="dxa"/>
            <w:tcBorders>
              <w:top w:val="nil"/>
              <w:left w:val="nil"/>
              <w:bottom w:val="nil"/>
              <w:right w:val="nil"/>
            </w:tcBorders>
          </w:tcPr>
          <w:p w14:paraId="0B684C97" w14:textId="77777777" w:rsidR="00F75E7E" w:rsidRPr="003E2DA1" w:rsidRDefault="00F75E7E" w:rsidP="00341A90">
            <w:pPr>
              <w:pStyle w:val="EMEABodyText"/>
              <w:spacing w:before="4" w:after="4"/>
              <w:jc w:val="center"/>
              <w:rPr>
                <w:sz w:val="20"/>
                <w:szCs w:val="20"/>
              </w:rPr>
            </w:pPr>
            <w:r w:rsidRPr="003E2DA1">
              <w:rPr>
                <w:sz w:val="20"/>
                <w:szCs w:val="20"/>
              </w:rPr>
              <w:t>1</w:t>
            </w:r>
          </w:p>
        </w:tc>
        <w:tc>
          <w:tcPr>
            <w:tcW w:w="979" w:type="dxa"/>
            <w:tcBorders>
              <w:top w:val="nil"/>
              <w:left w:val="nil"/>
              <w:bottom w:val="nil"/>
              <w:right w:val="nil"/>
            </w:tcBorders>
          </w:tcPr>
          <w:p w14:paraId="3B4EF248" w14:textId="77777777" w:rsidR="00F75E7E" w:rsidRPr="003E2DA1" w:rsidRDefault="00F75E7E" w:rsidP="00341A90">
            <w:pPr>
              <w:pStyle w:val="EMEABodyText"/>
              <w:spacing w:before="4" w:after="4"/>
              <w:jc w:val="center"/>
              <w:rPr>
                <w:sz w:val="20"/>
                <w:szCs w:val="20"/>
              </w:rPr>
            </w:pPr>
            <w:r w:rsidRPr="003E2DA1">
              <w:rPr>
                <w:sz w:val="20"/>
                <w:szCs w:val="20"/>
              </w:rPr>
              <w:t>3</w:t>
            </w:r>
          </w:p>
        </w:tc>
        <w:tc>
          <w:tcPr>
            <w:tcW w:w="1210" w:type="dxa"/>
            <w:tcBorders>
              <w:top w:val="nil"/>
              <w:left w:val="nil"/>
              <w:bottom w:val="nil"/>
              <w:right w:val="nil"/>
            </w:tcBorders>
          </w:tcPr>
          <w:p w14:paraId="5EB17B30" w14:textId="77777777" w:rsidR="00F75E7E" w:rsidRPr="003E2DA1" w:rsidRDefault="00F75E7E" w:rsidP="00341A90">
            <w:pPr>
              <w:pStyle w:val="EMEABodyText"/>
              <w:spacing w:before="4" w:after="4"/>
              <w:jc w:val="center"/>
              <w:rPr>
                <w:sz w:val="20"/>
                <w:szCs w:val="20"/>
              </w:rPr>
            </w:pPr>
            <w:r w:rsidRPr="003E2DA1">
              <w:rPr>
                <w:sz w:val="20"/>
                <w:szCs w:val="20"/>
              </w:rPr>
              <w:t>1</w:t>
            </w:r>
          </w:p>
        </w:tc>
      </w:tr>
      <w:tr w:rsidR="00F75E7E" w:rsidRPr="003E2DA1" w14:paraId="0ED676BC" w14:textId="77777777" w:rsidTr="00341A90">
        <w:trPr>
          <w:trHeight w:val="329"/>
        </w:trPr>
        <w:tc>
          <w:tcPr>
            <w:tcW w:w="2518" w:type="dxa"/>
            <w:tcBorders>
              <w:top w:val="nil"/>
              <w:left w:val="nil"/>
              <w:bottom w:val="nil"/>
              <w:right w:val="nil"/>
            </w:tcBorders>
          </w:tcPr>
          <w:p w14:paraId="12497A89" w14:textId="77777777" w:rsidR="00F75E7E" w:rsidRPr="003E2DA1" w:rsidRDefault="00F75E7E" w:rsidP="00341A90">
            <w:pPr>
              <w:pStyle w:val="EMEABodyText"/>
              <w:tabs>
                <w:tab w:val="left" w:pos="360"/>
              </w:tabs>
              <w:spacing w:before="4" w:after="4"/>
              <w:jc w:val="both"/>
              <w:rPr>
                <w:sz w:val="20"/>
                <w:szCs w:val="20"/>
              </w:rPr>
            </w:pPr>
            <w:r w:rsidRPr="003E2DA1">
              <w:rPr>
                <w:sz w:val="20"/>
                <w:szCs w:val="20"/>
              </w:rPr>
              <w:tab/>
              <w:t xml:space="preserve">Pulmonary </w:t>
            </w:r>
            <w:r w:rsidRPr="003E2DA1">
              <w:rPr>
                <w:sz w:val="20"/>
                <w:szCs w:val="20"/>
              </w:rPr>
              <w:tab/>
              <w:t>hypertension</w:t>
            </w:r>
          </w:p>
        </w:tc>
        <w:tc>
          <w:tcPr>
            <w:tcW w:w="992" w:type="dxa"/>
            <w:tcBorders>
              <w:top w:val="nil"/>
              <w:left w:val="nil"/>
              <w:bottom w:val="nil"/>
              <w:right w:val="nil"/>
            </w:tcBorders>
          </w:tcPr>
          <w:p w14:paraId="27EE96B0" w14:textId="77777777" w:rsidR="00F75E7E" w:rsidRPr="003E2DA1" w:rsidRDefault="00F75E7E" w:rsidP="00341A90">
            <w:pPr>
              <w:pStyle w:val="EMEABodyText"/>
              <w:spacing w:before="4" w:after="4"/>
              <w:jc w:val="center"/>
              <w:rPr>
                <w:sz w:val="20"/>
                <w:szCs w:val="20"/>
              </w:rPr>
            </w:pPr>
            <w:r w:rsidRPr="003E2DA1">
              <w:rPr>
                <w:sz w:val="20"/>
                <w:szCs w:val="20"/>
              </w:rPr>
              <w:t>0</w:t>
            </w:r>
          </w:p>
        </w:tc>
        <w:tc>
          <w:tcPr>
            <w:tcW w:w="1276" w:type="dxa"/>
            <w:tcBorders>
              <w:top w:val="nil"/>
              <w:left w:val="nil"/>
              <w:bottom w:val="nil"/>
              <w:right w:val="nil"/>
            </w:tcBorders>
          </w:tcPr>
          <w:p w14:paraId="0717AB44" w14:textId="77777777" w:rsidR="00F75E7E" w:rsidRPr="003E2DA1" w:rsidRDefault="00F75E7E" w:rsidP="00341A90">
            <w:pPr>
              <w:pStyle w:val="EMEABodyText"/>
              <w:spacing w:before="4" w:after="4"/>
              <w:jc w:val="center"/>
              <w:rPr>
                <w:sz w:val="20"/>
                <w:szCs w:val="20"/>
              </w:rPr>
            </w:pPr>
            <w:r w:rsidRPr="003E2DA1">
              <w:rPr>
                <w:sz w:val="20"/>
                <w:szCs w:val="20"/>
              </w:rPr>
              <w:t>0</w:t>
            </w:r>
          </w:p>
        </w:tc>
        <w:tc>
          <w:tcPr>
            <w:tcW w:w="992" w:type="dxa"/>
            <w:tcBorders>
              <w:top w:val="nil"/>
              <w:left w:val="nil"/>
              <w:bottom w:val="nil"/>
              <w:right w:val="nil"/>
            </w:tcBorders>
          </w:tcPr>
          <w:p w14:paraId="32121490" w14:textId="77777777" w:rsidR="00F75E7E" w:rsidRPr="003E2DA1" w:rsidRDefault="00F75E7E" w:rsidP="00341A90">
            <w:pPr>
              <w:pStyle w:val="EMEABodyText"/>
              <w:spacing w:before="4" w:after="4"/>
              <w:jc w:val="center"/>
              <w:rPr>
                <w:sz w:val="20"/>
                <w:szCs w:val="20"/>
              </w:rPr>
            </w:pPr>
            <w:r w:rsidRPr="003E2DA1">
              <w:rPr>
                <w:sz w:val="20"/>
                <w:szCs w:val="20"/>
              </w:rPr>
              <w:t>0</w:t>
            </w:r>
          </w:p>
        </w:tc>
        <w:tc>
          <w:tcPr>
            <w:tcW w:w="1276" w:type="dxa"/>
            <w:tcBorders>
              <w:top w:val="nil"/>
              <w:left w:val="nil"/>
              <w:bottom w:val="nil"/>
              <w:right w:val="nil"/>
            </w:tcBorders>
          </w:tcPr>
          <w:p w14:paraId="7AABAF60" w14:textId="77777777" w:rsidR="00F75E7E" w:rsidRPr="003E2DA1" w:rsidRDefault="00F75E7E" w:rsidP="00341A90">
            <w:pPr>
              <w:pStyle w:val="EMEABodyText"/>
              <w:spacing w:before="4" w:after="4"/>
              <w:jc w:val="center"/>
              <w:rPr>
                <w:sz w:val="20"/>
                <w:szCs w:val="20"/>
              </w:rPr>
            </w:pPr>
            <w:r w:rsidRPr="003E2DA1">
              <w:rPr>
                <w:sz w:val="20"/>
                <w:szCs w:val="20"/>
              </w:rPr>
              <w:t>0</w:t>
            </w:r>
          </w:p>
        </w:tc>
        <w:tc>
          <w:tcPr>
            <w:tcW w:w="979" w:type="dxa"/>
            <w:tcBorders>
              <w:top w:val="nil"/>
              <w:left w:val="nil"/>
              <w:bottom w:val="nil"/>
              <w:right w:val="nil"/>
            </w:tcBorders>
          </w:tcPr>
          <w:p w14:paraId="2773F8A0" w14:textId="77777777" w:rsidR="00F75E7E" w:rsidRPr="003E2DA1" w:rsidRDefault="00F75E7E" w:rsidP="00341A90">
            <w:pPr>
              <w:pStyle w:val="EMEABodyText"/>
              <w:spacing w:before="4" w:after="4"/>
              <w:jc w:val="center"/>
              <w:rPr>
                <w:sz w:val="20"/>
                <w:szCs w:val="20"/>
              </w:rPr>
            </w:pPr>
            <w:r w:rsidRPr="003E2DA1">
              <w:rPr>
                <w:sz w:val="20"/>
                <w:szCs w:val="20"/>
              </w:rPr>
              <w:t>2</w:t>
            </w:r>
          </w:p>
        </w:tc>
        <w:tc>
          <w:tcPr>
            <w:tcW w:w="1210" w:type="dxa"/>
            <w:tcBorders>
              <w:top w:val="nil"/>
              <w:left w:val="nil"/>
              <w:bottom w:val="nil"/>
              <w:right w:val="nil"/>
            </w:tcBorders>
          </w:tcPr>
          <w:p w14:paraId="2715EA9E" w14:textId="77777777" w:rsidR="00F75E7E" w:rsidRPr="003E2DA1" w:rsidRDefault="00F75E7E" w:rsidP="00341A90">
            <w:pPr>
              <w:pStyle w:val="EMEABodyText"/>
              <w:spacing w:before="4" w:after="4"/>
              <w:jc w:val="center"/>
              <w:rPr>
                <w:sz w:val="20"/>
                <w:szCs w:val="20"/>
              </w:rPr>
            </w:pPr>
            <w:r w:rsidRPr="003E2DA1">
              <w:rPr>
                <w:sz w:val="20"/>
                <w:szCs w:val="20"/>
              </w:rPr>
              <w:t>1</w:t>
            </w:r>
          </w:p>
        </w:tc>
      </w:tr>
      <w:tr w:rsidR="00F75E7E" w:rsidRPr="003E2DA1" w14:paraId="5E55D3B9" w14:textId="77777777" w:rsidTr="00341A90">
        <w:trPr>
          <w:trHeight w:val="329"/>
        </w:trPr>
        <w:tc>
          <w:tcPr>
            <w:tcW w:w="2518" w:type="dxa"/>
            <w:tcBorders>
              <w:top w:val="nil"/>
              <w:left w:val="nil"/>
              <w:bottom w:val="nil"/>
              <w:right w:val="nil"/>
            </w:tcBorders>
          </w:tcPr>
          <w:p w14:paraId="5495BAC6" w14:textId="77777777" w:rsidR="00F75E7E" w:rsidRPr="003E2DA1" w:rsidRDefault="00F75E7E" w:rsidP="00341A90">
            <w:pPr>
              <w:pStyle w:val="EMEABodyText"/>
              <w:spacing w:before="4" w:after="4"/>
              <w:jc w:val="both"/>
              <w:rPr>
                <w:sz w:val="20"/>
                <w:szCs w:val="20"/>
              </w:rPr>
            </w:pPr>
            <w:r w:rsidRPr="003E2DA1">
              <w:rPr>
                <w:sz w:val="20"/>
                <w:szCs w:val="20"/>
              </w:rPr>
              <w:lastRenderedPageBreak/>
              <w:t>Haemorrhage</w:t>
            </w:r>
          </w:p>
        </w:tc>
        <w:tc>
          <w:tcPr>
            <w:tcW w:w="992" w:type="dxa"/>
            <w:tcBorders>
              <w:top w:val="nil"/>
              <w:left w:val="nil"/>
              <w:bottom w:val="nil"/>
              <w:right w:val="nil"/>
            </w:tcBorders>
          </w:tcPr>
          <w:p w14:paraId="0F2B2BC7" w14:textId="77777777" w:rsidR="00F75E7E" w:rsidRPr="003E2DA1" w:rsidRDefault="00F75E7E" w:rsidP="00341A90">
            <w:pPr>
              <w:pStyle w:val="EMEABodyText"/>
              <w:spacing w:before="4" w:after="4"/>
              <w:jc w:val="center"/>
              <w:rPr>
                <w:sz w:val="20"/>
                <w:szCs w:val="20"/>
              </w:rPr>
            </w:pPr>
            <w:r w:rsidRPr="003E2DA1">
              <w:rPr>
                <w:sz w:val="20"/>
                <w:szCs w:val="20"/>
              </w:rPr>
              <w:t>11</w:t>
            </w:r>
          </w:p>
        </w:tc>
        <w:tc>
          <w:tcPr>
            <w:tcW w:w="1276" w:type="dxa"/>
            <w:tcBorders>
              <w:top w:val="nil"/>
              <w:left w:val="nil"/>
              <w:bottom w:val="nil"/>
              <w:right w:val="nil"/>
            </w:tcBorders>
          </w:tcPr>
          <w:p w14:paraId="063B2FB6" w14:textId="77777777" w:rsidR="00F75E7E" w:rsidRPr="003E2DA1" w:rsidRDefault="00F75E7E" w:rsidP="00341A90">
            <w:pPr>
              <w:pStyle w:val="EMEABodyText"/>
              <w:spacing w:before="4" w:after="4"/>
              <w:jc w:val="center"/>
              <w:rPr>
                <w:sz w:val="20"/>
                <w:szCs w:val="20"/>
              </w:rPr>
            </w:pPr>
            <w:r w:rsidRPr="003E2DA1">
              <w:rPr>
                <w:sz w:val="20"/>
                <w:szCs w:val="20"/>
              </w:rPr>
              <w:t>1</w:t>
            </w:r>
          </w:p>
        </w:tc>
        <w:tc>
          <w:tcPr>
            <w:tcW w:w="992" w:type="dxa"/>
            <w:tcBorders>
              <w:top w:val="nil"/>
              <w:left w:val="nil"/>
              <w:bottom w:val="nil"/>
              <w:right w:val="nil"/>
            </w:tcBorders>
          </w:tcPr>
          <w:p w14:paraId="27A2185C" w14:textId="77777777" w:rsidR="00F75E7E" w:rsidRPr="003E2DA1" w:rsidRDefault="00F75E7E" w:rsidP="00341A90">
            <w:pPr>
              <w:pStyle w:val="EMEABodyText"/>
              <w:spacing w:before="4" w:after="4"/>
              <w:jc w:val="center"/>
              <w:rPr>
                <w:sz w:val="20"/>
                <w:szCs w:val="20"/>
              </w:rPr>
            </w:pPr>
            <w:r w:rsidRPr="003E2DA1">
              <w:rPr>
                <w:sz w:val="20"/>
                <w:szCs w:val="20"/>
              </w:rPr>
              <w:t>11</w:t>
            </w:r>
          </w:p>
        </w:tc>
        <w:tc>
          <w:tcPr>
            <w:tcW w:w="1276" w:type="dxa"/>
            <w:tcBorders>
              <w:top w:val="nil"/>
              <w:left w:val="nil"/>
              <w:bottom w:val="nil"/>
              <w:right w:val="nil"/>
            </w:tcBorders>
          </w:tcPr>
          <w:p w14:paraId="108D4097" w14:textId="77777777" w:rsidR="00F75E7E" w:rsidRPr="003E2DA1" w:rsidRDefault="00F75E7E" w:rsidP="00341A90">
            <w:pPr>
              <w:pStyle w:val="EMEABodyText"/>
              <w:spacing w:before="4" w:after="4"/>
              <w:jc w:val="center"/>
              <w:rPr>
                <w:sz w:val="20"/>
                <w:szCs w:val="20"/>
              </w:rPr>
            </w:pPr>
            <w:r w:rsidRPr="003E2DA1">
              <w:rPr>
                <w:sz w:val="20"/>
                <w:szCs w:val="20"/>
              </w:rPr>
              <w:t>1</w:t>
            </w:r>
          </w:p>
        </w:tc>
        <w:tc>
          <w:tcPr>
            <w:tcW w:w="979" w:type="dxa"/>
            <w:tcBorders>
              <w:top w:val="nil"/>
              <w:left w:val="nil"/>
              <w:bottom w:val="nil"/>
              <w:right w:val="nil"/>
            </w:tcBorders>
          </w:tcPr>
          <w:p w14:paraId="15F3990E" w14:textId="77777777" w:rsidR="00F75E7E" w:rsidRPr="003E2DA1" w:rsidRDefault="00F75E7E" w:rsidP="00341A90">
            <w:pPr>
              <w:pStyle w:val="EMEABodyText"/>
              <w:spacing w:before="4" w:after="4"/>
              <w:jc w:val="center"/>
              <w:rPr>
                <w:sz w:val="20"/>
                <w:szCs w:val="20"/>
              </w:rPr>
            </w:pPr>
            <w:r w:rsidRPr="003E2DA1">
              <w:rPr>
                <w:sz w:val="20"/>
                <w:szCs w:val="20"/>
              </w:rPr>
              <w:t>12</w:t>
            </w:r>
          </w:p>
        </w:tc>
        <w:tc>
          <w:tcPr>
            <w:tcW w:w="1210" w:type="dxa"/>
            <w:tcBorders>
              <w:top w:val="nil"/>
              <w:left w:val="nil"/>
              <w:bottom w:val="nil"/>
              <w:right w:val="nil"/>
            </w:tcBorders>
          </w:tcPr>
          <w:p w14:paraId="3D436A67" w14:textId="77777777" w:rsidR="00F75E7E" w:rsidRPr="003E2DA1" w:rsidRDefault="00F75E7E" w:rsidP="00341A90">
            <w:pPr>
              <w:pStyle w:val="EMEABodyText"/>
              <w:spacing w:before="4" w:after="4"/>
              <w:jc w:val="center"/>
              <w:rPr>
                <w:sz w:val="20"/>
                <w:szCs w:val="20"/>
              </w:rPr>
            </w:pPr>
            <w:r w:rsidRPr="003E2DA1">
              <w:rPr>
                <w:sz w:val="20"/>
                <w:szCs w:val="20"/>
              </w:rPr>
              <w:t>1</w:t>
            </w:r>
          </w:p>
        </w:tc>
      </w:tr>
      <w:tr w:rsidR="00F75E7E" w:rsidRPr="003E2DA1" w14:paraId="0E72B817" w14:textId="77777777" w:rsidTr="00341A90">
        <w:trPr>
          <w:trHeight w:val="329"/>
        </w:trPr>
        <w:tc>
          <w:tcPr>
            <w:tcW w:w="2518" w:type="dxa"/>
            <w:tcBorders>
              <w:top w:val="nil"/>
              <w:left w:val="nil"/>
              <w:bottom w:val="double" w:sz="4" w:space="0" w:color="auto"/>
              <w:right w:val="nil"/>
            </w:tcBorders>
          </w:tcPr>
          <w:p w14:paraId="1DA84609" w14:textId="77777777" w:rsidR="00F75E7E" w:rsidRPr="003E2DA1" w:rsidRDefault="00F75E7E" w:rsidP="00341A90">
            <w:pPr>
              <w:pStyle w:val="EMEABodyText"/>
              <w:spacing w:before="4" w:after="4"/>
              <w:jc w:val="both"/>
              <w:rPr>
                <w:sz w:val="20"/>
                <w:szCs w:val="20"/>
              </w:rPr>
            </w:pPr>
            <w:r w:rsidRPr="003E2DA1">
              <w:rPr>
                <w:sz w:val="20"/>
                <w:szCs w:val="20"/>
              </w:rPr>
              <w:t>Gastrointestinal bleeding</w:t>
            </w:r>
          </w:p>
        </w:tc>
        <w:tc>
          <w:tcPr>
            <w:tcW w:w="992" w:type="dxa"/>
            <w:tcBorders>
              <w:top w:val="nil"/>
              <w:left w:val="nil"/>
              <w:bottom w:val="double" w:sz="4" w:space="0" w:color="auto"/>
              <w:right w:val="nil"/>
            </w:tcBorders>
          </w:tcPr>
          <w:p w14:paraId="5B939B56" w14:textId="77777777" w:rsidR="00F75E7E" w:rsidRPr="003E2DA1" w:rsidRDefault="00F75E7E" w:rsidP="00341A90">
            <w:pPr>
              <w:pStyle w:val="EMEABodyText"/>
              <w:spacing w:before="4" w:after="4"/>
              <w:jc w:val="center"/>
              <w:rPr>
                <w:sz w:val="20"/>
                <w:szCs w:val="20"/>
              </w:rPr>
            </w:pPr>
            <w:r w:rsidRPr="003E2DA1">
              <w:rPr>
                <w:sz w:val="20"/>
                <w:szCs w:val="20"/>
              </w:rPr>
              <w:t>2</w:t>
            </w:r>
          </w:p>
        </w:tc>
        <w:tc>
          <w:tcPr>
            <w:tcW w:w="1276" w:type="dxa"/>
            <w:tcBorders>
              <w:top w:val="nil"/>
              <w:left w:val="nil"/>
              <w:bottom w:val="double" w:sz="4" w:space="0" w:color="auto"/>
              <w:right w:val="nil"/>
            </w:tcBorders>
          </w:tcPr>
          <w:p w14:paraId="48BB2ACD" w14:textId="77777777" w:rsidR="00F75E7E" w:rsidRPr="003E2DA1" w:rsidRDefault="00F75E7E" w:rsidP="00341A90">
            <w:pPr>
              <w:pStyle w:val="EMEABodyText"/>
              <w:spacing w:before="4" w:after="4"/>
              <w:jc w:val="center"/>
              <w:rPr>
                <w:sz w:val="20"/>
                <w:szCs w:val="20"/>
              </w:rPr>
            </w:pPr>
            <w:r w:rsidRPr="003E2DA1">
              <w:rPr>
                <w:sz w:val="20"/>
                <w:szCs w:val="20"/>
              </w:rPr>
              <w:t>1</w:t>
            </w:r>
          </w:p>
        </w:tc>
        <w:tc>
          <w:tcPr>
            <w:tcW w:w="992" w:type="dxa"/>
            <w:tcBorders>
              <w:top w:val="nil"/>
              <w:left w:val="nil"/>
              <w:bottom w:val="double" w:sz="4" w:space="0" w:color="auto"/>
              <w:right w:val="nil"/>
            </w:tcBorders>
          </w:tcPr>
          <w:p w14:paraId="4F65DE47" w14:textId="77777777" w:rsidR="00F75E7E" w:rsidRPr="003E2DA1" w:rsidRDefault="00F75E7E" w:rsidP="00341A90">
            <w:pPr>
              <w:pStyle w:val="EMEABodyText"/>
              <w:spacing w:before="4" w:after="4"/>
              <w:jc w:val="center"/>
              <w:rPr>
                <w:sz w:val="20"/>
                <w:szCs w:val="20"/>
              </w:rPr>
            </w:pPr>
            <w:r w:rsidRPr="003E2DA1">
              <w:rPr>
                <w:sz w:val="20"/>
                <w:szCs w:val="20"/>
              </w:rPr>
              <w:t>2</w:t>
            </w:r>
          </w:p>
        </w:tc>
        <w:tc>
          <w:tcPr>
            <w:tcW w:w="1276" w:type="dxa"/>
            <w:tcBorders>
              <w:top w:val="nil"/>
              <w:left w:val="nil"/>
              <w:bottom w:val="double" w:sz="4" w:space="0" w:color="auto"/>
              <w:right w:val="nil"/>
            </w:tcBorders>
          </w:tcPr>
          <w:p w14:paraId="120D218A" w14:textId="77777777" w:rsidR="00F75E7E" w:rsidRPr="003E2DA1" w:rsidRDefault="00F75E7E" w:rsidP="00341A90">
            <w:pPr>
              <w:pStyle w:val="EMEABodyText"/>
              <w:spacing w:before="4" w:after="4"/>
              <w:jc w:val="center"/>
              <w:rPr>
                <w:sz w:val="20"/>
                <w:szCs w:val="20"/>
              </w:rPr>
            </w:pPr>
            <w:r w:rsidRPr="003E2DA1">
              <w:rPr>
                <w:sz w:val="20"/>
                <w:szCs w:val="20"/>
              </w:rPr>
              <w:t>1</w:t>
            </w:r>
          </w:p>
        </w:tc>
        <w:tc>
          <w:tcPr>
            <w:tcW w:w="979" w:type="dxa"/>
            <w:tcBorders>
              <w:top w:val="nil"/>
              <w:left w:val="nil"/>
              <w:bottom w:val="double" w:sz="4" w:space="0" w:color="auto"/>
              <w:right w:val="nil"/>
            </w:tcBorders>
          </w:tcPr>
          <w:p w14:paraId="1CCC5326" w14:textId="77777777" w:rsidR="00F75E7E" w:rsidRPr="003E2DA1" w:rsidRDefault="00F75E7E" w:rsidP="00341A90">
            <w:pPr>
              <w:pStyle w:val="EMEABodyText"/>
              <w:spacing w:before="4" w:after="4"/>
              <w:jc w:val="center"/>
              <w:rPr>
                <w:sz w:val="20"/>
                <w:szCs w:val="20"/>
              </w:rPr>
            </w:pPr>
            <w:r w:rsidRPr="003E2DA1">
              <w:rPr>
                <w:sz w:val="20"/>
                <w:szCs w:val="20"/>
              </w:rPr>
              <w:t>2</w:t>
            </w:r>
          </w:p>
        </w:tc>
        <w:tc>
          <w:tcPr>
            <w:tcW w:w="1210" w:type="dxa"/>
            <w:tcBorders>
              <w:top w:val="nil"/>
              <w:left w:val="nil"/>
              <w:bottom w:val="double" w:sz="4" w:space="0" w:color="auto"/>
              <w:right w:val="nil"/>
            </w:tcBorders>
          </w:tcPr>
          <w:p w14:paraId="659E8C21" w14:textId="77777777" w:rsidR="00F75E7E" w:rsidRPr="003E2DA1" w:rsidRDefault="00F75E7E" w:rsidP="00341A90">
            <w:pPr>
              <w:pStyle w:val="EMEABodyText"/>
              <w:spacing w:before="4" w:after="4"/>
              <w:jc w:val="center"/>
              <w:rPr>
                <w:sz w:val="20"/>
                <w:szCs w:val="20"/>
              </w:rPr>
            </w:pPr>
            <w:r w:rsidRPr="003E2DA1">
              <w:rPr>
                <w:sz w:val="20"/>
                <w:szCs w:val="20"/>
              </w:rPr>
              <w:t>1</w:t>
            </w:r>
          </w:p>
        </w:tc>
      </w:tr>
    </w:tbl>
    <w:p w14:paraId="620D059F" w14:textId="77777777" w:rsidR="00F75E7E" w:rsidRDefault="00F75E7E" w:rsidP="00F75E7E">
      <w:pPr>
        <w:pStyle w:val="EMEABodyText"/>
        <w:jc w:val="both"/>
        <w:rPr>
          <w:sz w:val="18"/>
          <w:szCs w:val="18"/>
        </w:rPr>
      </w:pPr>
      <w:r w:rsidRPr="00265791">
        <w:rPr>
          <w:sz w:val="18"/>
          <w:szCs w:val="18"/>
          <w:vertAlign w:val="superscript"/>
        </w:rPr>
        <w:t>a</w:t>
      </w:r>
      <w:r w:rsidRPr="00265791">
        <w:rPr>
          <w:sz w:val="18"/>
          <w:szCs w:val="18"/>
        </w:rPr>
        <w:t xml:space="preserve"> </w:t>
      </w:r>
      <w:r>
        <w:rPr>
          <w:sz w:val="18"/>
          <w:szCs w:val="18"/>
        </w:rPr>
        <w:t>Phase III dose optimisation study results reported in recommended starting dose of 100 mg once daily (n=165) population.</w:t>
      </w:r>
    </w:p>
    <w:p w14:paraId="289D989A" w14:textId="77777777" w:rsidR="00F75E7E" w:rsidRDefault="00F75E7E" w:rsidP="00F75E7E">
      <w:pPr>
        <w:pStyle w:val="EMEABodyText"/>
        <w:jc w:val="both"/>
        <w:rPr>
          <w:sz w:val="24"/>
        </w:rPr>
      </w:pPr>
      <w:r>
        <w:rPr>
          <w:rStyle w:val="BMSSuperscript"/>
          <w:sz w:val="18"/>
          <w:szCs w:val="18"/>
        </w:rPr>
        <w:t xml:space="preserve">b </w:t>
      </w:r>
      <w:r w:rsidRPr="00103791">
        <w:rPr>
          <w:sz w:val="18"/>
          <w:szCs w:val="18"/>
        </w:rPr>
        <w:t>Miscellaneous adverse reactions such as pleural effusion, ascites, pulmonary oedema and pericardial effusion with or without superficial oedema may be collectively described as “fluid retention”</w:t>
      </w:r>
    </w:p>
    <w:p w14:paraId="40F41EBE" w14:textId="77777777" w:rsidR="00F75E7E" w:rsidRDefault="00F75E7E" w:rsidP="00F75E7E">
      <w:pPr>
        <w:pStyle w:val="EMEABodyText"/>
        <w:jc w:val="both"/>
        <w:rPr>
          <w:sz w:val="24"/>
        </w:rPr>
      </w:pPr>
    </w:p>
    <w:p w14:paraId="3587BAF8" w14:textId="7EAB0494" w:rsidR="00F75E7E" w:rsidRDefault="00F75E7E" w:rsidP="0004690D">
      <w:r w:rsidRPr="00265791">
        <w:t>In the Phase III dose-optimisation study in patients with advanced phase CML and Ph+ ALL</w:t>
      </w:r>
      <w:r>
        <w:t xml:space="preserve">, the </w:t>
      </w:r>
      <w:r w:rsidRPr="00265791">
        <w:t xml:space="preserve">median duration of treatment </w:t>
      </w:r>
      <w:r>
        <w:t>was</w:t>
      </w:r>
      <w:r w:rsidRPr="00265791">
        <w:t xml:space="preserve"> 14 months (range &lt;1-36 months) for accelerated phase CML; 3 months (range &lt;1-32 months) for myeloid blast CML; 4 months (&lt;1 – 22 months) for lymphoid blast CML; and 3 months (&lt;1 – 29 months) for Ph+ALL)</w:t>
      </w:r>
      <w:r>
        <w:t xml:space="preserve">. Selected adverse drug reactions that were reported at the recommended starting dose of 140 mg once daily are shown in Table </w:t>
      </w:r>
      <w:r w:rsidR="003E2DA1">
        <w:t>7</w:t>
      </w:r>
      <w:r>
        <w:t>. A 70 mg twice daily regimen was also studied. At Year 2 analysis, the 70 mg twice daily regimen showed a comparable efficacy profile to the 140 mg once daily regimen, but a less favourable safety profile; particularly the fluid retention (pleural effusion and pericardial effusion) was reported less frequently in patients treated with SPRYCEL</w:t>
      </w:r>
      <w:r w:rsidRPr="00136400">
        <w:rPr>
          <w:vertAlign w:val="superscript"/>
        </w:rPr>
        <w:t xml:space="preserve"> </w:t>
      </w:r>
      <w:r>
        <w:t>140 mg once daily than in those treated with 70 mg twice daily.</w:t>
      </w:r>
    </w:p>
    <w:tbl>
      <w:tblPr>
        <w:tblW w:w="907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4"/>
        <w:gridCol w:w="2025"/>
        <w:gridCol w:w="51"/>
        <w:gridCol w:w="3192"/>
        <w:gridCol w:w="236"/>
        <w:gridCol w:w="614"/>
      </w:tblGrid>
      <w:tr w:rsidR="00F75E7E" w:rsidRPr="0004690D" w14:paraId="5B7A64C5" w14:textId="77777777" w:rsidTr="0004690D">
        <w:trPr>
          <w:cantSplit/>
          <w:trHeight w:val="320"/>
        </w:trPr>
        <w:tc>
          <w:tcPr>
            <w:tcW w:w="9072" w:type="dxa"/>
            <w:gridSpan w:val="6"/>
            <w:tcBorders>
              <w:top w:val="nil"/>
              <w:left w:val="nil"/>
              <w:bottom w:val="double" w:sz="4" w:space="0" w:color="auto"/>
              <w:right w:val="nil"/>
            </w:tcBorders>
          </w:tcPr>
          <w:p w14:paraId="696ED1FA" w14:textId="726483E5" w:rsidR="00F75E7E" w:rsidRPr="0004690D" w:rsidRDefault="00F75E7E" w:rsidP="00F75E7E">
            <w:pPr>
              <w:pStyle w:val="BMSTableTitle"/>
              <w:rPr>
                <w:sz w:val="22"/>
                <w:szCs w:val="22"/>
              </w:rPr>
            </w:pPr>
            <w:r w:rsidRPr="0004690D">
              <w:rPr>
                <w:sz w:val="22"/>
                <w:szCs w:val="22"/>
              </w:rPr>
              <w:t xml:space="preserve">Table </w:t>
            </w:r>
            <w:r w:rsidR="003E2DA1">
              <w:rPr>
                <w:sz w:val="22"/>
                <w:szCs w:val="22"/>
              </w:rPr>
              <w:t>7</w:t>
            </w:r>
            <w:r w:rsidRPr="0004690D">
              <w:rPr>
                <w:sz w:val="22"/>
                <w:szCs w:val="22"/>
              </w:rPr>
              <w:t>:</w:t>
            </w:r>
            <w:r w:rsidRPr="0004690D">
              <w:rPr>
                <w:sz w:val="22"/>
                <w:szCs w:val="22"/>
              </w:rPr>
              <w:tab/>
              <w:t>Selected Adverse Drug Reactions Reported in a Phase III Dose</w:t>
            </w:r>
            <w:r w:rsidRPr="0004690D">
              <w:rPr>
                <w:sz w:val="22"/>
                <w:szCs w:val="22"/>
                <w:lang w:val="en-AU"/>
              </w:rPr>
              <w:t>-Optimisation</w:t>
            </w:r>
            <w:r w:rsidRPr="0004690D">
              <w:rPr>
                <w:sz w:val="22"/>
                <w:szCs w:val="22"/>
              </w:rPr>
              <w:t xml:space="preserve"> Study: Advanced Phase CML and Ph+ ALL</w:t>
            </w:r>
          </w:p>
        </w:tc>
      </w:tr>
      <w:tr w:rsidR="0004690D" w:rsidRPr="003E2DA1" w14:paraId="46EACFC6" w14:textId="77777777" w:rsidTr="0004690D">
        <w:trPr>
          <w:cantSplit/>
          <w:trHeight w:val="320"/>
        </w:trPr>
        <w:tc>
          <w:tcPr>
            <w:tcW w:w="2954" w:type="dxa"/>
            <w:tcBorders>
              <w:top w:val="double" w:sz="4" w:space="0" w:color="auto"/>
              <w:left w:val="nil"/>
              <w:bottom w:val="nil"/>
              <w:right w:val="nil"/>
            </w:tcBorders>
          </w:tcPr>
          <w:p w14:paraId="0178CA90" w14:textId="77777777" w:rsidR="0004690D" w:rsidRPr="003E2DA1" w:rsidRDefault="0004690D" w:rsidP="0004690D">
            <w:pPr>
              <w:keepNext/>
              <w:spacing w:after="0"/>
              <w:rPr>
                <w:b/>
                <w:sz w:val="20"/>
                <w:szCs w:val="20"/>
              </w:rPr>
            </w:pPr>
          </w:p>
        </w:tc>
        <w:tc>
          <w:tcPr>
            <w:tcW w:w="6118" w:type="dxa"/>
            <w:gridSpan w:val="5"/>
            <w:tcBorders>
              <w:top w:val="double" w:sz="4" w:space="0" w:color="auto"/>
              <w:left w:val="nil"/>
              <w:bottom w:val="single" w:sz="4" w:space="0" w:color="auto"/>
              <w:right w:val="nil"/>
            </w:tcBorders>
            <w:vAlign w:val="center"/>
          </w:tcPr>
          <w:p w14:paraId="7EC2A013" w14:textId="3B36CE7D" w:rsidR="0004690D" w:rsidRPr="003E2DA1" w:rsidRDefault="0004690D" w:rsidP="0004690D">
            <w:pPr>
              <w:keepNext/>
              <w:spacing w:after="0"/>
              <w:rPr>
                <w:b/>
                <w:sz w:val="20"/>
                <w:szCs w:val="20"/>
              </w:rPr>
            </w:pPr>
            <w:r w:rsidRPr="003E2DA1">
              <w:rPr>
                <w:b/>
                <w:sz w:val="20"/>
                <w:szCs w:val="20"/>
              </w:rPr>
              <w:t xml:space="preserve">                          140 mg once daily</w:t>
            </w:r>
            <w:r w:rsidRPr="003E2DA1">
              <w:rPr>
                <w:b/>
                <w:sz w:val="20"/>
                <w:szCs w:val="20"/>
                <w:vertAlign w:val="superscript"/>
              </w:rPr>
              <w:t>a</w:t>
            </w:r>
          </w:p>
          <w:p w14:paraId="6386D6C9" w14:textId="79A57B79" w:rsidR="0004690D" w:rsidRPr="003E2DA1" w:rsidRDefault="0004690D" w:rsidP="0004690D">
            <w:pPr>
              <w:keepNext/>
              <w:spacing w:after="0"/>
              <w:rPr>
                <w:b/>
                <w:sz w:val="20"/>
                <w:szCs w:val="20"/>
              </w:rPr>
            </w:pPr>
            <w:r w:rsidRPr="003E2DA1">
              <w:rPr>
                <w:b/>
                <w:sz w:val="20"/>
                <w:szCs w:val="20"/>
              </w:rPr>
              <w:t xml:space="preserve">                                n = 304</w:t>
            </w:r>
          </w:p>
        </w:tc>
      </w:tr>
      <w:tr w:rsidR="0004690D" w:rsidRPr="003E2DA1" w14:paraId="55E0F581" w14:textId="77777777" w:rsidTr="0004690D">
        <w:trPr>
          <w:gridAfter w:val="1"/>
          <w:wAfter w:w="614" w:type="dxa"/>
          <w:cantSplit/>
          <w:trHeight w:val="320"/>
        </w:trPr>
        <w:tc>
          <w:tcPr>
            <w:tcW w:w="2954" w:type="dxa"/>
            <w:tcBorders>
              <w:top w:val="nil"/>
              <w:left w:val="nil"/>
              <w:bottom w:val="nil"/>
              <w:right w:val="nil"/>
            </w:tcBorders>
          </w:tcPr>
          <w:p w14:paraId="3931AC8E" w14:textId="77777777" w:rsidR="0004690D" w:rsidRPr="003E2DA1" w:rsidRDefault="0004690D" w:rsidP="0004690D">
            <w:pPr>
              <w:keepNext/>
              <w:spacing w:after="120"/>
              <w:ind w:left="270"/>
              <w:rPr>
                <w:b/>
                <w:sz w:val="20"/>
                <w:szCs w:val="20"/>
              </w:rPr>
            </w:pPr>
          </w:p>
        </w:tc>
        <w:tc>
          <w:tcPr>
            <w:tcW w:w="2076" w:type="dxa"/>
            <w:gridSpan w:val="2"/>
            <w:tcBorders>
              <w:top w:val="single" w:sz="4" w:space="0" w:color="auto"/>
              <w:left w:val="nil"/>
              <w:bottom w:val="single" w:sz="4" w:space="0" w:color="auto"/>
              <w:right w:val="nil"/>
            </w:tcBorders>
            <w:vAlign w:val="center"/>
          </w:tcPr>
          <w:p w14:paraId="41B5A452" w14:textId="77777777" w:rsidR="0004690D" w:rsidRPr="003E2DA1" w:rsidRDefault="0004690D" w:rsidP="0004690D">
            <w:pPr>
              <w:keepNext/>
              <w:spacing w:after="120"/>
              <w:jc w:val="center"/>
              <w:rPr>
                <w:rStyle w:val="BMSSuperscript"/>
                <w:b/>
                <w:sz w:val="20"/>
                <w:szCs w:val="20"/>
              </w:rPr>
            </w:pPr>
            <w:r w:rsidRPr="003E2DA1">
              <w:rPr>
                <w:b/>
                <w:sz w:val="20"/>
                <w:szCs w:val="20"/>
              </w:rPr>
              <w:t>All Grades</w:t>
            </w:r>
          </w:p>
        </w:tc>
        <w:tc>
          <w:tcPr>
            <w:tcW w:w="3192" w:type="dxa"/>
            <w:tcBorders>
              <w:top w:val="single" w:sz="4" w:space="0" w:color="auto"/>
              <w:left w:val="nil"/>
              <w:bottom w:val="single" w:sz="4" w:space="0" w:color="auto"/>
              <w:right w:val="nil"/>
            </w:tcBorders>
            <w:vAlign w:val="center"/>
          </w:tcPr>
          <w:p w14:paraId="3947AE66" w14:textId="3CB207B3" w:rsidR="0004690D" w:rsidRPr="003E2DA1" w:rsidRDefault="0004690D" w:rsidP="0004690D">
            <w:pPr>
              <w:keepNext/>
              <w:spacing w:after="120"/>
              <w:jc w:val="center"/>
              <w:rPr>
                <w:rStyle w:val="BMSSuperscript"/>
                <w:b/>
                <w:sz w:val="20"/>
                <w:szCs w:val="20"/>
              </w:rPr>
            </w:pPr>
            <w:r w:rsidRPr="003E2DA1">
              <w:rPr>
                <w:b/>
                <w:sz w:val="20"/>
                <w:szCs w:val="20"/>
              </w:rPr>
              <w:t>Grade 3/4</w:t>
            </w:r>
          </w:p>
        </w:tc>
        <w:tc>
          <w:tcPr>
            <w:tcW w:w="236" w:type="dxa"/>
            <w:tcBorders>
              <w:top w:val="single" w:sz="4" w:space="0" w:color="auto"/>
              <w:left w:val="nil"/>
              <w:bottom w:val="single" w:sz="4" w:space="0" w:color="auto"/>
              <w:right w:val="nil"/>
            </w:tcBorders>
            <w:vAlign w:val="center"/>
          </w:tcPr>
          <w:p w14:paraId="0DFA4976" w14:textId="77777777" w:rsidR="0004690D" w:rsidRPr="003E2DA1" w:rsidRDefault="0004690D" w:rsidP="0004690D">
            <w:pPr>
              <w:keepNext/>
              <w:spacing w:after="120"/>
              <w:jc w:val="center"/>
              <w:rPr>
                <w:b/>
                <w:sz w:val="20"/>
                <w:szCs w:val="20"/>
              </w:rPr>
            </w:pPr>
          </w:p>
        </w:tc>
      </w:tr>
      <w:tr w:rsidR="00F75E7E" w:rsidRPr="003E2DA1" w14:paraId="11C626CB" w14:textId="77777777" w:rsidTr="0004690D">
        <w:trPr>
          <w:cantSplit/>
          <w:trHeight w:val="320"/>
        </w:trPr>
        <w:tc>
          <w:tcPr>
            <w:tcW w:w="2954" w:type="dxa"/>
            <w:tcBorders>
              <w:top w:val="nil"/>
              <w:left w:val="nil"/>
              <w:bottom w:val="single" w:sz="4" w:space="0" w:color="auto"/>
              <w:right w:val="nil"/>
            </w:tcBorders>
          </w:tcPr>
          <w:p w14:paraId="0ADA564E" w14:textId="77777777" w:rsidR="00F75E7E" w:rsidRPr="003E2DA1" w:rsidRDefault="00F75E7E" w:rsidP="0004690D">
            <w:pPr>
              <w:keepNext/>
              <w:spacing w:after="120"/>
              <w:rPr>
                <w:b/>
                <w:sz w:val="20"/>
                <w:szCs w:val="20"/>
              </w:rPr>
            </w:pPr>
            <w:r w:rsidRPr="003E2DA1">
              <w:rPr>
                <w:b/>
                <w:sz w:val="20"/>
                <w:szCs w:val="20"/>
              </w:rPr>
              <w:t>Preferred  Term</w:t>
            </w:r>
          </w:p>
        </w:tc>
        <w:tc>
          <w:tcPr>
            <w:tcW w:w="6118" w:type="dxa"/>
            <w:gridSpan w:val="5"/>
            <w:tcBorders>
              <w:top w:val="single" w:sz="4" w:space="0" w:color="auto"/>
              <w:left w:val="nil"/>
              <w:bottom w:val="single" w:sz="4" w:space="0" w:color="auto"/>
              <w:right w:val="nil"/>
            </w:tcBorders>
            <w:vAlign w:val="center"/>
          </w:tcPr>
          <w:p w14:paraId="75C49647" w14:textId="71FE2F7C" w:rsidR="00F75E7E" w:rsidRPr="003E2DA1" w:rsidRDefault="0004690D" w:rsidP="0004690D">
            <w:pPr>
              <w:keepNext/>
              <w:spacing w:after="120"/>
              <w:rPr>
                <w:b/>
                <w:sz w:val="20"/>
                <w:szCs w:val="20"/>
              </w:rPr>
            </w:pPr>
            <w:r w:rsidRPr="003E2DA1">
              <w:rPr>
                <w:b/>
                <w:sz w:val="20"/>
                <w:szCs w:val="20"/>
              </w:rPr>
              <w:t xml:space="preserve">                       </w:t>
            </w:r>
            <w:r w:rsidR="00F75E7E" w:rsidRPr="003E2DA1">
              <w:rPr>
                <w:b/>
                <w:sz w:val="20"/>
                <w:szCs w:val="20"/>
              </w:rPr>
              <w:t>Percent (%) of Patients</w:t>
            </w:r>
          </w:p>
        </w:tc>
      </w:tr>
      <w:tr w:rsidR="0004690D" w:rsidRPr="003E2DA1" w14:paraId="43BBE13C" w14:textId="77777777" w:rsidTr="0004690D">
        <w:trPr>
          <w:cantSplit/>
        </w:trPr>
        <w:tc>
          <w:tcPr>
            <w:tcW w:w="2954" w:type="dxa"/>
            <w:tcBorders>
              <w:top w:val="nil"/>
              <w:left w:val="nil"/>
              <w:bottom w:val="nil"/>
              <w:right w:val="nil"/>
            </w:tcBorders>
            <w:vAlign w:val="center"/>
          </w:tcPr>
          <w:p w14:paraId="79CAFD1A" w14:textId="77777777" w:rsidR="0004690D" w:rsidRPr="003E2DA1" w:rsidRDefault="0004690D" w:rsidP="00F75E7E">
            <w:pPr>
              <w:keepNext/>
              <w:tabs>
                <w:tab w:val="left" w:pos="0"/>
              </w:tabs>
              <w:rPr>
                <w:b/>
                <w:sz w:val="20"/>
                <w:szCs w:val="20"/>
              </w:rPr>
            </w:pPr>
            <w:r w:rsidRPr="003E2DA1">
              <w:rPr>
                <w:b/>
                <w:sz w:val="20"/>
                <w:szCs w:val="20"/>
              </w:rPr>
              <w:t>Diarrhoea</w:t>
            </w:r>
          </w:p>
        </w:tc>
        <w:tc>
          <w:tcPr>
            <w:tcW w:w="2025" w:type="dxa"/>
            <w:tcBorders>
              <w:top w:val="nil"/>
              <w:left w:val="nil"/>
              <w:bottom w:val="nil"/>
              <w:right w:val="nil"/>
            </w:tcBorders>
          </w:tcPr>
          <w:p w14:paraId="7B5CD9F5" w14:textId="77777777" w:rsidR="0004690D" w:rsidRPr="003E2DA1" w:rsidRDefault="0004690D" w:rsidP="00F75E7E">
            <w:pPr>
              <w:keepNext/>
              <w:jc w:val="center"/>
              <w:rPr>
                <w:sz w:val="20"/>
                <w:szCs w:val="20"/>
              </w:rPr>
            </w:pPr>
            <w:r w:rsidRPr="003E2DA1">
              <w:rPr>
                <w:sz w:val="20"/>
                <w:szCs w:val="20"/>
              </w:rPr>
              <w:t>28</w:t>
            </w:r>
          </w:p>
        </w:tc>
        <w:tc>
          <w:tcPr>
            <w:tcW w:w="4093" w:type="dxa"/>
            <w:gridSpan w:val="4"/>
            <w:tcBorders>
              <w:top w:val="nil"/>
              <w:left w:val="nil"/>
              <w:bottom w:val="nil"/>
              <w:right w:val="nil"/>
            </w:tcBorders>
          </w:tcPr>
          <w:p w14:paraId="29D3F71D" w14:textId="5651C466" w:rsidR="0004690D" w:rsidRPr="003E2DA1" w:rsidRDefault="0004690D" w:rsidP="00F75E7E">
            <w:pPr>
              <w:keepNext/>
              <w:jc w:val="center"/>
              <w:rPr>
                <w:sz w:val="20"/>
                <w:szCs w:val="20"/>
              </w:rPr>
            </w:pPr>
            <w:r w:rsidRPr="003E2DA1">
              <w:rPr>
                <w:sz w:val="20"/>
                <w:szCs w:val="20"/>
              </w:rPr>
              <w:t>3</w:t>
            </w:r>
          </w:p>
        </w:tc>
      </w:tr>
      <w:tr w:rsidR="0004690D" w:rsidRPr="003E2DA1" w14:paraId="46567161" w14:textId="77777777" w:rsidTr="0004690D">
        <w:trPr>
          <w:cantSplit/>
        </w:trPr>
        <w:tc>
          <w:tcPr>
            <w:tcW w:w="2954" w:type="dxa"/>
            <w:tcBorders>
              <w:top w:val="nil"/>
              <w:left w:val="nil"/>
              <w:bottom w:val="nil"/>
              <w:right w:val="nil"/>
            </w:tcBorders>
            <w:vAlign w:val="center"/>
          </w:tcPr>
          <w:p w14:paraId="19BCA280" w14:textId="77777777" w:rsidR="0004690D" w:rsidRPr="003E2DA1" w:rsidRDefault="0004690D" w:rsidP="00F75E7E">
            <w:pPr>
              <w:keepNext/>
              <w:tabs>
                <w:tab w:val="left" w:pos="360"/>
              </w:tabs>
              <w:rPr>
                <w:b/>
                <w:sz w:val="20"/>
                <w:szCs w:val="20"/>
              </w:rPr>
            </w:pPr>
            <w:r w:rsidRPr="003E2DA1">
              <w:rPr>
                <w:b/>
                <w:sz w:val="20"/>
                <w:szCs w:val="20"/>
              </w:rPr>
              <w:t>Fluid Retention</w:t>
            </w:r>
            <w:r w:rsidRPr="003E2DA1">
              <w:rPr>
                <w:b/>
                <w:sz w:val="20"/>
                <w:szCs w:val="20"/>
                <w:vertAlign w:val="superscript"/>
              </w:rPr>
              <w:t>c</w:t>
            </w:r>
          </w:p>
        </w:tc>
        <w:tc>
          <w:tcPr>
            <w:tcW w:w="2025" w:type="dxa"/>
            <w:tcBorders>
              <w:top w:val="nil"/>
              <w:left w:val="nil"/>
              <w:bottom w:val="nil"/>
              <w:right w:val="nil"/>
            </w:tcBorders>
          </w:tcPr>
          <w:p w14:paraId="74B2CAF5" w14:textId="77777777" w:rsidR="0004690D" w:rsidRPr="003E2DA1" w:rsidRDefault="0004690D" w:rsidP="00F75E7E">
            <w:pPr>
              <w:keepNext/>
              <w:jc w:val="center"/>
              <w:rPr>
                <w:sz w:val="20"/>
                <w:szCs w:val="20"/>
              </w:rPr>
            </w:pPr>
            <w:r w:rsidRPr="003E2DA1">
              <w:rPr>
                <w:sz w:val="20"/>
                <w:szCs w:val="20"/>
              </w:rPr>
              <w:t>33</w:t>
            </w:r>
          </w:p>
        </w:tc>
        <w:tc>
          <w:tcPr>
            <w:tcW w:w="4093" w:type="dxa"/>
            <w:gridSpan w:val="4"/>
            <w:tcBorders>
              <w:top w:val="nil"/>
              <w:left w:val="nil"/>
              <w:bottom w:val="nil"/>
              <w:right w:val="nil"/>
            </w:tcBorders>
          </w:tcPr>
          <w:p w14:paraId="7B389FC6" w14:textId="1EEA1FED" w:rsidR="0004690D" w:rsidRPr="003E2DA1" w:rsidRDefault="0004690D" w:rsidP="00F75E7E">
            <w:pPr>
              <w:keepNext/>
              <w:jc w:val="center"/>
              <w:rPr>
                <w:sz w:val="20"/>
                <w:szCs w:val="20"/>
              </w:rPr>
            </w:pPr>
            <w:r w:rsidRPr="003E2DA1">
              <w:rPr>
                <w:sz w:val="20"/>
                <w:szCs w:val="20"/>
              </w:rPr>
              <w:t>7</w:t>
            </w:r>
          </w:p>
        </w:tc>
      </w:tr>
      <w:tr w:rsidR="0004690D" w:rsidRPr="003E2DA1" w14:paraId="4E0E4A1B" w14:textId="77777777" w:rsidTr="0004690D">
        <w:trPr>
          <w:cantSplit/>
        </w:trPr>
        <w:tc>
          <w:tcPr>
            <w:tcW w:w="2954" w:type="dxa"/>
            <w:tcBorders>
              <w:top w:val="nil"/>
              <w:left w:val="nil"/>
              <w:bottom w:val="nil"/>
              <w:right w:val="nil"/>
            </w:tcBorders>
            <w:vAlign w:val="center"/>
          </w:tcPr>
          <w:p w14:paraId="7D487937" w14:textId="77777777" w:rsidR="0004690D" w:rsidRPr="003E2DA1" w:rsidRDefault="0004690D" w:rsidP="00F75E7E">
            <w:pPr>
              <w:keepNext/>
              <w:tabs>
                <w:tab w:val="left" w:pos="360"/>
              </w:tabs>
              <w:rPr>
                <w:sz w:val="20"/>
                <w:szCs w:val="20"/>
              </w:rPr>
            </w:pPr>
            <w:r w:rsidRPr="003E2DA1">
              <w:rPr>
                <w:sz w:val="20"/>
                <w:szCs w:val="20"/>
              </w:rPr>
              <w:tab/>
              <w:t>Superficial oedema</w:t>
            </w:r>
          </w:p>
        </w:tc>
        <w:tc>
          <w:tcPr>
            <w:tcW w:w="2025" w:type="dxa"/>
            <w:tcBorders>
              <w:top w:val="nil"/>
              <w:left w:val="nil"/>
              <w:bottom w:val="nil"/>
              <w:right w:val="nil"/>
            </w:tcBorders>
          </w:tcPr>
          <w:p w14:paraId="605F3128" w14:textId="77777777" w:rsidR="0004690D" w:rsidRPr="003E2DA1" w:rsidRDefault="0004690D" w:rsidP="00F75E7E">
            <w:pPr>
              <w:keepNext/>
              <w:jc w:val="center"/>
              <w:rPr>
                <w:sz w:val="20"/>
                <w:szCs w:val="20"/>
              </w:rPr>
            </w:pPr>
            <w:r w:rsidRPr="003E2DA1">
              <w:rPr>
                <w:sz w:val="20"/>
                <w:szCs w:val="20"/>
              </w:rPr>
              <w:t>15</w:t>
            </w:r>
          </w:p>
        </w:tc>
        <w:tc>
          <w:tcPr>
            <w:tcW w:w="4093" w:type="dxa"/>
            <w:gridSpan w:val="4"/>
            <w:tcBorders>
              <w:top w:val="nil"/>
              <w:left w:val="nil"/>
              <w:bottom w:val="nil"/>
              <w:right w:val="nil"/>
            </w:tcBorders>
          </w:tcPr>
          <w:p w14:paraId="22B67E0C" w14:textId="3B4E7D10" w:rsidR="0004690D" w:rsidRPr="003E2DA1" w:rsidRDefault="0004690D" w:rsidP="00F75E7E">
            <w:pPr>
              <w:keepNext/>
              <w:jc w:val="center"/>
              <w:rPr>
                <w:sz w:val="20"/>
                <w:szCs w:val="20"/>
              </w:rPr>
            </w:pPr>
            <w:r w:rsidRPr="003E2DA1">
              <w:rPr>
                <w:sz w:val="20"/>
                <w:szCs w:val="20"/>
              </w:rPr>
              <w:t>&lt;1</w:t>
            </w:r>
          </w:p>
        </w:tc>
      </w:tr>
      <w:tr w:rsidR="0004690D" w:rsidRPr="003E2DA1" w14:paraId="0A08ECD8" w14:textId="77777777" w:rsidTr="0004690D">
        <w:trPr>
          <w:cantSplit/>
        </w:trPr>
        <w:tc>
          <w:tcPr>
            <w:tcW w:w="2954" w:type="dxa"/>
            <w:tcBorders>
              <w:top w:val="nil"/>
              <w:left w:val="nil"/>
              <w:bottom w:val="nil"/>
              <w:right w:val="nil"/>
            </w:tcBorders>
            <w:vAlign w:val="center"/>
          </w:tcPr>
          <w:p w14:paraId="153DCD0C" w14:textId="77777777" w:rsidR="0004690D" w:rsidRPr="003E2DA1" w:rsidRDefault="0004690D" w:rsidP="00F75E7E">
            <w:pPr>
              <w:keepNext/>
              <w:tabs>
                <w:tab w:val="left" w:pos="360"/>
              </w:tabs>
              <w:rPr>
                <w:sz w:val="20"/>
                <w:szCs w:val="20"/>
              </w:rPr>
            </w:pPr>
            <w:r w:rsidRPr="003E2DA1">
              <w:rPr>
                <w:sz w:val="20"/>
                <w:szCs w:val="20"/>
              </w:rPr>
              <w:tab/>
              <w:t>Pleural Effusion</w:t>
            </w:r>
          </w:p>
        </w:tc>
        <w:tc>
          <w:tcPr>
            <w:tcW w:w="2025" w:type="dxa"/>
            <w:tcBorders>
              <w:top w:val="nil"/>
              <w:left w:val="nil"/>
              <w:bottom w:val="nil"/>
              <w:right w:val="nil"/>
            </w:tcBorders>
          </w:tcPr>
          <w:p w14:paraId="7EEFF3A9" w14:textId="77777777" w:rsidR="0004690D" w:rsidRPr="003E2DA1" w:rsidRDefault="0004690D" w:rsidP="00F75E7E">
            <w:pPr>
              <w:keepNext/>
              <w:jc w:val="center"/>
              <w:rPr>
                <w:sz w:val="20"/>
                <w:szCs w:val="20"/>
              </w:rPr>
            </w:pPr>
            <w:r w:rsidRPr="003E2DA1">
              <w:rPr>
                <w:sz w:val="20"/>
                <w:szCs w:val="20"/>
              </w:rPr>
              <w:t>20</w:t>
            </w:r>
          </w:p>
        </w:tc>
        <w:tc>
          <w:tcPr>
            <w:tcW w:w="4093" w:type="dxa"/>
            <w:gridSpan w:val="4"/>
            <w:vMerge w:val="restart"/>
            <w:tcBorders>
              <w:top w:val="nil"/>
              <w:left w:val="nil"/>
              <w:right w:val="nil"/>
            </w:tcBorders>
          </w:tcPr>
          <w:p w14:paraId="671632ED" w14:textId="77777777" w:rsidR="0004690D" w:rsidRPr="003E2DA1" w:rsidRDefault="0004690D" w:rsidP="00F75E7E">
            <w:pPr>
              <w:keepNext/>
              <w:jc w:val="center"/>
              <w:rPr>
                <w:sz w:val="20"/>
                <w:szCs w:val="20"/>
              </w:rPr>
            </w:pPr>
            <w:r w:rsidRPr="003E2DA1">
              <w:rPr>
                <w:sz w:val="20"/>
                <w:szCs w:val="20"/>
              </w:rPr>
              <w:t>6</w:t>
            </w:r>
          </w:p>
          <w:p w14:paraId="081789AA" w14:textId="59AC9353" w:rsidR="0004690D" w:rsidRPr="003E2DA1" w:rsidRDefault="0004690D" w:rsidP="00F75E7E">
            <w:pPr>
              <w:keepNext/>
              <w:jc w:val="center"/>
              <w:rPr>
                <w:sz w:val="20"/>
                <w:szCs w:val="20"/>
              </w:rPr>
            </w:pPr>
            <w:r w:rsidRPr="003E2DA1">
              <w:rPr>
                <w:sz w:val="20"/>
                <w:szCs w:val="20"/>
              </w:rPr>
              <w:t>0</w:t>
            </w:r>
          </w:p>
        </w:tc>
      </w:tr>
      <w:tr w:rsidR="0004690D" w:rsidRPr="003E2DA1" w14:paraId="76D964FB" w14:textId="77777777" w:rsidTr="0004690D">
        <w:trPr>
          <w:cantSplit/>
        </w:trPr>
        <w:tc>
          <w:tcPr>
            <w:tcW w:w="2954" w:type="dxa"/>
            <w:tcBorders>
              <w:top w:val="nil"/>
              <w:left w:val="nil"/>
              <w:bottom w:val="nil"/>
              <w:right w:val="nil"/>
            </w:tcBorders>
            <w:vAlign w:val="center"/>
          </w:tcPr>
          <w:p w14:paraId="1372C2C9" w14:textId="77777777" w:rsidR="0004690D" w:rsidRPr="003E2DA1" w:rsidRDefault="0004690D" w:rsidP="00F75E7E">
            <w:pPr>
              <w:keepNext/>
              <w:tabs>
                <w:tab w:val="left" w:pos="360"/>
              </w:tabs>
              <w:ind w:left="360"/>
              <w:rPr>
                <w:sz w:val="20"/>
                <w:szCs w:val="20"/>
              </w:rPr>
            </w:pPr>
            <w:r w:rsidRPr="003E2DA1">
              <w:rPr>
                <w:sz w:val="20"/>
                <w:szCs w:val="20"/>
              </w:rPr>
              <w:t>Generalised oedema</w:t>
            </w:r>
          </w:p>
        </w:tc>
        <w:tc>
          <w:tcPr>
            <w:tcW w:w="2025" w:type="dxa"/>
            <w:tcBorders>
              <w:top w:val="nil"/>
              <w:left w:val="nil"/>
              <w:bottom w:val="nil"/>
              <w:right w:val="nil"/>
            </w:tcBorders>
          </w:tcPr>
          <w:p w14:paraId="34A741DB" w14:textId="77777777" w:rsidR="0004690D" w:rsidRPr="003E2DA1" w:rsidRDefault="0004690D" w:rsidP="00F75E7E">
            <w:pPr>
              <w:keepNext/>
              <w:jc w:val="center"/>
              <w:rPr>
                <w:sz w:val="20"/>
                <w:szCs w:val="20"/>
              </w:rPr>
            </w:pPr>
            <w:r w:rsidRPr="003E2DA1">
              <w:rPr>
                <w:sz w:val="20"/>
                <w:szCs w:val="20"/>
              </w:rPr>
              <w:t>2</w:t>
            </w:r>
          </w:p>
        </w:tc>
        <w:tc>
          <w:tcPr>
            <w:tcW w:w="4093" w:type="dxa"/>
            <w:gridSpan w:val="4"/>
            <w:vMerge/>
            <w:tcBorders>
              <w:left w:val="nil"/>
              <w:bottom w:val="nil"/>
              <w:right w:val="nil"/>
            </w:tcBorders>
          </w:tcPr>
          <w:p w14:paraId="3D8D754A" w14:textId="7BC8F2C4" w:rsidR="0004690D" w:rsidRPr="003E2DA1" w:rsidRDefault="0004690D" w:rsidP="00F75E7E">
            <w:pPr>
              <w:keepNext/>
              <w:jc w:val="center"/>
              <w:rPr>
                <w:sz w:val="20"/>
                <w:szCs w:val="20"/>
              </w:rPr>
            </w:pPr>
          </w:p>
        </w:tc>
      </w:tr>
      <w:tr w:rsidR="0004690D" w:rsidRPr="003E2DA1" w14:paraId="1557ACD7" w14:textId="77777777" w:rsidTr="0004690D">
        <w:trPr>
          <w:cantSplit/>
        </w:trPr>
        <w:tc>
          <w:tcPr>
            <w:tcW w:w="2954" w:type="dxa"/>
            <w:tcBorders>
              <w:top w:val="nil"/>
              <w:left w:val="nil"/>
              <w:bottom w:val="nil"/>
              <w:right w:val="nil"/>
            </w:tcBorders>
            <w:vAlign w:val="center"/>
          </w:tcPr>
          <w:p w14:paraId="0D03EDDE" w14:textId="77777777" w:rsidR="0004690D" w:rsidRPr="003E2DA1" w:rsidRDefault="0004690D" w:rsidP="00F75E7E">
            <w:pPr>
              <w:keepNext/>
              <w:ind w:left="630" w:hanging="270"/>
              <w:rPr>
                <w:sz w:val="20"/>
                <w:szCs w:val="20"/>
              </w:rPr>
            </w:pPr>
            <w:r w:rsidRPr="003E2DA1">
              <w:rPr>
                <w:sz w:val="20"/>
                <w:szCs w:val="20"/>
              </w:rPr>
              <w:t>Congestive heart failure/ cardiac dysfunction</w:t>
            </w:r>
            <w:r w:rsidRPr="003E2DA1">
              <w:rPr>
                <w:sz w:val="20"/>
                <w:szCs w:val="20"/>
                <w:vertAlign w:val="superscript"/>
              </w:rPr>
              <w:t>b</w:t>
            </w:r>
          </w:p>
        </w:tc>
        <w:tc>
          <w:tcPr>
            <w:tcW w:w="2025" w:type="dxa"/>
            <w:tcBorders>
              <w:top w:val="nil"/>
              <w:left w:val="nil"/>
              <w:bottom w:val="nil"/>
              <w:right w:val="nil"/>
            </w:tcBorders>
          </w:tcPr>
          <w:p w14:paraId="6AC91AB6" w14:textId="77777777" w:rsidR="0004690D" w:rsidRPr="003E2DA1" w:rsidRDefault="0004690D" w:rsidP="00F75E7E">
            <w:pPr>
              <w:keepNext/>
              <w:jc w:val="center"/>
              <w:rPr>
                <w:sz w:val="20"/>
                <w:szCs w:val="20"/>
              </w:rPr>
            </w:pPr>
            <w:r w:rsidRPr="003E2DA1">
              <w:rPr>
                <w:sz w:val="20"/>
                <w:szCs w:val="20"/>
              </w:rPr>
              <w:t>1</w:t>
            </w:r>
          </w:p>
        </w:tc>
        <w:tc>
          <w:tcPr>
            <w:tcW w:w="4093" w:type="dxa"/>
            <w:gridSpan w:val="4"/>
            <w:tcBorders>
              <w:top w:val="nil"/>
              <w:left w:val="nil"/>
              <w:bottom w:val="nil"/>
              <w:right w:val="nil"/>
            </w:tcBorders>
          </w:tcPr>
          <w:p w14:paraId="45096AEC" w14:textId="00A76FC6" w:rsidR="0004690D" w:rsidRPr="003E2DA1" w:rsidRDefault="0004690D" w:rsidP="00F75E7E">
            <w:pPr>
              <w:keepNext/>
              <w:jc w:val="center"/>
              <w:rPr>
                <w:sz w:val="20"/>
                <w:szCs w:val="20"/>
              </w:rPr>
            </w:pPr>
            <w:r w:rsidRPr="003E2DA1">
              <w:rPr>
                <w:sz w:val="20"/>
                <w:szCs w:val="20"/>
              </w:rPr>
              <w:t>0</w:t>
            </w:r>
          </w:p>
        </w:tc>
      </w:tr>
      <w:tr w:rsidR="0004690D" w:rsidRPr="003E2DA1" w14:paraId="3652B0FF" w14:textId="77777777" w:rsidTr="0004690D">
        <w:trPr>
          <w:cantSplit/>
        </w:trPr>
        <w:tc>
          <w:tcPr>
            <w:tcW w:w="2954" w:type="dxa"/>
            <w:tcBorders>
              <w:top w:val="nil"/>
              <w:left w:val="nil"/>
              <w:bottom w:val="nil"/>
              <w:right w:val="nil"/>
            </w:tcBorders>
            <w:vAlign w:val="center"/>
          </w:tcPr>
          <w:p w14:paraId="5F8E640F" w14:textId="77777777" w:rsidR="0004690D" w:rsidRPr="003E2DA1" w:rsidRDefault="0004690D" w:rsidP="00F75E7E">
            <w:pPr>
              <w:keepNext/>
              <w:tabs>
                <w:tab w:val="left" w:pos="360"/>
              </w:tabs>
              <w:ind w:left="360"/>
              <w:rPr>
                <w:sz w:val="20"/>
                <w:szCs w:val="20"/>
              </w:rPr>
            </w:pPr>
            <w:r w:rsidRPr="003E2DA1">
              <w:rPr>
                <w:sz w:val="20"/>
                <w:szCs w:val="20"/>
              </w:rPr>
              <w:t>Pericardial effusion</w:t>
            </w:r>
          </w:p>
        </w:tc>
        <w:tc>
          <w:tcPr>
            <w:tcW w:w="2025" w:type="dxa"/>
            <w:tcBorders>
              <w:top w:val="nil"/>
              <w:left w:val="nil"/>
              <w:bottom w:val="nil"/>
              <w:right w:val="nil"/>
            </w:tcBorders>
          </w:tcPr>
          <w:p w14:paraId="74A176E0" w14:textId="77777777" w:rsidR="0004690D" w:rsidRPr="003E2DA1" w:rsidRDefault="0004690D" w:rsidP="00F75E7E">
            <w:pPr>
              <w:keepNext/>
              <w:jc w:val="center"/>
              <w:rPr>
                <w:sz w:val="20"/>
                <w:szCs w:val="20"/>
              </w:rPr>
            </w:pPr>
            <w:r w:rsidRPr="003E2DA1">
              <w:rPr>
                <w:sz w:val="20"/>
                <w:szCs w:val="20"/>
              </w:rPr>
              <w:t>2</w:t>
            </w:r>
          </w:p>
        </w:tc>
        <w:tc>
          <w:tcPr>
            <w:tcW w:w="4093" w:type="dxa"/>
            <w:gridSpan w:val="4"/>
            <w:tcBorders>
              <w:top w:val="nil"/>
              <w:left w:val="nil"/>
              <w:bottom w:val="nil"/>
              <w:right w:val="nil"/>
            </w:tcBorders>
          </w:tcPr>
          <w:p w14:paraId="6CE207D0" w14:textId="54F9EBA2" w:rsidR="0004690D" w:rsidRPr="003E2DA1" w:rsidRDefault="0004690D" w:rsidP="00F75E7E">
            <w:pPr>
              <w:keepNext/>
              <w:jc w:val="center"/>
              <w:rPr>
                <w:sz w:val="20"/>
                <w:szCs w:val="20"/>
              </w:rPr>
            </w:pPr>
            <w:r w:rsidRPr="003E2DA1">
              <w:rPr>
                <w:sz w:val="20"/>
                <w:szCs w:val="20"/>
              </w:rPr>
              <w:t>1</w:t>
            </w:r>
          </w:p>
        </w:tc>
      </w:tr>
      <w:tr w:rsidR="0004690D" w:rsidRPr="003E2DA1" w14:paraId="5DC8DB4E" w14:textId="77777777" w:rsidTr="0004690D">
        <w:trPr>
          <w:cantSplit/>
        </w:trPr>
        <w:tc>
          <w:tcPr>
            <w:tcW w:w="2954" w:type="dxa"/>
            <w:tcBorders>
              <w:top w:val="nil"/>
              <w:left w:val="nil"/>
              <w:bottom w:val="nil"/>
              <w:right w:val="nil"/>
            </w:tcBorders>
            <w:vAlign w:val="center"/>
          </w:tcPr>
          <w:p w14:paraId="1D5CF8FC" w14:textId="77777777" w:rsidR="0004690D" w:rsidRPr="003E2DA1" w:rsidRDefault="0004690D" w:rsidP="00F75E7E">
            <w:pPr>
              <w:keepNext/>
              <w:tabs>
                <w:tab w:val="left" w:pos="360"/>
              </w:tabs>
              <w:ind w:left="360"/>
              <w:rPr>
                <w:sz w:val="20"/>
                <w:szCs w:val="20"/>
              </w:rPr>
            </w:pPr>
            <w:r w:rsidRPr="003E2DA1">
              <w:rPr>
                <w:sz w:val="20"/>
                <w:szCs w:val="20"/>
              </w:rPr>
              <w:t>Pulmonary oedema</w:t>
            </w:r>
          </w:p>
        </w:tc>
        <w:tc>
          <w:tcPr>
            <w:tcW w:w="2025" w:type="dxa"/>
            <w:tcBorders>
              <w:top w:val="nil"/>
              <w:left w:val="nil"/>
              <w:bottom w:val="nil"/>
              <w:right w:val="nil"/>
            </w:tcBorders>
          </w:tcPr>
          <w:p w14:paraId="12C8A6EE" w14:textId="77777777" w:rsidR="0004690D" w:rsidRPr="003E2DA1" w:rsidRDefault="0004690D" w:rsidP="00F75E7E">
            <w:pPr>
              <w:keepNext/>
              <w:jc w:val="center"/>
              <w:rPr>
                <w:sz w:val="20"/>
                <w:szCs w:val="20"/>
              </w:rPr>
            </w:pPr>
            <w:r w:rsidRPr="003E2DA1">
              <w:rPr>
                <w:sz w:val="20"/>
                <w:szCs w:val="20"/>
              </w:rPr>
              <w:t>1</w:t>
            </w:r>
          </w:p>
        </w:tc>
        <w:tc>
          <w:tcPr>
            <w:tcW w:w="4093" w:type="dxa"/>
            <w:gridSpan w:val="4"/>
            <w:tcBorders>
              <w:top w:val="nil"/>
              <w:left w:val="nil"/>
              <w:bottom w:val="nil"/>
              <w:right w:val="nil"/>
            </w:tcBorders>
          </w:tcPr>
          <w:p w14:paraId="29DEA767" w14:textId="7813EB2D" w:rsidR="0004690D" w:rsidRPr="003E2DA1" w:rsidRDefault="0004690D" w:rsidP="00F75E7E">
            <w:pPr>
              <w:keepNext/>
              <w:jc w:val="center"/>
              <w:rPr>
                <w:sz w:val="20"/>
                <w:szCs w:val="20"/>
              </w:rPr>
            </w:pPr>
            <w:r w:rsidRPr="003E2DA1">
              <w:rPr>
                <w:sz w:val="20"/>
                <w:szCs w:val="20"/>
              </w:rPr>
              <w:t>1</w:t>
            </w:r>
          </w:p>
        </w:tc>
      </w:tr>
      <w:tr w:rsidR="0004690D" w:rsidRPr="003E2DA1" w14:paraId="59A8C535" w14:textId="77777777" w:rsidTr="00341A90">
        <w:trPr>
          <w:cantSplit/>
        </w:trPr>
        <w:tc>
          <w:tcPr>
            <w:tcW w:w="2954" w:type="dxa"/>
            <w:tcBorders>
              <w:top w:val="nil"/>
              <w:left w:val="nil"/>
              <w:bottom w:val="nil"/>
              <w:right w:val="nil"/>
            </w:tcBorders>
            <w:vAlign w:val="center"/>
          </w:tcPr>
          <w:p w14:paraId="505F4816" w14:textId="77777777" w:rsidR="0004690D" w:rsidRPr="003E2DA1" w:rsidRDefault="0004690D" w:rsidP="00F75E7E">
            <w:pPr>
              <w:keepNext/>
              <w:tabs>
                <w:tab w:val="left" w:pos="0"/>
              </w:tabs>
              <w:rPr>
                <w:b/>
                <w:sz w:val="20"/>
                <w:szCs w:val="20"/>
              </w:rPr>
            </w:pPr>
            <w:r w:rsidRPr="003E2DA1">
              <w:rPr>
                <w:b/>
                <w:sz w:val="20"/>
                <w:szCs w:val="20"/>
              </w:rPr>
              <w:t>Haemorrhage</w:t>
            </w:r>
          </w:p>
        </w:tc>
        <w:tc>
          <w:tcPr>
            <w:tcW w:w="2025" w:type="dxa"/>
            <w:tcBorders>
              <w:top w:val="nil"/>
              <w:left w:val="nil"/>
              <w:bottom w:val="nil"/>
              <w:right w:val="nil"/>
            </w:tcBorders>
          </w:tcPr>
          <w:p w14:paraId="725D4164" w14:textId="77777777" w:rsidR="0004690D" w:rsidRPr="003E2DA1" w:rsidRDefault="0004690D" w:rsidP="00F75E7E">
            <w:pPr>
              <w:keepNext/>
              <w:jc w:val="center"/>
              <w:rPr>
                <w:sz w:val="20"/>
                <w:szCs w:val="20"/>
              </w:rPr>
            </w:pPr>
            <w:r w:rsidRPr="003E2DA1">
              <w:rPr>
                <w:sz w:val="20"/>
                <w:szCs w:val="20"/>
              </w:rPr>
              <w:t>23</w:t>
            </w:r>
          </w:p>
        </w:tc>
        <w:tc>
          <w:tcPr>
            <w:tcW w:w="4093" w:type="dxa"/>
            <w:gridSpan w:val="4"/>
            <w:tcBorders>
              <w:top w:val="nil"/>
              <w:left w:val="nil"/>
              <w:bottom w:val="nil"/>
              <w:right w:val="nil"/>
            </w:tcBorders>
          </w:tcPr>
          <w:p w14:paraId="75E1272C" w14:textId="2986E66B" w:rsidR="0004690D" w:rsidRPr="003E2DA1" w:rsidRDefault="0004690D" w:rsidP="00F75E7E">
            <w:pPr>
              <w:keepNext/>
              <w:jc w:val="center"/>
              <w:rPr>
                <w:sz w:val="20"/>
                <w:szCs w:val="20"/>
              </w:rPr>
            </w:pPr>
            <w:r w:rsidRPr="003E2DA1">
              <w:rPr>
                <w:sz w:val="20"/>
                <w:szCs w:val="20"/>
              </w:rPr>
              <w:t>8</w:t>
            </w:r>
          </w:p>
        </w:tc>
      </w:tr>
      <w:tr w:rsidR="0004690D" w:rsidRPr="003E2DA1" w14:paraId="3FD1E1FE" w14:textId="77777777" w:rsidTr="00341A90">
        <w:trPr>
          <w:cantSplit/>
        </w:trPr>
        <w:tc>
          <w:tcPr>
            <w:tcW w:w="2954" w:type="dxa"/>
            <w:tcBorders>
              <w:top w:val="nil"/>
              <w:left w:val="nil"/>
              <w:bottom w:val="double" w:sz="4" w:space="0" w:color="auto"/>
              <w:right w:val="nil"/>
            </w:tcBorders>
            <w:vAlign w:val="center"/>
          </w:tcPr>
          <w:p w14:paraId="3AA276C5" w14:textId="77777777" w:rsidR="0004690D" w:rsidRPr="003E2DA1" w:rsidRDefault="0004690D" w:rsidP="00F75E7E">
            <w:pPr>
              <w:ind w:left="330"/>
              <w:rPr>
                <w:sz w:val="20"/>
                <w:szCs w:val="20"/>
              </w:rPr>
            </w:pPr>
            <w:r w:rsidRPr="003E2DA1">
              <w:rPr>
                <w:sz w:val="20"/>
                <w:szCs w:val="20"/>
              </w:rPr>
              <w:t>Gastrointestinal bleeding</w:t>
            </w:r>
          </w:p>
        </w:tc>
        <w:tc>
          <w:tcPr>
            <w:tcW w:w="2025" w:type="dxa"/>
            <w:tcBorders>
              <w:top w:val="nil"/>
              <w:left w:val="nil"/>
              <w:bottom w:val="double" w:sz="4" w:space="0" w:color="auto"/>
              <w:right w:val="nil"/>
            </w:tcBorders>
          </w:tcPr>
          <w:p w14:paraId="05B3285B" w14:textId="77777777" w:rsidR="0004690D" w:rsidRPr="003E2DA1" w:rsidRDefault="0004690D" w:rsidP="00F75E7E">
            <w:pPr>
              <w:jc w:val="center"/>
              <w:rPr>
                <w:sz w:val="20"/>
                <w:szCs w:val="20"/>
              </w:rPr>
            </w:pPr>
            <w:r w:rsidRPr="003E2DA1">
              <w:rPr>
                <w:sz w:val="20"/>
                <w:szCs w:val="20"/>
              </w:rPr>
              <w:t>8</w:t>
            </w:r>
          </w:p>
        </w:tc>
        <w:tc>
          <w:tcPr>
            <w:tcW w:w="4093" w:type="dxa"/>
            <w:gridSpan w:val="4"/>
            <w:tcBorders>
              <w:top w:val="nil"/>
              <w:left w:val="nil"/>
              <w:bottom w:val="double" w:sz="4" w:space="0" w:color="auto"/>
              <w:right w:val="nil"/>
            </w:tcBorders>
          </w:tcPr>
          <w:p w14:paraId="589AA5A7" w14:textId="14D57A05" w:rsidR="0004690D" w:rsidRPr="003E2DA1" w:rsidRDefault="0004690D" w:rsidP="00F75E7E">
            <w:pPr>
              <w:jc w:val="center"/>
              <w:rPr>
                <w:sz w:val="20"/>
                <w:szCs w:val="20"/>
              </w:rPr>
            </w:pPr>
            <w:r w:rsidRPr="003E2DA1">
              <w:rPr>
                <w:sz w:val="20"/>
                <w:szCs w:val="20"/>
              </w:rPr>
              <w:t>6</w:t>
            </w:r>
          </w:p>
        </w:tc>
      </w:tr>
    </w:tbl>
    <w:p w14:paraId="71D79D72" w14:textId="77777777" w:rsidR="00F75E7E" w:rsidRPr="00265791" w:rsidRDefault="00F75E7E" w:rsidP="00341A90">
      <w:pPr>
        <w:pStyle w:val="EMEABodyText"/>
        <w:ind w:left="142"/>
        <w:jc w:val="both"/>
        <w:rPr>
          <w:sz w:val="18"/>
          <w:szCs w:val="18"/>
        </w:rPr>
      </w:pPr>
      <w:r w:rsidRPr="00265791">
        <w:rPr>
          <w:sz w:val="18"/>
          <w:szCs w:val="18"/>
          <w:vertAlign w:val="superscript"/>
        </w:rPr>
        <w:t>a</w:t>
      </w:r>
      <w:r w:rsidRPr="00265791">
        <w:rPr>
          <w:sz w:val="18"/>
          <w:szCs w:val="18"/>
        </w:rPr>
        <w:t xml:space="preserve"> </w:t>
      </w:r>
      <w:r>
        <w:rPr>
          <w:sz w:val="18"/>
          <w:szCs w:val="18"/>
        </w:rPr>
        <w:t>Phase III dose optimisation study results reported at the recommended starting dose of 140 mg once daily (n=304) population at 2 year final study follow up.</w:t>
      </w:r>
    </w:p>
    <w:p w14:paraId="77C005E3" w14:textId="77777777" w:rsidR="00F75E7E" w:rsidRDefault="00F75E7E" w:rsidP="00341A90">
      <w:pPr>
        <w:pStyle w:val="EMEABodyText"/>
        <w:ind w:left="142"/>
        <w:jc w:val="both"/>
        <w:rPr>
          <w:sz w:val="18"/>
          <w:szCs w:val="18"/>
        </w:rPr>
      </w:pPr>
      <w:r w:rsidRPr="00265791">
        <w:rPr>
          <w:sz w:val="18"/>
          <w:szCs w:val="18"/>
          <w:vertAlign w:val="superscript"/>
        </w:rPr>
        <w:t>b</w:t>
      </w:r>
      <w:r w:rsidRPr="00265791">
        <w:rPr>
          <w:sz w:val="18"/>
          <w:szCs w:val="18"/>
        </w:rPr>
        <w:t xml:space="preserve"> Includes ventricular dysfunction, cardiac failure, cardiac failure congestive, cardiomyopathy, congestive cardiomyopathy, diastolic dysfunction, ejection fraction decreased, and ventricular failure. </w:t>
      </w:r>
    </w:p>
    <w:p w14:paraId="1CAECFD3" w14:textId="77777777" w:rsidR="00F75E7E" w:rsidRPr="00265791" w:rsidRDefault="00F75E7E" w:rsidP="00341A90">
      <w:pPr>
        <w:pStyle w:val="EMEABodyText"/>
        <w:ind w:left="142"/>
        <w:jc w:val="both"/>
        <w:rPr>
          <w:sz w:val="18"/>
          <w:szCs w:val="18"/>
        </w:rPr>
      </w:pPr>
      <w:r>
        <w:rPr>
          <w:rStyle w:val="BMSSuperscript"/>
          <w:sz w:val="18"/>
          <w:szCs w:val="18"/>
        </w:rPr>
        <w:t xml:space="preserve">c </w:t>
      </w:r>
      <w:r w:rsidRPr="00103791">
        <w:rPr>
          <w:sz w:val="18"/>
          <w:szCs w:val="18"/>
        </w:rPr>
        <w:t>Miscellaneous adverse reactions such as pleural effusion, ascites, pulmonary oedema and pericardial effusion with or without superficial oedema may be collectively described as “fluid retention”</w:t>
      </w:r>
    </w:p>
    <w:p w14:paraId="79679CF4" w14:textId="77777777" w:rsidR="00F75E7E" w:rsidRPr="00265791" w:rsidRDefault="00F75E7E" w:rsidP="00341A90">
      <w:pPr>
        <w:ind w:left="142"/>
      </w:pPr>
    </w:p>
    <w:p w14:paraId="16FD2B8A" w14:textId="6C7CA68F" w:rsidR="00F75E7E" w:rsidRDefault="00F75E7E" w:rsidP="00F75E7E">
      <w:r>
        <w:t xml:space="preserve">No dedicated clinical trials have been conducted investigating the safety of dastinib in newly diagnosed Ph+ ALL as a primary outcome. </w:t>
      </w:r>
      <w:r w:rsidRPr="007F2619">
        <w:t>The safety profile of SPRYCEL in 4 Phase II clinical trials in newly diagnosed patients with Ph+ALL, was generally consistent with the safety profile in patients who were resistant or intolerant to prior therapy.</w:t>
      </w:r>
    </w:p>
    <w:p w14:paraId="74333DB9" w14:textId="44D9C3F4" w:rsidR="00F75E7E" w:rsidRPr="00265791" w:rsidRDefault="00F75E7E" w:rsidP="00F75E7E">
      <w:r w:rsidRPr="00265791">
        <w:lastRenderedPageBreak/>
        <w:t>The following adverse reactions, excluding laboratory abnormalities, were reported in patients in SPRYCEL clinical trials. These reactions are presented by system organ class and by frequency.</w:t>
      </w:r>
      <w:r>
        <w:t xml:space="preserve">  </w:t>
      </w:r>
      <w:r w:rsidRPr="00265791">
        <w:t xml:space="preserve">Frequencies are defined as: </w:t>
      </w:r>
      <w:r w:rsidRPr="00265791">
        <w:rPr>
          <w:i/>
        </w:rPr>
        <w:t xml:space="preserve">very common </w:t>
      </w:r>
      <w:r w:rsidRPr="00265791">
        <w:t xml:space="preserve">(≥ 1/10); </w:t>
      </w:r>
      <w:r w:rsidRPr="00265791">
        <w:rPr>
          <w:i/>
        </w:rPr>
        <w:t xml:space="preserve">common </w:t>
      </w:r>
      <w:r w:rsidRPr="00265791">
        <w:t xml:space="preserve">(≥ 1/100 to &lt; 1/10); </w:t>
      </w:r>
      <w:r w:rsidRPr="00265791">
        <w:rPr>
          <w:i/>
        </w:rPr>
        <w:t xml:space="preserve">uncommon </w:t>
      </w:r>
      <w:r w:rsidRPr="00265791">
        <w:t xml:space="preserve">(≥ 1/1,000 to &lt; 1/100); </w:t>
      </w:r>
      <w:r w:rsidRPr="00265791">
        <w:rPr>
          <w:i/>
        </w:rPr>
        <w:t xml:space="preserve">rare </w:t>
      </w:r>
      <w:r w:rsidRPr="00265791">
        <w:t>(≥ 1/10,000 to &lt; 1/1,000). Within each frequency grouping, undesirable effects are presented in order of decreasing seriousness.</w:t>
      </w:r>
    </w:p>
    <w:p w14:paraId="146B8CE2" w14:textId="77777777" w:rsidR="00F75E7E" w:rsidRPr="00265791" w:rsidRDefault="00F75E7E" w:rsidP="00D62371">
      <w:pPr>
        <w:pStyle w:val="Heading3"/>
      </w:pPr>
      <w:r w:rsidRPr="00265791">
        <w:t>Investigations</w:t>
      </w:r>
    </w:p>
    <w:p w14:paraId="7D086987" w14:textId="77777777" w:rsidR="00F75E7E" w:rsidRDefault="00F75E7E" w:rsidP="00F75E7E">
      <w:r w:rsidRPr="00265791">
        <w:rPr>
          <w:i/>
        </w:rPr>
        <w:t xml:space="preserve">Common: </w:t>
      </w:r>
      <w:r>
        <w:rPr>
          <w:i/>
        </w:rPr>
        <w:tab/>
      </w:r>
      <w:r w:rsidRPr="00265791">
        <w:t>weight decreased, weight increased</w:t>
      </w:r>
    </w:p>
    <w:p w14:paraId="46C55F6C" w14:textId="77777777" w:rsidR="00F75E7E" w:rsidRPr="005A6D76" w:rsidRDefault="00F75E7E" w:rsidP="00F75E7E">
      <w:pPr>
        <w:ind w:left="1440" w:hanging="1440"/>
      </w:pPr>
      <w:r>
        <w:rPr>
          <w:i/>
        </w:rPr>
        <w:t>Uncommon:</w:t>
      </w:r>
      <w:r>
        <w:t xml:space="preserve"> </w:t>
      </w:r>
      <w:r>
        <w:tab/>
        <w:t>blood creatine phosphokinase increased, Gamma-glutamyl transferase increased</w:t>
      </w:r>
    </w:p>
    <w:p w14:paraId="1CEA83FC" w14:textId="77777777" w:rsidR="00F75E7E" w:rsidRPr="00265791" w:rsidRDefault="00F75E7E" w:rsidP="00F75E7E">
      <w:pPr>
        <w:rPr>
          <w:b/>
        </w:rPr>
      </w:pPr>
      <w:r w:rsidRPr="00265791">
        <w:rPr>
          <w:b/>
        </w:rPr>
        <w:t>Cardiac disorders</w:t>
      </w:r>
    </w:p>
    <w:p w14:paraId="6BD6148A" w14:textId="77777777" w:rsidR="00F75E7E" w:rsidRPr="00265791" w:rsidRDefault="00F75E7E" w:rsidP="00F75E7E">
      <w:pPr>
        <w:ind w:left="1440" w:hanging="1440"/>
      </w:pPr>
      <w:r w:rsidRPr="00265791">
        <w:rPr>
          <w:i/>
        </w:rPr>
        <w:t xml:space="preserve">Common: </w:t>
      </w:r>
      <w:r>
        <w:rPr>
          <w:i/>
        </w:rPr>
        <w:tab/>
      </w:r>
      <w:r w:rsidRPr="00265791">
        <w:t>congestive heart failure/cardiac dysfunction</w:t>
      </w:r>
      <w:r w:rsidRPr="00265791">
        <w:rPr>
          <w:sz w:val="20"/>
          <w:szCs w:val="20"/>
          <w:vertAlign w:val="superscript"/>
        </w:rPr>
        <w:t>a</w:t>
      </w:r>
      <w:r w:rsidRPr="00265791">
        <w:t>, pericardial effusion, arrhythmia (including tachycardia), palpitations</w:t>
      </w:r>
    </w:p>
    <w:p w14:paraId="0EDEE29A" w14:textId="77777777" w:rsidR="00F75E7E" w:rsidRPr="00265791" w:rsidRDefault="00F75E7E" w:rsidP="00F75E7E">
      <w:pPr>
        <w:ind w:left="1440" w:hanging="1440"/>
      </w:pPr>
      <w:r w:rsidRPr="00265791">
        <w:rPr>
          <w:i/>
        </w:rPr>
        <w:t xml:space="preserve">Uncommon: </w:t>
      </w:r>
      <w:r>
        <w:rPr>
          <w:i/>
        </w:rPr>
        <w:tab/>
      </w:r>
      <w:r w:rsidRPr="00265791">
        <w:t>myocardial infarction (including fatal outcomes), electrocardiogram QT prolonged, pericarditis, ventricular arrhythmia (including ventricular tachycardia), angina pectoris, cardiomegaly</w:t>
      </w:r>
      <w:r>
        <w:t>, electrocardiogram T wave abnormal, troponin increased</w:t>
      </w:r>
    </w:p>
    <w:p w14:paraId="17A7FA26" w14:textId="77777777" w:rsidR="00F75E7E" w:rsidRPr="00265791" w:rsidRDefault="00F75E7E" w:rsidP="00F75E7E">
      <w:pPr>
        <w:ind w:left="1440" w:hanging="1440"/>
      </w:pPr>
      <w:r w:rsidRPr="00265791">
        <w:rPr>
          <w:i/>
        </w:rPr>
        <w:t xml:space="preserve">Rare: </w:t>
      </w:r>
      <w:r>
        <w:rPr>
          <w:i/>
        </w:rPr>
        <w:tab/>
      </w:r>
      <w:r w:rsidRPr="00265791">
        <w:t>cor pulmonale, myocarditis, acute coronary syndrome</w:t>
      </w:r>
      <w:r>
        <w:t>, cardiac arrest, electrocardiogram PR prolongation, coronary artery disease, pleuropericarditis</w:t>
      </w:r>
    </w:p>
    <w:p w14:paraId="2234533B" w14:textId="77777777" w:rsidR="00F75E7E" w:rsidRPr="00265791" w:rsidRDefault="00F75E7E" w:rsidP="00F75E7E">
      <w:pPr>
        <w:keepNext/>
        <w:rPr>
          <w:b/>
        </w:rPr>
      </w:pPr>
      <w:r w:rsidRPr="00265791">
        <w:rPr>
          <w:b/>
        </w:rPr>
        <w:t>Blood and lymphatic system disorders</w:t>
      </w:r>
    </w:p>
    <w:p w14:paraId="4C69C697" w14:textId="77777777" w:rsidR="00F75E7E" w:rsidRPr="000E435C" w:rsidRDefault="00F75E7E" w:rsidP="00F75E7E">
      <w:r>
        <w:rPr>
          <w:i/>
        </w:rPr>
        <w:t xml:space="preserve">Very common: </w:t>
      </w:r>
      <w:r>
        <w:t>myelosuppression (including anaemia, neutropenia, thrombocytopenia)</w:t>
      </w:r>
    </w:p>
    <w:p w14:paraId="10F465A0" w14:textId="77777777" w:rsidR="00F75E7E" w:rsidRPr="00265791" w:rsidRDefault="00F75E7E" w:rsidP="00F75E7E">
      <w:r w:rsidRPr="00265791">
        <w:rPr>
          <w:i/>
        </w:rPr>
        <w:t xml:space="preserve">Common: </w:t>
      </w:r>
      <w:r>
        <w:rPr>
          <w:i/>
        </w:rPr>
        <w:tab/>
      </w:r>
      <w:r w:rsidRPr="00265791">
        <w:t>febrile neutropenia</w:t>
      </w:r>
    </w:p>
    <w:p w14:paraId="0AEB6BA4" w14:textId="77777777" w:rsidR="00F75E7E" w:rsidRPr="000E435C" w:rsidRDefault="00F75E7E" w:rsidP="00F75E7E">
      <w:r>
        <w:rPr>
          <w:i/>
        </w:rPr>
        <w:t xml:space="preserve">Uncommon: </w:t>
      </w:r>
      <w:r>
        <w:rPr>
          <w:i/>
        </w:rPr>
        <w:tab/>
      </w:r>
      <w:r>
        <w:t>lymphadenopathy, lymphopenia</w:t>
      </w:r>
    </w:p>
    <w:p w14:paraId="048D351E" w14:textId="77777777" w:rsidR="00F75E7E" w:rsidRPr="00265791" w:rsidRDefault="00F75E7E" w:rsidP="00F75E7E">
      <w:r w:rsidRPr="00265791">
        <w:rPr>
          <w:i/>
        </w:rPr>
        <w:t xml:space="preserve">Rare: </w:t>
      </w:r>
      <w:r>
        <w:rPr>
          <w:i/>
        </w:rPr>
        <w:tab/>
      </w:r>
      <w:r>
        <w:rPr>
          <w:i/>
        </w:rPr>
        <w:tab/>
      </w:r>
      <w:r w:rsidRPr="00265791">
        <w:t>aplasia pure red cell</w:t>
      </w:r>
    </w:p>
    <w:p w14:paraId="383B7EC4" w14:textId="77777777" w:rsidR="00F75E7E" w:rsidRPr="00265791" w:rsidRDefault="00F75E7E" w:rsidP="00F75E7E">
      <w:pPr>
        <w:rPr>
          <w:b/>
        </w:rPr>
      </w:pPr>
      <w:r w:rsidRPr="00265791">
        <w:rPr>
          <w:b/>
        </w:rPr>
        <w:t>Nervous system disorders</w:t>
      </w:r>
    </w:p>
    <w:p w14:paraId="5D7AE7E3" w14:textId="77777777" w:rsidR="00F75E7E" w:rsidRPr="00265791" w:rsidRDefault="00F75E7E" w:rsidP="00F75E7E">
      <w:r w:rsidRPr="00265791">
        <w:rPr>
          <w:i/>
        </w:rPr>
        <w:t xml:space="preserve">Very common: </w:t>
      </w:r>
      <w:r w:rsidRPr="00265791">
        <w:t>headache</w:t>
      </w:r>
    </w:p>
    <w:p w14:paraId="4F1EE2A1" w14:textId="77777777" w:rsidR="00F75E7E" w:rsidRPr="00265791" w:rsidRDefault="00F75E7E" w:rsidP="00F75E7E">
      <w:pPr>
        <w:ind w:left="1440" w:hanging="1440"/>
      </w:pPr>
      <w:r w:rsidRPr="00265791">
        <w:rPr>
          <w:i/>
        </w:rPr>
        <w:t xml:space="preserve">Common: </w:t>
      </w:r>
      <w:r>
        <w:rPr>
          <w:i/>
        </w:rPr>
        <w:tab/>
      </w:r>
      <w:r w:rsidRPr="00265791">
        <w:t>neuropathy (including peripheral neuropathy), dizziness, dysgeusia, somnolence</w:t>
      </w:r>
    </w:p>
    <w:p w14:paraId="6EE91B4B" w14:textId="77777777" w:rsidR="00F75E7E" w:rsidRPr="00265791" w:rsidRDefault="00F75E7E" w:rsidP="00F75E7E">
      <w:r w:rsidRPr="00265791">
        <w:rPr>
          <w:i/>
        </w:rPr>
        <w:t xml:space="preserve">Uncommon: </w:t>
      </w:r>
      <w:r>
        <w:rPr>
          <w:i/>
        </w:rPr>
        <w:tab/>
      </w:r>
      <w:r w:rsidRPr="00265791">
        <w:t>CNS bleeding</w:t>
      </w:r>
      <w:r w:rsidRPr="00265791">
        <w:rPr>
          <w:sz w:val="20"/>
          <w:szCs w:val="20"/>
          <w:vertAlign w:val="superscript"/>
        </w:rPr>
        <w:t>b</w:t>
      </w:r>
      <w:r w:rsidRPr="00265791">
        <w:t>, syncope, tremor, amnesia</w:t>
      </w:r>
      <w:r>
        <w:t>, balance disorder</w:t>
      </w:r>
    </w:p>
    <w:p w14:paraId="7FC90028" w14:textId="35884AED" w:rsidR="00F75E7E" w:rsidRPr="00265791" w:rsidRDefault="00F75E7E" w:rsidP="00F75E7E">
      <w:pPr>
        <w:ind w:left="1440" w:hanging="1440"/>
      </w:pPr>
      <w:r w:rsidRPr="00265791">
        <w:rPr>
          <w:i/>
        </w:rPr>
        <w:t xml:space="preserve">Rare: </w:t>
      </w:r>
      <w:r>
        <w:rPr>
          <w:i/>
        </w:rPr>
        <w:tab/>
      </w:r>
      <w:r w:rsidRPr="00265791">
        <w:t>cerebrovascular accident, transient ischemic attack, convulsion, optic neuritis, VII</w:t>
      </w:r>
      <w:r w:rsidRPr="007232B9">
        <w:rPr>
          <w:vertAlign w:val="superscript"/>
        </w:rPr>
        <w:t>th</w:t>
      </w:r>
      <w:r w:rsidRPr="00265791">
        <w:t xml:space="preserve"> nerve paralysis</w:t>
      </w:r>
      <w:r>
        <w:t>, dementia, ataxia</w:t>
      </w:r>
    </w:p>
    <w:p w14:paraId="5D17FEBB" w14:textId="77777777" w:rsidR="00F75E7E" w:rsidRPr="00265791" w:rsidRDefault="00F75E7E" w:rsidP="00F75E7E">
      <w:pPr>
        <w:rPr>
          <w:b/>
        </w:rPr>
      </w:pPr>
      <w:r w:rsidRPr="00265791">
        <w:rPr>
          <w:b/>
        </w:rPr>
        <w:t>Eye disorders</w:t>
      </w:r>
    </w:p>
    <w:p w14:paraId="7C94440A" w14:textId="77777777" w:rsidR="00F75E7E" w:rsidRPr="00265791" w:rsidRDefault="00F75E7E" w:rsidP="00F75E7E">
      <w:pPr>
        <w:ind w:left="1440" w:hanging="1440"/>
      </w:pPr>
      <w:r w:rsidRPr="00265791">
        <w:rPr>
          <w:i/>
        </w:rPr>
        <w:t xml:space="preserve">Common: </w:t>
      </w:r>
      <w:r>
        <w:rPr>
          <w:i/>
        </w:rPr>
        <w:tab/>
      </w:r>
      <w:r w:rsidRPr="00265791">
        <w:t>visual disorder (including visual disturbance, vision blurred, and visual acuity reduced), dry eye</w:t>
      </w:r>
    </w:p>
    <w:p w14:paraId="5F033A5A" w14:textId="77777777" w:rsidR="00F75E7E" w:rsidRPr="00265791" w:rsidRDefault="00F75E7E" w:rsidP="00F75E7E">
      <w:r w:rsidRPr="00265791">
        <w:rPr>
          <w:i/>
        </w:rPr>
        <w:t xml:space="preserve">Uncommon: </w:t>
      </w:r>
      <w:r>
        <w:rPr>
          <w:i/>
        </w:rPr>
        <w:tab/>
      </w:r>
      <w:r w:rsidRPr="00265791">
        <w:t>conjunctivitis</w:t>
      </w:r>
      <w:r>
        <w:t>, visual impairment, photophobia, lacrimation increased</w:t>
      </w:r>
    </w:p>
    <w:p w14:paraId="19E27F51" w14:textId="77777777" w:rsidR="00F75E7E" w:rsidRPr="00265791" w:rsidRDefault="00F75E7E" w:rsidP="00F75E7E">
      <w:pPr>
        <w:rPr>
          <w:b/>
        </w:rPr>
      </w:pPr>
      <w:r w:rsidRPr="00265791">
        <w:rPr>
          <w:b/>
        </w:rPr>
        <w:t>Ear and labyrinth disorders</w:t>
      </w:r>
    </w:p>
    <w:p w14:paraId="213AFA21" w14:textId="77777777" w:rsidR="00F75E7E" w:rsidRPr="00265791" w:rsidRDefault="00F75E7E" w:rsidP="00F75E7E">
      <w:r w:rsidRPr="00265791">
        <w:rPr>
          <w:i/>
        </w:rPr>
        <w:t xml:space="preserve">Common: </w:t>
      </w:r>
      <w:r>
        <w:rPr>
          <w:i/>
        </w:rPr>
        <w:tab/>
      </w:r>
      <w:r w:rsidRPr="00265791">
        <w:t>tinnitus</w:t>
      </w:r>
    </w:p>
    <w:p w14:paraId="6E9A8433" w14:textId="77777777" w:rsidR="00F75E7E" w:rsidRPr="00265791" w:rsidRDefault="00F75E7E" w:rsidP="00F75E7E">
      <w:r w:rsidRPr="00265791">
        <w:rPr>
          <w:i/>
        </w:rPr>
        <w:t xml:space="preserve">Uncommon: </w:t>
      </w:r>
      <w:r>
        <w:rPr>
          <w:i/>
        </w:rPr>
        <w:tab/>
      </w:r>
      <w:r>
        <w:t xml:space="preserve">hearing loss, </w:t>
      </w:r>
      <w:r w:rsidRPr="00265791">
        <w:t>vertigo</w:t>
      </w:r>
    </w:p>
    <w:p w14:paraId="38CE8BEB" w14:textId="77777777" w:rsidR="00F75E7E" w:rsidRPr="00265791" w:rsidRDefault="00F75E7E" w:rsidP="00F75E7E">
      <w:pPr>
        <w:rPr>
          <w:b/>
        </w:rPr>
      </w:pPr>
      <w:r w:rsidRPr="00265791">
        <w:rPr>
          <w:b/>
        </w:rPr>
        <w:lastRenderedPageBreak/>
        <w:t>Respiratory, thoracic and mediastinal disorders</w:t>
      </w:r>
    </w:p>
    <w:p w14:paraId="66DA85B8" w14:textId="77777777" w:rsidR="00F75E7E" w:rsidRPr="00265791" w:rsidRDefault="00F75E7E" w:rsidP="00F75E7E">
      <w:r w:rsidRPr="00265791">
        <w:rPr>
          <w:i/>
        </w:rPr>
        <w:t xml:space="preserve">Very common: </w:t>
      </w:r>
      <w:r w:rsidRPr="00265791">
        <w:t>pleural effusion, dyspnoea</w:t>
      </w:r>
    </w:p>
    <w:p w14:paraId="6848CB64" w14:textId="77777777" w:rsidR="00F75E7E" w:rsidRPr="00265791" w:rsidRDefault="00F75E7E" w:rsidP="00F75E7E">
      <w:pPr>
        <w:ind w:left="1440" w:hanging="1440"/>
      </w:pPr>
      <w:r w:rsidRPr="00265791">
        <w:rPr>
          <w:i/>
        </w:rPr>
        <w:t xml:space="preserve">Common: </w:t>
      </w:r>
      <w:r>
        <w:rPr>
          <w:i/>
        </w:rPr>
        <w:tab/>
      </w:r>
      <w:r w:rsidRPr="00265791">
        <w:t>pulmonary oedema, pulmonary hypertension, lung infiltration, pneumonitis</w:t>
      </w:r>
      <w:r>
        <w:t>,</w:t>
      </w:r>
      <w:r w:rsidRPr="00265791">
        <w:t xml:space="preserve"> cough</w:t>
      </w:r>
    </w:p>
    <w:p w14:paraId="4BAFBC94" w14:textId="77777777" w:rsidR="00F75E7E" w:rsidRPr="00265791" w:rsidRDefault="00F75E7E" w:rsidP="00F75E7E">
      <w:r w:rsidRPr="00265791">
        <w:rPr>
          <w:i/>
        </w:rPr>
        <w:t xml:space="preserve">Uncommon: </w:t>
      </w:r>
      <w:r>
        <w:rPr>
          <w:i/>
        </w:rPr>
        <w:tab/>
      </w:r>
      <w:r w:rsidRPr="00265791">
        <w:t>bronchospasm, asthma</w:t>
      </w:r>
      <w:r>
        <w:t>, dysphonia, pulmonary arterial hypertension</w:t>
      </w:r>
    </w:p>
    <w:p w14:paraId="2FE26045" w14:textId="77777777" w:rsidR="00F75E7E" w:rsidRPr="00265791" w:rsidRDefault="00F75E7E" w:rsidP="00F75E7E">
      <w:r w:rsidRPr="00265791">
        <w:rPr>
          <w:i/>
        </w:rPr>
        <w:t xml:space="preserve">Rare: </w:t>
      </w:r>
      <w:r w:rsidRPr="00265791">
        <w:t>acute respiratory distress syndrome</w:t>
      </w:r>
      <w:r>
        <w:t>, pulmonary embolism</w:t>
      </w:r>
    </w:p>
    <w:p w14:paraId="1A93FD21" w14:textId="77777777" w:rsidR="00F75E7E" w:rsidRPr="00265791" w:rsidRDefault="00F75E7E" w:rsidP="00F75E7E">
      <w:pPr>
        <w:rPr>
          <w:b/>
        </w:rPr>
      </w:pPr>
      <w:r w:rsidRPr="00265791">
        <w:rPr>
          <w:b/>
        </w:rPr>
        <w:t>Gastrointestinal disorders</w:t>
      </w:r>
    </w:p>
    <w:p w14:paraId="3A628819" w14:textId="77777777" w:rsidR="00F75E7E" w:rsidRPr="00265791" w:rsidRDefault="00F75E7E" w:rsidP="00F75E7E">
      <w:r w:rsidRPr="00265791">
        <w:rPr>
          <w:i/>
        </w:rPr>
        <w:t xml:space="preserve">Very common: </w:t>
      </w:r>
      <w:r w:rsidRPr="00265791">
        <w:t>diarrhoea, vomiting, nausea, abdominal pain</w:t>
      </w:r>
    </w:p>
    <w:p w14:paraId="710BE7E4" w14:textId="77777777" w:rsidR="00F75E7E" w:rsidRPr="00265791" w:rsidRDefault="00F75E7E" w:rsidP="00F75E7E">
      <w:pPr>
        <w:ind w:left="1440" w:hanging="1440"/>
      </w:pPr>
      <w:r w:rsidRPr="00265791">
        <w:rPr>
          <w:i/>
        </w:rPr>
        <w:t xml:space="preserve">Common: </w:t>
      </w:r>
      <w:r>
        <w:rPr>
          <w:i/>
        </w:rPr>
        <w:tab/>
      </w:r>
      <w:r w:rsidRPr="00265791">
        <w:t>gastrointestinal bleeding</w:t>
      </w:r>
      <w:r>
        <w:t xml:space="preserve"> (including fatal)</w:t>
      </w:r>
      <w:r w:rsidRPr="00265791">
        <w:t>, colitis (including neutropenic colitis), gastritis, mucosal inflammation (including mucositis/stomatitis), dyspepsia, abdominal distension, constipation, oral soft tissue disorder</w:t>
      </w:r>
    </w:p>
    <w:p w14:paraId="70CC1A99" w14:textId="77777777" w:rsidR="00F75E7E" w:rsidRPr="00265791" w:rsidRDefault="00F75E7E" w:rsidP="00F75E7E">
      <w:pPr>
        <w:ind w:left="1440" w:hanging="1440"/>
      </w:pPr>
      <w:r w:rsidRPr="00265791">
        <w:rPr>
          <w:i/>
        </w:rPr>
        <w:t xml:space="preserve">Uncommon: </w:t>
      </w:r>
      <w:r>
        <w:rPr>
          <w:i/>
        </w:rPr>
        <w:tab/>
      </w:r>
      <w:r w:rsidRPr="00265791">
        <w:t>pancreatitis, upper gastrointestinal ulcer, oesophagitis, ascites, anal fissure, dysphagia</w:t>
      </w:r>
      <w:r>
        <w:t>, gastro-oesophageal reflux disease</w:t>
      </w:r>
    </w:p>
    <w:p w14:paraId="61255AB0" w14:textId="77777777" w:rsidR="00F75E7E" w:rsidRPr="00265791" w:rsidRDefault="00F75E7E" w:rsidP="00F75E7E">
      <w:r w:rsidRPr="00265791">
        <w:rPr>
          <w:i/>
        </w:rPr>
        <w:t>Rare:</w:t>
      </w:r>
      <w:r w:rsidRPr="00265791">
        <w:t xml:space="preserve"> </w:t>
      </w:r>
      <w:r>
        <w:tab/>
      </w:r>
      <w:r>
        <w:tab/>
      </w:r>
      <w:r w:rsidRPr="00265791">
        <w:t>protein-losing gastroenteropathy, ileus</w:t>
      </w:r>
      <w:r>
        <w:t>, pancreatitis acute, anal fistula</w:t>
      </w:r>
    </w:p>
    <w:p w14:paraId="0B9CEA4D" w14:textId="77777777" w:rsidR="00341A90" w:rsidRDefault="00341A90">
      <w:pPr>
        <w:spacing w:after="0"/>
        <w:jc w:val="left"/>
        <w:rPr>
          <w:b/>
        </w:rPr>
      </w:pPr>
      <w:r>
        <w:rPr>
          <w:b/>
        </w:rPr>
        <w:br w:type="page"/>
      </w:r>
    </w:p>
    <w:p w14:paraId="7114FC8F" w14:textId="4C484571" w:rsidR="00F75E7E" w:rsidRPr="00265791" w:rsidRDefault="00F75E7E" w:rsidP="00F75E7E">
      <w:pPr>
        <w:rPr>
          <w:b/>
        </w:rPr>
      </w:pPr>
      <w:r w:rsidRPr="00265791">
        <w:rPr>
          <w:b/>
        </w:rPr>
        <w:lastRenderedPageBreak/>
        <w:t>Renal and urinary disorders</w:t>
      </w:r>
    </w:p>
    <w:p w14:paraId="4D29E5FF" w14:textId="77777777" w:rsidR="00F75E7E" w:rsidRDefault="00F75E7E" w:rsidP="00F75E7E">
      <w:r w:rsidRPr="00265791">
        <w:rPr>
          <w:i/>
        </w:rPr>
        <w:t xml:space="preserve">Uncommon: </w:t>
      </w:r>
      <w:r>
        <w:rPr>
          <w:i/>
        </w:rPr>
        <w:tab/>
      </w:r>
      <w:r w:rsidRPr="00265791">
        <w:t>renal failure, urinary frequency, proteinuria</w:t>
      </w:r>
    </w:p>
    <w:p w14:paraId="5B693EC7" w14:textId="77777777" w:rsidR="00F75E7E" w:rsidRDefault="00F75E7E" w:rsidP="00F75E7E">
      <w:r>
        <w:rPr>
          <w:i/>
        </w:rPr>
        <w:t xml:space="preserve">Rare: </w:t>
      </w:r>
      <w:r>
        <w:t xml:space="preserve"> </w:t>
      </w:r>
      <w:r>
        <w:tab/>
      </w:r>
      <w:r>
        <w:tab/>
        <w:t>renal impairment</w:t>
      </w:r>
    </w:p>
    <w:p w14:paraId="6F9A3BA5" w14:textId="77777777" w:rsidR="00F75E7E" w:rsidRPr="00265791" w:rsidRDefault="00F75E7E" w:rsidP="00F75E7E">
      <w:pPr>
        <w:rPr>
          <w:b/>
        </w:rPr>
      </w:pPr>
      <w:r w:rsidRPr="00265791">
        <w:rPr>
          <w:b/>
        </w:rPr>
        <w:t>Skin and subcutaneous tissue disorders</w:t>
      </w:r>
    </w:p>
    <w:p w14:paraId="0AEF239A" w14:textId="77777777" w:rsidR="00F75E7E" w:rsidRPr="00265791" w:rsidRDefault="00F75E7E" w:rsidP="00F75E7E">
      <w:pPr>
        <w:rPr>
          <w:sz w:val="14"/>
          <w:szCs w:val="14"/>
        </w:rPr>
      </w:pPr>
      <w:r w:rsidRPr="00265791">
        <w:rPr>
          <w:i/>
        </w:rPr>
        <w:t xml:space="preserve">Very common: </w:t>
      </w:r>
      <w:r w:rsidRPr="00265791">
        <w:t>skin rash</w:t>
      </w:r>
      <w:r w:rsidRPr="00265791">
        <w:rPr>
          <w:vertAlign w:val="superscript"/>
        </w:rPr>
        <w:t>c</w:t>
      </w:r>
    </w:p>
    <w:p w14:paraId="13358BC3" w14:textId="77777777" w:rsidR="00F75E7E" w:rsidRPr="00265791" w:rsidRDefault="00F75E7E" w:rsidP="00F75E7E">
      <w:pPr>
        <w:ind w:left="1440" w:hanging="1440"/>
      </w:pPr>
      <w:r w:rsidRPr="00265791">
        <w:rPr>
          <w:i/>
        </w:rPr>
        <w:t xml:space="preserve">Common: </w:t>
      </w:r>
      <w:r>
        <w:rPr>
          <w:i/>
        </w:rPr>
        <w:tab/>
      </w:r>
      <w:r w:rsidRPr="00265791">
        <w:t>alopecia, dermatitis (including eczema), pruritus, acne, dry skin, urticaria, hyperhidrosis</w:t>
      </w:r>
    </w:p>
    <w:p w14:paraId="083F6FE4" w14:textId="77777777" w:rsidR="00F75E7E" w:rsidRDefault="00F75E7E" w:rsidP="00F75E7E">
      <w:pPr>
        <w:ind w:left="1440" w:hanging="1440"/>
      </w:pPr>
      <w:r w:rsidRPr="00265791">
        <w:rPr>
          <w:i/>
        </w:rPr>
        <w:t xml:space="preserve">Uncommon: </w:t>
      </w:r>
      <w:r>
        <w:rPr>
          <w:i/>
        </w:rPr>
        <w:tab/>
      </w:r>
      <w:r w:rsidRPr="00265791">
        <w:t>neutrophilic dermatosis, photosensitivity, pigmentation disorder, panniculitis, skin ulcer, bullous conditions, nail disorder, palmar-plantar erythrodysesthesia syndrome</w:t>
      </w:r>
      <w:r>
        <w:t>, hair disorder</w:t>
      </w:r>
    </w:p>
    <w:p w14:paraId="04B42C36" w14:textId="77777777" w:rsidR="00F75E7E" w:rsidRPr="00E72860" w:rsidRDefault="00F75E7E" w:rsidP="00F75E7E">
      <w:r>
        <w:rPr>
          <w:i/>
        </w:rPr>
        <w:t xml:space="preserve">Rare: </w:t>
      </w:r>
      <w:r>
        <w:rPr>
          <w:i/>
        </w:rPr>
        <w:tab/>
      </w:r>
      <w:r>
        <w:rPr>
          <w:i/>
        </w:rPr>
        <w:tab/>
      </w:r>
      <w:r>
        <w:t>leukocytoclastic vasculitis, skin fibrosis</w:t>
      </w:r>
    </w:p>
    <w:p w14:paraId="0F10D7CE" w14:textId="77777777" w:rsidR="00F75E7E" w:rsidRPr="00265791" w:rsidRDefault="00F75E7E" w:rsidP="00F75E7E">
      <w:pPr>
        <w:rPr>
          <w:b/>
        </w:rPr>
      </w:pPr>
      <w:r w:rsidRPr="00265791">
        <w:rPr>
          <w:b/>
        </w:rPr>
        <w:t>Musculoskeletal and connective tissue disorders</w:t>
      </w:r>
    </w:p>
    <w:p w14:paraId="1433B88E" w14:textId="77777777" w:rsidR="00F75E7E" w:rsidRPr="00265791" w:rsidRDefault="00F75E7E" w:rsidP="00F75E7E">
      <w:r w:rsidRPr="00265791">
        <w:rPr>
          <w:i/>
        </w:rPr>
        <w:t xml:space="preserve">Very common: </w:t>
      </w:r>
      <w:r w:rsidRPr="00265791">
        <w:t>musculoskeletal pain</w:t>
      </w:r>
    </w:p>
    <w:p w14:paraId="1F3BD456" w14:textId="77777777" w:rsidR="00F75E7E" w:rsidRPr="00265791" w:rsidRDefault="00F75E7E" w:rsidP="00F75E7E">
      <w:pPr>
        <w:ind w:left="1440" w:hanging="1440"/>
      </w:pPr>
      <w:r w:rsidRPr="00265791">
        <w:rPr>
          <w:i/>
        </w:rPr>
        <w:t xml:space="preserve">Common: </w:t>
      </w:r>
      <w:r>
        <w:rPr>
          <w:i/>
        </w:rPr>
        <w:tab/>
      </w:r>
      <w:r w:rsidRPr="00265791">
        <w:t>arthralgia, myalgia, muscular weakness, musculoskeletal stiffness, muscle spasm</w:t>
      </w:r>
    </w:p>
    <w:p w14:paraId="554DBC49" w14:textId="77777777" w:rsidR="00F75E7E" w:rsidRPr="00265791" w:rsidRDefault="00F75E7E" w:rsidP="00F75E7E">
      <w:r w:rsidRPr="00265791">
        <w:rPr>
          <w:i/>
          <w:iCs/>
        </w:rPr>
        <w:t xml:space="preserve">Uncommon: </w:t>
      </w:r>
      <w:r>
        <w:rPr>
          <w:i/>
          <w:iCs/>
        </w:rPr>
        <w:tab/>
      </w:r>
      <w:r w:rsidRPr="00265791">
        <w:t>rhabdomyolysis, tendonitis, muscle inflammation</w:t>
      </w:r>
      <w:r>
        <w:t>, osteonecrosis, arthritis</w:t>
      </w:r>
    </w:p>
    <w:p w14:paraId="223D1C94" w14:textId="77777777" w:rsidR="00F75E7E" w:rsidRPr="00265791" w:rsidRDefault="00F75E7E" w:rsidP="00F75E7E">
      <w:pPr>
        <w:keepNext/>
        <w:rPr>
          <w:b/>
        </w:rPr>
      </w:pPr>
      <w:r w:rsidRPr="00265791">
        <w:rPr>
          <w:b/>
        </w:rPr>
        <w:t>Metabolism and nutrition disorders</w:t>
      </w:r>
    </w:p>
    <w:p w14:paraId="1D7E2E5D" w14:textId="77777777" w:rsidR="00F75E7E" w:rsidRPr="00265791" w:rsidRDefault="00F75E7E" w:rsidP="00F75E7E">
      <w:r w:rsidRPr="00265791">
        <w:rPr>
          <w:i/>
        </w:rPr>
        <w:t xml:space="preserve">Common: </w:t>
      </w:r>
      <w:r w:rsidRPr="00265791">
        <w:t xml:space="preserve"> </w:t>
      </w:r>
      <w:r>
        <w:tab/>
      </w:r>
      <w:r w:rsidRPr="00265791">
        <w:t xml:space="preserve">appetite disturbances, hyperuricaemia </w:t>
      </w:r>
    </w:p>
    <w:p w14:paraId="0CC55C09" w14:textId="77777777" w:rsidR="00F75E7E" w:rsidRDefault="00F75E7E" w:rsidP="00F75E7E">
      <w:pPr>
        <w:ind w:left="1440" w:hanging="1440"/>
      </w:pPr>
      <w:r w:rsidRPr="00265791">
        <w:rPr>
          <w:i/>
        </w:rPr>
        <w:t>Uncommon:</w:t>
      </w:r>
      <w:r w:rsidRPr="00265791">
        <w:t xml:space="preserve"> </w:t>
      </w:r>
      <w:r>
        <w:tab/>
        <w:t xml:space="preserve">dehydration, </w:t>
      </w:r>
      <w:r w:rsidRPr="00265791">
        <w:t>hypoalbuminaemia</w:t>
      </w:r>
      <w:r>
        <w:t>, hypercholesterolemia, tumour lysis syndrome</w:t>
      </w:r>
    </w:p>
    <w:p w14:paraId="0A688C3B" w14:textId="77777777" w:rsidR="00F75E7E" w:rsidRPr="00F25DC1" w:rsidRDefault="00F75E7E" w:rsidP="00F75E7E">
      <w:r>
        <w:rPr>
          <w:i/>
        </w:rPr>
        <w:t xml:space="preserve">Rare: </w:t>
      </w:r>
      <w:r>
        <w:rPr>
          <w:i/>
        </w:rPr>
        <w:tab/>
      </w:r>
      <w:r>
        <w:rPr>
          <w:i/>
        </w:rPr>
        <w:tab/>
      </w:r>
      <w:r>
        <w:t>diabetes mellitus</w:t>
      </w:r>
    </w:p>
    <w:p w14:paraId="67D8676F" w14:textId="77777777" w:rsidR="00F75E7E" w:rsidRPr="00265791" w:rsidRDefault="00F75E7E" w:rsidP="00F75E7E">
      <w:pPr>
        <w:keepNext/>
        <w:rPr>
          <w:b/>
        </w:rPr>
      </w:pPr>
      <w:r w:rsidRPr="00265791">
        <w:rPr>
          <w:b/>
        </w:rPr>
        <w:t>Infections and infestations</w:t>
      </w:r>
    </w:p>
    <w:p w14:paraId="7404E969" w14:textId="77777777" w:rsidR="00F75E7E" w:rsidRPr="00265791" w:rsidRDefault="00F75E7E" w:rsidP="00F75E7E">
      <w:r w:rsidRPr="00265791">
        <w:rPr>
          <w:i/>
        </w:rPr>
        <w:t xml:space="preserve">Very common: </w:t>
      </w:r>
      <w:r w:rsidRPr="00265791">
        <w:t>infection (including bacterial, viral, fungal, non-specified)</w:t>
      </w:r>
    </w:p>
    <w:p w14:paraId="7B7B440C" w14:textId="77777777" w:rsidR="00F75E7E" w:rsidRPr="00265791" w:rsidRDefault="00F75E7E" w:rsidP="00F75E7E">
      <w:pPr>
        <w:ind w:left="1440" w:hanging="1440"/>
      </w:pPr>
      <w:r w:rsidRPr="00265791">
        <w:rPr>
          <w:i/>
        </w:rPr>
        <w:t xml:space="preserve">Common: </w:t>
      </w:r>
      <w:r>
        <w:rPr>
          <w:i/>
        </w:rPr>
        <w:tab/>
      </w:r>
      <w:r w:rsidRPr="00265791">
        <w:t>pneumonia (including bacterial, viral, and fungal), upper respiratory tract infection/inflammation, herpes virus infection, enterocolitis infection, sepsis (including uncommon reports of fatal outcome)</w:t>
      </w:r>
    </w:p>
    <w:p w14:paraId="42EE7792" w14:textId="77777777" w:rsidR="00F75E7E" w:rsidRPr="00265791" w:rsidRDefault="00F75E7E" w:rsidP="00F75E7E">
      <w:pPr>
        <w:rPr>
          <w:b/>
        </w:rPr>
      </w:pPr>
      <w:r w:rsidRPr="00265791">
        <w:rPr>
          <w:b/>
        </w:rPr>
        <w:t>Injury, poisoning, and procedural complications</w:t>
      </w:r>
    </w:p>
    <w:p w14:paraId="516DF594" w14:textId="77777777" w:rsidR="00F75E7E" w:rsidRPr="00265791" w:rsidRDefault="00F75E7E" w:rsidP="00F75E7E">
      <w:r w:rsidRPr="00265791">
        <w:rPr>
          <w:i/>
        </w:rPr>
        <w:t xml:space="preserve">Common: </w:t>
      </w:r>
      <w:r>
        <w:rPr>
          <w:i/>
        </w:rPr>
        <w:tab/>
      </w:r>
      <w:r w:rsidRPr="00265791">
        <w:t>contusion</w:t>
      </w:r>
    </w:p>
    <w:p w14:paraId="02730AEE" w14:textId="77777777" w:rsidR="00F75E7E" w:rsidRPr="00265791" w:rsidRDefault="00F75E7E" w:rsidP="00F75E7E">
      <w:pPr>
        <w:rPr>
          <w:b/>
        </w:rPr>
      </w:pPr>
      <w:r w:rsidRPr="00265791">
        <w:rPr>
          <w:b/>
        </w:rPr>
        <w:t>Vascular disorders</w:t>
      </w:r>
    </w:p>
    <w:p w14:paraId="12770FF9" w14:textId="77777777" w:rsidR="00F75E7E" w:rsidRPr="00265791" w:rsidRDefault="00F75E7E" w:rsidP="00F75E7E">
      <w:pPr>
        <w:rPr>
          <w:sz w:val="14"/>
          <w:szCs w:val="14"/>
        </w:rPr>
      </w:pPr>
      <w:r w:rsidRPr="00265791">
        <w:rPr>
          <w:i/>
        </w:rPr>
        <w:t xml:space="preserve">Very common: </w:t>
      </w:r>
      <w:r w:rsidRPr="00265791">
        <w:t>haemorrhage</w:t>
      </w:r>
      <w:r w:rsidRPr="00265791">
        <w:rPr>
          <w:sz w:val="20"/>
          <w:szCs w:val="20"/>
          <w:vertAlign w:val="superscript"/>
        </w:rPr>
        <w:t>d</w:t>
      </w:r>
    </w:p>
    <w:p w14:paraId="7CAC902F" w14:textId="77777777" w:rsidR="00F75E7E" w:rsidRPr="00265791" w:rsidRDefault="00F75E7E" w:rsidP="00F75E7E">
      <w:r w:rsidRPr="00265791">
        <w:rPr>
          <w:i/>
        </w:rPr>
        <w:t xml:space="preserve">Common: </w:t>
      </w:r>
      <w:r>
        <w:rPr>
          <w:i/>
        </w:rPr>
        <w:tab/>
      </w:r>
      <w:r w:rsidRPr="00265791">
        <w:t>hypertension, flushing</w:t>
      </w:r>
    </w:p>
    <w:p w14:paraId="03244BEC" w14:textId="77777777" w:rsidR="00F75E7E" w:rsidRPr="00265791" w:rsidRDefault="00F75E7E" w:rsidP="00F75E7E">
      <w:r w:rsidRPr="00265791">
        <w:rPr>
          <w:i/>
        </w:rPr>
        <w:t xml:space="preserve">Uncommon: </w:t>
      </w:r>
      <w:r>
        <w:rPr>
          <w:i/>
        </w:rPr>
        <w:tab/>
      </w:r>
      <w:r w:rsidRPr="00265791">
        <w:t>hypotension, thrombophlebitis</w:t>
      </w:r>
      <w:r>
        <w:t>, thrombosis</w:t>
      </w:r>
    </w:p>
    <w:p w14:paraId="22813F21" w14:textId="77777777" w:rsidR="00F75E7E" w:rsidRPr="00265791" w:rsidRDefault="00F75E7E" w:rsidP="00F75E7E">
      <w:r w:rsidRPr="00265791">
        <w:rPr>
          <w:i/>
        </w:rPr>
        <w:t>Rare:</w:t>
      </w:r>
      <w:r>
        <w:t xml:space="preserve"> </w:t>
      </w:r>
      <w:r>
        <w:tab/>
      </w:r>
      <w:r>
        <w:tab/>
        <w:t>deep vein thrombosis, embolism,</w:t>
      </w:r>
      <w:r w:rsidRPr="00265791">
        <w:rPr>
          <w:i/>
        </w:rPr>
        <w:t xml:space="preserve"> </w:t>
      </w:r>
      <w:r w:rsidRPr="00265791">
        <w:t>livedo reticularis</w:t>
      </w:r>
    </w:p>
    <w:p w14:paraId="535F96C7" w14:textId="77777777" w:rsidR="00F75E7E" w:rsidRPr="00265791" w:rsidRDefault="00F75E7E" w:rsidP="00F75E7E">
      <w:pPr>
        <w:rPr>
          <w:b/>
        </w:rPr>
      </w:pPr>
      <w:r w:rsidRPr="00265791">
        <w:rPr>
          <w:b/>
        </w:rPr>
        <w:t>General disorders and administration site conditions</w:t>
      </w:r>
    </w:p>
    <w:p w14:paraId="15282D35" w14:textId="77777777" w:rsidR="00F75E7E" w:rsidRPr="00265791" w:rsidRDefault="00F75E7E" w:rsidP="00F75E7E">
      <w:r w:rsidRPr="00265791">
        <w:rPr>
          <w:i/>
        </w:rPr>
        <w:lastRenderedPageBreak/>
        <w:t xml:space="preserve">Very common: </w:t>
      </w:r>
      <w:r>
        <w:t>peripheral oedema</w:t>
      </w:r>
      <w:r w:rsidRPr="00B904D8">
        <w:rPr>
          <w:vertAlign w:val="superscript"/>
        </w:rPr>
        <w:t>e</w:t>
      </w:r>
      <w:r w:rsidRPr="00265791">
        <w:t xml:space="preserve"> fatigue, </w:t>
      </w:r>
      <w:r>
        <w:t>face oedema</w:t>
      </w:r>
      <w:r w:rsidRPr="00B904D8">
        <w:rPr>
          <w:vertAlign w:val="superscript"/>
        </w:rPr>
        <w:t>f</w:t>
      </w:r>
      <w:r>
        <w:t xml:space="preserve">, </w:t>
      </w:r>
      <w:r w:rsidRPr="00265791">
        <w:t xml:space="preserve">pyrexia </w:t>
      </w:r>
    </w:p>
    <w:p w14:paraId="415B06B9" w14:textId="77777777" w:rsidR="00F75E7E" w:rsidRPr="00265791" w:rsidRDefault="00F75E7E" w:rsidP="00F75E7E">
      <w:r w:rsidRPr="00265791">
        <w:rPr>
          <w:i/>
        </w:rPr>
        <w:t xml:space="preserve">Common: </w:t>
      </w:r>
      <w:r>
        <w:rPr>
          <w:i/>
        </w:rPr>
        <w:tab/>
      </w:r>
      <w:r w:rsidRPr="00265791">
        <w:t>asthenia, pain, chest pain, generalised oedema</w:t>
      </w:r>
      <w:r w:rsidRPr="00B904D8">
        <w:rPr>
          <w:vertAlign w:val="superscript"/>
        </w:rPr>
        <w:t>g</w:t>
      </w:r>
      <w:r w:rsidRPr="00265791">
        <w:t>, chills</w:t>
      </w:r>
    </w:p>
    <w:p w14:paraId="5C1DB116" w14:textId="77777777" w:rsidR="00F75E7E" w:rsidRDefault="00F75E7E" w:rsidP="00F75E7E">
      <w:pPr>
        <w:rPr>
          <w:vertAlign w:val="superscript"/>
        </w:rPr>
      </w:pPr>
      <w:r w:rsidRPr="00265791">
        <w:rPr>
          <w:i/>
        </w:rPr>
        <w:t xml:space="preserve">Uncommon: </w:t>
      </w:r>
      <w:r>
        <w:rPr>
          <w:i/>
        </w:rPr>
        <w:tab/>
      </w:r>
      <w:r w:rsidRPr="00265791">
        <w:t>malaise,</w:t>
      </w:r>
      <w:r>
        <w:t xml:space="preserve"> other superficial oedema</w:t>
      </w:r>
      <w:r w:rsidRPr="00B7224A">
        <w:rPr>
          <w:vertAlign w:val="superscript"/>
        </w:rPr>
        <w:t>h</w:t>
      </w:r>
    </w:p>
    <w:p w14:paraId="7A1F7693" w14:textId="77777777" w:rsidR="00F75E7E" w:rsidRPr="00EB399E" w:rsidRDefault="00F75E7E" w:rsidP="00F75E7E">
      <w:r>
        <w:rPr>
          <w:i/>
        </w:rPr>
        <w:t xml:space="preserve">Rare: </w:t>
      </w:r>
      <w:r>
        <w:rPr>
          <w:i/>
        </w:rPr>
        <w:tab/>
      </w:r>
      <w:r>
        <w:rPr>
          <w:i/>
        </w:rPr>
        <w:tab/>
      </w:r>
      <w:r>
        <w:t>gait disturbance</w:t>
      </w:r>
    </w:p>
    <w:p w14:paraId="2414E096" w14:textId="77777777" w:rsidR="00F75E7E" w:rsidRPr="00265791" w:rsidRDefault="00F75E7E" w:rsidP="00F75E7E">
      <w:pPr>
        <w:rPr>
          <w:b/>
        </w:rPr>
      </w:pPr>
      <w:r w:rsidRPr="00265791">
        <w:rPr>
          <w:b/>
        </w:rPr>
        <w:t>Immune System Disorders</w:t>
      </w:r>
    </w:p>
    <w:p w14:paraId="4FF8A5A5" w14:textId="77777777" w:rsidR="00F75E7E" w:rsidRDefault="00F75E7E" w:rsidP="00F75E7E">
      <w:r w:rsidRPr="00265791">
        <w:rPr>
          <w:i/>
        </w:rPr>
        <w:t xml:space="preserve">Uncommon: </w:t>
      </w:r>
      <w:r>
        <w:rPr>
          <w:i/>
        </w:rPr>
        <w:tab/>
      </w:r>
      <w:r w:rsidRPr="00265791">
        <w:t>hypersensitivity (including erythema nodosum)</w:t>
      </w:r>
    </w:p>
    <w:p w14:paraId="10F78BE7" w14:textId="77777777" w:rsidR="00F75E7E" w:rsidRPr="00F25DC1" w:rsidRDefault="00F75E7E" w:rsidP="00F75E7E">
      <w:pPr>
        <w:rPr>
          <w:b/>
        </w:rPr>
      </w:pPr>
      <w:r w:rsidRPr="00F25DC1">
        <w:rPr>
          <w:b/>
        </w:rPr>
        <w:t>Endocrine Disorders</w:t>
      </w:r>
    </w:p>
    <w:p w14:paraId="03BED20C" w14:textId="77777777" w:rsidR="00F75E7E" w:rsidRDefault="00F75E7E" w:rsidP="00F75E7E">
      <w:pPr>
        <w:rPr>
          <w:i/>
        </w:rPr>
      </w:pPr>
      <w:r>
        <w:rPr>
          <w:i/>
        </w:rPr>
        <w:t>Uncommon:</w:t>
      </w:r>
      <w:r w:rsidRPr="00F25DC1">
        <w:rPr>
          <w:i/>
        </w:rPr>
        <w:t xml:space="preserve"> </w:t>
      </w:r>
      <w:r>
        <w:rPr>
          <w:i/>
        </w:rPr>
        <w:tab/>
      </w:r>
      <w:r w:rsidRPr="00F25DC1">
        <w:t>hypothyroidism</w:t>
      </w:r>
    </w:p>
    <w:p w14:paraId="4A8CC185" w14:textId="77777777" w:rsidR="00F75E7E" w:rsidRPr="00F25DC1" w:rsidRDefault="00F75E7E" w:rsidP="00F75E7E">
      <w:pPr>
        <w:rPr>
          <w:i/>
        </w:rPr>
      </w:pPr>
      <w:r>
        <w:rPr>
          <w:i/>
        </w:rPr>
        <w:t xml:space="preserve">Rare: </w:t>
      </w:r>
      <w:r>
        <w:rPr>
          <w:i/>
        </w:rPr>
        <w:tab/>
      </w:r>
      <w:r>
        <w:rPr>
          <w:i/>
        </w:rPr>
        <w:tab/>
      </w:r>
      <w:r w:rsidRPr="00F25DC1">
        <w:t>hyperthyroidism, thyroiditis</w:t>
      </w:r>
    </w:p>
    <w:p w14:paraId="14E8D6C6" w14:textId="77777777" w:rsidR="00F75E7E" w:rsidRPr="00265791" w:rsidRDefault="00F75E7E" w:rsidP="00F75E7E">
      <w:pPr>
        <w:rPr>
          <w:b/>
        </w:rPr>
      </w:pPr>
      <w:r w:rsidRPr="00265791">
        <w:rPr>
          <w:b/>
        </w:rPr>
        <w:t>Hepatobiliary disorders</w:t>
      </w:r>
    </w:p>
    <w:p w14:paraId="43841A09" w14:textId="77777777" w:rsidR="00F75E7E" w:rsidRPr="00265791" w:rsidRDefault="00F75E7E" w:rsidP="00F75E7E">
      <w:r w:rsidRPr="00265791">
        <w:rPr>
          <w:i/>
        </w:rPr>
        <w:t xml:space="preserve">Uncommon: </w:t>
      </w:r>
      <w:r>
        <w:rPr>
          <w:i/>
        </w:rPr>
        <w:tab/>
      </w:r>
      <w:r w:rsidRPr="00265791">
        <w:t xml:space="preserve">hepatitis, cholecystitis, cholestasis </w:t>
      </w:r>
    </w:p>
    <w:p w14:paraId="3DE79646" w14:textId="77777777" w:rsidR="00F75E7E" w:rsidRPr="00265791" w:rsidRDefault="00F75E7E" w:rsidP="00F75E7E">
      <w:pPr>
        <w:rPr>
          <w:b/>
        </w:rPr>
      </w:pPr>
      <w:r w:rsidRPr="00265791">
        <w:rPr>
          <w:b/>
        </w:rPr>
        <w:t>Reproductive system and breast disorders</w:t>
      </w:r>
    </w:p>
    <w:p w14:paraId="787CCE72" w14:textId="77777777" w:rsidR="00F75E7E" w:rsidRDefault="00F75E7E" w:rsidP="00F75E7E">
      <w:r w:rsidRPr="00265791">
        <w:rPr>
          <w:i/>
        </w:rPr>
        <w:t xml:space="preserve">Uncommon: </w:t>
      </w:r>
      <w:r>
        <w:rPr>
          <w:i/>
        </w:rPr>
        <w:tab/>
      </w:r>
      <w:r w:rsidRPr="00265791">
        <w:t xml:space="preserve">gynecomastia, </w:t>
      </w:r>
      <w:r>
        <w:t>menstrual disorder</w:t>
      </w:r>
    </w:p>
    <w:p w14:paraId="6708F581" w14:textId="77777777" w:rsidR="00F75E7E" w:rsidRPr="00B904D8" w:rsidRDefault="00F75E7E" w:rsidP="00F75E7E">
      <w:pPr>
        <w:rPr>
          <w:b/>
        </w:rPr>
      </w:pPr>
      <w:r w:rsidRPr="00B904D8">
        <w:rPr>
          <w:b/>
        </w:rPr>
        <w:t>Pregnancy, pu</w:t>
      </w:r>
      <w:r>
        <w:rPr>
          <w:b/>
        </w:rPr>
        <w:t>e</w:t>
      </w:r>
      <w:r w:rsidRPr="00B904D8">
        <w:rPr>
          <w:b/>
        </w:rPr>
        <w:t>rperium and perinatal conditions</w:t>
      </w:r>
    </w:p>
    <w:p w14:paraId="5DBF4D13" w14:textId="77777777" w:rsidR="00F75E7E" w:rsidRPr="00265791" w:rsidRDefault="00F75E7E" w:rsidP="00F75E7E">
      <w:r>
        <w:rPr>
          <w:i/>
        </w:rPr>
        <w:t xml:space="preserve">Rare: </w:t>
      </w:r>
      <w:r>
        <w:rPr>
          <w:i/>
        </w:rPr>
        <w:tab/>
      </w:r>
      <w:r>
        <w:rPr>
          <w:i/>
        </w:rPr>
        <w:tab/>
      </w:r>
      <w:r>
        <w:t>abortion</w:t>
      </w:r>
    </w:p>
    <w:p w14:paraId="0EFCAB5F" w14:textId="77777777" w:rsidR="00F75E7E" w:rsidRPr="00265791" w:rsidRDefault="00F75E7E" w:rsidP="00F75E7E">
      <w:pPr>
        <w:rPr>
          <w:b/>
        </w:rPr>
      </w:pPr>
      <w:r w:rsidRPr="00265791">
        <w:rPr>
          <w:b/>
        </w:rPr>
        <w:t>Psychiatric disorders</w:t>
      </w:r>
    </w:p>
    <w:p w14:paraId="0E470A58" w14:textId="77777777" w:rsidR="00F75E7E" w:rsidRPr="00265791" w:rsidRDefault="00F75E7E" w:rsidP="00F75E7E">
      <w:r w:rsidRPr="00265791">
        <w:rPr>
          <w:i/>
        </w:rPr>
        <w:t xml:space="preserve">Common: </w:t>
      </w:r>
      <w:r>
        <w:rPr>
          <w:i/>
        </w:rPr>
        <w:tab/>
      </w:r>
      <w:r w:rsidRPr="00265791">
        <w:t>depression, insomnia</w:t>
      </w:r>
    </w:p>
    <w:p w14:paraId="56649999" w14:textId="77777777" w:rsidR="00F75E7E" w:rsidRPr="00265791" w:rsidRDefault="00F75E7E" w:rsidP="00F75E7E">
      <w:r w:rsidRPr="00265791">
        <w:rPr>
          <w:i/>
        </w:rPr>
        <w:t xml:space="preserve">Uncommon: </w:t>
      </w:r>
      <w:r>
        <w:rPr>
          <w:i/>
        </w:rPr>
        <w:tab/>
      </w:r>
      <w:r w:rsidRPr="00265791">
        <w:t>anxiety, confusional state, affect lability, libido decreased</w:t>
      </w:r>
    </w:p>
    <w:p w14:paraId="0B51C1F9" w14:textId="77777777" w:rsidR="00F75E7E" w:rsidRPr="00D62371" w:rsidRDefault="00F75E7E" w:rsidP="00F75E7E">
      <w:pPr>
        <w:rPr>
          <w:sz w:val="18"/>
          <w:szCs w:val="18"/>
        </w:rPr>
      </w:pPr>
      <w:r w:rsidRPr="00D62371">
        <w:rPr>
          <w:sz w:val="18"/>
          <w:szCs w:val="18"/>
        </w:rPr>
        <w:t xml:space="preserve">a. Includes ventricular dysfunction, cardiac failure, cardiac failure congestive, cardiomyopathy, congestive cardiomyopathy, diastolic dysfunction, ejection fraction decreased and ventricular failure. </w:t>
      </w:r>
    </w:p>
    <w:p w14:paraId="5A8B2D85" w14:textId="77777777" w:rsidR="00F75E7E" w:rsidRPr="00D62371" w:rsidRDefault="00F75E7E" w:rsidP="00F75E7E">
      <w:pPr>
        <w:rPr>
          <w:sz w:val="18"/>
          <w:szCs w:val="18"/>
        </w:rPr>
      </w:pPr>
      <w:r w:rsidRPr="00D62371">
        <w:rPr>
          <w:sz w:val="18"/>
          <w:szCs w:val="18"/>
        </w:rPr>
        <w:t xml:space="preserve">b. Includes cerebral haematoma, cerebral haemorrhage, extradural haematoma, haemorrhage intracranial, hemorrhagic stroke, subarachnoid haemorrhage, subdural haematoma, and subdural haemorrhage.  </w:t>
      </w:r>
    </w:p>
    <w:p w14:paraId="285E2CC5" w14:textId="77777777" w:rsidR="00F75E7E" w:rsidRPr="00D62371" w:rsidRDefault="00F75E7E" w:rsidP="00F75E7E">
      <w:pPr>
        <w:rPr>
          <w:sz w:val="18"/>
          <w:szCs w:val="18"/>
        </w:rPr>
      </w:pPr>
      <w:r w:rsidRPr="00D62371">
        <w:rPr>
          <w:sz w:val="18"/>
          <w:szCs w:val="18"/>
        </w:rPr>
        <w:t>c Includes drug eruption, erythema, erythema multiforme, erythrosis, exfoliative rash, generalised erythema, genital rash, heat rash, milia, rash, rash erythematous, rash follicular, rash generalised, rash macular, rash maculo-papular, rash papular, rash pruritic, rash pustular, rash vesicular, skin exfoliation, skin irritation and urticaria vesiculosa.</w:t>
      </w:r>
    </w:p>
    <w:p w14:paraId="3FE85928" w14:textId="77777777" w:rsidR="00F75E7E" w:rsidRPr="00D62371" w:rsidRDefault="00F75E7E" w:rsidP="00F75E7E">
      <w:pPr>
        <w:rPr>
          <w:sz w:val="18"/>
          <w:szCs w:val="18"/>
        </w:rPr>
      </w:pPr>
      <w:r w:rsidRPr="00D62371">
        <w:rPr>
          <w:sz w:val="18"/>
          <w:szCs w:val="18"/>
        </w:rPr>
        <w:t>d .Excludes gastrointestinal bleeding and CNS bleeding; these ADRs are reported under the gastrointestinal disorders system organ class and the nervous system disorders system organ class, respectively.</w:t>
      </w:r>
    </w:p>
    <w:p w14:paraId="4FB13A55" w14:textId="77777777" w:rsidR="00F75E7E" w:rsidRPr="00D62371" w:rsidRDefault="00F75E7E" w:rsidP="00F75E7E">
      <w:pPr>
        <w:rPr>
          <w:sz w:val="18"/>
          <w:szCs w:val="18"/>
        </w:rPr>
      </w:pPr>
      <w:r w:rsidRPr="00D62371">
        <w:rPr>
          <w:sz w:val="18"/>
          <w:szCs w:val="18"/>
        </w:rPr>
        <w:t>e Includes gravitational oedema, localised oedema, oedema peripheral</w:t>
      </w:r>
    </w:p>
    <w:p w14:paraId="5D17B0CF" w14:textId="77777777" w:rsidR="00F75E7E" w:rsidRPr="00D62371" w:rsidRDefault="00F75E7E" w:rsidP="00F75E7E">
      <w:pPr>
        <w:rPr>
          <w:sz w:val="18"/>
          <w:szCs w:val="18"/>
        </w:rPr>
      </w:pPr>
      <w:r w:rsidRPr="00D62371">
        <w:rPr>
          <w:sz w:val="18"/>
          <w:szCs w:val="18"/>
          <w:vertAlign w:val="superscript"/>
        </w:rPr>
        <w:t xml:space="preserve">f </w:t>
      </w:r>
      <w:r w:rsidRPr="00D62371">
        <w:rPr>
          <w:sz w:val="18"/>
          <w:szCs w:val="18"/>
        </w:rPr>
        <w:t>includes conjunctival oedema, eye oedema, eye swelling, eyelid oedema, face oedema, lip oedema, macular oedema, oedema mouth, orbital oedema, periorbital oedema, swelling face</w:t>
      </w:r>
    </w:p>
    <w:p w14:paraId="70E6DE8C" w14:textId="77777777" w:rsidR="00F75E7E" w:rsidRPr="00D62371" w:rsidRDefault="00F75E7E" w:rsidP="00F75E7E">
      <w:pPr>
        <w:rPr>
          <w:sz w:val="18"/>
          <w:szCs w:val="18"/>
        </w:rPr>
      </w:pPr>
      <w:r w:rsidRPr="00D62371">
        <w:rPr>
          <w:sz w:val="18"/>
          <w:szCs w:val="18"/>
          <w:vertAlign w:val="superscript"/>
        </w:rPr>
        <w:t>g</w:t>
      </w:r>
      <w:r w:rsidRPr="00D62371">
        <w:rPr>
          <w:sz w:val="18"/>
          <w:szCs w:val="18"/>
        </w:rPr>
        <w:t xml:space="preserve"> includes fluid overload, fluid retention, gastrointestinal oedema, generalised oedema, oedema, oedema due to cardiac disease, perinephric effusion, post procedural oedema, visceral oedema</w:t>
      </w:r>
    </w:p>
    <w:p w14:paraId="63F48988" w14:textId="77777777" w:rsidR="00F75E7E" w:rsidRPr="00D62371" w:rsidRDefault="00F75E7E" w:rsidP="00F75E7E">
      <w:pPr>
        <w:rPr>
          <w:sz w:val="18"/>
          <w:szCs w:val="18"/>
        </w:rPr>
      </w:pPr>
      <w:r w:rsidRPr="00D62371">
        <w:rPr>
          <w:sz w:val="18"/>
          <w:szCs w:val="18"/>
          <w:vertAlign w:val="superscript"/>
        </w:rPr>
        <w:t>h</w:t>
      </w:r>
      <w:r w:rsidRPr="00D62371">
        <w:rPr>
          <w:sz w:val="18"/>
          <w:szCs w:val="18"/>
        </w:rPr>
        <w:t xml:space="preserve"> includes genital swelling, incision site oedema, oedema genital, penile oedema, penile swelling, scrotal oedema, skin swelling, testicular swelling, vulvovaginal swelling</w:t>
      </w:r>
    </w:p>
    <w:p w14:paraId="374D1D2B" w14:textId="77777777" w:rsidR="00F75E7E" w:rsidRPr="00265791" w:rsidRDefault="00F75E7E" w:rsidP="00F75E7E">
      <w:pPr>
        <w:pStyle w:val="EMEABodyText"/>
        <w:keepNext/>
        <w:rPr>
          <w:i/>
          <w:lang w:val="en-AU"/>
        </w:rPr>
      </w:pPr>
    </w:p>
    <w:p w14:paraId="5E12447D" w14:textId="77777777" w:rsidR="00937764" w:rsidRDefault="00937764">
      <w:pPr>
        <w:spacing w:after="0"/>
        <w:jc w:val="left"/>
        <w:rPr>
          <w:rFonts w:ascii="Times New Roman Bold" w:eastAsia="Times New Roman" w:hAnsi="Times New Roman Bold"/>
          <w:b/>
          <w:bCs/>
          <w:sz w:val="24"/>
          <w:szCs w:val="28"/>
          <w:u w:val="single"/>
        </w:rPr>
      </w:pPr>
      <w:r>
        <w:br w:type="page"/>
      </w:r>
    </w:p>
    <w:p w14:paraId="2464D0A4" w14:textId="1B59C61F" w:rsidR="00F75E7E" w:rsidRPr="00265791" w:rsidRDefault="00F75E7E" w:rsidP="00D62371">
      <w:pPr>
        <w:pStyle w:val="Heading3"/>
      </w:pPr>
      <w:r w:rsidRPr="00265791">
        <w:lastRenderedPageBreak/>
        <w:t>Post</w:t>
      </w:r>
      <w:r w:rsidR="00D62371">
        <w:t xml:space="preserve"> </w:t>
      </w:r>
      <w:r w:rsidRPr="00265791">
        <w:t>marketing Experience</w:t>
      </w:r>
    </w:p>
    <w:p w14:paraId="33DD6319" w14:textId="77777777" w:rsidR="00F75E7E" w:rsidRPr="00265791" w:rsidRDefault="00F75E7E" w:rsidP="00D62371">
      <w:pPr>
        <w:rPr>
          <w:lang w:val="en-US"/>
        </w:rPr>
      </w:pPr>
      <w:r w:rsidRPr="00265791">
        <w:rPr>
          <w:lang w:val="en-US"/>
        </w:rPr>
        <w:t>The following additional adverse events have been identified during post approval use of SPRYCEL. Because these reactions are reported voluntarily from a population of uncertain size, it is not always possible to reliably estimate their frequency or establish a causal relationship to drug exposure.</w:t>
      </w:r>
    </w:p>
    <w:tbl>
      <w:tblPr>
        <w:tblW w:w="0" w:type="auto"/>
        <w:tblInd w:w="108" w:type="dxa"/>
        <w:tblLook w:val="01E0" w:firstRow="1" w:lastRow="1" w:firstColumn="1" w:lastColumn="1" w:noHBand="0" w:noVBand="0"/>
      </w:tblPr>
      <w:tblGrid>
        <w:gridCol w:w="3969"/>
        <w:gridCol w:w="5165"/>
      </w:tblGrid>
      <w:tr w:rsidR="00F75E7E" w:rsidRPr="00FB20C7" w14:paraId="0C8FFA06" w14:textId="77777777" w:rsidTr="00F75E7E">
        <w:tc>
          <w:tcPr>
            <w:tcW w:w="3969" w:type="dxa"/>
            <w:shd w:val="clear" w:color="auto" w:fill="auto"/>
          </w:tcPr>
          <w:p w14:paraId="4F2F9790" w14:textId="77777777" w:rsidR="00F75E7E" w:rsidRPr="001F4D3A" w:rsidRDefault="00F75E7E" w:rsidP="00D62371">
            <w:r w:rsidRPr="001F4D3A">
              <w:t>Infections and infestations:</w:t>
            </w:r>
          </w:p>
        </w:tc>
        <w:tc>
          <w:tcPr>
            <w:tcW w:w="5166" w:type="dxa"/>
            <w:shd w:val="clear" w:color="auto" w:fill="auto"/>
          </w:tcPr>
          <w:p w14:paraId="6FD65536" w14:textId="77777777" w:rsidR="00F75E7E" w:rsidRPr="001F4D3A" w:rsidRDefault="00F75E7E" w:rsidP="00D62371">
            <w:r w:rsidRPr="001F4D3A">
              <w:t>hepatitis B reactivation</w:t>
            </w:r>
          </w:p>
        </w:tc>
      </w:tr>
      <w:tr w:rsidR="00F75E7E" w:rsidRPr="00FB20C7" w14:paraId="1F8294D7" w14:textId="77777777" w:rsidTr="00F75E7E">
        <w:tc>
          <w:tcPr>
            <w:tcW w:w="3969" w:type="dxa"/>
            <w:shd w:val="clear" w:color="auto" w:fill="auto"/>
          </w:tcPr>
          <w:p w14:paraId="0A775FF8" w14:textId="77777777" w:rsidR="00F75E7E" w:rsidRPr="001F4D3A" w:rsidRDefault="00F75E7E" w:rsidP="00D62371">
            <w:r w:rsidRPr="00265791">
              <w:t>Cardiac disorders:</w:t>
            </w:r>
          </w:p>
        </w:tc>
        <w:tc>
          <w:tcPr>
            <w:tcW w:w="5166" w:type="dxa"/>
            <w:shd w:val="clear" w:color="auto" w:fill="auto"/>
          </w:tcPr>
          <w:p w14:paraId="20A971E1" w14:textId="77777777" w:rsidR="00F75E7E" w:rsidRPr="001F4D3A" w:rsidRDefault="00F75E7E" w:rsidP="00D62371">
            <w:r w:rsidRPr="00265791">
              <w:t>atrial fibrillation/atrial flutter</w:t>
            </w:r>
            <w:r w:rsidRPr="00265791">
              <w:rPr>
                <w:sz w:val="20"/>
                <w:szCs w:val="20"/>
                <w:vertAlign w:val="superscript"/>
              </w:rPr>
              <w:t>a</w:t>
            </w:r>
          </w:p>
        </w:tc>
      </w:tr>
      <w:tr w:rsidR="00F75E7E" w:rsidRPr="00FB20C7" w14:paraId="76D93A34" w14:textId="77777777" w:rsidTr="00F75E7E">
        <w:tc>
          <w:tcPr>
            <w:tcW w:w="3969" w:type="dxa"/>
            <w:shd w:val="clear" w:color="auto" w:fill="auto"/>
          </w:tcPr>
          <w:p w14:paraId="6F94B63F" w14:textId="77777777" w:rsidR="00F75E7E" w:rsidRPr="001F4D3A" w:rsidRDefault="00F75E7E" w:rsidP="00D62371">
            <w:r w:rsidRPr="00265791">
              <w:t>Respiratory, thoracic and mediastinal disorders</w:t>
            </w:r>
            <w:r>
              <w:t>:</w:t>
            </w:r>
          </w:p>
        </w:tc>
        <w:tc>
          <w:tcPr>
            <w:tcW w:w="5166" w:type="dxa"/>
            <w:shd w:val="clear" w:color="auto" w:fill="auto"/>
          </w:tcPr>
          <w:p w14:paraId="37208D4B" w14:textId="77777777" w:rsidR="00F75E7E" w:rsidRPr="001F4D3A" w:rsidRDefault="00F75E7E" w:rsidP="00D62371">
            <w:r w:rsidRPr="00265791">
              <w:t>interstitial lung disease, pulmonary arterial hypertension</w:t>
            </w:r>
          </w:p>
        </w:tc>
      </w:tr>
      <w:tr w:rsidR="00F75E7E" w:rsidRPr="00FB20C7" w14:paraId="36194090" w14:textId="77777777" w:rsidTr="00F75E7E">
        <w:tc>
          <w:tcPr>
            <w:tcW w:w="3969" w:type="dxa"/>
            <w:shd w:val="clear" w:color="auto" w:fill="auto"/>
          </w:tcPr>
          <w:p w14:paraId="069AD36E" w14:textId="77777777" w:rsidR="00F75E7E" w:rsidRPr="00265791" w:rsidRDefault="00F75E7E" w:rsidP="00D62371">
            <w:r>
              <w:t>Skin and subcutaneous tissue disorders:</w:t>
            </w:r>
          </w:p>
        </w:tc>
        <w:tc>
          <w:tcPr>
            <w:tcW w:w="5166" w:type="dxa"/>
            <w:shd w:val="clear" w:color="auto" w:fill="auto"/>
          </w:tcPr>
          <w:p w14:paraId="7CADE438" w14:textId="77777777" w:rsidR="00F75E7E" w:rsidRPr="00265791" w:rsidRDefault="00F75E7E" w:rsidP="00D62371">
            <w:r>
              <w:t>Stevens-Johnson syndrome</w:t>
            </w:r>
            <w:r w:rsidRPr="0060619E">
              <w:rPr>
                <w:vertAlign w:val="superscript"/>
              </w:rPr>
              <w:t>b</w:t>
            </w:r>
          </w:p>
        </w:tc>
      </w:tr>
      <w:tr w:rsidR="00F75E7E" w:rsidRPr="00FB20C7" w14:paraId="01AF0FD1" w14:textId="77777777" w:rsidTr="00F75E7E">
        <w:tc>
          <w:tcPr>
            <w:tcW w:w="3969" w:type="dxa"/>
            <w:shd w:val="clear" w:color="auto" w:fill="auto"/>
          </w:tcPr>
          <w:p w14:paraId="01CEB6D9" w14:textId="77777777" w:rsidR="00F75E7E" w:rsidRPr="00265791" w:rsidRDefault="00F75E7E" w:rsidP="00D62371">
            <w:r>
              <w:t>Renal and urinary disorders:</w:t>
            </w:r>
          </w:p>
        </w:tc>
        <w:tc>
          <w:tcPr>
            <w:tcW w:w="5166" w:type="dxa"/>
            <w:shd w:val="clear" w:color="auto" w:fill="auto"/>
          </w:tcPr>
          <w:p w14:paraId="724950D6" w14:textId="77777777" w:rsidR="00F75E7E" w:rsidRPr="00EC0A57" w:rsidRDefault="00F75E7E" w:rsidP="00D62371">
            <w:pPr>
              <w:rPr>
                <w:lang w:val="en-US"/>
              </w:rPr>
            </w:pPr>
            <w:r>
              <w:rPr>
                <w:lang w:val="en-US"/>
              </w:rPr>
              <w:t>nephrotic syndrome</w:t>
            </w:r>
          </w:p>
        </w:tc>
      </w:tr>
    </w:tbl>
    <w:p w14:paraId="46D63CA4" w14:textId="77777777" w:rsidR="00F75E7E" w:rsidRDefault="00F75E7E" w:rsidP="00F75E7E">
      <w:pPr>
        <w:pStyle w:val="EMEABodyText"/>
        <w:jc w:val="both"/>
        <w:rPr>
          <w:sz w:val="18"/>
          <w:szCs w:val="18"/>
          <w:lang w:val="en-US"/>
        </w:rPr>
      </w:pPr>
      <w:r w:rsidRPr="00265791">
        <w:rPr>
          <w:sz w:val="18"/>
          <w:szCs w:val="18"/>
          <w:lang w:val="en-US"/>
        </w:rPr>
        <w:t xml:space="preserve">a. Typically reported in elderly patients or in patients with confounding factors including significant underlying or concurrent cardiac or cardiovascular disorders, or other significant comorbidities (eg, severe infection/sepsis, electrolyte abnormalities). </w:t>
      </w:r>
    </w:p>
    <w:p w14:paraId="23E137B2" w14:textId="77777777" w:rsidR="00F75E7E" w:rsidRDefault="00F75E7E" w:rsidP="00F75E7E">
      <w:pPr>
        <w:pStyle w:val="EMEABodyText"/>
        <w:jc w:val="both"/>
        <w:rPr>
          <w:sz w:val="18"/>
          <w:szCs w:val="18"/>
          <w:lang w:val="en-US"/>
        </w:rPr>
      </w:pPr>
    </w:p>
    <w:p w14:paraId="6C03768A" w14:textId="5168578E" w:rsidR="00D62371" w:rsidRDefault="00F75E7E" w:rsidP="00D62371">
      <w:pPr>
        <w:pStyle w:val="EMEABodyText"/>
        <w:jc w:val="both"/>
        <w:rPr>
          <w:sz w:val="18"/>
          <w:szCs w:val="18"/>
          <w:lang w:val="en-US"/>
        </w:rPr>
      </w:pPr>
      <w:r>
        <w:rPr>
          <w:sz w:val="18"/>
          <w:szCs w:val="18"/>
          <w:lang w:val="en-US"/>
        </w:rPr>
        <w:t>b. In the post-marketing setting, individual cases of Stevens-Johnson syndrome have been reported. It could not be determined whether these mucocutaneous adverse reactions were directly related to SPRYCEL or to concomitant medications.</w:t>
      </w:r>
    </w:p>
    <w:p w14:paraId="2AF3D53A" w14:textId="77777777" w:rsidR="00D62371" w:rsidRPr="00D62371" w:rsidRDefault="00D62371" w:rsidP="00D62371">
      <w:pPr>
        <w:pStyle w:val="EMEABodyText"/>
        <w:jc w:val="both"/>
        <w:rPr>
          <w:sz w:val="18"/>
          <w:szCs w:val="18"/>
          <w:lang w:val="en-US"/>
        </w:rPr>
      </w:pPr>
    </w:p>
    <w:p w14:paraId="27F659EF" w14:textId="44E04D54" w:rsidR="00B57C92" w:rsidRPr="00B3545F" w:rsidRDefault="00B57C92" w:rsidP="003D202A">
      <w:r w:rsidRPr="00B3545F">
        <w:t xml:space="preserve">Reporting suspected adverse reactions after registration of the medicinal product is important. It allows continued monitoring of the benefit-risk balance of the medicinal product. </w:t>
      </w:r>
      <w:r w:rsidR="003D202A" w:rsidRPr="00B3545F">
        <w:rPr>
          <w:lang w:val="en-US"/>
        </w:rPr>
        <w:t>Healthcare professionals are asked to report any suspected adverse reactions at http://www.tga.gov.au/reporting-problems.</w:t>
      </w:r>
    </w:p>
    <w:p w14:paraId="30E4E630" w14:textId="77777777" w:rsidR="001A3992" w:rsidRPr="000A4651" w:rsidRDefault="001A3992" w:rsidP="003144B2">
      <w:pPr>
        <w:pStyle w:val="Heading2"/>
      </w:pPr>
      <w:r w:rsidRPr="000A4651">
        <w:t>Overdose</w:t>
      </w:r>
    </w:p>
    <w:p w14:paraId="486474C5" w14:textId="43FCFA2C" w:rsidR="00303143" w:rsidRPr="00265791" w:rsidRDefault="00303143" w:rsidP="00303143">
      <w:bookmarkStart w:id="2" w:name="_Hlk506572555"/>
      <w:r w:rsidRPr="00265791">
        <w:t xml:space="preserve">Experience with overdose of SPRYCEL in clinical studies is limited to isolated cases. The highest overdosage of 280 mg per day for one week was reported in two patients and both developed a significant decrease in platelet counts. Since SPRYCEL is associated with severe myelosuppression, patients who ingest more than the recommended dosage should be closely monitored for myelosuppression and given appropriate supportive treatment. </w:t>
      </w:r>
    </w:p>
    <w:bookmarkEnd w:id="2"/>
    <w:p w14:paraId="693F6ACA" w14:textId="77777777" w:rsidR="003D202A" w:rsidRPr="00B3545F" w:rsidRDefault="003D202A" w:rsidP="00303143">
      <w:r w:rsidRPr="00B3545F">
        <w:t>For information on the management of overdose, contact the Poison Information Centre on 131126 (Australia).</w:t>
      </w:r>
    </w:p>
    <w:p w14:paraId="40F0C783" w14:textId="77777777" w:rsidR="001A3992" w:rsidRPr="000A4651" w:rsidRDefault="001A3992" w:rsidP="00C27979">
      <w:pPr>
        <w:pStyle w:val="Heading1"/>
      </w:pPr>
      <w:r w:rsidRPr="000A4651">
        <w:t>Pharmacological properties</w:t>
      </w:r>
    </w:p>
    <w:p w14:paraId="7022B74A" w14:textId="77777777" w:rsidR="001A3992" w:rsidRPr="000A4651" w:rsidRDefault="00E61227" w:rsidP="003144B2">
      <w:pPr>
        <w:pStyle w:val="Heading2"/>
      </w:pPr>
      <w:r w:rsidRPr="000A4651">
        <w:t>Pharmacodynamic properties</w:t>
      </w:r>
    </w:p>
    <w:p w14:paraId="7EDE95C1" w14:textId="77777777" w:rsidR="001A3992" w:rsidRPr="000A4651" w:rsidRDefault="001A3992" w:rsidP="00D62371">
      <w:pPr>
        <w:pStyle w:val="Heading3"/>
      </w:pPr>
      <w:r w:rsidRPr="000A4651">
        <w:t>Mechanism of action</w:t>
      </w:r>
    </w:p>
    <w:p w14:paraId="3C240154" w14:textId="41AE0AD8" w:rsidR="0019544E" w:rsidRPr="00C05BEB" w:rsidRDefault="006C1205" w:rsidP="0019544E">
      <w:pPr>
        <w:tabs>
          <w:tab w:val="left" w:pos="158"/>
        </w:tabs>
        <w:rPr>
          <w:bCs/>
        </w:rPr>
      </w:pPr>
      <w:r w:rsidRPr="00DF46D9">
        <w:t>Dasatinib is a potent inhibitor of multiple oncogenic kinases, cellular enzymes involved in the transmission of growth signals from the cell membrane to the nucleus.</w:t>
      </w:r>
      <w:r w:rsidRPr="00C05BEB">
        <w:t xml:space="preserve"> </w:t>
      </w:r>
      <w:r w:rsidR="0019544E" w:rsidRPr="00C05BEB">
        <w:rPr>
          <w:bCs/>
        </w:rPr>
        <w:t>Dasatinib inhibits the activity of the BCR-ABL kinase and SRC-family kinases at low nanomolar or subnanomolar concentrations.  Dasatinib also inhibits a number of other kinases including c-KIT, the EPHA2 receptor and the PDGFβ receptor.  Unlike imatinib, it binds not only to the inactive but also to the active conformation of the BCR-ABL kinase.  This suggests a reduced propensity for acquired drug resistance due to the emergence of mutations that promote the adoption of kinase’s active conformation.</w:t>
      </w:r>
    </w:p>
    <w:p w14:paraId="4C53C2DD" w14:textId="77777777" w:rsidR="0019544E" w:rsidRPr="00C05BEB" w:rsidRDefault="0019544E" w:rsidP="0019544E">
      <w:pPr>
        <w:tabs>
          <w:tab w:val="left" w:pos="158"/>
        </w:tabs>
      </w:pPr>
      <w:r w:rsidRPr="00C05BEB">
        <w:rPr>
          <w:bCs/>
        </w:rPr>
        <w:t xml:space="preserve">Dasatinib has been demonstrated to inhibit the survival/proliferation of human leukaemic cell lines </w:t>
      </w:r>
      <w:r w:rsidRPr="00C05BEB">
        <w:rPr>
          <w:i/>
        </w:rPr>
        <w:t>in vitro</w:t>
      </w:r>
      <w:r w:rsidRPr="00C05BEB">
        <w:rPr>
          <w:bCs/>
        </w:rPr>
        <w:t xml:space="preserve">, and to inhibit the growth of human CML (chronic myeloid leukaemia) xenografts in SCID mice, in both imatinib-sensitive and resistant models of the disease.  Antileukaemic activity was seen in dasatinib-treated mice in a model of CML with CNS involvement.  Non-clinical studies show that </w:t>
      </w:r>
      <w:r w:rsidRPr="00C05BEB">
        <w:rPr>
          <w:bCs/>
        </w:rPr>
        <w:lastRenderedPageBreak/>
        <w:t>dasatinib can overcome imatinib resistance resulting from BCR-ABL independence, most BCR-ABL kinase domain mutations, activation of alternate signalling pathways involving SRC-family kinases (LYN and FYN) and P-glycoprotein (multi-drug resistance protein 1) overexpression.</w:t>
      </w:r>
    </w:p>
    <w:p w14:paraId="44677FD6" w14:textId="77777777" w:rsidR="001A3992" w:rsidRPr="000A4651" w:rsidRDefault="001A3992" w:rsidP="00D62371">
      <w:pPr>
        <w:pStyle w:val="Heading3"/>
      </w:pPr>
      <w:r w:rsidRPr="000A4651">
        <w:t>Clinical trials</w:t>
      </w:r>
    </w:p>
    <w:p w14:paraId="2DD0FB6E" w14:textId="77777777" w:rsidR="00F4383A" w:rsidRPr="00C05BEB" w:rsidRDefault="00F4383A" w:rsidP="00F4383A">
      <w:r w:rsidRPr="00C05BEB">
        <w:t>In the Phase I study, haematologic and cytogenetic responses were observed in all phases of CML and in Ph+ ALL in the first 84 patients treated and followed for up to 27 months. Responses were durable across all phases of CML and Ph+ ALL.</w:t>
      </w:r>
    </w:p>
    <w:p w14:paraId="5603A796" w14:textId="68D286EC" w:rsidR="00F4383A" w:rsidRPr="00C05BEB" w:rsidRDefault="00F4383A" w:rsidP="00F4383A">
      <w:r w:rsidRPr="00C05BEB">
        <w:t xml:space="preserve">Four single-arm, uncontrolled, open-label Phase II clinical trials were conducted to determine the safety and efficacy of SPRYCEL in patients with CML in chronic, accelerated, or myeloid blast phase, who were either resistant or intolerant to imatinib.  </w:t>
      </w:r>
    </w:p>
    <w:p w14:paraId="08961CCE" w14:textId="23D9225E" w:rsidR="00F4383A" w:rsidRPr="00265791" w:rsidRDefault="00F4383A" w:rsidP="00F4383A">
      <w:r w:rsidRPr="00C05BEB">
        <w:t>One randomized, comparative trial was conducted in chronic phase patients who failed initial treatment with 400 or 600 mg imatinib. The starting dose of SPRYCEL was 70 mg twice daily. Dose modifications were al</w:t>
      </w:r>
      <w:r w:rsidRPr="00265791">
        <w:t xml:space="preserve">lowed for improving activity or management of toxicity. </w:t>
      </w:r>
    </w:p>
    <w:p w14:paraId="680C5E9E" w14:textId="02446619" w:rsidR="00F4383A" w:rsidRPr="00265791" w:rsidRDefault="00F4383A" w:rsidP="00F4383A">
      <w:r w:rsidRPr="00265791">
        <w:t>Two randomised, open-label Phase III trials were conducted to evaluate the efficacy of SPRYCEL</w:t>
      </w:r>
      <w:r w:rsidRPr="00265791">
        <w:rPr>
          <w:vertAlign w:val="superscript"/>
        </w:rPr>
        <w:t xml:space="preserve"> </w:t>
      </w:r>
      <w:r w:rsidRPr="00265791">
        <w:t>administered once daily compared with SPRYCEL</w:t>
      </w:r>
      <w:r w:rsidRPr="00265791">
        <w:rPr>
          <w:vertAlign w:val="superscript"/>
        </w:rPr>
        <w:t xml:space="preserve"> </w:t>
      </w:r>
      <w:r w:rsidRPr="00265791">
        <w:t xml:space="preserve">administered twice daily. In addition, one open-label, randomised, comparative Phase III study was conducted in adult patients with newly diagnosed chronic phase CML.  </w:t>
      </w:r>
    </w:p>
    <w:p w14:paraId="5C101CD6" w14:textId="0084686D" w:rsidR="00F4383A" w:rsidRPr="00265791" w:rsidRDefault="00F4383A" w:rsidP="00F4383A">
      <w:pPr>
        <w:rPr>
          <w:spacing w:val="-2"/>
        </w:rPr>
      </w:pPr>
      <w:r w:rsidRPr="00265791">
        <w:t xml:space="preserve">The efficacy of SPRYCEL is based on haematological and cytogenetic response rates. Durability of response and estimated survival rates provide additional evidence of </w:t>
      </w:r>
      <w:r w:rsidRPr="00265791">
        <w:rPr>
          <w:spacing w:val="-2"/>
        </w:rPr>
        <w:t>SPRYCEL clinical benefit.</w:t>
      </w:r>
    </w:p>
    <w:p w14:paraId="3AAD9281" w14:textId="77777777" w:rsidR="00F4383A" w:rsidRPr="00265791" w:rsidRDefault="00F4383A" w:rsidP="00F4383A">
      <w:pPr>
        <w:rPr>
          <w:spacing w:val="-2"/>
        </w:rPr>
      </w:pPr>
      <w:r w:rsidRPr="00265791">
        <w:t>A total of 2,</w:t>
      </w:r>
      <w:r>
        <w:t>712</w:t>
      </w:r>
      <w:r w:rsidRPr="00265791">
        <w:t> patients were evaluated in clinical trials</w:t>
      </w:r>
      <w:r>
        <w:t xml:space="preserve"> of CML</w:t>
      </w:r>
      <w:r w:rsidRPr="00265791">
        <w:t xml:space="preserve">; of these </w:t>
      </w:r>
      <w:r w:rsidRPr="00265791">
        <w:rPr>
          <w:spacing w:val="-1"/>
        </w:rPr>
        <w:t xml:space="preserve">23% were ≥ 65 years of age and 5% were </w:t>
      </w:r>
      <w:r w:rsidRPr="00265791">
        <w:rPr>
          <w:spacing w:val="-2"/>
        </w:rPr>
        <w:t xml:space="preserve">≥ 75 years of age. </w:t>
      </w:r>
    </w:p>
    <w:p w14:paraId="5F0C4219" w14:textId="77777777" w:rsidR="00F4383A" w:rsidRPr="00265791" w:rsidRDefault="00F4383A" w:rsidP="00F4383A">
      <w:pPr>
        <w:pStyle w:val="Heading4"/>
      </w:pPr>
      <w:r w:rsidRPr="00265791">
        <w:t>Chronic Phase CML - Newly Diagnosed</w:t>
      </w:r>
    </w:p>
    <w:p w14:paraId="568DC673" w14:textId="6D9CE62D" w:rsidR="00F4383A" w:rsidRPr="00265791" w:rsidRDefault="00F4383A" w:rsidP="00F4383A">
      <w:r w:rsidRPr="00265791">
        <w:t>An international open-label, multi-centre, randomised, comparative Phase III study was conducted in adult patients with newly diagnosed chronic phase CML. Patients were randomised to receive either SPRYCEL 100 mg once daily or imatinib 400 mg once daily. The primary end-point was the rate of confirmed complete cytogenetic response (cCCyR) within 12 months. Secondary endpoints included time in cCCyR (measure of durability of response), time to cCCyR, major molecular response (MMR) rate, time to MMR, progression free survival (PFS) and overall survival (OS). Other relevant efficacy results included CCyR and complete molecular response (CMR) rates.</w:t>
      </w:r>
    </w:p>
    <w:p w14:paraId="4A7FEA19" w14:textId="51EEFF5E" w:rsidR="00F4383A" w:rsidRPr="00265791" w:rsidRDefault="00F4383A" w:rsidP="00F4383A">
      <w:r w:rsidRPr="00265791">
        <w:t>A total of 519 patients were randomised</w:t>
      </w:r>
      <w:r w:rsidRPr="00265791">
        <w:rPr>
          <w:lang w:val="en-US"/>
        </w:rPr>
        <w:t xml:space="preserve"> to a treatment group</w:t>
      </w:r>
      <w:r w:rsidRPr="00265791">
        <w:t xml:space="preserve">: 259 to SPRYCEL and 260 to imatinib. </w:t>
      </w:r>
      <w:r w:rsidRPr="00265791">
        <w:rPr>
          <w:lang w:val="en-US"/>
        </w:rPr>
        <w:t xml:space="preserve">Baseline characteristics were well balanced between the two treatment groups with respect to age (median age was 46 years for the SPRYCEL group and 49 years for the imatinib group with 10% and 11% of patients 65 years of age or older, respectively), gender (women 44% and 37%, respectively), and race (Caucasian 51% and 55%; Asian 42% and 37%, respectively). </w:t>
      </w:r>
      <w:r w:rsidRPr="00265791">
        <w:t xml:space="preserve">At baseline, the distribution of Hasford Scores was similar in the SPRYCEL and imatinib treatment groups (low risk: 33% and 34%; intermediate risk 48% and 47%; high risk: 19% and 19%, respectively). </w:t>
      </w:r>
    </w:p>
    <w:p w14:paraId="6DA442A0" w14:textId="3551936C" w:rsidR="00F4383A" w:rsidRPr="00265791" w:rsidRDefault="00F4383A" w:rsidP="00F4383A">
      <w:r w:rsidRPr="00265791">
        <w:t xml:space="preserve">With a minimum of 12 months follow-up, 85% of patients randomised to the SPRYCEL group and 81% of patients randomised to the imatinib group were still receiving first-line treatment. Discontinuation due to disease progression occurred in 3% of SPRYCEL-treated patients and 5% of imatinib-treated patients. With a minimum of </w:t>
      </w:r>
      <w:r>
        <w:t>60</w:t>
      </w:r>
      <w:r w:rsidRPr="00265791">
        <w:t xml:space="preserve"> months follow-up, 6</w:t>
      </w:r>
      <w:r>
        <w:t>1</w:t>
      </w:r>
      <w:r w:rsidRPr="00265791">
        <w:t>% of patients randomised to the SPRYCEL</w:t>
      </w:r>
      <w:r w:rsidRPr="00265791">
        <w:rPr>
          <w:vertAlign w:val="superscript"/>
        </w:rPr>
        <w:t xml:space="preserve"> </w:t>
      </w:r>
      <w:r w:rsidRPr="00265791">
        <w:t>group and 6</w:t>
      </w:r>
      <w:r>
        <w:t>3</w:t>
      </w:r>
      <w:r w:rsidRPr="00265791">
        <w:t xml:space="preserve">% of patients randomised to the imatinib group were still receiving first-line treatment. Discontinuation due to disease progression occurred in 7% of SPRYCEL-treated patients and </w:t>
      </w:r>
      <w:r>
        <w:t>9</w:t>
      </w:r>
      <w:r w:rsidRPr="00265791">
        <w:t>% of imatinib-treated patients.</w:t>
      </w:r>
    </w:p>
    <w:p w14:paraId="0A03328C" w14:textId="537D01F9" w:rsidR="00F4383A" w:rsidRPr="00265791" w:rsidRDefault="00F4383A" w:rsidP="00F4383A">
      <w:r w:rsidRPr="00265791">
        <w:lastRenderedPageBreak/>
        <w:t xml:space="preserve">Efficacy results are presented in Table </w:t>
      </w:r>
      <w:r w:rsidR="003E2DA1">
        <w:t>8</w:t>
      </w:r>
      <w:r w:rsidRPr="00265791">
        <w:t xml:space="preserve">. A statistically significantly greater proportion of patients in the SPRYCEL group achieved a cCCyR compared with patients in the imatinib group within the first 12 months of treatment. Efficacy of SPRYCEL was consistently demonstrated across different subgroups, including age, gender, and baseline Hasford score. </w:t>
      </w:r>
    </w:p>
    <w:p w14:paraId="37B6D710" w14:textId="77777777" w:rsidR="00F4383A" w:rsidRPr="00265791" w:rsidRDefault="00F4383A" w:rsidP="00F4383A">
      <w:pPr>
        <w:pStyle w:val="EMEABodyText"/>
        <w:rPr>
          <w:sz w:val="24"/>
        </w:rPr>
      </w:pPr>
    </w:p>
    <w:tbl>
      <w:tblPr>
        <w:tblW w:w="0" w:type="auto"/>
        <w:tblInd w:w="108" w:type="dxa"/>
        <w:tblBorders>
          <w:bottom w:val="double" w:sz="6" w:space="0" w:color="auto"/>
        </w:tblBorders>
        <w:tblLayout w:type="fixed"/>
        <w:tblLook w:val="0000" w:firstRow="0" w:lastRow="0" w:firstColumn="0" w:lastColumn="0" w:noHBand="0" w:noVBand="0"/>
      </w:tblPr>
      <w:tblGrid>
        <w:gridCol w:w="3780"/>
        <w:gridCol w:w="1890"/>
        <w:gridCol w:w="1843"/>
        <w:gridCol w:w="47"/>
        <w:gridCol w:w="1188"/>
      </w:tblGrid>
      <w:tr w:rsidR="00F4383A" w:rsidRPr="00C15DA2" w14:paraId="5598DE41" w14:textId="77777777" w:rsidTr="00F75E7E">
        <w:tc>
          <w:tcPr>
            <w:tcW w:w="8748" w:type="dxa"/>
            <w:gridSpan w:val="5"/>
            <w:tcBorders>
              <w:bottom w:val="double" w:sz="6" w:space="0" w:color="000000"/>
            </w:tcBorders>
            <w:shd w:val="clear" w:color="auto" w:fill="auto"/>
          </w:tcPr>
          <w:p w14:paraId="7C654F1C" w14:textId="3723DF2D" w:rsidR="00F4383A" w:rsidRPr="00C15DA2" w:rsidRDefault="00F4383A" w:rsidP="00F75E7E">
            <w:pPr>
              <w:pStyle w:val="BMSTableTitle"/>
              <w:rPr>
                <w:sz w:val="22"/>
                <w:szCs w:val="22"/>
                <w:lang w:val="en-GB"/>
              </w:rPr>
            </w:pPr>
            <w:r w:rsidRPr="00C15DA2">
              <w:rPr>
                <w:sz w:val="22"/>
                <w:szCs w:val="22"/>
                <w:lang w:val="en-GB"/>
              </w:rPr>
              <w:lastRenderedPageBreak/>
              <w:t xml:space="preserve">Table </w:t>
            </w:r>
            <w:r w:rsidR="003E2DA1">
              <w:rPr>
                <w:sz w:val="22"/>
                <w:szCs w:val="22"/>
                <w:lang w:val="en-GB"/>
              </w:rPr>
              <w:t>8</w:t>
            </w:r>
            <w:r w:rsidRPr="00C15DA2">
              <w:rPr>
                <w:sz w:val="22"/>
                <w:szCs w:val="22"/>
                <w:lang w:val="en-GB"/>
              </w:rPr>
              <w:t>:</w:t>
            </w:r>
            <w:r w:rsidRPr="00C15DA2">
              <w:rPr>
                <w:sz w:val="22"/>
                <w:szCs w:val="22"/>
                <w:lang w:val="en-GB"/>
              </w:rPr>
              <w:tab/>
              <w:t xml:space="preserve">Efficacy Results in a Phase III Study of Newly Diagnosed Patients with Chronic Phase CML </w:t>
            </w:r>
          </w:p>
        </w:tc>
      </w:tr>
      <w:tr w:rsidR="00F4383A" w:rsidRPr="00265791" w14:paraId="4DA811C5" w14:textId="77777777" w:rsidTr="00F75E7E">
        <w:trPr>
          <w:trHeight w:val="576"/>
        </w:trPr>
        <w:tc>
          <w:tcPr>
            <w:tcW w:w="3780" w:type="dxa"/>
            <w:tcBorders>
              <w:top w:val="double" w:sz="6" w:space="0" w:color="000000"/>
              <w:bottom w:val="single" w:sz="4" w:space="0" w:color="auto"/>
            </w:tcBorders>
            <w:shd w:val="clear" w:color="auto" w:fill="auto"/>
          </w:tcPr>
          <w:p w14:paraId="649351D5" w14:textId="77777777" w:rsidR="00F4383A" w:rsidRPr="00265791" w:rsidRDefault="00F4383A" w:rsidP="00F75E7E">
            <w:pPr>
              <w:pStyle w:val="BMSTableHeader"/>
              <w:keepNext/>
              <w:spacing w:before="40" w:after="40"/>
              <w:rPr>
                <w:lang w:val="en-GB"/>
              </w:rPr>
            </w:pPr>
          </w:p>
        </w:tc>
        <w:tc>
          <w:tcPr>
            <w:tcW w:w="1890" w:type="dxa"/>
            <w:tcBorders>
              <w:top w:val="double" w:sz="6" w:space="0" w:color="000000"/>
              <w:bottom w:val="single" w:sz="4" w:space="0" w:color="auto"/>
            </w:tcBorders>
            <w:shd w:val="clear" w:color="auto" w:fill="auto"/>
          </w:tcPr>
          <w:p w14:paraId="02B739A4" w14:textId="29C94F8C" w:rsidR="00F4383A" w:rsidRPr="00265791" w:rsidRDefault="00F4383A" w:rsidP="00F75E7E">
            <w:pPr>
              <w:pStyle w:val="BMSTableHeader"/>
              <w:spacing w:before="40" w:after="40"/>
              <w:rPr>
                <w:lang w:val="en-GB"/>
              </w:rPr>
            </w:pPr>
            <w:r w:rsidRPr="00265791">
              <w:rPr>
                <w:lang w:val="en-GB"/>
              </w:rPr>
              <w:t>SPRYCEL</w:t>
            </w:r>
            <w:r w:rsidRPr="00265791">
              <w:rPr>
                <w:lang w:val="en-GB"/>
              </w:rPr>
              <w:br/>
              <w:t>n= 259</w:t>
            </w:r>
          </w:p>
        </w:tc>
        <w:tc>
          <w:tcPr>
            <w:tcW w:w="1843" w:type="dxa"/>
            <w:tcBorders>
              <w:top w:val="double" w:sz="6" w:space="0" w:color="000000"/>
              <w:bottom w:val="single" w:sz="4" w:space="0" w:color="auto"/>
            </w:tcBorders>
            <w:shd w:val="clear" w:color="auto" w:fill="auto"/>
          </w:tcPr>
          <w:p w14:paraId="4A2AF336" w14:textId="77777777" w:rsidR="00F4383A" w:rsidRPr="00265791" w:rsidRDefault="00F4383A" w:rsidP="00F75E7E">
            <w:pPr>
              <w:pStyle w:val="BMSTableHeader"/>
              <w:spacing w:before="40" w:after="40"/>
              <w:rPr>
                <w:lang w:val="en-GB"/>
              </w:rPr>
            </w:pPr>
            <w:r w:rsidRPr="00265791">
              <w:rPr>
                <w:lang w:val="en-GB"/>
              </w:rPr>
              <w:t>imatinib</w:t>
            </w:r>
            <w:r w:rsidRPr="00265791">
              <w:rPr>
                <w:lang w:val="en-GB"/>
              </w:rPr>
              <w:br/>
              <w:t>n= 260</w:t>
            </w:r>
          </w:p>
        </w:tc>
        <w:tc>
          <w:tcPr>
            <w:tcW w:w="1235" w:type="dxa"/>
            <w:gridSpan w:val="2"/>
            <w:tcBorders>
              <w:top w:val="double" w:sz="6" w:space="0" w:color="000000"/>
              <w:bottom w:val="single" w:sz="4" w:space="0" w:color="auto"/>
            </w:tcBorders>
            <w:shd w:val="clear" w:color="auto" w:fill="auto"/>
          </w:tcPr>
          <w:p w14:paraId="6CC14605" w14:textId="77777777" w:rsidR="00F4383A" w:rsidRPr="00265791" w:rsidRDefault="00F4383A" w:rsidP="00F75E7E">
            <w:pPr>
              <w:pStyle w:val="BMSTableHeader"/>
              <w:spacing w:before="40" w:after="40"/>
              <w:rPr>
                <w:lang w:val="en-GB"/>
              </w:rPr>
            </w:pPr>
            <w:r w:rsidRPr="00265791">
              <w:rPr>
                <w:lang w:val="en-GB"/>
              </w:rPr>
              <w:t>p-value</w:t>
            </w:r>
            <w:r w:rsidRPr="00265791">
              <w:rPr>
                <w:vertAlign w:val="superscript"/>
                <w:lang w:val="en-GB"/>
              </w:rPr>
              <w:t>d</w:t>
            </w:r>
          </w:p>
        </w:tc>
      </w:tr>
      <w:tr w:rsidR="00F4383A" w:rsidRPr="00265791" w14:paraId="30015A14" w14:textId="77777777" w:rsidTr="00F75E7E">
        <w:tc>
          <w:tcPr>
            <w:tcW w:w="3780" w:type="dxa"/>
            <w:tcBorders>
              <w:top w:val="single" w:sz="4" w:space="0" w:color="auto"/>
              <w:bottom w:val="single" w:sz="4" w:space="0" w:color="auto"/>
            </w:tcBorders>
            <w:shd w:val="clear" w:color="auto" w:fill="auto"/>
          </w:tcPr>
          <w:p w14:paraId="43BE9865" w14:textId="77777777" w:rsidR="00F4383A" w:rsidRPr="00265791" w:rsidRDefault="00F4383A" w:rsidP="00F75E7E">
            <w:pPr>
              <w:pStyle w:val="BMSTableText"/>
              <w:keepNext/>
              <w:keepLines/>
              <w:spacing w:before="40" w:after="40"/>
              <w:rPr>
                <w:lang w:val="en-GB"/>
              </w:rPr>
            </w:pPr>
          </w:p>
        </w:tc>
        <w:tc>
          <w:tcPr>
            <w:tcW w:w="3733" w:type="dxa"/>
            <w:gridSpan w:val="2"/>
            <w:tcBorders>
              <w:top w:val="single" w:sz="4" w:space="0" w:color="auto"/>
              <w:bottom w:val="single" w:sz="4" w:space="0" w:color="auto"/>
            </w:tcBorders>
            <w:shd w:val="clear" w:color="auto" w:fill="auto"/>
          </w:tcPr>
          <w:p w14:paraId="01E92EC4" w14:textId="77777777" w:rsidR="00F4383A" w:rsidRPr="00265791" w:rsidRDefault="00F4383A" w:rsidP="00F75E7E">
            <w:pPr>
              <w:pStyle w:val="BMSTableText"/>
              <w:keepNext/>
              <w:keepLines/>
              <w:spacing w:before="40" w:after="40"/>
              <w:rPr>
                <w:b/>
                <w:lang w:val="en-GB"/>
              </w:rPr>
            </w:pPr>
            <w:r w:rsidRPr="00265791">
              <w:rPr>
                <w:b/>
                <w:lang w:val="en-GB"/>
              </w:rPr>
              <w:t>Response rate (95% CI)</w:t>
            </w:r>
          </w:p>
        </w:tc>
        <w:tc>
          <w:tcPr>
            <w:tcW w:w="1235" w:type="dxa"/>
            <w:gridSpan w:val="2"/>
            <w:tcBorders>
              <w:top w:val="single" w:sz="4" w:space="0" w:color="auto"/>
              <w:bottom w:val="single" w:sz="4" w:space="0" w:color="auto"/>
            </w:tcBorders>
            <w:shd w:val="clear" w:color="auto" w:fill="auto"/>
          </w:tcPr>
          <w:p w14:paraId="69B3C109" w14:textId="77777777" w:rsidR="00F4383A" w:rsidRPr="00265791" w:rsidRDefault="00F4383A" w:rsidP="00F75E7E">
            <w:pPr>
              <w:pStyle w:val="BMSTableHeader"/>
              <w:spacing w:before="40" w:after="40"/>
              <w:rPr>
                <w:lang w:val="en-GB"/>
              </w:rPr>
            </w:pPr>
          </w:p>
        </w:tc>
      </w:tr>
      <w:tr w:rsidR="00F4383A" w:rsidRPr="00265791" w14:paraId="6472B7C3" w14:textId="77777777" w:rsidTr="00F75E7E">
        <w:tc>
          <w:tcPr>
            <w:tcW w:w="3780" w:type="dxa"/>
            <w:tcBorders>
              <w:top w:val="single" w:sz="4" w:space="0" w:color="auto"/>
              <w:bottom w:val="nil"/>
            </w:tcBorders>
            <w:shd w:val="clear" w:color="auto" w:fill="auto"/>
          </w:tcPr>
          <w:p w14:paraId="3EE979A6" w14:textId="77777777" w:rsidR="00F4383A" w:rsidRPr="00265791" w:rsidRDefault="00F4383A" w:rsidP="00F75E7E">
            <w:pPr>
              <w:pStyle w:val="BMSTableText"/>
              <w:keepNext/>
              <w:keepLines/>
              <w:spacing w:before="40" w:after="40"/>
              <w:rPr>
                <w:lang w:val="en-GB"/>
              </w:rPr>
            </w:pPr>
            <w:r w:rsidRPr="00265791">
              <w:rPr>
                <w:b/>
                <w:lang w:val="en-GB"/>
              </w:rPr>
              <w:t>Cytogenetic Response</w:t>
            </w:r>
            <w:r w:rsidRPr="00265791">
              <w:rPr>
                <w:lang w:val="en-GB"/>
              </w:rPr>
              <w:t xml:space="preserve"> </w:t>
            </w:r>
            <w:r w:rsidRPr="00265791">
              <w:rPr>
                <w:b/>
                <w:lang w:val="en-GB"/>
              </w:rPr>
              <w:t>within 12 months</w:t>
            </w:r>
          </w:p>
        </w:tc>
        <w:tc>
          <w:tcPr>
            <w:tcW w:w="1890" w:type="dxa"/>
            <w:tcBorders>
              <w:top w:val="single" w:sz="4" w:space="0" w:color="auto"/>
              <w:bottom w:val="nil"/>
            </w:tcBorders>
            <w:shd w:val="clear" w:color="auto" w:fill="auto"/>
          </w:tcPr>
          <w:p w14:paraId="1DEC9A9E" w14:textId="77777777" w:rsidR="00F4383A" w:rsidRPr="00265791" w:rsidRDefault="00F4383A" w:rsidP="00F75E7E">
            <w:pPr>
              <w:pStyle w:val="BMSTableText"/>
              <w:keepNext/>
              <w:keepLines/>
              <w:spacing w:before="40" w:after="40"/>
              <w:rPr>
                <w:lang w:val="en-GB"/>
              </w:rPr>
            </w:pPr>
          </w:p>
        </w:tc>
        <w:tc>
          <w:tcPr>
            <w:tcW w:w="1843" w:type="dxa"/>
            <w:tcBorders>
              <w:top w:val="single" w:sz="4" w:space="0" w:color="auto"/>
              <w:bottom w:val="nil"/>
            </w:tcBorders>
            <w:shd w:val="clear" w:color="auto" w:fill="auto"/>
          </w:tcPr>
          <w:p w14:paraId="18F4538D" w14:textId="77777777" w:rsidR="00F4383A" w:rsidRPr="00265791" w:rsidRDefault="00F4383A" w:rsidP="00F75E7E">
            <w:pPr>
              <w:pStyle w:val="BMSTableText"/>
              <w:keepNext/>
              <w:keepLines/>
              <w:spacing w:before="40" w:after="40"/>
              <w:rPr>
                <w:lang w:val="en-GB"/>
              </w:rPr>
            </w:pPr>
          </w:p>
        </w:tc>
        <w:tc>
          <w:tcPr>
            <w:tcW w:w="1235" w:type="dxa"/>
            <w:gridSpan w:val="2"/>
            <w:tcBorders>
              <w:top w:val="single" w:sz="4" w:space="0" w:color="auto"/>
              <w:bottom w:val="nil"/>
            </w:tcBorders>
            <w:shd w:val="clear" w:color="auto" w:fill="auto"/>
          </w:tcPr>
          <w:p w14:paraId="70360BE1" w14:textId="77777777" w:rsidR="00F4383A" w:rsidRPr="00265791" w:rsidRDefault="00F4383A" w:rsidP="00F75E7E">
            <w:pPr>
              <w:pStyle w:val="BMSTableText"/>
              <w:keepNext/>
              <w:keepLines/>
              <w:spacing w:before="40" w:after="40"/>
              <w:rPr>
                <w:lang w:val="en-GB"/>
              </w:rPr>
            </w:pPr>
          </w:p>
        </w:tc>
      </w:tr>
      <w:tr w:rsidR="00F4383A" w:rsidRPr="00265791" w14:paraId="4C5CDCD4" w14:textId="77777777" w:rsidTr="00F75E7E">
        <w:tc>
          <w:tcPr>
            <w:tcW w:w="3780" w:type="dxa"/>
            <w:tcBorders>
              <w:top w:val="nil"/>
            </w:tcBorders>
            <w:shd w:val="clear" w:color="auto" w:fill="auto"/>
          </w:tcPr>
          <w:p w14:paraId="2000ABF4" w14:textId="77777777" w:rsidR="00F4383A" w:rsidRPr="00265791" w:rsidRDefault="00F4383A" w:rsidP="00F75E7E">
            <w:pPr>
              <w:pStyle w:val="BMSTableText"/>
              <w:keepNext/>
              <w:keepLines/>
              <w:spacing w:before="40" w:after="40"/>
              <w:rPr>
                <w:lang w:val="en-GB"/>
              </w:rPr>
            </w:pPr>
            <w:r w:rsidRPr="00265791">
              <w:rPr>
                <w:lang w:val="en-GB"/>
              </w:rPr>
              <w:tab/>
              <w:t>cCCyR</w:t>
            </w:r>
            <w:r w:rsidRPr="00265791">
              <w:rPr>
                <w:rStyle w:val="BMSSuperscript"/>
                <w:lang w:val="en-GB"/>
              </w:rPr>
              <w:t>a</w:t>
            </w:r>
            <w:r w:rsidRPr="00265791">
              <w:rPr>
                <w:rStyle w:val="BMSSubscript"/>
                <w:lang w:val="en-GB"/>
              </w:rPr>
              <w:t xml:space="preserve"> </w:t>
            </w:r>
          </w:p>
        </w:tc>
        <w:tc>
          <w:tcPr>
            <w:tcW w:w="1890" w:type="dxa"/>
            <w:tcBorders>
              <w:top w:val="nil"/>
            </w:tcBorders>
            <w:shd w:val="clear" w:color="auto" w:fill="auto"/>
          </w:tcPr>
          <w:p w14:paraId="54D169A2" w14:textId="77777777" w:rsidR="00F4383A" w:rsidRPr="00265791" w:rsidRDefault="00F4383A" w:rsidP="00F75E7E">
            <w:pPr>
              <w:pStyle w:val="BMSTableText"/>
              <w:keepNext/>
              <w:keepLines/>
              <w:spacing w:before="40" w:after="40"/>
              <w:rPr>
                <w:lang w:val="en-GB"/>
              </w:rPr>
            </w:pPr>
            <w:r w:rsidRPr="00265791">
              <w:rPr>
                <w:lang w:val="en-GB"/>
              </w:rPr>
              <w:t>76.8% (71.2–81.8)</w:t>
            </w:r>
          </w:p>
        </w:tc>
        <w:tc>
          <w:tcPr>
            <w:tcW w:w="1843" w:type="dxa"/>
            <w:tcBorders>
              <w:top w:val="nil"/>
            </w:tcBorders>
            <w:shd w:val="clear" w:color="auto" w:fill="auto"/>
          </w:tcPr>
          <w:p w14:paraId="00CE5C53" w14:textId="77777777" w:rsidR="00F4383A" w:rsidRPr="00265791" w:rsidRDefault="00F4383A" w:rsidP="00F75E7E">
            <w:pPr>
              <w:pStyle w:val="BMSTableText"/>
              <w:keepNext/>
              <w:keepLines/>
              <w:spacing w:before="40" w:after="40"/>
              <w:rPr>
                <w:lang w:val="en-GB"/>
              </w:rPr>
            </w:pPr>
            <w:r w:rsidRPr="00265791">
              <w:rPr>
                <w:lang w:val="en-GB"/>
              </w:rPr>
              <w:t>66.2% (60.1–71.9)</w:t>
            </w:r>
          </w:p>
        </w:tc>
        <w:tc>
          <w:tcPr>
            <w:tcW w:w="1235" w:type="dxa"/>
            <w:gridSpan w:val="2"/>
            <w:tcBorders>
              <w:top w:val="nil"/>
            </w:tcBorders>
            <w:shd w:val="clear" w:color="auto" w:fill="auto"/>
          </w:tcPr>
          <w:p w14:paraId="07B881EC" w14:textId="77777777" w:rsidR="00F4383A" w:rsidRPr="00265791" w:rsidRDefault="00F4383A" w:rsidP="00F75E7E">
            <w:pPr>
              <w:pStyle w:val="BMSTableText"/>
              <w:keepNext/>
              <w:keepLines/>
              <w:spacing w:before="40" w:after="40"/>
              <w:rPr>
                <w:lang w:val="en-GB"/>
              </w:rPr>
            </w:pPr>
            <w:r w:rsidRPr="00265791">
              <w:rPr>
                <w:lang w:val="en-GB"/>
              </w:rPr>
              <w:t>p&lt; 0.007*</w:t>
            </w:r>
          </w:p>
        </w:tc>
      </w:tr>
      <w:tr w:rsidR="00F4383A" w:rsidRPr="00265791" w14:paraId="08267DE5" w14:textId="77777777" w:rsidTr="00F75E7E">
        <w:tc>
          <w:tcPr>
            <w:tcW w:w="3780" w:type="dxa"/>
            <w:tcBorders>
              <w:bottom w:val="nil"/>
            </w:tcBorders>
            <w:shd w:val="clear" w:color="auto" w:fill="auto"/>
          </w:tcPr>
          <w:p w14:paraId="219088CC" w14:textId="77777777" w:rsidR="00F4383A" w:rsidRPr="00265791" w:rsidRDefault="00F4383A" w:rsidP="00F75E7E">
            <w:pPr>
              <w:pStyle w:val="BMSTableText"/>
              <w:keepNext/>
              <w:keepLines/>
              <w:spacing w:before="40" w:after="40"/>
              <w:rPr>
                <w:b/>
                <w:lang w:val="en-GB"/>
              </w:rPr>
            </w:pPr>
            <w:r w:rsidRPr="00265791">
              <w:rPr>
                <w:lang w:val="en-GB"/>
              </w:rPr>
              <w:tab/>
              <w:t>CCyR</w:t>
            </w:r>
            <w:r w:rsidRPr="00265791">
              <w:rPr>
                <w:rStyle w:val="BMSSuperscript"/>
                <w:lang w:val="en-GB"/>
              </w:rPr>
              <w:t>b</w:t>
            </w:r>
          </w:p>
        </w:tc>
        <w:tc>
          <w:tcPr>
            <w:tcW w:w="1890" w:type="dxa"/>
            <w:tcBorders>
              <w:bottom w:val="nil"/>
            </w:tcBorders>
            <w:shd w:val="clear" w:color="auto" w:fill="auto"/>
          </w:tcPr>
          <w:p w14:paraId="40DCB8C0" w14:textId="77777777" w:rsidR="00F4383A" w:rsidRPr="00265791" w:rsidRDefault="00F4383A" w:rsidP="00F75E7E">
            <w:pPr>
              <w:pStyle w:val="BMSTableText"/>
              <w:keepNext/>
              <w:keepLines/>
              <w:spacing w:before="40" w:after="40"/>
              <w:rPr>
                <w:lang w:val="en-GB"/>
              </w:rPr>
            </w:pPr>
            <w:r w:rsidRPr="00265791">
              <w:rPr>
                <w:lang w:val="en-GB"/>
              </w:rPr>
              <w:t>85.3% (80.4</w:t>
            </w:r>
            <w:r w:rsidRPr="00265791">
              <w:rPr>
                <w:lang w:val="en-GB"/>
              </w:rPr>
              <w:noBreakHyphen/>
              <w:t>89.4)</w:t>
            </w:r>
          </w:p>
        </w:tc>
        <w:tc>
          <w:tcPr>
            <w:tcW w:w="1843" w:type="dxa"/>
            <w:tcBorders>
              <w:bottom w:val="nil"/>
            </w:tcBorders>
            <w:shd w:val="clear" w:color="auto" w:fill="auto"/>
          </w:tcPr>
          <w:p w14:paraId="6EA871E4" w14:textId="77777777" w:rsidR="00F4383A" w:rsidRPr="00265791" w:rsidRDefault="00F4383A" w:rsidP="00F75E7E">
            <w:pPr>
              <w:pStyle w:val="BMSTableText"/>
              <w:keepNext/>
              <w:keepLines/>
              <w:spacing w:before="40" w:after="40"/>
              <w:rPr>
                <w:lang w:val="en-GB"/>
              </w:rPr>
            </w:pPr>
            <w:r w:rsidRPr="00265791">
              <w:rPr>
                <w:lang w:val="en-GB"/>
              </w:rPr>
              <w:t>73.5% (67.7</w:t>
            </w:r>
            <w:r w:rsidRPr="00265791">
              <w:rPr>
                <w:lang w:val="en-GB"/>
              </w:rPr>
              <w:noBreakHyphen/>
              <w:t>78.7)</w:t>
            </w:r>
          </w:p>
        </w:tc>
        <w:tc>
          <w:tcPr>
            <w:tcW w:w="1235" w:type="dxa"/>
            <w:gridSpan w:val="2"/>
            <w:tcBorders>
              <w:bottom w:val="nil"/>
            </w:tcBorders>
            <w:shd w:val="clear" w:color="auto" w:fill="auto"/>
          </w:tcPr>
          <w:p w14:paraId="4F26375B"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2D4EC573" w14:textId="77777777" w:rsidTr="00F75E7E">
        <w:tc>
          <w:tcPr>
            <w:tcW w:w="3780" w:type="dxa"/>
            <w:tcBorders>
              <w:bottom w:val="nil"/>
            </w:tcBorders>
            <w:shd w:val="clear" w:color="auto" w:fill="auto"/>
          </w:tcPr>
          <w:p w14:paraId="47B879E1" w14:textId="77777777" w:rsidR="00F4383A" w:rsidRPr="00265791" w:rsidRDefault="00F4383A" w:rsidP="00F75E7E">
            <w:pPr>
              <w:pStyle w:val="BMSTableText"/>
              <w:keepNext/>
              <w:keepLines/>
              <w:spacing w:before="40" w:after="40"/>
              <w:rPr>
                <w:lang w:val="en-GB"/>
              </w:rPr>
            </w:pPr>
            <w:r w:rsidRPr="00265791">
              <w:rPr>
                <w:b/>
                <w:lang w:val="en-GB"/>
              </w:rPr>
              <w:t>Cytogenetic Response</w:t>
            </w:r>
            <w:r w:rsidRPr="00265791">
              <w:rPr>
                <w:lang w:val="en-GB"/>
              </w:rPr>
              <w:t xml:space="preserve"> </w:t>
            </w:r>
            <w:r w:rsidRPr="00265791">
              <w:rPr>
                <w:b/>
                <w:lang w:val="en-GB"/>
              </w:rPr>
              <w:t>within 24 months</w:t>
            </w:r>
          </w:p>
        </w:tc>
        <w:tc>
          <w:tcPr>
            <w:tcW w:w="1890" w:type="dxa"/>
            <w:tcBorders>
              <w:bottom w:val="nil"/>
            </w:tcBorders>
            <w:shd w:val="clear" w:color="auto" w:fill="auto"/>
          </w:tcPr>
          <w:p w14:paraId="0B2895B7" w14:textId="77777777" w:rsidR="00F4383A" w:rsidRPr="00265791" w:rsidRDefault="00F4383A" w:rsidP="00F75E7E">
            <w:pPr>
              <w:pStyle w:val="BMSTableText"/>
              <w:keepNext/>
              <w:keepLines/>
              <w:spacing w:before="40" w:after="40"/>
              <w:rPr>
                <w:lang w:val="en-GB"/>
              </w:rPr>
            </w:pPr>
          </w:p>
        </w:tc>
        <w:tc>
          <w:tcPr>
            <w:tcW w:w="1843" w:type="dxa"/>
            <w:tcBorders>
              <w:bottom w:val="nil"/>
            </w:tcBorders>
            <w:shd w:val="clear" w:color="auto" w:fill="auto"/>
          </w:tcPr>
          <w:p w14:paraId="2F045351" w14:textId="77777777" w:rsidR="00F4383A" w:rsidRPr="00265791" w:rsidRDefault="00F4383A" w:rsidP="00F75E7E">
            <w:pPr>
              <w:pStyle w:val="BMSTableText"/>
              <w:keepNext/>
              <w:keepLines/>
              <w:spacing w:before="40" w:after="40"/>
              <w:rPr>
                <w:lang w:val="en-GB"/>
              </w:rPr>
            </w:pPr>
          </w:p>
        </w:tc>
        <w:tc>
          <w:tcPr>
            <w:tcW w:w="1235" w:type="dxa"/>
            <w:gridSpan w:val="2"/>
            <w:tcBorders>
              <w:bottom w:val="nil"/>
            </w:tcBorders>
            <w:shd w:val="clear" w:color="auto" w:fill="auto"/>
          </w:tcPr>
          <w:p w14:paraId="53FD08FD" w14:textId="77777777" w:rsidR="00F4383A" w:rsidRPr="00265791" w:rsidRDefault="00F4383A" w:rsidP="00F75E7E">
            <w:pPr>
              <w:pStyle w:val="BMSTableText"/>
              <w:keepNext/>
              <w:keepLines/>
              <w:spacing w:before="40" w:after="40"/>
              <w:rPr>
                <w:lang w:val="en-GB"/>
              </w:rPr>
            </w:pPr>
          </w:p>
        </w:tc>
      </w:tr>
      <w:tr w:rsidR="00F4383A" w:rsidRPr="00265791" w14:paraId="12D59AAB" w14:textId="77777777" w:rsidTr="00F75E7E">
        <w:tc>
          <w:tcPr>
            <w:tcW w:w="3780" w:type="dxa"/>
            <w:tcBorders>
              <w:bottom w:val="nil"/>
            </w:tcBorders>
            <w:shd w:val="clear" w:color="auto" w:fill="auto"/>
          </w:tcPr>
          <w:p w14:paraId="41F9AA10" w14:textId="77777777" w:rsidR="00F4383A" w:rsidRPr="00265791" w:rsidRDefault="00F4383A" w:rsidP="00F75E7E">
            <w:pPr>
              <w:pStyle w:val="BMSTableText"/>
              <w:keepNext/>
              <w:keepLines/>
              <w:spacing w:before="40" w:after="40"/>
              <w:rPr>
                <w:lang w:val="en-GB"/>
              </w:rPr>
            </w:pPr>
            <w:r w:rsidRPr="00265791">
              <w:rPr>
                <w:lang w:val="en-GB"/>
              </w:rPr>
              <w:t>cCCyR</w:t>
            </w:r>
            <w:r w:rsidRPr="00265791">
              <w:rPr>
                <w:rStyle w:val="BMSSuperscript"/>
                <w:lang w:val="en-GB"/>
              </w:rPr>
              <w:t>a</w:t>
            </w:r>
          </w:p>
        </w:tc>
        <w:tc>
          <w:tcPr>
            <w:tcW w:w="1890" w:type="dxa"/>
            <w:tcBorders>
              <w:bottom w:val="nil"/>
            </w:tcBorders>
            <w:shd w:val="clear" w:color="auto" w:fill="auto"/>
          </w:tcPr>
          <w:p w14:paraId="21FE0720" w14:textId="77777777" w:rsidR="00F4383A" w:rsidRPr="00265791" w:rsidRDefault="00F4383A" w:rsidP="00F75E7E">
            <w:pPr>
              <w:pStyle w:val="BMSTableText"/>
              <w:keepNext/>
              <w:keepLines/>
              <w:spacing w:before="40" w:after="40"/>
              <w:rPr>
                <w:lang w:val="en-GB"/>
              </w:rPr>
            </w:pPr>
            <w:r w:rsidRPr="00265791">
              <w:rPr>
                <w:lang w:val="en-GB"/>
              </w:rPr>
              <w:t>80.3%</w:t>
            </w:r>
          </w:p>
        </w:tc>
        <w:tc>
          <w:tcPr>
            <w:tcW w:w="1843" w:type="dxa"/>
            <w:tcBorders>
              <w:bottom w:val="nil"/>
            </w:tcBorders>
            <w:shd w:val="clear" w:color="auto" w:fill="auto"/>
          </w:tcPr>
          <w:p w14:paraId="29640BE7" w14:textId="77777777" w:rsidR="00F4383A" w:rsidRPr="00265791" w:rsidRDefault="00F4383A" w:rsidP="00F75E7E">
            <w:pPr>
              <w:pStyle w:val="BMSTableText"/>
              <w:keepNext/>
              <w:keepLines/>
              <w:spacing w:before="40" w:after="40"/>
              <w:rPr>
                <w:lang w:val="en-GB"/>
              </w:rPr>
            </w:pPr>
            <w:r w:rsidRPr="00265791">
              <w:rPr>
                <w:lang w:val="en-GB"/>
              </w:rPr>
              <w:t>74.2%</w:t>
            </w:r>
          </w:p>
        </w:tc>
        <w:tc>
          <w:tcPr>
            <w:tcW w:w="1235" w:type="dxa"/>
            <w:gridSpan w:val="2"/>
            <w:tcBorders>
              <w:bottom w:val="nil"/>
            </w:tcBorders>
            <w:shd w:val="clear" w:color="auto" w:fill="auto"/>
          </w:tcPr>
          <w:p w14:paraId="7E295603"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655C150F" w14:textId="77777777" w:rsidTr="00F75E7E">
        <w:tc>
          <w:tcPr>
            <w:tcW w:w="3780" w:type="dxa"/>
            <w:tcBorders>
              <w:bottom w:val="nil"/>
            </w:tcBorders>
            <w:shd w:val="clear" w:color="auto" w:fill="auto"/>
          </w:tcPr>
          <w:p w14:paraId="279B430D" w14:textId="77777777" w:rsidR="00F4383A" w:rsidRPr="00265791" w:rsidRDefault="00F4383A" w:rsidP="00F75E7E">
            <w:pPr>
              <w:pStyle w:val="BMSTableText"/>
              <w:keepNext/>
              <w:keepLines/>
              <w:spacing w:before="40" w:after="40"/>
              <w:rPr>
                <w:lang w:val="en-GB"/>
              </w:rPr>
            </w:pPr>
            <w:r w:rsidRPr="00265791">
              <w:rPr>
                <w:lang w:val="en-GB"/>
              </w:rPr>
              <w:t>CCyR</w:t>
            </w:r>
            <w:r w:rsidRPr="00265791">
              <w:rPr>
                <w:rStyle w:val="BMSSuperscript"/>
                <w:lang w:val="en-GB"/>
              </w:rPr>
              <w:t>b</w:t>
            </w:r>
          </w:p>
        </w:tc>
        <w:tc>
          <w:tcPr>
            <w:tcW w:w="1890" w:type="dxa"/>
            <w:tcBorders>
              <w:bottom w:val="nil"/>
            </w:tcBorders>
            <w:shd w:val="clear" w:color="auto" w:fill="auto"/>
          </w:tcPr>
          <w:p w14:paraId="0A6814A8" w14:textId="77777777" w:rsidR="00F4383A" w:rsidRPr="00265791" w:rsidRDefault="00F4383A" w:rsidP="00F75E7E">
            <w:pPr>
              <w:pStyle w:val="BMSTableText"/>
              <w:keepNext/>
              <w:keepLines/>
              <w:spacing w:before="40" w:after="40"/>
              <w:rPr>
                <w:lang w:val="en-GB"/>
              </w:rPr>
            </w:pPr>
            <w:r w:rsidRPr="00265791">
              <w:rPr>
                <w:lang w:val="en-GB"/>
              </w:rPr>
              <w:t>87.3%</w:t>
            </w:r>
          </w:p>
        </w:tc>
        <w:tc>
          <w:tcPr>
            <w:tcW w:w="1843" w:type="dxa"/>
            <w:tcBorders>
              <w:bottom w:val="nil"/>
            </w:tcBorders>
            <w:shd w:val="clear" w:color="auto" w:fill="auto"/>
          </w:tcPr>
          <w:p w14:paraId="55ED16B8" w14:textId="77777777" w:rsidR="00F4383A" w:rsidRPr="00265791" w:rsidRDefault="00F4383A" w:rsidP="00F75E7E">
            <w:pPr>
              <w:pStyle w:val="BMSTableText"/>
              <w:keepNext/>
              <w:keepLines/>
              <w:spacing w:before="40" w:after="40"/>
              <w:rPr>
                <w:lang w:val="en-GB"/>
              </w:rPr>
            </w:pPr>
            <w:r w:rsidRPr="00265791">
              <w:rPr>
                <w:lang w:val="en-GB"/>
              </w:rPr>
              <w:t>82.3%</w:t>
            </w:r>
          </w:p>
        </w:tc>
        <w:tc>
          <w:tcPr>
            <w:tcW w:w="1235" w:type="dxa"/>
            <w:gridSpan w:val="2"/>
            <w:tcBorders>
              <w:bottom w:val="nil"/>
            </w:tcBorders>
            <w:shd w:val="clear" w:color="auto" w:fill="auto"/>
          </w:tcPr>
          <w:p w14:paraId="038D78B3"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3469BFF6" w14:textId="77777777" w:rsidTr="00F75E7E">
        <w:tc>
          <w:tcPr>
            <w:tcW w:w="3780" w:type="dxa"/>
            <w:tcBorders>
              <w:bottom w:val="nil"/>
            </w:tcBorders>
            <w:shd w:val="clear" w:color="auto" w:fill="auto"/>
          </w:tcPr>
          <w:p w14:paraId="18A0DCD5" w14:textId="77777777" w:rsidR="00F4383A" w:rsidRPr="00265791" w:rsidRDefault="00F4383A" w:rsidP="00F75E7E">
            <w:pPr>
              <w:pStyle w:val="BMSTableText"/>
              <w:keepNext/>
              <w:keepLines/>
              <w:spacing w:before="40" w:after="40"/>
              <w:rPr>
                <w:lang w:val="en-GB"/>
              </w:rPr>
            </w:pPr>
            <w:r w:rsidRPr="00265791">
              <w:rPr>
                <w:b/>
                <w:lang w:val="en-GB"/>
              </w:rPr>
              <w:t>Cytogenetic Response</w:t>
            </w:r>
            <w:r w:rsidRPr="00265791">
              <w:rPr>
                <w:lang w:val="en-GB"/>
              </w:rPr>
              <w:t xml:space="preserve"> </w:t>
            </w:r>
            <w:r w:rsidRPr="00265791">
              <w:rPr>
                <w:b/>
                <w:lang w:val="en-GB"/>
              </w:rPr>
              <w:t>within 36 months</w:t>
            </w:r>
          </w:p>
        </w:tc>
        <w:tc>
          <w:tcPr>
            <w:tcW w:w="1890" w:type="dxa"/>
            <w:tcBorders>
              <w:bottom w:val="nil"/>
            </w:tcBorders>
            <w:shd w:val="clear" w:color="auto" w:fill="auto"/>
          </w:tcPr>
          <w:p w14:paraId="6E449EEF" w14:textId="77777777" w:rsidR="00F4383A" w:rsidRPr="00265791" w:rsidRDefault="00F4383A" w:rsidP="00F75E7E">
            <w:pPr>
              <w:pStyle w:val="BMSTableText"/>
              <w:keepNext/>
              <w:keepLines/>
              <w:spacing w:before="40" w:after="40"/>
              <w:rPr>
                <w:lang w:val="en-GB"/>
              </w:rPr>
            </w:pPr>
          </w:p>
        </w:tc>
        <w:tc>
          <w:tcPr>
            <w:tcW w:w="1843" w:type="dxa"/>
            <w:tcBorders>
              <w:bottom w:val="nil"/>
            </w:tcBorders>
            <w:shd w:val="clear" w:color="auto" w:fill="auto"/>
          </w:tcPr>
          <w:p w14:paraId="59922292" w14:textId="77777777" w:rsidR="00F4383A" w:rsidRPr="00265791" w:rsidRDefault="00F4383A" w:rsidP="00F75E7E">
            <w:pPr>
              <w:pStyle w:val="BMSTableText"/>
              <w:keepNext/>
              <w:keepLines/>
              <w:spacing w:before="40" w:after="40"/>
              <w:rPr>
                <w:lang w:val="en-GB"/>
              </w:rPr>
            </w:pPr>
          </w:p>
        </w:tc>
        <w:tc>
          <w:tcPr>
            <w:tcW w:w="1235" w:type="dxa"/>
            <w:gridSpan w:val="2"/>
            <w:tcBorders>
              <w:bottom w:val="nil"/>
            </w:tcBorders>
            <w:shd w:val="clear" w:color="auto" w:fill="auto"/>
          </w:tcPr>
          <w:p w14:paraId="56451CAB" w14:textId="77777777" w:rsidR="00F4383A" w:rsidRPr="00265791" w:rsidRDefault="00F4383A" w:rsidP="00F75E7E">
            <w:pPr>
              <w:pStyle w:val="BMSTableText"/>
              <w:keepNext/>
              <w:keepLines/>
              <w:spacing w:before="40" w:after="40"/>
              <w:rPr>
                <w:lang w:val="en-GB"/>
              </w:rPr>
            </w:pPr>
          </w:p>
        </w:tc>
      </w:tr>
      <w:tr w:rsidR="00F4383A" w:rsidRPr="00265791" w14:paraId="5EDBF248" w14:textId="77777777" w:rsidTr="00F75E7E">
        <w:tc>
          <w:tcPr>
            <w:tcW w:w="3780" w:type="dxa"/>
            <w:tcBorders>
              <w:bottom w:val="nil"/>
            </w:tcBorders>
            <w:shd w:val="clear" w:color="auto" w:fill="auto"/>
          </w:tcPr>
          <w:p w14:paraId="57F61329" w14:textId="77777777" w:rsidR="00F4383A" w:rsidRPr="00265791" w:rsidRDefault="00F4383A" w:rsidP="00F75E7E">
            <w:pPr>
              <w:pStyle w:val="BMSTableText"/>
              <w:keepNext/>
              <w:keepLines/>
              <w:spacing w:before="40" w:after="40"/>
              <w:rPr>
                <w:lang w:val="en-GB"/>
              </w:rPr>
            </w:pPr>
            <w:r w:rsidRPr="00265791">
              <w:rPr>
                <w:lang w:val="en-GB"/>
              </w:rPr>
              <w:t>cCCyR</w:t>
            </w:r>
            <w:r w:rsidRPr="00265791">
              <w:rPr>
                <w:rStyle w:val="BMSSuperscript"/>
                <w:lang w:val="en-GB"/>
              </w:rPr>
              <w:t>a</w:t>
            </w:r>
          </w:p>
        </w:tc>
        <w:tc>
          <w:tcPr>
            <w:tcW w:w="1890" w:type="dxa"/>
            <w:tcBorders>
              <w:bottom w:val="nil"/>
            </w:tcBorders>
            <w:shd w:val="clear" w:color="auto" w:fill="auto"/>
          </w:tcPr>
          <w:p w14:paraId="164A0116" w14:textId="77777777" w:rsidR="00F4383A" w:rsidRPr="00265791" w:rsidRDefault="00F4383A" w:rsidP="00F75E7E">
            <w:pPr>
              <w:pStyle w:val="BMSTableText"/>
              <w:keepNext/>
              <w:keepLines/>
              <w:spacing w:before="40" w:after="40"/>
              <w:rPr>
                <w:lang w:val="en-GB"/>
              </w:rPr>
            </w:pPr>
            <w:r w:rsidRPr="00265791">
              <w:rPr>
                <w:lang w:val="en-GB"/>
              </w:rPr>
              <w:t>82.6%</w:t>
            </w:r>
          </w:p>
        </w:tc>
        <w:tc>
          <w:tcPr>
            <w:tcW w:w="1843" w:type="dxa"/>
            <w:tcBorders>
              <w:bottom w:val="nil"/>
            </w:tcBorders>
            <w:shd w:val="clear" w:color="auto" w:fill="auto"/>
          </w:tcPr>
          <w:p w14:paraId="30185FC4" w14:textId="77777777" w:rsidR="00F4383A" w:rsidRPr="00265791" w:rsidRDefault="00F4383A" w:rsidP="00F75E7E">
            <w:pPr>
              <w:pStyle w:val="BMSTableText"/>
              <w:keepNext/>
              <w:keepLines/>
              <w:spacing w:before="40" w:after="40"/>
              <w:rPr>
                <w:lang w:val="en-GB"/>
              </w:rPr>
            </w:pPr>
            <w:r w:rsidRPr="00265791">
              <w:rPr>
                <w:lang w:val="en-GB"/>
              </w:rPr>
              <w:t>77.3%</w:t>
            </w:r>
          </w:p>
        </w:tc>
        <w:tc>
          <w:tcPr>
            <w:tcW w:w="1235" w:type="dxa"/>
            <w:gridSpan w:val="2"/>
            <w:tcBorders>
              <w:bottom w:val="nil"/>
            </w:tcBorders>
            <w:shd w:val="clear" w:color="auto" w:fill="auto"/>
          </w:tcPr>
          <w:p w14:paraId="321EB394"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2B2A83DE" w14:textId="77777777" w:rsidTr="00F75E7E">
        <w:tc>
          <w:tcPr>
            <w:tcW w:w="3780" w:type="dxa"/>
            <w:tcBorders>
              <w:bottom w:val="nil"/>
            </w:tcBorders>
            <w:shd w:val="clear" w:color="auto" w:fill="auto"/>
          </w:tcPr>
          <w:p w14:paraId="36EA92DE" w14:textId="77777777" w:rsidR="00F4383A" w:rsidRPr="00265791" w:rsidRDefault="00F4383A" w:rsidP="00F75E7E">
            <w:pPr>
              <w:pStyle w:val="BMSTableText"/>
              <w:keepNext/>
              <w:keepLines/>
              <w:spacing w:before="40" w:after="40"/>
              <w:rPr>
                <w:lang w:val="en-GB"/>
              </w:rPr>
            </w:pPr>
            <w:r w:rsidRPr="00265791">
              <w:rPr>
                <w:lang w:val="en-GB"/>
              </w:rPr>
              <w:t>CCyR</w:t>
            </w:r>
            <w:r w:rsidRPr="00265791">
              <w:rPr>
                <w:rStyle w:val="BMSSuperscript"/>
                <w:lang w:val="en-GB"/>
              </w:rPr>
              <w:t>b</w:t>
            </w:r>
          </w:p>
        </w:tc>
        <w:tc>
          <w:tcPr>
            <w:tcW w:w="1890" w:type="dxa"/>
            <w:tcBorders>
              <w:bottom w:val="nil"/>
            </w:tcBorders>
            <w:shd w:val="clear" w:color="auto" w:fill="auto"/>
          </w:tcPr>
          <w:p w14:paraId="601118E7" w14:textId="77777777" w:rsidR="00F4383A" w:rsidRPr="00265791" w:rsidRDefault="00F4383A" w:rsidP="00F75E7E">
            <w:pPr>
              <w:pStyle w:val="BMSTableText"/>
              <w:keepNext/>
              <w:keepLines/>
              <w:spacing w:before="40" w:after="40"/>
              <w:rPr>
                <w:lang w:val="en-GB"/>
              </w:rPr>
            </w:pPr>
            <w:r w:rsidRPr="00265791">
              <w:rPr>
                <w:lang w:val="en-GB"/>
              </w:rPr>
              <w:t>88.0%</w:t>
            </w:r>
          </w:p>
        </w:tc>
        <w:tc>
          <w:tcPr>
            <w:tcW w:w="1843" w:type="dxa"/>
            <w:tcBorders>
              <w:bottom w:val="nil"/>
            </w:tcBorders>
            <w:shd w:val="clear" w:color="auto" w:fill="auto"/>
          </w:tcPr>
          <w:p w14:paraId="0AF52FFC" w14:textId="77777777" w:rsidR="00F4383A" w:rsidRPr="00265791" w:rsidRDefault="00F4383A" w:rsidP="00F75E7E">
            <w:pPr>
              <w:pStyle w:val="BMSTableText"/>
              <w:keepNext/>
              <w:keepLines/>
              <w:spacing w:before="40" w:after="40"/>
              <w:rPr>
                <w:lang w:val="en-GB"/>
              </w:rPr>
            </w:pPr>
            <w:r w:rsidRPr="00265791">
              <w:rPr>
                <w:lang w:val="en-GB"/>
              </w:rPr>
              <w:t>83.5%</w:t>
            </w:r>
          </w:p>
        </w:tc>
        <w:tc>
          <w:tcPr>
            <w:tcW w:w="1235" w:type="dxa"/>
            <w:gridSpan w:val="2"/>
            <w:tcBorders>
              <w:bottom w:val="nil"/>
            </w:tcBorders>
            <w:shd w:val="clear" w:color="auto" w:fill="auto"/>
          </w:tcPr>
          <w:p w14:paraId="7B3E96C2"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3DF8FD17" w14:textId="77777777" w:rsidTr="00F75E7E">
        <w:tc>
          <w:tcPr>
            <w:tcW w:w="3780" w:type="dxa"/>
            <w:tcBorders>
              <w:bottom w:val="nil"/>
            </w:tcBorders>
            <w:shd w:val="clear" w:color="auto" w:fill="auto"/>
          </w:tcPr>
          <w:p w14:paraId="1911AB00" w14:textId="77777777" w:rsidR="00F4383A" w:rsidRPr="00265791" w:rsidRDefault="00F4383A" w:rsidP="00F75E7E">
            <w:pPr>
              <w:pStyle w:val="BMSTableText"/>
              <w:keepNext/>
              <w:keepLines/>
              <w:spacing w:before="40" w:after="40"/>
              <w:rPr>
                <w:lang w:val="en-GB"/>
              </w:rPr>
            </w:pPr>
            <w:r w:rsidRPr="00265791">
              <w:rPr>
                <w:b/>
                <w:bCs/>
                <w:lang w:val="en-AU"/>
              </w:rPr>
              <w:t>Cytogenetic Response within 48 months</w:t>
            </w:r>
          </w:p>
        </w:tc>
        <w:tc>
          <w:tcPr>
            <w:tcW w:w="1890" w:type="dxa"/>
            <w:tcBorders>
              <w:bottom w:val="nil"/>
            </w:tcBorders>
            <w:shd w:val="clear" w:color="auto" w:fill="auto"/>
          </w:tcPr>
          <w:p w14:paraId="55D9E030" w14:textId="77777777" w:rsidR="00F4383A" w:rsidRPr="00265791" w:rsidRDefault="00F4383A" w:rsidP="00F75E7E">
            <w:pPr>
              <w:pStyle w:val="BMSTableText"/>
              <w:keepNext/>
              <w:keepLines/>
              <w:spacing w:before="40" w:after="40"/>
              <w:rPr>
                <w:lang w:val="en-GB"/>
              </w:rPr>
            </w:pPr>
          </w:p>
        </w:tc>
        <w:tc>
          <w:tcPr>
            <w:tcW w:w="1843" w:type="dxa"/>
            <w:tcBorders>
              <w:bottom w:val="nil"/>
            </w:tcBorders>
            <w:shd w:val="clear" w:color="auto" w:fill="auto"/>
          </w:tcPr>
          <w:p w14:paraId="227A6C54" w14:textId="77777777" w:rsidR="00F4383A" w:rsidRPr="00265791" w:rsidRDefault="00F4383A" w:rsidP="00F75E7E">
            <w:pPr>
              <w:pStyle w:val="BMSTableText"/>
              <w:keepNext/>
              <w:keepLines/>
              <w:spacing w:before="40" w:after="40"/>
              <w:rPr>
                <w:lang w:val="en-GB"/>
              </w:rPr>
            </w:pPr>
          </w:p>
        </w:tc>
        <w:tc>
          <w:tcPr>
            <w:tcW w:w="1235" w:type="dxa"/>
            <w:gridSpan w:val="2"/>
            <w:tcBorders>
              <w:bottom w:val="nil"/>
            </w:tcBorders>
            <w:shd w:val="clear" w:color="auto" w:fill="auto"/>
          </w:tcPr>
          <w:p w14:paraId="4D9A92A7" w14:textId="77777777" w:rsidR="00F4383A" w:rsidRPr="00265791" w:rsidRDefault="00F4383A" w:rsidP="00F75E7E">
            <w:pPr>
              <w:pStyle w:val="BMSTableText"/>
              <w:keepNext/>
              <w:keepLines/>
              <w:spacing w:before="40" w:after="40"/>
              <w:rPr>
                <w:lang w:val="en-GB"/>
              </w:rPr>
            </w:pPr>
          </w:p>
        </w:tc>
      </w:tr>
      <w:tr w:rsidR="00F4383A" w:rsidRPr="00265791" w14:paraId="12715828" w14:textId="77777777" w:rsidTr="00F75E7E">
        <w:tc>
          <w:tcPr>
            <w:tcW w:w="3780" w:type="dxa"/>
            <w:tcBorders>
              <w:bottom w:val="nil"/>
            </w:tcBorders>
            <w:shd w:val="clear" w:color="auto" w:fill="auto"/>
          </w:tcPr>
          <w:p w14:paraId="14122ED4" w14:textId="77777777" w:rsidR="00F4383A" w:rsidRPr="00265791" w:rsidRDefault="00F4383A" w:rsidP="00F75E7E">
            <w:pPr>
              <w:pStyle w:val="BMSTableText"/>
              <w:keepNext/>
              <w:keepLines/>
              <w:spacing w:before="40" w:after="40"/>
              <w:rPr>
                <w:lang w:val="en-GB"/>
              </w:rPr>
            </w:pPr>
            <w:r w:rsidRPr="00265791">
              <w:rPr>
                <w:lang w:val="en-AU"/>
              </w:rPr>
              <w:t>cCCyR</w:t>
            </w:r>
            <w:r w:rsidRPr="00795C81">
              <w:rPr>
                <w:vertAlign w:val="superscript"/>
                <w:lang w:val="en-AU"/>
              </w:rPr>
              <w:t>a</w:t>
            </w:r>
          </w:p>
        </w:tc>
        <w:tc>
          <w:tcPr>
            <w:tcW w:w="1890" w:type="dxa"/>
            <w:tcBorders>
              <w:bottom w:val="nil"/>
            </w:tcBorders>
            <w:shd w:val="clear" w:color="auto" w:fill="auto"/>
          </w:tcPr>
          <w:p w14:paraId="189B3BD5" w14:textId="77777777" w:rsidR="00F4383A" w:rsidRPr="00265791" w:rsidRDefault="00F4383A" w:rsidP="00F75E7E">
            <w:pPr>
              <w:pStyle w:val="BMSTableText"/>
              <w:keepNext/>
              <w:keepLines/>
              <w:spacing w:before="40" w:after="40"/>
              <w:rPr>
                <w:lang w:val="en-GB"/>
              </w:rPr>
            </w:pPr>
            <w:r w:rsidRPr="00265791">
              <w:rPr>
                <w:lang w:val="en-AU"/>
              </w:rPr>
              <w:t>82.6%</w:t>
            </w:r>
          </w:p>
        </w:tc>
        <w:tc>
          <w:tcPr>
            <w:tcW w:w="1843" w:type="dxa"/>
            <w:tcBorders>
              <w:bottom w:val="nil"/>
            </w:tcBorders>
            <w:shd w:val="clear" w:color="auto" w:fill="auto"/>
          </w:tcPr>
          <w:p w14:paraId="1653126E" w14:textId="77777777" w:rsidR="00F4383A" w:rsidRPr="00265791" w:rsidRDefault="00F4383A" w:rsidP="00F75E7E">
            <w:pPr>
              <w:pStyle w:val="BMSTableText"/>
              <w:keepNext/>
              <w:keepLines/>
              <w:spacing w:before="40" w:after="40"/>
              <w:rPr>
                <w:lang w:val="en-GB"/>
              </w:rPr>
            </w:pPr>
            <w:r w:rsidRPr="00265791">
              <w:rPr>
                <w:lang w:val="en-AU"/>
              </w:rPr>
              <w:t>78.5%</w:t>
            </w:r>
          </w:p>
        </w:tc>
        <w:tc>
          <w:tcPr>
            <w:tcW w:w="1235" w:type="dxa"/>
            <w:gridSpan w:val="2"/>
            <w:tcBorders>
              <w:bottom w:val="nil"/>
            </w:tcBorders>
            <w:shd w:val="clear" w:color="auto" w:fill="auto"/>
          </w:tcPr>
          <w:p w14:paraId="0BF6B458" w14:textId="77777777" w:rsidR="00F4383A" w:rsidRPr="00265791" w:rsidRDefault="00F4383A" w:rsidP="00F75E7E">
            <w:pPr>
              <w:pStyle w:val="BMSTableText"/>
              <w:keepNext/>
              <w:keepLines/>
              <w:spacing w:before="40" w:after="40"/>
              <w:rPr>
                <w:lang w:val="en-GB"/>
              </w:rPr>
            </w:pPr>
            <w:r w:rsidRPr="00265791">
              <w:rPr>
                <w:lang w:val="en-GB"/>
              </w:rPr>
              <w:t>-</w:t>
            </w:r>
          </w:p>
        </w:tc>
      </w:tr>
      <w:tr w:rsidR="00F4383A" w:rsidRPr="00265791" w14:paraId="334319AE" w14:textId="77777777" w:rsidTr="00F75E7E">
        <w:tc>
          <w:tcPr>
            <w:tcW w:w="3780" w:type="dxa"/>
            <w:tcBorders>
              <w:bottom w:val="nil"/>
            </w:tcBorders>
            <w:shd w:val="clear" w:color="auto" w:fill="auto"/>
          </w:tcPr>
          <w:p w14:paraId="214FB540" w14:textId="77777777" w:rsidR="00F4383A" w:rsidRPr="00265791" w:rsidRDefault="00F4383A" w:rsidP="00F75E7E">
            <w:pPr>
              <w:pStyle w:val="BMSTableText"/>
              <w:keepNext/>
              <w:keepLines/>
              <w:spacing w:before="40" w:after="40"/>
              <w:rPr>
                <w:lang w:val="en-GB"/>
              </w:rPr>
            </w:pPr>
            <w:r w:rsidRPr="00265791">
              <w:rPr>
                <w:lang w:val="en-AU"/>
              </w:rPr>
              <w:t>CCyR</w:t>
            </w:r>
            <w:r w:rsidRPr="00795C81">
              <w:rPr>
                <w:vertAlign w:val="superscript"/>
                <w:lang w:val="en-AU"/>
              </w:rPr>
              <w:t>b</w:t>
            </w:r>
          </w:p>
        </w:tc>
        <w:tc>
          <w:tcPr>
            <w:tcW w:w="1890" w:type="dxa"/>
            <w:tcBorders>
              <w:bottom w:val="nil"/>
            </w:tcBorders>
            <w:shd w:val="clear" w:color="auto" w:fill="auto"/>
          </w:tcPr>
          <w:p w14:paraId="09E90D01" w14:textId="77777777" w:rsidR="00F4383A" w:rsidRPr="00265791" w:rsidRDefault="00F4383A" w:rsidP="00F75E7E">
            <w:pPr>
              <w:pStyle w:val="BMSTableText"/>
              <w:keepNext/>
              <w:keepLines/>
              <w:spacing w:before="40" w:after="40"/>
              <w:rPr>
                <w:lang w:val="en-GB"/>
              </w:rPr>
            </w:pPr>
            <w:r w:rsidRPr="00265791">
              <w:rPr>
                <w:lang w:val="en-AU"/>
              </w:rPr>
              <w:t>87.6%</w:t>
            </w:r>
          </w:p>
        </w:tc>
        <w:tc>
          <w:tcPr>
            <w:tcW w:w="1843" w:type="dxa"/>
            <w:tcBorders>
              <w:bottom w:val="nil"/>
            </w:tcBorders>
            <w:shd w:val="clear" w:color="auto" w:fill="auto"/>
          </w:tcPr>
          <w:p w14:paraId="4CA48E0B" w14:textId="77777777" w:rsidR="00F4383A" w:rsidRPr="00265791" w:rsidRDefault="00F4383A" w:rsidP="00F75E7E">
            <w:pPr>
              <w:pStyle w:val="BMSTableText"/>
              <w:keepNext/>
              <w:keepLines/>
              <w:spacing w:before="40" w:after="40"/>
              <w:rPr>
                <w:lang w:val="en-GB"/>
              </w:rPr>
            </w:pPr>
            <w:r w:rsidRPr="00265791">
              <w:rPr>
                <w:lang w:val="en-AU"/>
              </w:rPr>
              <w:t>83.8%</w:t>
            </w:r>
          </w:p>
        </w:tc>
        <w:tc>
          <w:tcPr>
            <w:tcW w:w="1235" w:type="dxa"/>
            <w:gridSpan w:val="2"/>
            <w:tcBorders>
              <w:bottom w:val="nil"/>
            </w:tcBorders>
            <w:shd w:val="clear" w:color="auto" w:fill="auto"/>
          </w:tcPr>
          <w:p w14:paraId="5FEA1C0D" w14:textId="77777777" w:rsidR="00F4383A" w:rsidRPr="00265791" w:rsidRDefault="00F4383A" w:rsidP="00F75E7E">
            <w:pPr>
              <w:pStyle w:val="BMSTableText"/>
              <w:keepNext/>
              <w:keepLines/>
              <w:spacing w:before="40" w:after="40"/>
              <w:rPr>
                <w:lang w:val="en-GB"/>
              </w:rPr>
            </w:pPr>
            <w:r w:rsidRPr="00265791">
              <w:rPr>
                <w:lang w:val="en-GB"/>
              </w:rPr>
              <w:t>-</w:t>
            </w:r>
          </w:p>
        </w:tc>
      </w:tr>
      <w:tr w:rsidR="00F4383A" w:rsidRPr="00265791" w14:paraId="0355570B" w14:textId="77777777" w:rsidTr="00F75E7E">
        <w:tc>
          <w:tcPr>
            <w:tcW w:w="3780" w:type="dxa"/>
            <w:tcBorders>
              <w:bottom w:val="nil"/>
            </w:tcBorders>
            <w:shd w:val="clear" w:color="auto" w:fill="auto"/>
          </w:tcPr>
          <w:p w14:paraId="303D04D3" w14:textId="77777777" w:rsidR="00F4383A" w:rsidRPr="00265791" w:rsidRDefault="00F4383A" w:rsidP="00F75E7E">
            <w:pPr>
              <w:pStyle w:val="BMSTableText"/>
              <w:keepNext/>
              <w:keepLines/>
              <w:spacing w:before="40" w:after="40"/>
              <w:rPr>
                <w:lang w:val="en-AU"/>
              </w:rPr>
            </w:pPr>
            <w:r>
              <w:rPr>
                <w:b/>
                <w:bCs/>
                <w:lang w:val="en-AU"/>
              </w:rPr>
              <w:t>Cytogenetic Response within 60</w:t>
            </w:r>
            <w:r w:rsidRPr="00265791">
              <w:rPr>
                <w:b/>
                <w:bCs/>
                <w:lang w:val="en-AU"/>
              </w:rPr>
              <w:t xml:space="preserve"> months</w:t>
            </w:r>
          </w:p>
        </w:tc>
        <w:tc>
          <w:tcPr>
            <w:tcW w:w="1890" w:type="dxa"/>
            <w:tcBorders>
              <w:bottom w:val="nil"/>
            </w:tcBorders>
            <w:shd w:val="clear" w:color="auto" w:fill="auto"/>
          </w:tcPr>
          <w:p w14:paraId="2FEED99C" w14:textId="77777777" w:rsidR="00F4383A" w:rsidRPr="00265791" w:rsidRDefault="00F4383A" w:rsidP="00F75E7E">
            <w:pPr>
              <w:pStyle w:val="BMSTableText"/>
              <w:keepNext/>
              <w:keepLines/>
              <w:spacing w:before="40" w:after="40"/>
              <w:rPr>
                <w:lang w:val="en-AU"/>
              </w:rPr>
            </w:pPr>
          </w:p>
        </w:tc>
        <w:tc>
          <w:tcPr>
            <w:tcW w:w="1843" w:type="dxa"/>
            <w:tcBorders>
              <w:bottom w:val="nil"/>
            </w:tcBorders>
            <w:shd w:val="clear" w:color="auto" w:fill="auto"/>
          </w:tcPr>
          <w:p w14:paraId="791F1008" w14:textId="77777777" w:rsidR="00F4383A" w:rsidRPr="00265791" w:rsidRDefault="00F4383A" w:rsidP="00F75E7E">
            <w:pPr>
              <w:pStyle w:val="BMSTableText"/>
              <w:keepNext/>
              <w:keepLines/>
              <w:spacing w:before="40" w:after="40"/>
              <w:rPr>
                <w:lang w:val="en-AU"/>
              </w:rPr>
            </w:pPr>
          </w:p>
        </w:tc>
        <w:tc>
          <w:tcPr>
            <w:tcW w:w="1235" w:type="dxa"/>
            <w:gridSpan w:val="2"/>
            <w:tcBorders>
              <w:bottom w:val="nil"/>
            </w:tcBorders>
            <w:shd w:val="clear" w:color="auto" w:fill="auto"/>
          </w:tcPr>
          <w:p w14:paraId="37B7055B" w14:textId="77777777" w:rsidR="00F4383A" w:rsidRPr="00265791" w:rsidRDefault="00F4383A" w:rsidP="00F75E7E">
            <w:pPr>
              <w:pStyle w:val="BMSTableText"/>
              <w:keepNext/>
              <w:keepLines/>
              <w:spacing w:before="40" w:after="40"/>
              <w:rPr>
                <w:lang w:val="en-GB"/>
              </w:rPr>
            </w:pPr>
          </w:p>
        </w:tc>
      </w:tr>
      <w:tr w:rsidR="00F4383A" w:rsidRPr="00265791" w14:paraId="300AD9F4" w14:textId="77777777" w:rsidTr="00F75E7E">
        <w:tc>
          <w:tcPr>
            <w:tcW w:w="3780" w:type="dxa"/>
            <w:tcBorders>
              <w:bottom w:val="nil"/>
            </w:tcBorders>
            <w:shd w:val="clear" w:color="auto" w:fill="auto"/>
          </w:tcPr>
          <w:p w14:paraId="7BF8F272" w14:textId="77777777" w:rsidR="00F4383A" w:rsidRPr="00265791" w:rsidRDefault="00F4383A" w:rsidP="00F75E7E">
            <w:pPr>
              <w:pStyle w:val="BMSTableText"/>
              <w:keepNext/>
              <w:keepLines/>
              <w:spacing w:before="40" w:after="40"/>
              <w:rPr>
                <w:lang w:val="en-AU"/>
              </w:rPr>
            </w:pPr>
            <w:r w:rsidRPr="00265791">
              <w:rPr>
                <w:lang w:val="en-AU"/>
              </w:rPr>
              <w:t>cCCyR</w:t>
            </w:r>
            <w:r w:rsidRPr="00795C81">
              <w:rPr>
                <w:vertAlign w:val="superscript"/>
                <w:lang w:val="en-AU"/>
              </w:rPr>
              <w:t>a</w:t>
            </w:r>
          </w:p>
        </w:tc>
        <w:tc>
          <w:tcPr>
            <w:tcW w:w="1890" w:type="dxa"/>
            <w:tcBorders>
              <w:bottom w:val="nil"/>
            </w:tcBorders>
            <w:shd w:val="clear" w:color="auto" w:fill="auto"/>
          </w:tcPr>
          <w:p w14:paraId="1879FB20" w14:textId="77777777" w:rsidR="00F4383A" w:rsidRPr="00265791" w:rsidRDefault="00F4383A" w:rsidP="00F75E7E">
            <w:pPr>
              <w:pStyle w:val="BMSTableText"/>
              <w:keepNext/>
              <w:keepLines/>
              <w:spacing w:before="40" w:after="40"/>
              <w:rPr>
                <w:lang w:val="en-AU"/>
              </w:rPr>
            </w:pPr>
            <w:r>
              <w:rPr>
                <w:lang w:val="en-AU"/>
              </w:rPr>
              <w:t>83.0%</w:t>
            </w:r>
          </w:p>
        </w:tc>
        <w:tc>
          <w:tcPr>
            <w:tcW w:w="1843" w:type="dxa"/>
            <w:tcBorders>
              <w:bottom w:val="nil"/>
            </w:tcBorders>
            <w:shd w:val="clear" w:color="auto" w:fill="auto"/>
          </w:tcPr>
          <w:p w14:paraId="1AA3C0D6" w14:textId="77777777" w:rsidR="00F4383A" w:rsidRPr="00265791" w:rsidRDefault="00F4383A" w:rsidP="00F75E7E">
            <w:pPr>
              <w:pStyle w:val="BMSTableText"/>
              <w:keepNext/>
              <w:keepLines/>
              <w:spacing w:before="40" w:after="40"/>
              <w:rPr>
                <w:lang w:val="en-AU"/>
              </w:rPr>
            </w:pPr>
            <w:r>
              <w:rPr>
                <w:lang w:val="en-AU"/>
              </w:rPr>
              <w:t>78.5%</w:t>
            </w:r>
          </w:p>
        </w:tc>
        <w:tc>
          <w:tcPr>
            <w:tcW w:w="1235" w:type="dxa"/>
            <w:gridSpan w:val="2"/>
            <w:tcBorders>
              <w:bottom w:val="nil"/>
            </w:tcBorders>
            <w:shd w:val="clear" w:color="auto" w:fill="auto"/>
          </w:tcPr>
          <w:p w14:paraId="17298CCA" w14:textId="77777777" w:rsidR="00F4383A" w:rsidRPr="00265791" w:rsidRDefault="00F4383A" w:rsidP="00F75E7E">
            <w:pPr>
              <w:pStyle w:val="BMSTableText"/>
              <w:keepNext/>
              <w:keepLines/>
              <w:spacing w:before="40" w:after="40"/>
              <w:rPr>
                <w:lang w:val="en-GB"/>
              </w:rPr>
            </w:pPr>
            <w:r>
              <w:rPr>
                <w:lang w:val="en-GB"/>
              </w:rPr>
              <w:t>-</w:t>
            </w:r>
          </w:p>
        </w:tc>
      </w:tr>
      <w:tr w:rsidR="00F4383A" w:rsidRPr="00265791" w14:paraId="10665A51" w14:textId="77777777" w:rsidTr="00F75E7E">
        <w:tc>
          <w:tcPr>
            <w:tcW w:w="3780" w:type="dxa"/>
            <w:tcBorders>
              <w:bottom w:val="nil"/>
            </w:tcBorders>
            <w:shd w:val="clear" w:color="auto" w:fill="auto"/>
          </w:tcPr>
          <w:p w14:paraId="2B5844CD" w14:textId="77777777" w:rsidR="00F4383A" w:rsidRPr="00265791" w:rsidRDefault="00F4383A" w:rsidP="00F75E7E">
            <w:pPr>
              <w:pStyle w:val="BMSTableText"/>
              <w:keepNext/>
              <w:keepLines/>
              <w:spacing w:before="40" w:after="40"/>
              <w:rPr>
                <w:lang w:val="en-AU"/>
              </w:rPr>
            </w:pPr>
            <w:r w:rsidRPr="00265791">
              <w:rPr>
                <w:lang w:val="en-AU"/>
              </w:rPr>
              <w:t>CCyR</w:t>
            </w:r>
            <w:r w:rsidRPr="00795C81">
              <w:rPr>
                <w:vertAlign w:val="superscript"/>
                <w:lang w:val="en-AU"/>
              </w:rPr>
              <w:t>b</w:t>
            </w:r>
          </w:p>
        </w:tc>
        <w:tc>
          <w:tcPr>
            <w:tcW w:w="1890" w:type="dxa"/>
            <w:tcBorders>
              <w:bottom w:val="nil"/>
            </w:tcBorders>
            <w:shd w:val="clear" w:color="auto" w:fill="auto"/>
          </w:tcPr>
          <w:p w14:paraId="74543A2C" w14:textId="77777777" w:rsidR="00F4383A" w:rsidRPr="00265791" w:rsidRDefault="00F4383A" w:rsidP="00F75E7E">
            <w:pPr>
              <w:pStyle w:val="BMSTableText"/>
              <w:keepNext/>
              <w:keepLines/>
              <w:spacing w:before="40" w:after="40"/>
              <w:rPr>
                <w:lang w:val="en-AU"/>
              </w:rPr>
            </w:pPr>
            <w:r>
              <w:rPr>
                <w:lang w:val="en-AU"/>
              </w:rPr>
              <w:t>88.0%</w:t>
            </w:r>
          </w:p>
        </w:tc>
        <w:tc>
          <w:tcPr>
            <w:tcW w:w="1843" w:type="dxa"/>
            <w:tcBorders>
              <w:bottom w:val="nil"/>
            </w:tcBorders>
            <w:shd w:val="clear" w:color="auto" w:fill="auto"/>
          </w:tcPr>
          <w:p w14:paraId="5E4891AF" w14:textId="77777777" w:rsidR="00F4383A" w:rsidRPr="00265791" w:rsidRDefault="00F4383A" w:rsidP="00F75E7E">
            <w:pPr>
              <w:pStyle w:val="BMSTableText"/>
              <w:keepNext/>
              <w:keepLines/>
              <w:spacing w:before="40" w:after="40"/>
              <w:rPr>
                <w:lang w:val="en-AU"/>
              </w:rPr>
            </w:pPr>
            <w:r>
              <w:rPr>
                <w:lang w:val="en-AU"/>
              </w:rPr>
              <w:t>83.8%</w:t>
            </w:r>
          </w:p>
        </w:tc>
        <w:tc>
          <w:tcPr>
            <w:tcW w:w="1235" w:type="dxa"/>
            <w:gridSpan w:val="2"/>
            <w:tcBorders>
              <w:bottom w:val="nil"/>
            </w:tcBorders>
            <w:shd w:val="clear" w:color="auto" w:fill="auto"/>
          </w:tcPr>
          <w:p w14:paraId="2109CF67" w14:textId="77777777" w:rsidR="00F4383A" w:rsidRPr="00265791" w:rsidRDefault="00F4383A" w:rsidP="00F75E7E">
            <w:pPr>
              <w:pStyle w:val="BMSTableText"/>
              <w:keepNext/>
              <w:keepLines/>
              <w:spacing w:before="40" w:after="40"/>
              <w:rPr>
                <w:lang w:val="en-GB"/>
              </w:rPr>
            </w:pPr>
            <w:r>
              <w:rPr>
                <w:lang w:val="en-GB"/>
              </w:rPr>
              <w:t>-</w:t>
            </w:r>
          </w:p>
        </w:tc>
      </w:tr>
      <w:tr w:rsidR="00F4383A" w:rsidRPr="00265791" w14:paraId="6965117D" w14:textId="77777777" w:rsidTr="00F75E7E">
        <w:tc>
          <w:tcPr>
            <w:tcW w:w="3780" w:type="dxa"/>
            <w:tcBorders>
              <w:top w:val="nil"/>
              <w:bottom w:val="nil"/>
            </w:tcBorders>
            <w:shd w:val="clear" w:color="auto" w:fill="auto"/>
          </w:tcPr>
          <w:p w14:paraId="41A39C3C" w14:textId="77777777" w:rsidR="00F4383A" w:rsidRPr="00265791" w:rsidRDefault="00F4383A" w:rsidP="00F75E7E">
            <w:pPr>
              <w:pStyle w:val="BMSTableText"/>
              <w:keepNext/>
              <w:keepLines/>
              <w:spacing w:before="40" w:after="40"/>
              <w:rPr>
                <w:lang w:val="en-GB"/>
              </w:rPr>
            </w:pPr>
            <w:r w:rsidRPr="00265791">
              <w:rPr>
                <w:b/>
                <w:lang w:val="en-GB"/>
              </w:rPr>
              <w:t>Major Molecular Response</w:t>
            </w:r>
            <w:r w:rsidRPr="00265791">
              <w:rPr>
                <w:rStyle w:val="BMSSuperscript"/>
                <w:lang w:val="en-GB"/>
              </w:rPr>
              <w:t>c</w:t>
            </w:r>
          </w:p>
        </w:tc>
        <w:tc>
          <w:tcPr>
            <w:tcW w:w="1890" w:type="dxa"/>
            <w:tcBorders>
              <w:top w:val="nil"/>
              <w:bottom w:val="nil"/>
            </w:tcBorders>
            <w:shd w:val="clear" w:color="auto" w:fill="auto"/>
          </w:tcPr>
          <w:p w14:paraId="3CAD7639" w14:textId="77777777" w:rsidR="00F4383A" w:rsidRPr="00265791" w:rsidRDefault="00F4383A" w:rsidP="00F75E7E">
            <w:pPr>
              <w:pStyle w:val="BMSTableText"/>
              <w:keepNext/>
              <w:keepLines/>
              <w:spacing w:before="40" w:after="40"/>
              <w:rPr>
                <w:lang w:val="en-GB"/>
              </w:rPr>
            </w:pPr>
          </w:p>
        </w:tc>
        <w:tc>
          <w:tcPr>
            <w:tcW w:w="1843" w:type="dxa"/>
            <w:tcBorders>
              <w:top w:val="nil"/>
              <w:bottom w:val="nil"/>
            </w:tcBorders>
            <w:shd w:val="clear" w:color="auto" w:fill="auto"/>
          </w:tcPr>
          <w:p w14:paraId="659D4D09" w14:textId="77777777" w:rsidR="00F4383A" w:rsidRPr="00265791" w:rsidRDefault="00F4383A" w:rsidP="00F75E7E">
            <w:pPr>
              <w:pStyle w:val="BMSTableText"/>
              <w:keepNext/>
              <w:keepLines/>
              <w:spacing w:before="40" w:after="40"/>
              <w:rPr>
                <w:lang w:val="en-GB"/>
              </w:rPr>
            </w:pPr>
          </w:p>
        </w:tc>
        <w:tc>
          <w:tcPr>
            <w:tcW w:w="1235" w:type="dxa"/>
            <w:gridSpan w:val="2"/>
            <w:tcBorders>
              <w:top w:val="nil"/>
              <w:bottom w:val="nil"/>
            </w:tcBorders>
            <w:shd w:val="clear" w:color="auto" w:fill="auto"/>
          </w:tcPr>
          <w:p w14:paraId="5EA1346D" w14:textId="77777777" w:rsidR="00F4383A" w:rsidRPr="00265791" w:rsidRDefault="00F4383A" w:rsidP="00F75E7E">
            <w:pPr>
              <w:pStyle w:val="BMSTableText"/>
              <w:keepNext/>
              <w:keepLines/>
              <w:spacing w:before="40" w:after="40"/>
              <w:rPr>
                <w:lang w:val="en-GB"/>
              </w:rPr>
            </w:pPr>
          </w:p>
        </w:tc>
      </w:tr>
      <w:tr w:rsidR="00F4383A" w:rsidRPr="00265791" w14:paraId="75F2681F" w14:textId="77777777" w:rsidTr="00F75E7E">
        <w:tc>
          <w:tcPr>
            <w:tcW w:w="3780" w:type="dxa"/>
            <w:tcBorders>
              <w:top w:val="nil"/>
              <w:bottom w:val="nil"/>
            </w:tcBorders>
            <w:shd w:val="clear" w:color="auto" w:fill="auto"/>
          </w:tcPr>
          <w:p w14:paraId="655CC4B8" w14:textId="77777777" w:rsidR="00F4383A" w:rsidRPr="00265791" w:rsidRDefault="00F4383A" w:rsidP="00F75E7E">
            <w:pPr>
              <w:pStyle w:val="BMSTableText"/>
              <w:keepNext/>
              <w:keepLines/>
              <w:spacing w:before="40" w:after="40"/>
              <w:rPr>
                <w:b/>
                <w:lang w:val="en-GB"/>
              </w:rPr>
            </w:pPr>
            <w:r w:rsidRPr="00265791">
              <w:rPr>
                <w:b/>
                <w:lang w:val="en-GB"/>
              </w:rPr>
              <w:t>12 months</w:t>
            </w:r>
          </w:p>
        </w:tc>
        <w:tc>
          <w:tcPr>
            <w:tcW w:w="1890" w:type="dxa"/>
            <w:tcBorders>
              <w:top w:val="nil"/>
              <w:bottom w:val="nil"/>
            </w:tcBorders>
            <w:shd w:val="clear" w:color="auto" w:fill="auto"/>
          </w:tcPr>
          <w:p w14:paraId="32F3BEA8" w14:textId="77777777" w:rsidR="00F4383A" w:rsidRPr="00265791" w:rsidRDefault="00F4383A" w:rsidP="00F75E7E">
            <w:pPr>
              <w:pStyle w:val="BMSTableText"/>
              <w:keepNext/>
              <w:keepLines/>
              <w:spacing w:before="40" w:after="40"/>
              <w:rPr>
                <w:lang w:val="en-GB"/>
              </w:rPr>
            </w:pPr>
            <w:r w:rsidRPr="00265791">
              <w:rPr>
                <w:lang w:val="en-GB"/>
              </w:rPr>
              <w:t>52.1% (45.9</w:t>
            </w:r>
            <w:r w:rsidRPr="00265791">
              <w:rPr>
                <w:lang w:val="en-GB"/>
              </w:rPr>
              <w:noBreakHyphen/>
              <w:t>58.3)</w:t>
            </w:r>
          </w:p>
        </w:tc>
        <w:tc>
          <w:tcPr>
            <w:tcW w:w="1843" w:type="dxa"/>
            <w:tcBorders>
              <w:top w:val="nil"/>
              <w:bottom w:val="nil"/>
            </w:tcBorders>
            <w:shd w:val="clear" w:color="auto" w:fill="auto"/>
          </w:tcPr>
          <w:p w14:paraId="4BE5F784" w14:textId="77777777" w:rsidR="00F4383A" w:rsidRPr="00265791" w:rsidRDefault="00F4383A" w:rsidP="00F75E7E">
            <w:pPr>
              <w:pStyle w:val="BMSTableText"/>
              <w:keepNext/>
              <w:keepLines/>
              <w:spacing w:before="40" w:after="40"/>
              <w:rPr>
                <w:lang w:val="en-GB"/>
              </w:rPr>
            </w:pPr>
            <w:r w:rsidRPr="00265791">
              <w:rPr>
                <w:lang w:val="en-GB"/>
              </w:rPr>
              <w:t>33.8% (28.1</w:t>
            </w:r>
            <w:r w:rsidRPr="00265791">
              <w:rPr>
                <w:lang w:val="en-GB"/>
              </w:rPr>
              <w:noBreakHyphen/>
              <w:t>39.9)</w:t>
            </w:r>
          </w:p>
        </w:tc>
        <w:tc>
          <w:tcPr>
            <w:tcW w:w="1235" w:type="dxa"/>
            <w:gridSpan w:val="2"/>
            <w:tcBorders>
              <w:top w:val="nil"/>
              <w:bottom w:val="nil"/>
            </w:tcBorders>
            <w:shd w:val="clear" w:color="auto" w:fill="auto"/>
          </w:tcPr>
          <w:p w14:paraId="50555D8A" w14:textId="77777777" w:rsidR="00F4383A" w:rsidRPr="00265791" w:rsidRDefault="00F4383A" w:rsidP="00F75E7E">
            <w:pPr>
              <w:pStyle w:val="BMSTableText"/>
              <w:keepNext/>
              <w:keepLines/>
              <w:spacing w:before="40" w:after="40"/>
              <w:rPr>
                <w:lang w:val="en-GB"/>
              </w:rPr>
            </w:pPr>
            <w:r w:rsidRPr="00265791">
              <w:rPr>
                <w:lang w:val="en-GB"/>
              </w:rPr>
              <w:t>p&lt; 0.00003*</w:t>
            </w:r>
          </w:p>
        </w:tc>
      </w:tr>
      <w:tr w:rsidR="00F4383A" w:rsidRPr="00265791" w14:paraId="196743B6" w14:textId="77777777" w:rsidTr="00F75E7E">
        <w:tc>
          <w:tcPr>
            <w:tcW w:w="3780" w:type="dxa"/>
            <w:tcBorders>
              <w:top w:val="nil"/>
              <w:bottom w:val="nil"/>
            </w:tcBorders>
            <w:shd w:val="clear" w:color="auto" w:fill="auto"/>
          </w:tcPr>
          <w:p w14:paraId="6F916A2A" w14:textId="77777777" w:rsidR="00F4383A" w:rsidRPr="00265791" w:rsidRDefault="00F4383A" w:rsidP="00F75E7E">
            <w:pPr>
              <w:pStyle w:val="BMSTableText"/>
              <w:keepNext/>
              <w:keepLines/>
              <w:spacing w:before="40" w:after="40"/>
              <w:rPr>
                <w:b/>
                <w:lang w:val="en-GB"/>
              </w:rPr>
            </w:pPr>
            <w:r w:rsidRPr="00265791">
              <w:rPr>
                <w:b/>
                <w:lang w:val="en-GB"/>
              </w:rPr>
              <w:t>24 months</w:t>
            </w:r>
          </w:p>
        </w:tc>
        <w:tc>
          <w:tcPr>
            <w:tcW w:w="1890" w:type="dxa"/>
            <w:tcBorders>
              <w:top w:val="nil"/>
              <w:bottom w:val="nil"/>
            </w:tcBorders>
            <w:shd w:val="clear" w:color="auto" w:fill="auto"/>
          </w:tcPr>
          <w:p w14:paraId="38A2C5AB" w14:textId="77777777" w:rsidR="00F4383A" w:rsidRPr="00265791" w:rsidRDefault="00F4383A" w:rsidP="00F75E7E">
            <w:pPr>
              <w:pStyle w:val="BMSTableText"/>
              <w:keepNext/>
              <w:keepLines/>
              <w:spacing w:before="40" w:after="40"/>
              <w:rPr>
                <w:lang w:val="en-GB"/>
              </w:rPr>
            </w:pPr>
            <w:r w:rsidRPr="00265791">
              <w:rPr>
                <w:lang w:val="en-GB"/>
              </w:rPr>
              <w:t>64.5% (58.3</w:t>
            </w:r>
            <w:r w:rsidRPr="00265791">
              <w:rPr>
                <w:lang w:val="en-GB"/>
              </w:rPr>
              <w:noBreakHyphen/>
              <w:t>70.3)</w:t>
            </w:r>
          </w:p>
        </w:tc>
        <w:tc>
          <w:tcPr>
            <w:tcW w:w="1843" w:type="dxa"/>
            <w:tcBorders>
              <w:top w:val="nil"/>
              <w:bottom w:val="nil"/>
            </w:tcBorders>
            <w:shd w:val="clear" w:color="auto" w:fill="auto"/>
          </w:tcPr>
          <w:p w14:paraId="57860710" w14:textId="77777777" w:rsidR="00F4383A" w:rsidRPr="00265791" w:rsidRDefault="00F4383A" w:rsidP="00F75E7E">
            <w:pPr>
              <w:pStyle w:val="BMSTableText"/>
              <w:keepNext/>
              <w:keepLines/>
              <w:spacing w:before="40" w:after="40"/>
              <w:rPr>
                <w:lang w:val="en-GB"/>
              </w:rPr>
            </w:pPr>
            <w:r w:rsidRPr="00265791">
              <w:rPr>
                <w:lang w:val="en-GB"/>
              </w:rPr>
              <w:t>50% (43.8</w:t>
            </w:r>
            <w:r w:rsidRPr="00265791">
              <w:rPr>
                <w:lang w:val="en-GB"/>
              </w:rPr>
              <w:noBreakHyphen/>
              <w:t>56.2)</w:t>
            </w:r>
          </w:p>
        </w:tc>
        <w:tc>
          <w:tcPr>
            <w:tcW w:w="1235" w:type="dxa"/>
            <w:gridSpan w:val="2"/>
            <w:tcBorders>
              <w:top w:val="nil"/>
              <w:bottom w:val="nil"/>
            </w:tcBorders>
            <w:shd w:val="clear" w:color="auto" w:fill="auto"/>
          </w:tcPr>
          <w:p w14:paraId="4BC9D7C3"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0721DD97" w14:textId="77777777" w:rsidTr="00F75E7E">
        <w:tc>
          <w:tcPr>
            <w:tcW w:w="3780" w:type="dxa"/>
            <w:tcBorders>
              <w:top w:val="nil"/>
              <w:bottom w:val="nil"/>
            </w:tcBorders>
            <w:shd w:val="clear" w:color="auto" w:fill="auto"/>
          </w:tcPr>
          <w:p w14:paraId="299D57DD" w14:textId="77777777" w:rsidR="00F4383A" w:rsidRPr="00265791" w:rsidRDefault="00F4383A" w:rsidP="00F75E7E">
            <w:pPr>
              <w:pStyle w:val="BMSTableText"/>
              <w:keepNext/>
              <w:keepLines/>
              <w:spacing w:before="40" w:after="40"/>
              <w:rPr>
                <w:b/>
                <w:lang w:val="en-GB"/>
              </w:rPr>
            </w:pPr>
            <w:r w:rsidRPr="00265791">
              <w:rPr>
                <w:b/>
                <w:lang w:val="en-GB"/>
              </w:rPr>
              <w:t>36 months</w:t>
            </w:r>
          </w:p>
        </w:tc>
        <w:tc>
          <w:tcPr>
            <w:tcW w:w="1890" w:type="dxa"/>
            <w:tcBorders>
              <w:top w:val="nil"/>
              <w:bottom w:val="nil"/>
            </w:tcBorders>
            <w:shd w:val="clear" w:color="auto" w:fill="auto"/>
          </w:tcPr>
          <w:p w14:paraId="14407C59" w14:textId="77777777" w:rsidR="00F4383A" w:rsidRPr="00265791" w:rsidRDefault="00F4383A" w:rsidP="00F75E7E">
            <w:pPr>
              <w:pStyle w:val="BMSTableText"/>
              <w:keepNext/>
              <w:keepLines/>
              <w:spacing w:before="40" w:after="40"/>
              <w:rPr>
                <w:lang w:val="en-GB"/>
              </w:rPr>
            </w:pPr>
            <w:r w:rsidRPr="00265791">
              <w:rPr>
                <w:lang w:val="en-GB"/>
              </w:rPr>
              <w:t>69.1% (63.1</w:t>
            </w:r>
            <w:r w:rsidRPr="00265791">
              <w:rPr>
                <w:lang w:val="en-GB"/>
              </w:rPr>
              <w:noBreakHyphen/>
              <w:t>74.7)</w:t>
            </w:r>
          </w:p>
        </w:tc>
        <w:tc>
          <w:tcPr>
            <w:tcW w:w="1843" w:type="dxa"/>
            <w:tcBorders>
              <w:top w:val="nil"/>
              <w:bottom w:val="nil"/>
            </w:tcBorders>
            <w:shd w:val="clear" w:color="auto" w:fill="auto"/>
          </w:tcPr>
          <w:p w14:paraId="08EF2B9E" w14:textId="77777777" w:rsidR="00F4383A" w:rsidRPr="00265791" w:rsidRDefault="00F4383A" w:rsidP="00F75E7E">
            <w:pPr>
              <w:pStyle w:val="BMSTableText"/>
              <w:keepNext/>
              <w:keepLines/>
              <w:spacing w:before="40" w:after="40"/>
              <w:rPr>
                <w:lang w:val="en-GB"/>
              </w:rPr>
            </w:pPr>
            <w:r w:rsidRPr="00265791">
              <w:rPr>
                <w:lang w:val="en-GB"/>
              </w:rPr>
              <w:t>56.2% (49.9</w:t>
            </w:r>
            <w:r w:rsidRPr="00265791">
              <w:rPr>
                <w:lang w:val="en-GB"/>
              </w:rPr>
              <w:noBreakHyphen/>
              <w:t>62.3)</w:t>
            </w:r>
          </w:p>
        </w:tc>
        <w:tc>
          <w:tcPr>
            <w:tcW w:w="1235" w:type="dxa"/>
            <w:gridSpan w:val="2"/>
            <w:tcBorders>
              <w:top w:val="nil"/>
              <w:bottom w:val="nil"/>
            </w:tcBorders>
            <w:shd w:val="clear" w:color="auto" w:fill="auto"/>
          </w:tcPr>
          <w:p w14:paraId="5A68F23C"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3E996903" w14:textId="77777777" w:rsidTr="00F75E7E">
        <w:tc>
          <w:tcPr>
            <w:tcW w:w="3780" w:type="dxa"/>
            <w:tcBorders>
              <w:top w:val="nil"/>
              <w:bottom w:val="nil"/>
            </w:tcBorders>
            <w:shd w:val="clear" w:color="auto" w:fill="auto"/>
          </w:tcPr>
          <w:p w14:paraId="393E8BA6" w14:textId="77777777" w:rsidR="00F4383A" w:rsidRPr="00265791" w:rsidRDefault="00F4383A" w:rsidP="00F75E7E">
            <w:pPr>
              <w:pStyle w:val="BMSTableText"/>
              <w:keepNext/>
              <w:keepLines/>
              <w:spacing w:before="40" w:after="40"/>
              <w:rPr>
                <w:b/>
                <w:lang w:val="en-GB"/>
              </w:rPr>
            </w:pPr>
            <w:r w:rsidRPr="00265791">
              <w:rPr>
                <w:b/>
                <w:lang w:val="en-GB"/>
              </w:rPr>
              <w:t>48 months</w:t>
            </w:r>
          </w:p>
        </w:tc>
        <w:tc>
          <w:tcPr>
            <w:tcW w:w="1890" w:type="dxa"/>
            <w:tcBorders>
              <w:top w:val="nil"/>
              <w:bottom w:val="nil"/>
            </w:tcBorders>
            <w:shd w:val="clear" w:color="auto" w:fill="auto"/>
          </w:tcPr>
          <w:p w14:paraId="2F803613" w14:textId="77777777" w:rsidR="00F4383A" w:rsidRPr="00265791" w:rsidRDefault="00F4383A" w:rsidP="00F75E7E">
            <w:pPr>
              <w:pStyle w:val="BMSTableText"/>
              <w:keepNext/>
              <w:keepLines/>
              <w:spacing w:before="40" w:after="40"/>
              <w:rPr>
                <w:lang w:val="en-GB"/>
              </w:rPr>
            </w:pPr>
            <w:r w:rsidRPr="00265791">
              <w:rPr>
                <w:lang w:val="en-AU"/>
              </w:rPr>
              <w:t>75.7% (70.0-80.8)</w:t>
            </w:r>
          </w:p>
        </w:tc>
        <w:tc>
          <w:tcPr>
            <w:tcW w:w="1843" w:type="dxa"/>
            <w:tcBorders>
              <w:top w:val="nil"/>
              <w:bottom w:val="nil"/>
            </w:tcBorders>
            <w:shd w:val="clear" w:color="auto" w:fill="auto"/>
          </w:tcPr>
          <w:p w14:paraId="64A7376A" w14:textId="77777777" w:rsidR="00F4383A" w:rsidRPr="00265791" w:rsidRDefault="00F4383A" w:rsidP="00F75E7E">
            <w:pPr>
              <w:pStyle w:val="BMSTableText"/>
              <w:keepNext/>
              <w:keepLines/>
              <w:spacing w:before="40" w:after="40"/>
              <w:rPr>
                <w:lang w:val="en-GB"/>
              </w:rPr>
            </w:pPr>
            <w:r w:rsidRPr="00265791">
              <w:rPr>
                <w:lang w:val="en-AU"/>
              </w:rPr>
              <w:t>62.7% (56.5-68.6)</w:t>
            </w:r>
          </w:p>
        </w:tc>
        <w:tc>
          <w:tcPr>
            <w:tcW w:w="1235" w:type="dxa"/>
            <w:gridSpan w:val="2"/>
            <w:tcBorders>
              <w:top w:val="nil"/>
              <w:bottom w:val="nil"/>
            </w:tcBorders>
            <w:shd w:val="clear" w:color="auto" w:fill="auto"/>
          </w:tcPr>
          <w:p w14:paraId="7E05C667" w14:textId="77777777" w:rsidR="00F4383A" w:rsidRPr="00265791" w:rsidRDefault="00F4383A" w:rsidP="00F75E7E">
            <w:pPr>
              <w:pStyle w:val="BMSTableText"/>
              <w:keepNext/>
              <w:keepLines/>
              <w:spacing w:before="40" w:after="40"/>
              <w:rPr>
                <w:lang w:val="en-GB"/>
              </w:rPr>
            </w:pPr>
            <w:r w:rsidRPr="00265791">
              <w:rPr>
                <w:lang w:val="en-GB"/>
              </w:rPr>
              <w:t>_</w:t>
            </w:r>
          </w:p>
        </w:tc>
      </w:tr>
      <w:tr w:rsidR="00F4383A" w:rsidRPr="00265791" w14:paraId="7682F659" w14:textId="77777777" w:rsidTr="00F75E7E">
        <w:tc>
          <w:tcPr>
            <w:tcW w:w="3780" w:type="dxa"/>
            <w:tcBorders>
              <w:top w:val="nil"/>
              <w:bottom w:val="single" w:sz="4" w:space="0" w:color="auto"/>
            </w:tcBorders>
            <w:shd w:val="clear" w:color="auto" w:fill="auto"/>
          </w:tcPr>
          <w:p w14:paraId="1E5E5ADA" w14:textId="77777777" w:rsidR="00F4383A" w:rsidRPr="00265791" w:rsidRDefault="00F4383A" w:rsidP="00F75E7E">
            <w:pPr>
              <w:pStyle w:val="BMSTableText"/>
              <w:keepNext/>
              <w:keepLines/>
              <w:spacing w:before="40" w:after="40"/>
              <w:rPr>
                <w:b/>
                <w:lang w:val="en-GB"/>
              </w:rPr>
            </w:pPr>
            <w:r>
              <w:rPr>
                <w:b/>
                <w:lang w:val="en-GB"/>
              </w:rPr>
              <w:t>60 months</w:t>
            </w:r>
          </w:p>
        </w:tc>
        <w:tc>
          <w:tcPr>
            <w:tcW w:w="1890" w:type="dxa"/>
            <w:tcBorders>
              <w:top w:val="nil"/>
              <w:bottom w:val="single" w:sz="4" w:space="0" w:color="auto"/>
            </w:tcBorders>
            <w:shd w:val="clear" w:color="auto" w:fill="auto"/>
          </w:tcPr>
          <w:p w14:paraId="24D030F8" w14:textId="77777777" w:rsidR="00F4383A" w:rsidRPr="00265791" w:rsidRDefault="00F4383A" w:rsidP="00F75E7E">
            <w:pPr>
              <w:pStyle w:val="BMSTableText"/>
              <w:keepNext/>
              <w:keepLines/>
              <w:spacing w:before="40" w:after="40"/>
              <w:rPr>
                <w:lang w:val="en-AU"/>
              </w:rPr>
            </w:pPr>
            <w:r>
              <w:rPr>
                <w:lang w:val="en-AU"/>
              </w:rPr>
              <w:t>76.4% (70.8 - 81.5)</w:t>
            </w:r>
          </w:p>
        </w:tc>
        <w:tc>
          <w:tcPr>
            <w:tcW w:w="1843" w:type="dxa"/>
            <w:tcBorders>
              <w:top w:val="nil"/>
              <w:bottom w:val="single" w:sz="4" w:space="0" w:color="auto"/>
            </w:tcBorders>
            <w:shd w:val="clear" w:color="auto" w:fill="auto"/>
          </w:tcPr>
          <w:p w14:paraId="61F3506A" w14:textId="77777777" w:rsidR="00F4383A" w:rsidRPr="00265791" w:rsidRDefault="00F4383A" w:rsidP="00F75E7E">
            <w:pPr>
              <w:pStyle w:val="BMSTableText"/>
              <w:keepNext/>
              <w:keepLines/>
              <w:spacing w:before="40" w:after="40"/>
              <w:rPr>
                <w:lang w:val="en-AU"/>
              </w:rPr>
            </w:pPr>
            <w:r>
              <w:rPr>
                <w:lang w:val="en-AU"/>
              </w:rPr>
              <w:t>64.2% (58.1 - 70.1)</w:t>
            </w:r>
          </w:p>
        </w:tc>
        <w:tc>
          <w:tcPr>
            <w:tcW w:w="1235" w:type="dxa"/>
            <w:gridSpan w:val="2"/>
            <w:tcBorders>
              <w:top w:val="nil"/>
              <w:bottom w:val="single" w:sz="4" w:space="0" w:color="auto"/>
            </w:tcBorders>
            <w:shd w:val="clear" w:color="auto" w:fill="auto"/>
          </w:tcPr>
          <w:p w14:paraId="4E60E6CC" w14:textId="77777777" w:rsidR="00F4383A" w:rsidRPr="00265791" w:rsidRDefault="00F4383A" w:rsidP="00F75E7E">
            <w:pPr>
              <w:pStyle w:val="BMSTableText"/>
              <w:keepNext/>
              <w:keepLines/>
              <w:spacing w:before="40" w:after="40"/>
              <w:rPr>
                <w:lang w:val="en-GB"/>
              </w:rPr>
            </w:pPr>
            <w:r>
              <w:rPr>
                <w:lang w:val="en-GB"/>
              </w:rPr>
              <w:t>p = 0.0021</w:t>
            </w:r>
            <w:r w:rsidRPr="00F4716B">
              <w:rPr>
                <w:vertAlign w:val="superscript"/>
                <w:lang w:val="en-GB"/>
              </w:rPr>
              <w:t>e</w:t>
            </w:r>
          </w:p>
        </w:tc>
      </w:tr>
      <w:tr w:rsidR="00F4383A" w:rsidRPr="00265791" w14:paraId="32179528" w14:textId="77777777" w:rsidTr="00F75E7E">
        <w:tc>
          <w:tcPr>
            <w:tcW w:w="3780" w:type="dxa"/>
            <w:tcBorders>
              <w:top w:val="single" w:sz="4" w:space="0" w:color="auto"/>
              <w:bottom w:val="nil"/>
            </w:tcBorders>
            <w:shd w:val="clear" w:color="auto" w:fill="auto"/>
          </w:tcPr>
          <w:p w14:paraId="1931B729" w14:textId="77777777" w:rsidR="00F4383A" w:rsidRPr="00265791" w:rsidRDefault="00F4383A" w:rsidP="00F75E7E">
            <w:pPr>
              <w:pStyle w:val="BMSTableText"/>
              <w:keepNext/>
              <w:keepLines/>
              <w:spacing w:before="40" w:after="40"/>
              <w:rPr>
                <w:lang w:val="en-GB"/>
              </w:rPr>
            </w:pPr>
          </w:p>
        </w:tc>
        <w:tc>
          <w:tcPr>
            <w:tcW w:w="3733" w:type="dxa"/>
            <w:gridSpan w:val="2"/>
            <w:tcBorders>
              <w:top w:val="single" w:sz="4" w:space="0" w:color="auto"/>
              <w:bottom w:val="nil"/>
            </w:tcBorders>
            <w:shd w:val="clear" w:color="auto" w:fill="auto"/>
          </w:tcPr>
          <w:p w14:paraId="234C5911" w14:textId="77777777" w:rsidR="00F4383A" w:rsidRPr="00265791" w:rsidRDefault="00F4383A" w:rsidP="00F75E7E">
            <w:pPr>
              <w:pStyle w:val="BMSTableText"/>
              <w:keepNext/>
              <w:keepLines/>
              <w:spacing w:before="40" w:after="40"/>
              <w:rPr>
                <w:b/>
                <w:lang w:val="en-GB"/>
              </w:rPr>
            </w:pPr>
            <w:r w:rsidRPr="00265791">
              <w:rPr>
                <w:b/>
                <w:lang w:val="en-GB"/>
              </w:rPr>
              <w:t>Hazard Ratio</w:t>
            </w:r>
          </w:p>
        </w:tc>
        <w:tc>
          <w:tcPr>
            <w:tcW w:w="1235" w:type="dxa"/>
            <w:gridSpan w:val="2"/>
            <w:tcBorders>
              <w:top w:val="single" w:sz="4" w:space="0" w:color="auto"/>
              <w:bottom w:val="nil"/>
            </w:tcBorders>
            <w:shd w:val="clear" w:color="auto" w:fill="auto"/>
          </w:tcPr>
          <w:p w14:paraId="4301AB5B" w14:textId="77777777" w:rsidR="00F4383A" w:rsidRPr="00265791" w:rsidRDefault="00F4383A" w:rsidP="00F75E7E">
            <w:pPr>
              <w:pStyle w:val="BMSTableText"/>
              <w:keepNext/>
              <w:keepLines/>
              <w:spacing w:before="40" w:after="40"/>
              <w:rPr>
                <w:b/>
                <w:lang w:val="en-GB"/>
              </w:rPr>
            </w:pPr>
          </w:p>
        </w:tc>
      </w:tr>
      <w:tr w:rsidR="00F4383A" w:rsidRPr="00265791" w14:paraId="30886843" w14:textId="77777777" w:rsidTr="00F75E7E">
        <w:trPr>
          <w:trHeight w:val="309"/>
        </w:trPr>
        <w:tc>
          <w:tcPr>
            <w:tcW w:w="3780" w:type="dxa"/>
            <w:tcBorders>
              <w:top w:val="nil"/>
            </w:tcBorders>
            <w:shd w:val="clear" w:color="auto" w:fill="auto"/>
          </w:tcPr>
          <w:p w14:paraId="4DC1E3DE" w14:textId="77777777" w:rsidR="00F4383A" w:rsidRPr="00265791" w:rsidRDefault="00F4383A" w:rsidP="00F75E7E">
            <w:pPr>
              <w:pStyle w:val="BMSTableText"/>
              <w:keepNext/>
              <w:keepLines/>
              <w:spacing w:before="40" w:after="40"/>
              <w:rPr>
                <w:lang w:val="en-GB"/>
              </w:rPr>
            </w:pPr>
          </w:p>
        </w:tc>
        <w:tc>
          <w:tcPr>
            <w:tcW w:w="3780" w:type="dxa"/>
            <w:gridSpan w:val="3"/>
            <w:tcBorders>
              <w:top w:val="nil"/>
            </w:tcBorders>
            <w:shd w:val="clear" w:color="auto" w:fill="auto"/>
          </w:tcPr>
          <w:p w14:paraId="224F884D" w14:textId="77777777" w:rsidR="00F4383A" w:rsidRPr="00265791" w:rsidRDefault="00F4383A" w:rsidP="00F75E7E">
            <w:pPr>
              <w:pStyle w:val="BMSTableText"/>
              <w:keepNext/>
              <w:keepLines/>
              <w:spacing w:before="40" w:after="40"/>
              <w:rPr>
                <w:b/>
                <w:lang w:val="en-GB"/>
              </w:rPr>
            </w:pPr>
            <w:r w:rsidRPr="00265791">
              <w:rPr>
                <w:b/>
                <w:lang w:val="en-GB"/>
              </w:rPr>
              <w:t>within 12 months (99.99% CI)</w:t>
            </w:r>
          </w:p>
        </w:tc>
        <w:tc>
          <w:tcPr>
            <w:tcW w:w="1188" w:type="dxa"/>
            <w:tcBorders>
              <w:top w:val="nil"/>
            </w:tcBorders>
            <w:shd w:val="clear" w:color="auto" w:fill="auto"/>
          </w:tcPr>
          <w:p w14:paraId="602CC4D7" w14:textId="77777777" w:rsidR="00F4383A" w:rsidRPr="00265791" w:rsidRDefault="00F4383A" w:rsidP="00F75E7E">
            <w:pPr>
              <w:pStyle w:val="BMSTableText"/>
              <w:keepNext/>
              <w:keepLines/>
              <w:spacing w:before="40" w:after="40"/>
              <w:rPr>
                <w:lang w:val="en-GB"/>
              </w:rPr>
            </w:pPr>
          </w:p>
        </w:tc>
      </w:tr>
      <w:tr w:rsidR="00F4383A" w:rsidRPr="00265791" w14:paraId="56BDF623" w14:textId="77777777" w:rsidTr="00937764">
        <w:trPr>
          <w:trHeight w:val="302"/>
        </w:trPr>
        <w:tc>
          <w:tcPr>
            <w:tcW w:w="3780" w:type="dxa"/>
            <w:tcBorders>
              <w:top w:val="nil"/>
            </w:tcBorders>
            <w:shd w:val="clear" w:color="auto" w:fill="auto"/>
          </w:tcPr>
          <w:p w14:paraId="7C14AB5A" w14:textId="77777777" w:rsidR="00F4383A" w:rsidRPr="00265791" w:rsidRDefault="00F4383A" w:rsidP="00F75E7E">
            <w:pPr>
              <w:pStyle w:val="BMSTableText"/>
              <w:keepNext/>
              <w:keepLines/>
              <w:spacing w:before="40" w:after="40"/>
              <w:rPr>
                <w:lang w:val="en-GB"/>
              </w:rPr>
            </w:pPr>
            <w:r w:rsidRPr="00265791">
              <w:rPr>
                <w:lang w:val="en-GB"/>
              </w:rPr>
              <w:t>Time-to cCCyR</w:t>
            </w:r>
          </w:p>
        </w:tc>
        <w:tc>
          <w:tcPr>
            <w:tcW w:w="3780" w:type="dxa"/>
            <w:gridSpan w:val="3"/>
            <w:tcBorders>
              <w:top w:val="nil"/>
            </w:tcBorders>
            <w:shd w:val="clear" w:color="auto" w:fill="auto"/>
          </w:tcPr>
          <w:p w14:paraId="3FFE93CE" w14:textId="77777777" w:rsidR="00F4383A" w:rsidRPr="00265791" w:rsidRDefault="00F4383A" w:rsidP="00F75E7E">
            <w:pPr>
              <w:pStyle w:val="BMSTableText"/>
              <w:keepNext/>
              <w:keepLines/>
              <w:spacing w:before="40" w:after="40"/>
              <w:rPr>
                <w:lang w:val="en-GB"/>
              </w:rPr>
            </w:pPr>
            <w:r w:rsidRPr="00265791">
              <w:rPr>
                <w:lang w:val="en-GB"/>
              </w:rPr>
              <w:t>1.55 (1.0</w:t>
            </w:r>
            <w:r w:rsidRPr="00265791">
              <w:rPr>
                <w:lang w:val="en-GB"/>
              </w:rPr>
              <w:noBreakHyphen/>
              <w:t>2.3)</w:t>
            </w:r>
          </w:p>
        </w:tc>
        <w:tc>
          <w:tcPr>
            <w:tcW w:w="1188" w:type="dxa"/>
            <w:tcBorders>
              <w:top w:val="nil"/>
            </w:tcBorders>
            <w:shd w:val="clear" w:color="auto" w:fill="auto"/>
          </w:tcPr>
          <w:p w14:paraId="24792645" w14:textId="77777777" w:rsidR="00F4383A" w:rsidRPr="00265791" w:rsidRDefault="00F4383A" w:rsidP="00F75E7E">
            <w:pPr>
              <w:pStyle w:val="BMSTableText"/>
              <w:keepNext/>
              <w:keepLines/>
              <w:spacing w:before="40" w:after="40"/>
              <w:rPr>
                <w:lang w:val="en-GB"/>
              </w:rPr>
            </w:pPr>
            <w:r w:rsidRPr="00265791">
              <w:rPr>
                <w:lang w:val="en-GB"/>
              </w:rPr>
              <w:t>p&lt; 0.0001*</w:t>
            </w:r>
          </w:p>
        </w:tc>
      </w:tr>
      <w:tr w:rsidR="00F4383A" w:rsidRPr="00265791" w14:paraId="6C7E53EE" w14:textId="77777777" w:rsidTr="00F75E7E">
        <w:tc>
          <w:tcPr>
            <w:tcW w:w="3780" w:type="dxa"/>
            <w:shd w:val="clear" w:color="auto" w:fill="auto"/>
          </w:tcPr>
          <w:p w14:paraId="50988B15" w14:textId="77777777" w:rsidR="00F4383A" w:rsidRPr="00265791" w:rsidRDefault="00F4383A" w:rsidP="00F75E7E">
            <w:pPr>
              <w:pStyle w:val="BMSTableText"/>
              <w:keepNext/>
              <w:keepLines/>
              <w:spacing w:before="40" w:after="40"/>
              <w:rPr>
                <w:lang w:val="en-GB"/>
              </w:rPr>
            </w:pPr>
            <w:r w:rsidRPr="00265791">
              <w:rPr>
                <w:lang w:val="en-GB"/>
              </w:rPr>
              <w:t>Time-to MMR</w:t>
            </w:r>
          </w:p>
        </w:tc>
        <w:tc>
          <w:tcPr>
            <w:tcW w:w="3780" w:type="dxa"/>
            <w:gridSpan w:val="3"/>
            <w:shd w:val="clear" w:color="auto" w:fill="auto"/>
          </w:tcPr>
          <w:p w14:paraId="071C93D4" w14:textId="77777777" w:rsidR="00F4383A" w:rsidRPr="00265791" w:rsidRDefault="00F4383A" w:rsidP="00F75E7E">
            <w:pPr>
              <w:pStyle w:val="BMSTableText"/>
              <w:keepNext/>
              <w:keepLines/>
              <w:spacing w:before="40" w:after="40"/>
              <w:rPr>
                <w:lang w:val="en-GB"/>
              </w:rPr>
            </w:pPr>
            <w:r w:rsidRPr="00265791">
              <w:rPr>
                <w:lang w:val="en-GB"/>
              </w:rPr>
              <w:t>2.01 (1.2</w:t>
            </w:r>
            <w:r w:rsidRPr="00265791">
              <w:rPr>
                <w:lang w:val="en-GB"/>
              </w:rPr>
              <w:noBreakHyphen/>
              <w:t>3.4)</w:t>
            </w:r>
          </w:p>
        </w:tc>
        <w:tc>
          <w:tcPr>
            <w:tcW w:w="1188" w:type="dxa"/>
            <w:shd w:val="clear" w:color="auto" w:fill="auto"/>
          </w:tcPr>
          <w:p w14:paraId="6E5FCE68" w14:textId="77777777" w:rsidR="00F4383A" w:rsidRPr="00265791" w:rsidRDefault="00F4383A" w:rsidP="00F75E7E">
            <w:pPr>
              <w:pStyle w:val="BMSTableText"/>
              <w:keepNext/>
              <w:keepLines/>
              <w:spacing w:before="40" w:after="40"/>
              <w:rPr>
                <w:lang w:val="en-GB"/>
              </w:rPr>
            </w:pPr>
            <w:r w:rsidRPr="00265791">
              <w:rPr>
                <w:lang w:val="en-GB"/>
              </w:rPr>
              <w:t>p&lt; 0.0001*</w:t>
            </w:r>
          </w:p>
        </w:tc>
      </w:tr>
      <w:tr w:rsidR="00F4383A" w:rsidRPr="00265791" w14:paraId="53ADD848" w14:textId="77777777" w:rsidTr="00F75E7E">
        <w:tc>
          <w:tcPr>
            <w:tcW w:w="3780" w:type="dxa"/>
            <w:shd w:val="clear" w:color="auto" w:fill="auto"/>
          </w:tcPr>
          <w:p w14:paraId="4566BDE2" w14:textId="77777777" w:rsidR="00F4383A" w:rsidRPr="00265791" w:rsidRDefault="00F4383A" w:rsidP="00F75E7E">
            <w:pPr>
              <w:pStyle w:val="BMSTableText"/>
              <w:keepNext/>
              <w:keepLines/>
              <w:spacing w:before="40" w:after="40"/>
              <w:rPr>
                <w:lang w:val="en-GB"/>
              </w:rPr>
            </w:pPr>
            <w:r w:rsidRPr="00265791">
              <w:rPr>
                <w:lang w:val="en-GB"/>
              </w:rPr>
              <w:t>Durability of cCCyR</w:t>
            </w:r>
          </w:p>
        </w:tc>
        <w:tc>
          <w:tcPr>
            <w:tcW w:w="3780" w:type="dxa"/>
            <w:gridSpan w:val="3"/>
            <w:shd w:val="clear" w:color="auto" w:fill="auto"/>
          </w:tcPr>
          <w:p w14:paraId="118F5AA6" w14:textId="77777777" w:rsidR="00F4383A" w:rsidRPr="00265791" w:rsidRDefault="00F4383A" w:rsidP="00F75E7E">
            <w:pPr>
              <w:pStyle w:val="BMSTableText"/>
              <w:keepNext/>
              <w:keepLines/>
              <w:spacing w:before="40" w:after="40"/>
              <w:rPr>
                <w:lang w:val="en-GB"/>
              </w:rPr>
            </w:pPr>
            <w:r w:rsidRPr="00265791">
              <w:rPr>
                <w:lang w:val="en-GB"/>
              </w:rPr>
              <w:t>0.7 (0.4</w:t>
            </w:r>
            <w:r w:rsidRPr="00265791">
              <w:rPr>
                <w:lang w:val="en-GB"/>
              </w:rPr>
              <w:noBreakHyphen/>
              <w:t>1.4)</w:t>
            </w:r>
          </w:p>
        </w:tc>
        <w:tc>
          <w:tcPr>
            <w:tcW w:w="1188" w:type="dxa"/>
            <w:shd w:val="clear" w:color="auto" w:fill="auto"/>
          </w:tcPr>
          <w:p w14:paraId="43955A16" w14:textId="77777777" w:rsidR="00F4383A" w:rsidRPr="00265791" w:rsidRDefault="00F4383A" w:rsidP="00F75E7E">
            <w:pPr>
              <w:pStyle w:val="BMSTableText"/>
              <w:keepNext/>
              <w:keepLines/>
              <w:spacing w:before="40" w:after="40"/>
              <w:rPr>
                <w:vertAlign w:val="superscript"/>
                <w:lang w:val="en-GB"/>
              </w:rPr>
            </w:pPr>
            <w:r w:rsidRPr="00265791">
              <w:rPr>
                <w:lang w:val="en-GB"/>
              </w:rPr>
              <w:t>p&lt; 0.035**</w:t>
            </w:r>
          </w:p>
        </w:tc>
      </w:tr>
      <w:tr w:rsidR="00F4383A" w:rsidRPr="00265791" w14:paraId="67FD42CE" w14:textId="77777777" w:rsidTr="00F75E7E">
        <w:tc>
          <w:tcPr>
            <w:tcW w:w="3780" w:type="dxa"/>
            <w:shd w:val="clear" w:color="auto" w:fill="auto"/>
          </w:tcPr>
          <w:p w14:paraId="4F4F1746" w14:textId="77777777" w:rsidR="00F4383A" w:rsidRPr="00265791" w:rsidRDefault="00F4383A" w:rsidP="00F75E7E">
            <w:pPr>
              <w:pStyle w:val="BMSTableText"/>
              <w:keepNext/>
              <w:keepLines/>
              <w:spacing w:before="40" w:after="40"/>
              <w:rPr>
                <w:lang w:val="en-GB"/>
              </w:rPr>
            </w:pPr>
          </w:p>
        </w:tc>
        <w:tc>
          <w:tcPr>
            <w:tcW w:w="3780" w:type="dxa"/>
            <w:gridSpan w:val="3"/>
            <w:shd w:val="clear" w:color="auto" w:fill="auto"/>
          </w:tcPr>
          <w:p w14:paraId="283CBF75" w14:textId="77777777" w:rsidR="00F4383A" w:rsidRPr="00265791" w:rsidRDefault="00F4383A" w:rsidP="00F75E7E">
            <w:pPr>
              <w:pStyle w:val="BMSTableText"/>
              <w:keepNext/>
              <w:keepLines/>
              <w:spacing w:before="40" w:after="40"/>
              <w:rPr>
                <w:lang w:val="en-GB"/>
              </w:rPr>
            </w:pPr>
            <w:r w:rsidRPr="00265791">
              <w:rPr>
                <w:b/>
                <w:lang w:val="en-GB"/>
              </w:rPr>
              <w:t>within 24 months (95% CI)</w:t>
            </w:r>
          </w:p>
        </w:tc>
        <w:tc>
          <w:tcPr>
            <w:tcW w:w="1188" w:type="dxa"/>
            <w:shd w:val="clear" w:color="auto" w:fill="auto"/>
          </w:tcPr>
          <w:p w14:paraId="3D89BBFA" w14:textId="77777777" w:rsidR="00F4383A" w:rsidRPr="00265791" w:rsidRDefault="00F4383A" w:rsidP="00F75E7E">
            <w:pPr>
              <w:pStyle w:val="BMSTableText"/>
              <w:keepNext/>
              <w:keepLines/>
              <w:spacing w:before="40" w:after="40"/>
              <w:rPr>
                <w:lang w:val="en-GB"/>
              </w:rPr>
            </w:pPr>
          </w:p>
        </w:tc>
      </w:tr>
      <w:tr w:rsidR="00F4383A" w:rsidRPr="00265791" w14:paraId="22B87C0B" w14:textId="77777777" w:rsidTr="00F75E7E">
        <w:tc>
          <w:tcPr>
            <w:tcW w:w="3780" w:type="dxa"/>
            <w:shd w:val="clear" w:color="auto" w:fill="auto"/>
          </w:tcPr>
          <w:p w14:paraId="79F8C2A2" w14:textId="77777777" w:rsidR="00F4383A" w:rsidRPr="00265791" w:rsidRDefault="00F4383A" w:rsidP="00F75E7E">
            <w:pPr>
              <w:pStyle w:val="BMSTableText"/>
              <w:keepNext/>
              <w:keepLines/>
              <w:spacing w:before="40" w:after="40"/>
              <w:rPr>
                <w:lang w:val="en-GB"/>
              </w:rPr>
            </w:pPr>
            <w:r w:rsidRPr="00265791">
              <w:rPr>
                <w:lang w:val="en-GB"/>
              </w:rPr>
              <w:t>Time-to cCCyR</w:t>
            </w:r>
          </w:p>
        </w:tc>
        <w:tc>
          <w:tcPr>
            <w:tcW w:w="3780" w:type="dxa"/>
            <w:gridSpan w:val="3"/>
            <w:shd w:val="clear" w:color="auto" w:fill="auto"/>
          </w:tcPr>
          <w:p w14:paraId="574FACF9" w14:textId="77777777" w:rsidR="00F4383A" w:rsidRPr="00265791" w:rsidRDefault="00F4383A" w:rsidP="00F75E7E">
            <w:pPr>
              <w:pStyle w:val="BMSTableText"/>
              <w:keepNext/>
              <w:keepLines/>
              <w:spacing w:before="40" w:after="40"/>
              <w:rPr>
                <w:lang w:val="en-GB"/>
              </w:rPr>
            </w:pPr>
            <w:r w:rsidRPr="00265791">
              <w:rPr>
                <w:lang w:val="en-GB"/>
              </w:rPr>
              <w:t>1.49 (1.22</w:t>
            </w:r>
            <w:r w:rsidRPr="00265791">
              <w:rPr>
                <w:lang w:val="en-GB"/>
              </w:rPr>
              <w:noBreakHyphen/>
              <w:t>1.82)</w:t>
            </w:r>
          </w:p>
        </w:tc>
        <w:tc>
          <w:tcPr>
            <w:tcW w:w="1188" w:type="dxa"/>
            <w:shd w:val="clear" w:color="auto" w:fill="auto"/>
          </w:tcPr>
          <w:p w14:paraId="26ABAA7E"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626B5C1F" w14:textId="77777777" w:rsidTr="00F75E7E">
        <w:tc>
          <w:tcPr>
            <w:tcW w:w="3780" w:type="dxa"/>
            <w:shd w:val="clear" w:color="auto" w:fill="auto"/>
          </w:tcPr>
          <w:p w14:paraId="1A7B646D" w14:textId="77777777" w:rsidR="00F4383A" w:rsidRPr="00265791" w:rsidRDefault="00F4383A" w:rsidP="00F75E7E">
            <w:pPr>
              <w:pStyle w:val="BMSTableText"/>
              <w:keepNext/>
              <w:keepLines/>
              <w:spacing w:before="40" w:after="40"/>
              <w:rPr>
                <w:lang w:val="en-GB"/>
              </w:rPr>
            </w:pPr>
            <w:r w:rsidRPr="00265791">
              <w:rPr>
                <w:lang w:val="en-GB"/>
              </w:rPr>
              <w:t>Time-to MMR</w:t>
            </w:r>
          </w:p>
        </w:tc>
        <w:tc>
          <w:tcPr>
            <w:tcW w:w="3780" w:type="dxa"/>
            <w:gridSpan w:val="3"/>
            <w:shd w:val="clear" w:color="auto" w:fill="auto"/>
          </w:tcPr>
          <w:p w14:paraId="0AC86671" w14:textId="77777777" w:rsidR="00F4383A" w:rsidRPr="00265791" w:rsidRDefault="00F4383A" w:rsidP="00F75E7E">
            <w:pPr>
              <w:pStyle w:val="BMSTableText"/>
              <w:keepNext/>
              <w:keepLines/>
              <w:spacing w:before="40" w:after="40"/>
              <w:rPr>
                <w:lang w:val="en-GB"/>
              </w:rPr>
            </w:pPr>
            <w:r w:rsidRPr="00265791">
              <w:rPr>
                <w:lang w:val="en-GB"/>
              </w:rPr>
              <w:t>1.69 (1.34</w:t>
            </w:r>
            <w:r w:rsidRPr="00265791">
              <w:rPr>
                <w:lang w:val="en-GB"/>
              </w:rPr>
              <w:noBreakHyphen/>
              <w:t>2.12)</w:t>
            </w:r>
          </w:p>
        </w:tc>
        <w:tc>
          <w:tcPr>
            <w:tcW w:w="1188" w:type="dxa"/>
            <w:shd w:val="clear" w:color="auto" w:fill="auto"/>
          </w:tcPr>
          <w:p w14:paraId="450EC369"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1D046269" w14:textId="77777777" w:rsidTr="00F75E7E">
        <w:tc>
          <w:tcPr>
            <w:tcW w:w="3780" w:type="dxa"/>
            <w:shd w:val="clear" w:color="auto" w:fill="auto"/>
          </w:tcPr>
          <w:p w14:paraId="4BBA0E51" w14:textId="77777777" w:rsidR="00F4383A" w:rsidRPr="00265791" w:rsidRDefault="00F4383A" w:rsidP="00F75E7E">
            <w:pPr>
              <w:pStyle w:val="BMSTableText"/>
              <w:keepNext/>
              <w:keepLines/>
              <w:spacing w:before="40" w:after="40"/>
              <w:rPr>
                <w:lang w:val="en-GB"/>
              </w:rPr>
            </w:pPr>
            <w:r w:rsidRPr="00265791">
              <w:rPr>
                <w:lang w:val="en-GB"/>
              </w:rPr>
              <w:t>Durability of cCCyR</w:t>
            </w:r>
          </w:p>
        </w:tc>
        <w:tc>
          <w:tcPr>
            <w:tcW w:w="3780" w:type="dxa"/>
            <w:gridSpan w:val="3"/>
            <w:shd w:val="clear" w:color="auto" w:fill="auto"/>
          </w:tcPr>
          <w:p w14:paraId="3BC41956" w14:textId="77777777" w:rsidR="00F4383A" w:rsidRPr="00265791" w:rsidRDefault="00F4383A" w:rsidP="00F75E7E">
            <w:pPr>
              <w:pStyle w:val="BMSTableText"/>
              <w:keepNext/>
              <w:keepLines/>
              <w:spacing w:before="40" w:after="40"/>
              <w:rPr>
                <w:lang w:val="en-GB"/>
              </w:rPr>
            </w:pPr>
            <w:r w:rsidRPr="00265791">
              <w:rPr>
                <w:lang w:val="en-GB"/>
              </w:rPr>
              <w:t>0.77 (0.55</w:t>
            </w:r>
            <w:r w:rsidRPr="00265791">
              <w:rPr>
                <w:lang w:val="en-GB"/>
              </w:rPr>
              <w:noBreakHyphen/>
              <w:t>1.10)</w:t>
            </w:r>
          </w:p>
        </w:tc>
        <w:tc>
          <w:tcPr>
            <w:tcW w:w="1188" w:type="dxa"/>
            <w:shd w:val="clear" w:color="auto" w:fill="auto"/>
          </w:tcPr>
          <w:p w14:paraId="6D0CBEE6"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7C1D96CD" w14:textId="77777777" w:rsidTr="00F75E7E">
        <w:tc>
          <w:tcPr>
            <w:tcW w:w="3780" w:type="dxa"/>
            <w:shd w:val="clear" w:color="auto" w:fill="auto"/>
          </w:tcPr>
          <w:p w14:paraId="4C401C80" w14:textId="77777777" w:rsidR="00F4383A" w:rsidRPr="00265791" w:rsidRDefault="00F4383A" w:rsidP="00F75E7E">
            <w:pPr>
              <w:pStyle w:val="BMSTableText"/>
              <w:keepNext/>
              <w:keepLines/>
              <w:spacing w:before="40" w:after="40"/>
              <w:rPr>
                <w:lang w:val="en-GB"/>
              </w:rPr>
            </w:pPr>
          </w:p>
        </w:tc>
        <w:tc>
          <w:tcPr>
            <w:tcW w:w="3780" w:type="dxa"/>
            <w:gridSpan w:val="3"/>
            <w:shd w:val="clear" w:color="auto" w:fill="auto"/>
          </w:tcPr>
          <w:p w14:paraId="529249D8" w14:textId="77777777" w:rsidR="00F4383A" w:rsidRPr="00265791" w:rsidRDefault="00F4383A" w:rsidP="00F75E7E">
            <w:pPr>
              <w:pStyle w:val="BMSTableText"/>
              <w:keepNext/>
              <w:keepLines/>
              <w:spacing w:before="40" w:after="40"/>
              <w:rPr>
                <w:lang w:val="en-GB"/>
              </w:rPr>
            </w:pPr>
            <w:r w:rsidRPr="00265791">
              <w:rPr>
                <w:b/>
                <w:lang w:val="en-GB"/>
              </w:rPr>
              <w:t>within 36 months (95% CI)</w:t>
            </w:r>
          </w:p>
        </w:tc>
        <w:tc>
          <w:tcPr>
            <w:tcW w:w="1188" w:type="dxa"/>
            <w:shd w:val="clear" w:color="auto" w:fill="auto"/>
          </w:tcPr>
          <w:p w14:paraId="5127BA29" w14:textId="77777777" w:rsidR="00F4383A" w:rsidRPr="00265791" w:rsidRDefault="00F4383A" w:rsidP="00F75E7E">
            <w:pPr>
              <w:pStyle w:val="BMSTableText"/>
              <w:keepNext/>
              <w:keepLines/>
              <w:spacing w:before="40" w:after="40"/>
              <w:rPr>
                <w:lang w:val="en-GB"/>
              </w:rPr>
            </w:pPr>
          </w:p>
        </w:tc>
      </w:tr>
      <w:tr w:rsidR="00F4383A" w:rsidRPr="00265791" w14:paraId="765DAAF5" w14:textId="77777777" w:rsidTr="00F75E7E">
        <w:tc>
          <w:tcPr>
            <w:tcW w:w="3780" w:type="dxa"/>
            <w:shd w:val="clear" w:color="auto" w:fill="auto"/>
          </w:tcPr>
          <w:p w14:paraId="162F237F" w14:textId="77777777" w:rsidR="00F4383A" w:rsidRPr="00265791" w:rsidRDefault="00F4383A" w:rsidP="00F75E7E">
            <w:pPr>
              <w:pStyle w:val="BMSTableText"/>
              <w:keepNext/>
              <w:keepLines/>
              <w:spacing w:before="40" w:after="40"/>
              <w:rPr>
                <w:lang w:val="en-GB"/>
              </w:rPr>
            </w:pPr>
            <w:r w:rsidRPr="00265791">
              <w:rPr>
                <w:lang w:val="en-GB"/>
              </w:rPr>
              <w:t>Time-to cCCyR</w:t>
            </w:r>
          </w:p>
        </w:tc>
        <w:tc>
          <w:tcPr>
            <w:tcW w:w="3780" w:type="dxa"/>
            <w:gridSpan w:val="3"/>
            <w:shd w:val="clear" w:color="auto" w:fill="auto"/>
          </w:tcPr>
          <w:p w14:paraId="29717DB4" w14:textId="77777777" w:rsidR="00F4383A" w:rsidRPr="00265791" w:rsidRDefault="00F4383A" w:rsidP="00F75E7E">
            <w:pPr>
              <w:pStyle w:val="BMSTableText"/>
              <w:keepNext/>
              <w:keepLines/>
              <w:spacing w:before="40" w:after="40"/>
              <w:rPr>
                <w:lang w:val="en-GB"/>
              </w:rPr>
            </w:pPr>
            <w:r w:rsidRPr="00265791">
              <w:rPr>
                <w:lang w:val="en-GB"/>
              </w:rPr>
              <w:t>1.48 (1.22</w:t>
            </w:r>
            <w:r w:rsidRPr="00265791">
              <w:rPr>
                <w:lang w:val="en-GB"/>
              </w:rPr>
              <w:noBreakHyphen/>
              <w:t>1.80)</w:t>
            </w:r>
          </w:p>
        </w:tc>
        <w:tc>
          <w:tcPr>
            <w:tcW w:w="1188" w:type="dxa"/>
            <w:shd w:val="clear" w:color="auto" w:fill="auto"/>
          </w:tcPr>
          <w:p w14:paraId="01F02F92"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614E5DC3" w14:textId="77777777" w:rsidTr="00F75E7E">
        <w:tc>
          <w:tcPr>
            <w:tcW w:w="3780" w:type="dxa"/>
            <w:shd w:val="clear" w:color="auto" w:fill="auto"/>
          </w:tcPr>
          <w:p w14:paraId="02747EAF" w14:textId="77777777" w:rsidR="00F4383A" w:rsidRPr="00265791" w:rsidRDefault="00F4383A" w:rsidP="00F75E7E">
            <w:pPr>
              <w:pStyle w:val="BMSTableText"/>
              <w:keepNext/>
              <w:keepLines/>
              <w:spacing w:before="40" w:after="40"/>
              <w:rPr>
                <w:lang w:val="en-GB"/>
              </w:rPr>
            </w:pPr>
            <w:r w:rsidRPr="00265791">
              <w:rPr>
                <w:lang w:val="en-GB"/>
              </w:rPr>
              <w:t>Time-to MMR</w:t>
            </w:r>
          </w:p>
        </w:tc>
        <w:tc>
          <w:tcPr>
            <w:tcW w:w="3780" w:type="dxa"/>
            <w:gridSpan w:val="3"/>
            <w:shd w:val="clear" w:color="auto" w:fill="auto"/>
          </w:tcPr>
          <w:p w14:paraId="4A2CA590" w14:textId="77777777" w:rsidR="00F4383A" w:rsidRPr="00265791" w:rsidRDefault="00F4383A" w:rsidP="00F75E7E">
            <w:pPr>
              <w:pStyle w:val="BMSTableText"/>
              <w:keepNext/>
              <w:keepLines/>
              <w:spacing w:before="40" w:after="40"/>
              <w:rPr>
                <w:lang w:val="en-GB"/>
              </w:rPr>
            </w:pPr>
            <w:r w:rsidRPr="00265791">
              <w:rPr>
                <w:lang w:val="en-GB"/>
              </w:rPr>
              <w:t>1.59 (1.28</w:t>
            </w:r>
            <w:r w:rsidRPr="00265791">
              <w:rPr>
                <w:lang w:val="en-GB"/>
              </w:rPr>
              <w:noBreakHyphen/>
              <w:t>1.99)</w:t>
            </w:r>
          </w:p>
        </w:tc>
        <w:tc>
          <w:tcPr>
            <w:tcW w:w="1188" w:type="dxa"/>
            <w:shd w:val="clear" w:color="auto" w:fill="auto"/>
          </w:tcPr>
          <w:p w14:paraId="2DD862AD"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05B73F00" w14:textId="77777777" w:rsidTr="00F75E7E">
        <w:tc>
          <w:tcPr>
            <w:tcW w:w="3780" w:type="dxa"/>
            <w:shd w:val="clear" w:color="auto" w:fill="auto"/>
          </w:tcPr>
          <w:p w14:paraId="166FF6A8" w14:textId="77777777" w:rsidR="00F4383A" w:rsidRPr="00265791" w:rsidRDefault="00F4383A" w:rsidP="00F75E7E">
            <w:pPr>
              <w:pStyle w:val="BMSTableText"/>
              <w:keepNext/>
              <w:keepLines/>
              <w:spacing w:before="40" w:after="40"/>
              <w:rPr>
                <w:lang w:val="en-GB"/>
              </w:rPr>
            </w:pPr>
            <w:r w:rsidRPr="00265791">
              <w:rPr>
                <w:lang w:val="en-GB"/>
              </w:rPr>
              <w:t>Durability of cCCyR</w:t>
            </w:r>
          </w:p>
        </w:tc>
        <w:tc>
          <w:tcPr>
            <w:tcW w:w="3780" w:type="dxa"/>
            <w:gridSpan w:val="3"/>
            <w:shd w:val="clear" w:color="auto" w:fill="auto"/>
          </w:tcPr>
          <w:p w14:paraId="60564553" w14:textId="77777777" w:rsidR="00F4383A" w:rsidRPr="00265791" w:rsidRDefault="00F4383A" w:rsidP="00F75E7E">
            <w:pPr>
              <w:pStyle w:val="BMSTableText"/>
              <w:keepNext/>
              <w:keepLines/>
              <w:spacing w:before="40" w:after="40"/>
              <w:rPr>
                <w:lang w:val="en-GB"/>
              </w:rPr>
            </w:pPr>
            <w:r w:rsidRPr="00265791">
              <w:rPr>
                <w:lang w:val="en-GB"/>
              </w:rPr>
              <w:t>0.77 (0.53</w:t>
            </w:r>
            <w:r w:rsidRPr="00265791">
              <w:rPr>
                <w:lang w:val="en-GB"/>
              </w:rPr>
              <w:noBreakHyphen/>
              <w:t>1.11)</w:t>
            </w:r>
          </w:p>
        </w:tc>
        <w:tc>
          <w:tcPr>
            <w:tcW w:w="1188" w:type="dxa"/>
            <w:shd w:val="clear" w:color="auto" w:fill="auto"/>
          </w:tcPr>
          <w:p w14:paraId="68AE6721" w14:textId="77777777" w:rsidR="00F4383A" w:rsidRPr="00265791" w:rsidRDefault="00F4383A" w:rsidP="00F75E7E">
            <w:pPr>
              <w:pStyle w:val="BMSTableText"/>
              <w:keepNext/>
              <w:keepLines/>
              <w:spacing w:before="40" w:after="40"/>
              <w:rPr>
                <w:lang w:val="en-GB"/>
              </w:rPr>
            </w:pPr>
            <w:r w:rsidRPr="00265791">
              <w:rPr>
                <w:lang w:val="en-GB"/>
              </w:rPr>
              <w:sym w:font="Symbol" w:char="F0BE"/>
            </w:r>
          </w:p>
        </w:tc>
      </w:tr>
      <w:tr w:rsidR="00F4383A" w:rsidRPr="00265791" w14:paraId="78F310FE" w14:textId="77777777" w:rsidTr="00F75E7E">
        <w:tc>
          <w:tcPr>
            <w:tcW w:w="3780" w:type="dxa"/>
            <w:shd w:val="clear" w:color="auto" w:fill="auto"/>
          </w:tcPr>
          <w:p w14:paraId="61F88697" w14:textId="77777777" w:rsidR="00F4383A" w:rsidRPr="00265791" w:rsidRDefault="00F4383A" w:rsidP="00F75E7E">
            <w:pPr>
              <w:pStyle w:val="BMSTableText"/>
              <w:keepNext/>
              <w:keepLines/>
              <w:spacing w:before="40" w:after="40"/>
              <w:rPr>
                <w:lang w:val="en-GB"/>
              </w:rPr>
            </w:pPr>
          </w:p>
        </w:tc>
        <w:tc>
          <w:tcPr>
            <w:tcW w:w="3780" w:type="dxa"/>
            <w:gridSpan w:val="3"/>
            <w:shd w:val="clear" w:color="auto" w:fill="auto"/>
          </w:tcPr>
          <w:p w14:paraId="16503369" w14:textId="77777777" w:rsidR="00F4383A" w:rsidRPr="00265791" w:rsidRDefault="00F4383A" w:rsidP="00F75E7E">
            <w:pPr>
              <w:pStyle w:val="BMSTableText"/>
              <w:keepNext/>
              <w:keepLines/>
              <w:spacing w:before="40" w:after="40"/>
              <w:rPr>
                <w:lang w:val="en-GB"/>
              </w:rPr>
            </w:pPr>
            <w:r w:rsidRPr="00265791">
              <w:rPr>
                <w:b/>
                <w:bCs/>
                <w:lang w:val="en-AU"/>
              </w:rPr>
              <w:t>within 48 months (95% CI)</w:t>
            </w:r>
          </w:p>
        </w:tc>
        <w:tc>
          <w:tcPr>
            <w:tcW w:w="1188" w:type="dxa"/>
            <w:shd w:val="clear" w:color="auto" w:fill="auto"/>
          </w:tcPr>
          <w:p w14:paraId="1DD113D8" w14:textId="77777777" w:rsidR="00F4383A" w:rsidRPr="00265791" w:rsidRDefault="00F4383A" w:rsidP="00F75E7E">
            <w:pPr>
              <w:pStyle w:val="BMSTableText"/>
              <w:keepNext/>
              <w:keepLines/>
              <w:spacing w:before="40" w:after="40"/>
              <w:rPr>
                <w:lang w:val="en-GB"/>
              </w:rPr>
            </w:pPr>
          </w:p>
        </w:tc>
      </w:tr>
      <w:tr w:rsidR="00F4383A" w:rsidRPr="00265791" w14:paraId="260F61C2" w14:textId="77777777" w:rsidTr="00F75E7E">
        <w:tc>
          <w:tcPr>
            <w:tcW w:w="3780" w:type="dxa"/>
            <w:shd w:val="clear" w:color="auto" w:fill="auto"/>
          </w:tcPr>
          <w:p w14:paraId="1FDFE413" w14:textId="77777777" w:rsidR="00F4383A" w:rsidRPr="00265791" w:rsidRDefault="00F4383A" w:rsidP="00F75E7E">
            <w:pPr>
              <w:pStyle w:val="BMSTableText"/>
              <w:keepNext/>
              <w:keepLines/>
              <w:spacing w:before="40" w:after="40"/>
              <w:rPr>
                <w:lang w:val="en-GB"/>
              </w:rPr>
            </w:pPr>
            <w:r w:rsidRPr="00265791">
              <w:rPr>
                <w:lang w:val="en-AU"/>
              </w:rPr>
              <w:lastRenderedPageBreak/>
              <w:t>Time-to cCCyR</w:t>
            </w:r>
          </w:p>
        </w:tc>
        <w:tc>
          <w:tcPr>
            <w:tcW w:w="3780" w:type="dxa"/>
            <w:gridSpan w:val="3"/>
            <w:shd w:val="clear" w:color="auto" w:fill="auto"/>
          </w:tcPr>
          <w:p w14:paraId="6B3D73DB" w14:textId="77777777" w:rsidR="00F4383A" w:rsidRPr="00265791" w:rsidRDefault="00F4383A" w:rsidP="00F75E7E">
            <w:pPr>
              <w:pStyle w:val="BMSTableText"/>
              <w:keepNext/>
              <w:keepLines/>
              <w:spacing w:before="40" w:after="40"/>
              <w:rPr>
                <w:lang w:val="en-GB"/>
              </w:rPr>
            </w:pPr>
            <w:r w:rsidRPr="00265791">
              <w:rPr>
                <w:lang w:val="en-AU"/>
              </w:rPr>
              <w:t>1.45 (1.20-1.77)</w:t>
            </w:r>
          </w:p>
        </w:tc>
        <w:tc>
          <w:tcPr>
            <w:tcW w:w="1188" w:type="dxa"/>
            <w:shd w:val="clear" w:color="auto" w:fill="auto"/>
          </w:tcPr>
          <w:p w14:paraId="2F929949" w14:textId="77777777" w:rsidR="00F4383A" w:rsidRPr="00265791" w:rsidRDefault="00F4383A" w:rsidP="00F75E7E">
            <w:pPr>
              <w:pStyle w:val="BMSTableText"/>
              <w:keepNext/>
              <w:keepLines/>
              <w:spacing w:before="40" w:after="40"/>
              <w:rPr>
                <w:lang w:val="en-GB"/>
              </w:rPr>
            </w:pPr>
            <w:r w:rsidRPr="00265791">
              <w:rPr>
                <w:lang w:val="en-GB"/>
              </w:rPr>
              <w:t>-</w:t>
            </w:r>
          </w:p>
        </w:tc>
      </w:tr>
      <w:tr w:rsidR="00F4383A" w:rsidRPr="00265791" w14:paraId="6FDA189D" w14:textId="77777777" w:rsidTr="00F75E7E">
        <w:tc>
          <w:tcPr>
            <w:tcW w:w="3780" w:type="dxa"/>
            <w:shd w:val="clear" w:color="auto" w:fill="auto"/>
          </w:tcPr>
          <w:p w14:paraId="372619F5" w14:textId="77777777" w:rsidR="00F4383A" w:rsidRPr="00265791" w:rsidRDefault="00F4383A" w:rsidP="00F75E7E">
            <w:pPr>
              <w:pStyle w:val="BMSTableText"/>
              <w:keepNext/>
              <w:keepLines/>
              <w:spacing w:before="40" w:after="40"/>
              <w:rPr>
                <w:lang w:val="en-GB"/>
              </w:rPr>
            </w:pPr>
            <w:r w:rsidRPr="00265791">
              <w:rPr>
                <w:lang w:val="en-AU"/>
              </w:rPr>
              <w:t>Time-to MMR</w:t>
            </w:r>
          </w:p>
        </w:tc>
        <w:tc>
          <w:tcPr>
            <w:tcW w:w="3780" w:type="dxa"/>
            <w:gridSpan w:val="3"/>
            <w:shd w:val="clear" w:color="auto" w:fill="auto"/>
          </w:tcPr>
          <w:p w14:paraId="4BBE949C" w14:textId="77777777" w:rsidR="00F4383A" w:rsidRPr="00265791" w:rsidRDefault="00F4383A" w:rsidP="00F75E7E">
            <w:pPr>
              <w:pStyle w:val="BMSTableText"/>
              <w:keepNext/>
              <w:keepLines/>
              <w:spacing w:before="40" w:after="40"/>
              <w:rPr>
                <w:lang w:val="en-GB"/>
              </w:rPr>
            </w:pPr>
            <w:r w:rsidRPr="00265791">
              <w:rPr>
                <w:lang w:val="en-AU"/>
              </w:rPr>
              <w:t>1.55 (1.26-1.91)</w:t>
            </w:r>
          </w:p>
        </w:tc>
        <w:tc>
          <w:tcPr>
            <w:tcW w:w="1188" w:type="dxa"/>
            <w:shd w:val="clear" w:color="auto" w:fill="auto"/>
          </w:tcPr>
          <w:p w14:paraId="6957FEE2" w14:textId="77777777" w:rsidR="00F4383A" w:rsidRPr="00265791" w:rsidRDefault="00F4383A" w:rsidP="00F75E7E">
            <w:pPr>
              <w:pStyle w:val="BMSTableText"/>
              <w:keepNext/>
              <w:keepLines/>
              <w:spacing w:before="40" w:after="40"/>
              <w:rPr>
                <w:lang w:val="en-GB"/>
              </w:rPr>
            </w:pPr>
            <w:r w:rsidRPr="00265791">
              <w:rPr>
                <w:lang w:val="en-GB"/>
              </w:rPr>
              <w:t>-</w:t>
            </w:r>
          </w:p>
        </w:tc>
      </w:tr>
      <w:tr w:rsidR="00F4383A" w:rsidRPr="00265791" w14:paraId="0950EA99" w14:textId="77777777" w:rsidTr="00F75E7E">
        <w:tc>
          <w:tcPr>
            <w:tcW w:w="3780" w:type="dxa"/>
            <w:shd w:val="clear" w:color="auto" w:fill="auto"/>
          </w:tcPr>
          <w:p w14:paraId="1CEF2A2F" w14:textId="77777777" w:rsidR="00F4383A" w:rsidRPr="00265791" w:rsidRDefault="00F4383A" w:rsidP="00F75E7E">
            <w:pPr>
              <w:pStyle w:val="BMSTableText"/>
              <w:keepNext/>
              <w:keepLines/>
              <w:spacing w:before="40" w:after="40"/>
              <w:rPr>
                <w:lang w:val="en-GB"/>
              </w:rPr>
            </w:pPr>
            <w:r w:rsidRPr="00265791">
              <w:rPr>
                <w:lang w:val="en-AU"/>
              </w:rPr>
              <w:t>Durability of cCCyR</w:t>
            </w:r>
          </w:p>
        </w:tc>
        <w:tc>
          <w:tcPr>
            <w:tcW w:w="3780" w:type="dxa"/>
            <w:gridSpan w:val="3"/>
            <w:shd w:val="clear" w:color="auto" w:fill="auto"/>
          </w:tcPr>
          <w:p w14:paraId="1E321D53" w14:textId="77777777" w:rsidR="00F4383A" w:rsidRPr="00265791" w:rsidRDefault="00F4383A" w:rsidP="00F75E7E">
            <w:pPr>
              <w:pStyle w:val="BMSTableText"/>
              <w:keepNext/>
              <w:keepLines/>
              <w:spacing w:before="40" w:after="40"/>
              <w:rPr>
                <w:lang w:val="en-GB"/>
              </w:rPr>
            </w:pPr>
            <w:r w:rsidRPr="00265791">
              <w:rPr>
                <w:lang w:val="en-AU"/>
              </w:rPr>
              <w:t>0.81 (0.56-1.17)</w:t>
            </w:r>
          </w:p>
        </w:tc>
        <w:tc>
          <w:tcPr>
            <w:tcW w:w="1188" w:type="dxa"/>
            <w:shd w:val="clear" w:color="auto" w:fill="auto"/>
          </w:tcPr>
          <w:p w14:paraId="039BC13D" w14:textId="77777777" w:rsidR="00F4383A" w:rsidRPr="00265791" w:rsidRDefault="00F4383A" w:rsidP="00F75E7E">
            <w:pPr>
              <w:pStyle w:val="BMSTableText"/>
              <w:keepNext/>
              <w:keepLines/>
              <w:spacing w:before="40" w:after="40"/>
              <w:rPr>
                <w:lang w:val="en-GB"/>
              </w:rPr>
            </w:pPr>
            <w:r w:rsidRPr="00265791">
              <w:rPr>
                <w:lang w:val="en-GB"/>
              </w:rPr>
              <w:t>-</w:t>
            </w:r>
          </w:p>
        </w:tc>
      </w:tr>
      <w:tr w:rsidR="00F4383A" w:rsidRPr="00265791" w14:paraId="0388EFB8" w14:textId="77777777" w:rsidTr="00F75E7E">
        <w:tc>
          <w:tcPr>
            <w:tcW w:w="3780" w:type="dxa"/>
            <w:shd w:val="clear" w:color="auto" w:fill="auto"/>
          </w:tcPr>
          <w:p w14:paraId="0044B438" w14:textId="77777777" w:rsidR="00F4383A" w:rsidRPr="00265791" w:rsidRDefault="00F4383A" w:rsidP="00F75E7E">
            <w:pPr>
              <w:pStyle w:val="BMSTableText"/>
              <w:keepNext/>
              <w:keepLines/>
              <w:spacing w:before="40" w:after="40"/>
              <w:rPr>
                <w:lang w:val="en-AU"/>
              </w:rPr>
            </w:pPr>
          </w:p>
        </w:tc>
        <w:tc>
          <w:tcPr>
            <w:tcW w:w="3780" w:type="dxa"/>
            <w:gridSpan w:val="3"/>
            <w:shd w:val="clear" w:color="auto" w:fill="auto"/>
          </w:tcPr>
          <w:p w14:paraId="66C28A81" w14:textId="77777777" w:rsidR="00F4383A" w:rsidRPr="00265791" w:rsidRDefault="00F4383A" w:rsidP="00F75E7E">
            <w:pPr>
              <w:pStyle w:val="BMSTableText"/>
              <w:keepNext/>
              <w:keepLines/>
              <w:spacing w:before="40" w:after="40"/>
              <w:rPr>
                <w:lang w:val="en-AU"/>
              </w:rPr>
            </w:pPr>
            <w:r>
              <w:rPr>
                <w:b/>
                <w:bCs/>
                <w:lang w:val="en-AU"/>
              </w:rPr>
              <w:t>within 60</w:t>
            </w:r>
            <w:r w:rsidRPr="00265791">
              <w:rPr>
                <w:b/>
                <w:bCs/>
                <w:lang w:val="en-AU"/>
              </w:rPr>
              <w:t xml:space="preserve"> months (95% CI)</w:t>
            </w:r>
          </w:p>
        </w:tc>
        <w:tc>
          <w:tcPr>
            <w:tcW w:w="1188" w:type="dxa"/>
            <w:shd w:val="clear" w:color="auto" w:fill="auto"/>
          </w:tcPr>
          <w:p w14:paraId="50485F9D" w14:textId="77777777" w:rsidR="00F4383A" w:rsidRPr="00265791" w:rsidRDefault="00F4383A" w:rsidP="00F75E7E">
            <w:pPr>
              <w:pStyle w:val="BMSTableText"/>
              <w:keepNext/>
              <w:keepLines/>
              <w:spacing w:before="40" w:after="40"/>
              <w:rPr>
                <w:lang w:val="en-GB"/>
              </w:rPr>
            </w:pPr>
          </w:p>
        </w:tc>
      </w:tr>
      <w:tr w:rsidR="00F4383A" w:rsidRPr="00265791" w14:paraId="1A0A64E0" w14:textId="77777777" w:rsidTr="00F75E7E">
        <w:tc>
          <w:tcPr>
            <w:tcW w:w="3780" w:type="dxa"/>
            <w:shd w:val="clear" w:color="auto" w:fill="auto"/>
          </w:tcPr>
          <w:p w14:paraId="3761059D" w14:textId="77777777" w:rsidR="00F4383A" w:rsidRPr="00265791" w:rsidRDefault="00F4383A" w:rsidP="00F75E7E">
            <w:pPr>
              <w:pStyle w:val="BMSTableText"/>
              <w:keepNext/>
              <w:keepLines/>
              <w:spacing w:before="40" w:after="40"/>
              <w:rPr>
                <w:lang w:val="en-AU"/>
              </w:rPr>
            </w:pPr>
            <w:r w:rsidRPr="00265791">
              <w:rPr>
                <w:lang w:val="en-AU"/>
              </w:rPr>
              <w:t>Time-to cCCyR</w:t>
            </w:r>
          </w:p>
        </w:tc>
        <w:tc>
          <w:tcPr>
            <w:tcW w:w="3780" w:type="dxa"/>
            <w:gridSpan w:val="3"/>
            <w:shd w:val="clear" w:color="auto" w:fill="auto"/>
          </w:tcPr>
          <w:p w14:paraId="2021327A" w14:textId="77777777" w:rsidR="00F4383A" w:rsidRPr="00265791" w:rsidRDefault="00F4383A" w:rsidP="00F75E7E">
            <w:pPr>
              <w:pStyle w:val="BMSTableText"/>
              <w:keepNext/>
              <w:keepLines/>
              <w:spacing w:before="40" w:after="40"/>
              <w:rPr>
                <w:lang w:val="en-AU"/>
              </w:rPr>
            </w:pPr>
            <w:r>
              <w:rPr>
                <w:lang w:val="en-AU"/>
              </w:rPr>
              <w:t>1.46 (1.20 - 1.77)</w:t>
            </w:r>
          </w:p>
        </w:tc>
        <w:tc>
          <w:tcPr>
            <w:tcW w:w="1188" w:type="dxa"/>
            <w:shd w:val="clear" w:color="auto" w:fill="auto"/>
          </w:tcPr>
          <w:p w14:paraId="349A2F03" w14:textId="77777777" w:rsidR="00F4383A" w:rsidRPr="00265791" w:rsidRDefault="00F4383A" w:rsidP="00F75E7E">
            <w:pPr>
              <w:pStyle w:val="BMSTableText"/>
              <w:keepNext/>
              <w:keepLines/>
              <w:spacing w:before="40" w:after="40"/>
              <w:rPr>
                <w:lang w:val="en-GB"/>
              </w:rPr>
            </w:pPr>
            <w:r>
              <w:rPr>
                <w:lang w:val="en-GB"/>
              </w:rPr>
              <w:t>p = 0.0001</w:t>
            </w:r>
            <w:r w:rsidRPr="00253DAB">
              <w:rPr>
                <w:vertAlign w:val="superscript"/>
                <w:lang w:val="en-GB"/>
              </w:rPr>
              <w:t>e</w:t>
            </w:r>
          </w:p>
        </w:tc>
      </w:tr>
      <w:tr w:rsidR="00F4383A" w:rsidRPr="00265791" w14:paraId="099CE85C" w14:textId="77777777" w:rsidTr="00937764">
        <w:trPr>
          <w:trHeight w:val="274"/>
        </w:trPr>
        <w:tc>
          <w:tcPr>
            <w:tcW w:w="3780" w:type="dxa"/>
            <w:shd w:val="clear" w:color="auto" w:fill="auto"/>
          </w:tcPr>
          <w:p w14:paraId="1BCCB69A" w14:textId="77777777" w:rsidR="00F4383A" w:rsidRPr="00265791" w:rsidRDefault="00F4383A" w:rsidP="00F75E7E">
            <w:pPr>
              <w:pStyle w:val="BMSTableText"/>
              <w:keepNext/>
              <w:keepLines/>
              <w:spacing w:before="40" w:after="40"/>
              <w:rPr>
                <w:lang w:val="en-AU"/>
              </w:rPr>
            </w:pPr>
            <w:r w:rsidRPr="00265791">
              <w:rPr>
                <w:lang w:val="en-AU"/>
              </w:rPr>
              <w:t>Time-to MMR</w:t>
            </w:r>
          </w:p>
        </w:tc>
        <w:tc>
          <w:tcPr>
            <w:tcW w:w="3780" w:type="dxa"/>
            <w:gridSpan w:val="3"/>
            <w:shd w:val="clear" w:color="auto" w:fill="auto"/>
          </w:tcPr>
          <w:p w14:paraId="1785E187" w14:textId="77777777" w:rsidR="00F4383A" w:rsidRPr="00265791" w:rsidRDefault="00F4383A" w:rsidP="00F75E7E">
            <w:pPr>
              <w:pStyle w:val="BMSTableText"/>
              <w:keepNext/>
              <w:keepLines/>
              <w:spacing w:before="40" w:after="40"/>
              <w:rPr>
                <w:lang w:val="en-AU"/>
              </w:rPr>
            </w:pPr>
            <w:r>
              <w:rPr>
                <w:lang w:val="en-AU"/>
              </w:rPr>
              <w:t>1.54 (1.25 - 1.89)</w:t>
            </w:r>
          </w:p>
        </w:tc>
        <w:tc>
          <w:tcPr>
            <w:tcW w:w="1188" w:type="dxa"/>
            <w:shd w:val="clear" w:color="auto" w:fill="auto"/>
          </w:tcPr>
          <w:p w14:paraId="0629B8A3" w14:textId="77777777" w:rsidR="00F4383A" w:rsidRPr="00265791" w:rsidRDefault="00F4383A" w:rsidP="00F75E7E">
            <w:pPr>
              <w:pStyle w:val="BMSTableText"/>
              <w:keepNext/>
              <w:keepLines/>
              <w:spacing w:before="40" w:after="40"/>
              <w:rPr>
                <w:lang w:val="en-GB"/>
              </w:rPr>
            </w:pPr>
            <w:r>
              <w:rPr>
                <w:lang w:val="en-GB"/>
              </w:rPr>
              <w:t>p &lt;0.0001</w:t>
            </w:r>
            <w:r w:rsidRPr="00831E1A">
              <w:rPr>
                <w:vertAlign w:val="superscript"/>
                <w:lang w:val="en-GB"/>
              </w:rPr>
              <w:t>e</w:t>
            </w:r>
          </w:p>
        </w:tc>
      </w:tr>
      <w:tr w:rsidR="00F4383A" w:rsidRPr="00265791" w14:paraId="033327C4" w14:textId="77777777" w:rsidTr="00F75E7E">
        <w:tc>
          <w:tcPr>
            <w:tcW w:w="3780" w:type="dxa"/>
            <w:shd w:val="clear" w:color="auto" w:fill="auto"/>
          </w:tcPr>
          <w:p w14:paraId="638ACC2A" w14:textId="77777777" w:rsidR="00F4383A" w:rsidRPr="00265791" w:rsidRDefault="00F4383A" w:rsidP="00F75E7E">
            <w:pPr>
              <w:pStyle w:val="BMSTableText"/>
              <w:keepNext/>
              <w:keepLines/>
              <w:spacing w:before="40" w:after="40"/>
              <w:rPr>
                <w:lang w:val="en-AU"/>
              </w:rPr>
            </w:pPr>
            <w:r w:rsidRPr="00265791">
              <w:rPr>
                <w:lang w:val="en-AU"/>
              </w:rPr>
              <w:t xml:space="preserve">Durability </w:t>
            </w:r>
            <w:r>
              <w:rPr>
                <w:lang w:val="en-AU"/>
              </w:rPr>
              <w:t>(Time-in) cCCyR</w:t>
            </w:r>
          </w:p>
        </w:tc>
        <w:tc>
          <w:tcPr>
            <w:tcW w:w="3780" w:type="dxa"/>
            <w:gridSpan w:val="3"/>
            <w:shd w:val="clear" w:color="auto" w:fill="auto"/>
          </w:tcPr>
          <w:p w14:paraId="5EC750AE" w14:textId="77777777" w:rsidR="00F4383A" w:rsidRPr="00265791" w:rsidRDefault="00F4383A" w:rsidP="00F75E7E">
            <w:pPr>
              <w:pStyle w:val="BMSTableText"/>
              <w:keepNext/>
              <w:keepLines/>
              <w:spacing w:before="40" w:after="40"/>
              <w:rPr>
                <w:lang w:val="en-AU"/>
              </w:rPr>
            </w:pPr>
            <w:r>
              <w:rPr>
                <w:lang w:val="en-AU"/>
              </w:rPr>
              <w:t>0.79 (0.55 - 1.13</w:t>
            </w:r>
          </w:p>
        </w:tc>
        <w:tc>
          <w:tcPr>
            <w:tcW w:w="1188" w:type="dxa"/>
            <w:shd w:val="clear" w:color="auto" w:fill="auto"/>
          </w:tcPr>
          <w:p w14:paraId="1F6F12DB" w14:textId="77777777" w:rsidR="00F4383A" w:rsidRPr="00265791" w:rsidRDefault="00F4383A" w:rsidP="00F75E7E">
            <w:pPr>
              <w:pStyle w:val="BMSTableText"/>
              <w:keepNext/>
              <w:keepLines/>
              <w:spacing w:before="40" w:after="40"/>
              <w:rPr>
                <w:lang w:val="en-GB"/>
              </w:rPr>
            </w:pPr>
            <w:r>
              <w:rPr>
                <w:lang w:val="en-GB"/>
              </w:rPr>
              <w:t>p = 0.1983</w:t>
            </w:r>
            <w:r w:rsidRPr="00831E1A">
              <w:rPr>
                <w:vertAlign w:val="superscript"/>
                <w:lang w:val="en-GB"/>
              </w:rPr>
              <w:t>e</w:t>
            </w:r>
          </w:p>
        </w:tc>
      </w:tr>
    </w:tbl>
    <w:p w14:paraId="5C893343" w14:textId="77777777" w:rsidR="00F4383A" w:rsidRPr="00C15DA2" w:rsidRDefault="00F4383A" w:rsidP="00F4383A">
      <w:pPr>
        <w:keepNext/>
        <w:tabs>
          <w:tab w:val="left" w:pos="162"/>
        </w:tabs>
        <w:spacing w:after="0"/>
        <w:ind w:left="158" w:hanging="158"/>
        <w:rPr>
          <w:sz w:val="18"/>
          <w:szCs w:val="18"/>
        </w:rPr>
      </w:pPr>
      <w:r w:rsidRPr="00C15DA2">
        <w:rPr>
          <w:rStyle w:val="BMSSuperscript"/>
          <w:sz w:val="18"/>
          <w:szCs w:val="18"/>
        </w:rPr>
        <w:t>a</w:t>
      </w:r>
      <w:r w:rsidRPr="00C15DA2">
        <w:rPr>
          <w:rStyle w:val="BMSSuperscript"/>
          <w:sz w:val="18"/>
          <w:szCs w:val="18"/>
        </w:rPr>
        <w:tab/>
      </w:r>
      <w:r w:rsidRPr="00C15DA2">
        <w:rPr>
          <w:sz w:val="18"/>
          <w:szCs w:val="18"/>
        </w:rPr>
        <w:t>Confirmed complete cytogenetic response (cCCyR) is d</w:t>
      </w:r>
      <w:r w:rsidRPr="00C15DA2">
        <w:rPr>
          <w:rFonts w:eastAsia="MS Mincho"/>
          <w:sz w:val="18"/>
          <w:szCs w:val="18"/>
          <w:lang w:eastAsia="ja-JP"/>
        </w:rPr>
        <w:t>efined as a response noted on two consecutive occasions (at least 28 days apart).</w:t>
      </w:r>
      <w:r w:rsidRPr="00C15DA2">
        <w:rPr>
          <w:sz w:val="18"/>
          <w:szCs w:val="18"/>
        </w:rPr>
        <w:t xml:space="preserve"> </w:t>
      </w:r>
    </w:p>
    <w:p w14:paraId="16807FDD" w14:textId="77777777" w:rsidR="00F4383A" w:rsidRPr="00C15DA2" w:rsidRDefault="00F4383A" w:rsidP="00F4383A">
      <w:pPr>
        <w:keepNext/>
        <w:tabs>
          <w:tab w:val="left" w:pos="162"/>
        </w:tabs>
        <w:spacing w:after="0"/>
        <w:ind w:left="158" w:hanging="158"/>
        <w:rPr>
          <w:sz w:val="18"/>
          <w:szCs w:val="18"/>
        </w:rPr>
      </w:pPr>
      <w:r w:rsidRPr="00C15DA2">
        <w:rPr>
          <w:rStyle w:val="BMSSuperscript"/>
          <w:sz w:val="18"/>
          <w:szCs w:val="18"/>
        </w:rPr>
        <w:t>b</w:t>
      </w:r>
      <w:r w:rsidRPr="00C15DA2">
        <w:rPr>
          <w:rStyle w:val="BMSSuperscript"/>
          <w:sz w:val="18"/>
          <w:szCs w:val="18"/>
        </w:rPr>
        <w:tab/>
      </w:r>
      <w:r w:rsidRPr="00C15DA2">
        <w:rPr>
          <w:sz w:val="18"/>
          <w:szCs w:val="18"/>
        </w:rPr>
        <w:t>Cytogenetic response (CCyR) is based on a single bone marrow cytogenetic evaluation. The CCyR results refer to best unconfirmed cytogenic response within 12 months for any number of metaphases.</w:t>
      </w:r>
    </w:p>
    <w:p w14:paraId="5AB608B1" w14:textId="77777777" w:rsidR="00F4383A" w:rsidRPr="00C15DA2" w:rsidRDefault="00F4383A" w:rsidP="00F4383A">
      <w:pPr>
        <w:keepNext/>
        <w:tabs>
          <w:tab w:val="left" w:pos="162"/>
        </w:tabs>
        <w:spacing w:after="0"/>
        <w:ind w:left="158" w:hanging="158"/>
        <w:rPr>
          <w:sz w:val="18"/>
          <w:szCs w:val="18"/>
        </w:rPr>
      </w:pPr>
      <w:r w:rsidRPr="00C15DA2">
        <w:rPr>
          <w:rStyle w:val="BMSSuperscript"/>
          <w:sz w:val="18"/>
          <w:szCs w:val="18"/>
        </w:rPr>
        <w:t>c</w:t>
      </w:r>
      <w:r w:rsidRPr="00C15DA2">
        <w:rPr>
          <w:sz w:val="18"/>
          <w:szCs w:val="18"/>
        </w:rPr>
        <w:tab/>
        <w:t>Major molecular response (at any time) was defined as BCR-ABL ratios ≤ 0.1% by RQ-PCR in peripheral blood samples standardized on the International scale. These are cumulative rates representing minimum follow-up for the timeframe specified.</w:t>
      </w:r>
    </w:p>
    <w:p w14:paraId="14784C1D" w14:textId="77777777" w:rsidR="00F4383A" w:rsidRPr="00C15DA2" w:rsidRDefault="00F4383A" w:rsidP="00F4383A">
      <w:pPr>
        <w:keepNext/>
        <w:tabs>
          <w:tab w:val="left" w:pos="162"/>
        </w:tabs>
        <w:spacing w:after="0"/>
        <w:ind w:left="158" w:hanging="158"/>
        <w:rPr>
          <w:sz w:val="18"/>
          <w:szCs w:val="18"/>
        </w:rPr>
      </w:pPr>
      <w:r w:rsidRPr="00C15DA2">
        <w:rPr>
          <w:sz w:val="18"/>
          <w:szCs w:val="18"/>
          <w:vertAlign w:val="superscript"/>
        </w:rPr>
        <w:t>d</w:t>
      </w:r>
      <w:r w:rsidRPr="00C15DA2">
        <w:rPr>
          <w:sz w:val="18"/>
          <w:szCs w:val="18"/>
        </w:rPr>
        <w:tab/>
        <w:t>Formal statistical comparison of cCCyR and MMR rates was only performed at the time of the primary endpoint (cCCyR within 12 months)</w:t>
      </w:r>
    </w:p>
    <w:p w14:paraId="660CB7E5" w14:textId="77777777" w:rsidR="00F4383A" w:rsidRPr="00C15DA2" w:rsidRDefault="00F4383A" w:rsidP="00F4383A">
      <w:pPr>
        <w:keepNext/>
        <w:tabs>
          <w:tab w:val="left" w:pos="162"/>
        </w:tabs>
        <w:spacing w:after="0"/>
        <w:ind w:left="158" w:hanging="158"/>
        <w:rPr>
          <w:sz w:val="18"/>
          <w:szCs w:val="18"/>
          <w:lang w:val="en-GB"/>
        </w:rPr>
      </w:pPr>
      <w:r w:rsidRPr="00C15DA2">
        <w:rPr>
          <w:sz w:val="18"/>
          <w:szCs w:val="18"/>
          <w:vertAlign w:val="superscript"/>
        </w:rPr>
        <w:t>e</w:t>
      </w:r>
      <w:r w:rsidRPr="00C15DA2">
        <w:rPr>
          <w:sz w:val="18"/>
          <w:szCs w:val="18"/>
        </w:rPr>
        <w:tab/>
        <w:t>P-values of secondary endpoints are nominal, that is, for descriptive purposes, and therefore not statistically significant</w:t>
      </w:r>
      <w:r w:rsidRPr="00C15DA2">
        <w:rPr>
          <w:sz w:val="18"/>
          <w:szCs w:val="18"/>
          <w:lang w:val="en-GB"/>
        </w:rPr>
        <w:t>*Adjusted for Hasford Score and indicated statistical significance at a pre-defined nominal level of significance.</w:t>
      </w:r>
    </w:p>
    <w:p w14:paraId="10F7B159" w14:textId="77777777" w:rsidR="00F4383A" w:rsidRPr="00C15DA2" w:rsidRDefault="00F4383A" w:rsidP="00F4383A">
      <w:pPr>
        <w:keepNext/>
        <w:tabs>
          <w:tab w:val="left" w:pos="162"/>
        </w:tabs>
        <w:spacing w:after="0"/>
        <w:ind w:left="158" w:hanging="158"/>
        <w:rPr>
          <w:sz w:val="18"/>
          <w:szCs w:val="18"/>
          <w:lang w:val="en-GB"/>
        </w:rPr>
      </w:pPr>
      <w:r w:rsidRPr="00C15DA2">
        <w:rPr>
          <w:sz w:val="18"/>
          <w:szCs w:val="18"/>
          <w:lang w:val="en-GB"/>
        </w:rPr>
        <w:t>**Not significant.</w:t>
      </w:r>
    </w:p>
    <w:p w14:paraId="095B5F0E" w14:textId="77777777" w:rsidR="00F4383A" w:rsidRPr="00C15DA2" w:rsidRDefault="00F4383A" w:rsidP="00F4383A">
      <w:pPr>
        <w:keepNext/>
        <w:tabs>
          <w:tab w:val="left" w:pos="162"/>
        </w:tabs>
        <w:spacing w:after="0"/>
        <w:ind w:left="158" w:hanging="158"/>
        <w:rPr>
          <w:sz w:val="18"/>
          <w:szCs w:val="18"/>
          <w:lang w:val="en-GB"/>
        </w:rPr>
      </w:pPr>
      <w:r w:rsidRPr="00C15DA2">
        <w:rPr>
          <w:sz w:val="18"/>
          <w:szCs w:val="18"/>
          <w:lang w:val="en-GB"/>
        </w:rPr>
        <w:t>CI = confidence interval</w:t>
      </w:r>
    </w:p>
    <w:p w14:paraId="115A46A6" w14:textId="77777777" w:rsidR="00F4383A" w:rsidRPr="00C15DA2" w:rsidRDefault="00F4383A" w:rsidP="00F4383A">
      <w:pPr>
        <w:pStyle w:val="EMEABodyText"/>
        <w:rPr>
          <w:sz w:val="18"/>
          <w:szCs w:val="18"/>
        </w:rPr>
      </w:pPr>
    </w:p>
    <w:p w14:paraId="0C2F1BF3" w14:textId="77777777" w:rsidR="00F4383A" w:rsidRPr="00265791" w:rsidRDefault="00F4383A" w:rsidP="00F4383A">
      <w:r w:rsidRPr="00265791">
        <w:t>For time-to cCCyR, a hazard ratio of 1.55 indicates that a patient treated with SPRYCEL is 55% more likely to achieve a cCCyR at any time compared to a patient treated with imatinib.  Similarly, for time-to MMR, a hazard ratio of 2.01 indicates a patient treated with SPRYCEL is more than two times more likely to achieve a MMR at any time compared to a patient treated with imatinib.  For durability of cCCyR (time-in response), a hazard ratio of 0.7 indicates a patient treated with SPRYCEL is 30% less likely to have disease progression after achieving a cCCyR (or never achieving a cCCyR) compared to a patient treated with imatinib.</w:t>
      </w:r>
    </w:p>
    <w:p w14:paraId="464E165A" w14:textId="03CD5351" w:rsidR="00F4383A" w:rsidRDefault="00F4383A" w:rsidP="00F4383A">
      <w:r w:rsidRPr="00265791">
        <w:t xml:space="preserve">After </w:t>
      </w:r>
      <w:r>
        <w:t>60</w:t>
      </w:r>
      <w:r w:rsidRPr="00265791">
        <w:t xml:space="preserve"> months follow-up, median time to cCCyR was 3.1 months in the 214 SPRYCEL group responders and 5.8 months in the 204 imatinib group responders. Median time to MMR after </w:t>
      </w:r>
      <w:r>
        <w:t>60</w:t>
      </w:r>
      <w:r w:rsidRPr="00265791">
        <w:t xml:space="preserve"> months follow-up was 9.</w:t>
      </w:r>
      <w:r>
        <w:t>3</w:t>
      </w:r>
      <w:r w:rsidRPr="00265791">
        <w:t xml:space="preserve"> months in the 196 SPRYCEL group responders and 15.0 months in the 163 imatinib group responders. The rates of cCCyR in the SPRYCEL and imatinib treatment groups, respectively, within 3 months (54% and 30%), 6 months (70% and 56%), 9 months (75% and 63%), 24 months (80% and 74%), 36 months (83% and 77%)</w:t>
      </w:r>
      <w:r>
        <w:t>,</w:t>
      </w:r>
      <w:r w:rsidRPr="00265791">
        <w:t xml:space="preserve"> 48 months (83% and 79%) </w:t>
      </w:r>
      <w:r>
        <w:t xml:space="preserve">and 60 months (83% and 79%) </w:t>
      </w:r>
      <w:r w:rsidRPr="00265791">
        <w:t>were consistent with the primary endpoint. The rates of MMR in the SPRYCEL and imatinib treatment groups, respectively, within 3 months (8% and 0.4%), 6 months (27% and 8%), 9 months (39% and 18%), 12 months (46% and 28%), 24 months (64% and 46%), 36 months (67% and 55%)</w:t>
      </w:r>
      <w:r>
        <w:t>,</w:t>
      </w:r>
      <w:r w:rsidRPr="00265791">
        <w:t xml:space="preserve"> 48 months (73% and 6</w:t>
      </w:r>
      <w:r w:rsidRPr="00C74D99">
        <w:t>0%) and 60 months (</w:t>
      </w:r>
      <w:r>
        <w:t xml:space="preserve">76% and 64%) </w:t>
      </w:r>
      <w:r w:rsidRPr="00C74D99">
        <w:t>were also consistent with the primary endpoint.</w:t>
      </w:r>
      <w:r>
        <w:t xml:space="preserve"> With a minimum of 60 months follow up, t</w:t>
      </w:r>
      <w:r w:rsidRPr="00C74D99">
        <w:t>he rate of CMR (i.e. at least 4.5-log re</w:t>
      </w:r>
      <w:r w:rsidRPr="00265791">
        <w:t xml:space="preserve">duction from a standardised baseline value BCR-ABL ratio ≤ 0.0032%) at any time was </w:t>
      </w:r>
      <w:r>
        <w:t>44</w:t>
      </w:r>
      <w:r w:rsidRPr="00265791">
        <w:t>% versus 3</w:t>
      </w:r>
      <w:r>
        <w:t>4</w:t>
      </w:r>
      <w:r w:rsidRPr="00265791">
        <w:t xml:space="preserve">% in the SPRYCEL and imatinib treatment groups, respectively. </w:t>
      </w:r>
    </w:p>
    <w:p w14:paraId="1D747AEE" w14:textId="0D415B73" w:rsidR="00F4383A" w:rsidRPr="00265791" w:rsidRDefault="00F4383A" w:rsidP="00F4383A">
      <w:r>
        <w:t>In an exploratory subgroup analysis the rate of MMR at any time in each risk group determined by Hasford score was higher in the SPRYCEL group compared with the imatinib group (low risk: 90% and 69%; intermediate risk: 71% and 65%; high risk: 67% and 54%, respectively).</w:t>
      </w:r>
    </w:p>
    <w:p w14:paraId="50D97C0B" w14:textId="61DB9E71" w:rsidR="00F4383A" w:rsidRPr="00265791" w:rsidRDefault="00F4383A" w:rsidP="00F4383A">
      <w:r w:rsidRPr="00265791">
        <w:t xml:space="preserve">In an exploratory analysis, more </w:t>
      </w:r>
      <w:r>
        <w:t>SPRYCEL</w:t>
      </w:r>
      <w:r w:rsidRPr="00265791">
        <w:t xml:space="preserve">-treated subjects (84%) achieved </w:t>
      </w:r>
      <w:r w:rsidRPr="00265791">
        <w:rPr>
          <w:rFonts w:eastAsia="TimesNewRoman"/>
        </w:rPr>
        <w:t xml:space="preserve">early molecular response (defined as BCR-ABL levels </w:t>
      </w:r>
      <w:r w:rsidRPr="00265791">
        <w:rPr>
          <w:rFonts w:eastAsia="TimesNewRoman"/>
        </w:rPr>
        <w:sym w:font="Symbol" w:char="F0A3"/>
      </w:r>
      <w:r w:rsidRPr="00265791">
        <w:rPr>
          <w:rFonts w:eastAsia="TimesNewRoman"/>
        </w:rPr>
        <w:t xml:space="preserve">10% at 3 months) </w:t>
      </w:r>
      <w:r w:rsidRPr="00265791">
        <w:t xml:space="preserve">compared with imatinib-treated subjects (64%). Subjects achieving </w:t>
      </w:r>
      <w:r w:rsidRPr="00265791">
        <w:rPr>
          <w:rFonts w:eastAsia="TimesNewRoman"/>
        </w:rPr>
        <w:t xml:space="preserve">early molecular response </w:t>
      </w:r>
      <w:r w:rsidRPr="00265791">
        <w:t>had a lower risk of transformation, higher rate of progression-free survival (PFS) and higher rate of overall survival (OS), as shown in Table</w:t>
      </w:r>
      <w:r>
        <w:t xml:space="preserve"> </w:t>
      </w:r>
      <w:r w:rsidR="00510F98">
        <w:t>9</w:t>
      </w:r>
      <w:r>
        <w:t xml:space="preserve"> and Table </w:t>
      </w:r>
      <w:r w:rsidR="00510F98">
        <w:t>10</w:t>
      </w:r>
      <w:r>
        <w:t>.</w:t>
      </w:r>
    </w:p>
    <w:p w14:paraId="0FE1C8ED" w14:textId="77777777" w:rsidR="00341A90" w:rsidRDefault="00341A90">
      <w:r>
        <w:rPr>
          <w:b/>
        </w:rPr>
        <w:br w:type="page"/>
      </w:r>
    </w:p>
    <w:tbl>
      <w:tblPr>
        <w:tblW w:w="9576" w:type="dxa"/>
        <w:tblBorders>
          <w:bottom w:val="double" w:sz="6" w:space="0" w:color="auto"/>
        </w:tblBorders>
        <w:tblLayout w:type="fixed"/>
        <w:tblLook w:val="0000" w:firstRow="0" w:lastRow="0" w:firstColumn="0" w:lastColumn="0" w:noHBand="0" w:noVBand="0"/>
      </w:tblPr>
      <w:tblGrid>
        <w:gridCol w:w="3618"/>
        <w:gridCol w:w="2970"/>
        <w:gridCol w:w="2409"/>
        <w:gridCol w:w="579"/>
      </w:tblGrid>
      <w:tr w:rsidR="00F4383A" w:rsidRPr="00C15DA2" w14:paraId="28D53D2B" w14:textId="77777777" w:rsidTr="00F75E7E">
        <w:trPr>
          <w:gridAfter w:val="1"/>
          <w:wAfter w:w="579" w:type="dxa"/>
        </w:trPr>
        <w:tc>
          <w:tcPr>
            <w:tcW w:w="8997" w:type="dxa"/>
            <w:gridSpan w:val="3"/>
            <w:tcBorders>
              <w:bottom w:val="double" w:sz="6" w:space="0" w:color="000000"/>
            </w:tcBorders>
            <w:shd w:val="clear" w:color="auto" w:fill="auto"/>
          </w:tcPr>
          <w:p w14:paraId="4278A16A" w14:textId="54486F33" w:rsidR="00F4383A" w:rsidRPr="00C15DA2" w:rsidRDefault="00F4383A" w:rsidP="00F75E7E">
            <w:pPr>
              <w:pStyle w:val="BMSTableTitle"/>
              <w:autoSpaceDE w:val="0"/>
              <w:rPr>
                <w:sz w:val="22"/>
                <w:szCs w:val="22"/>
                <w:lang w:val="en-GB"/>
              </w:rPr>
            </w:pPr>
            <w:r w:rsidRPr="00C15DA2">
              <w:rPr>
                <w:sz w:val="22"/>
                <w:szCs w:val="22"/>
                <w:lang w:val="en-GB"/>
              </w:rPr>
              <w:lastRenderedPageBreak/>
              <w:t xml:space="preserve">Table </w:t>
            </w:r>
            <w:r w:rsidR="00510F98">
              <w:rPr>
                <w:sz w:val="22"/>
                <w:szCs w:val="22"/>
                <w:lang w:val="en-GB"/>
              </w:rPr>
              <w:t>9</w:t>
            </w:r>
            <w:r w:rsidRPr="00C15DA2">
              <w:rPr>
                <w:sz w:val="22"/>
                <w:szCs w:val="22"/>
                <w:lang w:val="en-GB"/>
              </w:rPr>
              <w:t>:</w:t>
            </w:r>
            <w:r w:rsidRPr="00C15DA2">
              <w:rPr>
                <w:sz w:val="22"/>
                <w:szCs w:val="22"/>
                <w:lang w:val="en-GB"/>
              </w:rPr>
              <w:tab/>
              <w:t>SPRYCEL</w:t>
            </w:r>
            <w:r w:rsidRPr="00C15DA2">
              <w:rPr>
                <w:sz w:val="22"/>
                <w:szCs w:val="22"/>
              </w:rPr>
              <w:t>-treated</w:t>
            </w:r>
            <w:r w:rsidRPr="00C15DA2">
              <w:rPr>
                <w:sz w:val="22"/>
                <w:szCs w:val="22"/>
                <w:lang w:val="en-GB"/>
              </w:rPr>
              <w:t xml:space="preserve"> Subjects with BCR-ABL </w:t>
            </w:r>
            <w:r w:rsidRPr="00C15DA2">
              <w:rPr>
                <w:sz w:val="22"/>
                <w:szCs w:val="22"/>
                <w:lang w:val="en-GB"/>
              </w:rPr>
              <w:sym w:font="Symbol" w:char="F0A3"/>
            </w:r>
            <w:r w:rsidRPr="00C15DA2">
              <w:rPr>
                <w:sz w:val="22"/>
                <w:szCs w:val="22"/>
                <w:lang w:val="en-GB"/>
              </w:rPr>
              <w:t>10% and &gt;10% at 3 Months</w:t>
            </w:r>
          </w:p>
        </w:tc>
      </w:tr>
      <w:tr w:rsidR="00F4383A" w:rsidRPr="00265791" w14:paraId="4225D72D" w14:textId="77777777" w:rsidTr="00F75E7E">
        <w:tc>
          <w:tcPr>
            <w:tcW w:w="3618" w:type="dxa"/>
            <w:tcBorders>
              <w:top w:val="nil"/>
              <w:bottom w:val="single" w:sz="6" w:space="0" w:color="auto"/>
            </w:tcBorders>
            <w:shd w:val="clear" w:color="auto" w:fill="auto"/>
            <w:vAlign w:val="bottom"/>
          </w:tcPr>
          <w:p w14:paraId="17987669" w14:textId="77777777" w:rsidR="00F4383A" w:rsidRPr="00265791" w:rsidRDefault="00F4383A" w:rsidP="00F75E7E">
            <w:pPr>
              <w:pStyle w:val="BMSTableText"/>
              <w:jc w:val="left"/>
              <w:rPr>
                <w:b/>
              </w:rPr>
            </w:pPr>
            <w:r w:rsidRPr="00265791">
              <w:rPr>
                <w:b/>
              </w:rPr>
              <w:t>Dasatinib N = 235</w:t>
            </w:r>
          </w:p>
        </w:tc>
        <w:tc>
          <w:tcPr>
            <w:tcW w:w="2970" w:type="dxa"/>
            <w:tcBorders>
              <w:top w:val="nil"/>
              <w:bottom w:val="single" w:sz="6" w:space="0" w:color="auto"/>
            </w:tcBorders>
            <w:shd w:val="clear" w:color="auto" w:fill="auto"/>
            <w:vAlign w:val="bottom"/>
          </w:tcPr>
          <w:p w14:paraId="4F03612D" w14:textId="77777777" w:rsidR="00F4383A" w:rsidRPr="00265791" w:rsidRDefault="00F4383A" w:rsidP="00F75E7E">
            <w:pPr>
              <w:pStyle w:val="BMSTableText"/>
              <w:rPr>
                <w:b/>
              </w:rPr>
            </w:pPr>
            <w:r w:rsidRPr="00265791">
              <w:rPr>
                <w:b/>
              </w:rPr>
              <w:t>Subjects with BCR-ABL ≤10% at 3 Months</w:t>
            </w:r>
          </w:p>
        </w:tc>
        <w:tc>
          <w:tcPr>
            <w:tcW w:w="2988" w:type="dxa"/>
            <w:gridSpan w:val="2"/>
            <w:tcBorders>
              <w:top w:val="nil"/>
              <w:bottom w:val="single" w:sz="6" w:space="0" w:color="auto"/>
            </w:tcBorders>
            <w:shd w:val="clear" w:color="auto" w:fill="auto"/>
            <w:vAlign w:val="bottom"/>
          </w:tcPr>
          <w:p w14:paraId="4FB3DCAE" w14:textId="77777777" w:rsidR="00F4383A" w:rsidRPr="00265791" w:rsidRDefault="00F4383A" w:rsidP="00F75E7E">
            <w:pPr>
              <w:pStyle w:val="BMSTableText"/>
              <w:rPr>
                <w:b/>
              </w:rPr>
            </w:pPr>
            <w:r w:rsidRPr="00265791">
              <w:rPr>
                <w:b/>
              </w:rPr>
              <w:t>Subjects with BCR-ABL &gt;10% at 3 Months</w:t>
            </w:r>
          </w:p>
        </w:tc>
      </w:tr>
      <w:tr w:rsidR="00F4383A" w:rsidRPr="00265791" w14:paraId="15F9B517" w14:textId="77777777" w:rsidTr="00F75E7E">
        <w:tc>
          <w:tcPr>
            <w:tcW w:w="3618" w:type="dxa"/>
            <w:tcBorders>
              <w:top w:val="single" w:sz="6" w:space="0" w:color="auto"/>
            </w:tcBorders>
            <w:shd w:val="clear" w:color="auto" w:fill="auto"/>
          </w:tcPr>
          <w:p w14:paraId="40BCBCA1" w14:textId="77777777" w:rsidR="00F4383A" w:rsidRPr="00265791" w:rsidRDefault="00F4383A" w:rsidP="00F75E7E">
            <w:pPr>
              <w:pStyle w:val="BMSTableText"/>
              <w:jc w:val="left"/>
            </w:pPr>
            <w:r w:rsidRPr="00265791">
              <w:t>Number of Subjects (%)</w:t>
            </w:r>
          </w:p>
        </w:tc>
        <w:tc>
          <w:tcPr>
            <w:tcW w:w="2970" w:type="dxa"/>
            <w:tcBorders>
              <w:top w:val="single" w:sz="4" w:space="0" w:color="auto"/>
            </w:tcBorders>
            <w:shd w:val="clear" w:color="auto" w:fill="auto"/>
          </w:tcPr>
          <w:p w14:paraId="239D39D1" w14:textId="77777777" w:rsidR="00F4383A" w:rsidRPr="00265791" w:rsidRDefault="00F4383A" w:rsidP="00F75E7E">
            <w:pPr>
              <w:pStyle w:val="BMSTableText"/>
            </w:pPr>
            <w:r w:rsidRPr="00265791">
              <w:t>198 (84.3)</w:t>
            </w:r>
          </w:p>
        </w:tc>
        <w:tc>
          <w:tcPr>
            <w:tcW w:w="2988" w:type="dxa"/>
            <w:gridSpan w:val="2"/>
            <w:tcBorders>
              <w:top w:val="single" w:sz="4" w:space="0" w:color="auto"/>
            </w:tcBorders>
            <w:shd w:val="clear" w:color="auto" w:fill="auto"/>
          </w:tcPr>
          <w:p w14:paraId="61BFCBC8" w14:textId="77777777" w:rsidR="00F4383A" w:rsidRPr="00265791" w:rsidRDefault="00F4383A" w:rsidP="00F75E7E">
            <w:pPr>
              <w:pStyle w:val="BMSTableText"/>
            </w:pPr>
            <w:r w:rsidRPr="00265791">
              <w:t>37 (15.7)</w:t>
            </w:r>
          </w:p>
        </w:tc>
      </w:tr>
      <w:tr w:rsidR="00F4383A" w:rsidRPr="00265791" w14:paraId="1E6DCCBB" w14:textId="77777777" w:rsidTr="00F75E7E">
        <w:tc>
          <w:tcPr>
            <w:tcW w:w="3618" w:type="dxa"/>
            <w:shd w:val="clear" w:color="auto" w:fill="auto"/>
          </w:tcPr>
          <w:p w14:paraId="27A4E961" w14:textId="77777777" w:rsidR="00F4383A" w:rsidRPr="00265791" w:rsidRDefault="00F4383A" w:rsidP="00F75E7E">
            <w:pPr>
              <w:pStyle w:val="BMSTableText"/>
              <w:jc w:val="left"/>
            </w:pPr>
            <w:r w:rsidRPr="00265791">
              <w:t xml:space="preserve">Transformation at </w:t>
            </w:r>
            <w:r>
              <w:t>60</w:t>
            </w:r>
            <w:r w:rsidRPr="00265791">
              <w:t>-months, n/N (%)</w:t>
            </w:r>
          </w:p>
        </w:tc>
        <w:tc>
          <w:tcPr>
            <w:tcW w:w="2970" w:type="dxa"/>
            <w:shd w:val="clear" w:color="auto" w:fill="auto"/>
          </w:tcPr>
          <w:p w14:paraId="7C9A06A6" w14:textId="77777777" w:rsidR="00F4383A" w:rsidRPr="00265791" w:rsidRDefault="00F4383A" w:rsidP="00F75E7E">
            <w:pPr>
              <w:pStyle w:val="BMSTableText"/>
            </w:pPr>
            <w:r w:rsidRPr="00265791">
              <w:t>6/198 (3.0)</w:t>
            </w:r>
          </w:p>
        </w:tc>
        <w:tc>
          <w:tcPr>
            <w:tcW w:w="2988" w:type="dxa"/>
            <w:gridSpan w:val="2"/>
            <w:shd w:val="clear" w:color="auto" w:fill="auto"/>
          </w:tcPr>
          <w:p w14:paraId="3BFE1B65" w14:textId="77777777" w:rsidR="00F4383A" w:rsidRPr="00265791" w:rsidRDefault="00F4383A" w:rsidP="00F75E7E">
            <w:pPr>
              <w:pStyle w:val="BMSTableText"/>
            </w:pPr>
            <w:r w:rsidRPr="00265791">
              <w:t>5/37 (13.5)</w:t>
            </w:r>
          </w:p>
        </w:tc>
      </w:tr>
      <w:tr w:rsidR="00F4383A" w:rsidRPr="00265791" w14:paraId="03EB8682" w14:textId="77777777" w:rsidTr="00F75E7E">
        <w:tc>
          <w:tcPr>
            <w:tcW w:w="3618" w:type="dxa"/>
            <w:shd w:val="clear" w:color="auto" w:fill="auto"/>
          </w:tcPr>
          <w:p w14:paraId="7553F002" w14:textId="77777777" w:rsidR="00F4383A" w:rsidRPr="00265791" w:rsidRDefault="00F4383A" w:rsidP="00F75E7E">
            <w:pPr>
              <w:pStyle w:val="BMSTableText"/>
              <w:jc w:val="left"/>
            </w:pPr>
            <w:r w:rsidRPr="00265791">
              <w:t xml:space="preserve">Rate of PFS at </w:t>
            </w:r>
            <w:r>
              <w:t>60</w:t>
            </w:r>
            <w:r w:rsidRPr="00265791">
              <w:t xml:space="preserve"> Months (95% CI)</w:t>
            </w:r>
          </w:p>
        </w:tc>
        <w:tc>
          <w:tcPr>
            <w:tcW w:w="2970" w:type="dxa"/>
            <w:shd w:val="clear" w:color="auto" w:fill="auto"/>
          </w:tcPr>
          <w:p w14:paraId="302B60E8" w14:textId="77777777" w:rsidR="00F4383A" w:rsidRPr="00265791" w:rsidRDefault="00F4383A" w:rsidP="00F75E7E">
            <w:pPr>
              <w:pStyle w:val="BMSTableText"/>
            </w:pPr>
            <w:r w:rsidRPr="00265791">
              <w:t>9</w:t>
            </w:r>
            <w:r>
              <w:t>2.0</w:t>
            </w:r>
            <w:r w:rsidRPr="00265791">
              <w:t>% (89.6, 9</w:t>
            </w:r>
            <w:r>
              <w:t>5.2</w:t>
            </w:r>
            <w:r w:rsidRPr="00265791">
              <w:t>)</w:t>
            </w:r>
          </w:p>
        </w:tc>
        <w:tc>
          <w:tcPr>
            <w:tcW w:w="2988" w:type="dxa"/>
            <w:gridSpan w:val="2"/>
            <w:shd w:val="clear" w:color="auto" w:fill="auto"/>
          </w:tcPr>
          <w:p w14:paraId="0B317894" w14:textId="77777777" w:rsidR="00F4383A" w:rsidRPr="00265791" w:rsidRDefault="00F4383A" w:rsidP="00F75E7E">
            <w:pPr>
              <w:pStyle w:val="BMSTableText"/>
            </w:pPr>
            <w:r w:rsidRPr="00265791">
              <w:t>7</w:t>
            </w:r>
            <w:r>
              <w:t>3.8</w:t>
            </w:r>
            <w:r w:rsidRPr="00265791">
              <w:t>% (5</w:t>
            </w:r>
            <w:r>
              <w:t>2.0</w:t>
            </w:r>
            <w:r w:rsidRPr="00265791">
              <w:t xml:space="preserve">, </w:t>
            </w:r>
            <w:r>
              <w:t>86.8</w:t>
            </w:r>
            <w:r w:rsidRPr="00265791">
              <w:t>)</w:t>
            </w:r>
          </w:p>
        </w:tc>
      </w:tr>
      <w:tr w:rsidR="00F4383A" w:rsidRPr="00265791" w14:paraId="3D54E45E" w14:textId="77777777" w:rsidTr="00F75E7E">
        <w:tc>
          <w:tcPr>
            <w:tcW w:w="3618" w:type="dxa"/>
            <w:tcBorders>
              <w:bottom w:val="double" w:sz="6" w:space="0" w:color="auto"/>
            </w:tcBorders>
            <w:shd w:val="clear" w:color="auto" w:fill="auto"/>
          </w:tcPr>
          <w:p w14:paraId="7D93DA4D" w14:textId="77777777" w:rsidR="00F4383A" w:rsidRPr="00265791" w:rsidRDefault="00F4383A" w:rsidP="00F75E7E">
            <w:pPr>
              <w:pStyle w:val="BMSTableText"/>
              <w:jc w:val="left"/>
            </w:pPr>
            <w:r w:rsidRPr="00265791">
              <w:t xml:space="preserve">Rate of OS at </w:t>
            </w:r>
            <w:r>
              <w:t>60</w:t>
            </w:r>
            <w:r w:rsidRPr="00265791">
              <w:t xml:space="preserve"> Months (95% CI)</w:t>
            </w:r>
          </w:p>
        </w:tc>
        <w:tc>
          <w:tcPr>
            <w:tcW w:w="2970" w:type="dxa"/>
            <w:tcBorders>
              <w:bottom w:val="double" w:sz="6" w:space="0" w:color="auto"/>
            </w:tcBorders>
            <w:shd w:val="clear" w:color="auto" w:fill="auto"/>
          </w:tcPr>
          <w:p w14:paraId="2C2ABB34" w14:textId="77777777" w:rsidR="00F4383A" w:rsidRPr="00265791" w:rsidRDefault="00F4383A" w:rsidP="00F75E7E">
            <w:pPr>
              <w:pStyle w:val="BMSTableText"/>
            </w:pPr>
            <w:r>
              <w:t>93.8</w:t>
            </w:r>
            <w:r w:rsidRPr="00265791">
              <w:t>% (</w:t>
            </w:r>
            <w:r>
              <w:t>89.3</w:t>
            </w:r>
            <w:r w:rsidRPr="00265791">
              <w:t>, 9</w:t>
            </w:r>
            <w:r>
              <w:t>6.4</w:t>
            </w:r>
            <w:r w:rsidRPr="00265791">
              <w:t>)</w:t>
            </w:r>
          </w:p>
        </w:tc>
        <w:tc>
          <w:tcPr>
            <w:tcW w:w="2988" w:type="dxa"/>
            <w:gridSpan w:val="2"/>
            <w:tcBorders>
              <w:bottom w:val="double" w:sz="6" w:space="0" w:color="auto"/>
            </w:tcBorders>
            <w:shd w:val="clear" w:color="auto" w:fill="auto"/>
          </w:tcPr>
          <w:p w14:paraId="7E5C7DD9" w14:textId="77777777" w:rsidR="00F4383A" w:rsidRPr="00265791" w:rsidRDefault="00F4383A" w:rsidP="00F75E7E">
            <w:pPr>
              <w:pStyle w:val="BMSTableText"/>
            </w:pPr>
            <w:r w:rsidRPr="00265791">
              <w:t>8</w:t>
            </w:r>
            <w:r>
              <w:t>0.6</w:t>
            </w:r>
            <w:r w:rsidRPr="00265791">
              <w:t>% (</w:t>
            </w:r>
            <w:r>
              <w:t>63.5</w:t>
            </w:r>
            <w:r w:rsidRPr="00265791">
              <w:t>, 9</w:t>
            </w:r>
            <w:r>
              <w:t>0.2</w:t>
            </w:r>
            <w:r w:rsidRPr="00265791">
              <w:t>)</w:t>
            </w:r>
          </w:p>
        </w:tc>
      </w:tr>
    </w:tbl>
    <w:p w14:paraId="7CC9D1C5" w14:textId="77777777" w:rsidR="00F4383A" w:rsidRDefault="00F4383A" w:rsidP="00F4383A">
      <w:pPr>
        <w:pStyle w:val="EMEABodyText"/>
        <w:jc w:val="both"/>
        <w:rPr>
          <w:sz w:val="24"/>
        </w:rPr>
      </w:pPr>
    </w:p>
    <w:tbl>
      <w:tblPr>
        <w:tblW w:w="9576" w:type="dxa"/>
        <w:tblBorders>
          <w:bottom w:val="double" w:sz="6" w:space="0" w:color="auto"/>
        </w:tblBorders>
        <w:tblLayout w:type="fixed"/>
        <w:tblLook w:val="0000" w:firstRow="0" w:lastRow="0" w:firstColumn="0" w:lastColumn="0" w:noHBand="0" w:noVBand="0"/>
      </w:tblPr>
      <w:tblGrid>
        <w:gridCol w:w="3618"/>
        <w:gridCol w:w="2970"/>
        <w:gridCol w:w="2409"/>
        <w:gridCol w:w="579"/>
      </w:tblGrid>
      <w:tr w:rsidR="00F4383A" w:rsidRPr="00265791" w14:paraId="3350538D" w14:textId="77777777" w:rsidTr="00F75E7E">
        <w:trPr>
          <w:gridAfter w:val="1"/>
          <w:wAfter w:w="579" w:type="dxa"/>
        </w:trPr>
        <w:tc>
          <w:tcPr>
            <w:tcW w:w="8997" w:type="dxa"/>
            <w:gridSpan w:val="3"/>
            <w:tcBorders>
              <w:bottom w:val="double" w:sz="6" w:space="0" w:color="000000"/>
            </w:tcBorders>
            <w:shd w:val="clear" w:color="auto" w:fill="auto"/>
          </w:tcPr>
          <w:p w14:paraId="65817AC9" w14:textId="18CB787A" w:rsidR="00F4383A" w:rsidRPr="00265791" w:rsidRDefault="00F4383A" w:rsidP="00F75E7E">
            <w:pPr>
              <w:pStyle w:val="BMSTableTitle"/>
              <w:autoSpaceDE w:val="0"/>
              <w:rPr>
                <w:sz w:val="22"/>
                <w:szCs w:val="22"/>
                <w:lang w:val="en-GB"/>
              </w:rPr>
            </w:pPr>
            <w:r w:rsidRPr="00265791">
              <w:rPr>
                <w:sz w:val="22"/>
                <w:szCs w:val="22"/>
                <w:lang w:val="en-GB"/>
              </w:rPr>
              <w:t>T</w:t>
            </w:r>
            <w:r>
              <w:rPr>
                <w:sz w:val="22"/>
                <w:szCs w:val="22"/>
                <w:lang w:val="en-GB"/>
              </w:rPr>
              <w:t xml:space="preserve">able </w:t>
            </w:r>
            <w:r w:rsidR="00510F98">
              <w:rPr>
                <w:sz w:val="22"/>
                <w:szCs w:val="22"/>
                <w:lang w:val="en-GB"/>
              </w:rPr>
              <w:t>10</w:t>
            </w:r>
            <w:r w:rsidRPr="00265791">
              <w:rPr>
                <w:sz w:val="22"/>
                <w:szCs w:val="22"/>
                <w:lang w:val="en-GB"/>
              </w:rPr>
              <w:t>:</w:t>
            </w:r>
            <w:r w:rsidRPr="00265791">
              <w:rPr>
                <w:sz w:val="22"/>
                <w:szCs w:val="22"/>
                <w:lang w:val="en-GB"/>
              </w:rPr>
              <w:tab/>
            </w:r>
            <w:r>
              <w:rPr>
                <w:sz w:val="22"/>
                <w:szCs w:val="22"/>
                <w:lang w:val="en-GB"/>
              </w:rPr>
              <w:t>Imatinib</w:t>
            </w:r>
            <w:r>
              <w:t>-treated</w:t>
            </w:r>
            <w:r w:rsidRPr="00265791">
              <w:rPr>
                <w:sz w:val="22"/>
                <w:szCs w:val="22"/>
                <w:lang w:val="en-GB"/>
              </w:rPr>
              <w:t xml:space="preserve"> Subjects with BCR-ABL </w:t>
            </w:r>
            <w:r w:rsidRPr="00265791">
              <w:rPr>
                <w:sz w:val="22"/>
                <w:szCs w:val="22"/>
                <w:lang w:val="en-GB"/>
              </w:rPr>
              <w:sym w:font="Symbol" w:char="F0A3"/>
            </w:r>
            <w:r w:rsidRPr="00265791">
              <w:rPr>
                <w:sz w:val="22"/>
                <w:szCs w:val="22"/>
                <w:lang w:val="en-GB"/>
              </w:rPr>
              <w:t>10% and &gt;10% at 3 Months</w:t>
            </w:r>
          </w:p>
        </w:tc>
      </w:tr>
      <w:tr w:rsidR="00F4383A" w:rsidRPr="00265791" w14:paraId="3D61871C" w14:textId="77777777" w:rsidTr="00F75E7E">
        <w:tc>
          <w:tcPr>
            <w:tcW w:w="3618" w:type="dxa"/>
            <w:tcBorders>
              <w:top w:val="nil"/>
              <w:bottom w:val="single" w:sz="6" w:space="0" w:color="auto"/>
            </w:tcBorders>
            <w:shd w:val="clear" w:color="auto" w:fill="auto"/>
            <w:vAlign w:val="bottom"/>
          </w:tcPr>
          <w:p w14:paraId="2BA21C98" w14:textId="77777777" w:rsidR="00F4383A" w:rsidRPr="00265791" w:rsidRDefault="00F4383A" w:rsidP="00F75E7E">
            <w:pPr>
              <w:pStyle w:val="BMSTableText"/>
              <w:jc w:val="left"/>
              <w:rPr>
                <w:b/>
              </w:rPr>
            </w:pPr>
            <w:r>
              <w:rPr>
                <w:b/>
              </w:rPr>
              <w:t>Imatinib (n</w:t>
            </w:r>
            <w:r w:rsidRPr="00265791">
              <w:rPr>
                <w:b/>
              </w:rPr>
              <w:t xml:space="preserve"> = 23</w:t>
            </w:r>
            <w:r>
              <w:rPr>
                <w:b/>
              </w:rPr>
              <w:t>9)</w:t>
            </w:r>
          </w:p>
        </w:tc>
        <w:tc>
          <w:tcPr>
            <w:tcW w:w="2970" w:type="dxa"/>
            <w:tcBorders>
              <w:top w:val="nil"/>
              <w:bottom w:val="single" w:sz="6" w:space="0" w:color="auto"/>
            </w:tcBorders>
            <w:shd w:val="clear" w:color="auto" w:fill="auto"/>
            <w:vAlign w:val="bottom"/>
          </w:tcPr>
          <w:p w14:paraId="052FBAEE" w14:textId="77777777" w:rsidR="00F4383A" w:rsidRPr="00265791" w:rsidRDefault="00F4383A" w:rsidP="00F75E7E">
            <w:pPr>
              <w:pStyle w:val="BMSTableText"/>
              <w:rPr>
                <w:b/>
              </w:rPr>
            </w:pPr>
            <w:r w:rsidRPr="00265791">
              <w:rPr>
                <w:b/>
              </w:rPr>
              <w:t>Subjects with BCR-ABL ≤10% at 3 Months</w:t>
            </w:r>
          </w:p>
        </w:tc>
        <w:tc>
          <w:tcPr>
            <w:tcW w:w="2988" w:type="dxa"/>
            <w:gridSpan w:val="2"/>
            <w:tcBorders>
              <w:top w:val="nil"/>
              <w:bottom w:val="single" w:sz="6" w:space="0" w:color="auto"/>
            </w:tcBorders>
            <w:shd w:val="clear" w:color="auto" w:fill="auto"/>
            <w:vAlign w:val="bottom"/>
          </w:tcPr>
          <w:p w14:paraId="1322E96C" w14:textId="77777777" w:rsidR="00F4383A" w:rsidRPr="00265791" w:rsidRDefault="00F4383A" w:rsidP="00F75E7E">
            <w:pPr>
              <w:pStyle w:val="BMSTableText"/>
              <w:rPr>
                <w:b/>
              </w:rPr>
            </w:pPr>
            <w:r w:rsidRPr="00265791">
              <w:rPr>
                <w:b/>
              </w:rPr>
              <w:t>Subjects with BCR-ABL &gt;10% at 3 Months</w:t>
            </w:r>
          </w:p>
        </w:tc>
      </w:tr>
      <w:tr w:rsidR="00F4383A" w:rsidRPr="00265791" w14:paraId="27479955" w14:textId="77777777" w:rsidTr="00F75E7E">
        <w:tc>
          <w:tcPr>
            <w:tcW w:w="3618" w:type="dxa"/>
            <w:tcBorders>
              <w:top w:val="single" w:sz="6" w:space="0" w:color="auto"/>
            </w:tcBorders>
            <w:shd w:val="clear" w:color="auto" w:fill="auto"/>
          </w:tcPr>
          <w:p w14:paraId="618923D2" w14:textId="77777777" w:rsidR="00F4383A" w:rsidRPr="00265791" w:rsidRDefault="00F4383A" w:rsidP="00F75E7E">
            <w:pPr>
              <w:pStyle w:val="BMSTableText"/>
              <w:jc w:val="left"/>
            </w:pPr>
            <w:r w:rsidRPr="00265791">
              <w:t>Number of Subjects (%)</w:t>
            </w:r>
          </w:p>
        </w:tc>
        <w:tc>
          <w:tcPr>
            <w:tcW w:w="2970" w:type="dxa"/>
            <w:tcBorders>
              <w:top w:val="single" w:sz="4" w:space="0" w:color="auto"/>
            </w:tcBorders>
            <w:shd w:val="clear" w:color="auto" w:fill="auto"/>
          </w:tcPr>
          <w:p w14:paraId="653029A5" w14:textId="77777777" w:rsidR="00F4383A" w:rsidRPr="00265791" w:rsidRDefault="00F4383A" w:rsidP="00F75E7E">
            <w:pPr>
              <w:pStyle w:val="BMSTableText"/>
            </w:pPr>
            <w:r>
              <w:t>154 (64.4)</w:t>
            </w:r>
          </w:p>
        </w:tc>
        <w:tc>
          <w:tcPr>
            <w:tcW w:w="2988" w:type="dxa"/>
            <w:gridSpan w:val="2"/>
            <w:tcBorders>
              <w:top w:val="single" w:sz="4" w:space="0" w:color="auto"/>
            </w:tcBorders>
            <w:shd w:val="clear" w:color="auto" w:fill="auto"/>
          </w:tcPr>
          <w:p w14:paraId="03BA9089" w14:textId="77777777" w:rsidR="00F4383A" w:rsidRPr="00265791" w:rsidRDefault="00F4383A" w:rsidP="00F75E7E">
            <w:pPr>
              <w:pStyle w:val="BMSTableText"/>
            </w:pPr>
            <w:r>
              <w:t>85 (35.6)</w:t>
            </w:r>
          </w:p>
        </w:tc>
      </w:tr>
      <w:tr w:rsidR="00F4383A" w:rsidRPr="00265791" w14:paraId="48418B01" w14:textId="77777777" w:rsidTr="00F75E7E">
        <w:tc>
          <w:tcPr>
            <w:tcW w:w="3618" w:type="dxa"/>
            <w:shd w:val="clear" w:color="auto" w:fill="auto"/>
          </w:tcPr>
          <w:p w14:paraId="00D22940" w14:textId="77777777" w:rsidR="00F4383A" w:rsidRPr="00265791" w:rsidRDefault="00F4383A" w:rsidP="00F75E7E">
            <w:pPr>
              <w:pStyle w:val="BMSTableText"/>
              <w:jc w:val="left"/>
            </w:pPr>
            <w:r w:rsidRPr="00265791">
              <w:t xml:space="preserve">Transformation at </w:t>
            </w:r>
            <w:r>
              <w:t>60</w:t>
            </w:r>
            <w:r w:rsidRPr="00265791">
              <w:t>-months, n/N (%)</w:t>
            </w:r>
          </w:p>
        </w:tc>
        <w:tc>
          <w:tcPr>
            <w:tcW w:w="2970" w:type="dxa"/>
            <w:shd w:val="clear" w:color="auto" w:fill="auto"/>
          </w:tcPr>
          <w:p w14:paraId="198527C9" w14:textId="77777777" w:rsidR="00F4383A" w:rsidRPr="00265791" w:rsidRDefault="00F4383A" w:rsidP="00F75E7E">
            <w:pPr>
              <w:pStyle w:val="BMSTableText"/>
            </w:pPr>
            <w:r>
              <w:t>5/154 (3.2)</w:t>
            </w:r>
          </w:p>
        </w:tc>
        <w:tc>
          <w:tcPr>
            <w:tcW w:w="2988" w:type="dxa"/>
            <w:gridSpan w:val="2"/>
            <w:shd w:val="clear" w:color="auto" w:fill="auto"/>
          </w:tcPr>
          <w:p w14:paraId="245411F4" w14:textId="77777777" w:rsidR="00F4383A" w:rsidRPr="00265791" w:rsidRDefault="00F4383A" w:rsidP="00F75E7E">
            <w:pPr>
              <w:pStyle w:val="BMSTableText"/>
            </w:pPr>
            <w:r>
              <w:t>13/85 (15.3)</w:t>
            </w:r>
          </w:p>
        </w:tc>
      </w:tr>
      <w:tr w:rsidR="00F4383A" w:rsidRPr="00265791" w14:paraId="2FF42F3C" w14:textId="77777777" w:rsidTr="00F75E7E">
        <w:tc>
          <w:tcPr>
            <w:tcW w:w="3618" w:type="dxa"/>
            <w:shd w:val="clear" w:color="auto" w:fill="auto"/>
          </w:tcPr>
          <w:p w14:paraId="157E80E4" w14:textId="77777777" w:rsidR="00F4383A" w:rsidRPr="00265791" w:rsidRDefault="00F4383A" w:rsidP="00F75E7E">
            <w:pPr>
              <w:pStyle w:val="BMSTableText"/>
              <w:jc w:val="left"/>
            </w:pPr>
            <w:r w:rsidRPr="00265791">
              <w:t xml:space="preserve">Rate of PFS at </w:t>
            </w:r>
            <w:r>
              <w:t>60</w:t>
            </w:r>
            <w:r w:rsidRPr="00265791">
              <w:t xml:space="preserve"> Months (95% CI)</w:t>
            </w:r>
          </w:p>
        </w:tc>
        <w:tc>
          <w:tcPr>
            <w:tcW w:w="2970" w:type="dxa"/>
            <w:shd w:val="clear" w:color="auto" w:fill="auto"/>
          </w:tcPr>
          <w:p w14:paraId="31236C9E" w14:textId="77777777" w:rsidR="00F4383A" w:rsidRPr="00265791" w:rsidRDefault="00F4383A" w:rsidP="00F75E7E">
            <w:pPr>
              <w:pStyle w:val="BMSTableText"/>
            </w:pPr>
            <w:r>
              <w:t>93.5% (87.8, 96.6)</w:t>
            </w:r>
          </w:p>
        </w:tc>
        <w:tc>
          <w:tcPr>
            <w:tcW w:w="2988" w:type="dxa"/>
            <w:gridSpan w:val="2"/>
            <w:shd w:val="clear" w:color="auto" w:fill="auto"/>
          </w:tcPr>
          <w:p w14:paraId="370AAF4F" w14:textId="77777777" w:rsidR="00F4383A" w:rsidRPr="00265791" w:rsidRDefault="00F4383A" w:rsidP="00F75E7E">
            <w:pPr>
              <w:pStyle w:val="BMSTableText"/>
            </w:pPr>
            <w:r>
              <w:t>79.3% (67.3, 87.3)</w:t>
            </w:r>
          </w:p>
        </w:tc>
      </w:tr>
      <w:tr w:rsidR="00F4383A" w:rsidRPr="00265791" w14:paraId="2FE7FB5E" w14:textId="77777777" w:rsidTr="00F75E7E">
        <w:tc>
          <w:tcPr>
            <w:tcW w:w="3618" w:type="dxa"/>
            <w:tcBorders>
              <w:bottom w:val="double" w:sz="6" w:space="0" w:color="auto"/>
            </w:tcBorders>
            <w:shd w:val="clear" w:color="auto" w:fill="auto"/>
          </w:tcPr>
          <w:p w14:paraId="45C4D9DA" w14:textId="77777777" w:rsidR="00F4383A" w:rsidRPr="00265791" w:rsidRDefault="00F4383A" w:rsidP="00F75E7E">
            <w:pPr>
              <w:pStyle w:val="BMSTableText"/>
              <w:jc w:val="left"/>
            </w:pPr>
            <w:r w:rsidRPr="00265791">
              <w:t xml:space="preserve">Rate of OS at </w:t>
            </w:r>
            <w:r>
              <w:t>60</w:t>
            </w:r>
            <w:r w:rsidRPr="00265791">
              <w:t xml:space="preserve"> Months (95% CI)</w:t>
            </w:r>
          </w:p>
        </w:tc>
        <w:tc>
          <w:tcPr>
            <w:tcW w:w="2970" w:type="dxa"/>
            <w:tcBorders>
              <w:bottom w:val="double" w:sz="6" w:space="0" w:color="auto"/>
            </w:tcBorders>
            <w:shd w:val="clear" w:color="auto" w:fill="auto"/>
          </w:tcPr>
          <w:p w14:paraId="2BE65DDB" w14:textId="77777777" w:rsidR="00F4383A" w:rsidRPr="00265791" w:rsidRDefault="00F4383A" w:rsidP="00F75E7E">
            <w:pPr>
              <w:pStyle w:val="BMSTableText"/>
            </w:pPr>
            <w:r>
              <w:t>95.4% (90.5, 97.8)</w:t>
            </w:r>
          </w:p>
        </w:tc>
        <w:tc>
          <w:tcPr>
            <w:tcW w:w="2988" w:type="dxa"/>
            <w:gridSpan w:val="2"/>
            <w:tcBorders>
              <w:bottom w:val="double" w:sz="6" w:space="0" w:color="auto"/>
            </w:tcBorders>
            <w:shd w:val="clear" w:color="auto" w:fill="auto"/>
          </w:tcPr>
          <w:p w14:paraId="3FAB7659" w14:textId="77777777" w:rsidR="00F4383A" w:rsidRPr="00265791" w:rsidRDefault="00F4383A" w:rsidP="00F75E7E">
            <w:pPr>
              <w:pStyle w:val="BMSTableText"/>
            </w:pPr>
            <w:r>
              <w:t>80.5% (70.1, 87.6)</w:t>
            </w:r>
          </w:p>
        </w:tc>
      </w:tr>
    </w:tbl>
    <w:p w14:paraId="71A3001D" w14:textId="77777777" w:rsidR="00F4383A" w:rsidRDefault="00F4383A" w:rsidP="00F4383A">
      <w:pPr>
        <w:pStyle w:val="EMEABodyText"/>
        <w:jc w:val="both"/>
        <w:rPr>
          <w:sz w:val="24"/>
        </w:rPr>
      </w:pPr>
    </w:p>
    <w:p w14:paraId="154856DE" w14:textId="48B058CE" w:rsidR="00F4383A" w:rsidRPr="00C15DA2" w:rsidRDefault="00F4383A" w:rsidP="00C15DA2">
      <w:r w:rsidRPr="00C15DA2">
        <w:t xml:space="preserve">The progression-free survival rate by specific timepoint is displayed graphically in Figure 1. Rate of PFS was consistently higher in SPRYCEL-treated patients who achieved BCR-ABL level </w:t>
      </w:r>
      <w:r w:rsidRPr="00C15DA2">
        <w:rPr>
          <w:noProof/>
        </w:rPr>
        <w:t>≤</w:t>
      </w:r>
      <w:r w:rsidRPr="00C15DA2">
        <w:t xml:space="preserve">10 percent at 3 months than those who did not. </w:t>
      </w:r>
    </w:p>
    <w:p w14:paraId="13393FB8" w14:textId="1B661FF6" w:rsidR="00F4383A" w:rsidRPr="00C15DA2" w:rsidRDefault="00F4383A" w:rsidP="00F4383A">
      <w:pPr>
        <w:pStyle w:val="EMEABodyText"/>
        <w:jc w:val="both"/>
        <w:rPr>
          <w:szCs w:val="22"/>
        </w:rPr>
      </w:pPr>
    </w:p>
    <w:p w14:paraId="164E2ABF" w14:textId="2A5D61E0" w:rsidR="00F4383A" w:rsidRPr="00C15DA2" w:rsidRDefault="00F4383A" w:rsidP="00F4383A">
      <w:pPr>
        <w:pStyle w:val="BMSFigureCaption"/>
        <w:tabs>
          <w:tab w:val="clear" w:pos="2160"/>
          <w:tab w:val="left" w:pos="1134"/>
        </w:tabs>
        <w:ind w:left="1134" w:hanging="1134"/>
        <w:rPr>
          <w:sz w:val="22"/>
          <w:szCs w:val="22"/>
        </w:rPr>
      </w:pPr>
      <w:r w:rsidRPr="00C15DA2">
        <w:rPr>
          <w:sz w:val="22"/>
          <w:szCs w:val="22"/>
        </w:rPr>
        <w:lastRenderedPageBreak/>
        <w:t>Figure 1:</w:t>
      </w:r>
      <w:r w:rsidRPr="00C15DA2">
        <w:rPr>
          <w:sz w:val="22"/>
          <w:szCs w:val="22"/>
        </w:rPr>
        <w:tab/>
        <w:t>Landmark Plot for Progression-free Survival for SPRYCEL by BCR</w:t>
      </w:r>
      <w:r w:rsidRPr="00C15DA2">
        <w:rPr>
          <w:sz w:val="22"/>
          <w:szCs w:val="22"/>
        </w:rPr>
        <w:noBreakHyphen/>
        <w:t>ABL Level (</w:t>
      </w:r>
      <w:r w:rsidRPr="00C15DA2">
        <w:rPr>
          <w:sz w:val="22"/>
          <w:szCs w:val="22"/>
        </w:rPr>
        <w:sym w:font="Symbol" w:char="F0A3"/>
      </w:r>
      <w:r w:rsidRPr="00C15DA2">
        <w:rPr>
          <w:sz w:val="22"/>
          <w:szCs w:val="22"/>
        </w:rPr>
        <w:t xml:space="preserve">10% or </w:t>
      </w:r>
      <w:r w:rsidRPr="00C15DA2">
        <w:rPr>
          <w:sz w:val="22"/>
          <w:szCs w:val="22"/>
        </w:rPr>
        <w:sym w:font="Symbol" w:char="F03E"/>
      </w:r>
      <w:r w:rsidRPr="00C15DA2">
        <w:rPr>
          <w:sz w:val="22"/>
          <w:szCs w:val="22"/>
        </w:rPr>
        <w:sym w:font="Symbol" w:char="F031"/>
      </w:r>
      <w:r w:rsidRPr="00C15DA2">
        <w:rPr>
          <w:sz w:val="22"/>
          <w:szCs w:val="22"/>
        </w:rPr>
        <w:sym w:font="Symbol" w:char="F030"/>
      </w:r>
      <w:r w:rsidRPr="00C15DA2">
        <w:rPr>
          <w:sz w:val="22"/>
          <w:szCs w:val="22"/>
        </w:rPr>
        <w:sym w:font="Symbol" w:char="F025"/>
      </w:r>
      <w:r w:rsidRPr="00C15DA2">
        <w:rPr>
          <w:sz w:val="22"/>
          <w:szCs w:val="22"/>
        </w:rPr>
        <w:sym w:font="Symbol" w:char="F029"/>
      </w:r>
      <w:r w:rsidRPr="00C15DA2">
        <w:rPr>
          <w:sz w:val="22"/>
          <w:szCs w:val="22"/>
        </w:rPr>
        <w:sym w:font="Symbol" w:char="F020"/>
      </w:r>
      <w:r w:rsidRPr="00C15DA2">
        <w:rPr>
          <w:sz w:val="22"/>
          <w:szCs w:val="22"/>
        </w:rPr>
        <w:t xml:space="preserve">at 3 Months in a Phase III Study of Newly Diagnosed Patients with Chronic Phase CML </w:t>
      </w:r>
    </w:p>
    <w:p w14:paraId="4FCA9E01" w14:textId="530C01E8" w:rsidR="00F4383A" w:rsidRDefault="00F4383A" w:rsidP="00F4383A">
      <w:pPr>
        <w:pStyle w:val="EMEABodyText"/>
        <w:keepNext/>
      </w:pPr>
      <w:bookmarkStart w:id="3" w:name="BMS_FGR_Figure3352_LandmarkPlotforOSfo"/>
      <w:bookmarkStart w:id="4" w:name="BMS_FGR_Figure6_6"/>
      <w:bookmarkStart w:id="5" w:name="BMS_FGR_Figure3363A_LandmarkPlotforOSf"/>
      <w:bookmarkStart w:id="6" w:name="BMS_FGR_Figure31263_LandmarkPlotforOSf"/>
      <w:bookmarkStart w:id="7" w:name="Figure31263_LandmarkPlotforOSf"/>
    </w:p>
    <w:p w14:paraId="2B1C642E" w14:textId="01346B7B" w:rsidR="00F4383A" w:rsidRPr="00B46D28" w:rsidRDefault="00F4383A" w:rsidP="00F4383A">
      <w:pPr>
        <w:pStyle w:val="EMEABodyText"/>
        <w:rPr>
          <w:sz w:val="18"/>
          <w:szCs w:val="18"/>
          <w:lang w:val="fr-BE"/>
        </w:rPr>
      </w:pPr>
      <w:r>
        <w:rPr>
          <w:noProof/>
          <w:lang w:val="en-AU" w:eastAsia="en-AU"/>
        </w:rPr>
        <mc:AlternateContent>
          <mc:Choice Requires="wps">
            <w:drawing>
              <wp:anchor distT="0" distB="0" distL="114300" distR="114300" simplePos="0" relativeHeight="251660288" behindDoc="0" locked="0" layoutInCell="1" allowOverlap="1" wp14:anchorId="3DDEC561" wp14:editId="643741F7">
                <wp:simplePos x="0" y="0"/>
                <wp:positionH relativeFrom="column">
                  <wp:posOffset>0</wp:posOffset>
                </wp:positionH>
                <wp:positionV relativeFrom="paragraph">
                  <wp:posOffset>511175</wp:posOffset>
                </wp:positionV>
                <wp:extent cx="318135" cy="1663700"/>
                <wp:effectExtent l="0" t="0" r="0" b="381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66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5DD47" w14:textId="77777777" w:rsidR="00CB6CB4" w:rsidRPr="00790C23" w:rsidRDefault="00CB6CB4" w:rsidP="00F4383A">
                            <w:pPr>
                              <w:rPr>
                                <w:b/>
                                <w:color w:val="000000"/>
                                <w:sz w:val="18"/>
                                <w:szCs w:val="18"/>
                              </w:rPr>
                            </w:pPr>
                            <w:r w:rsidRPr="00790C23">
                              <w:rPr>
                                <w:b/>
                                <w:color w:val="000000"/>
                                <w:sz w:val="18"/>
                                <w:szCs w:val="18"/>
                              </w:rPr>
                              <w:t>PROPORTION RESPONDERS</w:t>
                            </w:r>
                          </w:p>
                        </w:txbxContent>
                      </wps:txbx>
                      <wps:bodyPr rot="0" vert="vert270"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EC561" id="_x0000_t202" coordsize="21600,21600" o:spt="202" path="m,l,21600r21600,l21600,xe">
                <v:stroke joinstyle="miter"/>
                <v:path gradientshapeok="t" o:connecttype="rect"/>
              </v:shapetype>
              <v:shape id="Text Box 11" o:spid="_x0000_s1026" type="#_x0000_t202" style="position:absolute;margin-left:0;margin-top:40.25pt;width:25.05pt;height:13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" stroked="f">
                <v:textbox style="layout-flow:vertical;mso-layout-flow-alt:bottom-to-top;mso-fit-shape-to-text:t">
                  <w:txbxContent>
                    <w:p w14:paraId="7D05DD47" w14:textId="77777777" w:rsidR="00CB6CB4" w:rsidRPr="00790C23" w:rsidRDefault="00CB6CB4" w:rsidP="00F4383A">
                      <w:pPr>
                        <w:rPr>
                          <w:b/>
                          <w:color w:val="000000"/>
                          <w:sz w:val="18"/>
                          <w:szCs w:val="18"/>
                        </w:rPr>
                      </w:pPr>
                      <w:r w:rsidRPr="00790C23">
                        <w:rPr>
                          <w:b/>
                          <w:color w:val="000000"/>
                          <w:sz w:val="18"/>
                          <w:szCs w:val="18"/>
                        </w:rPr>
                        <w:t>PROPORTION RESPONDERS</w:t>
                      </w:r>
                    </w:p>
                  </w:txbxContent>
                </v:textbox>
                <w10:wrap type="square"/>
              </v:shape>
            </w:pict>
          </mc:Fallback>
        </mc:AlternateContent>
      </w:r>
      <w:r w:rsidRPr="0012104B">
        <w:rPr>
          <w:noProof/>
          <w:color w:val="0000FF"/>
          <w:lang w:val="en-AU" w:eastAsia="en-AU"/>
        </w:rPr>
        <w:drawing>
          <wp:inline distT="0" distB="0" distL="0" distR="0" wp14:anchorId="0B5EF152" wp14:editId="4CE82F5B">
            <wp:extent cx="5105400" cy="3419475"/>
            <wp:effectExtent l="0" t="0" r="9525" b="0"/>
            <wp:docPr id="9" name="Picture 9" descr="bcrabl_pfsPROGFLG_Dasatinib_3m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crabl_pfsPROGFLG_Dasatinib_3mth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5400" cy="3419475"/>
                    </a:xfrm>
                    <a:prstGeom prst="rect">
                      <a:avLst/>
                    </a:prstGeom>
                    <a:noFill/>
                    <a:ln>
                      <a:noFill/>
                    </a:ln>
                  </pic:spPr>
                </pic:pic>
              </a:graphicData>
            </a:graphic>
          </wp:inline>
        </w:drawing>
      </w:r>
    </w:p>
    <w:p w14:paraId="7B3C0E0D" w14:textId="77777777" w:rsidR="00F4383A" w:rsidRPr="0012104B" w:rsidRDefault="00F4383A" w:rsidP="00F4383A">
      <w:pPr>
        <w:pStyle w:val="EMEABodyText"/>
        <w:jc w:val="both"/>
        <w:rPr>
          <w:noProof/>
        </w:rPr>
      </w:pPr>
    </w:p>
    <w:p w14:paraId="49F404A7" w14:textId="77777777" w:rsidR="00F4383A" w:rsidRPr="0012104B" w:rsidRDefault="00F4383A" w:rsidP="00F4383A">
      <w:pPr>
        <w:pStyle w:val="EMEABodyText"/>
        <w:jc w:val="both"/>
        <w:rPr>
          <w:noProof/>
        </w:rPr>
      </w:pPr>
    </w:p>
    <w:p w14:paraId="3163654B" w14:textId="5D1E4884" w:rsidR="00F4383A" w:rsidRPr="00C15DA2" w:rsidRDefault="00F4383A" w:rsidP="00C15DA2">
      <w:pPr>
        <w:rPr>
          <w:noProof/>
        </w:rPr>
      </w:pPr>
      <w:r w:rsidRPr="00C15DA2">
        <w:t xml:space="preserve">The overall survival rate by specific timepoint is displayed graphically in Figure 2. </w:t>
      </w:r>
      <w:r w:rsidRPr="00C15DA2">
        <w:rPr>
          <w:noProof/>
        </w:rPr>
        <w:t xml:space="preserve">Rate of OS was consistently higher in SPRYCEL-treated patients who achieved BCR-ABL level </w:t>
      </w:r>
      <w:r w:rsidRPr="00C15DA2">
        <w:rPr>
          <w:noProof/>
        </w:rPr>
        <w:sym w:font="Symbol" w:char="F0A3"/>
      </w:r>
      <w:r w:rsidRPr="00C15DA2">
        <w:rPr>
          <w:noProof/>
        </w:rPr>
        <w:t>10 percent at 3 months than those who did not.</w:t>
      </w:r>
    </w:p>
    <w:p w14:paraId="4D31B3EE" w14:textId="0A2146EA" w:rsidR="00F4383A" w:rsidRPr="00C15DA2" w:rsidRDefault="00F4383A" w:rsidP="00F4383A">
      <w:pPr>
        <w:pStyle w:val="EMEABodyText"/>
        <w:jc w:val="both"/>
        <w:rPr>
          <w:rStyle w:val="BMSSuperscript"/>
          <w:sz w:val="22"/>
          <w:szCs w:val="22"/>
        </w:rPr>
      </w:pPr>
    </w:p>
    <w:p w14:paraId="06D08875" w14:textId="48EBED9D" w:rsidR="00F4383A" w:rsidRPr="00C15DA2" w:rsidRDefault="00F4383A" w:rsidP="00F4383A">
      <w:pPr>
        <w:pStyle w:val="BMSFigureCaption"/>
        <w:tabs>
          <w:tab w:val="clear" w:pos="2160"/>
          <w:tab w:val="left" w:pos="1276"/>
        </w:tabs>
        <w:ind w:left="1276" w:hanging="1276"/>
        <w:rPr>
          <w:sz w:val="22"/>
          <w:szCs w:val="22"/>
        </w:rPr>
      </w:pPr>
      <w:r w:rsidRPr="00C15DA2">
        <w:rPr>
          <w:sz w:val="22"/>
          <w:szCs w:val="22"/>
        </w:rPr>
        <w:lastRenderedPageBreak/>
        <w:t xml:space="preserve">Figure </w:t>
      </w:r>
      <w:bookmarkEnd w:id="3"/>
      <w:bookmarkEnd w:id="4"/>
      <w:bookmarkEnd w:id="5"/>
      <w:bookmarkEnd w:id="6"/>
      <w:r w:rsidRPr="00C15DA2">
        <w:rPr>
          <w:sz w:val="22"/>
          <w:szCs w:val="22"/>
        </w:rPr>
        <w:t>2:</w:t>
      </w:r>
      <w:r w:rsidRPr="00C15DA2">
        <w:rPr>
          <w:sz w:val="22"/>
          <w:szCs w:val="22"/>
        </w:rPr>
        <w:tab/>
        <w:t>Landmark Plot for Overall Survival for TRADEMARK by BCR-ABL Level (</w:t>
      </w:r>
      <w:r w:rsidRPr="00C15DA2">
        <w:rPr>
          <w:sz w:val="22"/>
          <w:szCs w:val="22"/>
        </w:rPr>
        <w:sym w:font="Symbol" w:char="F0A3"/>
      </w:r>
      <w:r w:rsidRPr="00C15DA2">
        <w:rPr>
          <w:sz w:val="22"/>
          <w:szCs w:val="22"/>
        </w:rPr>
        <w:t xml:space="preserve">10% or </w:t>
      </w:r>
      <w:r w:rsidRPr="00C15DA2">
        <w:rPr>
          <w:sz w:val="22"/>
          <w:szCs w:val="22"/>
        </w:rPr>
        <w:sym w:font="Symbol" w:char="F03E"/>
      </w:r>
      <w:r w:rsidRPr="00C15DA2">
        <w:rPr>
          <w:sz w:val="22"/>
          <w:szCs w:val="22"/>
        </w:rPr>
        <w:sym w:font="Symbol" w:char="F031"/>
      </w:r>
      <w:r w:rsidRPr="00C15DA2">
        <w:rPr>
          <w:sz w:val="22"/>
          <w:szCs w:val="22"/>
        </w:rPr>
        <w:sym w:font="Symbol" w:char="F030"/>
      </w:r>
      <w:r w:rsidRPr="00C15DA2">
        <w:rPr>
          <w:sz w:val="22"/>
          <w:szCs w:val="22"/>
        </w:rPr>
        <w:sym w:font="Symbol" w:char="F025"/>
      </w:r>
      <w:r w:rsidRPr="00C15DA2">
        <w:rPr>
          <w:sz w:val="22"/>
          <w:szCs w:val="22"/>
        </w:rPr>
        <w:sym w:font="Symbol" w:char="F029"/>
      </w:r>
      <w:r w:rsidRPr="00C15DA2">
        <w:rPr>
          <w:sz w:val="22"/>
          <w:szCs w:val="22"/>
        </w:rPr>
        <w:sym w:font="Symbol" w:char="F020"/>
      </w:r>
      <w:r w:rsidRPr="00C15DA2">
        <w:rPr>
          <w:sz w:val="22"/>
          <w:szCs w:val="22"/>
        </w:rPr>
        <w:t>at 3 Months</w:t>
      </w:r>
      <w:bookmarkEnd w:id="7"/>
      <w:r w:rsidRPr="00C15DA2">
        <w:rPr>
          <w:sz w:val="22"/>
          <w:szCs w:val="22"/>
        </w:rPr>
        <w:t xml:space="preserve"> in a Phase III Study of Newly Diagnosed Patients with Chronic Phase CML</w:t>
      </w:r>
    </w:p>
    <w:p w14:paraId="090F9F90" w14:textId="362FC66E" w:rsidR="00F4383A" w:rsidRPr="0012104B" w:rsidRDefault="00F4383A" w:rsidP="00F4383A">
      <w:pPr>
        <w:pStyle w:val="EMEABodyText"/>
        <w:keepNext/>
        <w:rPr>
          <w:sz w:val="18"/>
          <w:szCs w:val="18"/>
        </w:rPr>
      </w:pPr>
      <w:r w:rsidRPr="0012104B">
        <w:rPr>
          <w:noProof/>
          <w:lang w:val="en-AU" w:eastAsia="en-AU"/>
        </w:rPr>
        <w:drawing>
          <wp:inline distT="0" distB="0" distL="0" distR="0" wp14:anchorId="545C8984" wp14:editId="6DDF9A4F">
            <wp:extent cx="5943600" cy="3362325"/>
            <wp:effectExtent l="0" t="0" r="0" b="0"/>
            <wp:docPr id="8" name="Picture 8" descr="bcrabl_survDETHFLG_Dasatinib_3m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crabl_survDETHFLG_Dasatinib_3mth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362325"/>
                    </a:xfrm>
                    <a:prstGeom prst="rect">
                      <a:avLst/>
                    </a:prstGeom>
                    <a:noFill/>
                    <a:ln>
                      <a:noFill/>
                    </a:ln>
                  </pic:spPr>
                </pic:pic>
              </a:graphicData>
            </a:graphic>
          </wp:inline>
        </w:drawing>
      </w:r>
    </w:p>
    <w:p w14:paraId="37690D7D" w14:textId="77777777" w:rsidR="00F4383A" w:rsidRPr="0012104B" w:rsidRDefault="00F4383A" w:rsidP="00F4383A">
      <w:pPr>
        <w:pStyle w:val="BMSBodyText"/>
        <w:rPr>
          <w:color w:val="auto"/>
        </w:rPr>
      </w:pPr>
    </w:p>
    <w:p w14:paraId="54373466" w14:textId="6CC3A010" w:rsidR="00F4383A" w:rsidRPr="00C15DA2" w:rsidRDefault="00F4383A" w:rsidP="00C15DA2">
      <w:r w:rsidRPr="00C15DA2">
        <w:t xml:space="preserve">The time to MMR is displayed graphically in Figure 3. The time to </w:t>
      </w:r>
      <w:r w:rsidRPr="00C15DA2">
        <w:rPr>
          <w:noProof/>
          <w:lang w:val="en-GB"/>
        </w:rPr>
        <w:t>MMR was consistently shorter in SPRYCEL-treated subjects compared with imatinib</w:t>
      </w:r>
      <w:r w:rsidRPr="00C15DA2">
        <w:rPr>
          <w:noProof/>
          <w:lang w:val="en-GB"/>
        </w:rPr>
        <w:noBreakHyphen/>
        <w:t>treated subjects</w:t>
      </w:r>
      <w:r w:rsidRPr="00C15DA2">
        <w:t>.</w:t>
      </w:r>
    </w:p>
    <w:p w14:paraId="4E41B548" w14:textId="77777777" w:rsidR="0083132C" w:rsidRDefault="0083132C">
      <w:pPr>
        <w:spacing w:after="0"/>
        <w:jc w:val="left"/>
        <w:rPr>
          <w:rFonts w:eastAsia="Times New Roman"/>
          <w:b/>
          <w:lang w:eastAsia="en-AU"/>
        </w:rPr>
      </w:pPr>
      <w:r>
        <w:br w:type="page"/>
      </w:r>
    </w:p>
    <w:p w14:paraId="64E20B8A" w14:textId="5868F9BD" w:rsidR="00F4383A" w:rsidRPr="00C15DA2" w:rsidRDefault="00F4383A" w:rsidP="00F4383A">
      <w:pPr>
        <w:pStyle w:val="BMSFigureCaption"/>
        <w:tabs>
          <w:tab w:val="clear" w:pos="2160"/>
        </w:tabs>
        <w:ind w:left="1134" w:hanging="1134"/>
        <w:rPr>
          <w:sz w:val="22"/>
          <w:szCs w:val="22"/>
        </w:rPr>
      </w:pPr>
      <w:r w:rsidRPr="00C15DA2">
        <w:rPr>
          <w:sz w:val="22"/>
          <w:szCs w:val="22"/>
        </w:rPr>
        <w:lastRenderedPageBreak/>
        <w:t xml:space="preserve">Figure 3: </w:t>
      </w:r>
      <w:r w:rsidRPr="00C15DA2">
        <w:rPr>
          <w:sz w:val="22"/>
          <w:szCs w:val="22"/>
        </w:rPr>
        <w:tab/>
        <w:t>Kaplan-Meier Estimate of Time to Major Molecular Response (MMR) in a Phase III Study of Newly Diagnosed Patients with Chronic Phase CML</w:t>
      </w:r>
    </w:p>
    <w:p w14:paraId="4EE188D8" w14:textId="795EC17A" w:rsidR="00F4383A" w:rsidRPr="00A71B5E" w:rsidRDefault="00F4383A" w:rsidP="00F4383A">
      <w:pPr>
        <w:pStyle w:val="EMEABodyText"/>
        <w:rPr>
          <w:noProof/>
          <w:color w:val="FF0000"/>
        </w:rPr>
      </w:pPr>
      <w:r>
        <w:rPr>
          <w:noProof/>
          <w:lang w:val="en-AU" w:eastAsia="en-AU"/>
        </w:rPr>
        <mc:AlternateContent>
          <mc:Choice Requires="wps">
            <w:drawing>
              <wp:anchor distT="0" distB="0" distL="114300" distR="114300" simplePos="0" relativeHeight="251659264" behindDoc="0" locked="0" layoutInCell="1" allowOverlap="1" wp14:anchorId="2646F62D" wp14:editId="55A01552">
                <wp:simplePos x="0" y="0"/>
                <wp:positionH relativeFrom="column">
                  <wp:posOffset>0</wp:posOffset>
                </wp:positionH>
                <wp:positionV relativeFrom="paragraph">
                  <wp:posOffset>511175</wp:posOffset>
                </wp:positionV>
                <wp:extent cx="318135" cy="1663700"/>
                <wp:effectExtent l="0" t="1270" r="0" b="19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66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6971F" w14:textId="77777777" w:rsidR="00CB6CB4" w:rsidRPr="00790C23" w:rsidRDefault="00CB6CB4" w:rsidP="00F4383A">
                            <w:pPr>
                              <w:rPr>
                                <w:b/>
                                <w:color w:val="000000"/>
                                <w:sz w:val="18"/>
                                <w:szCs w:val="18"/>
                              </w:rPr>
                            </w:pPr>
                            <w:r w:rsidRPr="00790C23">
                              <w:rPr>
                                <w:b/>
                                <w:color w:val="000000"/>
                                <w:sz w:val="18"/>
                                <w:szCs w:val="18"/>
                              </w:rPr>
                              <w:t>PROPORTION RESPONDERS</w:t>
                            </w:r>
                          </w:p>
                        </w:txbxContent>
                      </wps:txbx>
                      <wps:bodyPr rot="0" vert="vert270"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46F62D" id="Text Box 10" o:spid="_x0000_s1027" type="#_x0000_t202" style="position:absolute;margin-left:0;margin-top:40.25pt;width:25.05pt;height:13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" stroked="f">
                <v:textbox style="layout-flow:vertical;mso-layout-flow-alt:bottom-to-top;mso-fit-shape-to-text:t">
                  <w:txbxContent>
                    <w:p w14:paraId="7236971F" w14:textId="77777777" w:rsidR="00CB6CB4" w:rsidRPr="00790C23" w:rsidRDefault="00CB6CB4" w:rsidP="00F4383A">
                      <w:pPr>
                        <w:rPr>
                          <w:b/>
                          <w:color w:val="000000"/>
                          <w:sz w:val="18"/>
                          <w:szCs w:val="18"/>
                        </w:rPr>
                      </w:pPr>
                      <w:r w:rsidRPr="00790C23">
                        <w:rPr>
                          <w:b/>
                          <w:color w:val="000000"/>
                          <w:sz w:val="18"/>
                          <w:szCs w:val="18"/>
                        </w:rPr>
                        <w:t>PROPORTION RESPONDERS</w:t>
                      </w:r>
                    </w:p>
                  </w:txbxContent>
                </v:textbox>
                <w10:wrap type="square"/>
              </v:shape>
            </w:pict>
          </mc:Fallback>
        </mc:AlternateContent>
      </w:r>
      <w:r>
        <w:rPr>
          <w:noProof/>
          <w:lang w:val="en-AU" w:eastAsia="en-AU"/>
        </w:rPr>
        <w:drawing>
          <wp:inline distT="0" distB="0" distL="0" distR="0" wp14:anchorId="7D1465AA" wp14:editId="56C43F54">
            <wp:extent cx="5162550" cy="2762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2550" cy="2762250"/>
                    </a:xfrm>
                    <a:prstGeom prst="rect">
                      <a:avLst/>
                    </a:prstGeom>
                    <a:noFill/>
                    <a:ln>
                      <a:noFill/>
                    </a:ln>
                  </pic:spPr>
                </pic:pic>
              </a:graphicData>
            </a:graphic>
          </wp:inline>
        </w:drawing>
      </w:r>
      <w:r>
        <w:tab/>
      </w:r>
      <w:r>
        <w:tab/>
      </w:r>
      <w:r>
        <w:tab/>
      </w:r>
      <w:r>
        <w:tab/>
      </w:r>
      <w:r>
        <w:tab/>
      </w:r>
      <w:r>
        <w:tab/>
      </w:r>
      <w:r>
        <w:tab/>
      </w:r>
      <w:r>
        <w:tab/>
      </w:r>
      <w:r>
        <w:tab/>
      </w:r>
      <w:r>
        <w:tab/>
      </w:r>
      <w:r>
        <w:tab/>
      </w:r>
      <w:r w:rsidRPr="00790C23">
        <w:rPr>
          <w:b/>
          <w:sz w:val="18"/>
          <w:szCs w:val="18"/>
        </w:rPr>
        <w:t>MONTHS</w:t>
      </w:r>
    </w:p>
    <w:p w14:paraId="1B34B2A6" w14:textId="77777777" w:rsidR="00F4383A" w:rsidRPr="00442378" w:rsidRDefault="00F4383A" w:rsidP="00F4383A">
      <w:pPr>
        <w:pStyle w:val="EMEABodyText"/>
        <w:keepNext/>
        <w:rPr>
          <w:sz w:val="18"/>
          <w:szCs w:val="18"/>
        </w:rPr>
      </w:pPr>
      <w:r w:rsidRPr="00442378">
        <w:rPr>
          <w:b/>
          <w:sz w:val="18"/>
          <w:szCs w:val="18"/>
        </w:rPr>
        <w:t xml:space="preserve"> </w:t>
      </w:r>
      <w:r>
        <w:rPr>
          <w:b/>
          <w:sz w:val="18"/>
          <w:szCs w:val="18"/>
        </w:rPr>
        <w:t xml:space="preserve">   </w:t>
      </w:r>
      <w:r w:rsidRPr="00442378">
        <w:rPr>
          <w:b/>
          <w:sz w:val="18"/>
          <w:szCs w:val="18"/>
        </w:rPr>
        <w:t xml:space="preserve"> ___ </w:t>
      </w:r>
      <w:r w:rsidRPr="00442378">
        <w:rPr>
          <w:sz w:val="18"/>
          <w:szCs w:val="18"/>
        </w:rPr>
        <w:t>Dasatinib</w:t>
      </w:r>
      <w:r w:rsidRPr="00442378">
        <w:rPr>
          <w:sz w:val="18"/>
          <w:szCs w:val="18"/>
        </w:rPr>
        <w:tab/>
      </w:r>
      <w:r w:rsidRPr="00442378">
        <w:rPr>
          <w:sz w:val="18"/>
          <w:szCs w:val="18"/>
        </w:rPr>
        <w:tab/>
      </w:r>
      <w:r w:rsidRPr="00442378">
        <w:rPr>
          <w:sz w:val="18"/>
          <w:szCs w:val="18"/>
        </w:rPr>
        <w:tab/>
      </w:r>
      <w:r w:rsidRPr="00442378">
        <w:rPr>
          <w:sz w:val="18"/>
          <w:szCs w:val="18"/>
        </w:rPr>
        <w:tab/>
      </w:r>
      <w:r w:rsidRPr="00442378">
        <w:rPr>
          <w:sz w:val="18"/>
          <w:szCs w:val="18"/>
        </w:rPr>
        <w:tab/>
      </w:r>
      <w:r w:rsidRPr="00442378">
        <w:rPr>
          <w:sz w:val="18"/>
          <w:szCs w:val="18"/>
        </w:rPr>
        <w:tab/>
      </w:r>
      <w:r w:rsidRPr="00442378">
        <w:rPr>
          <w:sz w:val="18"/>
          <w:szCs w:val="18"/>
        </w:rPr>
        <w:tab/>
      </w:r>
      <w:r>
        <w:rPr>
          <w:sz w:val="18"/>
          <w:szCs w:val="18"/>
        </w:rPr>
        <w:t xml:space="preserve">   </w:t>
      </w:r>
      <w:r w:rsidRPr="00442378">
        <w:rPr>
          <w:sz w:val="18"/>
          <w:szCs w:val="18"/>
        </w:rPr>
        <w:t>------ Imatinib</w:t>
      </w:r>
    </w:p>
    <w:p w14:paraId="4FB63B88" w14:textId="486F8454" w:rsidR="00F4383A" w:rsidRPr="00442378" w:rsidRDefault="00F4383A" w:rsidP="00F4383A">
      <w:pPr>
        <w:pStyle w:val="EMEABodyText"/>
        <w:keepNext/>
        <w:rPr>
          <w:sz w:val="18"/>
          <w:szCs w:val="18"/>
        </w:rPr>
      </w:pPr>
      <w:r w:rsidRPr="00442378">
        <w:rPr>
          <w:noProof/>
          <w:sz w:val="18"/>
          <w:szCs w:val="18"/>
          <w:lang w:val="en-AU" w:eastAsia="en-AU"/>
        </w:rPr>
        <w:drawing>
          <wp:inline distT="0" distB="0" distL="0" distR="0" wp14:anchorId="128D2D5C" wp14:editId="29D76CA3">
            <wp:extent cx="342900" cy="1238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123825"/>
                    </a:xfrm>
                    <a:prstGeom prst="rect">
                      <a:avLst/>
                    </a:prstGeom>
                    <a:noFill/>
                    <a:ln>
                      <a:noFill/>
                    </a:ln>
                  </pic:spPr>
                </pic:pic>
              </a:graphicData>
            </a:graphic>
          </wp:inline>
        </w:drawing>
      </w:r>
      <w:r w:rsidRPr="00442378">
        <w:rPr>
          <w:sz w:val="18"/>
          <w:szCs w:val="18"/>
        </w:rPr>
        <w:t>Censored</w:t>
      </w:r>
      <w:r w:rsidRPr="00442378">
        <w:rPr>
          <w:sz w:val="18"/>
          <w:szCs w:val="18"/>
        </w:rPr>
        <w:tab/>
      </w:r>
      <w:r w:rsidRPr="00442378">
        <w:rPr>
          <w:sz w:val="18"/>
          <w:szCs w:val="18"/>
        </w:rPr>
        <w:tab/>
      </w:r>
      <w:r w:rsidRPr="00442378">
        <w:rPr>
          <w:sz w:val="18"/>
          <w:szCs w:val="18"/>
        </w:rPr>
        <w:tab/>
      </w:r>
      <w:r w:rsidRPr="00442378">
        <w:rPr>
          <w:sz w:val="18"/>
          <w:szCs w:val="18"/>
        </w:rPr>
        <w:tab/>
      </w:r>
      <w:r w:rsidRPr="00442378">
        <w:rPr>
          <w:sz w:val="18"/>
          <w:szCs w:val="18"/>
        </w:rPr>
        <w:tab/>
      </w:r>
      <w:r w:rsidRPr="00442378">
        <w:rPr>
          <w:sz w:val="18"/>
          <w:szCs w:val="18"/>
        </w:rPr>
        <w:tab/>
      </w:r>
      <w:r w:rsidRPr="00442378">
        <w:rPr>
          <w:sz w:val="18"/>
          <w:szCs w:val="18"/>
        </w:rPr>
        <w:tab/>
      </w:r>
      <w:r w:rsidRPr="00442378">
        <w:rPr>
          <w:noProof/>
          <w:sz w:val="18"/>
          <w:szCs w:val="18"/>
          <w:lang w:val="en-AU" w:eastAsia="en-AU"/>
        </w:rPr>
        <w:drawing>
          <wp:inline distT="0" distB="0" distL="0" distR="0" wp14:anchorId="4D11ECFA" wp14:editId="38E6205B">
            <wp:extent cx="314325" cy="114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114300"/>
                    </a:xfrm>
                    <a:prstGeom prst="rect">
                      <a:avLst/>
                    </a:prstGeom>
                    <a:noFill/>
                    <a:ln>
                      <a:noFill/>
                    </a:ln>
                  </pic:spPr>
                </pic:pic>
              </a:graphicData>
            </a:graphic>
          </wp:inline>
        </w:drawing>
      </w:r>
      <w:r w:rsidRPr="00442378">
        <w:rPr>
          <w:sz w:val="18"/>
          <w:szCs w:val="18"/>
        </w:rPr>
        <w:t>Censored</w:t>
      </w:r>
    </w:p>
    <w:p w14:paraId="1D16B736" w14:textId="77777777" w:rsidR="00F4383A" w:rsidRPr="00790C23" w:rsidRDefault="00F4383A" w:rsidP="00F4383A">
      <w:pPr>
        <w:pStyle w:val="EMEABodyText"/>
        <w:keepNext/>
        <w:rPr>
          <w:szCs w:val="22"/>
        </w:rPr>
      </w:pPr>
    </w:p>
    <w:p w14:paraId="0B7F4E30" w14:textId="77777777" w:rsidR="00F4383A" w:rsidRPr="00525CD2" w:rsidRDefault="00F4383A" w:rsidP="00F4383A">
      <w:pPr>
        <w:pStyle w:val="EMEABodyText"/>
        <w:keepNext/>
        <w:rPr>
          <w:sz w:val="18"/>
          <w:szCs w:val="18"/>
          <w:u w:val="single"/>
        </w:rPr>
      </w:pPr>
      <w:r w:rsidRPr="00525CD2">
        <w:rPr>
          <w:sz w:val="18"/>
          <w:szCs w:val="18"/>
          <w:u w:val="single"/>
        </w:rPr>
        <w:t>GROUP</w:t>
      </w:r>
      <w:r w:rsidRPr="00525CD2">
        <w:rPr>
          <w:sz w:val="18"/>
          <w:szCs w:val="18"/>
          <w:u w:val="single"/>
        </w:rPr>
        <w:tab/>
      </w:r>
      <w:r w:rsidRPr="00525CD2">
        <w:rPr>
          <w:sz w:val="18"/>
          <w:szCs w:val="18"/>
          <w:u w:val="single"/>
        </w:rPr>
        <w:tab/>
      </w:r>
      <w:r w:rsidRPr="00525CD2">
        <w:rPr>
          <w:sz w:val="18"/>
          <w:szCs w:val="18"/>
          <w:u w:val="single"/>
        </w:rPr>
        <w:tab/>
      </w:r>
      <w:r w:rsidRPr="00525CD2">
        <w:rPr>
          <w:sz w:val="18"/>
          <w:szCs w:val="18"/>
          <w:u w:val="single"/>
        </w:rPr>
        <w:tab/>
        <w:t># RESPONDERS / # RANDOMIZED</w:t>
      </w:r>
      <w:r w:rsidRPr="00525CD2">
        <w:rPr>
          <w:sz w:val="18"/>
          <w:szCs w:val="18"/>
          <w:u w:val="single"/>
        </w:rPr>
        <w:tab/>
      </w:r>
      <w:r w:rsidRPr="00525CD2">
        <w:rPr>
          <w:sz w:val="18"/>
          <w:szCs w:val="18"/>
          <w:u w:val="single"/>
        </w:rPr>
        <w:tab/>
        <w:t>HAZARD RATIO (95%</w:t>
      </w:r>
      <w:r>
        <w:rPr>
          <w:sz w:val="18"/>
          <w:szCs w:val="18"/>
          <w:u w:val="single"/>
        </w:rPr>
        <w:t> </w:t>
      </w:r>
      <w:r w:rsidRPr="00525CD2">
        <w:rPr>
          <w:sz w:val="18"/>
          <w:szCs w:val="18"/>
          <w:u w:val="single"/>
        </w:rPr>
        <w:t>CI)</w:t>
      </w:r>
    </w:p>
    <w:p w14:paraId="2DE74A6D" w14:textId="77777777" w:rsidR="00F4383A" w:rsidRPr="00525CD2" w:rsidRDefault="00F4383A" w:rsidP="00F4383A">
      <w:pPr>
        <w:pStyle w:val="EMEABodyText"/>
        <w:keepNext/>
        <w:rPr>
          <w:sz w:val="18"/>
          <w:szCs w:val="18"/>
        </w:rPr>
      </w:pPr>
    </w:p>
    <w:p w14:paraId="1D1EF9E9" w14:textId="77777777" w:rsidR="00F4383A" w:rsidRPr="00B46D28" w:rsidRDefault="00F4383A" w:rsidP="00F4383A">
      <w:pPr>
        <w:pStyle w:val="EMEABodyText"/>
        <w:keepNext/>
        <w:rPr>
          <w:sz w:val="18"/>
          <w:szCs w:val="18"/>
          <w:lang w:val="fr-BE"/>
        </w:rPr>
      </w:pPr>
      <w:r w:rsidRPr="00B46D28">
        <w:rPr>
          <w:sz w:val="18"/>
          <w:szCs w:val="18"/>
          <w:lang w:val="fr-BE"/>
        </w:rPr>
        <w:t>DASATINIB</w:t>
      </w:r>
      <w:r w:rsidRPr="00B46D28">
        <w:rPr>
          <w:sz w:val="18"/>
          <w:szCs w:val="18"/>
          <w:lang w:val="fr-BE"/>
        </w:rPr>
        <w:tab/>
      </w:r>
      <w:r w:rsidRPr="00B46D28">
        <w:rPr>
          <w:sz w:val="18"/>
          <w:szCs w:val="18"/>
          <w:lang w:val="fr-BE"/>
        </w:rPr>
        <w:tab/>
      </w:r>
      <w:r w:rsidRPr="00B46D28">
        <w:rPr>
          <w:sz w:val="18"/>
          <w:szCs w:val="18"/>
          <w:lang w:val="fr-BE"/>
        </w:rPr>
        <w:tab/>
      </w:r>
      <w:r w:rsidRPr="00B46D28">
        <w:rPr>
          <w:sz w:val="18"/>
          <w:szCs w:val="18"/>
          <w:lang w:val="fr-BE"/>
        </w:rPr>
        <w:tab/>
      </w:r>
      <w:r w:rsidRPr="00B46D28">
        <w:rPr>
          <w:sz w:val="18"/>
          <w:szCs w:val="18"/>
          <w:lang w:val="fr-BE"/>
        </w:rPr>
        <w:tab/>
      </w:r>
      <w:r>
        <w:rPr>
          <w:sz w:val="18"/>
          <w:szCs w:val="18"/>
          <w:lang w:val="fr-BE"/>
        </w:rPr>
        <w:t>198</w:t>
      </w:r>
      <w:r w:rsidRPr="00B46D28">
        <w:rPr>
          <w:sz w:val="18"/>
          <w:szCs w:val="18"/>
          <w:lang w:val="fr-BE"/>
        </w:rPr>
        <w:t>/259</w:t>
      </w:r>
    </w:p>
    <w:p w14:paraId="48662FF8" w14:textId="77777777" w:rsidR="00F4383A" w:rsidRPr="00B46D28" w:rsidRDefault="00F4383A" w:rsidP="00F4383A">
      <w:pPr>
        <w:pStyle w:val="EMEABodyText"/>
        <w:keepNext/>
        <w:rPr>
          <w:sz w:val="18"/>
          <w:szCs w:val="18"/>
          <w:lang w:val="fr-BE"/>
        </w:rPr>
      </w:pPr>
      <w:r w:rsidRPr="00B46D28">
        <w:rPr>
          <w:sz w:val="18"/>
          <w:szCs w:val="18"/>
          <w:lang w:val="fr-BE"/>
        </w:rPr>
        <w:t>IMATINIB</w:t>
      </w:r>
      <w:r w:rsidRPr="00B46D28">
        <w:rPr>
          <w:sz w:val="18"/>
          <w:szCs w:val="18"/>
          <w:lang w:val="fr-BE"/>
        </w:rPr>
        <w:tab/>
      </w:r>
      <w:r w:rsidRPr="00B46D28">
        <w:rPr>
          <w:sz w:val="18"/>
          <w:szCs w:val="18"/>
          <w:lang w:val="fr-BE"/>
        </w:rPr>
        <w:tab/>
      </w:r>
      <w:r w:rsidRPr="00B46D28">
        <w:rPr>
          <w:sz w:val="18"/>
          <w:szCs w:val="18"/>
          <w:lang w:val="fr-BE"/>
        </w:rPr>
        <w:tab/>
      </w:r>
      <w:r w:rsidRPr="00B46D28">
        <w:rPr>
          <w:sz w:val="18"/>
          <w:szCs w:val="18"/>
          <w:lang w:val="fr-BE"/>
        </w:rPr>
        <w:tab/>
      </w:r>
      <w:r w:rsidRPr="00B46D28">
        <w:rPr>
          <w:sz w:val="18"/>
          <w:szCs w:val="18"/>
          <w:lang w:val="fr-BE"/>
        </w:rPr>
        <w:tab/>
      </w:r>
      <w:r>
        <w:rPr>
          <w:sz w:val="18"/>
          <w:szCs w:val="18"/>
          <w:lang w:val="fr-BE"/>
        </w:rPr>
        <w:t>167</w:t>
      </w:r>
      <w:r w:rsidRPr="00B46D28">
        <w:rPr>
          <w:sz w:val="18"/>
          <w:szCs w:val="18"/>
          <w:lang w:val="fr-BE"/>
        </w:rPr>
        <w:t>/260</w:t>
      </w:r>
    </w:p>
    <w:p w14:paraId="134B0C25" w14:textId="77777777" w:rsidR="00F4383A" w:rsidRPr="00B46D28" w:rsidRDefault="00F4383A" w:rsidP="00F4383A">
      <w:pPr>
        <w:pStyle w:val="EMEABodyText"/>
        <w:keepNext/>
        <w:rPr>
          <w:sz w:val="18"/>
          <w:szCs w:val="18"/>
          <w:lang w:val="fr-BE"/>
        </w:rPr>
      </w:pPr>
      <w:r>
        <w:rPr>
          <w:sz w:val="18"/>
          <w:szCs w:val="18"/>
          <w:lang w:val="fr-BE"/>
        </w:rPr>
        <w:t>DASATINIB OVER IMATINIB</w:t>
      </w:r>
      <w:r>
        <w:rPr>
          <w:sz w:val="18"/>
          <w:szCs w:val="18"/>
          <w:lang w:val="fr-BE"/>
        </w:rPr>
        <w:tab/>
      </w:r>
      <w:r>
        <w:rPr>
          <w:sz w:val="18"/>
          <w:szCs w:val="18"/>
          <w:lang w:val="fr-BE"/>
        </w:rPr>
        <w:tab/>
      </w:r>
      <w:r>
        <w:rPr>
          <w:sz w:val="18"/>
          <w:szCs w:val="18"/>
          <w:lang w:val="fr-BE"/>
        </w:rPr>
        <w:tab/>
      </w:r>
      <w:r>
        <w:rPr>
          <w:sz w:val="18"/>
          <w:szCs w:val="18"/>
          <w:lang w:val="fr-BE"/>
        </w:rPr>
        <w:tab/>
      </w:r>
      <w:r>
        <w:rPr>
          <w:sz w:val="18"/>
          <w:szCs w:val="18"/>
          <w:lang w:val="fr-BE"/>
        </w:rPr>
        <w:tab/>
      </w:r>
      <w:r>
        <w:rPr>
          <w:sz w:val="18"/>
          <w:szCs w:val="18"/>
          <w:lang w:val="fr-BE"/>
        </w:rPr>
        <w:tab/>
        <w:t xml:space="preserve">       </w:t>
      </w:r>
      <w:r w:rsidRPr="00B46D28">
        <w:rPr>
          <w:sz w:val="18"/>
          <w:szCs w:val="18"/>
          <w:lang w:val="fr-BE"/>
        </w:rPr>
        <w:t>1.</w:t>
      </w:r>
      <w:r>
        <w:rPr>
          <w:sz w:val="18"/>
          <w:szCs w:val="18"/>
          <w:lang w:val="fr-BE"/>
        </w:rPr>
        <w:t>54</w:t>
      </w:r>
      <w:r w:rsidRPr="00B46D28">
        <w:rPr>
          <w:sz w:val="18"/>
          <w:szCs w:val="18"/>
          <w:lang w:val="fr-BE"/>
        </w:rPr>
        <w:t xml:space="preserve"> (1.</w:t>
      </w:r>
      <w:r>
        <w:rPr>
          <w:sz w:val="18"/>
          <w:szCs w:val="18"/>
          <w:lang w:val="fr-BE"/>
        </w:rPr>
        <w:t>25</w:t>
      </w:r>
      <w:r w:rsidRPr="00B46D28">
        <w:rPr>
          <w:sz w:val="18"/>
          <w:szCs w:val="18"/>
          <w:lang w:val="fr-BE"/>
        </w:rPr>
        <w:t> - 1.</w:t>
      </w:r>
      <w:r>
        <w:rPr>
          <w:sz w:val="18"/>
          <w:szCs w:val="18"/>
          <w:lang w:val="fr-BE"/>
        </w:rPr>
        <w:t>89</w:t>
      </w:r>
      <w:r w:rsidRPr="00B46D28">
        <w:rPr>
          <w:sz w:val="18"/>
          <w:szCs w:val="18"/>
          <w:lang w:val="fr-BE"/>
        </w:rPr>
        <w:t>)</w:t>
      </w:r>
    </w:p>
    <w:p w14:paraId="411DB31F" w14:textId="77777777" w:rsidR="00F4383A" w:rsidRPr="004503FC" w:rsidRDefault="00F4383A" w:rsidP="00F4383A">
      <w:pPr>
        <w:pStyle w:val="EMEABodyText"/>
        <w:rPr>
          <w:sz w:val="18"/>
          <w:szCs w:val="18"/>
          <w:lang w:val="fr-BE"/>
        </w:rPr>
      </w:pPr>
    </w:p>
    <w:p w14:paraId="2B6D7146" w14:textId="6AC18889" w:rsidR="00F4383A" w:rsidRPr="00C15DA2" w:rsidRDefault="00F4383A" w:rsidP="00C15DA2">
      <w:r w:rsidRPr="00C15DA2">
        <w:t xml:space="preserve">MMR rates by specific timepoint are displayed graphically in Figure 4. </w:t>
      </w:r>
      <w:r w:rsidRPr="00C15DA2">
        <w:rPr>
          <w:noProof/>
          <w:lang w:val="en-GB"/>
        </w:rPr>
        <w:t>Rates of MMR were consistently higher in SPRYCEL</w:t>
      </w:r>
      <w:r w:rsidRPr="00C15DA2">
        <w:rPr>
          <w:noProof/>
          <w:lang w:val="en-GB"/>
        </w:rPr>
        <w:noBreakHyphen/>
        <w:t>treated subjects compared with imatinib</w:t>
      </w:r>
      <w:r w:rsidRPr="00C15DA2">
        <w:rPr>
          <w:noProof/>
          <w:lang w:val="en-GB"/>
        </w:rPr>
        <w:noBreakHyphen/>
        <w:t>treated subjects</w:t>
      </w:r>
      <w:r w:rsidRPr="00C15DA2">
        <w:t>.</w:t>
      </w:r>
    </w:p>
    <w:p w14:paraId="4F41C8AF" w14:textId="02A339B3" w:rsidR="00275FEB" w:rsidRPr="00275FEB" w:rsidRDefault="00F4383A" w:rsidP="00275FEB">
      <w:pPr>
        <w:pStyle w:val="BMSFigureCaption"/>
      </w:pPr>
      <w:r w:rsidRPr="0012104B">
        <w:lastRenderedPageBreak/>
        <w:t>Figure 4:</w:t>
      </w:r>
      <w:r w:rsidRPr="0012104B">
        <w:tab/>
        <w:t>MMR Rates Over Time - All Randomized Subjects in a Phase III Study of Newly Diagnosed Patients with Chronic Phase CML</w:t>
      </w:r>
    </w:p>
    <w:p w14:paraId="33495F58" w14:textId="5074102F" w:rsidR="00F4383A" w:rsidRPr="0012104B" w:rsidRDefault="00F4383A" w:rsidP="00F4383A">
      <w:pPr>
        <w:pStyle w:val="BMSBodyText"/>
        <w:rPr>
          <w:color w:val="auto"/>
        </w:rPr>
      </w:pPr>
      <w:r w:rsidRPr="0012104B">
        <w:rPr>
          <w:noProof/>
          <w:color w:val="auto"/>
          <w:lang w:val="en-AU" w:eastAsia="en-AU"/>
        </w:rPr>
        <w:drawing>
          <wp:inline distT="0" distB="0" distL="0" distR="0" wp14:anchorId="43BD0265" wp14:editId="11AA61BB">
            <wp:extent cx="5934075" cy="3248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3248025"/>
                    </a:xfrm>
                    <a:prstGeom prst="rect">
                      <a:avLst/>
                    </a:prstGeom>
                    <a:noFill/>
                    <a:ln>
                      <a:noFill/>
                    </a:ln>
                  </pic:spPr>
                </pic:pic>
              </a:graphicData>
            </a:graphic>
          </wp:inline>
        </w:drawing>
      </w:r>
    </w:p>
    <w:p w14:paraId="28C4D1A8" w14:textId="77777777" w:rsidR="0083132C" w:rsidRDefault="0083132C">
      <w:pPr>
        <w:spacing w:after="0"/>
        <w:jc w:val="left"/>
        <w:rPr>
          <w:rFonts w:eastAsia="PMingLiU"/>
          <w:sz w:val="24"/>
          <w:szCs w:val="24"/>
          <w:lang w:val="en-US" w:eastAsia="ja-JP"/>
        </w:rPr>
      </w:pPr>
      <w:r>
        <w:br w:type="page"/>
      </w:r>
    </w:p>
    <w:p w14:paraId="20DB8B16" w14:textId="65797494" w:rsidR="00F4383A" w:rsidRPr="0012104B" w:rsidRDefault="00F4383A" w:rsidP="00F4383A">
      <w:pPr>
        <w:pStyle w:val="BMSBodyText"/>
        <w:spacing w:line="240" w:lineRule="auto"/>
        <w:rPr>
          <w:rStyle w:val="BMSSuperscript"/>
          <w:color w:val="auto"/>
        </w:rPr>
      </w:pPr>
      <w:r w:rsidRPr="0012104B">
        <w:rPr>
          <w:color w:val="auto"/>
        </w:rPr>
        <w:lastRenderedPageBreak/>
        <w:t xml:space="preserve">MR4.5 rates over time are displayed graphically in Figure 5. </w:t>
      </w:r>
      <w:r w:rsidRPr="0012104B">
        <w:rPr>
          <w:noProof/>
          <w:color w:val="auto"/>
          <w:lang w:val="en-GB"/>
        </w:rPr>
        <w:t>Rate of MR4.5 over time was consistently higher in SPRYCEL-treated subjects compared with imatinib</w:t>
      </w:r>
      <w:r w:rsidRPr="0012104B">
        <w:rPr>
          <w:noProof/>
          <w:color w:val="auto"/>
          <w:lang w:val="en-GB"/>
        </w:rPr>
        <w:noBreakHyphen/>
        <w:t>treated subjects</w:t>
      </w:r>
      <w:r w:rsidRPr="0012104B">
        <w:rPr>
          <w:color w:val="auto"/>
        </w:rPr>
        <w:t>.</w:t>
      </w:r>
    </w:p>
    <w:p w14:paraId="217395D9" w14:textId="77777777" w:rsidR="00F4383A" w:rsidRPr="0012104B" w:rsidRDefault="00F4383A" w:rsidP="00F4383A">
      <w:pPr>
        <w:pStyle w:val="BMSFigureCaption"/>
      </w:pPr>
      <w:r w:rsidRPr="0012104B">
        <w:t>Figure 5:</w:t>
      </w:r>
      <w:r w:rsidRPr="0012104B">
        <w:tab/>
        <w:t>MR4.5 Rates Over Time - All Randomized Subjects in a Phase III Study of Newly Diagnosed Patients with Chronic Phase CML</w:t>
      </w:r>
    </w:p>
    <w:p w14:paraId="6A486AEA" w14:textId="0A1EC56A" w:rsidR="00F4383A" w:rsidRPr="00BA30C0" w:rsidRDefault="00F4383A" w:rsidP="00F4383A">
      <w:pPr>
        <w:pStyle w:val="BMSBodyText"/>
      </w:pPr>
      <w:r w:rsidRPr="0012104B">
        <w:rPr>
          <w:noProof/>
          <w:color w:val="auto"/>
          <w:lang w:val="en-AU" w:eastAsia="en-AU"/>
        </w:rPr>
        <w:drawing>
          <wp:inline distT="0" distB="0" distL="0" distR="0" wp14:anchorId="4511B2C9" wp14:editId="1D6D6DEC">
            <wp:extent cx="5943600" cy="3333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p>
    <w:p w14:paraId="1A263336" w14:textId="601009B9" w:rsidR="00F4383A" w:rsidRPr="00C05BEB" w:rsidRDefault="00F4383A" w:rsidP="00C15DA2">
      <w:r>
        <w:t>Disease p</w:t>
      </w:r>
      <w:r w:rsidRPr="00265791">
        <w:t xml:space="preserve">rogression was defined as increasing white blood cells despite appropriate therapeutic management, loss of CHR (complete haematologic response), partial CyR or CCyR, progression to accelerated phase or blast phase, or death. The estimated </w:t>
      </w:r>
      <w:r>
        <w:t>60</w:t>
      </w:r>
      <w:r w:rsidRPr="00265791">
        <w:t xml:space="preserve">-month </w:t>
      </w:r>
      <w:r w:rsidRPr="00C05BEB">
        <w:t xml:space="preserve">PFS rate was </w:t>
      </w:r>
      <w:r>
        <w:t>88.9</w:t>
      </w:r>
      <w:r w:rsidRPr="00C05BEB">
        <w:t>% (CI: 8</w:t>
      </w:r>
      <w:r>
        <w:t>4.0</w:t>
      </w:r>
      <w:r w:rsidRPr="00C05BEB">
        <w:t>% - 9</w:t>
      </w:r>
      <w:r>
        <w:t>2.4</w:t>
      </w:r>
      <w:r w:rsidRPr="00C05BEB">
        <w:t xml:space="preserve">%) and </w:t>
      </w:r>
      <w:r>
        <w:t>89</w:t>
      </w:r>
      <w:r w:rsidRPr="00C05BEB">
        <w:t>.2% (CI: 8</w:t>
      </w:r>
      <w:r>
        <w:t>4</w:t>
      </w:r>
      <w:r w:rsidRPr="00C05BEB">
        <w:t>.3% - 9</w:t>
      </w:r>
      <w:r>
        <w:t>2.7</w:t>
      </w:r>
      <w:r w:rsidRPr="00C05BEB">
        <w:t>%) for the SPRYCEL</w:t>
      </w:r>
      <w:r w:rsidRPr="00C05BEB">
        <w:rPr>
          <w:vertAlign w:val="superscript"/>
        </w:rPr>
        <w:t xml:space="preserve"> </w:t>
      </w:r>
      <w:r w:rsidRPr="00C05BEB">
        <w:t>and imatinib treatment groups, respectively. Transformation to accelerated or blast phase occurred less frequently with SPRYCEL (n = 8; 3.1%) than with imatinib-treated patients (n = 1</w:t>
      </w:r>
      <w:r>
        <w:t>5</w:t>
      </w:r>
      <w:r w:rsidRPr="00C05BEB">
        <w:t>; 5.</w:t>
      </w:r>
      <w:r>
        <w:t>8</w:t>
      </w:r>
      <w:r w:rsidRPr="00C05BEB">
        <w:t xml:space="preserve">%). The estimated </w:t>
      </w:r>
      <w:r>
        <w:t>60</w:t>
      </w:r>
      <w:r w:rsidRPr="00C05BEB">
        <w:t>-month survival rates for SPRYCEL and imatinib-treated patients were 9</w:t>
      </w:r>
      <w:r>
        <w:t>0.9</w:t>
      </w:r>
      <w:r w:rsidRPr="00C05BEB">
        <w:t>% (CI: 8</w:t>
      </w:r>
      <w:r>
        <w:t>6.6</w:t>
      </w:r>
      <w:r w:rsidRPr="00C05BEB">
        <w:t>% - 9</w:t>
      </w:r>
      <w:r>
        <w:t>3.8</w:t>
      </w:r>
      <w:r w:rsidRPr="00C05BEB">
        <w:t xml:space="preserve">%) and </w:t>
      </w:r>
      <w:r>
        <w:t>89.6</w:t>
      </w:r>
      <w:r w:rsidRPr="00C05BEB">
        <w:t>% (CI: 8</w:t>
      </w:r>
      <w:r>
        <w:t>5.2</w:t>
      </w:r>
      <w:r w:rsidRPr="00C05BEB">
        <w:t>% - 9</w:t>
      </w:r>
      <w:r>
        <w:t>2.8</w:t>
      </w:r>
      <w:r w:rsidRPr="00C05BEB">
        <w:t>%) respectively.</w:t>
      </w:r>
      <w:r>
        <w:t xml:space="preserve"> </w:t>
      </w:r>
    </w:p>
    <w:p w14:paraId="5059B4E8" w14:textId="77777777" w:rsidR="00F4383A" w:rsidRPr="00C05BEB" w:rsidRDefault="00F4383A" w:rsidP="00C15DA2">
      <w:r w:rsidRPr="00C05BEB">
        <w:t xml:space="preserve">In a phase III trial of newly diagnosed chronic phase CML, BCR-ABL sequencing was performed on blood samples from patients who discontinued dasatinib or imatinib therapy. Among dasatinib-treated patients the mutations detected were T315I, F317I/L and V299L. Dasatinib does not appear to be active against the T315I mutation, based on </w:t>
      </w:r>
      <w:r w:rsidRPr="00C05BEB">
        <w:rPr>
          <w:i/>
        </w:rPr>
        <w:t>in vitro</w:t>
      </w:r>
      <w:r w:rsidRPr="00C05BEB">
        <w:t xml:space="preserve"> data.</w:t>
      </w:r>
    </w:p>
    <w:p w14:paraId="1B529ED1" w14:textId="77777777" w:rsidR="00F4383A" w:rsidRPr="00265791" w:rsidRDefault="00F4383A" w:rsidP="00C15DA2">
      <w:pPr>
        <w:pStyle w:val="Heading4"/>
      </w:pPr>
      <w:r w:rsidRPr="00265791">
        <w:t>Phase III Clinical Trials in patients with CML in chronic, accelerated, or myeloid blast phase, and Ph+ ALL who were resistant or intolerant to imatinib</w:t>
      </w:r>
    </w:p>
    <w:p w14:paraId="5BE28BF8" w14:textId="011CAA2C" w:rsidR="00F4383A" w:rsidRPr="00C15DA2" w:rsidRDefault="00F4383A" w:rsidP="00C15DA2">
      <w:r w:rsidRPr="00C15DA2">
        <w:t>Two randomised, open-label studies were conducted to evaluate the efficacy of SPRYCEL administered once daily compared with SPRYCEL</w:t>
      </w:r>
      <w:r w:rsidRPr="00C15DA2">
        <w:rPr>
          <w:vertAlign w:val="superscript"/>
        </w:rPr>
        <w:t xml:space="preserve"> </w:t>
      </w:r>
      <w:r w:rsidRPr="00C15DA2">
        <w:t xml:space="preserve">administered twice daily: The results described in Tables </w:t>
      </w:r>
      <w:r w:rsidR="00B3545F">
        <w:t>11</w:t>
      </w:r>
      <w:r w:rsidRPr="00C15DA2">
        <w:t xml:space="preserve"> and </w:t>
      </w:r>
      <w:r w:rsidR="00B3545F">
        <w:t xml:space="preserve">12 </w:t>
      </w:r>
      <w:r w:rsidRPr="00C15DA2">
        <w:t xml:space="preserve">are based on a minimum of 24 months and 60 months follow-up after the start of dasatinib therapy. </w:t>
      </w:r>
    </w:p>
    <w:p w14:paraId="1D209DAF" w14:textId="583B15C0" w:rsidR="00F4383A" w:rsidRPr="00C15DA2" w:rsidRDefault="00F4383A" w:rsidP="00C15DA2">
      <w:r w:rsidRPr="00C15DA2">
        <w:t xml:space="preserve">In the non- inferiority study in chronic phase CML, the primary endpoint was MCyR (once daily vs. twice daily) in imatinib-resistant patients. The main secondary endpoint was MCyR by total daily dose level in the imatinib-resistant patients. Other secondary endpoints included duration of MCyR, progression-free survival, and overall survival. A total of 670 patients, of whom 497 were imatinib-resistant, were randomised to the SPRYCEL 100 mg once daily, 140 mg once daily, 50 mg twice </w:t>
      </w:r>
      <w:r w:rsidRPr="00C15DA2">
        <w:lastRenderedPageBreak/>
        <w:t>daily, or 70 mg twice daily group. The non-inferiority criteria were met for the primary efficacy endpoint at 6 months analysis. Results for each of the 4 individual regimens demonstrated comparable efficacy for MCyR and for a variety of secondary endpoints.  At 2-Year analysis, the median duration of treatment was approximately 22 months (range &lt;1 to 31 months). In patients with resistant or intolerant chronic phase CML, the median duration of treatment for patients still on therapy (n=205) was 59 months (range 28 to 66 months).</w:t>
      </w:r>
    </w:p>
    <w:p w14:paraId="5888787E" w14:textId="25891C58" w:rsidR="00F4383A" w:rsidRPr="00C15DA2" w:rsidRDefault="00F4383A" w:rsidP="00C15DA2">
      <w:r w:rsidRPr="00C15DA2">
        <w:t xml:space="preserve">Efficacy results at 2 year analysis are presented in Tables </w:t>
      </w:r>
      <w:r w:rsidR="00510F98">
        <w:t>11</w:t>
      </w:r>
      <w:r w:rsidRPr="00C15DA2">
        <w:t xml:space="preserve"> and </w:t>
      </w:r>
      <w:r w:rsidR="00510F98">
        <w:t>12</w:t>
      </w:r>
      <w:r w:rsidRPr="00C15DA2">
        <w:t>. Efficacy was achieved across all SPRYCEL treatment groups with the once daily schedule demonstrating comparable efficacy (non-inferiority) to the twice daily schedule on the primary efficacy end-point (difference in MCyR 1.9%; 95% confidence interval [</w:t>
      </w:r>
      <w:r w:rsidRPr="00C15DA2">
        <w:noBreakHyphen/>
        <w:t>6.8% - 10.6%]). However, the 100 mg once daily regimen had improved tolerability.</w:t>
      </w:r>
    </w:p>
    <w:p w14:paraId="7839B38C" w14:textId="5393647D" w:rsidR="00F4383A" w:rsidRPr="00C15DA2" w:rsidRDefault="00F4383A" w:rsidP="00C15DA2">
      <w:pPr>
        <w:pStyle w:val="CM69"/>
        <w:spacing w:line="253" w:lineRule="atLeast"/>
        <w:ind w:left="2127" w:hanging="2127"/>
        <w:rPr>
          <w:sz w:val="22"/>
          <w:szCs w:val="22"/>
        </w:rPr>
      </w:pPr>
      <w:r w:rsidRPr="00C15DA2">
        <w:rPr>
          <w:b/>
          <w:sz w:val="22"/>
          <w:szCs w:val="22"/>
        </w:rPr>
        <w:t xml:space="preserve">Table </w:t>
      </w:r>
      <w:r w:rsidR="00510F98">
        <w:rPr>
          <w:b/>
          <w:sz w:val="22"/>
          <w:szCs w:val="22"/>
        </w:rPr>
        <w:t>11</w:t>
      </w:r>
      <w:r w:rsidRPr="00C15DA2">
        <w:rPr>
          <w:b/>
          <w:sz w:val="22"/>
          <w:szCs w:val="22"/>
        </w:rPr>
        <w:t xml:space="preserve">: </w:t>
      </w:r>
      <w:r w:rsidR="00C15DA2">
        <w:rPr>
          <w:b/>
          <w:sz w:val="22"/>
          <w:szCs w:val="22"/>
        </w:rPr>
        <w:tab/>
      </w:r>
      <w:r w:rsidRPr="00C15DA2">
        <w:rPr>
          <w:b/>
          <w:sz w:val="22"/>
          <w:szCs w:val="22"/>
        </w:rPr>
        <w:t>Efficacy of SPRYCEL in Phase III Dose-Optimisation Study: Chronic Phase CML (2 year results)</w:t>
      </w:r>
      <w:r w:rsidR="00355E86" w:rsidRPr="00355E86">
        <w:rPr>
          <w:b/>
          <w:sz w:val="22"/>
          <w:szCs w:val="22"/>
          <w:vertAlign w:val="superscript"/>
        </w:rPr>
        <w:t>a</w:t>
      </w:r>
    </w:p>
    <w:tbl>
      <w:tblPr>
        <w:tblW w:w="3507" w:type="pct"/>
        <w:jc w:val="center"/>
        <w:tblBorders>
          <w:top w:val="nil"/>
          <w:left w:val="nil"/>
          <w:bottom w:val="nil"/>
          <w:right w:val="nil"/>
        </w:tblBorders>
        <w:tblLook w:val="0000" w:firstRow="0" w:lastRow="0" w:firstColumn="0" w:lastColumn="0" w:noHBand="0" w:noVBand="0"/>
      </w:tblPr>
      <w:tblGrid>
        <w:gridCol w:w="4501"/>
        <w:gridCol w:w="1692"/>
        <w:gridCol w:w="289"/>
      </w:tblGrid>
      <w:tr w:rsidR="00F4383A" w:rsidRPr="00265791" w14:paraId="0BE0A474" w14:textId="77777777" w:rsidTr="00670FE9">
        <w:trPr>
          <w:trHeight w:val="225"/>
          <w:jc w:val="center"/>
        </w:trPr>
        <w:tc>
          <w:tcPr>
            <w:tcW w:w="3472" w:type="pct"/>
            <w:tcBorders>
              <w:top w:val="single" w:sz="5" w:space="0" w:color="000000"/>
            </w:tcBorders>
          </w:tcPr>
          <w:p w14:paraId="58A9FDDD" w14:textId="77777777" w:rsidR="00F4383A" w:rsidRPr="00265791" w:rsidRDefault="00F4383A" w:rsidP="00F75E7E">
            <w:pPr>
              <w:pStyle w:val="Default"/>
              <w:rPr>
                <w:color w:val="auto"/>
                <w:sz w:val="20"/>
                <w:szCs w:val="20"/>
              </w:rPr>
            </w:pPr>
          </w:p>
        </w:tc>
        <w:tc>
          <w:tcPr>
            <w:tcW w:w="1305" w:type="pct"/>
            <w:tcBorders>
              <w:top w:val="single" w:sz="5" w:space="0" w:color="000000"/>
            </w:tcBorders>
          </w:tcPr>
          <w:p w14:paraId="0C7CF8CE" w14:textId="34754F07" w:rsidR="00F4383A" w:rsidRPr="00265791" w:rsidRDefault="00F4383A" w:rsidP="00F75E7E">
            <w:pPr>
              <w:pStyle w:val="Default"/>
              <w:jc w:val="center"/>
              <w:rPr>
                <w:b/>
                <w:color w:val="auto"/>
                <w:sz w:val="20"/>
                <w:szCs w:val="20"/>
              </w:rPr>
            </w:pPr>
          </w:p>
        </w:tc>
        <w:tc>
          <w:tcPr>
            <w:tcW w:w="224" w:type="pct"/>
            <w:tcBorders>
              <w:top w:val="single" w:sz="5" w:space="0" w:color="000000"/>
            </w:tcBorders>
          </w:tcPr>
          <w:p w14:paraId="3161B16E" w14:textId="77777777" w:rsidR="00F4383A" w:rsidRPr="00265791" w:rsidRDefault="00F4383A" w:rsidP="00F75E7E">
            <w:pPr>
              <w:pStyle w:val="Default"/>
              <w:jc w:val="center"/>
              <w:rPr>
                <w:color w:val="auto"/>
                <w:sz w:val="20"/>
                <w:szCs w:val="20"/>
              </w:rPr>
            </w:pPr>
          </w:p>
        </w:tc>
      </w:tr>
      <w:tr w:rsidR="00F4383A" w:rsidRPr="00265791" w14:paraId="3E2C3554" w14:textId="77777777" w:rsidTr="00670FE9">
        <w:trPr>
          <w:trHeight w:val="208"/>
          <w:jc w:val="center"/>
        </w:trPr>
        <w:tc>
          <w:tcPr>
            <w:tcW w:w="3472" w:type="pct"/>
            <w:tcBorders>
              <w:bottom w:val="single" w:sz="5" w:space="0" w:color="000000"/>
            </w:tcBorders>
          </w:tcPr>
          <w:p w14:paraId="4411A14D" w14:textId="77777777" w:rsidR="00F4383A" w:rsidRPr="00265791" w:rsidRDefault="00F4383A" w:rsidP="00F75E7E">
            <w:pPr>
              <w:pStyle w:val="Default"/>
              <w:rPr>
                <w:color w:val="auto"/>
                <w:sz w:val="20"/>
                <w:szCs w:val="20"/>
              </w:rPr>
            </w:pPr>
            <w:r w:rsidRPr="00265791">
              <w:rPr>
                <w:b/>
                <w:bCs/>
                <w:color w:val="auto"/>
                <w:sz w:val="20"/>
                <w:szCs w:val="20"/>
              </w:rPr>
              <w:t xml:space="preserve">All Patients  </w:t>
            </w:r>
          </w:p>
        </w:tc>
        <w:tc>
          <w:tcPr>
            <w:tcW w:w="1305" w:type="pct"/>
            <w:tcBorders>
              <w:bottom w:val="single" w:sz="5" w:space="0" w:color="000000"/>
            </w:tcBorders>
          </w:tcPr>
          <w:p w14:paraId="7365D26C" w14:textId="77777777" w:rsidR="00F4383A" w:rsidRPr="00265791" w:rsidRDefault="00F4383A" w:rsidP="00F75E7E">
            <w:pPr>
              <w:pStyle w:val="Default"/>
              <w:jc w:val="center"/>
              <w:rPr>
                <w:b/>
                <w:color w:val="auto"/>
                <w:sz w:val="20"/>
                <w:szCs w:val="20"/>
              </w:rPr>
            </w:pPr>
            <w:r w:rsidRPr="00265791">
              <w:rPr>
                <w:b/>
                <w:bCs/>
                <w:color w:val="auto"/>
                <w:sz w:val="20"/>
                <w:szCs w:val="20"/>
              </w:rPr>
              <w:t>n = 167</w:t>
            </w:r>
          </w:p>
        </w:tc>
        <w:tc>
          <w:tcPr>
            <w:tcW w:w="224" w:type="pct"/>
            <w:tcBorders>
              <w:bottom w:val="single" w:sz="5" w:space="0" w:color="000000"/>
            </w:tcBorders>
          </w:tcPr>
          <w:p w14:paraId="24467611" w14:textId="77777777" w:rsidR="00F4383A" w:rsidRPr="00265791" w:rsidRDefault="00F4383A" w:rsidP="00F75E7E">
            <w:pPr>
              <w:pStyle w:val="Default"/>
              <w:jc w:val="center"/>
              <w:rPr>
                <w:color w:val="auto"/>
                <w:sz w:val="20"/>
                <w:szCs w:val="20"/>
              </w:rPr>
            </w:pPr>
          </w:p>
        </w:tc>
      </w:tr>
      <w:tr w:rsidR="00F4383A" w:rsidRPr="00265791" w14:paraId="01308DA5" w14:textId="77777777" w:rsidTr="00670FE9">
        <w:trPr>
          <w:trHeight w:val="255"/>
          <w:jc w:val="center"/>
        </w:trPr>
        <w:tc>
          <w:tcPr>
            <w:tcW w:w="3472" w:type="pct"/>
            <w:tcBorders>
              <w:top w:val="single" w:sz="5" w:space="0" w:color="000000"/>
              <w:bottom w:val="single" w:sz="5" w:space="0" w:color="000000"/>
            </w:tcBorders>
            <w:vAlign w:val="center"/>
          </w:tcPr>
          <w:p w14:paraId="4106B879" w14:textId="77777777" w:rsidR="00F4383A" w:rsidRPr="00265791" w:rsidRDefault="00F4383A" w:rsidP="00F75E7E">
            <w:pPr>
              <w:pStyle w:val="Default"/>
              <w:rPr>
                <w:color w:val="auto"/>
                <w:sz w:val="20"/>
                <w:szCs w:val="20"/>
              </w:rPr>
            </w:pPr>
            <w:r w:rsidRPr="00265791">
              <w:rPr>
                <w:b/>
                <w:bCs/>
                <w:color w:val="auto"/>
                <w:sz w:val="20"/>
                <w:szCs w:val="20"/>
              </w:rPr>
              <w:t xml:space="preserve">Imatinib-Resistant Patients </w:t>
            </w:r>
          </w:p>
        </w:tc>
        <w:tc>
          <w:tcPr>
            <w:tcW w:w="1305" w:type="pct"/>
            <w:tcBorders>
              <w:top w:val="single" w:sz="5" w:space="0" w:color="000000"/>
              <w:bottom w:val="single" w:sz="5" w:space="0" w:color="000000"/>
            </w:tcBorders>
          </w:tcPr>
          <w:p w14:paraId="39DFD572" w14:textId="77777777" w:rsidR="00F4383A" w:rsidRPr="00265791" w:rsidRDefault="00F4383A" w:rsidP="00F75E7E">
            <w:pPr>
              <w:pStyle w:val="Default"/>
              <w:jc w:val="center"/>
              <w:rPr>
                <w:b/>
                <w:color w:val="auto"/>
                <w:sz w:val="20"/>
                <w:szCs w:val="20"/>
              </w:rPr>
            </w:pPr>
            <w:r w:rsidRPr="00265791">
              <w:rPr>
                <w:b/>
                <w:bCs/>
                <w:color w:val="auto"/>
                <w:sz w:val="20"/>
                <w:szCs w:val="20"/>
              </w:rPr>
              <w:t>n = 124</w:t>
            </w:r>
          </w:p>
        </w:tc>
        <w:tc>
          <w:tcPr>
            <w:tcW w:w="224" w:type="pct"/>
            <w:tcBorders>
              <w:top w:val="single" w:sz="5" w:space="0" w:color="000000"/>
              <w:bottom w:val="single" w:sz="5" w:space="0" w:color="000000"/>
            </w:tcBorders>
            <w:vAlign w:val="center"/>
          </w:tcPr>
          <w:p w14:paraId="5B0C47EF" w14:textId="77777777" w:rsidR="00F4383A" w:rsidRPr="00265791" w:rsidRDefault="00F4383A" w:rsidP="00F75E7E">
            <w:pPr>
              <w:pStyle w:val="Default"/>
              <w:jc w:val="center"/>
              <w:rPr>
                <w:color w:val="auto"/>
                <w:sz w:val="20"/>
                <w:szCs w:val="20"/>
              </w:rPr>
            </w:pPr>
          </w:p>
        </w:tc>
      </w:tr>
      <w:tr w:rsidR="00F4383A" w:rsidRPr="00265791" w14:paraId="5D40C6DA" w14:textId="77777777" w:rsidTr="00670FE9">
        <w:trPr>
          <w:trHeight w:val="358"/>
          <w:jc w:val="center"/>
        </w:trPr>
        <w:tc>
          <w:tcPr>
            <w:tcW w:w="3472" w:type="pct"/>
            <w:tcBorders>
              <w:top w:val="single" w:sz="5" w:space="0" w:color="000000"/>
              <w:bottom w:val="single" w:sz="5" w:space="0" w:color="000000"/>
            </w:tcBorders>
            <w:vAlign w:val="center"/>
          </w:tcPr>
          <w:p w14:paraId="3EB6A30C" w14:textId="77777777" w:rsidR="00F4383A" w:rsidRPr="00265791" w:rsidRDefault="00F4383A" w:rsidP="00F75E7E">
            <w:pPr>
              <w:pStyle w:val="Default"/>
              <w:rPr>
                <w:color w:val="auto"/>
                <w:sz w:val="20"/>
                <w:szCs w:val="20"/>
                <w:lang w:val="it-IT"/>
              </w:rPr>
            </w:pPr>
            <w:r w:rsidRPr="00265791">
              <w:rPr>
                <w:b/>
                <w:bCs/>
                <w:color w:val="auto"/>
                <w:sz w:val="20"/>
                <w:szCs w:val="20"/>
                <w:lang w:val="it-IT"/>
              </w:rPr>
              <w:t>Haematologic Response Rate</w:t>
            </w:r>
            <w:r w:rsidRPr="00265791">
              <w:rPr>
                <w:b/>
                <w:color w:val="auto"/>
                <w:sz w:val="14"/>
                <w:szCs w:val="14"/>
                <w:lang w:val="it-IT"/>
              </w:rPr>
              <w:t xml:space="preserve"> </w:t>
            </w:r>
            <w:r w:rsidRPr="00265791">
              <w:rPr>
                <w:b/>
                <w:color w:val="auto"/>
                <w:sz w:val="20"/>
                <w:szCs w:val="20"/>
                <w:vertAlign w:val="superscript"/>
                <w:lang w:val="it-IT"/>
              </w:rPr>
              <w:t>b</w:t>
            </w:r>
            <w:r w:rsidRPr="00265791">
              <w:rPr>
                <w:color w:val="auto"/>
                <w:sz w:val="20"/>
                <w:szCs w:val="20"/>
                <w:lang w:val="it-IT"/>
              </w:rPr>
              <w:t xml:space="preserve"> </w:t>
            </w:r>
            <w:r w:rsidRPr="00265791">
              <w:rPr>
                <w:b/>
                <w:bCs/>
                <w:color w:val="auto"/>
                <w:sz w:val="20"/>
                <w:szCs w:val="20"/>
                <w:lang w:val="it-IT"/>
              </w:rPr>
              <w:t xml:space="preserve">(%) (95% CI) </w:t>
            </w:r>
          </w:p>
        </w:tc>
        <w:tc>
          <w:tcPr>
            <w:tcW w:w="1305" w:type="pct"/>
            <w:tcBorders>
              <w:top w:val="single" w:sz="5" w:space="0" w:color="000000"/>
              <w:bottom w:val="single" w:sz="5" w:space="0" w:color="000000"/>
            </w:tcBorders>
          </w:tcPr>
          <w:p w14:paraId="7F99CE5C" w14:textId="77777777" w:rsidR="00F4383A" w:rsidRPr="00265791" w:rsidRDefault="00F4383A" w:rsidP="00355E86">
            <w:pPr>
              <w:pStyle w:val="Default"/>
              <w:ind w:right="-257"/>
              <w:jc w:val="center"/>
              <w:rPr>
                <w:b/>
                <w:color w:val="auto"/>
                <w:lang w:val="it-IT"/>
              </w:rPr>
            </w:pPr>
          </w:p>
        </w:tc>
        <w:tc>
          <w:tcPr>
            <w:tcW w:w="224" w:type="pct"/>
            <w:tcBorders>
              <w:top w:val="single" w:sz="5" w:space="0" w:color="000000"/>
              <w:bottom w:val="single" w:sz="5" w:space="0" w:color="000000"/>
            </w:tcBorders>
          </w:tcPr>
          <w:p w14:paraId="4A8EA445" w14:textId="77777777" w:rsidR="00F4383A" w:rsidRPr="00265791" w:rsidRDefault="00F4383A" w:rsidP="00F75E7E">
            <w:pPr>
              <w:pStyle w:val="Default"/>
              <w:jc w:val="center"/>
              <w:rPr>
                <w:color w:val="auto"/>
                <w:lang w:val="it-IT"/>
              </w:rPr>
            </w:pPr>
          </w:p>
        </w:tc>
      </w:tr>
      <w:tr w:rsidR="00F4383A" w:rsidRPr="00265791" w14:paraId="4EC447B3" w14:textId="77777777" w:rsidTr="00670FE9">
        <w:trPr>
          <w:trHeight w:val="263"/>
          <w:jc w:val="center"/>
        </w:trPr>
        <w:tc>
          <w:tcPr>
            <w:tcW w:w="3472" w:type="pct"/>
            <w:tcBorders>
              <w:top w:val="single" w:sz="5" w:space="0" w:color="000000"/>
              <w:bottom w:val="single" w:sz="5" w:space="0" w:color="000000"/>
            </w:tcBorders>
          </w:tcPr>
          <w:p w14:paraId="19198698" w14:textId="77777777" w:rsidR="00F4383A" w:rsidRPr="00265791" w:rsidRDefault="00F4383A" w:rsidP="00F75E7E">
            <w:pPr>
              <w:pStyle w:val="Default"/>
              <w:rPr>
                <w:color w:val="auto"/>
                <w:sz w:val="20"/>
                <w:szCs w:val="20"/>
              </w:rPr>
            </w:pPr>
            <w:r w:rsidRPr="00265791">
              <w:rPr>
                <w:color w:val="auto"/>
                <w:sz w:val="20"/>
                <w:szCs w:val="20"/>
              </w:rPr>
              <w:t xml:space="preserve">CHR </w:t>
            </w:r>
          </w:p>
        </w:tc>
        <w:tc>
          <w:tcPr>
            <w:tcW w:w="1305" w:type="pct"/>
            <w:tcBorders>
              <w:top w:val="single" w:sz="5" w:space="0" w:color="000000"/>
              <w:bottom w:val="single" w:sz="5" w:space="0" w:color="000000"/>
            </w:tcBorders>
          </w:tcPr>
          <w:p w14:paraId="034D3031" w14:textId="77777777" w:rsidR="00F4383A" w:rsidRPr="00265791" w:rsidRDefault="00F4383A" w:rsidP="00F75E7E">
            <w:pPr>
              <w:pStyle w:val="Default"/>
              <w:jc w:val="center"/>
              <w:rPr>
                <w:b/>
                <w:color w:val="auto"/>
                <w:sz w:val="20"/>
                <w:szCs w:val="20"/>
              </w:rPr>
            </w:pPr>
            <w:r w:rsidRPr="00265791">
              <w:rPr>
                <w:b/>
                <w:color w:val="auto"/>
                <w:sz w:val="20"/>
                <w:szCs w:val="20"/>
              </w:rPr>
              <w:t>92% (86-95)</w:t>
            </w:r>
          </w:p>
        </w:tc>
        <w:tc>
          <w:tcPr>
            <w:tcW w:w="224" w:type="pct"/>
            <w:tcBorders>
              <w:top w:val="single" w:sz="5" w:space="0" w:color="000000"/>
              <w:bottom w:val="single" w:sz="5" w:space="0" w:color="000000"/>
            </w:tcBorders>
          </w:tcPr>
          <w:p w14:paraId="433E7967" w14:textId="77777777" w:rsidR="00F4383A" w:rsidRPr="00265791" w:rsidRDefault="00F4383A" w:rsidP="00F75E7E">
            <w:pPr>
              <w:pStyle w:val="Default"/>
              <w:jc w:val="center"/>
              <w:rPr>
                <w:color w:val="auto"/>
                <w:sz w:val="20"/>
                <w:szCs w:val="20"/>
              </w:rPr>
            </w:pPr>
          </w:p>
        </w:tc>
      </w:tr>
      <w:tr w:rsidR="00F4383A" w:rsidRPr="00265791" w14:paraId="3485DF53" w14:textId="77777777" w:rsidTr="00670FE9">
        <w:trPr>
          <w:trHeight w:val="338"/>
          <w:jc w:val="center"/>
        </w:trPr>
        <w:tc>
          <w:tcPr>
            <w:tcW w:w="3472" w:type="pct"/>
            <w:tcBorders>
              <w:top w:val="single" w:sz="5" w:space="0" w:color="000000"/>
              <w:bottom w:val="single" w:sz="5" w:space="0" w:color="000000"/>
            </w:tcBorders>
          </w:tcPr>
          <w:p w14:paraId="5AFF825B" w14:textId="77777777" w:rsidR="00F4383A" w:rsidRPr="00265791" w:rsidRDefault="00F4383A" w:rsidP="00F75E7E">
            <w:pPr>
              <w:pStyle w:val="Default"/>
              <w:rPr>
                <w:color w:val="auto"/>
                <w:sz w:val="20"/>
                <w:szCs w:val="20"/>
              </w:rPr>
            </w:pPr>
            <w:r w:rsidRPr="00265791">
              <w:rPr>
                <w:b/>
                <w:bCs/>
                <w:color w:val="auto"/>
                <w:sz w:val="20"/>
                <w:szCs w:val="20"/>
              </w:rPr>
              <w:t xml:space="preserve">Cytogenetic Response </w:t>
            </w:r>
            <w:r w:rsidRPr="00265791">
              <w:rPr>
                <w:b/>
                <w:bCs/>
                <w:color w:val="auto"/>
                <w:sz w:val="20"/>
                <w:szCs w:val="20"/>
                <w:vertAlign w:val="superscript"/>
              </w:rPr>
              <w:t>c</w:t>
            </w:r>
            <w:r w:rsidRPr="00265791">
              <w:rPr>
                <w:b/>
                <w:bCs/>
                <w:color w:val="auto"/>
                <w:sz w:val="20"/>
                <w:szCs w:val="20"/>
              </w:rPr>
              <w:t xml:space="preserve"> (%) (95% CI) </w:t>
            </w:r>
          </w:p>
        </w:tc>
        <w:tc>
          <w:tcPr>
            <w:tcW w:w="1305" w:type="pct"/>
            <w:tcBorders>
              <w:top w:val="single" w:sz="5" w:space="0" w:color="000000"/>
              <w:bottom w:val="single" w:sz="5" w:space="0" w:color="000000"/>
            </w:tcBorders>
          </w:tcPr>
          <w:p w14:paraId="1738BF38" w14:textId="77777777" w:rsidR="00F4383A" w:rsidRPr="00265791" w:rsidRDefault="00F4383A" w:rsidP="00F75E7E">
            <w:pPr>
              <w:pStyle w:val="Default"/>
              <w:jc w:val="center"/>
              <w:rPr>
                <w:b/>
                <w:color w:val="auto"/>
              </w:rPr>
            </w:pPr>
          </w:p>
        </w:tc>
        <w:tc>
          <w:tcPr>
            <w:tcW w:w="224" w:type="pct"/>
            <w:tcBorders>
              <w:top w:val="single" w:sz="5" w:space="0" w:color="000000"/>
              <w:bottom w:val="single" w:sz="5" w:space="0" w:color="000000"/>
            </w:tcBorders>
          </w:tcPr>
          <w:p w14:paraId="770C78DE" w14:textId="77777777" w:rsidR="00F4383A" w:rsidRPr="00265791" w:rsidRDefault="00F4383A" w:rsidP="00F75E7E">
            <w:pPr>
              <w:pStyle w:val="Default"/>
              <w:jc w:val="center"/>
              <w:rPr>
                <w:color w:val="auto"/>
              </w:rPr>
            </w:pPr>
          </w:p>
        </w:tc>
      </w:tr>
      <w:tr w:rsidR="00F4383A" w:rsidRPr="00265791" w14:paraId="307515DA" w14:textId="77777777" w:rsidTr="00670FE9">
        <w:trPr>
          <w:trHeight w:val="250"/>
          <w:jc w:val="center"/>
        </w:trPr>
        <w:tc>
          <w:tcPr>
            <w:tcW w:w="3472" w:type="pct"/>
            <w:tcBorders>
              <w:top w:val="single" w:sz="5" w:space="0" w:color="000000"/>
            </w:tcBorders>
          </w:tcPr>
          <w:p w14:paraId="0ED5449A" w14:textId="77777777" w:rsidR="00F4383A" w:rsidRPr="00265791" w:rsidRDefault="00F4383A" w:rsidP="00F75E7E">
            <w:pPr>
              <w:pStyle w:val="Default"/>
              <w:rPr>
                <w:color w:val="auto"/>
                <w:sz w:val="20"/>
                <w:szCs w:val="20"/>
              </w:rPr>
            </w:pPr>
            <w:r w:rsidRPr="00265791">
              <w:rPr>
                <w:color w:val="auto"/>
                <w:sz w:val="20"/>
                <w:szCs w:val="20"/>
              </w:rPr>
              <w:t xml:space="preserve">MCyR </w:t>
            </w:r>
          </w:p>
        </w:tc>
        <w:tc>
          <w:tcPr>
            <w:tcW w:w="1305" w:type="pct"/>
            <w:tcBorders>
              <w:top w:val="single" w:sz="5" w:space="0" w:color="000000"/>
            </w:tcBorders>
          </w:tcPr>
          <w:p w14:paraId="26B58C6F" w14:textId="77777777" w:rsidR="00F4383A" w:rsidRPr="00265791" w:rsidRDefault="00F4383A" w:rsidP="00F75E7E">
            <w:pPr>
              <w:pStyle w:val="Default"/>
              <w:jc w:val="center"/>
              <w:rPr>
                <w:b/>
                <w:color w:val="auto"/>
              </w:rPr>
            </w:pPr>
          </w:p>
        </w:tc>
        <w:tc>
          <w:tcPr>
            <w:tcW w:w="224" w:type="pct"/>
            <w:tcBorders>
              <w:top w:val="single" w:sz="5" w:space="0" w:color="000000"/>
            </w:tcBorders>
          </w:tcPr>
          <w:p w14:paraId="1DD9328D" w14:textId="77777777" w:rsidR="00F4383A" w:rsidRPr="00265791" w:rsidRDefault="00F4383A" w:rsidP="00F75E7E">
            <w:pPr>
              <w:pStyle w:val="Default"/>
              <w:jc w:val="center"/>
              <w:rPr>
                <w:color w:val="auto"/>
              </w:rPr>
            </w:pPr>
          </w:p>
        </w:tc>
      </w:tr>
      <w:tr w:rsidR="00F4383A" w:rsidRPr="00265791" w14:paraId="3A5638DB" w14:textId="77777777" w:rsidTr="00670FE9">
        <w:trPr>
          <w:trHeight w:val="230"/>
          <w:jc w:val="center"/>
        </w:trPr>
        <w:tc>
          <w:tcPr>
            <w:tcW w:w="3472" w:type="pct"/>
          </w:tcPr>
          <w:p w14:paraId="16D422BE" w14:textId="77777777" w:rsidR="00F4383A" w:rsidRPr="00265791" w:rsidRDefault="00F4383A" w:rsidP="00F75E7E">
            <w:pPr>
              <w:pStyle w:val="Default"/>
              <w:rPr>
                <w:color w:val="auto"/>
                <w:sz w:val="20"/>
                <w:szCs w:val="20"/>
              </w:rPr>
            </w:pPr>
            <w:r w:rsidRPr="00265791">
              <w:rPr>
                <w:color w:val="auto"/>
                <w:sz w:val="20"/>
                <w:szCs w:val="20"/>
              </w:rPr>
              <w:t xml:space="preserve">All Patients </w:t>
            </w:r>
          </w:p>
        </w:tc>
        <w:tc>
          <w:tcPr>
            <w:tcW w:w="1305" w:type="pct"/>
          </w:tcPr>
          <w:p w14:paraId="63457EA1" w14:textId="77777777" w:rsidR="00F4383A" w:rsidRPr="00265791" w:rsidRDefault="00F4383A" w:rsidP="00F75E7E">
            <w:pPr>
              <w:pStyle w:val="Default"/>
              <w:jc w:val="center"/>
              <w:rPr>
                <w:b/>
                <w:color w:val="auto"/>
                <w:sz w:val="20"/>
                <w:szCs w:val="20"/>
              </w:rPr>
            </w:pPr>
            <w:r w:rsidRPr="00265791">
              <w:rPr>
                <w:b/>
                <w:color w:val="auto"/>
                <w:sz w:val="20"/>
                <w:szCs w:val="20"/>
              </w:rPr>
              <w:t>63% (56-71)</w:t>
            </w:r>
          </w:p>
        </w:tc>
        <w:tc>
          <w:tcPr>
            <w:tcW w:w="224" w:type="pct"/>
          </w:tcPr>
          <w:p w14:paraId="7C17DBBF" w14:textId="77777777" w:rsidR="00F4383A" w:rsidRPr="00265791" w:rsidRDefault="00F4383A" w:rsidP="00F75E7E">
            <w:pPr>
              <w:pStyle w:val="Default"/>
              <w:jc w:val="center"/>
              <w:rPr>
                <w:color w:val="auto"/>
                <w:sz w:val="20"/>
                <w:szCs w:val="20"/>
              </w:rPr>
            </w:pPr>
          </w:p>
        </w:tc>
      </w:tr>
      <w:tr w:rsidR="00F4383A" w:rsidRPr="00265791" w14:paraId="3FE25A9A" w14:textId="77777777" w:rsidTr="00670FE9">
        <w:trPr>
          <w:trHeight w:val="230"/>
          <w:jc w:val="center"/>
        </w:trPr>
        <w:tc>
          <w:tcPr>
            <w:tcW w:w="3472" w:type="pct"/>
          </w:tcPr>
          <w:p w14:paraId="18CFF6D0" w14:textId="77777777" w:rsidR="00F4383A" w:rsidRPr="00265791" w:rsidRDefault="00F4383A" w:rsidP="00F75E7E">
            <w:pPr>
              <w:pStyle w:val="Default"/>
              <w:rPr>
                <w:color w:val="auto"/>
                <w:sz w:val="20"/>
                <w:szCs w:val="20"/>
              </w:rPr>
            </w:pPr>
            <w:r w:rsidRPr="00265791">
              <w:rPr>
                <w:color w:val="auto"/>
                <w:sz w:val="20"/>
                <w:szCs w:val="20"/>
              </w:rPr>
              <w:t xml:space="preserve">Imatinib-Resistant Patients   </w:t>
            </w:r>
          </w:p>
        </w:tc>
        <w:tc>
          <w:tcPr>
            <w:tcW w:w="1305" w:type="pct"/>
          </w:tcPr>
          <w:p w14:paraId="7D3C4773" w14:textId="77777777" w:rsidR="00F4383A" w:rsidRPr="00265791" w:rsidRDefault="00F4383A" w:rsidP="00F75E7E">
            <w:pPr>
              <w:pStyle w:val="Default"/>
              <w:jc w:val="center"/>
              <w:rPr>
                <w:b/>
                <w:color w:val="auto"/>
                <w:sz w:val="20"/>
                <w:szCs w:val="20"/>
              </w:rPr>
            </w:pPr>
            <w:r w:rsidRPr="00265791">
              <w:rPr>
                <w:b/>
                <w:color w:val="auto"/>
                <w:sz w:val="20"/>
                <w:szCs w:val="20"/>
              </w:rPr>
              <w:t>59% (50-68)</w:t>
            </w:r>
          </w:p>
        </w:tc>
        <w:tc>
          <w:tcPr>
            <w:tcW w:w="224" w:type="pct"/>
          </w:tcPr>
          <w:p w14:paraId="0C8E0855" w14:textId="77777777" w:rsidR="00F4383A" w:rsidRPr="00265791" w:rsidRDefault="00F4383A" w:rsidP="00F75E7E">
            <w:pPr>
              <w:pStyle w:val="Default"/>
              <w:jc w:val="center"/>
              <w:rPr>
                <w:color w:val="auto"/>
                <w:sz w:val="20"/>
                <w:szCs w:val="20"/>
              </w:rPr>
            </w:pPr>
          </w:p>
        </w:tc>
      </w:tr>
      <w:tr w:rsidR="00F4383A" w:rsidRPr="00265791" w14:paraId="61644B0F" w14:textId="77777777" w:rsidTr="00670FE9">
        <w:trPr>
          <w:trHeight w:val="230"/>
          <w:jc w:val="center"/>
        </w:trPr>
        <w:tc>
          <w:tcPr>
            <w:tcW w:w="3472" w:type="pct"/>
          </w:tcPr>
          <w:p w14:paraId="69BAA8D9" w14:textId="77777777" w:rsidR="00F4383A" w:rsidRPr="00265791" w:rsidRDefault="00F4383A" w:rsidP="00F75E7E">
            <w:pPr>
              <w:pStyle w:val="Default"/>
              <w:rPr>
                <w:color w:val="auto"/>
                <w:sz w:val="20"/>
                <w:szCs w:val="20"/>
              </w:rPr>
            </w:pPr>
            <w:r w:rsidRPr="00265791">
              <w:rPr>
                <w:color w:val="auto"/>
                <w:sz w:val="20"/>
                <w:szCs w:val="20"/>
              </w:rPr>
              <w:t xml:space="preserve">CCyR </w:t>
            </w:r>
          </w:p>
        </w:tc>
        <w:tc>
          <w:tcPr>
            <w:tcW w:w="1305" w:type="pct"/>
          </w:tcPr>
          <w:p w14:paraId="38EC840B" w14:textId="77777777" w:rsidR="00F4383A" w:rsidRPr="00265791" w:rsidRDefault="00F4383A" w:rsidP="00F75E7E">
            <w:pPr>
              <w:pStyle w:val="Default"/>
              <w:jc w:val="center"/>
              <w:rPr>
                <w:b/>
                <w:color w:val="auto"/>
              </w:rPr>
            </w:pPr>
          </w:p>
        </w:tc>
        <w:tc>
          <w:tcPr>
            <w:tcW w:w="224" w:type="pct"/>
          </w:tcPr>
          <w:p w14:paraId="64927375" w14:textId="77777777" w:rsidR="00F4383A" w:rsidRPr="00265791" w:rsidRDefault="00F4383A" w:rsidP="00F75E7E">
            <w:pPr>
              <w:pStyle w:val="Default"/>
              <w:jc w:val="center"/>
              <w:rPr>
                <w:color w:val="auto"/>
              </w:rPr>
            </w:pPr>
          </w:p>
        </w:tc>
      </w:tr>
      <w:tr w:rsidR="00F4383A" w:rsidRPr="00265791" w14:paraId="2D770B97" w14:textId="77777777" w:rsidTr="00670FE9">
        <w:trPr>
          <w:trHeight w:val="228"/>
          <w:jc w:val="center"/>
        </w:trPr>
        <w:tc>
          <w:tcPr>
            <w:tcW w:w="3472" w:type="pct"/>
          </w:tcPr>
          <w:p w14:paraId="5FA06C71" w14:textId="77777777" w:rsidR="00F4383A" w:rsidRPr="00265791" w:rsidRDefault="00F4383A" w:rsidP="00F75E7E">
            <w:pPr>
              <w:pStyle w:val="Default"/>
              <w:rPr>
                <w:color w:val="auto"/>
                <w:sz w:val="20"/>
                <w:szCs w:val="20"/>
              </w:rPr>
            </w:pPr>
            <w:r w:rsidRPr="00265791">
              <w:rPr>
                <w:color w:val="auto"/>
                <w:sz w:val="20"/>
                <w:szCs w:val="20"/>
              </w:rPr>
              <w:t xml:space="preserve">All Patients </w:t>
            </w:r>
          </w:p>
        </w:tc>
        <w:tc>
          <w:tcPr>
            <w:tcW w:w="1305" w:type="pct"/>
          </w:tcPr>
          <w:p w14:paraId="286D1DC5" w14:textId="77777777" w:rsidR="00F4383A" w:rsidRPr="00265791" w:rsidRDefault="00F4383A" w:rsidP="00F75E7E">
            <w:pPr>
              <w:pStyle w:val="Default"/>
              <w:jc w:val="center"/>
              <w:rPr>
                <w:b/>
                <w:color w:val="auto"/>
                <w:sz w:val="20"/>
                <w:szCs w:val="20"/>
              </w:rPr>
            </w:pPr>
            <w:r w:rsidRPr="00265791">
              <w:rPr>
                <w:b/>
                <w:color w:val="auto"/>
                <w:sz w:val="20"/>
                <w:szCs w:val="20"/>
              </w:rPr>
              <w:t xml:space="preserve">50% (42-58) </w:t>
            </w:r>
          </w:p>
        </w:tc>
        <w:tc>
          <w:tcPr>
            <w:tcW w:w="224" w:type="pct"/>
          </w:tcPr>
          <w:p w14:paraId="7D1BC58F" w14:textId="77777777" w:rsidR="00F4383A" w:rsidRPr="00265791" w:rsidRDefault="00F4383A" w:rsidP="00F75E7E">
            <w:pPr>
              <w:pStyle w:val="Default"/>
              <w:jc w:val="center"/>
              <w:rPr>
                <w:color w:val="auto"/>
                <w:sz w:val="20"/>
                <w:szCs w:val="20"/>
              </w:rPr>
            </w:pPr>
          </w:p>
        </w:tc>
      </w:tr>
      <w:tr w:rsidR="00F4383A" w:rsidRPr="00265791" w14:paraId="0F1B45FF" w14:textId="77777777" w:rsidTr="00670FE9">
        <w:trPr>
          <w:trHeight w:val="220"/>
          <w:jc w:val="center"/>
        </w:trPr>
        <w:tc>
          <w:tcPr>
            <w:tcW w:w="3472" w:type="pct"/>
            <w:tcBorders>
              <w:bottom w:val="single" w:sz="5" w:space="0" w:color="000000"/>
            </w:tcBorders>
          </w:tcPr>
          <w:p w14:paraId="4B047772" w14:textId="77777777" w:rsidR="00F4383A" w:rsidRPr="00265791" w:rsidRDefault="00F4383A" w:rsidP="00F75E7E">
            <w:pPr>
              <w:pStyle w:val="Default"/>
              <w:rPr>
                <w:color w:val="auto"/>
                <w:sz w:val="20"/>
                <w:szCs w:val="20"/>
              </w:rPr>
            </w:pPr>
            <w:r w:rsidRPr="00265791">
              <w:rPr>
                <w:color w:val="auto"/>
                <w:sz w:val="20"/>
                <w:szCs w:val="20"/>
              </w:rPr>
              <w:t xml:space="preserve">Imatinib-Resistant Patients </w:t>
            </w:r>
          </w:p>
        </w:tc>
        <w:tc>
          <w:tcPr>
            <w:tcW w:w="1305" w:type="pct"/>
            <w:tcBorders>
              <w:bottom w:val="single" w:sz="5" w:space="0" w:color="000000"/>
            </w:tcBorders>
          </w:tcPr>
          <w:p w14:paraId="05673738" w14:textId="77777777" w:rsidR="00F4383A" w:rsidRPr="00265791" w:rsidRDefault="00F4383A" w:rsidP="00F75E7E">
            <w:pPr>
              <w:pStyle w:val="Default"/>
              <w:jc w:val="center"/>
              <w:rPr>
                <w:b/>
                <w:color w:val="auto"/>
                <w:sz w:val="20"/>
                <w:szCs w:val="20"/>
              </w:rPr>
            </w:pPr>
            <w:r w:rsidRPr="00265791">
              <w:rPr>
                <w:b/>
                <w:color w:val="auto"/>
                <w:sz w:val="20"/>
                <w:szCs w:val="20"/>
              </w:rPr>
              <w:t xml:space="preserve">44% (35-53)  </w:t>
            </w:r>
          </w:p>
        </w:tc>
        <w:tc>
          <w:tcPr>
            <w:tcW w:w="224" w:type="pct"/>
            <w:tcBorders>
              <w:bottom w:val="single" w:sz="5" w:space="0" w:color="000000"/>
            </w:tcBorders>
          </w:tcPr>
          <w:p w14:paraId="63BE1AE9" w14:textId="77777777" w:rsidR="00F4383A" w:rsidRPr="00265791" w:rsidRDefault="00F4383A" w:rsidP="00F75E7E">
            <w:pPr>
              <w:pStyle w:val="Default"/>
              <w:jc w:val="center"/>
              <w:rPr>
                <w:color w:val="auto"/>
                <w:sz w:val="20"/>
                <w:szCs w:val="20"/>
              </w:rPr>
            </w:pPr>
          </w:p>
        </w:tc>
      </w:tr>
      <w:tr w:rsidR="00F4383A" w:rsidRPr="00265791" w14:paraId="7205D350" w14:textId="77777777" w:rsidTr="00670FE9">
        <w:trPr>
          <w:trHeight w:val="335"/>
          <w:jc w:val="center"/>
        </w:trPr>
        <w:tc>
          <w:tcPr>
            <w:tcW w:w="3472" w:type="pct"/>
            <w:tcBorders>
              <w:top w:val="single" w:sz="5" w:space="0" w:color="000000"/>
              <w:bottom w:val="single" w:sz="5" w:space="0" w:color="000000"/>
            </w:tcBorders>
            <w:vAlign w:val="center"/>
          </w:tcPr>
          <w:p w14:paraId="245909F3" w14:textId="77777777" w:rsidR="00F4383A" w:rsidRPr="00265791" w:rsidRDefault="00F4383A" w:rsidP="00F75E7E">
            <w:pPr>
              <w:pStyle w:val="Default"/>
              <w:rPr>
                <w:color w:val="auto"/>
                <w:sz w:val="20"/>
                <w:szCs w:val="20"/>
              </w:rPr>
            </w:pPr>
            <w:r w:rsidRPr="00265791">
              <w:rPr>
                <w:b/>
                <w:bCs/>
                <w:color w:val="auto"/>
                <w:sz w:val="20"/>
                <w:szCs w:val="20"/>
              </w:rPr>
              <w:t>Major Molecular Response</w:t>
            </w:r>
            <w:r w:rsidRPr="00265791">
              <w:rPr>
                <w:b/>
                <w:bCs/>
                <w:color w:val="auto"/>
                <w:sz w:val="20"/>
                <w:szCs w:val="20"/>
                <w:vertAlign w:val="superscript"/>
              </w:rPr>
              <w:t xml:space="preserve"> d</w:t>
            </w:r>
            <w:r w:rsidRPr="00265791">
              <w:rPr>
                <w:color w:val="auto"/>
                <w:sz w:val="13"/>
                <w:szCs w:val="13"/>
              </w:rPr>
              <w:t xml:space="preserve"> </w:t>
            </w:r>
            <w:r w:rsidRPr="00265791">
              <w:rPr>
                <w:b/>
                <w:bCs/>
                <w:color w:val="auto"/>
                <w:sz w:val="20"/>
                <w:szCs w:val="20"/>
              </w:rPr>
              <w:t xml:space="preserve">(%) (95% CI) </w:t>
            </w:r>
          </w:p>
        </w:tc>
        <w:tc>
          <w:tcPr>
            <w:tcW w:w="1305" w:type="pct"/>
            <w:tcBorders>
              <w:top w:val="single" w:sz="5" w:space="0" w:color="000000"/>
              <w:bottom w:val="single" w:sz="5" w:space="0" w:color="000000"/>
            </w:tcBorders>
          </w:tcPr>
          <w:p w14:paraId="06DF7F9B" w14:textId="77777777" w:rsidR="00F4383A" w:rsidRPr="00265791" w:rsidRDefault="00F4383A" w:rsidP="00F75E7E">
            <w:pPr>
              <w:pStyle w:val="Default"/>
              <w:jc w:val="center"/>
              <w:rPr>
                <w:b/>
                <w:color w:val="auto"/>
              </w:rPr>
            </w:pPr>
          </w:p>
        </w:tc>
        <w:tc>
          <w:tcPr>
            <w:tcW w:w="224" w:type="pct"/>
            <w:tcBorders>
              <w:top w:val="single" w:sz="5" w:space="0" w:color="000000"/>
              <w:bottom w:val="single" w:sz="5" w:space="0" w:color="000000"/>
            </w:tcBorders>
          </w:tcPr>
          <w:p w14:paraId="472F05FF" w14:textId="77777777" w:rsidR="00F4383A" w:rsidRPr="00265791" w:rsidRDefault="00F4383A" w:rsidP="00F75E7E">
            <w:pPr>
              <w:pStyle w:val="Default"/>
              <w:jc w:val="center"/>
              <w:rPr>
                <w:color w:val="auto"/>
              </w:rPr>
            </w:pPr>
          </w:p>
        </w:tc>
      </w:tr>
      <w:tr w:rsidR="00F4383A" w:rsidRPr="00265791" w14:paraId="7AA0E272" w14:textId="77777777" w:rsidTr="00670FE9">
        <w:trPr>
          <w:trHeight w:val="250"/>
          <w:jc w:val="center"/>
        </w:trPr>
        <w:tc>
          <w:tcPr>
            <w:tcW w:w="3472" w:type="pct"/>
            <w:tcBorders>
              <w:top w:val="single" w:sz="5" w:space="0" w:color="000000"/>
            </w:tcBorders>
          </w:tcPr>
          <w:p w14:paraId="64888F6F" w14:textId="77777777" w:rsidR="00F4383A" w:rsidRPr="00265791" w:rsidRDefault="00F4383A" w:rsidP="00F75E7E">
            <w:pPr>
              <w:pStyle w:val="Default"/>
              <w:rPr>
                <w:color w:val="auto"/>
                <w:sz w:val="20"/>
                <w:szCs w:val="20"/>
              </w:rPr>
            </w:pPr>
            <w:r w:rsidRPr="00265791">
              <w:rPr>
                <w:color w:val="auto"/>
                <w:sz w:val="20"/>
                <w:szCs w:val="20"/>
              </w:rPr>
              <w:t xml:space="preserve">All Patients </w:t>
            </w:r>
          </w:p>
        </w:tc>
        <w:tc>
          <w:tcPr>
            <w:tcW w:w="1305" w:type="pct"/>
            <w:tcBorders>
              <w:top w:val="single" w:sz="5" w:space="0" w:color="000000"/>
            </w:tcBorders>
          </w:tcPr>
          <w:p w14:paraId="65F37A67" w14:textId="77777777" w:rsidR="00F4383A" w:rsidRPr="00265791" w:rsidRDefault="00F4383A" w:rsidP="00F75E7E">
            <w:pPr>
              <w:pStyle w:val="Default"/>
              <w:jc w:val="center"/>
              <w:rPr>
                <w:b/>
                <w:color w:val="auto"/>
                <w:sz w:val="20"/>
                <w:szCs w:val="20"/>
              </w:rPr>
            </w:pPr>
            <w:r w:rsidRPr="00265791">
              <w:rPr>
                <w:b/>
                <w:color w:val="auto"/>
                <w:sz w:val="20"/>
                <w:szCs w:val="20"/>
              </w:rPr>
              <w:t>69% (58-79)</w:t>
            </w:r>
          </w:p>
        </w:tc>
        <w:tc>
          <w:tcPr>
            <w:tcW w:w="224" w:type="pct"/>
            <w:tcBorders>
              <w:top w:val="single" w:sz="5" w:space="0" w:color="000000"/>
            </w:tcBorders>
          </w:tcPr>
          <w:p w14:paraId="48AB9C88" w14:textId="77777777" w:rsidR="00F4383A" w:rsidRPr="00265791" w:rsidRDefault="00F4383A" w:rsidP="00F75E7E">
            <w:pPr>
              <w:pStyle w:val="Default"/>
              <w:jc w:val="center"/>
              <w:rPr>
                <w:color w:val="auto"/>
                <w:sz w:val="20"/>
                <w:szCs w:val="20"/>
              </w:rPr>
            </w:pPr>
          </w:p>
        </w:tc>
      </w:tr>
      <w:tr w:rsidR="00F4383A" w:rsidRPr="00265791" w14:paraId="1E726E4D" w14:textId="77777777" w:rsidTr="00670FE9">
        <w:trPr>
          <w:trHeight w:val="80"/>
          <w:jc w:val="center"/>
        </w:trPr>
        <w:tc>
          <w:tcPr>
            <w:tcW w:w="3472" w:type="pct"/>
            <w:tcBorders>
              <w:bottom w:val="single" w:sz="5" w:space="0" w:color="000000"/>
            </w:tcBorders>
          </w:tcPr>
          <w:p w14:paraId="091C35D7" w14:textId="77777777" w:rsidR="00F4383A" w:rsidRPr="00265791" w:rsidRDefault="00F4383A" w:rsidP="00F75E7E">
            <w:pPr>
              <w:pStyle w:val="Default"/>
              <w:rPr>
                <w:color w:val="auto"/>
                <w:sz w:val="20"/>
                <w:szCs w:val="20"/>
              </w:rPr>
            </w:pPr>
            <w:r w:rsidRPr="00265791">
              <w:rPr>
                <w:color w:val="auto"/>
                <w:sz w:val="20"/>
                <w:szCs w:val="20"/>
              </w:rPr>
              <w:t xml:space="preserve">Imatinib-Resistant Patients </w:t>
            </w:r>
          </w:p>
        </w:tc>
        <w:tc>
          <w:tcPr>
            <w:tcW w:w="1305" w:type="pct"/>
            <w:tcBorders>
              <w:bottom w:val="single" w:sz="5" w:space="0" w:color="000000"/>
            </w:tcBorders>
          </w:tcPr>
          <w:p w14:paraId="1A4A277D" w14:textId="77777777" w:rsidR="00F4383A" w:rsidRPr="00265791" w:rsidRDefault="00F4383A" w:rsidP="00F75E7E">
            <w:pPr>
              <w:pStyle w:val="Default"/>
              <w:jc w:val="center"/>
              <w:rPr>
                <w:b/>
                <w:color w:val="auto"/>
                <w:sz w:val="20"/>
                <w:szCs w:val="20"/>
              </w:rPr>
            </w:pPr>
            <w:r w:rsidRPr="00265791">
              <w:rPr>
                <w:b/>
                <w:color w:val="auto"/>
                <w:sz w:val="20"/>
                <w:szCs w:val="20"/>
              </w:rPr>
              <w:t>72% (58-83)</w:t>
            </w:r>
          </w:p>
        </w:tc>
        <w:tc>
          <w:tcPr>
            <w:tcW w:w="224" w:type="pct"/>
            <w:tcBorders>
              <w:bottom w:val="single" w:sz="5" w:space="0" w:color="000000"/>
            </w:tcBorders>
          </w:tcPr>
          <w:p w14:paraId="29D9AA99" w14:textId="77777777" w:rsidR="00F4383A" w:rsidRPr="00265791" w:rsidRDefault="00F4383A" w:rsidP="00F75E7E">
            <w:pPr>
              <w:pStyle w:val="Default"/>
              <w:jc w:val="center"/>
              <w:rPr>
                <w:color w:val="auto"/>
                <w:sz w:val="20"/>
                <w:szCs w:val="20"/>
              </w:rPr>
            </w:pPr>
          </w:p>
        </w:tc>
      </w:tr>
    </w:tbl>
    <w:p w14:paraId="26FE34B9" w14:textId="77777777" w:rsidR="00F4383A" w:rsidRPr="00265791" w:rsidRDefault="00F4383A" w:rsidP="00F4383A">
      <w:pPr>
        <w:pStyle w:val="EMEABodyText"/>
        <w:rPr>
          <w:sz w:val="24"/>
        </w:rPr>
      </w:pPr>
    </w:p>
    <w:p w14:paraId="01397241" w14:textId="3B2869E5" w:rsidR="00F4383A" w:rsidRPr="00510F98" w:rsidRDefault="00F4383A" w:rsidP="00F4383A">
      <w:pPr>
        <w:pStyle w:val="EMEABodyText"/>
        <w:keepNext/>
        <w:jc w:val="both"/>
        <w:rPr>
          <w:rStyle w:val="EMEASuperscript"/>
          <w:sz w:val="18"/>
          <w:szCs w:val="18"/>
          <w:vertAlign w:val="baseline"/>
        </w:rPr>
      </w:pPr>
      <w:r w:rsidRPr="00510F98">
        <w:rPr>
          <w:rStyle w:val="EMEASuperscript"/>
          <w:sz w:val="18"/>
          <w:szCs w:val="18"/>
          <w:vertAlign w:val="baseline"/>
        </w:rPr>
        <w:t xml:space="preserve">a </w:t>
      </w:r>
      <w:r w:rsidR="00670FE9" w:rsidRPr="00C15DA2">
        <w:rPr>
          <w:sz w:val="18"/>
          <w:szCs w:val="18"/>
        </w:rPr>
        <w:t>Results reported in recommended starting dose of 100 mg once daily.</w:t>
      </w:r>
    </w:p>
    <w:p w14:paraId="13E0E150" w14:textId="77777777" w:rsidR="00F4383A" w:rsidRPr="00C15DA2" w:rsidRDefault="00F4383A" w:rsidP="00F4383A">
      <w:pPr>
        <w:pStyle w:val="EMEABodyText"/>
        <w:keepNext/>
        <w:jc w:val="both"/>
        <w:rPr>
          <w:sz w:val="18"/>
          <w:szCs w:val="18"/>
        </w:rPr>
      </w:pPr>
      <w:r w:rsidRPr="00C15DA2">
        <w:rPr>
          <w:rStyle w:val="EMEASuperscript"/>
          <w:sz w:val="18"/>
          <w:szCs w:val="18"/>
        </w:rPr>
        <w:t>b</w:t>
      </w:r>
      <w:r w:rsidRPr="00C15DA2">
        <w:rPr>
          <w:sz w:val="18"/>
          <w:szCs w:val="18"/>
        </w:rPr>
        <w:t xml:space="preserve"> </w:t>
      </w:r>
      <w:r w:rsidRPr="00C15DA2">
        <w:rPr>
          <w:b/>
          <w:sz w:val="18"/>
          <w:szCs w:val="18"/>
        </w:rPr>
        <w:t>Haematologic response criteria</w:t>
      </w:r>
      <w:r w:rsidRPr="00C15DA2">
        <w:rPr>
          <w:sz w:val="18"/>
          <w:szCs w:val="18"/>
        </w:rPr>
        <w:t xml:space="preserve"> (all responses confirmed after 4 weeks):</w:t>
      </w:r>
    </w:p>
    <w:p w14:paraId="3530684C" w14:textId="77777777" w:rsidR="00F4383A" w:rsidRPr="00C15DA2" w:rsidRDefault="00F4383A" w:rsidP="00F4383A">
      <w:pPr>
        <w:pStyle w:val="EMEABodyText"/>
        <w:keepNext/>
        <w:jc w:val="both"/>
        <w:rPr>
          <w:sz w:val="18"/>
          <w:szCs w:val="18"/>
        </w:rPr>
      </w:pPr>
      <w:r w:rsidRPr="00C15DA2">
        <w:rPr>
          <w:sz w:val="18"/>
          <w:szCs w:val="18"/>
        </w:rPr>
        <w:t xml:space="preserve">Complete haematologic response (CHR) (chronic CML): WBC </w:t>
      </w:r>
      <w:r w:rsidRPr="00C15DA2">
        <w:rPr>
          <w:sz w:val="18"/>
          <w:szCs w:val="18"/>
        </w:rPr>
        <w:sym w:font="Symbol" w:char="F0A3"/>
      </w:r>
      <w:r w:rsidRPr="00C15DA2">
        <w:rPr>
          <w:sz w:val="18"/>
          <w:szCs w:val="18"/>
        </w:rPr>
        <w:t xml:space="preserve"> institutional ULN, platelets &lt; </w:t>
      </w:r>
      <w:r w:rsidRPr="00C15DA2">
        <w:rPr>
          <w:spacing w:val="-6"/>
          <w:sz w:val="18"/>
          <w:szCs w:val="18"/>
        </w:rPr>
        <w:t>450 x 10</w:t>
      </w:r>
      <w:r w:rsidRPr="00C15DA2">
        <w:rPr>
          <w:spacing w:val="-6"/>
          <w:sz w:val="18"/>
          <w:szCs w:val="18"/>
          <w:vertAlign w:val="superscript"/>
        </w:rPr>
        <w:t>9</w:t>
      </w:r>
      <w:r w:rsidRPr="00C15DA2">
        <w:rPr>
          <w:spacing w:val="-6"/>
          <w:sz w:val="18"/>
          <w:szCs w:val="18"/>
        </w:rPr>
        <w:t>/L</w:t>
      </w:r>
      <w:r w:rsidRPr="00C15DA2">
        <w:rPr>
          <w:sz w:val="18"/>
          <w:szCs w:val="18"/>
        </w:rPr>
        <w:t>, no blasts or promyelocytes in peripheral blood, &lt;5% myelocytes plus metamyelocytes in peripheral blood, basophils in peripheral blood &lt; 20%, and no extramedullary involvement.</w:t>
      </w:r>
    </w:p>
    <w:p w14:paraId="1D1DED5D" w14:textId="459D062E" w:rsidR="00F4383A" w:rsidRPr="00C15DA2" w:rsidRDefault="00F4383A" w:rsidP="00F4383A">
      <w:pPr>
        <w:pStyle w:val="EMEABodyText"/>
        <w:jc w:val="both"/>
        <w:rPr>
          <w:sz w:val="18"/>
          <w:szCs w:val="18"/>
        </w:rPr>
      </w:pPr>
      <w:r w:rsidRPr="00C15DA2">
        <w:rPr>
          <w:sz w:val="18"/>
          <w:szCs w:val="18"/>
          <w:vertAlign w:val="superscript"/>
        </w:rPr>
        <w:t xml:space="preserve">c </w:t>
      </w:r>
      <w:r w:rsidRPr="00C15DA2">
        <w:rPr>
          <w:b/>
          <w:sz w:val="18"/>
          <w:szCs w:val="18"/>
        </w:rPr>
        <w:t>Cytogenetic response criteria</w:t>
      </w:r>
      <w:r w:rsidRPr="00C15DA2">
        <w:rPr>
          <w:sz w:val="18"/>
          <w:szCs w:val="18"/>
        </w:rPr>
        <w:t>: complete (0% Ph+ metaphases) or partial (&gt;0%–35%). MCyR (0%–35%) combines both complete and partial responses.</w:t>
      </w:r>
    </w:p>
    <w:p w14:paraId="2027B808" w14:textId="77777777" w:rsidR="00F4383A" w:rsidRPr="00C15DA2" w:rsidRDefault="00F4383A" w:rsidP="00F4383A">
      <w:pPr>
        <w:pStyle w:val="EMEABodyText"/>
        <w:jc w:val="both"/>
        <w:rPr>
          <w:sz w:val="18"/>
          <w:szCs w:val="18"/>
        </w:rPr>
      </w:pPr>
      <w:r w:rsidRPr="00C15DA2">
        <w:rPr>
          <w:sz w:val="18"/>
          <w:szCs w:val="18"/>
          <w:vertAlign w:val="superscript"/>
        </w:rPr>
        <w:t xml:space="preserve">d </w:t>
      </w:r>
      <w:r w:rsidRPr="00937764">
        <w:rPr>
          <w:b/>
          <w:sz w:val="18"/>
          <w:szCs w:val="18"/>
        </w:rPr>
        <w:t>Major molecular response criteria</w:t>
      </w:r>
      <w:r w:rsidRPr="00C15DA2">
        <w:rPr>
          <w:sz w:val="18"/>
          <w:szCs w:val="18"/>
        </w:rPr>
        <w:t xml:space="preserve">: Defined as BCR-ABL/control transcripts ≤ 0.1% by RQ-PCR in peripheral blood samples. </w:t>
      </w:r>
      <w:r w:rsidRPr="00C15DA2">
        <w:rPr>
          <w:sz w:val="18"/>
          <w:szCs w:val="18"/>
        </w:rPr>
        <w:br/>
        <w:t>Molecular response was evaluated in a subset of assessed patients who had a CCyR</w:t>
      </w:r>
    </w:p>
    <w:p w14:paraId="2ECBBF52" w14:textId="77777777" w:rsidR="00F4383A" w:rsidRPr="00C15DA2" w:rsidRDefault="00F4383A" w:rsidP="00F4383A">
      <w:pPr>
        <w:pStyle w:val="EMEABodyText"/>
        <w:jc w:val="both"/>
        <w:rPr>
          <w:sz w:val="18"/>
          <w:szCs w:val="18"/>
        </w:rPr>
      </w:pPr>
      <w:r w:rsidRPr="00C15DA2">
        <w:rPr>
          <w:sz w:val="18"/>
          <w:szCs w:val="18"/>
        </w:rPr>
        <w:t>CI = confidence interval; ULN = upper limit of normal range.</w:t>
      </w:r>
    </w:p>
    <w:p w14:paraId="39DD0243" w14:textId="77777777" w:rsidR="00C15DA2" w:rsidRDefault="00C15DA2" w:rsidP="00F4383A">
      <w:pPr>
        <w:pStyle w:val="EMEABodyText"/>
        <w:jc w:val="both"/>
        <w:rPr>
          <w:sz w:val="24"/>
        </w:rPr>
      </w:pPr>
    </w:p>
    <w:p w14:paraId="597775A8" w14:textId="7A2007ED" w:rsidR="00F4383A" w:rsidRDefault="00F4383A" w:rsidP="00C15DA2">
      <w:r>
        <w:t xml:space="preserve">Efficacy was also assessed in patients who were intolerant to imatinib. In this population of patients who received 100 mg once daily, MCyR was achieved in 77% and CCyR in 67% with a minimum of 2 years follow-up. </w:t>
      </w:r>
    </w:p>
    <w:p w14:paraId="4E5D3EE2" w14:textId="58F82FAA" w:rsidR="00F4383A" w:rsidRDefault="00F4383A" w:rsidP="00C15DA2">
      <w:r>
        <w:t xml:space="preserve">Approximately 20% of subjects remained on study therapy through study completion (i.e. a minimum of 7 years), discontinuing study treatment due to study closure. Table </w:t>
      </w:r>
      <w:r w:rsidR="00510F98">
        <w:t>12</w:t>
      </w:r>
      <w:r>
        <w:t xml:space="preserve"> represents the comparative data (1 – 7 years), for the recommended starting dose 100 mg once daily in CML chronic phase.</w:t>
      </w:r>
    </w:p>
    <w:p w14:paraId="6A423D1D" w14:textId="77777777" w:rsidR="00F4383A" w:rsidRDefault="00F4383A" w:rsidP="00C15DA2"/>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669"/>
        <w:gridCol w:w="1661"/>
        <w:gridCol w:w="9"/>
        <w:gridCol w:w="1669"/>
        <w:gridCol w:w="32"/>
        <w:gridCol w:w="1620"/>
      </w:tblGrid>
      <w:tr w:rsidR="00F4383A" w:rsidRPr="00C15DA2" w14:paraId="5A5A8F4C" w14:textId="77777777" w:rsidTr="00F75E7E">
        <w:trPr>
          <w:cantSplit/>
          <w:trHeight w:val="401"/>
        </w:trPr>
        <w:tc>
          <w:tcPr>
            <w:tcW w:w="9558" w:type="dxa"/>
            <w:gridSpan w:val="7"/>
            <w:tcBorders>
              <w:top w:val="nil"/>
              <w:left w:val="nil"/>
              <w:bottom w:val="nil"/>
              <w:right w:val="nil"/>
            </w:tcBorders>
            <w:vAlign w:val="center"/>
          </w:tcPr>
          <w:p w14:paraId="0A2F79A6" w14:textId="045B5AD3" w:rsidR="00F4383A" w:rsidRPr="00C15DA2" w:rsidRDefault="00F4383A" w:rsidP="00F75E7E">
            <w:pPr>
              <w:pStyle w:val="BMSTableTitle"/>
              <w:rPr>
                <w:sz w:val="22"/>
                <w:szCs w:val="22"/>
              </w:rPr>
            </w:pPr>
            <w:r w:rsidRPr="00C15DA2">
              <w:rPr>
                <w:sz w:val="22"/>
                <w:szCs w:val="22"/>
              </w:rPr>
              <w:lastRenderedPageBreak/>
              <w:t xml:space="preserve">Table </w:t>
            </w:r>
            <w:r w:rsidR="00510F98">
              <w:rPr>
                <w:sz w:val="22"/>
                <w:szCs w:val="22"/>
              </w:rPr>
              <w:t>12</w:t>
            </w:r>
            <w:r w:rsidRPr="00C15DA2">
              <w:rPr>
                <w:sz w:val="22"/>
                <w:szCs w:val="22"/>
              </w:rPr>
              <w:t>:</w:t>
            </w:r>
            <w:r w:rsidRPr="00C15DA2">
              <w:rPr>
                <w:sz w:val="22"/>
                <w:szCs w:val="22"/>
              </w:rPr>
              <w:tab/>
              <w:t>Long Term Efficacy of SPRYCEL in Phase III Dose Optimization study: Imatinib Resistant or Intolerant Chronic Phase CML</w:t>
            </w:r>
            <w:r w:rsidRPr="00C15DA2">
              <w:rPr>
                <w:sz w:val="22"/>
                <w:szCs w:val="22"/>
                <w:vertAlign w:val="superscript"/>
              </w:rPr>
              <w:t>a</w:t>
            </w:r>
          </w:p>
        </w:tc>
      </w:tr>
      <w:tr w:rsidR="00F4383A" w:rsidRPr="0012104B" w14:paraId="4EEFA315"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rPr>
          <w:tblHeader/>
        </w:trPr>
        <w:tc>
          <w:tcPr>
            <w:tcW w:w="2898" w:type="dxa"/>
            <w:tcBorders>
              <w:top w:val="nil"/>
              <w:bottom w:val="nil"/>
            </w:tcBorders>
            <w:shd w:val="clear" w:color="auto" w:fill="auto"/>
          </w:tcPr>
          <w:p w14:paraId="5F384713" w14:textId="77777777" w:rsidR="00F4383A" w:rsidRPr="0012104B" w:rsidRDefault="00F4383A" w:rsidP="00F75E7E">
            <w:pPr>
              <w:pStyle w:val="BMSTableHeader"/>
              <w:keepNext/>
              <w:keepLines/>
              <w:jc w:val="left"/>
              <w:rPr>
                <w:lang w:eastAsia="en-US"/>
              </w:rPr>
            </w:pPr>
          </w:p>
          <w:p w14:paraId="0D0B9665" w14:textId="77777777" w:rsidR="00F4383A" w:rsidRPr="0012104B" w:rsidRDefault="00F4383A" w:rsidP="00F75E7E">
            <w:pPr>
              <w:pStyle w:val="BMSTableHeader"/>
              <w:keepNext/>
              <w:keepLines/>
              <w:jc w:val="left"/>
              <w:rPr>
                <w:lang w:eastAsia="en-US"/>
              </w:rPr>
            </w:pPr>
          </w:p>
        </w:tc>
        <w:tc>
          <w:tcPr>
            <w:tcW w:w="6660" w:type="dxa"/>
            <w:gridSpan w:val="6"/>
            <w:tcBorders>
              <w:top w:val="nil"/>
              <w:bottom w:val="single" w:sz="4" w:space="0" w:color="auto"/>
            </w:tcBorders>
            <w:shd w:val="clear" w:color="auto" w:fill="auto"/>
          </w:tcPr>
          <w:p w14:paraId="10956926" w14:textId="77777777" w:rsidR="00F4383A" w:rsidRPr="0012104B" w:rsidRDefault="00F4383A" w:rsidP="00F75E7E">
            <w:pPr>
              <w:pStyle w:val="BMSTableHeader"/>
              <w:keepNext/>
              <w:keepLines/>
              <w:rPr>
                <w:lang w:eastAsia="en-US"/>
              </w:rPr>
            </w:pPr>
            <w:r w:rsidRPr="0012104B">
              <w:rPr>
                <w:lang w:eastAsia="en-US"/>
              </w:rPr>
              <w:t>Minimum Follow-up Period</w:t>
            </w:r>
          </w:p>
        </w:tc>
      </w:tr>
      <w:tr w:rsidR="00F4383A" w:rsidRPr="0012104B" w14:paraId="5CCE7C67"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rPr>
          <w:tblHeader/>
        </w:trPr>
        <w:tc>
          <w:tcPr>
            <w:tcW w:w="2898" w:type="dxa"/>
            <w:tcBorders>
              <w:top w:val="nil"/>
              <w:bottom w:val="single" w:sz="4" w:space="0" w:color="auto"/>
              <w:right w:val="nil"/>
            </w:tcBorders>
            <w:shd w:val="clear" w:color="auto" w:fill="auto"/>
          </w:tcPr>
          <w:p w14:paraId="5A503305" w14:textId="77777777" w:rsidR="00F4383A" w:rsidRPr="0012104B" w:rsidRDefault="00F4383A" w:rsidP="00F75E7E">
            <w:pPr>
              <w:pStyle w:val="BMSTableHeader"/>
              <w:keepNext/>
              <w:keepLines/>
              <w:jc w:val="left"/>
              <w:rPr>
                <w:lang w:eastAsia="en-US"/>
              </w:rPr>
            </w:pPr>
          </w:p>
        </w:tc>
        <w:tc>
          <w:tcPr>
            <w:tcW w:w="1669" w:type="dxa"/>
            <w:tcBorders>
              <w:top w:val="nil"/>
              <w:left w:val="nil"/>
              <w:bottom w:val="single" w:sz="4" w:space="0" w:color="auto"/>
              <w:right w:val="nil"/>
            </w:tcBorders>
            <w:shd w:val="clear" w:color="auto" w:fill="auto"/>
          </w:tcPr>
          <w:p w14:paraId="51C23137" w14:textId="77777777" w:rsidR="00F4383A" w:rsidRPr="0012104B" w:rsidRDefault="00F4383A" w:rsidP="00F75E7E">
            <w:pPr>
              <w:pStyle w:val="BMSTableHeader"/>
              <w:keepNext/>
              <w:keepLines/>
              <w:rPr>
                <w:lang w:eastAsia="en-US"/>
              </w:rPr>
            </w:pPr>
            <w:r w:rsidRPr="0012104B">
              <w:rPr>
                <w:lang w:eastAsia="en-US"/>
              </w:rPr>
              <w:t xml:space="preserve">1 year </w:t>
            </w:r>
          </w:p>
        </w:tc>
        <w:tc>
          <w:tcPr>
            <w:tcW w:w="1670" w:type="dxa"/>
            <w:gridSpan w:val="2"/>
            <w:tcBorders>
              <w:top w:val="nil"/>
              <w:left w:val="nil"/>
              <w:bottom w:val="single" w:sz="4" w:space="0" w:color="auto"/>
              <w:right w:val="nil"/>
            </w:tcBorders>
            <w:shd w:val="clear" w:color="auto" w:fill="auto"/>
          </w:tcPr>
          <w:p w14:paraId="21E6E220" w14:textId="77777777" w:rsidR="00F4383A" w:rsidRPr="0012104B" w:rsidRDefault="00F4383A" w:rsidP="00F75E7E">
            <w:pPr>
              <w:pStyle w:val="BMSTableHeader"/>
              <w:keepNext/>
              <w:keepLines/>
              <w:rPr>
                <w:lang w:eastAsia="en-US"/>
              </w:rPr>
            </w:pPr>
            <w:r w:rsidRPr="0012104B">
              <w:rPr>
                <w:lang w:eastAsia="en-US"/>
              </w:rPr>
              <w:t xml:space="preserve">2 years </w:t>
            </w:r>
          </w:p>
        </w:tc>
        <w:tc>
          <w:tcPr>
            <w:tcW w:w="1669" w:type="dxa"/>
            <w:tcBorders>
              <w:top w:val="nil"/>
              <w:left w:val="nil"/>
              <w:bottom w:val="single" w:sz="4" w:space="0" w:color="auto"/>
              <w:right w:val="nil"/>
            </w:tcBorders>
            <w:shd w:val="clear" w:color="auto" w:fill="auto"/>
          </w:tcPr>
          <w:p w14:paraId="317DA29E" w14:textId="77777777" w:rsidR="00F4383A" w:rsidRPr="0012104B" w:rsidRDefault="00F4383A" w:rsidP="00F75E7E">
            <w:pPr>
              <w:pStyle w:val="BMSTableHeader"/>
              <w:keepNext/>
              <w:keepLines/>
              <w:rPr>
                <w:lang w:eastAsia="en-US"/>
              </w:rPr>
            </w:pPr>
            <w:r w:rsidRPr="0012104B">
              <w:rPr>
                <w:lang w:eastAsia="en-US"/>
              </w:rPr>
              <w:t xml:space="preserve">5 years </w:t>
            </w:r>
          </w:p>
        </w:tc>
        <w:tc>
          <w:tcPr>
            <w:tcW w:w="1652" w:type="dxa"/>
            <w:gridSpan w:val="2"/>
            <w:tcBorders>
              <w:top w:val="nil"/>
              <w:left w:val="nil"/>
              <w:bottom w:val="single" w:sz="4" w:space="0" w:color="auto"/>
            </w:tcBorders>
            <w:shd w:val="clear" w:color="auto" w:fill="auto"/>
          </w:tcPr>
          <w:p w14:paraId="3BD45BB1" w14:textId="77777777" w:rsidR="00F4383A" w:rsidRPr="0012104B" w:rsidRDefault="00F4383A" w:rsidP="00F75E7E">
            <w:pPr>
              <w:pStyle w:val="BMSTableHeader"/>
              <w:keepNext/>
              <w:keepLines/>
              <w:rPr>
                <w:lang w:eastAsia="en-US"/>
              </w:rPr>
            </w:pPr>
            <w:r w:rsidRPr="0012104B">
              <w:rPr>
                <w:lang w:eastAsia="en-US"/>
              </w:rPr>
              <w:t xml:space="preserve">7 years </w:t>
            </w:r>
          </w:p>
        </w:tc>
      </w:tr>
      <w:tr w:rsidR="00F4383A" w:rsidRPr="0012104B" w14:paraId="5F4F2F37"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c>
          <w:tcPr>
            <w:tcW w:w="6228" w:type="dxa"/>
            <w:gridSpan w:val="3"/>
            <w:tcBorders>
              <w:top w:val="single" w:sz="4" w:space="0" w:color="auto"/>
              <w:bottom w:val="nil"/>
              <w:right w:val="nil"/>
            </w:tcBorders>
            <w:shd w:val="clear" w:color="auto" w:fill="auto"/>
            <w:vAlign w:val="center"/>
          </w:tcPr>
          <w:p w14:paraId="788752DB" w14:textId="77777777" w:rsidR="00F4383A" w:rsidRPr="0012104B" w:rsidRDefault="00F4383A" w:rsidP="00F75E7E">
            <w:pPr>
              <w:pStyle w:val="BMSTableText"/>
              <w:keepNext/>
              <w:keepLines/>
              <w:jc w:val="left"/>
            </w:pPr>
            <w:r w:rsidRPr="0012104B">
              <w:rPr>
                <w:b/>
              </w:rPr>
              <w:t>Major Molecular Response</w:t>
            </w:r>
          </w:p>
        </w:tc>
        <w:tc>
          <w:tcPr>
            <w:tcW w:w="1710" w:type="dxa"/>
            <w:gridSpan w:val="3"/>
            <w:tcBorders>
              <w:top w:val="single" w:sz="4" w:space="0" w:color="auto"/>
              <w:left w:val="nil"/>
              <w:bottom w:val="nil"/>
              <w:right w:val="nil"/>
            </w:tcBorders>
            <w:shd w:val="clear" w:color="auto" w:fill="auto"/>
          </w:tcPr>
          <w:p w14:paraId="7A829AC9" w14:textId="77777777" w:rsidR="00F4383A" w:rsidRPr="0012104B" w:rsidRDefault="00F4383A" w:rsidP="00F75E7E">
            <w:pPr>
              <w:pStyle w:val="BMSTableText"/>
              <w:keepNext/>
              <w:keepLines/>
            </w:pPr>
          </w:p>
        </w:tc>
        <w:tc>
          <w:tcPr>
            <w:tcW w:w="1620" w:type="dxa"/>
            <w:tcBorders>
              <w:top w:val="single" w:sz="4" w:space="0" w:color="auto"/>
              <w:left w:val="nil"/>
              <w:bottom w:val="nil"/>
            </w:tcBorders>
            <w:shd w:val="clear" w:color="auto" w:fill="auto"/>
          </w:tcPr>
          <w:p w14:paraId="7F78FB57" w14:textId="77777777" w:rsidR="00F4383A" w:rsidRPr="0012104B" w:rsidRDefault="00F4383A" w:rsidP="00F75E7E">
            <w:pPr>
              <w:pStyle w:val="BMSTableText"/>
              <w:keepNext/>
              <w:keepLines/>
            </w:pPr>
          </w:p>
        </w:tc>
      </w:tr>
      <w:tr w:rsidR="00F4383A" w:rsidRPr="0012104B" w14:paraId="0327FE0C"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c>
          <w:tcPr>
            <w:tcW w:w="2898" w:type="dxa"/>
            <w:tcBorders>
              <w:top w:val="nil"/>
              <w:bottom w:val="nil"/>
              <w:right w:val="nil"/>
            </w:tcBorders>
            <w:shd w:val="clear" w:color="auto" w:fill="auto"/>
            <w:vAlign w:val="center"/>
          </w:tcPr>
          <w:p w14:paraId="7BD33F7F" w14:textId="77777777" w:rsidR="00F4383A" w:rsidRPr="0012104B" w:rsidRDefault="00F4383A" w:rsidP="00F75E7E">
            <w:pPr>
              <w:pStyle w:val="BMSTableText"/>
              <w:keepNext/>
              <w:keepLines/>
              <w:ind w:left="216"/>
              <w:jc w:val="left"/>
            </w:pPr>
            <w:r w:rsidRPr="0012104B">
              <w:t xml:space="preserve">All </w:t>
            </w:r>
            <w:r w:rsidRPr="0012104B">
              <w:rPr>
                <w:lang w:val="fr-FR"/>
              </w:rPr>
              <w:t>subjects</w:t>
            </w:r>
          </w:p>
        </w:tc>
        <w:tc>
          <w:tcPr>
            <w:tcW w:w="1669" w:type="dxa"/>
            <w:tcBorders>
              <w:top w:val="nil"/>
              <w:left w:val="nil"/>
              <w:bottom w:val="nil"/>
              <w:right w:val="nil"/>
            </w:tcBorders>
            <w:shd w:val="clear" w:color="auto" w:fill="auto"/>
          </w:tcPr>
          <w:p w14:paraId="7237E844" w14:textId="77777777" w:rsidR="00F4383A" w:rsidRPr="0012104B" w:rsidRDefault="00F4383A" w:rsidP="00F75E7E">
            <w:pPr>
              <w:pStyle w:val="BMSTableText"/>
              <w:keepNext/>
              <w:keepLines/>
            </w:pPr>
            <w:r w:rsidRPr="0012104B">
              <w:t>NA</w:t>
            </w:r>
          </w:p>
        </w:tc>
        <w:tc>
          <w:tcPr>
            <w:tcW w:w="1670" w:type="dxa"/>
            <w:gridSpan w:val="2"/>
            <w:tcBorders>
              <w:top w:val="nil"/>
              <w:left w:val="nil"/>
              <w:bottom w:val="nil"/>
              <w:right w:val="nil"/>
            </w:tcBorders>
            <w:shd w:val="clear" w:color="auto" w:fill="auto"/>
          </w:tcPr>
          <w:p w14:paraId="65D65FBA" w14:textId="77777777" w:rsidR="00F4383A" w:rsidRPr="0012104B" w:rsidRDefault="00F4383A" w:rsidP="00F75E7E">
            <w:pPr>
              <w:pStyle w:val="BMSTableText"/>
              <w:keepNext/>
              <w:keepLines/>
            </w:pPr>
            <w:r w:rsidRPr="0012104B">
              <w:t>37% (57/154)</w:t>
            </w:r>
          </w:p>
        </w:tc>
        <w:tc>
          <w:tcPr>
            <w:tcW w:w="1669" w:type="dxa"/>
            <w:tcBorders>
              <w:top w:val="nil"/>
              <w:left w:val="nil"/>
              <w:bottom w:val="nil"/>
              <w:right w:val="nil"/>
            </w:tcBorders>
            <w:shd w:val="clear" w:color="auto" w:fill="auto"/>
          </w:tcPr>
          <w:p w14:paraId="6C23597B" w14:textId="77777777" w:rsidR="00F4383A" w:rsidRPr="0012104B" w:rsidRDefault="00F4383A" w:rsidP="00F75E7E">
            <w:pPr>
              <w:pStyle w:val="BMSTableText"/>
              <w:keepNext/>
              <w:keepLines/>
            </w:pPr>
            <w:r w:rsidRPr="0012104B">
              <w:t>44% (71/160)</w:t>
            </w:r>
          </w:p>
        </w:tc>
        <w:tc>
          <w:tcPr>
            <w:tcW w:w="1652" w:type="dxa"/>
            <w:gridSpan w:val="2"/>
            <w:tcBorders>
              <w:top w:val="nil"/>
              <w:left w:val="nil"/>
              <w:bottom w:val="nil"/>
            </w:tcBorders>
            <w:shd w:val="clear" w:color="auto" w:fill="auto"/>
          </w:tcPr>
          <w:p w14:paraId="232CA7A4" w14:textId="77777777" w:rsidR="00F4383A" w:rsidRPr="0012104B" w:rsidRDefault="00F4383A" w:rsidP="00F75E7E">
            <w:pPr>
              <w:pStyle w:val="BMSTableText"/>
              <w:keepNext/>
              <w:keepLines/>
            </w:pPr>
            <w:r w:rsidRPr="0012104B">
              <w:t>46% (73/160)</w:t>
            </w:r>
          </w:p>
        </w:tc>
      </w:tr>
      <w:tr w:rsidR="00F4383A" w:rsidRPr="0012104B" w14:paraId="3A275293"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c>
          <w:tcPr>
            <w:tcW w:w="2898" w:type="dxa"/>
            <w:tcBorders>
              <w:top w:val="nil"/>
              <w:bottom w:val="nil"/>
              <w:right w:val="nil"/>
            </w:tcBorders>
            <w:shd w:val="clear" w:color="auto" w:fill="auto"/>
            <w:vAlign w:val="center"/>
          </w:tcPr>
          <w:p w14:paraId="3049C011" w14:textId="77777777" w:rsidR="00F4383A" w:rsidRPr="0012104B" w:rsidRDefault="00F4383A" w:rsidP="00F75E7E">
            <w:pPr>
              <w:pStyle w:val="BMSTableText"/>
              <w:keepNext/>
              <w:keepLines/>
              <w:ind w:left="216"/>
              <w:jc w:val="left"/>
              <w:rPr>
                <w:lang w:val="fr-FR"/>
              </w:rPr>
            </w:pPr>
            <w:r w:rsidRPr="0012104B">
              <w:rPr>
                <w:lang w:val="fr-FR"/>
              </w:rPr>
              <w:t xml:space="preserve">Imatinib-resistant </w:t>
            </w:r>
            <w:r w:rsidRPr="0012104B">
              <w:t>patients</w:t>
            </w:r>
          </w:p>
        </w:tc>
        <w:tc>
          <w:tcPr>
            <w:tcW w:w="1669" w:type="dxa"/>
            <w:tcBorders>
              <w:top w:val="nil"/>
              <w:left w:val="nil"/>
              <w:bottom w:val="nil"/>
              <w:right w:val="nil"/>
            </w:tcBorders>
            <w:shd w:val="clear" w:color="auto" w:fill="auto"/>
          </w:tcPr>
          <w:p w14:paraId="185A1E61" w14:textId="77777777" w:rsidR="00F4383A" w:rsidRPr="0012104B" w:rsidRDefault="00F4383A" w:rsidP="00F75E7E">
            <w:pPr>
              <w:pStyle w:val="BMSTableText"/>
              <w:keepNext/>
              <w:keepLines/>
            </w:pPr>
            <w:r w:rsidRPr="0012104B">
              <w:t>NA</w:t>
            </w:r>
          </w:p>
        </w:tc>
        <w:tc>
          <w:tcPr>
            <w:tcW w:w="1670" w:type="dxa"/>
            <w:gridSpan w:val="2"/>
            <w:tcBorders>
              <w:top w:val="nil"/>
              <w:left w:val="nil"/>
              <w:bottom w:val="nil"/>
              <w:right w:val="nil"/>
            </w:tcBorders>
            <w:shd w:val="clear" w:color="auto" w:fill="auto"/>
          </w:tcPr>
          <w:p w14:paraId="544C1D51" w14:textId="77777777" w:rsidR="00F4383A" w:rsidRPr="0012104B" w:rsidRDefault="00F4383A" w:rsidP="00F75E7E">
            <w:pPr>
              <w:pStyle w:val="BMSTableText"/>
              <w:keepNext/>
              <w:keepLines/>
            </w:pPr>
            <w:r w:rsidRPr="0012104B">
              <w:t>35% (41/117)</w:t>
            </w:r>
          </w:p>
        </w:tc>
        <w:tc>
          <w:tcPr>
            <w:tcW w:w="1669" w:type="dxa"/>
            <w:tcBorders>
              <w:top w:val="nil"/>
              <w:left w:val="nil"/>
              <w:bottom w:val="nil"/>
              <w:right w:val="nil"/>
            </w:tcBorders>
            <w:shd w:val="clear" w:color="auto" w:fill="auto"/>
          </w:tcPr>
          <w:p w14:paraId="070DA178" w14:textId="77777777" w:rsidR="00F4383A" w:rsidRPr="0012104B" w:rsidRDefault="00F4383A" w:rsidP="00F75E7E">
            <w:pPr>
              <w:pStyle w:val="BMSTableText"/>
              <w:keepNext/>
              <w:keepLines/>
            </w:pPr>
            <w:r w:rsidRPr="0012104B">
              <w:t>42% (50/120)</w:t>
            </w:r>
          </w:p>
        </w:tc>
        <w:tc>
          <w:tcPr>
            <w:tcW w:w="1652" w:type="dxa"/>
            <w:gridSpan w:val="2"/>
            <w:tcBorders>
              <w:top w:val="nil"/>
              <w:left w:val="nil"/>
              <w:bottom w:val="nil"/>
            </w:tcBorders>
            <w:shd w:val="clear" w:color="auto" w:fill="auto"/>
          </w:tcPr>
          <w:p w14:paraId="30F8216E" w14:textId="77777777" w:rsidR="00F4383A" w:rsidRPr="0012104B" w:rsidRDefault="00F4383A" w:rsidP="00F75E7E">
            <w:pPr>
              <w:pStyle w:val="BMSTableText"/>
              <w:keepNext/>
              <w:keepLines/>
            </w:pPr>
            <w:r w:rsidRPr="0012104B">
              <w:t>43% (51/120)</w:t>
            </w:r>
          </w:p>
        </w:tc>
      </w:tr>
      <w:tr w:rsidR="00F4383A" w:rsidRPr="0012104B" w14:paraId="3C3384CE"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c>
          <w:tcPr>
            <w:tcW w:w="2898" w:type="dxa"/>
            <w:tcBorders>
              <w:top w:val="nil"/>
              <w:bottom w:val="nil"/>
              <w:right w:val="nil"/>
            </w:tcBorders>
            <w:shd w:val="clear" w:color="auto" w:fill="auto"/>
            <w:vAlign w:val="center"/>
          </w:tcPr>
          <w:p w14:paraId="1197B489" w14:textId="77777777" w:rsidR="00F4383A" w:rsidRPr="0012104B" w:rsidRDefault="00F4383A" w:rsidP="00F75E7E">
            <w:pPr>
              <w:pStyle w:val="BMSTableText"/>
              <w:keepNext/>
              <w:keepLines/>
              <w:ind w:left="216"/>
              <w:jc w:val="left"/>
              <w:rPr>
                <w:lang w:val="fr-FR"/>
              </w:rPr>
            </w:pPr>
            <w:r w:rsidRPr="0012104B">
              <w:rPr>
                <w:lang w:val="fr-FR"/>
              </w:rPr>
              <w:t xml:space="preserve">Imatinib-intolerant </w:t>
            </w:r>
            <w:r w:rsidRPr="0012104B">
              <w:t>patients</w:t>
            </w:r>
          </w:p>
        </w:tc>
        <w:tc>
          <w:tcPr>
            <w:tcW w:w="1669" w:type="dxa"/>
            <w:tcBorders>
              <w:top w:val="nil"/>
              <w:left w:val="nil"/>
              <w:bottom w:val="nil"/>
              <w:right w:val="nil"/>
            </w:tcBorders>
            <w:shd w:val="clear" w:color="auto" w:fill="auto"/>
          </w:tcPr>
          <w:p w14:paraId="03F5AB2A" w14:textId="77777777" w:rsidR="00F4383A" w:rsidRPr="0012104B" w:rsidRDefault="00F4383A" w:rsidP="00F75E7E">
            <w:pPr>
              <w:pStyle w:val="BMSTableText"/>
              <w:keepNext/>
              <w:keepLines/>
            </w:pPr>
            <w:r w:rsidRPr="0012104B">
              <w:t>NA</w:t>
            </w:r>
          </w:p>
        </w:tc>
        <w:tc>
          <w:tcPr>
            <w:tcW w:w="1670" w:type="dxa"/>
            <w:gridSpan w:val="2"/>
            <w:tcBorders>
              <w:top w:val="nil"/>
              <w:left w:val="nil"/>
              <w:bottom w:val="nil"/>
              <w:right w:val="nil"/>
            </w:tcBorders>
            <w:shd w:val="clear" w:color="auto" w:fill="auto"/>
          </w:tcPr>
          <w:p w14:paraId="02B41100" w14:textId="77777777" w:rsidR="00F4383A" w:rsidRPr="0012104B" w:rsidRDefault="00F4383A" w:rsidP="00F75E7E">
            <w:pPr>
              <w:pStyle w:val="BMSTableText"/>
              <w:keepNext/>
              <w:keepLines/>
            </w:pPr>
            <w:r w:rsidRPr="0012104B">
              <w:t>43% (16/37)</w:t>
            </w:r>
          </w:p>
        </w:tc>
        <w:tc>
          <w:tcPr>
            <w:tcW w:w="1669" w:type="dxa"/>
            <w:tcBorders>
              <w:top w:val="nil"/>
              <w:left w:val="nil"/>
              <w:bottom w:val="nil"/>
              <w:right w:val="nil"/>
            </w:tcBorders>
            <w:shd w:val="clear" w:color="auto" w:fill="auto"/>
          </w:tcPr>
          <w:p w14:paraId="50FCDCF4" w14:textId="77777777" w:rsidR="00F4383A" w:rsidRPr="0012104B" w:rsidRDefault="00F4383A" w:rsidP="00F75E7E">
            <w:pPr>
              <w:pStyle w:val="BMSTableText"/>
              <w:keepNext/>
              <w:keepLines/>
            </w:pPr>
            <w:r w:rsidRPr="0012104B">
              <w:t>53% (21/40)</w:t>
            </w:r>
          </w:p>
        </w:tc>
        <w:tc>
          <w:tcPr>
            <w:tcW w:w="1652" w:type="dxa"/>
            <w:gridSpan w:val="2"/>
            <w:tcBorders>
              <w:top w:val="nil"/>
              <w:left w:val="nil"/>
              <w:bottom w:val="nil"/>
            </w:tcBorders>
            <w:shd w:val="clear" w:color="auto" w:fill="auto"/>
          </w:tcPr>
          <w:p w14:paraId="0FB56013" w14:textId="77777777" w:rsidR="00F4383A" w:rsidRPr="0012104B" w:rsidRDefault="00F4383A" w:rsidP="00F75E7E">
            <w:pPr>
              <w:pStyle w:val="BMSTableText"/>
              <w:keepNext/>
              <w:keepLines/>
            </w:pPr>
            <w:r w:rsidRPr="0012104B">
              <w:t>55% (22/40)</w:t>
            </w:r>
          </w:p>
        </w:tc>
      </w:tr>
      <w:tr w:rsidR="00F4383A" w:rsidRPr="0012104B" w14:paraId="3C5D132F"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c>
          <w:tcPr>
            <w:tcW w:w="6228" w:type="dxa"/>
            <w:gridSpan w:val="3"/>
            <w:tcBorders>
              <w:top w:val="nil"/>
              <w:bottom w:val="nil"/>
              <w:right w:val="nil"/>
            </w:tcBorders>
            <w:shd w:val="clear" w:color="auto" w:fill="auto"/>
            <w:vAlign w:val="center"/>
          </w:tcPr>
          <w:p w14:paraId="1F7AACC1" w14:textId="77777777" w:rsidR="00F4383A" w:rsidRPr="0012104B" w:rsidRDefault="00F4383A" w:rsidP="00F75E7E">
            <w:pPr>
              <w:pStyle w:val="BMSTableText"/>
              <w:keepNext/>
              <w:keepLines/>
              <w:jc w:val="left"/>
            </w:pPr>
            <w:r w:rsidRPr="0012104B">
              <w:rPr>
                <w:b/>
              </w:rPr>
              <w:t>Progression-Free Survival</w:t>
            </w:r>
            <w:r w:rsidRPr="0012104B">
              <w:rPr>
                <w:rStyle w:val="BMSTableNote"/>
              </w:rPr>
              <w:t>b</w:t>
            </w:r>
          </w:p>
        </w:tc>
        <w:tc>
          <w:tcPr>
            <w:tcW w:w="1710" w:type="dxa"/>
            <w:gridSpan w:val="3"/>
            <w:tcBorders>
              <w:top w:val="nil"/>
              <w:left w:val="nil"/>
              <w:bottom w:val="nil"/>
              <w:right w:val="nil"/>
            </w:tcBorders>
            <w:shd w:val="clear" w:color="auto" w:fill="auto"/>
          </w:tcPr>
          <w:p w14:paraId="40421A64" w14:textId="77777777" w:rsidR="00F4383A" w:rsidRPr="0012104B" w:rsidRDefault="00F4383A" w:rsidP="00F75E7E">
            <w:pPr>
              <w:pStyle w:val="BMSTableText"/>
              <w:keepNext/>
              <w:keepLines/>
            </w:pPr>
          </w:p>
        </w:tc>
        <w:tc>
          <w:tcPr>
            <w:tcW w:w="1620" w:type="dxa"/>
            <w:tcBorders>
              <w:top w:val="nil"/>
              <w:left w:val="nil"/>
              <w:bottom w:val="nil"/>
            </w:tcBorders>
            <w:shd w:val="clear" w:color="auto" w:fill="auto"/>
          </w:tcPr>
          <w:p w14:paraId="42FB4399" w14:textId="77777777" w:rsidR="00F4383A" w:rsidRPr="0012104B" w:rsidRDefault="00F4383A" w:rsidP="00F75E7E">
            <w:pPr>
              <w:pStyle w:val="BMSTableText"/>
              <w:keepNext/>
              <w:keepLines/>
            </w:pPr>
          </w:p>
        </w:tc>
      </w:tr>
      <w:tr w:rsidR="00F4383A" w:rsidRPr="0012104B" w14:paraId="7999097E"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c>
          <w:tcPr>
            <w:tcW w:w="2898" w:type="dxa"/>
            <w:tcBorders>
              <w:top w:val="nil"/>
              <w:bottom w:val="nil"/>
              <w:right w:val="nil"/>
            </w:tcBorders>
            <w:shd w:val="clear" w:color="auto" w:fill="auto"/>
            <w:vAlign w:val="center"/>
          </w:tcPr>
          <w:p w14:paraId="59B5BA4E" w14:textId="77777777" w:rsidR="00F4383A" w:rsidRPr="0012104B" w:rsidRDefault="00F4383A" w:rsidP="00F75E7E">
            <w:pPr>
              <w:pStyle w:val="BMSTableText"/>
              <w:keepNext/>
              <w:keepLines/>
              <w:ind w:left="216"/>
              <w:jc w:val="left"/>
            </w:pPr>
            <w:r w:rsidRPr="0012104B">
              <w:t>All subjects</w:t>
            </w:r>
          </w:p>
        </w:tc>
        <w:tc>
          <w:tcPr>
            <w:tcW w:w="1669" w:type="dxa"/>
            <w:tcBorders>
              <w:top w:val="nil"/>
              <w:left w:val="nil"/>
              <w:bottom w:val="nil"/>
              <w:right w:val="nil"/>
            </w:tcBorders>
            <w:shd w:val="clear" w:color="auto" w:fill="auto"/>
          </w:tcPr>
          <w:p w14:paraId="2BB92013" w14:textId="77777777" w:rsidR="00F4383A" w:rsidRPr="0012104B" w:rsidRDefault="00F4383A" w:rsidP="00F75E7E">
            <w:pPr>
              <w:pStyle w:val="BMSTableText"/>
              <w:keepNext/>
              <w:keepLines/>
            </w:pPr>
            <w:r w:rsidRPr="0012104B">
              <w:t>90% (86-95)</w:t>
            </w:r>
          </w:p>
        </w:tc>
        <w:tc>
          <w:tcPr>
            <w:tcW w:w="1670" w:type="dxa"/>
            <w:gridSpan w:val="2"/>
            <w:tcBorders>
              <w:top w:val="nil"/>
              <w:left w:val="nil"/>
              <w:bottom w:val="nil"/>
              <w:right w:val="nil"/>
            </w:tcBorders>
            <w:shd w:val="clear" w:color="auto" w:fill="auto"/>
          </w:tcPr>
          <w:p w14:paraId="7810354B" w14:textId="77777777" w:rsidR="00F4383A" w:rsidRPr="0012104B" w:rsidRDefault="00F4383A" w:rsidP="00F75E7E">
            <w:pPr>
              <w:pStyle w:val="BMSTableText"/>
              <w:keepNext/>
              <w:keepLines/>
            </w:pPr>
            <w:r w:rsidRPr="0012104B">
              <w:t>80% (73, 87)</w:t>
            </w:r>
          </w:p>
        </w:tc>
        <w:tc>
          <w:tcPr>
            <w:tcW w:w="1669" w:type="dxa"/>
            <w:tcBorders>
              <w:top w:val="nil"/>
              <w:left w:val="nil"/>
              <w:bottom w:val="nil"/>
              <w:right w:val="nil"/>
            </w:tcBorders>
            <w:shd w:val="clear" w:color="auto" w:fill="auto"/>
          </w:tcPr>
          <w:p w14:paraId="20D96786" w14:textId="77777777" w:rsidR="00F4383A" w:rsidRPr="0012104B" w:rsidRDefault="00F4383A" w:rsidP="00F75E7E">
            <w:pPr>
              <w:pStyle w:val="BMSTableText"/>
              <w:keepNext/>
              <w:keepLines/>
            </w:pPr>
            <w:r w:rsidRPr="0012104B">
              <w:t>51% (41, 60)</w:t>
            </w:r>
          </w:p>
        </w:tc>
        <w:tc>
          <w:tcPr>
            <w:tcW w:w="1652" w:type="dxa"/>
            <w:gridSpan w:val="2"/>
            <w:tcBorders>
              <w:top w:val="nil"/>
              <w:left w:val="nil"/>
              <w:bottom w:val="nil"/>
            </w:tcBorders>
            <w:shd w:val="clear" w:color="auto" w:fill="auto"/>
          </w:tcPr>
          <w:p w14:paraId="4F653B19" w14:textId="77777777" w:rsidR="00F4383A" w:rsidRPr="0012104B" w:rsidRDefault="00F4383A" w:rsidP="00F75E7E">
            <w:pPr>
              <w:pStyle w:val="BMSTableText"/>
              <w:keepNext/>
              <w:keepLines/>
            </w:pPr>
            <w:r w:rsidRPr="0012104B">
              <w:t>42% (33, 51)</w:t>
            </w:r>
          </w:p>
        </w:tc>
      </w:tr>
      <w:tr w:rsidR="00F4383A" w:rsidRPr="0012104B" w14:paraId="3271791C"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c>
          <w:tcPr>
            <w:tcW w:w="2898" w:type="dxa"/>
            <w:tcBorders>
              <w:top w:val="nil"/>
              <w:bottom w:val="nil"/>
              <w:right w:val="nil"/>
            </w:tcBorders>
            <w:shd w:val="clear" w:color="auto" w:fill="auto"/>
            <w:vAlign w:val="center"/>
          </w:tcPr>
          <w:p w14:paraId="7F0E17B0" w14:textId="77777777" w:rsidR="00F4383A" w:rsidRPr="0012104B" w:rsidRDefault="00F4383A" w:rsidP="00F75E7E">
            <w:pPr>
              <w:pStyle w:val="BMSTableText"/>
              <w:keepNext/>
              <w:keepLines/>
              <w:ind w:left="216"/>
              <w:jc w:val="left"/>
              <w:rPr>
                <w:lang w:val="fr-FR"/>
              </w:rPr>
            </w:pPr>
            <w:r w:rsidRPr="0012104B">
              <w:rPr>
                <w:lang w:val="fr-FR"/>
              </w:rPr>
              <w:t>Imatinib-resistant</w:t>
            </w:r>
            <w:r w:rsidRPr="0012104B">
              <w:t xml:space="preserve"> patients</w:t>
            </w:r>
          </w:p>
        </w:tc>
        <w:tc>
          <w:tcPr>
            <w:tcW w:w="1669" w:type="dxa"/>
            <w:tcBorders>
              <w:top w:val="nil"/>
              <w:left w:val="nil"/>
              <w:bottom w:val="nil"/>
              <w:right w:val="nil"/>
            </w:tcBorders>
            <w:shd w:val="clear" w:color="auto" w:fill="auto"/>
          </w:tcPr>
          <w:p w14:paraId="5AAFB0F3" w14:textId="77777777" w:rsidR="00F4383A" w:rsidRPr="0012104B" w:rsidRDefault="00F4383A" w:rsidP="00F75E7E">
            <w:pPr>
              <w:pStyle w:val="BMSTableText"/>
              <w:keepNext/>
              <w:keepLines/>
            </w:pPr>
            <w:r w:rsidRPr="0012104B">
              <w:t>88% (82, 94)</w:t>
            </w:r>
          </w:p>
        </w:tc>
        <w:tc>
          <w:tcPr>
            <w:tcW w:w="1670" w:type="dxa"/>
            <w:gridSpan w:val="2"/>
            <w:tcBorders>
              <w:top w:val="nil"/>
              <w:left w:val="nil"/>
              <w:bottom w:val="nil"/>
              <w:right w:val="nil"/>
            </w:tcBorders>
            <w:shd w:val="clear" w:color="auto" w:fill="auto"/>
          </w:tcPr>
          <w:p w14:paraId="2124376A" w14:textId="77777777" w:rsidR="00F4383A" w:rsidRPr="0012104B" w:rsidRDefault="00F4383A" w:rsidP="00F75E7E">
            <w:pPr>
              <w:pStyle w:val="BMSTableText"/>
              <w:keepNext/>
              <w:keepLines/>
            </w:pPr>
            <w:r w:rsidRPr="0012104B">
              <w:t>77% (68, 85)</w:t>
            </w:r>
          </w:p>
        </w:tc>
        <w:tc>
          <w:tcPr>
            <w:tcW w:w="1669" w:type="dxa"/>
            <w:tcBorders>
              <w:top w:val="nil"/>
              <w:left w:val="nil"/>
              <w:bottom w:val="nil"/>
              <w:right w:val="nil"/>
            </w:tcBorders>
            <w:shd w:val="clear" w:color="auto" w:fill="auto"/>
          </w:tcPr>
          <w:p w14:paraId="056EAEE2" w14:textId="77777777" w:rsidR="00F4383A" w:rsidRPr="0012104B" w:rsidRDefault="00F4383A" w:rsidP="00F75E7E">
            <w:pPr>
              <w:pStyle w:val="BMSTableText"/>
              <w:keepNext/>
              <w:keepLines/>
            </w:pPr>
            <w:r w:rsidRPr="0012104B">
              <w:t>49% (39, 59)</w:t>
            </w:r>
          </w:p>
        </w:tc>
        <w:tc>
          <w:tcPr>
            <w:tcW w:w="1652" w:type="dxa"/>
            <w:gridSpan w:val="2"/>
            <w:tcBorders>
              <w:top w:val="nil"/>
              <w:left w:val="nil"/>
              <w:bottom w:val="nil"/>
            </w:tcBorders>
            <w:shd w:val="clear" w:color="auto" w:fill="auto"/>
          </w:tcPr>
          <w:p w14:paraId="0237D19F" w14:textId="77777777" w:rsidR="00F4383A" w:rsidRPr="0012104B" w:rsidRDefault="00F4383A" w:rsidP="00F75E7E">
            <w:pPr>
              <w:pStyle w:val="BMSTableText"/>
              <w:keepNext/>
              <w:keepLines/>
            </w:pPr>
            <w:r w:rsidRPr="0012104B">
              <w:t>39% (29, 49)</w:t>
            </w:r>
          </w:p>
        </w:tc>
      </w:tr>
      <w:tr w:rsidR="00F4383A" w:rsidRPr="0012104B" w14:paraId="7A33E264"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c>
          <w:tcPr>
            <w:tcW w:w="2898" w:type="dxa"/>
            <w:tcBorders>
              <w:top w:val="nil"/>
              <w:bottom w:val="nil"/>
              <w:right w:val="nil"/>
            </w:tcBorders>
            <w:shd w:val="clear" w:color="auto" w:fill="auto"/>
            <w:vAlign w:val="center"/>
          </w:tcPr>
          <w:p w14:paraId="463FF16E" w14:textId="77777777" w:rsidR="00F4383A" w:rsidRPr="0012104B" w:rsidRDefault="00F4383A" w:rsidP="00F75E7E">
            <w:pPr>
              <w:pStyle w:val="BMSTableText"/>
              <w:keepNext/>
              <w:keepLines/>
              <w:ind w:left="216"/>
              <w:jc w:val="left"/>
              <w:rPr>
                <w:lang w:val="fr-FR"/>
              </w:rPr>
            </w:pPr>
            <w:r w:rsidRPr="0012104B">
              <w:rPr>
                <w:lang w:val="fr-FR"/>
              </w:rPr>
              <w:t xml:space="preserve">Imatinib-intolerant </w:t>
            </w:r>
            <w:r w:rsidRPr="0012104B">
              <w:t>patients</w:t>
            </w:r>
          </w:p>
        </w:tc>
        <w:tc>
          <w:tcPr>
            <w:tcW w:w="1669" w:type="dxa"/>
            <w:tcBorders>
              <w:top w:val="nil"/>
              <w:left w:val="nil"/>
              <w:bottom w:val="nil"/>
              <w:right w:val="nil"/>
            </w:tcBorders>
            <w:shd w:val="clear" w:color="auto" w:fill="auto"/>
          </w:tcPr>
          <w:p w14:paraId="1E1DD3AB" w14:textId="77777777" w:rsidR="00F4383A" w:rsidRPr="0012104B" w:rsidRDefault="00F4383A" w:rsidP="00F75E7E">
            <w:pPr>
              <w:pStyle w:val="BMSTableText"/>
              <w:keepNext/>
              <w:keepLines/>
            </w:pPr>
            <w:r w:rsidRPr="0012104B">
              <w:t>97% (92, 100)</w:t>
            </w:r>
          </w:p>
        </w:tc>
        <w:tc>
          <w:tcPr>
            <w:tcW w:w="1670" w:type="dxa"/>
            <w:gridSpan w:val="2"/>
            <w:tcBorders>
              <w:top w:val="nil"/>
              <w:left w:val="nil"/>
              <w:bottom w:val="nil"/>
              <w:right w:val="nil"/>
            </w:tcBorders>
            <w:shd w:val="clear" w:color="auto" w:fill="auto"/>
          </w:tcPr>
          <w:p w14:paraId="794DFE44" w14:textId="77777777" w:rsidR="00F4383A" w:rsidRPr="0012104B" w:rsidRDefault="00F4383A" w:rsidP="00F75E7E">
            <w:pPr>
              <w:pStyle w:val="BMSTableText"/>
              <w:keepNext/>
              <w:keepLines/>
            </w:pPr>
            <w:r w:rsidRPr="0012104B">
              <w:t>87% (76, 99)</w:t>
            </w:r>
          </w:p>
        </w:tc>
        <w:tc>
          <w:tcPr>
            <w:tcW w:w="1669" w:type="dxa"/>
            <w:tcBorders>
              <w:top w:val="nil"/>
              <w:left w:val="nil"/>
              <w:bottom w:val="nil"/>
              <w:right w:val="nil"/>
            </w:tcBorders>
            <w:shd w:val="clear" w:color="auto" w:fill="auto"/>
          </w:tcPr>
          <w:p w14:paraId="40206AEB" w14:textId="77777777" w:rsidR="00F4383A" w:rsidRPr="0012104B" w:rsidRDefault="00F4383A" w:rsidP="00F75E7E">
            <w:pPr>
              <w:pStyle w:val="BMSTableText"/>
              <w:keepNext/>
              <w:keepLines/>
            </w:pPr>
            <w:r w:rsidRPr="0012104B">
              <w:t>56% (37, 76)</w:t>
            </w:r>
          </w:p>
        </w:tc>
        <w:tc>
          <w:tcPr>
            <w:tcW w:w="1652" w:type="dxa"/>
            <w:gridSpan w:val="2"/>
            <w:tcBorders>
              <w:top w:val="nil"/>
              <w:left w:val="nil"/>
              <w:bottom w:val="nil"/>
            </w:tcBorders>
            <w:shd w:val="clear" w:color="auto" w:fill="auto"/>
          </w:tcPr>
          <w:p w14:paraId="36B288B9" w14:textId="77777777" w:rsidR="00F4383A" w:rsidRPr="0012104B" w:rsidRDefault="00F4383A" w:rsidP="00F75E7E">
            <w:pPr>
              <w:pStyle w:val="BMSTableText"/>
              <w:keepNext/>
              <w:keepLines/>
            </w:pPr>
            <w:r w:rsidRPr="0012104B">
              <w:t>51% (32, 67)</w:t>
            </w:r>
          </w:p>
        </w:tc>
      </w:tr>
      <w:tr w:rsidR="00F4383A" w:rsidRPr="0012104B" w14:paraId="3FD7B8FC"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c>
          <w:tcPr>
            <w:tcW w:w="6228" w:type="dxa"/>
            <w:gridSpan w:val="3"/>
            <w:tcBorders>
              <w:top w:val="nil"/>
              <w:bottom w:val="nil"/>
              <w:right w:val="nil"/>
            </w:tcBorders>
            <w:shd w:val="clear" w:color="auto" w:fill="auto"/>
            <w:vAlign w:val="center"/>
          </w:tcPr>
          <w:p w14:paraId="33811795" w14:textId="77777777" w:rsidR="00F4383A" w:rsidRPr="0012104B" w:rsidRDefault="00F4383A" w:rsidP="00F75E7E">
            <w:pPr>
              <w:pStyle w:val="BMSTableText"/>
              <w:keepNext/>
              <w:keepLines/>
              <w:jc w:val="left"/>
            </w:pPr>
            <w:r w:rsidRPr="0012104B">
              <w:rPr>
                <w:b/>
              </w:rPr>
              <w:t>Overall Survival</w:t>
            </w:r>
          </w:p>
        </w:tc>
        <w:tc>
          <w:tcPr>
            <w:tcW w:w="1710" w:type="dxa"/>
            <w:gridSpan w:val="3"/>
            <w:tcBorders>
              <w:top w:val="nil"/>
              <w:left w:val="nil"/>
              <w:bottom w:val="nil"/>
              <w:right w:val="nil"/>
            </w:tcBorders>
            <w:shd w:val="clear" w:color="auto" w:fill="auto"/>
          </w:tcPr>
          <w:p w14:paraId="7A726F57" w14:textId="77777777" w:rsidR="00F4383A" w:rsidRPr="0012104B" w:rsidRDefault="00F4383A" w:rsidP="00F75E7E">
            <w:pPr>
              <w:pStyle w:val="BMSTableText"/>
              <w:keepNext/>
              <w:keepLines/>
            </w:pPr>
          </w:p>
        </w:tc>
        <w:tc>
          <w:tcPr>
            <w:tcW w:w="1620" w:type="dxa"/>
            <w:tcBorders>
              <w:top w:val="nil"/>
              <w:left w:val="nil"/>
              <w:bottom w:val="nil"/>
            </w:tcBorders>
            <w:shd w:val="clear" w:color="auto" w:fill="auto"/>
          </w:tcPr>
          <w:p w14:paraId="13265000" w14:textId="77777777" w:rsidR="00F4383A" w:rsidRPr="0012104B" w:rsidRDefault="00F4383A" w:rsidP="00F75E7E">
            <w:pPr>
              <w:pStyle w:val="BMSTableText"/>
              <w:keepNext/>
              <w:keepLines/>
            </w:pPr>
          </w:p>
        </w:tc>
      </w:tr>
      <w:tr w:rsidR="00F4383A" w:rsidRPr="0012104B" w14:paraId="2DC12989"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c>
          <w:tcPr>
            <w:tcW w:w="2898" w:type="dxa"/>
            <w:tcBorders>
              <w:top w:val="nil"/>
              <w:bottom w:val="nil"/>
              <w:right w:val="nil"/>
            </w:tcBorders>
            <w:shd w:val="clear" w:color="auto" w:fill="auto"/>
            <w:vAlign w:val="center"/>
          </w:tcPr>
          <w:p w14:paraId="51E08319" w14:textId="77777777" w:rsidR="00F4383A" w:rsidRPr="0012104B" w:rsidRDefault="00F4383A" w:rsidP="00F75E7E">
            <w:pPr>
              <w:pStyle w:val="BMSTableText"/>
              <w:keepNext/>
              <w:keepLines/>
              <w:ind w:left="216"/>
              <w:jc w:val="left"/>
            </w:pPr>
            <w:r w:rsidRPr="0012104B">
              <w:t>All subjects</w:t>
            </w:r>
          </w:p>
        </w:tc>
        <w:tc>
          <w:tcPr>
            <w:tcW w:w="1669" w:type="dxa"/>
            <w:tcBorders>
              <w:top w:val="nil"/>
              <w:left w:val="nil"/>
              <w:bottom w:val="nil"/>
              <w:right w:val="nil"/>
            </w:tcBorders>
            <w:shd w:val="clear" w:color="auto" w:fill="auto"/>
          </w:tcPr>
          <w:p w14:paraId="2D1230F9" w14:textId="77777777" w:rsidR="00F4383A" w:rsidRPr="0012104B" w:rsidRDefault="00F4383A" w:rsidP="00F75E7E">
            <w:pPr>
              <w:pStyle w:val="BMSTableText"/>
              <w:keepNext/>
              <w:keepLines/>
            </w:pPr>
            <w:r w:rsidRPr="0012104B">
              <w:t>96% (93, 99)</w:t>
            </w:r>
          </w:p>
        </w:tc>
        <w:tc>
          <w:tcPr>
            <w:tcW w:w="1670" w:type="dxa"/>
            <w:gridSpan w:val="2"/>
            <w:tcBorders>
              <w:top w:val="nil"/>
              <w:left w:val="nil"/>
              <w:bottom w:val="nil"/>
              <w:right w:val="nil"/>
            </w:tcBorders>
            <w:shd w:val="clear" w:color="auto" w:fill="auto"/>
          </w:tcPr>
          <w:p w14:paraId="2DED8099" w14:textId="77777777" w:rsidR="00F4383A" w:rsidRPr="0012104B" w:rsidRDefault="00F4383A" w:rsidP="00F75E7E">
            <w:pPr>
              <w:pStyle w:val="BMSTableText"/>
              <w:keepNext/>
              <w:keepLines/>
            </w:pPr>
            <w:r w:rsidRPr="0012104B">
              <w:t>91% (86, 96)</w:t>
            </w:r>
          </w:p>
        </w:tc>
        <w:tc>
          <w:tcPr>
            <w:tcW w:w="1669" w:type="dxa"/>
            <w:tcBorders>
              <w:top w:val="nil"/>
              <w:left w:val="nil"/>
              <w:bottom w:val="nil"/>
              <w:right w:val="nil"/>
            </w:tcBorders>
            <w:shd w:val="clear" w:color="auto" w:fill="auto"/>
          </w:tcPr>
          <w:p w14:paraId="0B6B33A5" w14:textId="77777777" w:rsidR="00F4383A" w:rsidRPr="0012104B" w:rsidRDefault="00F4383A" w:rsidP="00F75E7E">
            <w:pPr>
              <w:pStyle w:val="BMSTableText"/>
              <w:keepNext/>
              <w:keepLines/>
            </w:pPr>
            <w:r w:rsidRPr="0012104B">
              <w:t>78% (72, 85)</w:t>
            </w:r>
          </w:p>
        </w:tc>
        <w:tc>
          <w:tcPr>
            <w:tcW w:w="1652" w:type="dxa"/>
            <w:gridSpan w:val="2"/>
            <w:tcBorders>
              <w:top w:val="nil"/>
              <w:left w:val="nil"/>
              <w:bottom w:val="nil"/>
            </w:tcBorders>
            <w:shd w:val="clear" w:color="auto" w:fill="auto"/>
          </w:tcPr>
          <w:p w14:paraId="2AA8EE0D" w14:textId="77777777" w:rsidR="00F4383A" w:rsidRPr="0012104B" w:rsidRDefault="00F4383A" w:rsidP="00F75E7E">
            <w:pPr>
              <w:pStyle w:val="BMSTableText"/>
              <w:keepNext/>
              <w:keepLines/>
            </w:pPr>
            <w:r w:rsidRPr="0012104B">
              <w:t>65% (56, 72)</w:t>
            </w:r>
          </w:p>
        </w:tc>
      </w:tr>
      <w:tr w:rsidR="00F4383A" w:rsidRPr="0012104B" w14:paraId="6984D4B8"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c>
          <w:tcPr>
            <w:tcW w:w="2898" w:type="dxa"/>
            <w:tcBorders>
              <w:top w:val="nil"/>
              <w:bottom w:val="nil"/>
              <w:right w:val="nil"/>
            </w:tcBorders>
            <w:shd w:val="clear" w:color="auto" w:fill="auto"/>
            <w:vAlign w:val="center"/>
          </w:tcPr>
          <w:p w14:paraId="66634B2D" w14:textId="77777777" w:rsidR="00F4383A" w:rsidRPr="0012104B" w:rsidRDefault="00F4383A" w:rsidP="00F75E7E">
            <w:pPr>
              <w:pStyle w:val="BMSTableText"/>
              <w:keepNext/>
              <w:keepLines/>
              <w:ind w:left="216"/>
              <w:jc w:val="left"/>
              <w:rPr>
                <w:lang w:val="fr-FR"/>
              </w:rPr>
            </w:pPr>
            <w:r w:rsidRPr="0012104B">
              <w:rPr>
                <w:lang w:val="fr-FR"/>
              </w:rPr>
              <w:t>Imatinib-resistant</w:t>
            </w:r>
            <w:r w:rsidRPr="0012104B">
              <w:t xml:space="preserve"> patients</w:t>
            </w:r>
          </w:p>
        </w:tc>
        <w:tc>
          <w:tcPr>
            <w:tcW w:w="1669" w:type="dxa"/>
            <w:tcBorders>
              <w:top w:val="nil"/>
              <w:left w:val="nil"/>
              <w:bottom w:val="nil"/>
              <w:right w:val="nil"/>
            </w:tcBorders>
            <w:shd w:val="clear" w:color="auto" w:fill="auto"/>
          </w:tcPr>
          <w:p w14:paraId="0A47F875" w14:textId="77777777" w:rsidR="00F4383A" w:rsidRPr="0012104B" w:rsidRDefault="00F4383A" w:rsidP="00F75E7E">
            <w:pPr>
              <w:pStyle w:val="BMSTableText"/>
              <w:keepNext/>
              <w:keepLines/>
            </w:pPr>
            <w:r w:rsidRPr="0012104B">
              <w:t>94% (90, 98)</w:t>
            </w:r>
          </w:p>
        </w:tc>
        <w:tc>
          <w:tcPr>
            <w:tcW w:w="1670" w:type="dxa"/>
            <w:gridSpan w:val="2"/>
            <w:tcBorders>
              <w:top w:val="nil"/>
              <w:left w:val="nil"/>
              <w:bottom w:val="nil"/>
              <w:right w:val="nil"/>
            </w:tcBorders>
            <w:shd w:val="clear" w:color="auto" w:fill="auto"/>
          </w:tcPr>
          <w:p w14:paraId="061364B1" w14:textId="77777777" w:rsidR="00F4383A" w:rsidRPr="0012104B" w:rsidRDefault="00F4383A" w:rsidP="00F75E7E">
            <w:pPr>
              <w:pStyle w:val="BMSTableText"/>
              <w:keepNext/>
              <w:keepLines/>
            </w:pPr>
            <w:r w:rsidRPr="0012104B">
              <w:t>89% (84, 95)</w:t>
            </w:r>
          </w:p>
        </w:tc>
        <w:tc>
          <w:tcPr>
            <w:tcW w:w="1669" w:type="dxa"/>
            <w:tcBorders>
              <w:top w:val="nil"/>
              <w:left w:val="nil"/>
              <w:bottom w:val="nil"/>
              <w:right w:val="nil"/>
            </w:tcBorders>
            <w:shd w:val="clear" w:color="auto" w:fill="auto"/>
          </w:tcPr>
          <w:p w14:paraId="310A9904" w14:textId="77777777" w:rsidR="00F4383A" w:rsidRPr="0012104B" w:rsidRDefault="00F4383A" w:rsidP="00F75E7E">
            <w:pPr>
              <w:pStyle w:val="BMSTableText"/>
              <w:keepNext/>
              <w:keepLines/>
            </w:pPr>
            <w:r w:rsidRPr="0012104B">
              <w:t>77% (69, 85)</w:t>
            </w:r>
          </w:p>
        </w:tc>
        <w:tc>
          <w:tcPr>
            <w:tcW w:w="1652" w:type="dxa"/>
            <w:gridSpan w:val="2"/>
            <w:tcBorders>
              <w:top w:val="nil"/>
              <w:left w:val="nil"/>
              <w:bottom w:val="nil"/>
            </w:tcBorders>
            <w:shd w:val="clear" w:color="auto" w:fill="auto"/>
          </w:tcPr>
          <w:p w14:paraId="7E9D0990" w14:textId="77777777" w:rsidR="00F4383A" w:rsidRPr="0012104B" w:rsidRDefault="00F4383A" w:rsidP="00F75E7E">
            <w:pPr>
              <w:pStyle w:val="BMSTableText"/>
              <w:keepNext/>
              <w:keepLines/>
            </w:pPr>
            <w:r w:rsidRPr="0012104B">
              <w:t>63% (53, 71)</w:t>
            </w:r>
          </w:p>
        </w:tc>
      </w:tr>
      <w:tr w:rsidR="00F4383A" w:rsidRPr="0012104B" w14:paraId="1F51BF29" w14:textId="77777777" w:rsidTr="00F75E7E">
        <w:tblPrEx>
          <w:tblBorders>
            <w:top w:val="none" w:sz="0" w:space="0" w:color="auto"/>
            <w:left w:val="none" w:sz="0" w:space="0" w:color="auto"/>
            <w:bottom w:val="double" w:sz="6" w:space="0" w:color="auto"/>
            <w:right w:val="none" w:sz="0" w:space="0" w:color="auto"/>
            <w:insideH w:val="none" w:sz="0" w:space="0" w:color="auto"/>
            <w:insideV w:val="none" w:sz="0" w:space="0" w:color="auto"/>
          </w:tblBorders>
        </w:tblPrEx>
        <w:tc>
          <w:tcPr>
            <w:tcW w:w="2898" w:type="dxa"/>
            <w:tcBorders>
              <w:top w:val="nil"/>
              <w:bottom w:val="double" w:sz="6" w:space="0" w:color="auto"/>
              <w:right w:val="nil"/>
            </w:tcBorders>
            <w:shd w:val="clear" w:color="auto" w:fill="auto"/>
            <w:vAlign w:val="center"/>
          </w:tcPr>
          <w:p w14:paraId="27E176FB" w14:textId="77777777" w:rsidR="00F4383A" w:rsidRPr="0012104B" w:rsidRDefault="00F4383A" w:rsidP="00F75E7E">
            <w:pPr>
              <w:pStyle w:val="BMSTableText"/>
              <w:keepNext/>
              <w:keepLines/>
              <w:ind w:left="216"/>
              <w:jc w:val="left"/>
              <w:rPr>
                <w:lang w:val="fr-FR"/>
              </w:rPr>
            </w:pPr>
            <w:r w:rsidRPr="0012104B">
              <w:rPr>
                <w:lang w:val="fr-FR"/>
              </w:rPr>
              <w:t xml:space="preserve">Imatinib-intolerant </w:t>
            </w:r>
            <w:r w:rsidRPr="0012104B">
              <w:t>patients</w:t>
            </w:r>
          </w:p>
        </w:tc>
        <w:tc>
          <w:tcPr>
            <w:tcW w:w="1669" w:type="dxa"/>
            <w:tcBorders>
              <w:top w:val="nil"/>
              <w:left w:val="nil"/>
              <w:bottom w:val="double" w:sz="6" w:space="0" w:color="auto"/>
              <w:right w:val="nil"/>
            </w:tcBorders>
            <w:shd w:val="clear" w:color="auto" w:fill="auto"/>
          </w:tcPr>
          <w:p w14:paraId="0F9E3063" w14:textId="77777777" w:rsidR="00F4383A" w:rsidRPr="0012104B" w:rsidRDefault="00F4383A" w:rsidP="00F75E7E">
            <w:pPr>
              <w:pStyle w:val="BMSTableText"/>
              <w:keepNext/>
              <w:keepLines/>
            </w:pPr>
            <w:r w:rsidRPr="0012104B">
              <w:t>100% (100, 100)</w:t>
            </w:r>
          </w:p>
        </w:tc>
        <w:tc>
          <w:tcPr>
            <w:tcW w:w="1670" w:type="dxa"/>
            <w:gridSpan w:val="2"/>
            <w:tcBorders>
              <w:top w:val="nil"/>
              <w:left w:val="nil"/>
              <w:bottom w:val="double" w:sz="6" w:space="0" w:color="auto"/>
              <w:right w:val="nil"/>
            </w:tcBorders>
            <w:shd w:val="clear" w:color="auto" w:fill="auto"/>
          </w:tcPr>
          <w:p w14:paraId="42B2F818" w14:textId="77777777" w:rsidR="00F4383A" w:rsidRPr="0012104B" w:rsidRDefault="00F4383A" w:rsidP="00F75E7E">
            <w:pPr>
              <w:pStyle w:val="BMSTableText"/>
              <w:keepNext/>
              <w:keepLines/>
            </w:pPr>
            <w:r w:rsidRPr="0012104B">
              <w:t>95% (88, 100)</w:t>
            </w:r>
          </w:p>
        </w:tc>
        <w:tc>
          <w:tcPr>
            <w:tcW w:w="1669" w:type="dxa"/>
            <w:tcBorders>
              <w:top w:val="nil"/>
              <w:left w:val="nil"/>
              <w:bottom w:val="double" w:sz="6" w:space="0" w:color="auto"/>
              <w:right w:val="nil"/>
            </w:tcBorders>
            <w:shd w:val="clear" w:color="auto" w:fill="auto"/>
          </w:tcPr>
          <w:p w14:paraId="66E4780C" w14:textId="77777777" w:rsidR="00F4383A" w:rsidRPr="0012104B" w:rsidRDefault="00F4383A" w:rsidP="00F75E7E">
            <w:pPr>
              <w:pStyle w:val="BMSTableText"/>
              <w:keepNext/>
              <w:keepLines/>
            </w:pPr>
            <w:r w:rsidRPr="0012104B">
              <w:t>82% (70, 94)</w:t>
            </w:r>
          </w:p>
        </w:tc>
        <w:tc>
          <w:tcPr>
            <w:tcW w:w="1652" w:type="dxa"/>
            <w:gridSpan w:val="2"/>
            <w:tcBorders>
              <w:top w:val="nil"/>
              <w:left w:val="nil"/>
              <w:bottom w:val="double" w:sz="6" w:space="0" w:color="auto"/>
            </w:tcBorders>
            <w:shd w:val="clear" w:color="auto" w:fill="auto"/>
          </w:tcPr>
          <w:p w14:paraId="65DE6190" w14:textId="77777777" w:rsidR="00F4383A" w:rsidRPr="0012104B" w:rsidRDefault="00F4383A" w:rsidP="00F75E7E">
            <w:pPr>
              <w:pStyle w:val="BMSTableText"/>
              <w:keepNext/>
              <w:keepLines/>
            </w:pPr>
            <w:r w:rsidRPr="0012104B">
              <w:t>70% (52, 82)</w:t>
            </w:r>
          </w:p>
        </w:tc>
      </w:tr>
    </w:tbl>
    <w:p w14:paraId="1E1F4650" w14:textId="77777777" w:rsidR="00F4383A" w:rsidRPr="00C15DA2" w:rsidRDefault="00F4383A" w:rsidP="00510F98">
      <w:pPr>
        <w:pStyle w:val="BMSTableNoteInfo"/>
        <w:spacing w:before="0"/>
        <w:rPr>
          <w:color w:val="auto"/>
          <w:sz w:val="18"/>
          <w:szCs w:val="18"/>
        </w:rPr>
      </w:pPr>
      <w:r w:rsidRPr="00C15DA2">
        <w:rPr>
          <w:rStyle w:val="BMSSuperscript"/>
          <w:color w:val="auto"/>
          <w:sz w:val="18"/>
          <w:szCs w:val="18"/>
        </w:rPr>
        <w:t>a</w:t>
      </w:r>
      <w:r w:rsidRPr="00C15DA2">
        <w:rPr>
          <w:color w:val="auto"/>
          <w:sz w:val="18"/>
          <w:szCs w:val="18"/>
        </w:rPr>
        <w:tab/>
        <w:t xml:space="preserve">Results reported in recommended starting dose of 100 mg once daily. </w:t>
      </w:r>
    </w:p>
    <w:p w14:paraId="30D92A4E" w14:textId="77777777" w:rsidR="00F4383A" w:rsidRPr="00C15DA2" w:rsidRDefault="00F4383A" w:rsidP="00510F98">
      <w:pPr>
        <w:pStyle w:val="BMSBodyText"/>
        <w:spacing w:before="0" w:after="200" w:line="240" w:lineRule="auto"/>
        <w:ind w:left="329" w:hanging="329"/>
        <w:rPr>
          <w:color w:val="auto"/>
          <w:sz w:val="18"/>
          <w:szCs w:val="18"/>
        </w:rPr>
      </w:pPr>
      <w:r w:rsidRPr="00C15DA2">
        <w:rPr>
          <w:color w:val="auto"/>
          <w:sz w:val="18"/>
          <w:szCs w:val="18"/>
          <w:vertAlign w:val="superscript"/>
        </w:rPr>
        <w:t xml:space="preserve">b </w:t>
      </w:r>
      <w:r w:rsidRPr="00C15DA2">
        <w:rPr>
          <w:color w:val="auto"/>
          <w:sz w:val="18"/>
          <w:szCs w:val="18"/>
        </w:rPr>
        <w:t xml:space="preserve">  Progression was defined as increasing WBC count, loss of CHR or MCyR, </w:t>
      </w:r>
      <w:r w:rsidRPr="00C15DA2">
        <w:rPr>
          <w:color w:val="auto"/>
          <w:sz w:val="18"/>
          <w:szCs w:val="18"/>
        </w:rPr>
        <w:sym w:font="Symbol" w:char="F0B3"/>
      </w:r>
      <w:r w:rsidRPr="00C15DA2">
        <w:rPr>
          <w:color w:val="auto"/>
          <w:sz w:val="18"/>
          <w:szCs w:val="18"/>
        </w:rPr>
        <w:t>30% increase in Ph+ metaphases, confirmed AP/BP disease or death. PFS was analysed on an intent-to-treat principle and patients were followed to events including subsequent therapy.</w:t>
      </w:r>
    </w:p>
    <w:p w14:paraId="17FE5A10" w14:textId="25922078" w:rsidR="00F4383A" w:rsidRPr="00265791" w:rsidRDefault="00F4383A" w:rsidP="00510F98">
      <w:r w:rsidRPr="00265791">
        <w:t>In the Phase III, randomized, open-label study in patients with advanced phase CML and Ph+ALL, whose disease was resistant to or who were intolerant to imatinib, the primary endpoint was MaHR. A</w:t>
      </w:r>
      <w:r w:rsidR="00510F98">
        <w:t xml:space="preserve"> </w:t>
      </w:r>
      <w:r w:rsidRPr="00265791">
        <w:t xml:space="preserve">total of 611 patients were randomised to either the SPRYCEL 140 mg once daily or 70 mg twice daily group. Median duration of treatment was approximately 6 months </w:t>
      </w:r>
      <w:r w:rsidRPr="00265791">
        <w:rPr>
          <w:rFonts w:eastAsia="MS Mincho"/>
        </w:rPr>
        <w:t>(range &lt;1-31 months)</w:t>
      </w:r>
      <w:r w:rsidRPr="00265791">
        <w:t>.</w:t>
      </w:r>
    </w:p>
    <w:p w14:paraId="73C3D84B" w14:textId="34F9BE71" w:rsidR="00F4383A" w:rsidRPr="00265791" w:rsidRDefault="00F4383A" w:rsidP="00C15DA2">
      <w:pPr>
        <w:rPr>
          <w:u w:val="single"/>
        </w:rPr>
      </w:pPr>
      <w:r w:rsidRPr="00265791">
        <w:t>The once daily schedule demonstrated comparable efficacy (non-inferiority) to the twice daily schedule on the primary efficacy endpoint (</w:t>
      </w:r>
      <w:r w:rsidRPr="00265791">
        <w:rPr>
          <w:lang w:val="en-US"/>
        </w:rPr>
        <w:t>difference</w:t>
      </w:r>
      <w:r w:rsidRPr="00265791">
        <w:t xml:space="preserve"> in MaHR 0.8%; 95% confidence interval [-7.1%- 8.7%])</w:t>
      </w:r>
      <w:r>
        <w:t xml:space="preserve">; </w:t>
      </w:r>
      <w:r w:rsidRPr="00265791">
        <w:t xml:space="preserve">The response rates are presented in Table </w:t>
      </w:r>
      <w:r w:rsidR="00510F98">
        <w:t>13</w:t>
      </w:r>
      <w:r w:rsidRPr="00265791">
        <w:t>.</w:t>
      </w:r>
    </w:p>
    <w:p w14:paraId="3B4D9B13" w14:textId="77777777" w:rsidR="00F4383A" w:rsidRPr="00265791" w:rsidRDefault="00F4383A" w:rsidP="00F4383A">
      <w:pPr>
        <w:pStyle w:val="EMEABodyText"/>
        <w:jc w:val="both"/>
        <w:rPr>
          <w:sz w:val="24"/>
          <w:u w:val="single"/>
        </w:rPr>
      </w:pPr>
    </w:p>
    <w:p w14:paraId="2B42FC0C" w14:textId="5E9936BB" w:rsidR="00F4383A" w:rsidRPr="00546BFC" w:rsidRDefault="00F4383A" w:rsidP="00510F98">
      <w:pPr>
        <w:pStyle w:val="CM80"/>
        <w:spacing w:line="256" w:lineRule="atLeast"/>
        <w:ind w:left="2410" w:hanging="2410"/>
        <w:rPr>
          <w:sz w:val="22"/>
          <w:szCs w:val="22"/>
        </w:rPr>
      </w:pPr>
      <w:r w:rsidRPr="00265791">
        <w:rPr>
          <w:b/>
          <w:szCs w:val="22"/>
        </w:rPr>
        <w:br w:type="page"/>
      </w:r>
      <w:r w:rsidRPr="00546BFC">
        <w:rPr>
          <w:b/>
          <w:sz w:val="22"/>
          <w:szCs w:val="22"/>
        </w:rPr>
        <w:lastRenderedPageBreak/>
        <w:t xml:space="preserve">Table </w:t>
      </w:r>
      <w:r w:rsidR="00510F98" w:rsidRPr="00546BFC">
        <w:rPr>
          <w:b/>
          <w:sz w:val="22"/>
          <w:szCs w:val="22"/>
        </w:rPr>
        <w:t>13</w:t>
      </w:r>
      <w:r w:rsidRPr="00546BFC">
        <w:rPr>
          <w:b/>
          <w:sz w:val="22"/>
          <w:szCs w:val="22"/>
        </w:rPr>
        <w:t xml:space="preserve">: </w:t>
      </w:r>
      <w:r w:rsidR="00510F98" w:rsidRPr="00546BFC">
        <w:rPr>
          <w:b/>
          <w:sz w:val="22"/>
          <w:szCs w:val="22"/>
        </w:rPr>
        <w:tab/>
      </w:r>
      <w:r w:rsidRPr="00546BFC">
        <w:rPr>
          <w:b/>
          <w:sz w:val="22"/>
          <w:szCs w:val="22"/>
        </w:rPr>
        <w:t>Efficacy of SPRYCEL in Phase III Dose-Optimisation Study: Advanced Phase CML and Ph+ ALL (2 year results)</w:t>
      </w:r>
      <w:r w:rsidR="00656A56" w:rsidRPr="00546BFC">
        <w:rPr>
          <w:b/>
          <w:sz w:val="22"/>
          <w:szCs w:val="22"/>
          <w:vertAlign w:val="superscript"/>
        </w:rPr>
        <w:t>a</w:t>
      </w:r>
    </w:p>
    <w:tbl>
      <w:tblPr>
        <w:tblW w:w="6315" w:type="dxa"/>
        <w:jc w:val="center"/>
        <w:tblBorders>
          <w:top w:val="nil"/>
          <w:left w:val="nil"/>
          <w:bottom w:val="nil"/>
          <w:right w:val="nil"/>
        </w:tblBorders>
        <w:tblLook w:val="0000" w:firstRow="0" w:lastRow="0" w:firstColumn="0" w:lastColumn="0" w:noHBand="0" w:noVBand="0"/>
      </w:tblPr>
      <w:tblGrid>
        <w:gridCol w:w="1598"/>
        <w:gridCol w:w="1048"/>
        <w:gridCol w:w="983"/>
        <w:gridCol w:w="1147"/>
        <w:gridCol w:w="1539"/>
      </w:tblGrid>
      <w:tr w:rsidR="00F4383A" w:rsidRPr="00265791" w14:paraId="64CAE4E6" w14:textId="77777777" w:rsidTr="00F75E7E">
        <w:trPr>
          <w:trHeight w:val="230"/>
          <w:jc w:val="center"/>
        </w:trPr>
        <w:tc>
          <w:tcPr>
            <w:tcW w:w="4776" w:type="dxa"/>
            <w:gridSpan w:val="4"/>
            <w:tcBorders>
              <w:top w:val="double" w:sz="4" w:space="0" w:color="auto"/>
              <w:left w:val="nil"/>
              <w:bottom w:val="single" w:sz="6" w:space="0" w:color="000000"/>
            </w:tcBorders>
          </w:tcPr>
          <w:p w14:paraId="43CC3186" w14:textId="77777777" w:rsidR="00F4383A" w:rsidRPr="00265791" w:rsidRDefault="00F4383A" w:rsidP="00F75E7E">
            <w:pPr>
              <w:pStyle w:val="Default"/>
              <w:jc w:val="right"/>
              <w:rPr>
                <w:color w:val="auto"/>
                <w:sz w:val="20"/>
                <w:szCs w:val="20"/>
              </w:rPr>
            </w:pPr>
            <w:r w:rsidRPr="00265791">
              <w:rPr>
                <w:b/>
                <w:bCs/>
                <w:color w:val="auto"/>
                <w:sz w:val="20"/>
                <w:szCs w:val="20"/>
              </w:rPr>
              <w:t>140 mg Once Daily</w:t>
            </w:r>
          </w:p>
        </w:tc>
        <w:tc>
          <w:tcPr>
            <w:tcW w:w="1539" w:type="dxa"/>
            <w:tcBorders>
              <w:top w:val="double" w:sz="4" w:space="0" w:color="auto"/>
              <w:bottom w:val="single" w:sz="6" w:space="0" w:color="000000"/>
              <w:right w:val="nil"/>
            </w:tcBorders>
          </w:tcPr>
          <w:p w14:paraId="0B94C15E" w14:textId="77777777" w:rsidR="00F4383A" w:rsidRPr="00265791" w:rsidRDefault="00F4383A" w:rsidP="00F75E7E">
            <w:pPr>
              <w:pStyle w:val="Default"/>
              <w:jc w:val="center"/>
              <w:rPr>
                <w:color w:val="auto"/>
              </w:rPr>
            </w:pPr>
          </w:p>
        </w:tc>
      </w:tr>
      <w:tr w:rsidR="00F4383A" w:rsidRPr="00265791" w14:paraId="18519DD7" w14:textId="77777777" w:rsidTr="00F75E7E">
        <w:trPr>
          <w:trHeight w:val="235"/>
          <w:jc w:val="center"/>
        </w:trPr>
        <w:tc>
          <w:tcPr>
            <w:tcW w:w="3629" w:type="dxa"/>
            <w:gridSpan w:val="3"/>
            <w:tcBorders>
              <w:top w:val="single" w:sz="6" w:space="0" w:color="000000"/>
              <w:left w:val="nil"/>
            </w:tcBorders>
          </w:tcPr>
          <w:p w14:paraId="56BC3CC5" w14:textId="77777777" w:rsidR="00F4383A" w:rsidRPr="00265791" w:rsidRDefault="00F4383A" w:rsidP="00F75E7E">
            <w:pPr>
              <w:pStyle w:val="Default"/>
              <w:jc w:val="right"/>
              <w:rPr>
                <w:color w:val="auto"/>
                <w:sz w:val="20"/>
                <w:szCs w:val="20"/>
              </w:rPr>
            </w:pPr>
            <w:r w:rsidRPr="00265791">
              <w:rPr>
                <w:b/>
                <w:bCs/>
                <w:color w:val="auto"/>
                <w:sz w:val="20"/>
                <w:szCs w:val="20"/>
              </w:rPr>
              <w:t xml:space="preserve">Myeloid </w:t>
            </w:r>
          </w:p>
        </w:tc>
        <w:tc>
          <w:tcPr>
            <w:tcW w:w="1147" w:type="dxa"/>
            <w:tcBorders>
              <w:top w:val="single" w:sz="6" w:space="0" w:color="000000"/>
            </w:tcBorders>
          </w:tcPr>
          <w:p w14:paraId="0E743D04" w14:textId="77777777" w:rsidR="00F4383A" w:rsidRPr="00265791" w:rsidRDefault="00F4383A" w:rsidP="00F75E7E">
            <w:pPr>
              <w:pStyle w:val="Default"/>
              <w:jc w:val="center"/>
              <w:rPr>
                <w:color w:val="auto"/>
                <w:sz w:val="20"/>
                <w:szCs w:val="20"/>
              </w:rPr>
            </w:pPr>
            <w:r w:rsidRPr="00265791">
              <w:rPr>
                <w:b/>
                <w:bCs/>
                <w:color w:val="auto"/>
                <w:sz w:val="20"/>
                <w:szCs w:val="20"/>
              </w:rPr>
              <w:t xml:space="preserve">Lymphoid </w:t>
            </w:r>
          </w:p>
        </w:tc>
        <w:tc>
          <w:tcPr>
            <w:tcW w:w="1539" w:type="dxa"/>
            <w:tcBorders>
              <w:top w:val="single" w:sz="6" w:space="0" w:color="000000"/>
              <w:right w:val="nil"/>
            </w:tcBorders>
          </w:tcPr>
          <w:p w14:paraId="1C558810" w14:textId="77777777" w:rsidR="00F4383A" w:rsidRPr="00265791" w:rsidRDefault="00F4383A" w:rsidP="00F75E7E">
            <w:pPr>
              <w:pStyle w:val="Default"/>
              <w:jc w:val="center"/>
              <w:rPr>
                <w:color w:val="auto"/>
              </w:rPr>
            </w:pPr>
          </w:p>
        </w:tc>
      </w:tr>
      <w:tr w:rsidR="00F4383A" w:rsidRPr="00265791" w14:paraId="264091DE" w14:textId="77777777" w:rsidTr="00F75E7E">
        <w:trPr>
          <w:trHeight w:val="203"/>
          <w:jc w:val="center"/>
        </w:trPr>
        <w:tc>
          <w:tcPr>
            <w:tcW w:w="2646" w:type="dxa"/>
            <w:gridSpan w:val="2"/>
            <w:tcBorders>
              <w:left w:val="nil"/>
            </w:tcBorders>
          </w:tcPr>
          <w:p w14:paraId="0E20F449" w14:textId="77777777" w:rsidR="00F4383A" w:rsidRPr="00265791" w:rsidRDefault="00F4383A" w:rsidP="00F75E7E">
            <w:pPr>
              <w:pStyle w:val="Default"/>
              <w:jc w:val="right"/>
              <w:rPr>
                <w:color w:val="auto"/>
                <w:sz w:val="20"/>
                <w:szCs w:val="20"/>
              </w:rPr>
            </w:pPr>
            <w:r w:rsidRPr="00265791">
              <w:rPr>
                <w:b/>
                <w:bCs/>
                <w:color w:val="auto"/>
                <w:sz w:val="20"/>
                <w:szCs w:val="20"/>
              </w:rPr>
              <w:t>Accelerated</w:t>
            </w:r>
          </w:p>
        </w:tc>
        <w:tc>
          <w:tcPr>
            <w:tcW w:w="983" w:type="dxa"/>
          </w:tcPr>
          <w:p w14:paraId="21484A52" w14:textId="77777777" w:rsidR="00F4383A" w:rsidRPr="00265791" w:rsidRDefault="00F4383A" w:rsidP="00F75E7E">
            <w:pPr>
              <w:pStyle w:val="Default"/>
              <w:jc w:val="center"/>
              <w:rPr>
                <w:color w:val="auto"/>
                <w:sz w:val="20"/>
                <w:szCs w:val="20"/>
              </w:rPr>
            </w:pPr>
            <w:r w:rsidRPr="00265791">
              <w:rPr>
                <w:b/>
                <w:bCs/>
                <w:color w:val="auto"/>
                <w:sz w:val="20"/>
                <w:szCs w:val="20"/>
              </w:rPr>
              <w:t xml:space="preserve">Blast </w:t>
            </w:r>
          </w:p>
        </w:tc>
        <w:tc>
          <w:tcPr>
            <w:tcW w:w="1147" w:type="dxa"/>
          </w:tcPr>
          <w:p w14:paraId="6D57EF4C" w14:textId="77777777" w:rsidR="00F4383A" w:rsidRPr="00265791" w:rsidRDefault="00F4383A" w:rsidP="00F75E7E">
            <w:pPr>
              <w:pStyle w:val="Default"/>
              <w:jc w:val="center"/>
              <w:rPr>
                <w:color w:val="auto"/>
                <w:sz w:val="20"/>
                <w:szCs w:val="20"/>
              </w:rPr>
            </w:pPr>
            <w:r w:rsidRPr="00265791">
              <w:rPr>
                <w:b/>
                <w:bCs/>
                <w:color w:val="auto"/>
                <w:sz w:val="20"/>
                <w:szCs w:val="20"/>
              </w:rPr>
              <w:t xml:space="preserve">Blast </w:t>
            </w:r>
          </w:p>
        </w:tc>
        <w:tc>
          <w:tcPr>
            <w:tcW w:w="1539" w:type="dxa"/>
            <w:tcBorders>
              <w:right w:val="nil"/>
            </w:tcBorders>
          </w:tcPr>
          <w:p w14:paraId="618429B3" w14:textId="77777777" w:rsidR="00F4383A" w:rsidRPr="00265791" w:rsidRDefault="00F4383A" w:rsidP="00F75E7E">
            <w:pPr>
              <w:pStyle w:val="Default"/>
              <w:jc w:val="center"/>
              <w:rPr>
                <w:color w:val="auto"/>
                <w:sz w:val="20"/>
                <w:szCs w:val="20"/>
              </w:rPr>
            </w:pPr>
            <w:r w:rsidRPr="00265791">
              <w:rPr>
                <w:b/>
                <w:bCs/>
                <w:color w:val="auto"/>
                <w:sz w:val="20"/>
                <w:szCs w:val="20"/>
              </w:rPr>
              <w:t xml:space="preserve">Ph+ALL </w:t>
            </w:r>
          </w:p>
        </w:tc>
      </w:tr>
      <w:tr w:rsidR="00F4383A" w:rsidRPr="00265791" w14:paraId="35260787" w14:textId="77777777" w:rsidTr="00F75E7E">
        <w:trPr>
          <w:trHeight w:val="273"/>
          <w:jc w:val="center"/>
        </w:trPr>
        <w:tc>
          <w:tcPr>
            <w:tcW w:w="2646" w:type="dxa"/>
            <w:gridSpan w:val="2"/>
            <w:tcBorders>
              <w:left w:val="nil"/>
              <w:bottom w:val="single" w:sz="5" w:space="0" w:color="000000"/>
            </w:tcBorders>
          </w:tcPr>
          <w:p w14:paraId="1628C353" w14:textId="77777777" w:rsidR="00F4383A" w:rsidRPr="00265791" w:rsidRDefault="00F4383A" w:rsidP="00F75E7E">
            <w:pPr>
              <w:pStyle w:val="Default"/>
              <w:jc w:val="right"/>
              <w:rPr>
                <w:color w:val="auto"/>
                <w:sz w:val="20"/>
                <w:szCs w:val="20"/>
              </w:rPr>
            </w:pPr>
            <w:r w:rsidRPr="00265791">
              <w:rPr>
                <w:b/>
                <w:bCs/>
                <w:color w:val="auto"/>
                <w:sz w:val="20"/>
                <w:szCs w:val="20"/>
              </w:rPr>
              <w:t>(n= 158)</w:t>
            </w:r>
          </w:p>
        </w:tc>
        <w:tc>
          <w:tcPr>
            <w:tcW w:w="983" w:type="dxa"/>
            <w:tcBorders>
              <w:bottom w:val="single" w:sz="5" w:space="0" w:color="000000"/>
            </w:tcBorders>
          </w:tcPr>
          <w:p w14:paraId="34D9FA2E" w14:textId="77777777" w:rsidR="00F4383A" w:rsidRPr="00265791" w:rsidRDefault="00F4383A" w:rsidP="00F75E7E">
            <w:pPr>
              <w:pStyle w:val="Default"/>
              <w:jc w:val="center"/>
              <w:rPr>
                <w:color w:val="auto"/>
                <w:sz w:val="20"/>
                <w:szCs w:val="20"/>
              </w:rPr>
            </w:pPr>
            <w:r w:rsidRPr="00265791">
              <w:rPr>
                <w:b/>
                <w:bCs/>
                <w:color w:val="auto"/>
                <w:sz w:val="20"/>
                <w:szCs w:val="20"/>
              </w:rPr>
              <w:t xml:space="preserve">(n= 75) </w:t>
            </w:r>
          </w:p>
        </w:tc>
        <w:tc>
          <w:tcPr>
            <w:tcW w:w="1147" w:type="dxa"/>
            <w:tcBorders>
              <w:bottom w:val="single" w:sz="5" w:space="0" w:color="000000"/>
            </w:tcBorders>
          </w:tcPr>
          <w:p w14:paraId="295F84F0" w14:textId="77777777" w:rsidR="00F4383A" w:rsidRPr="00265791" w:rsidRDefault="00F4383A" w:rsidP="00F75E7E">
            <w:pPr>
              <w:pStyle w:val="Default"/>
              <w:jc w:val="center"/>
              <w:rPr>
                <w:color w:val="auto"/>
                <w:sz w:val="20"/>
                <w:szCs w:val="20"/>
              </w:rPr>
            </w:pPr>
            <w:r w:rsidRPr="00265791">
              <w:rPr>
                <w:b/>
                <w:bCs/>
                <w:color w:val="auto"/>
                <w:sz w:val="20"/>
                <w:szCs w:val="20"/>
              </w:rPr>
              <w:t xml:space="preserve">(n= 33) </w:t>
            </w:r>
          </w:p>
        </w:tc>
        <w:tc>
          <w:tcPr>
            <w:tcW w:w="1539" w:type="dxa"/>
            <w:tcBorders>
              <w:bottom w:val="single" w:sz="5" w:space="0" w:color="000000"/>
              <w:right w:val="nil"/>
            </w:tcBorders>
          </w:tcPr>
          <w:p w14:paraId="507BB6F0" w14:textId="77777777" w:rsidR="00F4383A" w:rsidRPr="00265791" w:rsidRDefault="00F4383A" w:rsidP="00F75E7E">
            <w:pPr>
              <w:pStyle w:val="Default"/>
              <w:jc w:val="center"/>
              <w:rPr>
                <w:color w:val="auto"/>
                <w:sz w:val="20"/>
                <w:szCs w:val="20"/>
              </w:rPr>
            </w:pPr>
            <w:r w:rsidRPr="00265791">
              <w:rPr>
                <w:b/>
                <w:bCs/>
                <w:color w:val="auto"/>
                <w:sz w:val="20"/>
                <w:szCs w:val="20"/>
              </w:rPr>
              <w:t xml:space="preserve">(n= 40) </w:t>
            </w:r>
          </w:p>
        </w:tc>
      </w:tr>
      <w:tr w:rsidR="00F4383A" w:rsidRPr="00265791" w14:paraId="28E18270" w14:textId="77777777" w:rsidTr="00F75E7E">
        <w:trPr>
          <w:trHeight w:val="238"/>
          <w:jc w:val="center"/>
        </w:trPr>
        <w:tc>
          <w:tcPr>
            <w:tcW w:w="1598" w:type="dxa"/>
            <w:tcBorders>
              <w:top w:val="single" w:sz="5" w:space="0" w:color="000000"/>
              <w:left w:val="nil"/>
            </w:tcBorders>
          </w:tcPr>
          <w:p w14:paraId="0EFBA6EE" w14:textId="77777777" w:rsidR="00F4383A" w:rsidRPr="00265791" w:rsidRDefault="00F4383A" w:rsidP="00F75E7E">
            <w:pPr>
              <w:pStyle w:val="Default"/>
              <w:rPr>
                <w:color w:val="auto"/>
                <w:sz w:val="14"/>
                <w:szCs w:val="14"/>
              </w:rPr>
            </w:pPr>
            <w:r w:rsidRPr="00265791">
              <w:rPr>
                <w:b/>
                <w:bCs/>
                <w:color w:val="auto"/>
                <w:sz w:val="22"/>
                <w:szCs w:val="22"/>
              </w:rPr>
              <w:t xml:space="preserve">MaHR </w:t>
            </w:r>
            <w:r w:rsidRPr="00265791">
              <w:rPr>
                <w:b/>
                <w:bCs/>
                <w:color w:val="auto"/>
                <w:sz w:val="22"/>
                <w:szCs w:val="22"/>
                <w:vertAlign w:val="superscript"/>
              </w:rPr>
              <w:t>b</w:t>
            </w:r>
          </w:p>
        </w:tc>
        <w:tc>
          <w:tcPr>
            <w:tcW w:w="1048" w:type="dxa"/>
            <w:tcBorders>
              <w:top w:val="single" w:sz="5" w:space="0" w:color="000000"/>
            </w:tcBorders>
            <w:vAlign w:val="center"/>
          </w:tcPr>
          <w:p w14:paraId="673FA69D" w14:textId="77777777" w:rsidR="00F4383A" w:rsidRPr="00265791" w:rsidRDefault="00F4383A" w:rsidP="00F75E7E">
            <w:pPr>
              <w:pStyle w:val="Default"/>
              <w:jc w:val="center"/>
              <w:rPr>
                <w:b/>
                <w:color w:val="auto"/>
                <w:sz w:val="20"/>
                <w:szCs w:val="20"/>
              </w:rPr>
            </w:pPr>
            <w:r w:rsidRPr="00265791">
              <w:rPr>
                <w:b/>
                <w:color w:val="auto"/>
                <w:sz w:val="20"/>
                <w:szCs w:val="20"/>
              </w:rPr>
              <w:t xml:space="preserve">66%  </w:t>
            </w:r>
          </w:p>
        </w:tc>
        <w:tc>
          <w:tcPr>
            <w:tcW w:w="983" w:type="dxa"/>
            <w:tcBorders>
              <w:top w:val="single" w:sz="5" w:space="0" w:color="000000"/>
            </w:tcBorders>
            <w:vAlign w:val="center"/>
          </w:tcPr>
          <w:p w14:paraId="0FE7D10B" w14:textId="77777777" w:rsidR="00F4383A" w:rsidRPr="00265791" w:rsidRDefault="00F4383A" w:rsidP="00F75E7E">
            <w:pPr>
              <w:pStyle w:val="Default"/>
              <w:jc w:val="center"/>
              <w:rPr>
                <w:b/>
                <w:color w:val="auto"/>
                <w:sz w:val="20"/>
                <w:szCs w:val="20"/>
              </w:rPr>
            </w:pPr>
            <w:r w:rsidRPr="00265791">
              <w:rPr>
                <w:b/>
                <w:color w:val="auto"/>
                <w:sz w:val="20"/>
                <w:szCs w:val="20"/>
              </w:rPr>
              <w:t xml:space="preserve">28%  </w:t>
            </w:r>
          </w:p>
        </w:tc>
        <w:tc>
          <w:tcPr>
            <w:tcW w:w="1147" w:type="dxa"/>
            <w:tcBorders>
              <w:top w:val="single" w:sz="5" w:space="0" w:color="000000"/>
            </w:tcBorders>
            <w:vAlign w:val="center"/>
          </w:tcPr>
          <w:p w14:paraId="4B4B5E13" w14:textId="77777777" w:rsidR="00F4383A" w:rsidRPr="00265791" w:rsidRDefault="00F4383A" w:rsidP="00F75E7E">
            <w:pPr>
              <w:pStyle w:val="Default"/>
              <w:jc w:val="center"/>
              <w:rPr>
                <w:b/>
                <w:color w:val="auto"/>
                <w:sz w:val="20"/>
                <w:szCs w:val="20"/>
              </w:rPr>
            </w:pPr>
            <w:r w:rsidRPr="00265791">
              <w:rPr>
                <w:b/>
                <w:color w:val="auto"/>
                <w:sz w:val="20"/>
                <w:szCs w:val="20"/>
              </w:rPr>
              <w:t xml:space="preserve">42%  </w:t>
            </w:r>
          </w:p>
        </w:tc>
        <w:tc>
          <w:tcPr>
            <w:tcW w:w="1539" w:type="dxa"/>
            <w:tcBorders>
              <w:top w:val="single" w:sz="5" w:space="0" w:color="000000"/>
              <w:right w:val="nil"/>
            </w:tcBorders>
            <w:vAlign w:val="center"/>
          </w:tcPr>
          <w:p w14:paraId="2564D8E5" w14:textId="77777777" w:rsidR="00F4383A" w:rsidRPr="00265791" w:rsidRDefault="00F4383A" w:rsidP="00F75E7E">
            <w:pPr>
              <w:pStyle w:val="Default"/>
              <w:jc w:val="center"/>
              <w:rPr>
                <w:b/>
                <w:color w:val="auto"/>
                <w:sz w:val="20"/>
                <w:szCs w:val="20"/>
              </w:rPr>
            </w:pPr>
            <w:r w:rsidRPr="00265791">
              <w:rPr>
                <w:b/>
                <w:color w:val="auto"/>
                <w:sz w:val="20"/>
                <w:szCs w:val="20"/>
              </w:rPr>
              <w:t xml:space="preserve">38% </w:t>
            </w:r>
          </w:p>
        </w:tc>
      </w:tr>
      <w:tr w:rsidR="00F4383A" w:rsidRPr="00265791" w14:paraId="6216FB22" w14:textId="77777777" w:rsidTr="00F75E7E">
        <w:trPr>
          <w:trHeight w:val="305"/>
          <w:jc w:val="center"/>
        </w:trPr>
        <w:tc>
          <w:tcPr>
            <w:tcW w:w="1598" w:type="dxa"/>
            <w:tcBorders>
              <w:left w:val="nil"/>
            </w:tcBorders>
          </w:tcPr>
          <w:p w14:paraId="6E55D3D5" w14:textId="77777777" w:rsidR="00F4383A" w:rsidRPr="00265791" w:rsidRDefault="00F4383A" w:rsidP="00F75E7E">
            <w:pPr>
              <w:pStyle w:val="Default"/>
              <w:rPr>
                <w:color w:val="auto"/>
                <w:sz w:val="22"/>
                <w:szCs w:val="22"/>
              </w:rPr>
            </w:pPr>
            <w:r w:rsidRPr="00265791">
              <w:rPr>
                <w:color w:val="auto"/>
                <w:sz w:val="22"/>
                <w:szCs w:val="22"/>
              </w:rPr>
              <w:t xml:space="preserve">(95% CI) </w:t>
            </w:r>
          </w:p>
        </w:tc>
        <w:tc>
          <w:tcPr>
            <w:tcW w:w="1048" w:type="dxa"/>
          </w:tcPr>
          <w:p w14:paraId="6DAC87B7" w14:textId="77777777" w:rsidR="00F4383A" w:rsidRPr="00265791" w:rsidRDefault="00F4383A" w:rsidP="00F75E7E">
            <w:pPr>
              <w:pStyle w:val="Default"/>
              <w:jc w:val="center"/>
              <w:rPr>
                <w:b/>
                <w:color w:val="auto"/>
                <w:sz w:val="20"/>
                <w:szCs w:val="20"/>
              </w:rPr>
            </w:pPr>
            <w:r w:rsidRPr="00265791">
              <w:rPr>
                <w:b/>
                <w:color w:val="auto"/>
                <w:sz w:val="20"/>
                <w:szCs w:val="20"/>
              </w:rPr>
              <w:t xml:space="preserve">(59-74) </w:t>
            </w:r>
          </w:p>
        </w:tc>
        <w:tc>
          <w:tcPr>
            <w:tcW w:w="983" w:type="dxa"/>
          </w:tcPr>
          <w:p w14:paraId="0EDF62B5" w14:textId="77777777" w:rsidR="00F4383A" w:rsidRPr="00265791" w:rsidRDefault="00F4383A" w:rsidP="00F75E7E">
            <w:pPr>
              <w:pStyle w:val="Default"/>
              <w:jc w:val="center"/>
              <w:rPr>
                <w:b/>
                <w:color w:val="auto"/>
                <w:sz w:val="20"/>
                <w:szCs w:val="20"/>
              </w:rPr>
            </w:pPr>
            <w:r w:rsidRPr="00265791">
              <w:rPr>
                <w:b/>
                <w:color w:val="auto"/>
                <w:sz w:val="20"/>
                <w:szCs w:val="20"/>
              </w:rPr>
              <w:t xml:space="preserve">(18-40) </w:t>
            </w:r>
          </w:p>
        </w:tc>
        <w:tc>
          <w:tcPr>
            <w:tcW w:w="1147" w:type="dxa"/>
          </w:tcPr>
          <w:p w14:paraId="2ADA6A89" w14:textId="77777777" w:rsidR="00F4383A" w:rsidRPr="00265791" w:rsidRDefault="00F4383A" w:rsidP="00F75E7E">
            <w:pPr>
              <w:pStyle w:val="Default"/>
              <w:jc w:val="center"/>
              <w:rPr>
                <w:b/>
                <w:color w:val="auto"/>
                <w:sz w:val="20"/>
                <w:szCs w:val="20"/>
              </w:rPr>
            </w:pPr>
            <w:r w:rsidRPr="00265791">
              <w:rPr>
                <w:b/>
                <w:color w:val="auto"/>
                <w:sz w:val="20"/>
                <w:szCs w:val="20"/>
              </w:rPr>
              <w:t xml:space="preserve">(26-61) </w:t>
            </w:r>
          </w:p>
        </w:tc>
        <w:tc>
          <w:tcPr>
            <w:tcW w:w="1539" w:type="dxa"/>
            <w:tcBorders>
              <w:right w:val="nil"/>
            </w:tcBorders>
          </w:tcPr>
          <w:p w14:paraId="1835C6C4" w14:textId="77777777" w:rsidR="00F4383A" w:rsidRPr="00265791" w:rsidRDefault="00F4383A" w:rsidP="00F75E7E">
            <w:pPr>
              <w:pStyle w:val="Default"/>
              <w:jc w:val="center"/>
              <w:rPr>
                <w:b/>
                <w:color w:val="auto"/>
                <w:sz w:val="20"/>
                <w:szCs w:val="20"/>
              </w:rPr>
            </w:pPr>
            <w:r w:rsidRPr="00265791">
              <w:rPr>
                <w:b/>
                <w:color w:val="auto"/>
                <w:sz w:val="20"/>
                <w:szCs w:val="20"/>
              </w:rPr>
              <w:t xml:space="preserve">(23-54) </w:t>
            </w:r>
          </w:p>
        </w:tc>
      </w:tr>
      <w:tr w:rsidR="00F4383A" w:rsidRPr="00265791" w14:paraId="5F08CDAD" w14:textId="77777777" w:rsidTr="00F75E7E">
        <w:trPr>
          <w:trHeight w:val="263"/>
          <w:jc w:val="center"/>
        </w:trPr>
        <w:tc>
          <w:tcPr>
            <w:tcW w:w="1598" w:type="dxa"/>
            <w:tcBorders>
              <w:left w:val="nil"/>
            </w:tcBorders>
          </w:tcPr>
          <w:p w14:paraId="26AD2E74" w14:textId="77777777" w:rsidR="00F4383A" w:rsidRPr="00265791" w:rsidRDefault="00F4383A" w:rsidP="00F75E7E">
            <w:pPr>
              <w:pStyle w:val="Default"/>
              <w:rPr>
                <w:color w:val="auto"/>
                <w:sz w:val="14"/>
                <w:szCs w:val="14"/>
              </w:rPr>
            </w:pPr>
            <w:r w:rsidRPr="00265791">
              <w:rPr>
                <w:color w:val="auto"/>
                <w:sz w:val="22"/>
                <w:szCs w:val="22"/>
              </w:rPr>
              <w:t xml:space="preserve">CHR </w:t>
            </w:r>
            <w:r w:rsidRPr="00265791">
              <w:rPr>
                <w:color w:val="auto"/>
                <w:sz w:val="22"/>
                <w:szCs w:val="22"/>
                <w:vertAlign w:val="superscript"/>
              </w:rPr>
              <w:t>b</w:t>
            </w:r>
            <w:r w:rsidRPr="00265791">
              <w:rPr>
                <w:color w:val="auto"/>
                <w:sz w:val="14"/>
                <w:szCs w:val="14"/>
              </w:rPr>
              <w:t xml:space="preserve"> </w:t>
            </w:r>
          </w:p>
        </w:tc>
        <w:tc>
          <w:tcPr>
            <w:tcW w:w="1048" w:type="dxa"/>
            <w:vAlign w:val="center"/>
          </w:tcPr>
          <w:p w14:paraId="5CDBEF95" w14:textId="77777777" w:rsidR="00F4383A" w:rsidRPr="00265791" w:rsidRDefault="00F4383A" w:rsidP="00F75E7E">
            <w:pPr>
              <w:pStyle w:val="Default"/>
              <w:jc w:val="center"/>
              <w:rPr>
                <w:b/>
                <w:color w:val="auto"/>
                <w:sz w:val="20"/>
                <w:szCs w:val="20"/>
              </w:rPr>
            </w:pPr>
            <w:r w:rsidRPr="00265791">
              <w:rPr>
                <w:b/>
                <w:color w:val="auto"/>
                <w:sz w:val="20"/>
                <w:szCs w:val="20"/>
              </w:rPr>
              <w:t xml:space="preserve">47%  </w:t>
            </w:r>
          </w:p>
        </w:tc>
        <w:tc>
          <w:tcPr>
            <w:tcW w:w="983" w:type="dxa"/>
            <w:vAlign w:val="center"/>
          </w:tcPr>
          <w:p w14:paraId="7C82FFFE" w14:textId="77777777" w:rsidR="00F4383A" w:rsidRPr="00265791" w:rsidRDefault="00F4383A" w:rsidP="00F75E7E">
            <w:pPr>
              <w:pStyle w:val="Default"/>
              <w:jc w:val="center"/>
              <w:rPr>
                <w:b/>
                <w:color w:val="auto"/>
                <w:sz w:val="20"/>
                <w:szCs w:val="20"/>
              </w:rPr>
            </w:pPr>
            <w:r w:rsidRPr="00265791">
              <w:rPr>
                <w:b/>
                <w:color w:val="auto"/>
                <w:sz w:val="20"/>
                <w:szCs w:val="20"/>
              </w:rPr>
              <w:t xml:space="preserve">17%  </w:t>
            </w:r>
          </w:p>
        </w:tc>
        <w:tc>
          <w:tcPr>
            <w:tcW w:w="1147" w:type="dxa"/>
            <w:vAlign w:val="center"/>
          </w:tcPr>
          <w:p w14:paraId="48A39D72" w14:textId="77777777" w:rsidR="00F4383A" w:rsidRPr="00265791" w:rsidRDefault="00F4383A" w:rsidP="00F75E7E">
            <w:pPr>
              <w:pStyle w:val="Default"/>
              <w:jc w:val="center"/>
              <w:rPr>
                <w:b/>
                <w:color w:val="auto"/>
                <w:sz w:val="20"/>
                <w:szCs w:val="20"/>
              </w:rPr>
            </w:pPr>
            <w:r w:rsidRPr="00265791">
              <w:rPr>
                <w:b/>
                <w:color w:val="auto"/>
                <w:sz w:val="20"/>
                <w:szCs w:val="20"/>
              </w:rPr>
              <w:t xml:space="preserve">21%  </w:t>
            </w:r>
          </w:p>
        </w:tc>
        <w:tc>
          <w:tcPr>
            <w:tcW w:w="1539" w:type="dxa"/>
            <w:tcBorders>
              <w:right w:val="nil"/>
            </w:tcBorders>
            <w:vAlign w:val="center"/>
          </w:tcPr>
          <w:p w14:paraId="47DC0717" w14:textId="77777777" w:rsidR="00F4383A" w:rsidRPr="00265791" w:rsidRDefault="00F4383A" w:rsidP="00F75E7E">
            <w:pPr>
              <w:pStyle w:val="Default"/>
              <w:jc w:val="center"/>
              <w:rPr>
                <w:b/>
                <w:color w:val="auto"/>
                <w:sz w:val="20"/>
                <w:szCs w:val="20"/>
              </w:rPr>
            </w:pPr>
            <w:r w:rsidRPr="00265791">
              <w:rPr>
                <w:b/>
                <w:color w:val="auto"/>
                <w:sz w:val="20"/>
                <w:szCs w:val="20"/>
              </w:rPr>
              <w:t xml:space="preserve">33% </w:t>
            </w:r>
          </w:p>
        </w:tc>
      </w:tr>
      <w:tr w:rsidR="00F4383A" w:rsidRPr="00265791" w14:paraId="3ECFF8EB" w14:textId="77777777" w:rsidTr="00F75E7E">
        <w:trPr>
          <w:trHeight w:val="325"/>
          <w:jc w:val="center"/>
        </w:trPr>
        <w:tc>
          <w:tcPr>
            <w:tcW w:w="1598" w:type="dxa"/>
            <w:tcBorders>
              <w:left w:val="nil"/>
            </w:tcBorders>
            <w:vAlign w:val="center"/>
          </w:tcPr>
          <w:p w14:paraId="6FC75B42" w14:textId="77777777" w:rsidR="00F4383A" w:rsidRPr="00265791" w:rsidRDefault="00F4383A" w:rsidP="00F75E7E">
            <w:pPr>
              <w:pStyle w:val="Default"/>
              <w:rPr>
                <w:color w:val="auto"/>
                <w:sz w:val="22"/>
                <w:szCs w:val="22"/>
              </w:rPr>
            </w:pPr>
            <w:r w:rsidRPr="00265791">
              <w:rPr>
                <w:color w:val="auto"/>
                <w:sz w:val="22"/>
                <w:szCs w:val="22"/>
              </w:rPr>
              <w:t xml:space="preserve">(95% CI) </w:t>
            </w:r>
          </w:p>
        </w:tc>
        <w:tc>
          <w:tcPr>
            <w:tcW w:w="1048" w:type="dxa"/>
          </w:tcPr>
          <w:p w14:paraId="4E04E504" w14:textId="77777777" w:rsidR="00F4383A" w:rsidRPr="00265791" w:rsidRDefault="00F4383A" w:rsidP="00F75E7E">
            <w:pPr>
              <w:pStyle w:val="Default"/>
              <w:jc w:val="center"/>
              <w:rPr>
                <w:b/>
                <w:color w:val="auto"/>
                <w:sz w:val="20"/>
                <w:szCs w:val="20"/>
              </w:rPr>
            </w:pPr>
            <w:r w:rsidRPr="00265791">
              <w:rPr>
                <w:b/>
                <w:color w:val="auto"/>
                <w:sz w:val="20"/>
                <w:szCs w:val="20"/>
              </w:rPr>
              <w:t xml:space="preserve">(40-56) </w:t>
            </w:r>
          </w:p>
        </w:tc>
        <w:tc>
          <w:tcPr>
            <w:tcW w:w="983" w:type="dxa"/>
          </w:tcPr>
          <w:p w14:paraId="2CD2B5FA" w14:textId="77777777" w:rsidR="00F4383A" w:rsidRPr="00265791" w:rsidRDefault="00F4383A" w:rsidP="00F75E7E">
            <w:pPr>
              <w:pStyle w:val="Default"/>
              <w:jc w:val="center"/>
              <w:rPr>
                <w:b/>
                <w:color w:val="auto"/>
                <w:sz w:val="20"/>
                <w:szCs w:val="20"/>
              </w:rPr>
            </w:pPr>
            <w:r w:rsidRPr="00265791">
              <w:rPr>
                <w:b/>
                <w:color w:val="auto"/>
                <w:sz w:val="20"/>
                <w:szCs w:val="20"/>
              </w:rPr>
              <w:t xml:space="preserve">(10-28) </w:t>
            </w:r>
          </w:p>
        </w:tc>
        <w:tc>
          <w:tcPr>
            <w:tcW w:w="1147" w:type="dxa"/>
          </w:tcPr>
          <w:p w14:paraId="2A9C0466" w14:textId="77777777" w:rsidR="00F4383A" w:rsidRPr="00265791" w:rsidRDefault="00F4383A" w:rsidP="00F75E7E">
            <w:pPr>
              <w:pStyle w:val="Default"/>
              <w:jc w:val="center"/>
              <w:rPr>
                <w:b/>
                <w:color w:val="auto"/>
                <w:sz w:val="20"/>
                <w:szCs w:val="20"/>
              </w:rPr>
            </w:pPr>
            <w:r w:rsidRPr="00265791">
              <w:rPr>
                <w:b/>
                <w:color w:val="auto"/>
                <w:sz w:val="20"/>
                <w:szCs w:val="20"/>
              </w:rPr>
              <w:t xml:space="preserve">(9-39) </w:t>
            </w:r>
          </w:p>
        </w:tc>
        <w:tc>
          <w:tcPr>
            <w:tcW w:w="1539" w:type="dxa"/>
            <w:tcBorders>
              <w:right w:val="nil"/>
            </w:tcBorders>
          </w:tcPr>
          <w:p w14:paraId="3E6188F5" w14:textId="77777777" w:rsidR="00F4383A" w:rsidRPr="00265791" w:rsidRDefault="00F4383A" w:rsidP="00F75E7E">
            <w:pPr>
              <w:pStyle w:val="Default"/>
              <w:jc w:val="center"/>
              <w:rPr>
                <w:b/>
                <w:color w:val="auto"/>
                <w:sz w:val="20"/>
                <w:szCs w:val="20"/>
              </w:rPr>
            </w:pPr>
            <w:r w:rsidRPr="00265791">
              <w:rPr>
                <w:b/>
                <w:color w:val="auto"/>
                <w:sz w:val="20"/>
                <w:szCs w:val="20"/>
              </w:rPr>
              <w:t xml:space="preserve">(19-49) </w:t>
            </w:r>
          </w:p>
        </w:tc>
      </w:tr>
      <w:tr w:rsidR="00F4383A" w:rsidRPr="00265791" w14:paraId="2D5661B5" w14:textId="77777777" w:rsidTr="00F75E7E">
        <w:trPr>
          <w:trHeight w:val="243"/>
          <w:jc w:val="center"/>
        </w:trPr>
        <w:tc>
          <w:tcPr>
            <w:tcW w:w="1598" w:type="dxa"/>
            <w:tcBorders>
              <w:left w:val="nil"/>
            </w:tcBorders>
            <w:vAlign w:val="center"/>
          </w:tcPr>
          <w:p w14:paraId="4B8D2803" w14:textId="77777777" w:rsidR="00F4383A" w:rsidRPr="00265791" w:rsidRDefault="00F4383A" w:rsidP="00F75E7E">
            <w:pPr>
              <w:pStyle w:val="Default"/>
              <w:rPr>
                <w:color w:val="auto"/>
                <w:sz w:val="14"/>
                <w:szCs w:val="14"/>
              </w:rPr>
            </w:pPr>
            <w:r w:rsidRPr="00265791">
              <w:rPr>
                <w:color w:val="auto"/>
                <w:sz w:val="22"/>
                <w:szCs w:val="22"/>
              </w:rPr>
              <w:t xml:space="preserve">NEL </w:t>
            </w:r>
            <w:r w:rsidRPr="00265791">
              <w:rPr>
                <w:color w:val="auto"/>
                <w:sz w:val="22"/>
                <w:szCs w:val="22"/>
                <w:vertAlign w:val="superscript"/>
              </w:rPr>
              <w:t>b</w:t>
            </w:r>
            <w:r w:rsidRPr="00265791">
              <w:rPr>
                <w:color w:val="auto"/>
                <w:sz w:val="14"/>
                <w:szCs w:val="14"/>
              </w:rPr>
              <w:t xml:space="preserve"> </w:t>
            </w:r>
          </w:p>
        </w:tc>
        <w:tc>
          <w:tcPr>
            <w:tcW w:w="1048" w:type="dxa"/>
            <w:vAlign w:val="center"/>
          </w:tcPr>
          <w:p w14:paraId="0144D05D" w14:textId="77777777" w:rsidR="00F4383A" w:rsidRPr="00265791" w:rsidRDefault="00F4383A" w:rsidP="00F75E7E">
            <w:pPr>
              <w:pStyle w:val="Default"/>
              <w:jc w:val="center"/>
              <w:rPr>
                <w:b/>
                <w:color w:val="auto"/>
                <w:sz w:val="20"/>
                <w:szCs w:val="20"/>
              </w:rPr>
            </w:pPr>
            <w:r w:rsidRPr="00265791">
              <w:rPr>
                <w:b/>
                <w:color w:val="auto"/>
                <w:sz w:val="20"/>
                <w:szCs w:val="20"/>
              </w:rPr>
              <w:t xml:space="preserve">19%  </w:t>
            </w:r>
          </w:p>
        </w:tc>
        <w:tc>
          <w:tcPr>
            <w:tcW w:w="983" w:type="dxa"/>
            <w:vAlign w:val="center"/>
          </w:tcPr>
          <w:p w14:paraId="47FA2806" w14:textId="77777777" w:rsidR="00F4383A" w:rsidRPr="00265791" w:rsidRDefault="00F4383A" w:rsidP="00F75E7E">
            <w:pPr>
              <w:pStyle w:val="Default"/>
              <w:jc w:val="center"/>
              <w:rPr>
                <w:b/>
                <w:color w:val="auto"/>
                <w:sz w:val="20"/>
                <w:szCs w:val="20"/>
              </w:rPr>
            </w:pPr>
            <w:r w:rsidRPr="00265791">
              <w:rPr>
                <w:b/>
                <w:color w:val="auto"/>
                <w:sz w:val="20"/>
                <w:szCs w:val="20"/>
              </w:rPr>
              <w:t xml:space="preserve">11%  </w:t>
            </w:r>
          </w:p>
        </w:tc>
        <w:tc>
          <w:tcPr>
            <w:tcW w:w="1147" w:type="dxa"/>
            <w:vAlign w:val="center"/>
          </w:tcPr>
          <w:p w14:paraId="62DE3669" w14:textId="77777777" w:rsidR="00F4383A" w:rsidRPr="00265791" w:rsidRDefault="00F4383A" w:rsidP="00F75E7E">
            <w:pPr>
              <w:pStyle w:val="Default"/>
              <w:jc w:val="center"/>
              <w:rPr>
                <w:b/>
                <w:color w:val="auto"/>
                <w:sz w:val="20"/>
                <w:szCs w:val="20"/>
              </w:rPr>
            </w:pPr>
            <w:r w:rsidRPr="00265791">
              <w:rPr>
                <w:b/>
                <w:color w:val="auto"/>
                <w:sz w:val="20"/>
                <w:szCs w:val="20"/>
              </w:rPr>
              <w:t xml:space="preserve">21%  </w:t>
            </w:r>
          </w:p>
        </w:tc>
        <w:tc>
          <w:tcPr>
            <w:tcW w:w="1539" w:type="dxa"/>
            <w:tcBorders>
              <w:right w:val="nil"/>
            </w:tcBorders>
            <w:vAlign w:val="center"/>
          </w:tcPr>
          <w:p w14:paraId="01DA4359" w14:textId="77777777" w:rsidR="00F4383A" w:rsidRPr="00265791" w:rsidRDefault="00F4383A" w:rsidP="00F75E7E">
            <w:pPr>
              <w:pStyle w:val="Default"/>
              <w:jc w:val="center"/>
              <w:rPr>
                <w:b/>
                <w:color w:val="auto"/>
                <w:sz w:val="20"/>
                <w:szCs w:val="20"/>
              </w:rPr>
            </w:pPr>
            <w:r w:rsidRPr="00265791">
              <w:rPr>
                <w:b/>
                <w:color w:val="auto"/>
                <w:sz w:val="20"/>
                <w:szCs w:val="20"/>
              </w:rPr>
              <w:t xml:space="preserve">5% </w:t>
            </w:r>
          </w:p>
        </w:tc>
      </w:tr>
      <w:tr w:rsidR="00F4383A" w:rsidRPr="00265791" w14:paraId="3F50F499" w14:textId="77777777" w:rsidTr="00F75E7E">
        <w:trPr>
          <w:trHeight w:val="290"/>
          <w:jc w:val="center"/>
        </w:trPr>
        <w:tc>
          <w:tcPr>
            <w:tcW w:w="1598" w:type="dxa"/>
            <w:tcBorders>
              <w:left w:val="nil"/>
              <w:bottom w:val="single" w:sz="5" w:space="0" w:color="000000"/>
            </w:tcBorders>
            <w:vAlign w:val="center"/>
          </w:tcPr>
          <w:p w14:paraId="65EF3552" w14:textId="77777777" w:rsidR="00F4383A" w:rsidRPr="00265791" w:rsidRDefault="00F4383A" w:rsidP="00F75E7E">
            <w:pPr>
              <w:pStyle w:val="Default"/>
              <w:rPr>
                <w:color w:val="auto"/>
                <w:sz w:val="22"/>
                <w:szCs w:val="22"/>
              </w:rPr>
            </w:pPr>
            <w:r w:rsidRPr="00265791">
              <w:rPr>
                <w:color w:val="auto"/>
                <w:sz w:val="22"/>
                <w:szCs w:val="22"/>
              </w:rPr>
              <w:t xml:space="preserve">(95% CI) </w:t>
            </w:r>
          </w:p>
        </w:tc>
        <w:tc>
          <w:tcPr>
            <w:tcW w:w="1048" w:type="dxa"/>
            <w:tcBorders>
              <w:bottom w:val="single" w:sz="5" w:space="0" w:color="000000"/>
            </w:tcBorders>
          </w:tcPr>
          <w:p w14:paraId="24DD7018" w14:textId="77777777" w:rsidR="00F4383A" w:rsidRPr="00265791" w:rsidRDefault="00F4383A" w:rsidP="00F75E7E">
            <w:pPr>
              <w:pStyle w:val="Default"/>
              <w:jc w:val="center"/>
              <w:rPr>
                <w:b/>
                <w:color w:val="auto"/>
                <w:sz w:val="20"/>
                <w:szCs w:val="20"/>
              </w:rPr>
            </w:pPr>
            <w:r w:rsidRPr="00265791">
              <w:rPr>
                <w:b/>
                <w:color w:val="auto"/>
                <w:sz w:val="20"/>
                <w:szCs w:val="20"/>
              </w:rPr>
              <w:t xml:space="preserve">(13-26) </w:t>
            </w:r>
          </w:p>
        </w:tc>
        <w:tc>
          <w:tcPr>
            <w:tcW w:w="983" w:type="dxa"/>
            <w:tcBorders>
              <w:bottom w:val="single" w:sz="5" w:space="0" w:color="000000"/>
            </w:tcBorders>
          </w:tcPr>
          <w:p w14:paraId="5E22125F" w14:textId="77777777" w:rsidR="00F4383A" w:rsidRPr="00265791" w:rsidRDefault="00F4383A" w:rsidP="00F75E7E">
            <w:pPr>
              <w:pStyle w:val="Default"/>
              <w:jc w:val="center"/>
              <w:rPr>
                <w:b/>
                <w:color w:val="auto"/>
                <w:sz w:val="20"/>
                <w:szCs w:val="20"/>
              </w:rPr>
            </w:pPr>
            <w:r w:rsidRPr="00265791">
              <w:rPr>
                <w:b/>
                <w:color w:val="auto"/>
                <w:sz w:val="20"/>
                <w:szCs w:val="20"/>
              </w:rPr>
              <w:t xml:space="preserve">(5-20) </w:t>
            </w:r>
          </w:p>
        </w:tc>
        <w:tc>
          <w:tcPr>
            <w:tcW w:w="1147" w:type="dxa"/>
            <w:tcBorders>
              <w:bottom w:val="single" w:sz="5" w:space="0" w:color="000000"/>
            </w:tcBorders>
          </w:tcPr>
          <w:p w14:paraId="5C27B58E" w14:textId="77777777" w:rsidR="00F4383A" w:rsidRPr="00265791" w:rsidRDefault="00F4383A" w:rsidP="00F75E7E">
            <w:pPr>
              <w:pStyle w:val="Default"/>
              <w:jc w:val="center"/>
              <w:rPr>
                <w:b/>
                <w:color w:val="auto"/>
                <w:sz w:val="20"/>
                <w:szCs w:val="20"/>
              </w:rPr>
            </w:pPr>
            <w:r w:rsidRPr="00265791">
              <w:rPr>
                <w:b/>
                <w:color w:val="auto"/>
                <w:sz w:val="20"/>
                <w:szCs w:val="20"/>
              </w:rPr>
              <w:t xml:space="preserve">(9-39) </w:t>
            </w:r>
          </w:p>
        </w:tc>
        <w:tc>
          <w:tcPr>
            <w:tcW w:w="1539" w:type="dxa"/>
            <w:tcBorders>
              <w:bottom w:val="single" w:sz="5" w:space="0" w:color="000000"/>
              <w:right w:val="nil"/>
            </w:tcBorders>
          </w:tcPr>
          <w:p w14:paraId="7A6CE9C4" w14:textId="77777777" w:rsidR="00F4383A" w:rsidRPr="00265791" w:rsidRDefault="00F4383A" w:rsidP="00F75E7E">
            <w:pPr>
              <w:pStyle w:val="Default"/>
              <w:jc w:val="center"/>
              <w:rPr>
                <w:b/>
                <w:color w:val="auto"/>
                <w:sz w:val="20"/>
                <w:szCs w:val="20"/>
              </w:rPr>
            </w:pPr>
            <w:r w:rsidRPr="00265791">
              <w:rPr>
                <w:b/>
                <w:color w:val="auto"/>
                <w:sz w:val="20"/>
                <w:szCs w:val="20"/>
              </w:rPr>
              <w:t xml:space="preserve">(1-17) </w:t>
            </w:r>
          </w:p>
        </w:tc>
      </w:tr>
      <w:tr w:rsidR="00F4383A" w:rsidRPr="00265791" w14:paraId="663E95E2" w14:textId="77777777" w:rsidTr="00F75E7E">
        <w:trPr>
          <w:trHeight w:val="325"/>
          <w:jc w:val="center"/>
        </w:trPr>
        <w:tc>
          <w:tcPr>
            <w:tcW w:w="1598" w:type="dxa"/>
            <w:tcBorders>
              <w:top w:val="single" w:sz="5" w:space="0" w:color="000000"/>
              <w:left w:val="nil"/>
            </w:tcBorders>
            <w:vAlign w:val="center"/>
          </w:tcPr>
          <w:p w14:paraId="1FC456BE" w14:textId="77777777" w:rsidR="00F4383A" w:rsidRPr="00265791" w:rsidRDefault="00F4383A" w:rsidP="00F75E7E">
            <w:pPr>
              <w:pStyle w:val="Default"/>
              <w:rPr>
                <w:color w:val="auto"/>
                <w:sz w:val="14"/>
                <w:szCs w:val="14"/>
              </w:rPr>
            </w:pPr>
            <w:r w:rsidRPr="00265791">
              <w:rPr>
                <w:b/>
                <w:bCs/>
                <w:color w:val="auto"/>
                <w:sz w:val="22"/>
                <w:szCs w:val="22"/>
              </w:rPr>
              <w:t xml:space="preserve">MCyR </w:t>
            </w:r>
            <w:r w:rsidRPr="00265791">
              <w:rPr>
                <w:b/>
                <w:bCs/>
                <w:color w:val="auto"/>
                <w:sz w:val="22"/>
                <w:szCs w:val="22"/>
                <w:vertAlign w:val="superscript"/>
              </w:rPr>
              <w:t>c</w:t>
            </w:r>
            <w:r w:rsidRPr="00265791">
              <w:rPr>
                <w:color w:val="auto"/>
                <w:sz w:val="14"/>
                <w:szCs w:val="14"/>
              </w:rPr>
              <w:t xml:space="preserve"> </w:t>
            </w:r>
          </w:p>
        </w:tc>
        <w:tc>
          <w:tcPr>
            <w:tcW w:w="1048" w:type="dxa"/>
            <w:tcBorders>
              <w:top w:val="single" w:sz="5" w:space="0" w:color="000000"/>
            </w:tcBorders>
            <w:vAlign w:val="center"/>
          </w:tcPr>
          <w:p w14:paraId="4A40839A" w14:textId="77777777" w:rsidR="00F4383A" w:rsidRPr="00265791" w:rsidRDefault="00F4383A" w:rsidP="00F75E7E">
            <w:pPr>
              <w:pStyle w:val="Default"/>
              <w:jc w:val="center"/>
              <w:rPr>
                <w:b/>
                <w:color w:val="auto"/>
                <w:sz w:val="20"/>
                <w:szCs w:val="20"/>
              </w:rPr>
            </w:pPr>
            <w:r w:rsidRPr="00265791">
              <w:rPr>
                <w:b/>
                <w:color w:val="auto"/>
                <w:sz w:val="20"/>
                <w:szCs w:val="20"/>
              </w:rPr>
              <w:t xml:space="preserve">39%  </w:t>
            </w:r>
          </w:p>
        </w:tc>
        <w:tc>
          <w:tcPr>
            <w:tcW w:w="983" w:type="dxa"/>
            <w:tcBorders>
              <w:top w:val="single" w:sz="5" w:space="0" w:color="000000"/>
            </w:tcBorders>
            <w:vAlign w:val="center"/>
          </w:tcPr>
          <w:p w14:paraId="280576D9" w14:textId="77777777" w:rsidR="00F4383A" w:rsidRPr="00265791" w:rsidRDefault="00F4383A" w:rsidP="00F75E7E">
            <w:pPr>
              <w:pStyle w:val="Default"/>
              <w:jc w:val="center"/>
              <w:rPr>
                <w:b/>
                <w:color w:val="auto"/>
                <w:sz w:val="20"/>
                <w:szCs w:val="20"/>
              </w:rPr>
            </w:pPr>
            <w:r w:rsidRPr="00265791">
              <w:rPr>
                <w:b/>
                <w:color w:val="auto"/>
                <w:sz w:val="20"/>
                <w:szCs w:val="20"/>
              </w:rPr>
              <w:t xml:space="preserve">28%  </w:t>
            </w:r>
          </w:p>
        </w:tc>
        <w:tc>
          <w:tcPr>
            <w:tcW w:w="1147" w:type="dxa"/>
            <w:tcBorders>
              <w:top w:val="single" w:sz="5" w:space="0" w:color="000000"/>
            </w:tcBorders>
            <w:vAlign w:val="center"/>
          </w:tcPr>
          <w:p w14:paraId="74AD3CBE" w14:textId="77777777" w:rsidR="00F4383A" w:rsidRPr="00265791" w:rsidRDefault="00F4383A" w:rsidP="00F75E7E">
            <w:pPr>
              <w:pStyle w:val="Default"/>
              <w:jc w:val="center"/>
              <w:rPr>
                <w:b/>
                <w:color w:val="auto"/>
                <w:sz w:val="20"/>
                <w:szCs w:val="20"/>
              </w:rPr>
            </w:pPr>
            <w:r w:rsidRPr="00265791">
              <w:rPr>
                <w:b/>
                <w:color w:val="auto"/>
                <w:sz w:val="20"/>
                <w:szCs w:val="20"/>
              </w:rPr>
              <w:t xml:space="preserve">52%  </w:t>
            </w:r>
          </w:p>
        </w:tc>
        <w:tc>
          <w:tcPr>
            <w:tcW w:w="1539" w:type="dxa"/>
            <w:tcBorders>
              <w:top w:val="single" w:sz="5" w:space="0" w:color="000000"/>
              <w:right w:val="nil"/>
            </w:tcBorders>
            <w:vAlign w:val="center"/>
          </w:tcPr>
          <w:p w14:paraId="35004407" w14:textId="77777777" w:rsidR="00F4383A" w:rsidRPr="00265791" w:rsidRDefault="00F4383A" w:rsidP="00F75E7E">
            <w:pPr>
              <w:pStyle w:val="Default"/>
              <w:jc w:val="center"/>
              <w:rPr>
                <w:b/>
                <w:color w:val="auto"/>
                <w:sz w:val="20"/>
                <w:szCs w:val="20"/>
              </w:rPr>
            </w:pPr>
            <w:r w:rsidRPr="00265791">
              <w:rPr>
                <w:b/>
                <w:color w:val="auto"/>
                <w:sz w:val="20"/>
                <w:szCs w:val="20"/>
              </w:rPr>
              <w:t xml:space="preserve">70% </w:t>
            </w:r>
          </w:p>
        </w:tc>
      </w:tr>
      <w:tr w:rsidR="00F4383A" w:rsidRPr="00265791" w14:paraId="796CB28C" w14:textId="77777777" w:rsidTr="00F75E7E">
        <w:trPr>
          <w:trHeight w:val="288"/>
          <w:jc w:val="center"/>
        </w:trPr>
        <w:tc>
          <w:tcPr>
            <w:tcW w:w="1598" w:type="dxa"/>
            <w:tcBorders>
              <w:left w:val="nil"/>
            </w:tcBorders>
          </w:tcPr>
          <w:p w14:paraId="0A08FB09" w14:textId="77777777" w:rsidR="00F4383A" w:rsidRPr="00265791" w:rsidRDefault="00F4383A" w:rsidP="00F75E7E">
            <w:pPr>
              <w:pStyle w:val="Default"/>
              <w:rPr>
                <w:color w:val="auto"/>
                <w:sz w:val="22"/>
                <w:szCs w:val="22"/>
              </w:rPr>
            </w:pPr>
            <w:r w:rsidRPr="00265791">
              <w:rPr>
                <w:color w:val="auto"/>
                <w:sz w:val="22"/>
                <w:szCs w:val="22"/>
              </w:rPr>
              <w:t xml:space="preserve">(95% CI) </w:t>
            </w:r>
          </w:p>
        </w:tc>
        <w:tc>
          <w:tcPr>
            <w:tcW w:w="1048" w:type="dxa"/>
          </w:tcPr>
          <w:p w14:paraId="15934C62" w14:textId="77777777" w:rsidR="00F4383A" w:rsidRPr="00265791" w:rsidRDefault="00F4383A" w:rsidP="00F75E7E">
            <w:pPr>
              <w:pStyle w:val="Default"/>
              <w:jc w:val="center"/>
              <w:rPr>
                <w:b/>
                <w:color w:val="auto"/>
                <w:sz w:val="20"/>
                <w:szCs w:val="20"/>
              </w:rPr>
            </w:pPr>
            <w:r w:rsidRPr="00265791">
              <w:rPr>
                <w:b/>
                <w:color w:val="auto"/>
                <w:sz w:val="20"/>
                <w:szCs w:val="20"/>
              </w:rPr>
              <w:t xml:space="preserve">(31-47) </w:t>
            </w:r>
          </w:p>
        </w:tc>
        <w:tc>
          <w:tcPr>
            <w:tcW w:w="983" w:type="dxa"/>
          </w:tcPr>
          <w:p w14:paraId="4EE60359" w14:textId="77777777" w:rsidR="00F4383A" w:rsidRPr="00265791" w:rsidRDefault="00F4383A" w:rsidP="00F75E7E">
            <w:pPr>
              <w:pStyle w:val="Default"/>
              <w:jc w:val="center"/>
              <w:rPr>
                <w:b/>
                <w:color w:val="auto"/>
                <w:sz w:val="20"/>
                <w:szCs w:val="20"/>
              </w:rPr>
            </w:pPr>
            <w:r w:rsidRPr="00265791">
              <w:rPr>
                <w:b/>
                <w:color w:val="auto"/>
                <w:sz w:val="20"/>
                <w:szCs w:val="20"/>
              </w:rPr>
              <w:t xml:space="preserve">(18-40) </w:t>
            </w:r>
          </w:p>
        </w:tc>
        <w:tc>
          <w:tcPr>
            <w:tcW w:w="1147" w:type="dxa"/>
          </w:tcPr>
          <w:p w14:paraId="691B4C90" w14:textId="77777777" w:rsidR="00F4383A" w:rsidRPr="00265791" w:rsidRDefault="00F4383A" w:rsidP="00F75E7E">
            <w:pPr>
              <w:pStyle w:val="Default"/>
              <w:jc w:val="center"/>
              <w:rPr>
                <w:b/>
                <w:color w:val="auto"/>
                <w:sz w:val="20"/>
                <w:szCs w:val="20"/>
              </w:rPr>
            </w:pPr>
            <w:r w:rsidRPr="00265791">
              <w:rPr>
                <w:b/>
                <w:color w:val="auto"/>
                <w:sz w:val="20"/>
                <w:szCs w:val="20"/>
              </w:rPr>
              <w:t xml:space="preserve">(34-69) </w:t>
            </w:r>
          </w:p>
        </w:tc>
        <w:tc>
          <w:tcPr>
            <w:tcW w:w="1539" w:type="dxa"/>
            <w:tcBorders>
              <w:right w:val="nil"/>
            </w:tcBorders>
          </w:tcPr>
          <w:p w14:paraId="57552B58" w14:textId="77777777" w:rsidR="00F4383A" w:rsidRPr="00265791" w:rsidRDefault="00F4383A" w:rsidP="00F75E7E">
            <w:pPr>
              <w:pStyle w:val="Default"/>
              <w:jc w:val="center"/>
              <w:rPr>
                <w:b/>
                <w:color w:val="auto"/>
                <w:sz w:val="20"/>
                <w:szCs w:val="20"/>
              </w:rPr>
            </w:pPr>
            <w:r w:rsidRPr="00265791">
              <w:rPr>
                <w:b/>
                <w:color w:val="auto"/>
                <w:sz w:val="20"/>
                <w:szCs w:val="20"/>
              </w:rPr>
              <w:t xml:space="preserve">(54-83) </w:t>
            </w:r>
          </w:p>
        </w:tc>
      </w:tr>
      <w:tr w:rsidR="00F4383A" w:rsidRPr="00265791" w14:paraId="78AC4889" w14:textId="77777777" w:rsidTr="00F75E7E">
        <w:trPr>
          <w:trHeight w:val="285"/>
          <w:jc w:val="center"/>
        </w:trPr>
        <w:tc>
          <w:tcPr>
            <w:tcW w:w="1598" w:type="dxa"/>
            <w:tcBorders>
              <w:left w:val="nil"/>
            </w:tcBorders>
            <w:vAlign w:val="center"/>
          </w:tcPr>
          <w:p w14:paraId="5A0A8E0F" w14:textId="77777777" w:rsidR="00F4383A" w:rsidRPr="00265791" w:rsidRDefault="00F4383A" w:rsidP="00F75E7E">
            <w:pPr>
              <w:pStyle w:val="Default"/>
              <w:rPr>
                <w:color w:val="auto"/>
                <w:sz w:val="22"/>
                <w:szCs w:val="22"/>
              </w:rPr>
            </w:pPr>
            <w:r w:rsidRPr="00265791">
              <w:rPr>
                <w:color w:val="auto"/>
                <w:sz w:val="22"/>
                <w:szCs w:val="22"/>
              </w:rPr>
              <w:t xml:space="preserve"> CCyR  </w:t>
            </w:r>
          </w:p>
        </w:tc>
        <w:tc>
          <w:tcPr>
            <w:tcW w:w="1048" w:type="dxa"/>
            <w:vAlign w:val="center"/>
          </w:tcPr>
          <w:p w14:paraId="61F8B030" w14:textId="77777777" w:rsidR="00F4383A" w:rsidRPr="00265791" w:rsidRDefault="00F4383A" w:rsidP="00F75E7E">
            <w:pPr>
              <w:pStyle w:val="Default"/>
              <w:jc w:val="center"/>
              <w:rPr>
                <w:b/>
                <w:color w:val="auto"/>
                <w:sz w:val="20"/>
                <w:szCs w:val="20"/>
              </w:rPr>
            </w:pPr>
            <w:r w:rsidRPr="00265791">
              <w:rPr>
                <w:b/>
                <w:color w:val="auto"/>
                <w:sz w:val="20"/>
                <w:szCs w:val="20"/>
              </w:rPr>
              <w:t xml:space="preserve">32%  </w:t>
            </w:r>
          </w:p>
        </w:tc>
        <w:tc>
          <w:tcPr>
            <w:tcW w:w="983" w:type="dxa"/>
            <w:vAlign w:val="center"/>
          </w:tcPr>
          <w:p w14:paraId="1C8BFA01" w14:textId="77777777" w:rsidR="00F4383A" w:rsidRPr="00265791" w:rsidRDefault="00F4383A" w:rsidP="00F75E7E">
            <w:pPr>
              <w:pStyle w:val="Default"/>
              <w:jc w:val="center"/>
              <w:rPr>
                <w:b/>
                <w:color w:val="auto"/>
                <w:sz w:val="20"/>
                <w:szCs w:val="20"/>
              </w:rPr>
            </w:pPr>
            <w:r w:rsidRPr="00265791">
              <w:rPr>
                <w:b/>
                <w:color w:val="auto"/>
                <w:sz w:val="20"/>
                <w:szCs w:val="20"/>
              </w:rPr>
              <w:t xml:space="preserve">17%  </w:t>
            </w:r>
          </w:p>
        </w:tc>
        <w:tc>
          <w:tcPr>
            <w:tcW w:w="1147" w:type="dxa"/>
            <w:vAlign w:val="center"/>
          </w:tcPr>
          <w:p w14:paraId="4102C6AA" w14:textId="77777777" w:rsidR="00F4383A" w:rsidRPr="00265791" w:rsidRDefault="00F4383A" w:rsidP="00F75E7E">
            <w:pPr>
              <w:pStyle w:val="Default"/>
              <w:jc w:val="center"/>
              <w:rPr>
                <w:b/>
                <w:color w:val="auto"/>
                <w:sz w:val="20"/>
                <w:szCs w:val="20"/>
              </w:rPr>
            </w:pPr>
            <w:r w:rsidRPr="00265791">
              <w:rPr>
                <w:b/>
                <w:color w:val="auto"/>
                <w:sz w:val="20"/>
                <w:szCs w:val="20"/>
              </w:rPr>
              <w:t xml:space="preserve">39%  </w:t>
            </w:r>
          </w:p>
        </w:tc>
        <w:tc>
          <w:tcPr>
            <w:tcW w:w="1539" w:type="dxa"/>
            <w:tcBorders>
              <w:right w:val="nil"/>
            </w:tcBorders>
            <w:vAlign w:val="center"/>
          </w:tcPr>
          <w:p w14:paraId="228C3A7B" w14:textId="77777777" w:rsidR="00F4383A" w:rsidRPr="00265791" w:rsidRDefault="00F4383A" w:rsidP="00F75E7E">
            <w:pPr>
              <w:pStyle w:val="Default"/>
              <w:jc w:val="center"/>
              <w:rPr>
                <w:b/>
                <w:color w:val="auto"/>
                <w:sz w:val="20"/>
                <w:szCs w:val="20"/>
              </w:rPr>
            </w:pPr>
            <w:r w:rsidRPr="00265791">
              <w:rPr>
                <w:b/>
                <w:color w:val="auto"/>
                <w:sz w:val="20"/>
                <w:szCs w:val="20"/>
              </w:rPr>
              <w:t xml:space="preserve">50% </w:t>
            </w:r>
          </w:p>
        </w:tc>
      </w:tr>
      <w:tr w:rsidR="00F4383A" w:rsidRPr="00265791" w14:paraId="77A048FF" w14:textId="77777777" w:rsidTr="00F75E7E">
        <w:trPr>
          <w:trHeight w:val="245"/>
          <w:jc w:val="center"/>
        </w:trPr>
        <w:tc>
          <w:tcPr>
            <w:tcW w:w="1598" w:type="dxa"/>
            <w:tcBorders>
              <w:left w:val="nil"/>
              <w:bottom w:val="double" w:sz="6" w:space="0" w:color="000000"/>
            </w:tcBorders>
          </w:tcPr>
          <w:p w14:paraId="0467B765" w14:textId="77777777" w:rsidR="00F4383A" w:rsidRPr="00265791" w:rsidRDefault="00F4383A" w:rsidP="00F75E7E">
            <w:pPr>
              <w:pStyle w:val="Default"/>
              <w:rPr>
                <w:color w:val="auto"/>
                <w:sz w:val="22"/>
                <w:szCs w:val="22"/>
              </w:rPr>
            </w:pPr>
            <w:r w:rsidRPr="00265791">
              <w:rPr>
                <w:color w:val="auto"/>
                <w:sz w:val="22"/>
                <w:szCs w:val="22"/>
              </w:rPr>
              <w:t xml:space="preserve">(95% CI) </w:t>
            </w:r>
          </w:p>
        </w:tc>
        <w:tc>
          <w:tcPr>
            <w:tcW w:w="1048" w:type="dxa"/>
            <w:tcBorders>
              <w:bottom w:val="double" w:sz="5" w:space="0" w:color="000000"/>
            </w:tcBorders>
          </w:tcPr>
          <w:p w14:paraId="19F3487A" w14:textId="77777777" w:rsidR="00F4383A" w:rsidRPr="00265791" w:rsidRDefault="00F4383A" w:rsidP="00F75E7E">
            <w:pPr>
              <w:pStyle w:val="Default"/>
              <w:jc w:val="center"/>
              <w:rPr>
                <w:b/>
                <w:color w:val="auto"/>
                <w:sz w:val="20"/>
                <w:szCs w:val="20"/>
              </w:rPr>
            </w:pPr>
            <w:r w:rsidRPr="00265791">
              <w:rPr>
                <w:b/>
                <w:color w:val="auto"/>
                <w:sz w:val="20"/>
                <w:szCs w:val="20"/>
              </w:rPr>
              <w:t xml:space="preserve">(25-40) </w:t>
            </w:r>
          </w:p>
        </w:tc>
        <w:tc>
          <w:tcPr>
            <w:tcW w:w="983" w:type="dxa"/>
            <w:tcBorders>
              <w:bottom w:val="double" w:sz="5" w:space="0" w:color="000000"/>
            </w:tcBorders>
          </w:tcPr>
          <w:p w14:paraId="25303F4C" w14:textId="77777777" w:rsidR="00F4383A" w:rsidRPr="00265791" w:rsidRDefault="00F4383A" w:rsidP="00F75E7E">
            <w:pPr>
              <w:pStyle w:val="Default"/>
              <w:jc w:val="center"/>
              <w:rPr>
                <w:b/>
                <w:color w:val="auto"/>
                <w:sz w:val="20"/>
                <w:szCs w:val="20"/>
              </w:rPr>
            </w:pPr>
            <w:r w:rsidRPr="00265791">
              <w:rPr>
                <w:b/>
                <w:color w:val="auto"/>
                <w:sz w:val="20"/>
                <w:szCs w:val="20"/>
              </w:rPr>
              <w:t xml:space="preserve">(10-28) </w:t>
            </w:r>
          </w:p>
        </w:tc>
        <w:tc>
          <w:tcPr>
            <w:tcW w:w="1147" w:type="dxa"/>
            <w:tcBorders>
              <w:bottom w:val="double" w:sz="5" w:space="0" w:color="000000"/>
            </w:tcBorders>
          </w:tcPr>
          <w:p w14:paraId="46F90B52" w14:textId="77777777" w:rsidR="00F4383A" w:rsidRPr="00265791" w:rsidRDefault="00F4383A" w:rsidP="00F75E7E">
            <w:pPr>
              <w:pStyle w:val="Default"/>
              <w:jc w:val="center"/>
              <w:rPr>
                <w:b/>
                <w:color w:val="auto"/>
                <w:sz w:val="20"/>
                <w:szCs w:val="20"/>
              </w:rPr>
            </w:pPr>
            <w:r w:rsidRPr="00265791">
              <w:rPr>
                <w:b/>
                <w:color w:val="auto"/>
                <w:sz w:val="20"/>
                <w:szCs w:val="20"/>
              </w:rPr>
              <w:t xml:space="preserve">(23-58) </w:t>
            </w:r>
          </w:p>
        </w:tc>
        <w:tc>
          <w:tcPr>
            <w:tcW w:w="1539" w:type="dxa"/>
            <w:tcBorders>
              <w:bottom w:val="double" w:sz="6" w:space="0" w:color="000000"/>
              <w:right w:val="nil"/>
            </w:tcBorders>
          </w:tcPr>
          <w:p w14:paraId="5B3411EB" w14:textId="77777777" w:rsidR="00F4383A" w:rsidRPr="00265791" w:rsidRDefault="00F4383A" w:rsidP="00F75E7E">
            <w:pPr>
              <w:pStyle w:val="Default"/>
              <w:jc w:val="center"/>
              <w:rPr>
                <w:b/>
                <w:color w:val="auto"/>
                <w:sz w:val="20"/>
                <w:szCs w:val="20"/>
              </w:rPr>
            </w:pPr>
            <w:r w:rsidRPr="00265791">
              <w:rPr>
                <w:b/>
                <w:color w:val="auto"/>
                <w:sz w:val="20"/>
                <w:szCs w:val="20"/>
              </w:rPr>
              <w:t xml:space="preserve">(34-66) </w:t>
            </w:r>
          </w:p>
        </w:tc>
      </w:tr>
    </w:tbl>
    <w:p w14:paraId="5B1D5CAA" w14:textId="77777777" w:rsidR="00F4383A" w:rsidRDefault="00F4383A" w:rsidP="00F4383A">
      <w:pPr>
        <w:pStyle w:val="CM26"/>
        <w:adjustRightInd/>
        <w:spacing w:line="240" w:lineRule="auto"/>
        <w:ind w:left="370"/>
        <w:jc w:val="both"/>
        <w:rPr>
          <w:sz w:val="18"/>
          <w:szCs w:val="18"/>
          <w:vertAlign w:val="superscript"/>
        </w:rPr>
      </w:pPr>
    </w:p>
    <w:p w14:paraId="1078D3AE" w14:textId="77777777" w:rsidR="00F4383A" w:rsidRPr="00265791" w:rsidRDefault="00F4383A" w:rsidP="00F4383A">
      <w:pPr>
        <w:pStyle w:val="CM26"/>
        <w:adjustRightInd/>
        <w:spacing w:line="240" w:lineRule="auto"/>
        <w:ind w:left="567" w:hanging="197"/>
        <w:jc w:val="both"/>
        <w:rPr>
          <w:sz w:val="18"/>
          <w:szCs w:val="18"/>
        </w:rPr>
      </w:pPr>
      <w:r w:rsidRPr="00265791">
        <w:rPr>
          <w:sz w:val="18"/>
          <w:szCs w:val="18"/>
          <w:vertAlign w:val="superscript"/>
        </w:rPr>
        <w:t>a</w:t>
      </w:r>
      <w:r>
        <w:rPr>
          <w:sz w:val="18"/>
          <w:szCs w:val="18"/>
          <w:vertAlign w:val="superscript"/>
        </w:rPr>
        <w:tab/>
      </w:r>
      <w:r>
        <w:rPr>
          <w:sz w:val="18"/>
          <w:szCs w:val="18"/>
        </w:rPr>
        <w:t>Results reported in recommended starting dose of 140 mg once daily</w:t>
      </w:r>
      <w:r w:rsidRPr="00265791">
        <w:rPr>
          <w:sz w:val="18"/>
          <w:szCs w:val="18"/>
        </w:rPr>
        <w:t xml:space="preserve">. </w:t>
      </w:r>
    </w:p>
    <w:p w14:paraId="065D7F99" w14:textId="77777777" w:rsidR="00F4383A" w:rsidRPr="00265791" w:rsidRDefault="00F4383A" w:rsidP="00F4383A">
      <w:pPr>
        <w:pStyle w:val="CM26"/>
        <w:adjustRightInd/>
        <w:spacing w:line="240" w:lineRule="auto"/>
        <w:ind w:left="567" w:hanging="197"/>
        <w:jc w:val="both"/>
        <w:rPr>
          <w:sz w:val="18"/>
          <w:szCs w:val="18"/>
        </w:rPr>
      </w:pPr>
      <w:r w:rsidRPr="00265791">
        <w:rPr>
          <w:sz w:val="18"/>
          <w:szCs w:val="18"/>
          <w:vertAlign w:val="superscript"/>
        </w:rPr>
        <w:t xml:space="preserve"> b</w:t>
      </w:r>
      <w:r w:rsidRPr="00265791">
        <w:rPr>
          <w:sz w:val="18"/>
          <w:szCs w:val="18"/>
        </w:rPr>
        <w:t xml:space="preserve"> </w:t>
      </w:r>
      <w:r>
        <w:rPr>
          <w:sz w:val="18"/>
          <w:szCs w:val="18"/>
        </w:rPr>
        <w:tab/>
      </w:r>
      <w:r w:rsidRPr="00265791">
        <w:rPr>
          <w:sz w:val="18"/>
          <w:szCs w:val="18"/>
        </w:rPr>
        <w:t xml:space="preserve">Haematologic response criteria (all responses confirmed after 4 weeks): Major haematologic response (MaHR) = complete haematologic response (CHR) + no evidence of leukaemia (NEL). </w:t>
      </w:r>
    </w:p>
    <w:p w14:paraId="4BF4CBB3" w14:textId="77777777" w:rsidR="00F4383A" w:rsidRPr="00265791" w:rsidRDefault="00F4383A" w:rsidP="00F4383A">
      <w:pPr>
        <w:pStyle w:val="CM43"/>
        <w:adjustRightInd/>
        <w:spacing w:line="240" w:lineRule="auto"/>
        <w:ind w:left="567"/>
        <w:jc w:val="both"/>
        <w:rPr>
          <w:sz w:val="18"/>
          <w:szCs w:val="18"/>
        </w:rPr>
      </w:pPr>
      <w:r w:rsidRPr="00265791">
        <w:rPr>
          <w:sz w:val="18"/>
          <w:szCs w:val="18"/>
        </w:rPr>
        <w:t>CHR: WBC ≤ institutional ULN, ANC ≥ 1.0 x 10</w:t>
      </w:r>
      <w:r w:rsidRPr="00265791">
        <w:rPr>
          <w:sz w:val="18"/>
          <w:szCs w:val="18"/>
          <w:vertAlign w:val="superscript"/>
        </w:rPr>
        <w:t>9</w:t>
      </w:r>
      <w:r w:rsidRPr="00265791">
        <w:rPr>
          <w:sz w:val="18"/>
          <w:szCs w:val="18"/>
        </w:rPr>
        <w:t>/L, platelets ≥ 100 x 10</w:t>
      </w:r>
      <w:r w:rsidRPr="00265791">
        <w:rPr>
          <w:sz w:val="18"/>
          <w:szCs w:val="18"/>
          <w:vertAlign w:val="superscript"/>
        </w:rPr>
        <w:t>9</w:t>
      </w:r>
      <w:r w:rsidRPr="00265791">
        <w:rPr>
          <w:sz w:val="18"/>
          <w:szCs w:val="18"/>
        </w:rPr>
        <w:t xml:space="preserve">/L, no blasts or promyelocytes in peripheral blood, bone marrow blasts ≤ 5%, &lt; 5% myelocytes plus metamyelocytes in peripheral blood, basophils in peripheral blood &lt; 20%, and no extramedullary involvement. </w:t>
      </w:r>
    </w:p>
    <w:p w14:paraId="093777EF" w14:textId="77777777" w:rsidR="00F4383A" w:rsidRPr="00265791" w:rsidRDefault="00F4383A" w:rsidP="00F4383A">
      <w:pPr>
        <w:pStyle w:val="CM44"/>
        <w:adjustRightInd/>
        <w:ind w:left="567"/>
        <w:jc w:val="both"/>
        <w:rPr>
          <w:sz w:val="18"/>
          <w:szCs w:val="18"/>
        </w:rPr>
      </w:pPr>
      <w:r w:rsidRPr="00265791">
        <w:rPr>
          <w:sz w:val="18"/>
          <w:szCs w:val="18"/>
        </w:rPr>
        <w:t>NEL: same criteria as for CHR but ANC ≥ 0.5 x 10</w:t>
      </w:r>
      <w:r w:rsidRPr="00265791">
        <w:rPr>
          <w:sz w:val="18"/>
          <w:szCs w:val="18"/>
          <w:vertAlign w:val="superscript"/>
        </w:rPr>
        <w:t>9</w:t>
      </w:r>
      <w:r w:rsidRPr="00265791">
        <w:rPr>
          <w:sz w:val="18"/>
          <w:szCs w:val="18"/>
        </w:rPr>
        <w:t>/L</w:t>
      </w:r>
      <w:r w:rsidRPr="00265791">
        <w:rPr>
          <w:position w:val="8"/>
          <w:sz w:val="12"/>
          <w:szCs w:val="12"/>
          <w:vertAlign w:val="superscript"/>
        </w:rPr>
        <w:t xml:space="preserve"> </w:t>
      </w:r>
      <w:r w:rsidRPr="00265791">
        <w:rPr>
          <w:sz w:val="16"/>
          <w:szCs w:val="16"/>
        </w:rPr>
        <w:t xml:space="preserve">and &lt; 1.0 </w:t>
      </w:r>
      <w:r w:rsidRPr="00265791">
        <w:rPr>
          <w:sz w:val="18"/>
          <w:szCs w:val="18"/>
        </w:rPr>
        <w:t>x 10</w:t>
      </w:r>
      <w:r w:rsidRPr="00265791">
        <w:rPr>
          <w:sz w:val="18"/>
          <w:szCs w:val="18"/>
          <w:vertAlign w:val="superscript"/>
        </w:rPr>
        <w:t>9</w:t>
      </w:r>
      <w:r w:rsidRPr="00265791">
        <w:rPr>
          <w:sz w:val="18"/>
          <w:szCs w:val="18"/>
        </w:rPr>
        <w:t>/L</w:t>
      </w:r>
      <w:r w:rsidRPr="00265791">
        <w:rPr>
          <w:position w:val="8"/>
          <w:sz w:val="12"/>
          <w:szCs w:val="12"/>
          <w:vertAlign w:val="superscript"/>
        </w:rPr>
        <w:t xml:space="preserve"> </w:t>
      </w:r>
      <w:r w:rsidRPr="00265791">
        <w:rPr>
          <w:sz w:val="18"/>
          <w:szCs w:val="18"/>
        </w:rPr>
        <w:t>, or platelets ≥ 20 x 10</w:t>
      </w:r>
      <w:r w:rsidRPr="00265791">
        <w:rPr>
          <w:sz w:val="18"/>
          <w:szCs w:val="18"/>
          <w:vertAlign w:val="superscript"/>
        </w:rPr>
        <w:t>9</w:t>
      </w:r>
      <w:r w:rsidRPr="00265791">
        <w:rPr>
          <w:sz w:val="18"/>
          <w:szCs w:val="18"/>
        </w:rPr>
        <w:t>/L</w:t>
      </w:r>
      <w:r w:rsidRPr="00265791">
        <w:rPr>
          <w:position w:val="8"/>
          <w:sz w:val="12"/>
          <w:szCs w:val="12"/>
          <w:vertAlign w:val="superscript"/>
        </w:rPr>
        <w:t xml:space="preserve"> </w:t>
      </w:r>
      <w:r w:rsidRPr="00265791">
        <w:rPr>
          <w:sz w:val="18"/>
          <w:szCs w:val="18"/>
        </w:rPr>
        <w:t xml:space="preserve"> and ≤ 100 x 10</w:t>
      </w:r>
      <w:r w:rsidRPr="00265791">
        <w:rPr>
          <w:sz w:val="18"/>
          <w:szCs w:val="18"/>
          <w:vertAlign w:val="superscript"/>
        </w:rPr>
        <w:t>9</w:t>
      </w:r>
      <w:r w:rsidRPr="00265791">
        <w:rPr>
          <w:sz w:val="18"/>
          <w:szCs w:val="18"/>
        </w:rPr>
        <w:t>/L.</w:t>
      </w:r>
    </w:p>
    <w:p w14:paraId="3000C080" w14:textId="77777777" w:rsidR="00F4383A" w:rsidRPr="00265791" w:rsidRDefault="00F4383A" w:rsidP="00F4383A">
      <w:pPr>
        <w:pStyle w:val="CM66"/>
        <w:spacing w:after="0"/>
        <w:ind w:left="567" w:hanging="197"/>
        <w:jc w:val="both"/>
        <w:rPr>
          <w:sz w:val="4"/>
          <w:szCs w:val="4"/>
        </w:rPr>
      </w:pPr>
      <w:r w:rsidRPr="00265791">
        <w:rPr>
          <w:sz w:val="18"/>
          <w:szCs w:val="18"/>
          <w:vertAlign w:val="superscript"/>
        </w:rPr>
        <w:t>c</w:t>
      </w:r>
      <w:r w:rsidRPr="00265791">
        <w:rPr>
          <w:sz w:val="18"/>
          <w:szCs w:val="18"/>
        </w:rPr>
        <w:t xml:space="preserve"> </w:t>
      </w:r>
      <w:r>
        <w:rPr>
          <w:sz w:val="18"/>
          <w:szCs w:val="18"/>
        </w:rPr>
        <w:tab/>
      </w:r>
      <w:r w:rsidRPr="00265791">
        <w:rPr>
          <w:sz w:val="18"/>
          <w:szCs w:val="18"/>
        </w:rPr>
        <w:t xml:space="preserve">MCyR combines both complete (0% Ph+ metaphases) and partial (&gt; 0%-35%) responses. </w:t>
      </w:r>
    </w:p>
    <w:p w14:paraId="27E5BC94" w14:textId="77777777" w:rsidR="00F4383A" w:rsidRPr="00265791" w:rsidRDefault="00F4383A" w:rsidP="00F4383A">
      <w:pPr>
        <w:pStyle w:val="CM66"/>
        <w:ind w:left="567"/>
        <w:jc w:val="both"/>
        <w:rPr>
          <w:sz w:val="18"/>
          <w:szCs w:val="18"/>
        </w:rPr>
      </w:pPr>
      <w:r w:rsidRPr="00265791">
        <w:rPr>
          <w:sz w:val="18"/>
          <w:szCs w:val="18"/>
        </w:rPr>
        <w:t>CI = confidence interval ULN = upper limit of normal range.</w:t>
      </w:r>
    </w:p>
    <w:p w14:paraId="33803795" w14:textId="77777777" w:rsidR="00F4383A" w:rsidRDefault="00F4383A" w:rsidP="00C15DA2">
      <w:r>
        <w:t>In patients with accelerated phase CML treated with the 140 mg once daily regimen, t</w:t>
      </w:r>
      <w:r w:rsidRPr="00265791">
        <w:t xml:space="preserve">he median duration of MaHR </w:t>
      </w:r>
      <w:r>
        <w:t xml:space="preserve">and the median overall survival </w:t>
      </w:r>
      <w:r w:rsidRPr="00265791">
        <w:t xml:space="preserve">in patients with accelerated phase CML was not reachedfor either group; the median PFS was 25 months and 26 months for the 140 mg once daily group and the 70 mg twice daily group, respectively; and the median overall survival was not reached for the 140 mg once daily group and 31 months for the 70 mg twice daily group. </w:t>
      </w:r>
    </w:p>
    <w:p w14:paraId="5015ED77" w14:textId="77777777" w:rsidR="00F4383A" w:rsidRPr="00265791" w:rsidRDefault="00F4383A" w:rsidP="00C15DA2">
      <w:pPr>
        <w:rPr>
          <w:u w:val="single"/>
        </w:rPr>
      </w:pPr>
      <w:r w:rsidRPr="00265791">
        <w:t>In patients with myeloid blast phase CML</w:t>
      </w:r>
      <w:r>
        <w:t xml:space="preserve"> treated with the 140 mg once daily regimen</w:t>
      </w:r>
      <w:r w:rsidRPr="00265791">
        <w:t xml:space="preserve"> the median duration of MaHR was 8 months</w:t>
      </w:r>
      <w:r>
        <w:t>,</w:t>
      </w:r>
      <w:r w:rsidRPr="00265791">
        <w:t xml:space="preserve"> and 9 months for the 140 mg once daily group and the 70 mg twice daily group, respectively; the median PFS was 4 months for both groups; and the median overall survival was 8 months for both groups. In patients with lymphoid blast phase CML, the median duration of MaHR was 5 months and 8 months for the 140 mg once daily group and the 70 mg twice daily group, respectively; the median PFS was 5 months for both groups, and the median overall survival was 11 months and 9 months, respectively.</w:t>
      </w:r>
    </w:p>
    <w:p w14:paraId="31837091" w14:textId="0C680567" w:rsidR="00F4383A" w:rsidRPr="00C15DA2" w:rsidRDefault="00F4383A" w:rsidP="00C15DA2">
      <w:r w:rsidRPr="00265791">
        <w:t>In patients with Ph+ALL</w:t>
      </w:r>
      <w:r>
        <w:t xml:space="preserve"> treated with the 140 mg once daily regimen</w:t>
      </w:r>
      <w:r w:rsidRPr="00265791">
        <w:t xml:space="preserve">, the median duration of MaHR was 5 months and 12 months for the 140 mg once daily group and the 70 mg twice daily group, respectively; the median PFS was 4 months and 3 months respectively, and the median overall survival was 7 months and 9 months, respectively. </w:t>
      </w:r>
    </w:p>
    <w:p w14:paraId="1A82487D" w14:textId="77777777" w:rsidR="00F4383A" w:rsidRPr="00265791" w:rsidRDefault="00F4383A" w:rsidP="00C15DA2">
      <w:pPr>
        <w:pStyle w:val="Heading4"/>
      </w:pPr>
      <w:r>
        <w:t>Ph+ ALL</w:t>
      </w:r>
      <w:r w:rsidRPr="00265791">
        <w:t xml:space="preserve"> - Newly Diagnosed</w:t>
      </w:r>
    </w:p>
    <w:p w14:paraId="59C1B8B8" w14:textId="6DA0EC6D" w:rsidR="00F4383A" w:rsidRDefault="00F4383A" w:rsidP="00C15DA2">
      <w:r>
        <w:t>A total of 426 newly diagnosed adult Ph+ ALL patients have been treated with dasatinib integrated with chemotherapy in 11 phase II clinical trials. The efficacy results from 4 pivotal phase II studies</w:t>
      </w:r>
      <w:r w:rsidRPr="0059436E">
        <w:rPr>
          <w:vertAlign w:val="superscript"/>
        </w:rPr>
        <w:t>[Rav</w:t>
      </w:r>
      <w:r w:rsidR="00076EA2">
        <w:rPr>
          <w:vertAlign w:val="superscript"/>
        </w:rPr>
        <w:t>a</w:t>
      </w:r>
      <w:r w:rsidRPr="0059436E">
        <w:rPr>
          <w:vertAlign w:val="superscript"/>
        </w:rPr>
        <w:t>ndi 2015, Yoon, 201</w:t>
      </w:r>
      <w:r>
        <w:rPr>
          <w:vertAlign w:val="superscript"/>
        </w:rPr>
        <w:t>6</w:t>
      </w:r>
      <w:r w:rsidRPr="0059436E">
        <w:rPr>
          <w:vertAlign w:val="superscript"/>
        </w:rPr>
        <w:t>, Rousselot 201</w:t>
      </w:r>
      <w:r>
        <w:rPr>
          <w:vertAlign w:val="superscript"/>
        </w:rPr>
        <w:t>6</w:t>
      </w:r>
      <w:r w:rsidRPr="0059436E">
        <w:rPr>
          <w:vertAlign w:val="superscript"/>
        </w:rPr>
        <w:t>, Foa, 2011]</w:t>
      </w:r>
      <w:r>
        <w:t xml:space="preserve"> are summarised below.</w:t>
      </w:r>
    </w:p>
    <w:p w14:paraId="77D84CEC" w14:textId="77777777" w:rsidR="00F4383A" w:rsidRDefault="00F4383A" w:rsidP="00C15DA2">
      <w:r>
        <w:lastRenderedPageBreak/>
        <w:t>In a phase II study, Ravandi et al reported on s</w:t>
      </w:r>
      <w:r w:rsidRPr="0059436E">
        <w:t>eventy-two</w:t>
      </w:r>
      <w:r>
        <w:t xml:space="preserve"> (72)</w:t>
      </w:r>
      <w:r w:rsidRPr="0059436E">
        <w:t xml:space="preserve"> </w:t>
      </w:r>
      <w:r>
        <w:t xml:space="preserve">newly diagnosed Ph+ ALL </w:t>
      </w:r>
      <w:r w:rsidRPr="0059436E">
        <w:t>patients</w:t>
      </w:r>
      <w:r>
        <w:t xml:space="preserve"> (median age 55, range 21 – 80 years)</w:t>
      </w:r>
      <w:r w:rsidRPr="0059436E">
        <w:t xml:space="preserve"> </w:t>
      </w:r>
      <w:r>
        <w:t>treated with dasatinib (100 mg once a day or 50 mg twice a day on days 1-14 of each chemotherapy cycle) integrated with a HyperCVAD chemotherapy protocol during induction, followed by dasatinib 100 mg once a day or 50 mg twice a day as maintenance. Sixty nine (</w:t>
      </w:r>
      <w:r w:rsidRPr="0059436E">
        <w:t>96%) achieved CR. Among them, 57 (83%) achieved cytogenetic CR after 1 cycle, and 64 (93%) achieved a major molecular response at a median of 4 weeks (range, 2-38 weeks). Sixty-five patients (94%) were negative for minimal residual disease assessed by flow cytometry at a median of 3 weeks (range, 2-37 weeks).</w:t>
      </w:r>
      <w:r>
        <w:t xml:space="preserve"> </w:t>
      </w:r>
      <w:r w:rsidRPr="00CA0DC2">
        <w:t>With a median follow-up of 67 months (range, 33-97 months), 33 patients (46%) were alive, and 30 (43%) were in CR</w:t>
      </w:r>
      <w:r>
        <w:t>. The 5 year disease free survival (DFS) and overall survival (OS) outcomes estimated via Kaplan-Meier method were 44% and 46% respectively.</w:t>
      </w:r>
    </w:p>
    <w:p w14:paraId="252A2D40" w14:textId="77777777" w:rsidR="00F4383A" w:rsidRDefault="00F4383A" w:rsidP="00C15DA2">
      <w:r>
        <w:t>Yoon et al reported on a phase II clinical study in 51</w:t>
      </w:r>
      <w:r w:rsidRPr="0069346E">
        <w:t xml:space="preserve"> </w:t>
      </w:r>
      <w:r>
        <w:t xml:space="preserve">newly diagnosed Ph+ ALL </w:t>
      </w:r>
      <w:r w:rsidRPr="0069346E">
        <w:t>patients (median age</w:t>
      </w:r>
      <w:r>
        <w:t xml:space="preserve"> </w:t>
      </w:r>
      <w:r w:rsidRPr="0069346E">
        <w:t xml:space="preserve">46 </w:t>
      </w:r>
      <w:r>
        <w:t xml:space="preserve">range 19-64 </w:t>
      </w:r>
      <w:r w:rsidRPr="0069346E">
        <w:t>years)</w:t>
      </w:r>
      <w:r>
        <w:t xml:space="preserve"> treated with 2 cycles of dasatinib (100 mg once daily) integrated with chemotherapy (each cycle included 4 weeks) during induction and upto 4 cycles as consolidation followed by 2 years of maintenance with dasatinib. After </w:t>
      </w:r>
      <w:r w:rsidRPr="0069346E">
        <w:t>the ﬁrst dasatinib cycle, 50</w:t>
      </w:r>
      <w:r>
        <w:t xml:space="preserve"> </w:t>
      </w:r>
      <w:r w:rsidRPr="0069346E">
        <w:t>patients</w:t>
      </w:r>
      <w:r>
        <w:t xml:space="preserve"> </w:t>
      </w:r>
      <w:r w:rsidRPr="0069346E">
        <w:t>(98.0%)</w:t>
      </w:r>
      <w:r>
        <w:t xml:space="preserve"> </w:t>
      </w:r>
      <w:r w:rsidRPr="0069346E">
        <w:t>achieved</w:t>
      </w:r>
      <w:r>
        <w:t xml:space="preserve"> </w:t>
      </w:r>
      <w:r w:rsidRPr="0069346E">
        <w:t>CR.</w:t>
      </w:r>
      <w:r>
        <w:t xml:space="preserve"> </w:t>
      </w:r>
      <w:r w:rsidRPr="0069346E">
        <w:t>By</w:t>
      </w:r>
      <w:r>
        <w:t xml:space="preserve"> </w:t>
      </w:r>
      <w:r w:rsidRPr="0069346E">
        <w:t>the</w:t>
      </w:r>
      <w:r>
        <w:t xml:space="preserve"> </w:t>
      </w:r>
      <w:r w:rsidRPr="0069346E">
        <w:t>end</w:t>
      </w:r>
      <w:r>
        <w:t xml:space="preserve"> </w:t>
      </w:r>
      <w:r w:rsidRPr="0069346E">
        <w:t>of</w:t>
      </w:r>
      <w:r>
        <w:t xml:space="preserve"> </w:t>
      </w:r>
      <w:r w:rsidRPr="0069346E">
        <w:t>the</w:t>
      </w:r>
      <w:r>
        <w:t xml:space="preserve"> </w:t>
      </w:r>
      <w:r w:rsidRPr="0069346E">
        <w:t>second</w:t>
      </w:r>
      <w:r>
        <w:t xml:space="preserve"> </w:t>
      </w:r>
      <w:r w:rsidRPr="0069346E">
        <w:t>dasatinib</w:t>
      </w:r>
      <w:r>
        <w:t xml:space="preserve"> </w:t>
      </w:r>
      <w:r w:rsidRPr="0069346E">
        <w:t>cycle,</w:t>
      </w:r>
      <w:r>
        <w:t xml:space="preserve"> </w:t>
      </w:r>
      <w:r w:rsidRPr="0069346E">
        <w:t>46</w:t>
      </w:r>
      <w:r>
        <w:t xml:space="preserve"> </w:t>
      </w:r>
      <w:r w:rsidRPr="0069346E">
        <w:t>(93.9%)</w:t>
      </w:r>
      <w:r>
        <w:t xml:space="preserve"> </w:t>
      </w:r>
      <w:r w:rsidRPr="0069346E">
        <w:t>of</w:t>
      </w:r>
      <w:r>
        <w:t xml:space="preserve"> </w:t>
      </w:r>
      <w:r w:rsidRPr="0069346E">
        <w:t>49</w:t>
      </w:r>
      <w:r>
        <w:t xml:space="preserve"> </w:t>
      </w:r>
      <w:r w:rsidRPr="0069346E">
        <w:t>assessable patients had persistent CR</w:t>
      </w:r>
      <w:r>
        <w:t xml:space="preserve"> with 39 progressing to allogenic stem cell transplant. </w:t>
      </w:r>
      <w:r w:rsidRPr="00A85E15">
        <w:t>After a median follow-up of 54 months</w:t>
      </w:r>
      <w:r>
        <w:t xml:space="preserve"> (range 40-63)</w:t>
      </w:r>
      <w:r w:rsidRPr="00A85E15">
        <w:t>,</w:t>
      </w:r>
      <w:r>
        <w:t xml:space="preserve"> </w:t>
      </w:r>
      <w:r w:rsidRPr="00A85E15">
        <w:t>the</w:t>
      </w:r>
      <w:r>
        <w:t xml:space="preserve"> </w:t>
      </w:r>
      <w:r w:rsidRPr="00A85E15">
        <w:t>4-year</w:t>
      </w:r>
      <w:r>
        <w:t xml:space="preserve"> </w:t>
      </w:r>
      <w:r w:rsidRPr="00A85E15">
        <w:t>cumulative</w:t>
      </w:r>
      <w:r>
        <w:t xml:space="preserve"> </w:t>
      </w:r>
      <w:r w:rsidRPr="00A85E15">
        <w:t>incidence</w:t>
      </w:r>
      <w:r>
        <w:t xml:space="preserve"> </w:t>
      </w:r>
      <w:r w:rsidRPr="00A85E15">
        <w:t>of</w:t>
      </w:r>
      <w:r>
        <w:t xml:space="preserve"> </w:t>
      </w:r>
      <w:r w:rsidRPr="00A85E15">
        <w:t>DFS</w:t>
      </w:r>
      <w:r>
        <w:t xml:space="preserve"> and OS rate </w:t>
      </w:r>
      <w:r w:rsidRPr="00A85E15">
        <w:t>for</w:t>
      </w:r>
      <w:r>
        <w:t xml:space="preserve"> </w:t>
      </w:r>
      <w:r w:rsidRPr="00A85E15">
        <w:t>all</w:t>
      </w:r>
      <w:r>
        <w:t xml:space="preserve"> </w:t>
      </w:r>
      <w:r w:rsidRPr="00A85E15">
        <w:t>patients</w:t>
      </w:r>
      <w:r>
        <w:t xml:space="preserve"> </w:t>
      </w:r>
      <w:r w:rsidRPr="00A85E15">
        <w:t>were</w:t>
      </w:r>
      <w:r>
        <w:t xml:space="preserve"> </w:t>
      </w:r>
      <w:r w:rsidRPr="00A85E15">
        <w:t>52.0%</w:t>
      </w:r>
      <w:r>
        <w:t xml:space="preserve"> and 51%</w:t>
      </w:r>
      <w:r w:rsidRPr="00A85E15">
        <w:t>, respectively</w:t>
      </w:r>
      <w:r>
        <w:t>.</w:t>
      </w:r>
    </w:p>
    <w:p w14:paraId="2A035529" w14:textId="77777777" w:rsidR="00F4383A" w:rsidRDefault="00F4383A" w:rsidP="00C15DA2">
      <w:r>
        <w:t xml:space="preserve">Rousellot et al </w:t>
      </w:r>
      <w:r w:rsidRPr="00A85E15">
        <w:t>investigated dasatinib, in combination with low-intensity chemotherapy</w:t>
      </w:r>
      <w:r>
        <w:t xml:space="preserve"> in 71 newly diagnosed p</w:t>
      </w:r>
      <w:r w:rsidRPr="00A85E15">
        <w:t xml:space="preserve">atients </w:t>
      </w:r>
      <w:r>
        <w:t>with Ph+ All, over</w:t>
      </w:r>
      <w:r w:rsidRPr="00A85E15">
        <w:t xml:space="preserve"> 55 years</w:t>
      </w:r>
      <w:r>
        <w:t xml:space="preserve"> of age (median 69, range 59 – 83). Patients were </w:t>
      </w:r>
      <w:r w:rsidRPr="00711386">
        <w:t xml:space="preserve">treated with dasatinib 140 mg/day (100 mg/day over 70 years) </w:t>
      </w:r>
      <w:r>
        <w:t>plus</w:t>
      </w:r>
      <w:r w:rsidRPr="00711386">
        <w:t xml:space="preserve"> intrathecal chemotherapy, vincristine, and dexamethasone during induction. Patients in complete remission continued consolidation with dasatinib, sequentially with cytarabine, asparaginase, and methotrexate for 6 months. Maintenance therapy was</w:t>
      </w:r>
      <w:r>
        <w:t xml:space="preserve"> </w:t>
      </w:r>
      <w:r w:rsidRPr="00711386">
        <w:t>dasatinib</w:t>
      </w:r>
      <w:r>
        <w:t xml:space="preserve"> </w:t>
      </w:r>
      <w:r w:rsidRPr="00711386">
        <w:t>and</w:t>
      </w:r>
      <w:r>
        <w:t xml:space="preserve"> </w:t>
      </w:r>
      <w:r w:rsidRPr="00711386">
        <w:t>vincristine/dexamethasone</w:t>
      </w:r>
      <w:r>
        <w:t xml:space="preserve"> </w:t>
      </w:r>
      <w:r w:rsidRPr="00711386">
        <w:t>reinductions</w:t>
      </w:r>
      <w:r>
        <w:t xml:space="preserve"> </w:t>
      </w:r>
      <w:r w:rsidRPr="00711386">
        <w:t>for</w:t>
      </w:r>
      <w:r>
        <w:t xml:space="preserve"> </w:t>
      </w:r>
      <w:r w:rsidRPr="00711386">
        <w:t>18months</w:t>
      </w:r>
      <w:r>
        <w:t xml:space="preserve"> </w:t>
      </w:r>
      <w:r w:rsidRPr="00711386">
        <w:t>followed</w:t>
      </w:r>
      <w:r>
        <w:t xml:space="preserve"> </w:t>
      </w:r>
      <w:r w:rsidRPr="00711386">
        <w:t>by</w:t>
      </w:r>
      <w:r>
        <w:t xml:space="preserve"> </w:t>
      </w:r>
      <w:r w:rsidRPr="00711386">
        <w:t>dasatinib until relapse or death.</w:t>
      </w:r>
      <w:r>
        <w:t xml:space="preserve"> </w:t>
      </w:r>
      <w:r w:rsidRPr="00711386">
        <w:t>96%</w:t>
      </w:r>
      <w:r>
        <w:t xml:space="preserve"> of patients achieved CR at induction and 7 patients underwent allogenic stem cell transplant. After a median follow up of 66 months (21 – 88) </w:t>
      </w:r>
      <w:r w:rsidRPr="00711386">
        <w:t>5year</w:t>
      </w:r>
      <w:r>
        <w:t xml:space="preserve"> </w:t>
      </w:r>
      <w:r w:rsidRPr="00711386">
        <w:t>E</w:t>
      </w:r>
      <w:r>
        <w:t xml:space="preserve">vent </w:t>
      </w:r>
      <w:r w:rsidRPr="00711386">
        <w:t>F</w:t>
      </w:r>
      <w:r>
        <w:t xml:space="preserve">ree </w:t>
      </w:r>
      <w:r w:rsidRPr="00711386">
        <w:t>S</w:t>
      </w:r>
      <w:r>
        <w:t>urvival (EFS)</w:t>
      </w:r>
      <w:r w:rsidRPr="00711386">
        <w:t>,</w:t>
      </w:r>
      <w:r>
        <w:t xml:space="preserve"> </w:t>
      </w:r>
      <w:r w:rsidRPr="00711386">
        <w:t>and</w:t>
      </w:r>
      <w:r>
        <w:t xml:space="preserve"> </w:t>
      </w:r>
      <w:r w:rsidRPr="00711386">
        <w:t>OS</w:t>
      </w:r>
      <w:r>
        <w:t xml:space="preserve"> </w:t>
      </w:r>
      <w:r w:rsidRPr="00711386">
        <w:t>were</w:t>
      </w:r>
      <w:r>
        <w:t xml:space="preserve"> </w:t>
      </w:r>
      <w:r w:rsidRPr="00711386">
        <w:t>27%</w:t>
      </w:r>
      <w:r>
        <w:t xml:space="preserve"> </w:t>
      </w:r>
      <w:r w:rsidRPr="00711386">
        <w:t>(95%CI,</w:t>
      </w:r>
      <w:r>
        <w:t xml:space="preserve"> </w:t>
      </w:r>
      <w:r w:rsidRPr="00711386">
        <w:t>17-37),</w:t>
      </w:r>
      <w:r>
        <w:t xml:space="preserve"> </w:t>
      </w:r>
      <w:r w:rsidRPr="00711386">
        <w:t>and</w:t>
      </w:r>
      <w:r>
        <w:t xml:space="preserve"> </w:t>
      </w:r>
      <w:r w:rsidRPr="00711386">
        <w:t>36%</w:t>
      </w:r>
      <w:r>
        <w:t xml:space="preserve"> </w:t>
      </w:r>
      <w:r w:rsidRPr="00711386">
        <w:t>(95%CI,</w:t>
      </w:r>
      <w:r>
        <w:t xml:space="preserve"> </w:t>
      </w:r>
      <w:r w:rsidRPr="00711386">
        <w:t>25-47)</w:t>
      </w:r>
      <w:r>
        <w:t xml:space="preserve"> </w:t>
      </w:r>
      <w:r w:rsidRPr="00711386">
        <w:t>respectively</w:t>
      </w:r>
      <w:r>
        <w:t xml:space="preserve">. </w:t>
      </w:r>
    </w:p>
    <w:p w14:paraId="1D957E54" w14:textId="77777777" w:rsidR="00F4383A" w:rsidRPr="00265791" w:rsidRDefault="00F4383A" w:rsidP="00C15DA2">
      <w:r w:rsidRPr="00B41593">
        <w:t xml:space="preserve">In the GIMEMA LAL1205 </w:t>
      </w:r>
      <w:r>
        <w:t>study published by Foá et al</w:t>
      </w:r>
      <w:r w:rsidRPr="00B41593">
        <w:t xml:space="preserve">, </w:t>
      </w:r>
      <w:r>
        <w:t xml:space="preserve">53 </w:t>
      </w:r>
      <w:r w:rsidRPr="00B41593">
        <w:t>patients with newly diagnosed Ph</w:t>
      </w:r>
      <w:r>
        <w:t>+</w:t>
      </w:r>
      <w:r w:rsidRPr="00B41593">
        <w:t xml:space="preserve"> ALL older than 18 years </w:t>
      </w:r>
      <w:r>
        <w:t xml:space="preserve">(median age 54, range 23-76 years) </w:t>
      </w:r>
      <w:r w:rsidRPr="00B41593">
        <w:t xml:space="preserve">received dasatinib </w:t>
      </w:r>
      <w:r>
        <w:t xml:space="preserve">(70 mg twice daily) </w:t>
      </w:r>
      <w:r w:rsidRPr="00B41593">
        <w:t>induction therapy for 84 days combined with steroids for the ﬁrst 32 days and intrathecal chemotherapy. Post</w:t>
      </w:r>
      <w:r>
        <w:t xml:space="preserve"> </w:t>
      </w:r>
      <w:r w:rsidRPr="00B41593">
        <w:t>remission therapy was</w:t>
      </w:r>
      <w:r>
        <w:t xml:space="preserve"> not specified. </w:t>
      </w:r>
      <w:r w:rsidRPr="00B41593">
        <w:t>All patients achieved a complete hematologic remission (CHR)</w:t>
      </w:r>
      <w:r>
        <w:t xml:space="preserve">. </w:t>
      </w:r>
      <w:r w:rsidRPr="00B41593">
        <w:t>At 20 months, the overall survival</w:t>
      </w:r>
      <w:r>
        <w:t xml:space="preserve"> </w:t>
      </w:r>
      <w:r w:rsidRPr="00B41593">
        <w:t>was</w:t>
      </w:r>
      <w:r>
        <w:t xml:space="preserve"> </w:t>
      </w:r>
      <w:r w:rsidRPr="00B41593">
        <w:t>69.2%</w:t>
      </w:r>
      <w:r>
        <w:t xml:space="preserve"> </w:t>
      </w:r>
      <w:r w:rsidRPr="00B41593">
        <w:t>and</w:t>
      </w:r>
      <w:r>
        <w:t xml:space="preserve"> </w:t>
      </w:r>
      <w:r w:rsidRPr="00B41593">
        <w:t>disease-free</w:t>
      </w:r>
      <w:r>
        <w:t xml:space="preserve"> </w:t>
      </w:r>
      <w:r w:rsidRPr="00B41593">
        <w:t>survival was 51.1%.</w:t>
      </w:r>
    </w:p>
    <w:p w14:paraId="6948CB54" w14:textId="77777777" w:rsidR="001A3992" w:rsidRPr="000A4651" w:rsidRDefault="00E61227" w:rsidP="003144B2">
      <w:pPr>
        <w:pStyle w:val="Heading2"/>
      </w:pPr>
      <w:r w:rsidRPr="000A4651">
        <w:t>Pharmacokinetic properties</w:t>
      </w:r>
    </w:p>
    <w:p w14:paraId="28AD4F5A" w14:textId="664F8B3D" w:rsidR="004C5DBE" w:rsidRPr="00C05BEB" w:rsidRDefault="004C5DBE" w:rsidP="004C5DBE">
      <w:pPr>
        <w:tabs>
          <w:tab w:val="left" w:pos="158"/>
        </w:tabs>
      </w:pPr>
      <w:r w:rsidRPr="00C05BEB">
        <w:t>The pharmacokinetics of SPRYCEL</w:t>
      </w:r>
      <w:r w:rsidR="00546BFC">
        <w:t xml:space="preserve"> </w:t>
      </w:r>
      <w:r w:rsidRPr="00C05BEB">
        <w:t>were evaluated in 229 healthy subjects and in 84 patients with leukaemia.</w:t>
      </w:r>
    </w:p>
    <w:p w14:paraId="1BC9F083" w14:textId="77777777" w:rsidR="001A3992" w:rsidRDefault="001A3992" w:rsidP="00D62371">
      <w:pPr>
        <w:pStyle w:val="Heading3"/>
      </w:pPr>
      <w:r w:rsidRPr="000A4651">
        <w:t>Absorption</w:t>
      </w:r>
    </w:p>
    <w:p w14:paraId="2D1C89A3" w14:textId="77777777" w:rsidR="004C5DBE" w:rsidRPr="00C05BEB" w:rsidRDefault="004C5DBE" w:rsidP="004C5DBE">
      <w:pPr>
        <w:tabs>
          <w:tab w:val="left" w:pos="158"/>
        </w:tabs>
      </w:pPr>
      <w:r w:rsidRPr="00C05BEB">
        <w:t>Dasatinib is rapidly absorbed in patients following oral administration.  The absolute bioavailability of dasatinib has not been determined.  Peak concentrations were observed between 0.5-3 hours.  Following oral administration, the increase in the mean exposure (AUC</w:t>
      </w:r>
      <w:r w:rsidRPr="00C05BEB">
        <w:rPr>
          <w:vertAlign w:val="subscript"/>
        </w:rPr>
        <w:t>τ</w:t>
      </w:r>
      <w:r w:rsidRPr="00C05BEB">
        <w:t xml:space="preserve">) is approximately proportional to the dose increment across doses ranging from 25 mg to 120 mg twice daily (BID).  </w:t>
      </w:r>
    </w:p>
    <w:p w14:paraId="32ECCF8E" w14:textId="77777777" w:rsidR="004C5DBE" w:rsidRPr="004C5DBE" w:rsidRDefault="004C5DBE" w:rsidP="004C5DBE">
      <w:pPr>
        <w:tabs>
          <w:tab w:val="left" w:pos="158"/>
        </w:tabs>
      </w:pPr>
      <w:r w:rsidRPr="00C05BEB">
        <w:t>Data from a study of 54 healthy subjects administered a single, 100 mg dose of dasatinib 30 minutes following consumption of a high-fat meal indicated a 14% increase in the mean AUC of dasatinib.  Consumption of a low-fat meal 30 minutes prior to dasatinib resulted in a 21% increase in the mean AUC of dasatinib.  The observed food effects are unlikely to be clinically significant.</w:t>
      </w:r>
    </w:p>
    <w:p w14:paraId="41E3394D" w14:textId="77777777" w:rsidR="001A3992" w:rsidRDefault="001A3992" w:rsidP="00D62371">
      <w:pPr>
        <w:pStyle w:val="Heading3"/>
      </w:pPr>
      <w:r w:rsidRPr="000A4651">
        <w:lastRenderedPageBreak/>
        <w:t>Distribution</w:t>
      </w:r>
    </w:p>
    <w:p w14:paraId="451A1A16" w14:textId="3A36BE46" w:rsidR="004C5DBE" w:rsidRPr="004C5DBE" w:rsidRDefault="004C5DBE" w:rsidP="004C5DBE">
      <w:r w:rsidRPr="00C05BEB">
        <w:t>In patients, SPRYCEL has a large apparent volume of distribution (2505 L) suggesting that the drug is extensively distributed in the extravascular space.</w:t>
      </w:r>
    </w:p>
    <w:p w14:paraId="1567930A" w14:textId="77777777" w:rsidR="001A3992" w:rsidRDefault="001A3992" w:rsidP="00D62371">
      <w:pPr>
        <w:pStyle w:val="Heading3"/>
      </w:pPr>
      <w:r w:rsidRPr="000A4651">
        <w:t>Metabolism</w:t>
      </w:r>
    </w:p>
    <w:p w14:paraId="4180A054" w14:textId="77777777" w:rsidR="004C5DBE" w:rsidRPr="004C5DBE" w:rsidRDefault="004C5DBE" w:rsidP="004C5DBE">
      <w:pPr>
        <w:tabs>
          <w:tab w:val="left" w:pos="158"/>
        </w:tabs>
      </w:pPr>
      <w:r w:rsidRPr="00C05BEB">
        <w:t>Dasatinib is extensively metabolized in humans.  In a study of 8 healthy subjects administered 100 mg of [</w:t>
      </w:r>
      <w:r w:rsidRPr="00C05BEB">
        <w:rPr>
          <w:vertAlign w:val="superscript"/>
        </w:rPr>
        <w:t>14</w:t>
      </w:r>
      <w:r w:rsidRPr="00C05BEB">
        <w:t xml:space="preserve">C]-labelled dasatinib, unchanged dasatinib represented 29% of circulating radioactivity in plasma.  Plasma concentration and measured </w:t>
      </w:r>
      <w:r w:rsidRPr="00C05BEB">
        <w:rPr>
          <w:i/>
        </w:rPr>
        <w:t xml:space="preserve">in vitro </w:t>
      </w:r>
      <w:r w:rsidRPr="00C05BEB">
        <w:t>activity indicate that metabolites of dasatinib are unlikely to play a major role in the observed pharmacology of the drug. The overall mean terminal half-life of dasatinib is approximately 5-6 hours. CYP3A4 is a major enzyme responsible for the metabolism of dasatinib.</w:t>
      </w:r>
    </w:p>
    <w:p w14:paraId="7E938B1B" w14:textId="77777777" w:rsidR="001A3992" w:rsidRDefault="001A3992" w:rsidP="00D62371">
      <w:pPr>
        <w:pStyle w:val="Heading3"/>
      </w:pPr>
      <w:r w:rsidRPr="000A4651">
        <w:t>Excretion</w:t>
      </w:r>
    </w:p>
    <w:p w14:paraId="7D4C8DC8" w14:textId="23E0A471" w:rsidR="004C5DBE" w:rsidRDefault="004C5DBE" w:rsidP="004C5DBE">
      <w:pPr>
        <w:tabs>
          <w:tab w:val="left" w:pos="158"/>
        </w:tabs>
      </w:pPr>
      <w:r w:rsidRPr="00C05BEB">
        <w:t>Elimination is predominantly in the faeces, mostly as metabolites.  Following a single oral dose of [</w:t>
      </w:r>
      <w:r w:rsidRPr="00C05BEB">
        <w:rPr>
          <w:vertAlign w:val="superscript"/>
        </w:rPr>
        <w:t>14</w:t>
      </w:r>
      <w:r w:rsidRPr="00C05BEB">
        <w:t>C]-labelled dasatinib, approximately 89% of the dose was eliminated within 10 days, with 4% and 85% of the administered radioactivity recovered in the urine and faeces, respectively.  Unchanged dasatinib accounted for 0.1% and 19% of the administered dose in urine and faeces, respectively, with the remainder of the dose being metabolites.</w:t>
      </w:r>
    </w:p>
    <w:p w14:paraId="7C115099" w14:textId="57AA0C81" w:rsidR="00CE483A" w:rsidRDefault="00CE483A" w:rsidP="00D62371">
      <w:pPr>
        <w:pStyle w:val="Heading3"/>
      </w:pPr>
      <w:r>
        <w:t>Special Populations</w:t>
      </w:r>
    </w:p>
    <w:p w14:paraId="1BA7FA10" w14:textId="27ECFDCB" w:rsidR="00CE483A" w:rsidRPr="00C05BEB" w:rsidRDefault="00CE483A" w:rsidP="00CE483A">
      <w:r w:rsidRPr="00C05BEB">
        <w:t>Pharmacokinetic analyses of demographic data indicate that there are no clinically relevant effects of age and gender on the pharmacokinetics of SPRYCEL.</w:t>
      </w:r>
    </w:p>
    <w:p w14:paraId="6D326DE4" w14:textId="5D847DFB" w:rsidR="00CE483A" w:rsidRPr="00C05BEB" w:rsidRDefault="00CE483A" w:rsidP="00CE483A">
      <w:r w:rsidRPr="00C05BEB">
        <w:t>The pharmacokinetics of SPRYCEL have not been evaluated in paediatric patients.</w:t>
      </w:r>
    </w:p>
    <w:p w14:paraId="41564A1C" w14:textId="515370E3" w:rsidR="00CE483A" w:rsidRPr="00CE483A" w:rsidRDefault="00CE483A" w:rsidP="00CE483A">
      <w:pPr>
        <w:rPr>
          <w:bCs/>
        </w:rPr>
      </w:pPr>
      <w:r w:rsidRPr="00CE483A">
        <w:rPr>
          <w:bCs/>
        </w:rPr>
        <w:t>The effect of hepatic impairment on the single-dose pharmacokinetics of dasatinib was assessed in 8 moderately hepatic-impaired subjects who received a 50 mg dose and 5 severely hepatic-impaired subjects who received a 20 mg dose compared to matched healthy subjects who received a 70 mg dose of dasatinib. The mean C</w:t>
      </w:r>
      <w:r w:rsidRPr="00CE483A">
        <w:rPr>
          <w:bCs/>
          <w:vertAlign w:val="subscript"/>
        </w:rPr>
        <w:t>max</w:t>
      </w:r>
      <w:r w:rsidRPr="00CE483A">
        <w:rPr>
          <w:bCs/>
        </w:rPr>
        <w:t xml:space="preserve"> and AUC of dasatinib adjusted for the 70 mg dose was decreased by 47% and 8%, respectively, in subjects with moderate hepatic impairment compared to subjects with normal hepatic function. In severely hepatic-impaired subjects, the mean C</w:t>
      </w:r>
      <w:r w:rsidRPr="00CE483A">
        <w:rPr>
          <w:bCs/>
          <w:vertAlign w:val="subscript"/>
        </w:rPr>
        <w:t>max</w:t>
      </w:r>
      <w:r w:rsidRPr="00CE483A">
        <w:rPr>
          <w:bCs/>
        </w:rPr>
        <w:t xml:space="preserve"> and AUC adjusted for the 70 mg dose was decreased by 43% and 28% respectively, compared to subjects with normal hepatic function (see </w:t>
      </w:r>
      <w:r w:rsidR="00510F98">
        <w:rPr>
          <w:bCs/>
        </w:rPr>
        <w:t>Section 4.4 Special warnings and precautions – Use in hepatic impairment and Section 4.2 Dose and method of administration – Special populations</w:t>
      </w:r>
      <w:r w:rsidRPr="00CE483A">
        <w:rPr>
          <w:bCs/>
        </w:rPr>
        <w:t>).</w:t>
      </w:r>
    </w:p>
    <w:p w14:paraId="31AE835C" w14:textId="606FF05B" w:rsidR="00CE483A" w:rsidRPr="00CE483A" w:rsidRDefault="00CE483A" w:rsidP="00CE483A">
      <w:r>
        <w:rPr>
          <w:bCs/>
        </w:rPr>
        <w:t xml:space="preserve">There are no clinical studies of SPRYCEL in patients with impaired renal function. Less than 4% of dasatinib and its metabolites are excreted via the kidney (see </w:t>
      </w:r>
      <w:r w:rsidR="00510F98">
        <w:rPr>
          <w:bCs/>
        </w:rPr>
        <w:t xml:space="preserve">Section 4.4 Special warnings and precautions – Use in renal impairment </w:t>
      </w:r>
      <w:r>
        <w:rPr>
          <w:bCs/>
        </w:rPr>
        <w:t xml:space="preserve">and </w:t>
      </w:r>
      <w:r w:rsidR="00510F98">
        <w:rPr>
          <w:bCs/>
        </w:rPr>
        <w:t>Section 4.2 Dose and method of administration – Special populations</w:t>
      </w:r>
      <w:r>
        <w:rPr>
          <w:bCs/>
        </w:rPr>
        <w:t>).</w:t>
      </w:r>
    </w:p>
    <w:p w14:paraId="7CE81EF9" w14:textId="77777777" w:rsidR="001A3992" w:rsidRPr="000A4651" w:rsidRDefault="001A3992" w:rsidP="003144B2">
      <w:pPr>
        <w:pStyle w:val="Heading2"/>
      </w:pPr>
      <w:r w:rsidRPr="000A4651">
        <w:t>Preclinical safety data</w:t>
      </w:r>
    </w:p>
    <w:p w14:paraId="6FF93742" w14:textId="3C03D957" w:rsidR="001A3992" w:rsidRDefault="001A3992" w:rsidP="00D62371">
      <w:pPr>
        <w:pStyle w:val="Heading3"/>
      </w:pPr>
      <w:r w:rsidRPr="000A4651">
        <w:t>Genotoxicity</w:t>
      </w:r>
    </w:p>
    <w:p w14:paraId="4D8F9BA7" w14:textId="77777777" w:rsidR="00F16D0E" w:rsidRPr="00265791" w:rsidRDefault="00F16D0E" w:rsidP="00F16D0E">
      <w:pPr>
        <w:tabs>
          <w:tab w:val="left" w:pos="204"/>
        </w:tabs>
        <w:rPr>
          <w:bCs/>
        </w:rPr>
      </w:pPr>
      <w:r w:rsidRPr="00265791">
        <w:rPr>
          <w:bCs/>
        </w:rPr>
        <w:t xml:space="preserve">Dasatinib was not mutagenic when tested in </w:t>
      </w:r>
      <w:r w:rsidRPr="00265791">
        <w:rPr>
          <w:bCs/>
          <w:i/>
        </w:rPr>
        <w:t xml:space="preserve">in vitro </w:t>
      </w:r>
      <w:r w:rsidRPr="00265791">
        <w:rPr>
          <w:bCs/>
        </w:rPr>
        <w:t xml:space="preserve">bacterial cell assays (Ames test) and was not clastogenic in an </w:t>
      </w:r>
      <w:r w:rsidRPr="00265791">
        <w:rPr>
          <w:i/>
        </w:rPr>
        <w:t>in vivo</w:t>
      </w:r>
      <w:r w:rsidRPr="00265791">
        <w:rPr>
          <w:bCs/>
        </w:rPr>
        <w:t xml:space="preserve"> rat micronucleus study. Clastogenicity was observed with dasatinib </w:t>
      </w:r>
      <w:r w:rsidRPr="00265791">
        <w:rPr>
          <w:i/>
        </w:rPr>
        <w:t>in vitro</w:t>
      </w:r>
      <w:r w:rsidRPr="00265791">
        <w:rPr>
          <w:bCs/>
        </w:rPr>
        <w:t xml:space="preserve"> in assays with Chinese hamster ovary cells in the absence and presence of metabolic activation.</w:t>
      </w:r>
    </w:p>
    <w:p w14:paraId="46C9C21B" w14:textId="4D602E8C" w:rsidR="001A3992" w:rsidRDefault="001A3992" w:rsidP="00D62371">
      <w:pPr>
        <w:pStyle w:val="Heading3"/>
      </w:pPr>
      <w:r w:rsidRPr="000A4651">
        <w:t>Carcinogenicity</w:t>
      </w:r>
    </w:p>
    <w:p w14:paraId="1A3C3EE4" w14:textId="77777777" w:rsidR="00F16D0E" w:rsidRPr="00265791" w:rsidRDefault="00F16D0E" w:rsidP="00F16D0E">
      <w:pPr>
        <w:tabs>
          <w:tab w:val="left" w:pos="204"/>
        </w:tabs>
        <w:rPr>
          <w:bCs/>
        </w:rPr>
      </w:pPr>
      <w:r w:rsidRPr="00265791">
        <w:rPr>
          <w:bCs/>
        </w:rPr>
        <w:t xml:space="preserve">In a two year carcinogenicity study, rats were administered oral doses of dasatinib at 0.3, 1, and 3 mg/kg/day. The highest dose resulted in a plasma drug exposure (AUC) level generally equivalent to or slightly lower than calculated human exposure at the recommended range of starting doses 100 mg or 140 mg daily. A statistically significant increase in the combined incidence of squamous cell </w:t>
      </w:r>
      <w:r w:rsidRPr="00265791">
        <w:rPr>
          <w:bCs/>
        </w:rPr>
        <w:lastRenderedPageBreak/>
        <w:t xml:space="preserve">carcinomas and papillomas in the uterus and cervix of high-dose female rats and of prostate adenoma in low-dose male rats was noted. </w:t>
      </w:r>
    </w:p>
    <w:p w14:paraId="45286BA3" w14:textId="77777777" w:rsidR="001A3992" w:rsidRPr="000A4651" w:rsidRDefault="001A3992" w:rsidP="00C27979">
      <w:pPr>
        <w:pStyle w:val="Heading1"/>
      </w:pPr>
      <w:r w:rsidRPr="000A4651">
        <w:t>Pharmaceutical particulars</w:t>
      </w:r>
    </w:p>
    <w:p w14:paraId="3AB62049" w14:textId="77777777" w:rsidR="001A3992" w:rsidRPr="000A4651" w:rsidRDefault="00F01F58" w:rsidP="003144B2">
      <w:pPr>
        <w:pStyle w:val="Heading2"/>
        <w:rPr>
          <w:lang w:val="en-US"/>
        </w:rPr>
      </w:pPr>
      <w:r w:rsidRPr="000A4651">
        <w:rPr>
          <w:lang w:val="en-US"/>
        </w:rPr>
        <w:t>List of excipients</w:t>
      </w:r>
    </w:p>
    <w:p w14:paraId="6B92741A" w14:textId="77777777" w:rsidR="006C1205" w:rsidRDefault="006C1205" w:rsidP="006C1205">
      <w:pPr>
        <w:pStyle w:val="Heading3"/>
      </w:pPr>
      <w:r>
        <w:t>Tablet core</w:t>
      </w:r>
      <w:r w:rsidR="0019544E" w:rsidRPr="00510F98">
        <w:t xml:space="preserve"> </w:t>
      </w:r>
    </w:p>
    <w:p w14:paraId="27DEA9F6" w14:textId="69CB9310" w:rsidR="006C1205" w:rsidRDefault="006C1205" w:rsidP="006C1205">
      <w:pPr>
        <w:spacing w:after="0"/>
      </w:pPr>
      <w:r>
        <w:t>L</w:t>
      </w:r>
      <w:r w:rsidR="0019544E" w:rsidRPr="00510F98">
        <w:t>actose</w:t>
      </w:r>
      <w:r>
        <w:t xml:space="preserve"> monohydrate</w:t>
      </w:r>
      <w:r w:rsidR="0019544E" w:rsidRPr="00510F98">
        <w:t xml:space="preserve"> </w:t>
      </w:r>
    </w:p>
    <w:p w14:paraId="3D248228" w14:textId="58751520" w:rsidR="006C1205" w:rsidRDefault="006C1205" w:rsidP="006C1205">
      <w:pPr>
        <w:spacing w:after="0"/>
      </w:pPr>
      <w:r>
        <w:t>M</w:t>
      </w:r>
      <w:r w:rsidR="0019544E" w:rsidRPr="00510F98">
        <w:t xml:space="preserve">icrocrystalline cellulose </w:t>
      </w:r>
    </w:p>
    <w:p w14:paraId="4EFF7DE2" w14:textId="5108B2B2" w:rsidR="006C1205" w:rsidRDefault="006C1205" w:rsidP="006C1205">
      <w:pPr>
        <w:spacing w:after="0"/>
      </w:pPr>
      <w:r>
        <w:t>C</w:t>
      </w:r>
      <w:r w:rsidR="0019544E" w:rsidRPr="00510F98">
        <w:t xml:space="preserve">roscarmellose sodium </w:t>
      </w:r>
    </w:p>
    <w:p w14:paraId="18590153" w14:textId="4FA73D8B" w:rsidR="006C1205" w:rsidRDefault="006C1205" w:rsidP="006C1205">
      <w:pPr>
        <w:spacing w:after="0"/>
      </w:pPr>
      <w:r>
        <w:t>H</w:t>
      </w:r>
      <w:r w:rsidR="0019544E" w:rsidRPr="00510F98">
        <w:t>ydroxpropyl cellulose</w:t>
      </w:r>
    </w:p>
    <w:p w14:paraId="2E041CC1" w14:textId="77777777" w:rsidR="006C1205" w:rsidRDefault="006C1205" w:rsidP="00F16D0E">
      <w:r>
        <w:t>M</w:t>
      </w:r>
      <w:r w:rsidR="0019544E" w:rsidRPr="00510F98">
        <w:t xml:space="preserve">agnesium stearate.  </w:t>
      </w:r>
    </w:p>
    <w:p w14:paraId="3A5673F7" w14:textId="77777777" w:rsidR="006C1205" w:rsidRDefault="006C1205" w:rsidP="006C1205">
      <w:pPr>
        <w:pStyle w:val="Heading3"/>
      </w:pPr>
      <w:r>
        <w:t>Film-</w:t>
      </w:r>
      <w:r w:rsidR="0019544E" w:rsidRPr="00510F98">
        <w:t xml:space="preserve"> coating </w:t>
      </w:r>
    </w:p>
    <w:p w14:paraId="295CBD10" w14:textId="506D07DC" w:rsidR="006C1205" w:rsidRDefault="006C1205" w:rsidP="006C1205">
      <w:pPr>
        <w:spacing w:after="0"/>
      </w:pPr>
      <w:r>
        <w:t>H</w:t>
      </w:r>
      <w:r w:rsidR="0019544E" w:rsidRPr="00510F98">
        <w:t xml:space="preserve">ypromellose, </w:t>
      </w:r>
    </w:p>
    <w:p w14:paraId="494DAEAC" w14:textId="4ADFAA51" w:rsidR="006C1205" w:rsidRDefault="006C1205" w:rsidP="006C1205">
      <w:pPr>
        <w:spacing w:after="0"/>
      </w:pPr>
      <w:r>
        <w:t>T</w:t>
      </w:r>
      <w:r w:rsidR="0019544E" w:rsidRPr="00510F98">
        <w:t>itanium dioxid</w:t>
      </w:r>
      <w:r>
        <w:t>e</w:t>
      </w:r>
    </w:p>
    <w:p w14:paraId="780162B6" w14:textId="4E266271" w:rsidR="0019544E" w:rsidRPr="00C05BEB" w:rsidRDefault="006C1205" w:rsidP="00F16D0E">
      <w:r>
        <w:t>P</w:t>
      </w:r>
      <w:r w:rsidR="0019544E" w:rsidRPr="00510F98">
        <w:t>olyethylene glycol.</w:t>
      </w:r>
    </w:p>
    <w:p w14:paraId="6834EA48" w14:textId="5E08481D" w:rsidR="001A3992" w:rsidRPr="000A4651" w:rsidRDefault="00F01F58" w:rsidP="003144B2">
      <w:pPr>
        <w:pStyle w:val="Heading2"/>
        <w:rPr>
          <w:lang w:val="en-US"/>
        </w:rPr>
      </w:pPr>
      <w:r w:rsidRPr="000A4651">
        <w:rPr>
          <w:lang w:val="en-US"/>
        </w:rPr>
        <w:t>Incompatibilities</w:t>
      </w:r>
    </w:p>
    <w:p w14:paraId="72B83AB6" w14:textId="1DA46ECE" w:rsidR="00F01F58" w:rsidRPr="00B3545F" w:rsidRDefault="00F01F58" w:rsidP="00CE511A">
      <w:pPr>
        <w:ind w:left="630" w:hanging="630"/>
      </w:pPr>
      <w:r w:rsidRPr="00B3545F">
        <w:t>Incompatibilities were either not assessed or not identified as part of the registration of this medicine</w:t>
      </w:r>
    </w:p>
    <w:p w14:paraId="20B1582C" w14:textId="77777777" w:rsidR="001A3992" w:rsidRPr="000A4651" w:rsidRDefault="00F01F58" w:rsidP="003144B2">
      <w:pPr>
        <w:pStyle w:val="Heading2"/>
        <w:rPr>
          <w:lang w:val="en-US"/>
        </w:rPr>
      </w:pPr>
      <w:r w:rsidRPr="000A4651">
        <w:rPr>
          <w:lang w:val="en-US"/>
        </w:rPr>
        <w:t>Shelf life</w:t>
      </w:r>
    </w:p>
    <w:p w14:paraId="4E9053CB" w14:textId="77777777" w:rsidR="00F01F58" w:rsidRPr="00B3545F" w:rsidRDefault="00F01F58" w:rsidP="00F01F58">
      <w:r w:rsidRPr="00B3545F">
        <w:t xml:space="preserve">In Australia, information on the shelf life can be found on the public summary of the ARTG. The expiry date can be found on the packaging </w:t>
      </w:r>
    </w:p>
    <w:p w14:paraId="11EB7B59" w14:textId="77777777" w:rsidR="001A3992" w:rsidRPr="000A4651" w:rsidRDefault="00F01F58" w:rsidP="003144B2">
      <w:pPr>
        <w:pStyle w:val="Heading2"/>
        <w:rPr>
          <w:lang w:val="en-US"/>
        </w:rPr>
      </w:pPr>
      <w:r w:rsidRPr="000A4651">
        <w:rPr>
          <w:lang w:val="en-US"/>
        </w:rPr>
        <w:t>Special precautions for storage</w:t>
      </w:r>
    </w:p>
    <w:p w14:paraId="6F5C76DD" w14:textId="244DE4FF" w:rsidR="00C52BF0" w:rsidRPr="00265791" w:rsidRDefault="00C52BF0" w:rsidP="00C52BF0">
      <w:r w:rsidRPr="00265791">
        <w:t>SPRYCEL</w:t>
      </w:r>
      <w:r w:rsidR="007232B9">
        <w:t xml:space="preserve"> </w:t>
      </w:r>
      <w:r w:rsidRPr="00265791">
        <w:t xml:space="preserve">tablets should be stored below 30 °C.  </w:t>
      </w:r>
    </w:p>
    <w:p w14:paraId="04F1091D" w14:textId="77777777" w:rsidR="001A3992" w:rsidRPr="000A4651" w:rsidRDefault="001A3992" w:rsidP="003144B2">
      <w:pPr>
        <w:pStyle w:val="Heading2"/>
        <w:rPr>
          <w:lang w:val="en-US"/>
        </w:rPr>
      </w:pPr>
      <w:r w:rsidRPr="000A4651">
        <w:rPr>
          <w:lang w:val="en-US"/>
        </w:rPr>
        <w:t>N</w:t>
      </w:r>
      <w:r w:rsidR="005A7542" w:rsidRPr="000A4651">
        <w:rPr>
          <w:lang w:val="en-US"/>
        </w:rPr>
        <w:t>ature and contents of container</w:t>
      </w:r>
    </w:p>
    <w:p w14:paraId="431BA5AB" w14:textId="2305D959" w:rsidR="00C52BF0" w:rsidRPr="00265791" w:rsidRDefault="00C52BF0" w:rsidP="00C52BF0">
      <w:r w:rsidRPr="00265791">
        <w:t xml:space="preserve">20 mg, 50 mg and 70 mg </w:t>
      </w:r>
      <w:r w:rsidR="00B3545F">
        <w:t>t</w:t>
      </w:r>
      <w:r w:rsidRPr="00265791">
        <w:t xml:space="preserve">ablets are available </w:t>
      </w:r>
      <w:r w:rsidRPr="00DF46D9">
        <w:t xml:space="preserve">in bottles or blisters of 60 tablets. 100 mg </w:t>
      </w:r>
      <w:r w:rsidR="00B3545F">
        <w:t>t</w:t>
      </w:r>
      <w:r w:rsidRPr="00DF46D9">
        <w:t>ablets are available in bottles or blisters of 30 tablets.</w:t>
      </w:r>
    </w:p>
    <w:p w14:paraId="6408C121" w14:textId="77777777" w:rsidR="00C52BF0" w:rsidRPr="00265791" w:rsidRDefault="00C52BF0" w:rsidP="00C52BF0">
      <w:pPr>
        <w:tabs>
          <w:tab w:val="left" w:pos="204"/>
        </w:tabs>
        <w:rPr>
          <w:bCs/>
        </w:rPr>
      </w:pPr>
      <w:r w:rsidRPr="00265791">
        <w:rPr>
          <w:bCs/>
        </w:rPr>
        <w:t>Not all pack sizes may be marketed.</w:t>
      </w:r>
    </w:p>
    <w:p w14:paraId="0CD288A5" w14:textId="77777777" w:rsidR="001A3992" w:rsidRPr="000A4651" w:rsidRDefault="001A3992" w:rsidP="003144B2">
      <w:pPr>
        <w:pStyle w:val="Heading2"/>
        <w:rPr>
          <w:lang w:val="en-US"/>
        </w:rPr>
      </w:pPr>
      <w:r w:rsidRPr="000A4651">
        <w:rPr>
          <w:lang w:val="en-US"/>
        </w:rPr>
        <w:t>S</w:t>
      </w:r>
      <w:r w:rsidR="004F767B" w:rsidRPr="000A4651">
        <w:rPr>
          <w:lang w:val="en-US"/>
        </w:rPr>
        <w:t>pecial precautions for disposal</w:t>
      </w:r>
    </w:p>
    <w:p w14:paraId="5C0D80DF" w14:textId="77777777" w:rsidR="00C52BF0" w:rsidRPr="00265791" w:rsidRDefault="00C52BF0" w:rsidP="00C52BF0">
      <w:pPr>
        <w:tabs>
          <w:tab w:val="left" w:pos="1150"/>
        </w:tabs>
      </w:pPr>
      <w:r w:rsidRPr="00265791">
        <w:t>Procedures for proper handling and disposal of anticancer drugs should be considered.  Several guidelines on this subject have been published.  There is no general agreement that all of the procedures recommended in the guidelines are necessary or appropriate.</w:t>
      </w:r>
    </w:p>
    <w:p w14:paraId="1A4CCCEB" w14:textId="69295135" w:rsidR="00C52BF0" w:rsidRPr="00265791" w:rsidRDefault="00C52BF0" w:rsidP="00C52BF0">
      <w:pPr>
        <w:tabs>
          <w:tab w:val="left" w:pos="1150"/>
        </w:tabs>
      </w:pPr>
      <w:r w:rsidRPr="00265791">
        <w:t>SPRYCEL</w:t>
      </w:r>
      <w:r w:rsidR="007232B9">
        <w:t xml:space="preserve"> </w:t>
      </w:r>
      <w:r w:rsidRPr="00265791">
        <w:t>tablets consist of a core tablet (containing the active drug substance), surrounded by a film coating to prevent exposure of pharmacy and clinical personnel to the active drug substance.  However, if tablets are crushed or broken, pharmacy and clinical personnel should wear disposable chemotherapy gloves.  Personnel who are pregnant should avoid exposure to crushed and/or broken tablets.</w:t>
      </w:r>
    </w:p>
    <w:p w14:paraId="7C5929E5" w14:textId="77777777" w:rsidR="001A3992" w:rsidRPr="000A4651" w:rsidRDefault="001A3992" w:rsidP="003144B2">
      <w:pPr>
        <w:pStyle w:val="Heading2"/>
        <w:rPr>
          <w:lang w:val="en-US"/>
        </w:rPr>
      </w:pPr>
      <w:r w:rsidRPr="000A4651">
        <w:rPr>
          <w:lang w:val="en-US"/>
        </w:rPr>
        <w:t>Physicochemical properties</w:t>
      </w:r>
    </w:p>
    <w:p w14:paraId="03A93307" w14:textId="77777777" w:rsidR="001A3992" w:rsidRPr="000A4651" w:rsidRDefault="001A3992" w:rsidP="00D62371">
      <w:pPr>
        <w:pStyle w:val="Heading3"/>
      </w:pPr>
      <w:r w:rsidRPr="000A4651">
        <w:t>Chemical structure</w:t>
      </w:r>
    </w:p>
    <w:p w14:paraId="0D173856" w14:textId="600681AB" w:rsidR="0019544E" w:rsidRPr="00CB6CB4" w:rsidRDefault="0019544E" w:rsidP="0019544E">
      <w:pPr>
        <w:pStyle w:val="p14"/>
        <w:ind w:left="0" w:firstLine="0"/>
        <w:jc w:val="both"/>
        <w:rPr>
          <w:sz w:val="22"/>
          <w:szCs w:val="22"/>
          <w:lang w:val="en-AU"/>
        </w:rPr>
      </w:pPr>
      <w:r w:rsidRPr="00CB6CB4">
        <w:rPr>
          <w:sz w:val="22"/>
          <w:szCs w:val="22"/>
          <w:lang w:val="en-AU"/>
        </w:rPr>
        <w:t>Dasatinib drug substance has the following chemical structure:</w:t>
      </w:r>
    </w:p>
    <w:p w14:paraId="4ED8F5D6" w14:textId="77777777" w:rsidR="0019544E" w:rsidRPr="0019544E" w:rsidRDefault="0019544E" w:rsidP="0019544E">
      <w:pPr>
        <w:pStyle w:val="p14"/>
        <w:ind w:left="0" w:firstLine="0"/>
        <w:jc w:val="both"/>
        <w:rPr>
          <w:lang w:val="en-AU"/>
        </w:rPr>
      </w:pPr>
      <w:r w:rsidRPr="00C05BEB">
        <w:rPr>
          <w:lang w:val="en-AU"/>
        </w:rPr>
        <w:t xml:space="preserve"> </w:t>
      </w:r>
    </w:p>
    <w:p w14:paraId="745BEE3A" w14:textId="77777777" w:rsidR="0019544E" w:rsidRPr="00C05BEB" w:rsidRDefault="0019544E" w:rsidP="0019544E">
      <w:pPr>
        <w:tabs>
          <w:tab w:val="left" w:pos="204"/>
        </w:tabs>
        <w:jc w:val="center"/>
      </w:pPr>
      <w:r w:rsidRPr="00C05BEB">
        <w:rPr>
          <w:b/>
          <w:bCs/>
          <w:noProof/>
          <w:lang w:eastAsia="en-AU"/>
        </w:rPr>
        <w:lastRenderedPageBreak/>
        <w:drawing>
          <wp:inline distT="0" distB="0" distL="0" distR="0" wp14:anchorId="7F1BBED3" wp14:editId="6674B231">
            <wp:extent cx="35052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05200" cy="1066800"/>
                    </a:xfrm>
                    <a:prstGeom prst="rect">
                      <a:avLst/>
                    </a:prstGeom>
                    <a:noFill/>
                    <a:ln>
                      <a:noFill/>
                    </a:ln>
                  </pic:spPr>
                </pic:pic>
              </a:graphicData>
            </a:graphic>
          </wp:inline>
        </w:drawing>
      </w:r>
    </w:p>
    <w:p w14:paraId="05CF1EF6" w14:textId="77777777" w:rsidR="0019544E" w:rsidRPr="00CB6CB4" w:rsidRDefault="0019544E" w:rsidP="0019544E">
      <w:pPr>
        <w:pStyle w:val="p14"/>
        <w:ind w:left="0" w:firstLine="0"/>
        <w:jc w:val="both"/>
        <w:rPr>
          <w:sz w:val="22"/>
          <w:szCs w:val="22"/>
          <w:lang w:val="en-AU"/>
        </w:rPr>
      </w:pPr>
      <w:r w:rsidRPr="00CB6CB4">
        <w:rPr>
          <w:sz w:val="22"/>
          <w:szCs w:val="22"/>
          <w:lang w:val="en-AU"/>
        </w:rPr>
        <w:t xml:space="preserve">The chemical name for dasatinib is </w:t>
      </w:r>
      <w:r w:rsidRPr="00CB6CB4">
        <w:rPr>
          <w:i/>
          <w:sz w:val="22"/>
          <w:szCs w:val="22"/>
          <w:lang w:val="en-AU"/>
        </w:rPr>
        <w:t>N</w:t>
      </w:r>
      <w:r w:rsidRPr="00CB6CB4">
        <w:rPr>
          <w:sz w:val="22"/>
          <w:szCs w:val="22"/>
          <w:lang w:val="en-AU"/>
        </w:rPr>
        <w:t xml:space="preserve">-(2-chloro-6-methylphenyl)-2-[[6-[4-(2-hydroxyethyl)-1-piperazinyl]-2-methyl-4-pyrimidinyl]amino]-5-thiazolecarboxamide, monohydrate. </w:t>
      </w:r>
    </w:p>
    <w:p w14:paraId="75E36874" w14:textId="77777777" w:rsidR="0019544E" w:rsidRPr="00CB6CB4" w:rsidRDefault="0019544E" w:rsidP="0019544E">
      <w:pPr>
        <w:pStyle w:val="p14"/>
        <w:ind w:left="0" w:firstLine="0"/>
        <w:jc w:val="both"/>
        <w:rPr>
          <w:sz w:val="22"/>
          <w:szCs w:val="22"/>
          <w:lang w:val="en-AU"/>
        </w:rPr>
      </w:pPr>
    </w:p>
    <w:p w14:paraId="302B26F9" w14:textId="36B028DE" w:rsidR="0019544E" w:rsidRPr="00CB6CB4" w:rsidRDefault="0019544E" w:rsidP="0019544E">
      <w:pPr>
        <w:pStyle w:val="p14"/>
        <w:ind w:left="0" w:firstLine="0"/>
        <w:jc w:val="both"/>
        <w:rPr>
          <w:sz w:val="22"/>
          <w:szCs w:val="22"/>
          <w:lang w:val="en-AU"/>
        </w:rPr>
      </w:pPr>
      <w:r w:rsidRPr="00CB6CB4">
        <w:rPr>
          <w:sz w:val="22"/>
          <w:szCs w:val="22"/>
          <w:lang w:val="en-AU"/>
        </w:rPr>
        <w:t>The molecular formula is C</w:t>
      </w:r>
      <w:r w:rsidRPr="00CB6CB4">
        <w:rPr>
          <w:sz w:val="22"/>
          <w:szCs w:val="22"/>
          <w:vertAlign w:val="subscript"/>
          <w:lang w:val="en-AU"/>
        </w:rPr>
        <w:t>22</w:t>
      </w:r>
      <w:r w:rsidRPr="00CB6CB4">
        <w:rPr>
          <w:sz w:val="22"/>
          <w:szCs w:val="22"/>
          <w:lang w:val="en-AU"/>
        </w:rPr>
        <w:t>H</w:t>
      </w:r>
      <w:r w:rsidRPr="00CB6CB4">
        <w:rPr>
          <w:sz w:val="22"/>
          <w:szCs w:val="22"/>
          <w:vertAlign w:val="subscript"/>
          <w:lang w:val="en-AU"/>
        </w:rPr>
        <w:t>26</w:t>
      </w:r>
      <w:r w:rsidRPr="00CB6CB4">
        <w:rPr>
          <w:sz w:val="22"/>
          <w:szCs w:val="22"/>
          <w:lang w:val="en-AU"/>
        </w:rPr>
        <w:t>C1N</w:t>
      </w:r>
      <w:r w:rsidRPr="00CB6CB4">
        <w:rPr>
          <w:sz w:val="22"/>
          <w:szCs w:val="22"/>
          <w:vertAlign w:val="subscript"/>
          <w:lang w:val="en-AU"/>
        </w:rPr>
        <w:t>7</w:t>
      </w:r>
      <w:r w:rsidRPr="00CB6CB4">
        <w:rPr>
          <w:sz w:val="22"/>
          <w:szCs w:val="22"/>
          <w:lang w:val="en-AU"/>
        </w:rPr>
        <w:t>O</w:t>
      </w:r>
      <w:r w:rsidRPr="00CB6CB4">
        <w:rPr>
          <w:sz w:val="22"/>
          <w:szCs w:val="22"/>
          <w:vertAlign w:val="subscript"/>
          <w:lang w:val="en-AU"/>
        </w:rPr>
        <w:t>2</w:t>
      </w:r>
      <w:r w:rsidRPr="00CB6CB4">
        <w:rPr>
          <w:sz w:val="22"/>
          <w:szCs w:val="22"/>
          <w:lang w:val="en-AU"/>
        </w:rPr>
        <w:t>S • H</w:t>
      </w:r>
      <w:r w:rsidRPr="00CB6CB4">
        <w:rPr>
          <w:sz w:val="22"/>
          <w:szCs w:val="22"/>
          <w:vertAlign w:val="subscript"/>
          <w:lang w:val="en-AU"/>
        </w:rPr>
        <w:t>2</w:t>
      </w:r>
      <w:r w:rsidRPr="00CB6CB4">
        <w:rPr>
          <w:sz w:val="22"/>
          <w:szCs w:val="22"/>
          <w:lang w:val="en-AU"/>
        </w:rPr>
        <w:t xml:space="preserve">O, which corresponds to a formula weight of 506.02 (monohydrate).  The anhydrous free base has a molecular weight of 488.01.  </w:t>
      </w:r>
    </w:p>
    <w:p w14:paraId="1F1CA12B" w14:textId="28BA027A" w:rsidR="00CB6CB4" w:rsidRPr="00CB6CB4" w:rsidRDefault="00CB6CB4" w:rsidP="0019544E">
      <w:pPr>
        <w:pStyle w:val="p14"/>
        <w:ind w:left="0" w:firstLine="0"/>
        <w:jc w:val="both"/>
        <w:rPr>
          <w:sz w:val="22"/>
          <w:szCs w:val="22"/>
          <w:lang w:val="en-AU"/>
        </w:rPr>
      </w:pPr>
    </w:p>
    <w:p w14:paraId="07064251" w14:textId="77777777" w:rsidR="00CB6CB4" w:rsidRPr="0019544E" w:rsidRDefault="00CB6CB4" w:rsidP="00CB6CB4">
      <w:pPr>
        <w:pStyle w:val="p14"/>
        <w:spacing w:after="200"/>
        <w:ind w:left="0" w:firstLine="0"/>
        <w:jc w:val="both"/>
        <w:rPr>
          <w:bCs/>
          <w:sz w:val="22"/>
          <w:szCs w:val="22"/>
          <w:lang w:val="en-AU"/>
        </w:rPr>
      </w:pPr>
      <w:r w:rsidRPr="0019544E">
        <w:rPr>
          <w:bCs/>
          <w:sz w:val="22"/>
          <w:szCs w:val="22"/>
          <w:lang w:val="en-AU"/>
        </w:rPr>
        <w:t>The drug substance is insoluble in water (0.008 mg/mL) at 24 ± 4 ºC.  The pH of a saturated solution of dasatinib in water is about 6.0.  Two basic ionization constants (pK</w:t>
      </w:r>
      <w:r w:rsidRPr="0019544E">
        <w:rPr>
          <w:bCs/>
          <w:sz w:val="22"/>
          <w:szCs w:val="22"/>
          <w:vertAlign w:val="subscript"/>
          <w:lang w:val="en-AU"/>
        </w:rPr>
        <w:t>a</w:t>
      </w:r>
      <w:r w:rsidRPr="0019544E">
        <w:rPr>
          <w:bCs/>
          <w:sz w:val="22"/>
          <w:szCs w:val="22"/>
          <w:lang w:val="en-AU"/>
        </w:rPr>
        <w:t>) were determined to be 6.8 and 3.1, and one weakly acidic pK</w:t>
      </w:r>
      <w:r w:rsidRPr="0019544E">
        <w:rPr>
          <w:bCs/>
          <w:sz w:val="22"/>
          <w:szCs w:val="22"/>
          <w:vertAlign w:val="subscript"/>
          <w:lang w:val="en-AU"/>
        </w:rPr>
        <w:t>a</w:t>
      </w:r>
      <w:r w:rsidRPr="0019544E">
        <w:rPr>
          <w:bCs/>
          <w:sz w:val="22"/>
          <w:szCs w:val="22"/>
          <w:lang w:val="en-AU"/>
        </w:rPr>
        <w:t xml:space="preserve"> was determined to be 10.8.  The solubilities of dasatinib in various solvents at 24 ± 4 ºC are as follows: slightly soluble in ethanol (USP), methanol, polyethylene glycol 400, and propylene glycol; very slightly soluble in acetone and acetonitrile; and practically insoluble in corn oil.</w:t>
      </w:r>
    </w:p>
    <w:p w14:paraId="02FDDC2A" w14:textId="77777777" w:rsidR="00CB6CB4" w:rsidRPr="00C05BEB" w:rsidRDefault="00CB6CB4" w:rsidP="0019544E">
      <w:pPr>
        <w:pStyle w:val="p14"/>
        <w:ind w:left="0" w:firstLine="0"/>
        <w:jc w:val="both"/>
        <w:rPr>
          <w:lang w:val="en-AU"/>
        </w:rPr>
      </w:pPr>
    </w:p>
    <w:p w14:paraId="0282E99D" w14:textId="77777777" w:rsidR="0019544E" w:rsidRPr="00C05BEB" w:rsidRDefault="0019544E" w:rsidP="0019544E">
      <w:pPr>
        <w:tabs>
          <w:tab w:val="left" w:pos="204"/>
        </w:tabs>
      </w:pPr>
    </w:p>
    <w:p w14:paraId="7348E6A0" w14:textId="77777777" w:rsidR="001A3992" w:rsidRPr="000A4651" w:rsidRDefault="001A3992" w:rsidP="00D62371">
      <w:pPr>
        <w:pStyle w:val="Heading3"/>
      </w:pPr>
      <w:r w:rsidRPr="000A4651">
        <w:t>CAS number</w:t>
      </w:r>
    </w:p>
    <w:p w14:paraId="4EC489FA" w14:textId="77777777" w:rsidR="0019544E" w:rsidRPr="00C05BEB" w:rsidRDefault="0019544E" w:rsidP="0019544E">
      <w:pPr>
        <w:tabs>
          <w:tab w:val="left" w:pos="204"/>
        </w:tabs>
      </w:pPr>
      <w:r w:rsidRPr="00C05BEB">
        <w:t xml:space="preserve">The CAS number for dasatinib monohydrate is 863127-77-9.  </w:t>
      </w:r>
    </w:p>
    <w:p w14:paraId="64EE2458" w14:textId="77777777" w:rsidR="001A3992" w:rsidRPr="000A4651" w:rsidRDefault="001A3992" w:rsidP="00C27979">
      <w:pPr>
        <w:pStyle w:val="Heading1"/>
      </w:pPr>
      <w:r w:rsidRPr="000A4651">
        <w:t>Medicine schedule (Poisons Standard)</w:t>
      </w:r>
    </w:p>
    <w:p w14:paraId="3EC16623" w14:textId="77777777" w:rsidR="00207448" w:rsidRPr="000A4651" w:rsidRDefault="00207448" w:rsidP="00207448">
      <w:pPr>
        <w:rPr>
          <w:lang w:val="en-US"/>
        </w:rPr>
      </w:pPr>
      <w:r w:rsidRPr="000A4651">
        <w:rPr>
          <w:lang w:val="en-US"/>
        </w:rPr>
        <w:t>Prescription Only Medicine</w:t>
      </w:r>
      <w:r w:rsidR="00C300B1" w:rsidRPr="000A4651">
        <w:rPr>
          <w:lang w:val="en-US"/>
        </w:rPr>
        <w:t>.</w:t>
      </w:r>
    </w:p>
    <w:p w14:paraId="1C7817A5" w14:textId="77777777" w:rsidR="001A3992" w:rsidRPr="000A4651" w:rsidRDefault="001A3992" w:rsidP="00C27979">
      <w:pPr>
        <w:pStyle w:val="Heading1"/>
      </w:pPr>
      <w:r w:rsidRPr="000A4651">
        <w:t>Sponsor</w:t>
      </w:r>
    </w:p>
    <w:p w14:paraId="462FE0FE" w14:textId="77777777" w:rsidR="00C300B1" w:rsidRPr="000A4651" w:rsidRDefault="00A20060" w:rsidP="00C300B1">
      <w:pPr>
        <w:spacing w:after="0"/>
      </w:pPr>
      <w:r w:rsidRPr="000A4651">
        <w:t>Bristol-Myers Squibb Australia Pty Ltd</w:t>
      </w:r>
    </w:p>
    <w:p w14:paraId="35D75820" w14:textId="77777777" w:rsidR="00C300B1" w:rsidRPr="000A4651" w:rsidRDefault="00A20060" w:rsidP="00C300B1">
      <w:pPr>
        <w:spacing w:after="0"/>
      </w:pPr>
      <w:r w:rsidRPr="000A4651">
        <w:t>4 Nexus Court, Mulgrave,</w:t>
      </w:r>
    </w:p>
    <w:p w14:paraId="215C9406" w14:textId="77777777" w:rsidR="00A20060" w:rsidRPr="000A4651" w:rsidRDefault="00A20060" w:rsidP="00C300B1">
      <w:pPr>
        <w:spacing w:after="0"/>
      </w:pPr>
      <w:r w:rsidRPr="000A4651">
        <w:t>Victoria 3170, Australia.</w:t>
      </w:r>
    </w:p>
    <w:p w14:paraId="77A78032" w14:textId="77777777" w:rsidR="004E0E70" w:rsidRPr="000A4651" w:rsidRDefault="004E0E70" w:rsidP="00C300B1">
      <w:pPr>
        <w:spacing w:after="0"/>
      </w:pPr>
      <w:r w:rsidRPr="000A4651">
        <w:t>Toll free number: 1800 067 567</w:t>
      </w:r>
    </w:p>
    <w:p w14:paraId="6FEDEC15" w14:textId="77777777" w:rsidR="004E0E70" w:rsidRPr="000A4651" w:rsidRDefault="004E0E70" w:rsidP="00C300B1">
      <w:r w:rsidRPr="000A4651">
        <w:t xml:space="preserve">Email: </w:t>
      </w:r>
      <w:hyperlink r:id="rId16" w:history="1">
        <w:r w:rsidRPr="000A4651">
          <w:t>MedInfo.Australia@bms.com</w:t>
        </w:r>
      </w:hyperlink>
    </w:p>
    <w:p w14:paraId="6F849D4D" w14:textId="77777777" w:rsidR="001A3992" w:rsidRPr="000A4651" w:rsidRDefault="001A3992" w:rsidP="00C27979">
      <w:pPr>
        <w:pStyle w:val="Heading1"/>
      </w:pPr>
      <w:r w:rsidRPr="000A4651">
        <w:t>Date</w:t>
      </w:r>
      <w:r w:rsidR="007C4044" w:rsidRPr="000A4651">
        <w:t xml:space="preserve"> of first approval (ARTG entry)</w:t>
      </w:r>
    </w:p>
    <w:p w14:paraId="29C350CF" w14:textId="77777777" w:rsidR="00C52BF0" w:rsidRPr="00265791" w:rsidRDefault="00C52BF0" w:rsidP="00C52BF0">
      <w:r w:rsidRPr="00C52BF0">
        <w:rPr>
          <w:b/>
        </w:rPr>
        <w:t>20 mg, 50 mg, 70 mg</w:t>
      </w:r>
      <w:r w:rsidRPr="00265791">
        <w:t>: 15 January 2007</w:t>
      </w:r>
    </w:p>
    <w:p w14:paraId="44FFEA51" w14:textId="77777777" w:rsidR="00C52BF0" w:rsidRPr="00265791" w:rsidRDefault="00C52BF0" w:rsidP="00C52BF0">
      <w:r w:rsidRPr="00C52BF0">
        <w:rPr>
          <w:b/>
        </w:rPr>
        <w:t>100 mg:</w:t>
      </w:r>
      <w:r w:rsidRPr="00265791">
        <w:t xml:space="preserve"> 16 February 2010</w:t>
      </w:r>
    </w:p>
    <w:p w14:paraId="0DDC9C2C" w14:textId="77777777" w:rsidR="001A3992" w:rsidRPr="000A4651" w:rsidRDefault="001A3992" w:rsidP="00CB5929">
      <w:pPr>
        <w:pStyle w:val="Heading1"/>
      </w:pPr>
      <w:r w:rsidRPr="000A4651">
        <w:t>Date of revision of the text</w:t>
      </w:r>
    </w:p>
    <w:p w14:paraId="636007CB" w14:textId="580F8FB9" w:rsidR="007C4044" w:rsidRPr="0016522A" w:rsidRDefault="00824BBF" w:rsidP="007C4044">
      <w:r w:rsidRPr="0016522A">
        <w:t>7 March 2018</w:t>
      </w:r>
    </w:p>
    <w:p w14:paraId="0CE022B1" w14:textId="77777777" w:rsidR="001A3992" w:rsidRPr="000A4651" w:rsidRDefault="001A3992" w:rsidP="003144B2">
      <w:pPr>
        <w:pStyle w:val="Heading2"/>
        <w:numPr>
          <w:ilvl w:val="0"/>
          <w:numId w:val="0"/>
        </w:numPr>
        <w:rPr>
          <w:lang w:val="en-US"/>
        </w:rPr>
      </w:pPr>
      <w:r w:rsidRPr="000A4651">
        <w:rPr>
          <w:lang w:val="en-US"/>
        </w:rPr>
        <w:t>Summary table of changes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bottom w:w="57" w:type="dxa"/>
        </w:tblCellMar>
        <w:tblLook w:val="06A0" w:firstRow="1" w:lastRow="0" w:firstColumn="1" w:lastColumn="0" w:noHBand="1" w:noVBand="1"/>
      </w:tblPr>
      <w:tblGrid>
        <w:gridCol w:w="1970"/>
        <w:gridCol w:w="7020"/>
      </w:tblGrid>
      <w:tr w:rsidR="006D6025" w:rsidRPr="0099137E" w14:paraId="448804A5" w14:textId="77777777" w:rsidTr="006D6025">
        <w:tc>
          <w:tcPr>
            <w:tcW w:w="1970" w:type="dxa"/>
            <w:tcBorders>
              <w:top w:val="single" w:sz="8" w:space="0" w:color="000000"/>
              <w:left w:val="single" w:sz="8" w:space="0" w:color="000000"/>
              <w:bottom w:val="single" w:sz="18" w:space="0" w:color="000000"/>
              <w:right w:val="single" w:sz="8" w:space="0" w:color="000000"/>
            </w:tcBorders>
            <w:shd w:val="clear" w:color="auto" w:fill="F2F2F2"/>
            <w:vAlign w:val="center"/>
          </w:tcPr>
          <w:p w14:paraId="3CF81659" w14:textId="77777777" w:rsidR="006D6025" w:rsidRPr="0099137E" w:rsidRDefault="006D6025" w:rsidP="0099137E">
            <w:pPr>
              <w:spacing w:after="0"/>
              <w:rPr>
                <w:rFonts w:eastAsia="Times New Roman"/>
                <w:b/>
                <w:bCs/>
                <w:sz w:val="20"/>
                <w:lang w:val="en-US"/>
              </w:rPr>
            </w:pPr>
            <w:r w:rsidRPr="0099137E">
              <w:rPr>
                <w:rFonts w:eastAsia="Times New Roman"/>
                <w:b/>
                <w:bCs/>
                <w:sz w:val="20"/>
                <w:lang w:val="en-US"/>
              </w:rPr>
              <w:t>Section Changed</w:t>
            </w:r>
          </w:p>
        </w:tc>
        <w:tc>
          <w:tcPr>
            <w:tcW w:w="7020" w:type="dxa"/>
            <w:tcBorders>
              <w:top w:val="single" w:sz="8" w:space="0" w:color="000000"/>
              <w:left w:val="single" w:sz="8" w:space="0" w:color="000000"/>
              <w:bottom w:val="single" w:sz="18" w:space="0" w:color="000000"/>
              <w:right w:val="single" w:sz="8" w:space="0" w:color="000000"/>
            </w:tcBorders>
            <w:shd w:val="clear" w:color="auto" w:fill="F2F2F2"/>
            <w:vAlign w:val="center"/>
          </w:tcPr>
          <w:p w14:paraId="147E18BF" w14:textId="77777777" w:rsidR="006D6025" w:rsidRPr="0099137E" w:rsidRDefault="006D6025" w:rsidP="0099137E">
            <w:pPr>
              <w:spacing w:after="0"/>
              <w:rPr>
                <w:rFonts w:eastAsia="Times New Roman"/>
                <w:b/>
                <w:bCs/>
                <w:sz w:val="20"/>
                <w:lang w:val="en-US"/>
              </w:rPr>
            </w:pPr>
            <w:r w:rsidRPr="0099137E">
              <w:rPr>
                <w:rFonts w:eastAsia="Times New Roman"/>
                <w:b/>
                <w:bCs/>
                <w:sz w:val="20"/>
                <w:lang w:val="en-US"/>
              </w:rPr>
              <w:t>Summary of new information</w:t>
            </w:r>
          </w:p>
        </w:tc>
      </w:tr>
      <w:tr w:rsidR="00C049EC" w:rsidRPr="0099137E" w14:paraId="208FD6C2" w14:textId="77777777" w:rsidTr="006D6025">
        <w:tc>
          <w:tcPr>
            <w:tcW w:w="1970" w:type="dxa"/>
            <w:shd w:val="clear" w:color="auto" w:fill="auto"/>
            <w:vAlign w:val="center"/>
          </w:tcPr>
          <w:p w14:paraId="6C5D7A1D" w14:textId="492E9C27" w:rsidR="00C049EC" w:rsidRDefault="00C049EC" w:rsidP="0099137E">
            <w:pPr>
              <w:spacing w:after="0"/>
              <w:rPr>
                <w:rFonts w:eastAsia="Times New Roman"/>
                <w:b/>
                <w:bCs/>
                <w:lang w:val="en-US"/>
              </w:rPr>
            </w:pPr>
            <w:r>
              <w:rPr>
                <w:rFonts w:eastAsia="Times New Roman"/>
                <w:b/>
                <w:bCs/>
                <w:lang w:val="en-US"/>
              </w:rPr>
              <w:t>All</w:t>
            </w:r>
          </w:p>
        </w:tc>
        <w:tc>
          <w:tcPr>
            <w:tcW w:w="7020" w:type="dxa"/>
            <w:shd w:val="clear" w:color="auto" w:fill="auto"/>
            <w:vAlign w:val="center"/>
          </w:tcPr>
          <w:p w14:paraId="5922A138" w14:textId="7FF6BBDF" w:rsidR="00C049EC" w:rsidRDefault="00C049EC" w:rsidP="00C049EC">
            <w:pPr>
              <w:spacing w:after="0"/>
              <w:rPr>
                <w:lang w:val="en-US"/>
              </w:rPr>
            </w:pPr>
            <w:r>
              <w:rPr>
                <w:lang w:val="en-US"/>
              </w:rPr>
              <w:t>TGA Approved SPRYCEL PI V15.0 (28 Mar 2017) converted to new TGA format.</w:t>
            </w:r>
          </w:p>
        </w:tc>
      </w:tr>
      <w:tr w:rsidR="006D6025" w:rsidRPr="0099137E" w14:paraId="33BB1917" w14:textId="77777777" w:rsidTr="006D6025">
        <w:tc>
          <w:tcPr>
            <w:tcW w:w="1970" w:type="dxa"/>
            <w:shd w:val="clear" w:color="auto" w:fill="auto"/>
            <w:vAlign w:val="center"/>
          </w:tcPr>
          <w:p w14:paraId="3126FCB1" w14:textId="77BFC9BE" w:rsidR="006D6025" w:rsidRPr="0099137E" w:rsidRDefault="007C5FC3" w:rsidP="0099137E">
            <w:pPr>
              <w:spacing w:after="0"/>
              <w:rPr>
                <w:rFonts w:eastAsia="Times New Roman"/>
                <w:b/>
                <w:bCs/>
                <w:lang w:val="en-US"/>
              </w:rPr>
            </w:pPr>
            <w:r>
              <w:rPr>
                <w:rFonts w:eastAsia="Times New Roman"/>
                <w:b/>
                <w:bCs/>
                <w:lang w:val="en-US"/>
              </w:rPr>
              <w:t>Section 4.1</w:t>
            </w:r>
          </w:p>
        </w:tc>
        <w:tc>
          <w:tcPr>
            <w:tcW w:w="7020" w:type="dxa"/>
            <w:shd w:val="clear" w:color="auto" w:fill="auto"/>
            <w:vAlign w:val="center"/>
          </w:tcPr>
          <w:p w14:paraId="3FB8E878" w14:textId="30A6ACD4" w:rsidR="006D6025" w:rsidRPr="0099137E" w:rsidRDefault="007C5FC3" w:rsidP="0099137E">
            <w:pPr>
              <w:spacing w:after="0"/>
              <w:rPr>
                <w:lang w:val="en-US"/>
              </w:rPr>
            </w:pPr>
            <w:r>
              <w:rPr>
                <w:lang w:val="en-US"/>
              </w:rPr>
              <w:t>New indication for treatment of patients newly diagnosed with Ph</w:t>
            </w:r>
            <w:r w:rsidRPr="007C5FC3">
              <w:rPr>
                <w:vertAlign w:val="superscript"/>
                <w:lang w:val="en-US"/>
              </w:rPr>
              <w:t>+</w:t>
            </w:r>
            <w:r>
              <w:rPr>
                <w:lang w:val="en-US"/>
              </w:rPr>
              <w:t xml:space="preserve"> ALL</w:t>
            </w:r>
          </w:p>
        </w:tc>
      </w:tr>
      <w:tr w:rsidR="007C5FC3" w:rsidRPr="0099137E" w14:paraId="28973E7A" w14:textId="77777777" w:rsidTr="006D6025">
        <w:tc>
          <w:tcPr>
            <w:tcW w:w="1970" w:type="dxa"/>
            <w:shd w:val="clear" w:color="auto" w:fill="auto"/>
            <w:vAlign w:val="center"/>
          </w:tcPr>
          <w:p w14:paraId="6A0F2F91" w14:textId="5AF76D55" w:rsidR="007C5FC3" w:rsidRDefault="007C5FC3" w:rsidP="0099137E">
            <w:pPr>
              <w:spacing w:after="0"/>
              <w:rPr>
                <w:rFonts w:eastAsia="Times New Roman"/>
                <w:b/>
                <w:bCs/>
                <w:lang w:val="en-US"/>
              </w:rPr>
            </w:pPr>
            <w:r>
              <w:rPr>
                <w:rFonts w:eastAsia="Times New Roman"/>
                <w:b/>
                <w:bCs/>
                <w:lang w:val="en-US"/>
              </w:rPr>
              <w:lastRenderedPageBreak/>
              <w:t>Section 4.2</w:t>
            </w:r>
          </w:p>
        </w:tc>
        <w:tc>
          <w:tcPr>
            <w:tcW w:w="7020" w:type="dxa"/>
            <w:shd w:val="clear" w:color="auto" w:fill="auto"/>
            <w:vAlign w:val="center"/>
          </w:tcPr>
          <w:p w14:paraId="63A0BD9E" w14:textId="6464F7E0" w:rsidR="007C5FC3" w:rsidRDefault="007C5FC3" w:rsidP="0099137E">
            <w:pPr>
              <w:spacing w:after="0"/>
              <w:rPr>
                <w:lang w:val="en-US"/>
              </w:rPr>
            </w:pPr>
            <w:r>
              <w:rPr>
                <w:lang w:val="en-US"/>
              </w:rPr>
              <w:t>Dosage information for treatment of patients newly diagnosed with Ph</w:t>
            </w:r>
            <w:r w:rsidRPr="007C5FC3">
              <w:rPr>
                <w:vertAlign w:val="superscript"/>
                <w:lang w:val="en-US"/>
              </w:rPr>
              <w:t>+</w:t>
            </w:r>
            <w:r>
              <w:rPr>
                <w:lang w:val="en-US"/>
              </w:rPr>
              <w:t xml:space="preserve"> ALL </w:t>
            </w:r>
          </w:p>
        </w:tc>
      </w:tr>
      <w:tr w:rsidR="007C5FC3" w:rsidRPr="0099137E" w14:paraId="6AF9BD8F" w14:textId="77777777" w:rsidTr="006D6025">
        <w:tc>
          <w:tcPr>
            <w:tcW w:w="1970" w:type="dxa"/>
            <w:shd w:val="clear" w:color="auto" w:fill="auto"/>
            <w:vAlign w:val="center"/>
          </w:tcPr>
          <w:p w14:paraId="009E5B51" w14:textId="2B149FD9" w:rsidR="007C5FC3" w:rsidRDefault="007C5FC3" w:rsidP="0099137E">
            <w:pPr>
              <w:spacing w:after="0"/>
              <w:rPr>
                <w:rFonts w:eastAsia="Times New Roman"/>
                <w:b/>
                <w:bCs/>
                <w:lang w:val="en-US"/>
              </w:rPr>
            </w:pPr>
            <w:r>
              <w:rPr>
                <w:rFonts w:eastAsia="Times New Roman"/>
                <w:b/>
                <w:bCs/>
                <w:lang w:val="en-US"/>
              </w:rPr>
              <w:t>Section 4.5</w:t>
            </w:r>
          </w:p>
        </w:tc>
        <w:tc>
          <w:tcPr>
            <w:tcW w:w="7020" w:type="dxa"/>
            <w:shd w:val="clear" w:color="auto" w:fill="auto"/>
            <w:vAlign w:val="center"/>
          </w:tcPr>
          <w:p w14:paraId="5621D51E" w14:textId="3FC99657" w:rsidR="007C5FC3" w:rsidRDefault="007C5FC3" w:rsidP="0099137E">
            <w:pPr>
              <w:spacing w:after="0"/>
              <w:rPr>
                <w:lang w:val="en-US"/>
              </w:rPr>
            </w:pPr>
            <w:r>
              <w:rPr>
                <w:lang w:val="en-US"/>
              </w:rPr>
              <w:t>Statement on interactions between dasatinib and chemotherapy agents</w:t>
            </w:r>
          </w:p>
        </w:tc>
      </w:tr>
      <w:tr w:rsidR="007C5FC3" w:rsidRPr="0099137E" w14:paraId="3F065B02" w14:textId="77777777" w:rsidTr="006D6025">
        <w:tc>
          <w:tcPr>
            <w:tcW w:w="1970" w:type="dxa"/>
            <w:shd w:val="clear" w:color="auto" w:fill="auto"/>
            <w:vAlign w:val="center"/>
          </w:tcPr>
          <w:p w14:paraId="2BBE4480" w14:textId="5E8C3568" w:rsidR="007C5FC3" w:rsidRPr="0099137E" w:rsidRDefault="007C5FC3" w:rsidP="007C5FC3">
            <w:pPr>
              <w:spacing w:after="0"/>
              <w:rPr>
                <w:rFonts w:eastAsia="Times New Roman"/>
                <w:b/>
                <w:bCs/>
                <w:lang w:val="en-US"/>
              </w:rPr>
            </w:pPr>
            <w:r>
              <w:rPr>
                <w:rFonts w:eastAsia="Times New Roman"/>
                <w:b/>
                <w:bCs/>
                <w:lang w:val="en-US"/>
              </w:rPr>
              <w:t>Section 4.8</w:t>
            </w:r>
          </w:p>
        </w:tc>
        <w:tc>
          <w:tcPr>
            <w:tcW w:w="7020" w:type="dxa"/>
            <w:shd w:val="clear" w:color="auto" w:fill="auto"/>
            <w:vAlign w:val="center"/>
          </w:tcPr>
          <w:p w14:paraId="3D569E5E" w14:textId="43E9B710" w:rsidR="007C5FC3" w:rsidRPr="0099137E" w:rsidRDefault="007C5FC3" w:rsidP="007C5FC3">
            <w:pPr>
              <w:spacing w:after="0"/>
              <w:rPr>
                <w:lang w:val="en-US"/>
              </w:rPr>
            </w:pPr>
            <w:r>
              <w:rPr>
                <w:lang w:val="en-US"/>
              </w:rPr>
              <w:t>Statement on safety in patients newly diagnosed with Ph</w:t>
            </w:r>
            <w:r w:rsidRPr="007C5FC3">
              <w:rPr>
                <w:vertAlign w:val="superscript"/>
                <w:lang w:val="en-US"/>
              </w:rPr>
              <w:t>+</w:t>
            </w:r>
            <w:r>
              <w:rPr>
                <w:lang w:val="en-US"/>
              </w:rPr>
              <w:t xml:space="preserve"> ALL</w:t>
            </w:r>
          </w:p>
        </w:tc>
      </w:tr>
      <w:tr w:rsidR="007C5FC3" w:rsidRPr="0099137E" w14:paraId="1CFA8F21" w14:textId="77777777" w:rsidTr="006D6025">
        <w:tc>
          <w:tcPr>
            <w:tcW w:w="1970" w:type="dxa"/>
            <w:shd w:val="clear" w:color="auto" w:fill="auto"/>
            <w:vAlign w:val="center"/>
          </w:tcPr>
          <w:p w14:paraId="71DE33EA" w14:textId="7820CA4F" w:rsidR="007C5FC3" w:rsidRPr="0099137E" w:rsidRDefault="007C5FC3" w:rsidP="007C5FC3">
            <w:pPr>
              <w:spacing w:after="0"/>
              <w:rPr>
                <w:rFonts w:eastAsia="Times New Roman"/>
                <w:b/>
                <w:bCs/>
                <w:lang w:val="en-US"/>
              </w:rPr>
            </w:pPr>
            <w:r>
              <w:rPr>
                <w:rFonts w:eastAsia="Times New Roman"/>
                <w:b/>
                <w:bCs/>
                <w:lang w:val="en-US"/>
              </w:rPr>
              <w:t>Section 5.1</w:t>
            </w:r>
          </w:p>
        </w:tc>
        <w:tc>
          <w:tcPr>
            <w:tcW w:w="7020" w:type="dxa"/>
            <w:shd w:val="clear" w:color="auto" w:fill="auto"/>
            <w:vAlign w:val="center"/>
          </w:tcPr>
          <w:p w14:paraId="747A9031" w14:textId="1CFE2F50" w:rsidR="007C5FC3" w:rsidRPr="0099137E" w:rsidRDefault="007C5FC3" w:rsidP="007C5FC3">
            <w:pPr>
              <w:spacing w:after="0"/>
              <w:rPr>
                <w:lang w:val="en-US"/>
              </w:rPr>
            </w:pPr>
            <w:r>
              <w:rPr>
                <w:lang w:val="en-US"/>
              </w:rPr>
              <w:t>Clinical trial information in Newly diagnosed Ph</w:t>
            </w:r>
            <w:r w:rsidRPr="007C5FC3">
              <w:rPr>
                <w:vertAlign w:val="superscript"/>
                <w:lang w:val="en-US"/>
              </w:rPr>
              <w:t>+</w:t>
            </w:r>
            <w:r>
              <w:rPr>
                <w:lang w:val="en-US"/>
              </w:rPr>
              <w:t xml:space="preserve"> ALL </w:t>
            </w:r>
          </w:p>
        </w:tc>
      </w:tr>
    </w:tbl>
    <w:p w14:paraId="5351AB0C" w14:textId="5E22900A" w:rsidR="00960CD5" w:rsidRPr="000A4651" w:rsidRDefault="00DF46D9" w:rsidP="00C300B1">
      <w:pPr>
        <w:spacing w:before="240" w:after="120"/>
      </w:pPr>
      <w:r>
        <w:rPr>
          <w:lang w:val="en-US"/>
        </w:rPr>
        <w:t>SPRYCEL</w:t>
      </w:r>
      <w:r w:rsidR="004704A9" w:rsidRPr="000A4651">
        <w:rPr>
          <w:vertAlign w:val="superscript"/>
          <w:lang w:val="en-US"/>
        </w:rPr>
        <w:t>®</w:t>
      </w:r>
      <w:r w:rsidR="004704A9" w:rsidRPr="000A4651">
        <w:rPr>
          <w:lang w:val="en-US"/>
        </w:rPr>
        <w:t xml:space="preserve"> is a registered trademarks of Bristol-Myers Squibb</w:t>
      </w:r>
      <w:r w:rsidR="004D18C7" w:rsidRPr="000A4651">
        <w:rPr>
          <w:lang w:val="en-US"/>
        </w:rPr>
        <w:t xml:space="preserve"> Company</w:t>
      </w:r>
      <w:r w:rsidR="00CB5929" w:rsidRPr="000A4651">
        <w:rPr>
          <w:lang w:val="en-US"/>
        </w:rPr>
        <w:t>.</w:t>
      </w:r>
    </w:p>
    <w:sectPr w:rsidR="00960CD5" w:rsidRPr="000A4651" w:rsidSect="0051298D">
      <w:headerReference w:type="even" r:id="rId17"/>
      <w:headerReference w:type="default" r:id="rId18"/>
      <w:footerReference w:type="even" r:id="rId19"/>
      <w:footerReference w:type="default" r:id="rId20"/>
      <w:headerReference w:type="first" r:id="rId21"/>
      <w:footerReference w:type="first" r:id="rId22"/>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46827" w14:textId="77777777" w:rsidR="0005200E" w:rsidRDefault="0005200E" w:rsidP="001A3992">
      <w:pPr>
        <w:spacing w:after="0"/>
      </w:pPr>
      <w:r>
        <w:separator/>
      </w:r>
    </w:p>
  </w:endnote>
  <w:endnote w:type="continuationSeparator" w:id="0">
    <w:p w14:paraId="3A77F923" w14:textId="77777777" w:rsidR="0005200E" w:rsidRDefault="0005200E" w:rsidP="001A39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00000287" w:usb1="69D77CFB" w:usb2="00000030" w:usb3="00000000" w:csb0="0008009F" w:csb1="00000000"/>
  </w:font>
  <w:font w:name="TimesNewRoman">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4243" w14:textId="77777777" w:rsidR="00600061" w:rsidRDefault="00600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9BB64" w14:textId="129CA7A5" w:rsidR="00CB6CB4" w:rsidRPr="003109D8" w:rsidRDefault="00CB6CB4" w:rsidP="003109D8">
    <w:pPr>
      <w:pStyle w:val="Footer"/>
      <w:tabs>
        <w:tab w:val="clear" w:pos="4513"/>
      </w:tabs>
      <w:rPr>
        <w:rFonts w:ascii="Times New Roman" w:hAnsi="Times New Roman"/>
        <w:sz w:val="20"/>
      </w:rPr>
    </w:pPr>
    <w:r w:rsidRPr="003109D8">
      <w:rPr>
        <w:rFonts w:ascii="Times New Roman" w:hAnsi="Times New Roman"/>
        <w:sz w:val="20"/>
        <w:szCs w:val="20"/>
      </w:rPr>
      <w:t>AU_PI_</w:t>
    </w:r>
    <w:r>
      <w:rPr>
        <w:rFonts w:ascii="Times New Roman" w:hAnsi="Times New Roman"/>
        <w:sz w:val="20"/>
        <w:szCs w:val="20"/>
      </w:rPr>
      <w:t>SPRYCEL</w:t>
    </w:r>
    <w:r w:rsidRPr="001F57B8">
      <w:rPr>
        <w:rFonts w:ascii="Times New Roman" w:hAnsi="Times New Roman"/>
        <w:sz w:val="20"/>
        <w:szCs w:val="20"/>
      </w:rPr>
      <w:t>_V</w:t>
    </w:r>
    <w:r w:rsidR="00824BBF">
      <w:rPr>
        <w:rFonts w:ascii="Times New Roman" w:hAnsi="Times New Roman"/>
        <w:sz w:val="20"/>
        <w:szCs w:val="20"/>
      </w:rPr>
      <w:t>16.0</w:t>
    </w:r>
    <w:r>
      <w:rPr>
        <w:rFonts w:ascii="Times New Roman" w:hAnsi="Times New Roman"/>
        <w:sz w:val="20"/>
        <w:szCs w:val="20"/>
      </w:rPr>
      <w:tab/>
    </w:r>
    <w:r w:rsidRPr="003109D8">
      <w:rPr>
        <w:rFonts w:ascii="Times New Roman" w:hAnsi="Times New Roman"/>
        <w:sz w:val="20"/>
      </w:rPr>
      <w:fldChar w:fldCharType="begin"/>
    </w:r>
    <w:r w:rsidRPr="003109D8">
      <w:rPr>
        <w:rFonts w:ascii="Times New Roman" w:hAnsi="Times New Roman"/>
        <w:sz w:val="20"/>
      </w:rPr>
      <w:instrText xml:space="preserve"> PAGE   \* MERGEFORMAT </w:instrText>
    </w:r>
    <w:r w:rsidRPr="003109D8">
      <w:rPr>
        <w:rFonts w:ascii="Times New Roman" w:hAnsi="Times New Roman"/>
        <w:sz w:val="20"/>
      </w:rPr>
      <w:fldChar w:fldCharType="separate"/>
    </w:r>
    <w:r w:rsidR="00AA1746">
      <w:rPr>
        <w:rFonts w:ascii="Times New Roman" w:hAnsi="Times New Roman"/>
        <w:noProof/>
        <w:sz w:val="20"/>
      </w:rPr>
      <w:t>1</w:t>
    </w:r>
    <w:r w:rsidRPr="003109D8">
      <w:rPr>
        <w:rFonts w:ascii="Times New Roman" w:hAnsi="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A246" w14:textId="77777777" w:rsidR="00600061" w:rsidRDefault="00600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CBB95" w14:textId="77777777" w:rsidR="0005200E" w:rsidRDefault="0005200E" w:rsidP="001A3992">
      <w:pPr>
        <w:spacing w:after="0"/>
      </w:pPr>
      <w:r>
        <w:separator/>
      </w:r>
    </w:p>
  </w:footnote>
  <w:footnote w:type="continuationSeparator" w:id="0">
    <w:p w14:paraId="6941AEA8" w14:textId="77777777" w:rsidR="0005200E" w:rsidRDefault="0005200E" w:rsidP="001A39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8F064" w14:textId="77777777" w:rsidR="00600061" w:rsidRDefault="00600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600061" w:rsidRPr="002E7F61" w14:paraId="1D7AAF21" w14:textId="77777777" w:rsidTr="00F16A6D">
      <w:trPr>
        <w:trHeight w:val="590"/>
      </w:trPr>
      <w:tc>
        <w:tcPr>
          <w:tcW w:w="8720" w:type="dxa"/>
          <w:shd w:val="clear" w:color="auto" w:fill="E4F2E0"/>
        </w:tcPr>
        <w:p w14:paraId="457B1252" w14:textId="55D5694D" w:rsidR="00600061" w:rsidRPr="002E7F61" w:rsidRDefault="00600061" w:rsidP="00CD142A">
          <w:pPr>
            <w:pStyle w:val="Footer"/>
            <w:rPr>
              <w:b/>
              <w:sz w:val="18"/>
              <w:szCs w:val="18"/>
            </w:rPr>
          </w:pPr>
          <w:r w:rsidRPr="002E7F61">
            <w:rPr>
              <w:b/>
              <w:sz w:val="18"/>
              <w:szCs w:val="18"/>
            </w:rPr>
            <w:t xml:space="preserve">Attachment 1: Product information </w:t>
          </w:r>
          <w:r w:rsidR="00CD142A" w:rsidRPr="00CD142A">
            <w:rPr>
              <w:b/>
              <w:sz w:val="18"/>
              <w:szCs w:val="18"/>
            </w:rPr>
            <w:t>AusPAR - SPRYCEL - Dasatinib - Bristol-Myers Squibb Australia Pty Ltd - PM-2016-04274-1-4 FINAL 23 January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069E60F3" w14:textId="77777777" w:rsidR="00600061" w:rsidRDefault="00600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FEF77" w14:textId="77777777" w:rsidR="00600061" w:rsidRDefault="00600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F02"/>
    <w:multiLevelType w:val="hybridMultilevel"/>
    <w:tmpl w:val="7D48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3676A"/>
    <w:multiLevelType w:val="hybridMultilevel"/>
    <w:tmpl w:val="513009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3F1EE4"/>
    <w:multiLevelType w:val="hybridMultilevel"/>
    <w:tmpl w:val="80301114"/>
    <w:lvl w:ilvl="0" w:tplc="E7C630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D16974"/>
    <w:multiLevelType w:val="hybridMultilevel"/>
    <w:tmpl w:val="79B8012C"/>
    <w:lvl w:ilvl="0" w:tplc="FF9EE75E">
      <w:start w:val="1"/>
      <w:numFmt w:val="decimal"/>
      <w:lvlText w:val="%1."/>
      <w:lvlJc w:val="left"/>
      <w:pPr>
        <w:tabs>
          <w:tab w:val="num" w:pos="397"/>
        </w:tabs>
        <w:ind w:left="227" w:hanging="22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956856"/>
    <w:multiLevelType w:val="hybridMultilevel"/>
    <w:tmpl w:val="D96A6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1E017A"/>
    <w:multiLevelType w:val="hybridMultilevel"/>
    <w:tmpl w:val="A1D4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725A5"/>
    <w:multiLevelType w:val="hybridMultilevel"/>
    <w:tmpl w:val="8474F3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0D71F2"/>
    <w:multiLevelType w:val="hybridMultilevel"/>
    <w:tmpl w:val="F03E3E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F3744EF"/>
    <w:multiLevelType w:val="hybridMultilevel"/>
    <w:tmpl w:val="562C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45350"/>
    <w:multiLevelType w:val="hybridMultilevel"/>
    <w:tmpl w:val="E306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22408"/>
    <w:multiLevelType w:val="hybridMultilevel"/>
    <w:tmpl w:val="18B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0085B"/>
    <w:multiLevelType w:val="hybridMultilevel"/>
    <w:tmpl w:val="7C6A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67A03"/>
    <w:multiLevelType w:val="hybridMultilevel"/>
    <w:tmpl w:val="003C7A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175BD2"/>
    <w:multiLevelType w:val="hybridMultilevel"/>
    <w:tmpl w:val="EC38B464"/>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7" w15:restartNumberingAfterBreak="0">
    <w:nsid w:val="27203307"/>
    <w:multiLevelType w:val="multilevel"/>
    <w:tmpl w:val="1204A614"/>
    <w:lvl w:ilvl="0">
      <w:start w:val="1"/>
      <w:numFmt w:val="decimal"/>
      <w:pStyle w:val="BMSHeading1"/>
      <w:lvlText w:val="%1"/>
      <w:lvlJc w:val="left"/>
      <w:pPr>
        <w:tabs>
          <w:tab w:val="num" w:pos="432"/>
        </w:tabs>
        <w:ind w:left="432" w:hanging="432"/>
      </w:pPr>
    </w:lvl>
    <w:lvl w:ilvl="1">
      <w:start w:val="1"/>
      <w:numFmt w:val="decimal"/>
      <w:pStyle w:val="BMSHeading2"/>
      <w:lvlText w:val="%1.%2"/>
      <w:lvlJc w:val="left"/>
      <w:pPr>
        <w:tabs>
          <w:tab w:val="num" w:pos="576"/>
        </w:tabs>
        <w:ind w:left="576" w:hanging="576"/>
      </w:pPr>
    </w:lvl>
    <w:lvl w:ilvl="2">
      <w:start w:val="1"/>
      <w:numFmt w:val="decimal"/>
      <w:pStyle w:val="BMSHeading3"/>
      <w:lvlText w:val="%1.%2.%3"/>
      <w:lvlJc w:val="left"/>
      <w:pPr>
        <w:tabs>
          <w:tab w:val="num" w:pos="720"/>
        </w:tabs>
        <w:ind w:left="720" w:hanging="720"/>
      </w:pPr>
    </w:lvl>
    <w:lvl w:ilvl="3">
      <w:start w:val="1"/>
      <w:numFmt w:val="decimal"/>
      <w:pStyle w:val="BMS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B10389A"/>
    <w:multiLevelType w:val="hybridMultilevel"/>
    <w:tmpl w:val="7A047DF4"/>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9" w15:restartNumberingAfterBreak="0">
    <w:nsid w:val="2CB13908"/>
    <w:multiLevelType w:val="hybridMultilevel"/>
    <w:tmpl w:val="35EAA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50DFA"/>
    <w:multiLevelType w:val="hybridMultilevel"/>
    <w:tmpl w:val="A7DA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21BC7"/>
    <w:multiLevelType w:val="multilevel"/>
    <w:tmpl w:val="B9AC961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53E158B"/>
    <w:multiLevelType w:val="hybridMultilevel"/>
    <w:tmpl w:val="47A61F22"/>
    <w:lvl w:ilvl="0" w:tplc="FF9EE75E">
      <w:start w:val="1"/>
      <w:numFmt w:val="decimal"/>
      <w:lvlText w:val="%1."/>
      <w:lvlJc w:val="left"/>
      <w:pPr>
        <w:tabs>
          <w:tab w:val="num" w:pos="397"/>
        </w:tabs>
        <w:ind w:left="227" w:hanging="22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A707673"/>
    <w:multiLevelType w:val="hybridMultilevel"/>
    <w:tmpl w:val="B9AC9612"/>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5F55404"/>
    <w:multiLevelType w:val="hybridMultilevel"/>
    <w:tmpl w:val="C1988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AF6C4D"/>
    <w:multiLevelType w:val="hybridMultilevel"/>
    <w:tmpl w:val="03AE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760F74"/>
    <w:multiLevelType w:val="hybridMultilevel"/>
    <w:tmpl w:val="F6E2D5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C7661F"/>
    <w:multiLevelType w:val="hybridMultilevel"/>
    <w:tmpl w:val="22B4C2BC"/>
    <w:lvl w:ilvl="0" w:tplc="AF12DDAE">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332797"/>
    <w:multiLevelType w:val="multilevel"/>
    <w:tmpl w:val="F902728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6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AA3CBD"/>
    <w:multiLevelType w:val="hybridMultilevel"/>
    <w:tmpl w:val="ABFA250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1"/>
  </w:num>
  <w:num w:numId="4">
    <w:abstractNumId w:val="25"/>
  </w:num>
  <w:num w:numId="5">
    <w:abstractNumId w:val="35"/>
  </w:num>
  <w:num w:numId="6">
    <w:abstractNumId w:val="32"/>
  </w:num>
  <w:num w:numId="7">
    <w:abstractNumId w:val="28"/>
  </w:num>
  <w:num w:numId="8">
    <w:abstractNumId w:val="34"/>
  </w:num>
  <w:num w:numId="9">
    <w:abstractNumId w:val="15"/>
  </w:num>
  <w:num w:numId="10">
    <w:abstractNumId w:val="27"/>
  </w:num>
  <w:num w:numId="11">
    <w:abstractNumId w:val="31"/>
  </w:num>
  <w:num w:numId="12">
    <w:abstractNumId w:val="31"/>
  </w:num>
  <w:num w:numId="13">
    <w:abstractNumId w:val="31"/>
  </w:num>
  <w:num w:numId="14">
    <w:abstractNumId w:val="31"/>
  </w:num>
  <w:num w:numId="15">
    <w:abstractNumId w:val="31"/>
  </w:num>
  <w:num w:numId="16">
    <w:abstractNumId w:val="31"/>
  </w:num>
  <w:num w:numId="17">
    <w:abstractNumId w:val="31"/>
  </w:num>
  <w:num w:numId="18">
    <w:abstractNumId w:val="13"/>
  </w:num>
  <w:num w:numId="19">
    <w:abstractNumId w:val="19"/>
  </w:num>
  <w:num w:numId="20">
    <w:abstractNumId w:val="26"/>
  </w:num>
  <w:num w:numId="21">
    <w:abstractNumId w:val="12"/>
  </w:num>
  <w:num w:numId="22">
    <w:abstractNumId w:val="30"/>
  </w:num>
  <w:num w:numId="23">
    <w:abstractNumId w:val="11"/>
  </w:num>
  <w:num w:numId="24">
    <w:abstractNumId w:val="7"/>
  </w:num>
  <w:num w:numId="25">
    <w:abstractNumId w:val="24"/>
  </w:num>
  <w:num w:numId="26">
    <w:abstractNumId w:val="0"/>
  </w:num>
  <w:num w:numId="27">
    <w:abstractNumId w:val="3"/>
  </w:num>
  <w:num w:numId="28">
    <w:abstractNumId w:val="10"/>
  </w:num>
  <w:num w:numId="29">
    <w:abstractNumId w:val="20"/>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2"/>
  </w:num>
  <w:num w:numId="33">
    <w:abstractNumId w:val="33"/>
  </w:num>
  <w:num w:numId="34">
    <w:abstractNumId w:val="18"/>
  </w:num>
  <w:num w:numId="35">
    <w:abstractNumId w:val="23"/>
  </w:num>
  <w:num w:numId="36">
    <w:abstractNumId w:val="2"/>
  </w:num>
  <w:num w:numId="37">
    <w:abstractNumId w:val="21"/>
  </w:num>
  <w:num w:numId="38">
    <w:abstractNumId w:val="17"/>
  </w:num>
  <w:num w:numId="39">
    <w:abstractNumId w:val="16"/>
  </w:num>
  <w:num w:numId="40">
    <w:abstractNumId w:val="6"/>
  </w:num>
  <w:num w:numId="41">
    <w:abstractNumId w:val="8"/>
  </w:num>
  <w:num w:numId="42">
    <w:abstractNumId w:val="29"/>
  </w:num>
  <w:num w:numId="43">
    <w:abstractNumId w:val="9"/>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D9D"/>
    <w:rsid w:val="0004690D"/>
    <w:rsid w:val="0005200E"/>
    <w:rsid w:val="0007651D"/>
    <w:rsid w:val="00076EA2"/>
    <w:rsid w:val="000A2AF6"/>
    <w:rsid w:val="000A4651"/>
    <w:rsid w:val="000C3901"/>
    <w:rsid w:val="000F03E1"/>
    <w:rsid w:val="00116987"/>
    <w:rsid w:val="00132D63"/>
    <w:rsid w:val="001338C2"/>
    <w:rsid w:val="001364AF"/>
    <w:rsid w:val="0016522A"/>
    <w:rsid w:val="00167658"/>
    <w:rsid w:val="0017277E"/>
    <w:rsid w:val="001829B1"/>
    <w:rsid w:val="0019544E"/>
    <w:rsid w:val="001A2060"/>
    <w:rsid w:val="001A3992"/>
    <w:rsid w:val="001A5A2A"/>
    <w:rsid w:val="001D12E7"/>
    <w:rsid w:val="001D5C14"/>
    <w:rsid w:val="001F5764"/>
    <w:rsid w:val="001F57B8"/>
    <w:rsid w:val="0020264B"/>
    <w:rsid w:val="00207448"/>
    <w:rsid w:val="0022005D"/>
    <w:rsid w:val="00221EC1"/>
    <w:rsid w:val="00225F71"/>
    <w:rsid w:val="00233FC3"/>
    <w:rsid w:val="002458D3"/>
    <w:rsid w:val="00257C8F"/>
    <w:rsid w:val="00260EDC"/>
    <w:rsid w:val="00263479"/>
    <w:rsid w:val="00275FEB"/>
    <w:rsid w:val="002A0B9A"/>
    <w:rsid w:val="002B0D52"/>
    <w:rsid w:val="002E277D"/>
    <w:rsid w:val="002F0AAB"/>
    <w:rsid w:val="002F0C39"/>
    <w:rsid w:val="002F58AC"/>
    <w:rsid w:val="002F6422"/>
    <w:rsid w:val="0030249B"/>
    <w:rsid w:val="00302BC9"/>
    <w:rsid w:val="00303143"/>
    <w:rsid w:val="003109D8"/>
    <w:rsid w:val="00313A4A"/>
    <w:rsid w:val="003144B2"/>
    <w:rsid w:val="00341A90"/>
    <w:rsid w:val="00355E86"/>
    <w:rsid w:val="00394724"/>
    <w:rsid w:val="00396C59"/>
    <w:rsid w:val="003A77EC"/>
    <w:rsid w:val="003B14A8"/>
    <w:rsid w:val="003C5E1F"/>
    <w:rsid w:val="003C741E"/>
    <w:rsid w:val="003D202A"/>
    <w:rsid w:val="003E2DA1"/>
    <w:rsid w:val="004032BD"/>
    <w:rsid w:val="00413966"/>
    <w:rsid w:val="00414873"/>
    <w:rsid w:val="00421FA2"/>
    <w:rsid w:val="00431ACD"/>
    <w:rsid w:val="004704A9"/>
    <w:rsid w:val="004738D2"/>
    <w:rsid w:val="004901FA"/>
    <w:rsid w:val="004B4E23"/>
    <w:rsid w:val="004C5DBE"/>
    <w:rsid w:val="004D18C7"/>
    <w:rsid w:val="004D23BE"/>
    <w:rsid w:val="004E0E70"/>
    <w:rsid w:val="004F767B"/>
    <w:rsid w:val="005001F3"/>
    <w:rsid w:val="00510F98"/>
    <w:rsid w:val="0051298D"/>
    <w:rsid w:val="00512BA0"/>
    <w:rsid w:val="005132B3"/>
    <w:rsid w:val="00516BE7"/>
    <w:rsid w:val="00544A7F"/>
    <w:rsid w:val="00546BFC"/>
    <w:rsid w:val="00561E2A"/>
    <w:rsid w:val="00570F78"/>
    <w:rsid w:val="005A7542"/>
    <w:rsid w:val="005E1D9D"/>
    <w:rsid w:val="00600061"/>
    <w:rsid w:val="006172C9"/>
    <w:rsid w:val="00644643"/>
    <w:rsid w:val="00656A56"/>
    <w:rsid w:val="00666714"/>
    <w:rsid w:val="00670FE9"/>
    <w:rsid w:val="00673D9D"/>
    <w:rsid w:val="006821AA"/>
    <w:rsid w:val="006C1205"/>
    <w:rsid w:val="006D6025"/>
    <w:rsid w:val="006D6962"/>
    <w:rsid w:val="007232B9"/>
    <w:rsid w:val="007326B7"/>
    <w:rsid w:val="00793041"/>
    <w:rsid w:val="007A0D60"/>
    <w:rsid w:val="007C1EDB"/>
    <w:rsid w:val="007C4044"/>
    <w:rsid w:val="007C5FC3"/>
    <w:rsid w:val="007D33DA"/>
    <w:rsid w:val="008005A9"/>
    <w:rsid w:val="008214B2"/>
    <w:rsid w:val="00824BBF"/>
    <w:rsid w:val="0083132C"/>
    <w:rsid w:val="00833BB2"/>
    <w:rsid w:val="008341C4"/>
    <w:rsid w:val="00861104"/>
    <w:rsid w:val="00872F2A"/>
    <w:rsid w:val="008C0546"/>
    <w:rsid w:val="008C724E"/>
    <w:rsid w:val="008F18EC"/>
    <w:rsid w:val="008F61FE"/>
    <w:rsid w:val="00937764"/>
    <w:rsid w:val="00943A8A"/>
    <w:rsid w:val="00960CD5"/>
    <w:rsid w:val="0099137E"/>
    <w:rsid w:val="009A3745"/>
    <w:rsid w:val="009B59BA"/>
    <w:rsid w:val="009D5058"/>
    <w:rsid w:val="00A04894"/>
    <w:rsid w:val="00A20060"/>
    <w:rsid w:val="00A66ED8"/>
    <w:rsid w:val="00AA1746"/>
    <w:rsid w:val="00AA595B"/>
    <w:rsid w:val="00AB3445"/>
    <w:rsid w:val="00AB3B14"/>
    <w:rsid w:val="00AB4FA8"/>
    <w:rsid w:val="00AB5D6F"/>
    <w:rsid w:val="00AB63DF"/>
    <w:rsid w:val="00AB778A"/>
    <w:rsid w:val="00AD383D"/>
    <w:rsid w:val="00AE1CFD"/>
    <w:rsid w:val="00B07278"/>
    <w:rsid w:val="00B3545F"/>
    <w:rsid w:val="00B57C92"/>
    <w:rsid w:val="00B76AC9"/>
    <w:rsid w:val="00B830E2"/>
    <w:rsid w:val="00BB7A80"/>
    <w:rsid w:val="00BD6F06"/>
    <w:rsid w:val="00BE355A"/>
    <w:rsid w:val="00C046F7"/>
    <w:rsid w:val="00C049EC"/>
    <w:rsid w:val="00C079EB"/>
    <w:rsid w:val="00C13A8C"/>
    <w:rsid w:val="00C15DA2"/>
    <w:rsid w:val="00C22181"/>
    <w:rsid w:val="00C276B1"/>
    <w:rsid w:val="00C27979"/>
    <w:rsid w:val="00C300B1"/>
    <w:rsid w:val="00C52BF0"/>
    <w:rsid w:val="00C62D3A"/>
    <w:rsid w:val="00C63B07"/>
    <w:rsid w:val="00C65823"/>
    <w:rsid w:val="00C80E17"/>
    <w:rsid w:val="00C84D8B"/>
    <w:rsid w:val="00CA6CCF"/>
    <w:rsid w:val="00CB5929"/>
    <w:rsid w:val="00CB6CB4"/>
    <w:rsid w:val="00CC3F40"/>
    <w:rsid w:val="00CC4044"/>
    <w:rsid w:val="00CC55B8"/>
    <w:rsid w:val="00CD142A"/>
    <w:rsid w:val="00CD6878"/>
    <w:rsid w:val="00CE483A"/>
    <w:rsid w:val="00CE511A"/>
    <w:rsid w:val="00CF3B37"/>
    <w:rsid w:val="00D62371"/>
    <w:rsid w:val="00D81F3A"/>
    <w:rsid w:val="00DA0B89"/>
    <w:rsid w:val="00DA5DA4"/>
    <w:rsid w:val="00DA663A"/>
    <w:rsid w:val="00DE587B"/>
    <w:rsid w:val="00DF46D9"/>
    <w:rsid w:val="00E0128D"/>
    <w:rsid w:val="00E04975"/>
    <w:rsid w:val="00E36456"/>
    <w:rsid w:val="00E376B1"/>
    <w:rsid w:val="00E4395C"/>
    <w:rsid w:val="00E54056"/>
    <w:rsid w:val="00E61227"/>
    <w:rsid w:val="00E74A56"/>
    <w:rsid w:val="00EA48C0"/>
    <w:rsid w:val="00EA53CB"/>
    <w:rsid w:val="00EB6EF9"/>
    <w:rsid w:val="00EB7822"/>
    <w:rsid w:val="00ED3DDD"/>
    <w:rsid w:val="00EE3059"/>
    <w:rsid w:val="00F01F58"/>
    <w:rsid w:val="00F16D0E"/>
    <w:rsid w:val="00F409BA"/>
    <w:rsid w:val="00F4383A"/>
    <w:rsid w:val="00F6279E"/>
    <w:rsid w:val="00F64091"/>
    <w:rsid w:val="00F708A1"/>
    <w:rsid w:val="00F75E7E"/>
    <w:rsid w:val="00FB27DB"/>
    <w:rsid w:val="00FC6F09"/>
    <w:rsid w:val="00FF5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A9AE33"/>
  <w15:docId w15:val="{3C8B37F5-ACAB-4B39-9CB5-95F9EBB2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0B1"/>
    <w:pPr>
      <w:spacing w:after="200"/>
      <w:jc w:val="both"/>
    </w:pPr>
    <w:rPr>
      <w:rFonts w:ascii="Times New Roman" w:hAnsi="Times New Roman"/>
      <w:sz w:val="22"/>
      <w:szCs w:val="22"/>
      <w:lang w:val="en-AU"/>
    </w:rPr>
  </w:style>
  <w:style w:type="paragraph" w:styleId="Heading1">
    <w:name w:val="heading 1"/>
    <w:basedOn w:val="Normal"/>
    <w:next w:val="Normal"/>
    <w:link w:val="Heading1Char"/>
    <w:autoRedefine/>
    <w:uiPriority w:val="9"/>
    <w:qFormat/>
    <w:rsid w:val="00E376B1"/>
    <w:pPr>
      <w:keepNext/>
      <w:keepLines/>
      <w:numPr>
        <w:numId w:val="1"/>
      </w:numPr>
      <w:spacing w:before="200" w:after="120"/>
      <w:outlineLvl w:val="0"/>
    </w:pPr>
    <w:rPr>
      <w:rFonts w:eastAsia="Times New Roman"/>
      <w:b/>
      <w:bCs/>
      <w:caps/>
      <w:sz w:val="28"/>
      <w:szCs w:val="28"/>
      <w:lang w:val="en-US"/>
    </w:rPr>
  </w:style>
  <w:style w:type="paragraph" w:styleId="Heading2">
    <w:name w:val="heading 2"/>
    <w:basedOn w:val="Normal"/>
    <w:next w:val="Normal"/>
    <w:link w:val="Heading2Char"/>
    <w:autoRedefine/>
    <w:uiPriority w:val="9"/>
    <w:unhideWhenUsed/>
    <w:qFormat/>
    <w:rsid w:val="008341C4"/>
    <w:pPr>
      <w:numPr>
        <w:ilvl w:val="1"/>
        <w:numId w:val="1"/>
      </w:numPr>
      <w:spacing w:before="120" w:after="120"/>
      <w:ind w:left="810" w:hanging="810"/>
      <w:jc w:val="left"/>
      <w:outlineLvl w:val="1"/>
    </w:pPr>
    <w:rPr>
      <w:b/>
      <w:smallCaps/>
      <w:sz w:val="26"/>
      <w:szCs w:val="26"/>
    </w:rPr>
  </w:style>
  <w:style w:type="paragraph" w:styleId="Heading3">
    <w:name w:val="heading 3"/>
    <w:basedOn w:val="Normal"/>
    <w:next w:val="Normal"/>
    <w:link w:val="Heading3Char"/>
    <w:autoRedefine/>
    <w:uiPriority w:val="9"/>
    <w:unhideWhenUsed/>
    <w:qFormat/>
    <w:rsid w:val="00D62371"/>
    <w:pPr>
      <w:keepNext/>
      <w:keepLines/>
      <w:spacing w:before="120" w:after="120"/>
      <w:outlineLvl w:val="2"/>
    </w:pPr>
    <w:rPr>
      <w:rFonts w:ascii="Times New Roman Bold" w:eastAsia="Times New Roman" w:hAnsi="Times New Roman Bold"/>
      <w:b/>
      <w:bCs/>
      <w:sz w:val="24"/>
      <w:szCs w:val="28"/>
      <w:u w:val="single"/>
    </w:rPr>
  </w:style>
  <w:style w:type="paragraph" w:styleId="Heading4">
    <w:name w:val="heading 4"/>
    <w:basedOn w:val="Normal"/>
    <w:next w:val="Normal"/>
    <w:link w:val="Heading4Char"/>
    <w:autoRedefine/>
    <w:uiPriority w:val="9"/>
    <w:unhideWhenUsed/>
    <w:qFormat/>
    <w:rsid w:val="00666714"/>
    <w:pPr>
      <w:keepNext/>
      <w:keepLines/>
      <w:spacing w:before="120" w:after="120"/>
      <w:jc w:val="left"/>
      <w:outlineLvl w:val="3"/>
    </w:pPr>
    <w:rPr>
      <w:rFonts w:ascii="Times New Roman Bold" w:eastAsia="SimSun" w:hAnsi="Times New Roman Bold"/>
      <w:b/>
      <w:bCs/>
      <w:i/>
      <w:i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76B1"/>
    <w:rPr>
      <w:rFonts w:ascii="Times New Roman" w:eastAsia="Times New Roman" w:hAnsi="Times New Roman" w:cs="Times New Roman"/>
      <w:b/>
      <w:bCs/>
      <w:caps/>
      <w:sz w:val="28"/>
      <w:szCs w:val="28"/>
      <w:lang w:val="en-US"/>
    </w:rPr>
  </w:style>
  <w:style w:type="character" w:customStyle="1" w:styleId="Heading2Char">
    <w:name w:val="Heading 2 Char"/>
    <w:link w:val="Heading2"/>
    <w:uiPriority w:val="9"/>
    <w:rsid w:val="008341C4"/>
    <w:rPr>
      <w:rFonts w:ascii="Times New Roman" w:hAnsi="Times New Roman" w:cs="Times New Roman"/>
      <w:b/>
      <w:smallCaps/>
      <w:sz w:val="26"/>
      <w:szCs w:val="26"/>
    </w:rPr>
  </w:style>
  <w:style w:type="character" w:customStyle="1" w:styleId="Heading3Char">
    <w:name w:val="Heading 3 Char"/>
    <w:link w:val="Heading3"/>
    <w:uiPriority w:val="9"/>
    <w:rsid w:val="00D62371"/>
    <w:rPr>
      <w:rFonts w:ascii="Times New Roman Bold" w:eastAsia="Times New Roman" w:hAnsi="Times New Roman Bold"/>
      <w:b/>
      <w:bCs/>
      <w:sz w:val="24"/>
      <w:szCs w:val="28"/>
      <w:u w:val="single"/>
      <w:lang w:val="en-AU"/>
    </w:rPr>
  </w:style>
  <w:style w:type="character" w:customStyle="1" w:styleId="Heading4Char">
    <w:name w:val="Heading 4 Char"/>
    <w:link w:val="Heading4"/>
    <w:uiPriority w:val="9"/>
    <w:rsid w:val="00666714"/>
    <w:rPr>
      <w:rFonts w:ascii="Times New Roman Bold" w:eastAsia="SimSun" w:hAnsi="Times New Roman Bold" w:cs="Times New Roman"/>
      <w:b/>
      <w:bCs/>
      <w:i/>
      <w:iCs/>
    </w:rPr>
  </w:style>
  <w:style w:type="character" w:customStyle="1" w:styleId="Heading5Char">
    <w:name w:val="Heading 5 Char"/>
    <w:link w:val="Heading5"/>
    <w:uiPriority w:val="9"/>
    <w:semiHidden/>
    <w:rsid w:val="001A3992"/>
    <w:rPr>
      <w:rFonts w:ascii="Cambria" w:eastAsia="Times New Roman" w:hAnsi="Cambria" w:cs="Times New Roman"/>
      <w:color w:val="243F60"/>
    </w:rPr>
  </w:style>
  <w:style w:type="character" w:customStyle="1" w:styleId="Heading6Char">
    <w:name w:val="Heading 6 Char"/>
    <w:link w:val="Heading6"/>
    <w:uiPriority w:val="9"/>
    <w:semiHidden/>
    <w:rsid w:val="001A3992"/>
    <w:rPr>
      <w:rFonts w:ascii="Cambria" w:eastAsia="Times New Roman" w:hAnsi="Cambria" w:cs="Times New Roman"/>
      <w:i/>
      <w:iCs/>
      <w:color w:val="243F60"/>
    </w:rPr>
  </w:style>
  <w:style w:type="character" w:customStyle="1" w:styleId="Heading7Char">
    <w:name w:val="Heading 7 Char"/>
    <w:link w:val="Heading7"/>
    <w:uiPriority w:val="9"/>
    <w:semiHidden/>
    <w:rsid w:val="001A3992"/>
    <w:rPr>
      <w:rFonts w:ascii="Cambria" w:eastAsia="Times New Roman" w:hAnsi="Cambria" w:cs="Times New Roman"/>
      <w:i/>
      <w:iCs/>
      <w:color w:val="404040"/>
    </w:rPr>
  </w:style>
  <w:style w:type="character" w:customStyle="1" w:styleId="Heading8Char">
    <w:name w:val="Heading 8 Char"/>
    <w:link w:val="Heading8"/>
    <w:uiPriority w:val="9"/>
    <w:semiHidden/>
    <w:rsid w:val="001A3992"/>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1A3992"/>
    <w:rPr>
      <w:rFonts w:ascii="Cambria" w:eastAsia="Times New Roman" w:hAnsi="Cambria" w:cs="Times New Roman"/>
      <w:i/>
      <w:iCs/>
      <w:color w:val="404040"/>
      <w:sz w:val="20"/>
      <w:szCs w:val="20"/>
    </w:rPr>
  </w:style>
  <w:style w:type="paragraph" w:styleId="ListParagraph">
    <w:name w:val="List Paragraph"/>
    <w:basedOn w:val="Normal"/>
    <w:uiPriority w:val="34"/>
    <w:rsid w:val="001A3992"/>
    <w:pPr>
      <w:ind w:left="720"/>
      <w:contextualSpacing/>
    </w:pPr>
    <w:rPr>
      <w:rFonts w:ascii="Cambria" w:hAnsi="Cambria"/>
    </w:rPr>
  </w:style>
  <w:style w:type="character" w:styleId="CommentReference">
    <w:name w:val="annotation reference"/>
    <w:uiPriority w:val="99"/>
    <w:semiHidden/>
    <w:unhideWhenUsed/>
    <w:rsid w:val="001A3992"/>
    <w:rPr>
      <w:sz w:val="16"/>
      <w:szCs w:val="16"/>
    </w:rPr>
  </w:style>
  <w:style w:type="paragraph" w:styleId="CommentText">
    <w:name w:val="annotation text"/>
    <w:basedOn w:val="Normal"/>
    <w:link w:val="CommentTextChar"/>
    <w:semiHidden/>
    <w:unhideWhenUsed/>
    <w:rsid w:val="001A3992"/>
    <w:rPr>
      <w:rFonts w:ascii="Cambria" w:hAnsi="Cambria"/>
      <w:sz w:val="20"/>
      <w:szCs w:val="20"/>
    </w:rPr>
  </w:style>
  <w:style w:type="character" w:customStyle="1" w:styleId="CommentTextChar">
    <w:name w:val="Comment Text Char"/>
    <w:link w:val="CommentText"/>
    <w:semiHidden/>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hAnsi="Calibri"/>
      <w:sz w:val="20"/>
    </w:rPr>
  </w:style>
  <w:style w:type="character" w:customStyle="1" w:styleId="FootnoteTextChar">
    <w:name w:val="Footnote Text Char"/>
    <w:link w:val="FootnoteText"/>
    <w:uiPriority w:val="99"/>
    <w:rsid w:val="001A3992"/>
    <w:rPr>
      <w:rFonts w:ascii="Calibri" w:eastAsia="Calibri" w:hAnsi="Calibri" w:cs="Times New Roman"/>
      <w:sz w:val="20"/>
    </w:rPr>
  </w:style>
  <w:style w:type="character" w:styleId="FootnoteReference">
    <w:name w:val="footnote reference"/>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uiPriority w:val="99"/>
    <w:unhideWhenUsed/>
    <w:rsid w:val="001A3992"/>
    <w:rPr>
      <w:color w:val="0000FF"/>
      <w:u w:val="single"/>
    </w:rPr>
  </w:style>
  <w:style w:type="table" w:styleId="LightGrid">
    <w:name w:val="Light Grid"/>
    <w:basedOn w:val="TableNormal"/>
    <w:uiPriority w:val="62"/>
    <w:rsid w:val="001A399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Footer">
    <w:name w:val="footer"/>
    <w:basedOn w:val="Normal"/>
    <w:link w:val="FooterChar"/>
    <w:unhideWhenUsed/>
    <w:rsid w:val="001A3992"/>
    <w:pPr>
      <w:tabs>
        <w:tab w:val="center" w:pos="4513"/>
        <w:tab w:val="right" w:pos="9026"/>
      </w:tabs>
      <w:spacing w:after="0"/>
    </w:pPr>
    <w:rPr>
      <w:rFonts w:ascii="Cambria" w:hAnsi="Cambria"/>
    </w:rPr>
  </w:style>
  <w:style w:type="character" w:customStyle="1" w:styleId="FooterChar">
    <w:name w:val="Footer Char"/>
    <w:link w:val="Footer"/>
    <w:rsid w:val="001A3992"/>
    <w:rPr>
      <w:rFonts w:ascii="Cambria" w:hAnsi="Cambria"/>
    </w:rPr>
  </w:style>
  <w:style w:type="paragraph" w:styleId="BalloonText">
    <w:name w:val="Balloon Text"/>
    <w:basedOn w:val="Normal"/>
    <w:link w:val="BalloonTextChar"/>
    <w:semiHidden/>
    <w:unhideWhenUsed/>
    <w:rsid w:val="001A3992"/>
    <w:pPr>
      <w:spacing w:after="0"/>
    </w:pPr>
    <w:rPr>
      <w:rFonts w:ascii="Tahoma" w:hAnsi="Tahoma" w:cs="Tahoma"/>
      <w:sz w:val="16"/>
      <w:szCs w:val="16"/>
    </w:rPr>
  </w:style>
  <w:style w:type="character" w:customStyle="1" w:styleId="BalloonTextChar">
    <w:name w:val="Balloon Text Char"/>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semiHidden/>
    <w:unhideWhenUsed/>
    <w:rsid w:val="00C046F7"/>
    <w:rPr>
      <w:rFonts w:ascii="Calibri" w:hAnsi="Calibri"/>
      <w:b/>
      <w:bCs/>
    </w:rPr>
  </w:style>
  <w:style w:type="character" w:customStyle="1" w:styleId="CommentSubjectChar">
    <w:name w:val="Comment Subject Char"/>
    <w:link w:val="CommentSubject"/>
    <w:uiPriority w:val="99"/>
    <w:semiHidden/>
    <w:rsid w:val="00C046F7"/>
    <w:rPr>
      <w:rFonts w:ascii="Cambria" w:hAnsi="Cambria"/>
      <w:b/>
      <w:bCs/>
      <w:sz w:val="20"/>
      <w:szCs w:val="20"/>
    </w:rPr>
  </w:style>
  <w:style w:type="paragraph" w:customStyle="1" w:styleId="Default">
    <w:name w:val="Default"/>
    <w:rsid w:val="00C046F7"/>
    <w:pPr>
      <w:autoSpaceDE w:val="0"/>
      <w:autoSpaceDN w:val="0"/>
      <w:adjustRightInd w:val="0"/>
    </w:pPr>
    <w:rPr>
      <w:rFonts w:ascii="Cambria" w:hAnsi="Cambria" w:cs="Cambria"/>
      <w:color w:val="000000"/>
      <w:sz w:val="24"/>
      <w:szCs w:val="24"/>
    </w:rPr>
  </w:style>
  <w:style w:type="paragraph" w:styleId="Title">
    <w:name w:val="Title"/>
    <w:basedOn w:val="Normal"/>
    <w:next w:val="Normal"/>
    <w:link w:val="TitleChar"/>
    <w:autoRedefine/>
    <w:uiPriority w:val="10"/>
    <w:qFormat/>
    <w:rsid w:val="001A2060"/>
    <w:pPr>
      <w:spacing w:before="240" w:after="240"/>
      <w:contextualSpacing/>
      <w:jc w:val="center"/>
    </w:pPr>
    <w:rPr>
      <w:rFonts w:eastAsia="Times New Roman"/>
      <w:b/>
      <w:caps/>
      <w:spacing w:val="-10"/>
      <w:kern w:val="28"/>
      <w:sz w:val="32"/>
      <w:szCs w:val="56"/>
    </w:rPr>
  </w:style>
  <w:style w:type="character" w:customStyle="1" w:styleId="TitleChar">
    <w:name w:val="Title Char"/>
    <w:link w:val="Title"/>
    <w:uiPriority w:val="10"/>
    <w:rsid w:val="001A2060"/>
    <w:rPr>
      <w:rFonts w:ascii="Times New Roman" w:eastAsia="Times New Roman" w:hAnsi="Times New Roman" w:cs="Times New Roman"/>
      <w:b/>
      <w:caps/>
      <w:spacing w:val="-10"/>
      <w:kern w:val="28"/>
      <w:sz w:val="32"/>
      <w:szCs w:val="56"/>
    </w:rPr>
  </w:style>
  <w:style w:type="paragraph" w:styleId="NoSpacing">
    <w:name w:val="No Spacing"/>
    <w:aliases w:val="Bullet"/>
    <w:autoRedefine/>
    <w:uiPriority w:val="1"/>
    <w:qFormat/>
    <w:rsid w:val="005001F3"/>
    <w:pPr>
      <w:numPr>
        <w:numId w:val="22"/>
      </w:numPr>
      <w:spacing w:after="120"/>
      <w:ind w:left="648"/>
    </w:pPr>
    <w:rPr>
      <w:rFonts w:ascii="Times New Roman" w:hAnsi="Times New Roman"/>
      <w:sz w:val="22"/>
      <w:szCs w:val="22"/>
      <w:lang w:val="en-AU"/>
    </w:rPr>
  </w:style>
  <w:style w:type="character" w:styleId="IntenseReference">
    <w:name w:val="Intense Reference"/>
    <w:uiPriority w:val="32"/>
    <w:rsid w:val="00570F78"/>
    <w:rPr>
      <w:b/>
      <w:bCs/>
      <w:smallCaps/>
      <w:color w:val="4F81BD"/>
      <w:spacing w:val="5"/>
    </w:rPr>
  </w:style>
  <w:style w:type="character" w:styleId="Strong">
    <w:name w:val="Strong"/>
    <w:uiPriority w:val="22"/>
    <w:rsid w:val="007D33DA"/>
    <w:rPr>
      <w:b/>
      <w:bCs/>
    </w:rPr>
  </w:style>
  <w:style w:type="table" w:styleId="TableGrid">
    <w:name w:val="Table Grid"/>
    <w:basedOn w:val="TableNormal"/>
    <w:uiPriority w:val="59"/>
    <w:rsid w:val="007D3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4">
    <w:name w:val="p14"/>
    <w:basedOn w:val="Normal"/>
    <w:rsid w:val="0019544E"/>
    <w:pPr>
      <w:widowControl w:val="0"/>
      <w:tabs>
        <w:tab w:val="left" w:pos="8742"/>
      </w:tabs>
      <w:autoSpaceDE w:val="0"/>
      <w:autoSpaceDN w:val="0"/>
      <w:adjustRightInd w:val="0"/>
      <w:spacing w:after="0"/>
      <w:ind w:left="7302" w:hanging="8742"/>
      <w:jc w:val="left"/>
    </w:pPr>
    <w:rPr>
      <w:rFonts w:eastAsia="PMingLiU"/>
      <w:sz w:val="24"/>
      <w:szCs w:val="24"/>
      <w:lang w:val="en-US" w:eastAsia="en-AU"/>
    </w:rPr>
  </w:style>
  <w:style w:type="paragraph" w:customStyle="1" w:styleId="p2">
    <w:name w:val="p2"/>
    <w:basedOn w:val="Normal"/>
    <w:rsid w:val="00CE483A"/>
    <w:pPr>
      <w:widowControl w:val="0"/>
      <w:tabs>
        <w:tab w:val="left" w:pos="204"/>
      </w:tabs>
      <w:autoSpaceDE w:val="0"/>
      <w:autoSpaceDN w:val="0"/>
      <w:adjustRightInd w:val="0"/>
      <w:spacing w:after="0"/>
      <w:jc w:val="left"/>
    </w:pPr>
    <w:rPr>
      <w:rFonts w:eastAsia="PMingLiU"/>
      <w:sz w:val="24"/>
      <w:szCs w:val="24"/>
      <w:lang w:val="en-US" w:eastAsia="en-AU"/>
    </w:rPr>
  </w:style>
  <w:style w:type="paragraph" w:customStyle="1" w:styleId="p5">
    <w:name w:val="p5"/>
    <w:basedOn w:val="Normal"/>
    <w:rsid w:val="00F4383A"/>
    <w:pPr>
      <w:widowControl w:val="0"/>
      <w:autoSpaceDE w:val="0"/>
      <w:autoSpaceDN w:val="0"/>
      <w:adjustRightInd w:val="0"/>
      <w:spacing w:after="0"/>
      <w:ind w:left="1282"/>
      <w:jc w:val="left"/>
    </w:pPr>
    <w:rPr>
      <w:rFonts w:eastAsia="PMingLiU"/>
      <w:sz w:val="24"/>
      <w:szCs w:val="24"/>
      <w:lang w:val="en-US" w:eastAsia="en-AU"/>
    </w:rPr>
  </w:style>
  <w:style w:type="paragraph" w:customStyle="1" w:styleId="p16">
    <w:name w:val="p16"/>
    <w:basedOn w:val="Normal"/>
    <w:rsid w:val="00F4383A"/>
    <w:pPr>
      <w:widowControl w:val="0"/>
      <w:tabs>
        <w:tab w:val="left" w:pos="204"/>
      </w:tabs>
      <w:autoSpaceDE w:val="0"/>
      <w:autoSpaceDN w:val="0"/>
      <w:adjustRightInd w:val="0"/>
      <w:spacing w:after="0"/>
      <w:jc w:val="left"/>
    </w:pPr>
    <w:rPr>
      <w:rFonts w:eastAsia="PMingLiU"/>
      <w:sz w:val="24"/>
      <w:szCs w:val="24"/>
      <w:lang w:val="en-US" w:eastAsia="en-AU"/>
    </w:rPr>
  </w:style>
  <w:style w:type="paragraph" w:customStyle="1" w:styleId="p25">
    <w:name w:val="p25"/>
    <w:basedOn w:val="Normal"/>
    <w:rsid w:val="00F4383A"/>
    <w:pPr>
      <w:widowControl w:val="0"/>
      <w:tabs>
        <w:tab w:val="left" w:pos="340"/>
      </w:tabs>
      <w:autoSpaceDE w:val="0"/>
      <w:autoSpaceDN w:val="0"/>
      <w:adjustRightInd w:val="0"/>
      <w:spacing w:after="0"/>
      <w:ind w:left="1100" w:hanging="340"/>
      <w:jc w:val="left"/>
    </w:pPr>
    <w:rPr>
      <w:rFonts w:eastAsia="PMingLiU"/>
      <w:sz w:val="24"/>
      <w:szCs w:val="24"/>
      <w:lang w:val="en-US" w:eastAsia="en-AU"/>
    </w:rPr>
  </w:style>
  <w:style w:type="paragraph" w:customStyle="1" w:styleId="c32">
    <w:name w:val="c32"/>
    <w:basedOn w:val="Normal"/>
    <w:rsid w:val="00F4383A"/>
    <w:pPr>
      <w:widowControl w:val="0"/>
      <w:autoSpaceDE w:val="0"/>
      <w:autoSpaceDN w:val="0"/>
      <w:adjustRightInd w:val="0"/>
      <w:spacing w:after="0"/>
      <w:jc w:val="center"/>
    </w:pPr>
    <w:rPr>
      <w:rFonts w:eastAsia="PMingLiU"/>
      <w:sz w:val="24"/>
      <w:szCs w:val="24"/>
      <w:lang w:val="en-US" w:eastAsia="en-AU"/>
    </w:rPr>
  </w:style>
  <w:style w:type="paragraph" w:customStyle="1" w:styleId="c35">
    <w:name w:val="c35"/>
    <w:basedOn w:val="Normal"/>
    <w:rsid w:val="00F4383A"/>
    <w:pPr>
      <w:widowControl w:val="0"/>
      <w:autoSpaceDE w:val="0"/>
      <w:autoSpaceDN w:val="0"/>
      <w:adjustRightInd w:val="0"/>
      <w:spacing w:after="0"/>
      <w:jc w:val="center"/>
    </w:pPr>
    <w:rPr>
      <w:rFonts w:eastAsia="PMingLiU"/>
      <w:sz w:val="24"/>
      <w:szCs w:val="24"/>
      <w:lang w:val="en-US" w:eastAsia="en-AU"/>
    </w:rPr>
  </w:style>
  <w:style w:type="paragraph" w:customStyle="1" w:styleId="p36">
    <w:name w:val="p36"/>
    <w:basedOn w:val="Normal"/>
    <w:rsid w:val="00F4383A"/>
    <w:pPr>
      <w:widowControl w:val="0"/>
      <w:tabs>
        <w:tab w:val="left" w:pos="204"/>
      </w:tabs>
      <w:autoSpaceDE w:val="0"/>
      <w:autoSpaceDN w:val="0"/>
      <w:adjustRightInd w:val="0"/>
      <w:spacing w:after="0"/>
      <w:jc w:val="left"/>
    </w:pPr>
    <w:rPr>
      <w:rFonts w:eastAsia="PMingLiU"/>
      <w:sz w:val="24"/>
      <w:szCs w:val="24"/>
      <w:lang w:val="en-US" w:eastAsia="en-AU"/>
    </w:rPr>
  </w:style>
  <w:style w:type="paragraph" w:customStyle="1" w:styleId="c63">
    <w:name w:val="c63"/>
    <w:basedOn w:val="Normal"/>
    <w:rsid w:val="00F4383A"/>
    <w:pPr>
      <w:widowControl w:val="0"/>
      <w:autoSpaceDE w:val="0"/>
      <w:autoSpaceDN w:val="0"/>
      <w:adjustRightInd w:val="0"/>
      <w:spacing w:after="0"/>
      <w:jc w:val="center"/>
    </w:pPr>
    <w:rPr>
      <w:rFonts w:eastAsia="PMingLiU"/>
      <w:sz w:val="24"/>
      <w:szCs w:val="24"/>
      <w:lang w:val="en-US" w:eastAsia="en-AU"/>
    </w:rPr>
  </w:style>
  <w:style w:type="character" w:styleId="PageNumber">
    <w:name w:val="page number"/>
    <w:basedOn w:val="DefaultParagraphFont"/>
    <w:rsid w:val="00F4383A"/>
  </w:style>
  <w:style w:type="character" w:customStyle="1" w:styleId="BMSTableNote">
    <w:name w:val="BMS Table Note"/>
    <w:rsid w:val="00F4383A"/>
    <w:rPr>
      <w:rFonts w:ascii="Times New Roman" w:hAnsi="Times New Roman"/>
      <w:dstrike w:val="0"/>
      <w:color w:val="auto"/>
      <w:sz w:val="28"/>
      <w:vertAlign w:val="superscript"/>
    </w:rPr>
  </w:style>
  <w:style w:type="paragraph" w:customStyle="1" w:styleId="BMSTableNoteInfo">
    <w:name w:val="BMS Table Note Info"/>
    <w:basedOn w:val="BMSBodyText"/>
    <w:next w:val="BMSBodyText"/>
    <w:link w:val="BMSTableNoteInfoChar"/>
    <w:rsid w:val="00F4383A"/>
    <w:pPr>
      <w:tabs>
        <w:tab w:val="left" w:pos="216"/>
      </w:tabs>
      <w:spacing w:before="40" w:after="0" w:line="240" w:lineRule="auto"/>
      <w:ind w:left="216" w:hanging="216"/>
    </w:pPr>
    <w:rPr>
      <w:sz w:val="20"/>
    </w:rPr>
  </w:style>
  <w:style w:type="paragraph" w:customStyle="1" w:styleId="BMSBodyText">
    <w:name w:val="BMS Body Text"/>
    <w:link w:val="BMSBodyTextChar"/>
    <w:qFormat/>
    <w:rsid w:val="00F4383A"/>
    <w:pPr>
      <w:spacing w:before="120" w:after="120" w:line="300" w:lineRule="auto"/>
      <w:jc w:val="both"/>
    </w:pPr>
    <w:rPr>
      <w:rFonts w:ascii="Times New Roman" w:eastAsia="PMingLiU" w:hAnsi="Times New Roman"/>
      <w:color w:val="000000"/>
      <w:sz w:val="24"/>
      <w:szCs w:val="24"/>
      <w:lang w:eastAsia="ja-JP"/>
    </w:rPr>
  </w:style>
  <w:style w:type="paragraph" w:customStyle="1" w:styleId="BMSTableText">
    <w:name w:val="BMS Table Text"/>
    <w:link w:val="BMSTableTextChar"/>
    <w:rsid w:val="00F4383A"/>
    <w:pPr>
      <w:tabs>
        <w:tab w:val="left" w:pos="360"/>
      </w:tabs>
      <w:spacing w:before="60" w:after="60"/>
      <w:jc w:val="center"/>
    </w:pPr>
    <w:rPr>
      <w:rFonts w:ascii="Times New Roman" w:eastAsia="PMingLiU" w:hAnsi="Times New Roman"/>
      <w:lang w:eastAsia="ja-JP"/>
    </w:rPr>
  </w:style>
  <w:style w:type="character" w:customStyle="1" w:styleId="BMSSuperscript">
    <w:name w:val="BMS Superscript"/>
    <w:rsid w:val="00F4383A"/>
    <w:rPr>
      <w:sz w:val="28"/>
      <w:vertAlign w:val="superscript"/>
    </w:rPr>
  </w:style>
  <w:style w:type="paragraph" w:customStyle="1" w:styleId="EMEABodyText">
    <w:name w:val="EMEA Body Text"/>
    <w:basedOn w:val="Normal"/>
    <w:link w:val="EMEABodyTextChar"/>
    <w:rsid w:val="00F4383A"/>
    <w:pPr>
      <w:spacing w:after="0"/>
      <w:jc w:val="left"/>
    </w:pPr>
    <w:rPr>
      <w:rFonts w:eastAsia="PMingLiU"/>
      <w:szCs w:val="24"/>
      <w:lang w:val="en-GB" w:eastAsia="ja-JP"/>
    </w:rPr>
  </w:style>
  <w:style w:type="character" w:customStyle="1" w:styleId="BMSBodyTextChar">
    <w:name w:val="BMS Body Text Char"/>
    <w:link w:val="BMSBodyText"/>
    <w:rsid w:val="00F4383A"/>
    <w:rPr>
      <w:rFonts w:ascii="Times New Roman" w:eastAsia="PMingLiU" w:hAnsi="Times New Roman"/>
      <w:color w:val="000000"/>
      <w:sz w:val="24"/>
      <w:szCs w:val="24"/>
      <w:lang w:eastAsia="ja-JP"/>
    </w:rPr>
  </w:style>
  <w:style w:type="character" w:customStyle="1" w:styleId="EMEABodyTextChar">
    <w:name w:val="EMEA Body Text Char"/>
    <w:link w:val="EMEABodyText"/>
    <w:rsid w:val="00F4383A"/>
    <w:rPr>
      <w:rFonts w:ascii="Times New Roman" w:eastAsia="PMingLiU" w:hAnsi="Times New Roman"/>
      <w:sz w:val="22"/>
      <w:szCs w:val="24"/>
      <w:lang w:val="en-GB" w:eastAsia="ja-JP"/>
    </w:rPr>
  </w:style>
  <w:style w:type="paragraph" w:customStyle="1" w:styleId="BMSTableTitle">
    <w:name w:val="BMS Table Title"/>
    <w:link w:val="BMSTableTitleChar"/>
    <w:rsid w:val="00F4383A"/>
    <w:pPr>
      <w:keepNext/>
      <w:keepLines/>
      <w:tabs>
        <w:tab w:val="left" w:pos="2160"/>
      </w:tabs>
      <w:spacing w:before="120" w:after="120"/>
      <w:ind w:left="2160" w:hanging="2160"/>
    </w:pPr>
    <w:rPr>
      <w:rFonts w:ascii="Times New Roman" w:eastAsia="PMingLiU" w:hAnsi="Times New Roman"/>
      <w:b/>
      <w:sz w:val="24"/>
      <w:lang w:eastAsia="ja-JP"/>
    </w:rPr>
  </w:style>
  <w:style w:type="paragraph" w:customStyle="1" w:styleId="BMSTableHeader">
    <w:name w:val="BMS Table Header"/>
    <w:basedOn w:val="BMSTableText"/>
    <w:link w:val="BMSTableHeaderChar"/>
    <w:rsid w:val="00F4383A"/>
    <w:rPr>
      <w:b/>
    </w:rPr>
  </w:style>
  <w:style w:type="character" w:customStyle="1" w:styleId="EMEASuperscript">
    <w:name w:val="EMEA Superscript"/>
    <w:rsid w:val="00F4383A"/>
    <w:rPr>
      <w:sz w:val="22"/>
      <w:vertAlign w:val="superscript"/>
    </w:rPr>
  </w:style>
  <w:style w:type="character" w:customStyle="1" w:styleId="msoins0">
    <w:name w:val="msoins"/>
    <w:basedOn w:val="DefaultParagraphFont"/>
    <w:rsid w:val="00F4383A"/>
  </w:style>
  <w:style w:type="paragraph" w:customStyle="1" w:styleId="EMEATableCentered">
    <w:name w:val="EMEA Table Centered"/>
    <w:basedOn w:val="EMEABodyText"/>
    <w:next w:val="Normal"/>
    <w:rsid w:val="00F4383A"/>
    <w:pPr>
      <w:keepNext/>
      <w:keepLines/>
      <w:jc w:val="center"/>
    </w:pPr>
    <w:rPr>
      <w:szCs w:val="20"/>
      <w:lang w:eastAsia="en-US"/>
    </w:rPr>
  </w:style>
  <w:style w:type="paragraph" w:customStyle="1" w:styleId="EMEAHeading2">
    <w:name w:val="EMEA Heading 2"/>
    <w:basedOn w:val="EMEABodyText"/>
    <w:next w:val="EMEABodyText"/>
    <w:rsid w:val="00F4383A"/>
    <w:pPr>
      <w:keepNext/>
      <w:keepLines/>
      <w:ind w:left="567" w:hanging="567"/>
      <w:outlineLvl w:val="1"/>
    </w:pPr>
    <w:rPr>
      <w:b/>
      <w:szCs w:val="20"/>
      <w:lang w:eastAsia="en-US"/>
    </w:rPr>
  </w:style>
  <w:style w:type="paragraph" w:customStyle="1" w:styleId="CM66">
    <w:name w:val="CM66"/>
    <w:basedOn w:val="Normal"/>
    <w:next w:val="Normal"/>
    <w:rsid w:val="00F4383A"/>
    <w:pPr>
      <w:widowControl w:val="0"/>
      <w:autoSpaceDE w:val="0"/>
      <w:autoSpaceDN w:val="0"/>
      <w:adjustRightInd w:val="0"/>
      <w:spacing w:after="253"/>
      <w:jc w:val="left"/>
    </w:pPr>
    <w:rPr>
      <w:rFonts w:eastAsia="MS Mincho"/>
      <w:sz w:val="24"/>
      <w:szCs w:val="24"/>
      <w:lang w:eastAsia="ja-JP"/>
    </w:rPr>
  </w:style>
  <w:style w:type="paragraph" w:customStyle="1" w:styleId="CM69">
    <w:name w:val="CM69"/>
    <w:basedOn w:val="Default"/>
    <w:next w:val="Default"/>
    <w:rsid w:val="00F4383A"/>
    <w:pPr>
      <w:widowControl w:val="0"/>
      <w:spacing w:after="173"/>
    </w:pPr>
    <w:rPr>
      <w:rFonts w:ascii="Times New Roman" w:eastAsia="MS Mincho" w:hAnsi="Times New Roman" w:cs="Times New Roman"/>
      <w:color w:val="auto"/>
      <w:lang w:val="en-AU" w:eastAsia="ja-JP"/>
    </w:rPr>
  </w:style>
  <w:style w:type="paragraph" w:customStyle="1" w:styleId="CM15">
    <w:name w:val="CM15"/>
    <w:basedOn w:val="Default"/>
    <w:next w:val="Default"/>
    <w:rsid w:val="00F4383A"/>
    <w:pPr>
      <w:widowControl w:val="0"/>
    </w:pPr>
    <w:rPr>
      <w:rFonts w:ascii="Times New Roman" w:eastAsia="MS Mincho" w:hAnsi="Times New Roman" w:cs="Times New Roman"/>
      <w:color w:val="auto"/>
      <w:lang w:val="en-AU" w:eastAsia="ja-JP"/>
    </w:rPr>
  </w:style>
  <w:style w:type="paragraph" w:customStyle="1" w:styleId="CM80">
    <w:name w:val="CM80"/>
    <w:basedOn w:val="Default"/>
    <w:next w:val="Default"/>
    <w:rsid w:val="00F4383A"/>
    <w:pPr>
      <w:widowControl w:val="0"/>
      <w:spacing w:after="310"/>
    </w:pPr>
    <w:rPr>
      <w:rFonts w:ascii="Times New Roman" w:eastAsia="MS Mincho" w:hAnsi="Times New Roman" w:cs="Times New Roman"/>
      <w:color w:val="auto"/>
      <w:lang w:val="en-AU" w:eastAsia="ja-JP"/>
    </w:rPr>
  </w:style>
  <w:style w:type="paragraph" w:customStyle="1" w:styleId="CM26">
    <w:name w:val="CM26"/>
    <w:basedOn w:val="Default"/>
    <w:next w:val="Default"/>
    <w:rsid w:val="00F4383A"/>
    <w:pPr>
      <w:widowControl w:val="0"/>
      <w:spacing w:line="208" w:lineRule="atLeast"/>
    </w:pPr>
    <w:rPr>
      <w:rFonts w:ascii="Times New Roman" w:eastAsia="MS Mincho" w:hAnsi="Times New Roman" w:cs="Times New Roman"/>
      <w:color w:val="auto"/>
      <w:lang w:val="en-AU" w:eastAsia="ja-JP"/>
    </w:rPr>
  </w:style>
  <w:style w:type="paragraph" w:customStyle="1" w:styleId="CM43">
    <w:name w:val="CM43"/>
    <w:basedOn w:val="Default"/>
    <w:next w:val="Default"/>
    <w:rsid w:val="00F4383A"/>
    <w:pPr>
      <w:widowControl w:val="0"/>
      <w:spacing w:line="211" w:lineRule="atLeast"/>
    </w:pPr>
    <w:rPr>
      <w:rFonts w:ascii="Times New Roman" w:eastAsia="MS Mincho" w:hAnsi="Times New Roman" w:cs="Times New Roman"/>
      <w:color w:val="auto"/>
      <w:lang w:val="en-AU" w:eastAsia="ja-JP"/>
    </w:rPr>
  </w:style>
  <w:style w:type="paragraph" w:customStyle="1" w:styleId="CM44">
    <w:name w:val="CM44"/>
    <w:basedOn w:val="Default"/>
    <w:next w:val="Default"/>
    <w:rsid w:val="00F4383A"/>
    <w:pPr>
      <w:widowControl w:val="0"/>
    </w:pPr>
    <w:rPr>
      <w:rFonts w:ascii="Times New Roman" w:eastAsia="MS Mincho" w:hAnsi="Times New Roman" w:cs="Times New Roman"/>
      <w:color w:val="auto"/>
      <w:lang w:val="en-AU" w:eastAsia="ja-JP"/>
    </w:rPr>
  </w:style>
  <w:style w:type="paragraph" w:customStyle="1" w:styleId="BMSTableTextLarge">
    <w:name w:val="BMS Table Text Large"/>
    <w:basedOn w:val="BMSTableText"/>
    <w:rsid w:val="00F4383A"/>
    <w:rPr>
      <w:sz w:val="24"/>
      <w:lang w:eastAsia="en-US"/>
    </w:rPr>
  </w:style>
  <w:style w:type="character" w:customStyle="1" w:styleId="BMSTableTextChar">
    <w:name w:val="BMS Table Text Char"/>
    <w:link w:val="BMSTableText"/>
    <w:rsid w:val="00F4383A"/>
    <w:rPr>
      <w:rFonts w:ascii="Times New Roman" w:eastAsia="PMingLiU" w:hAnsi="Times New Roman"/>
      <w:lang w:eastAsia="ja-JP"/>
    </w:rPr>
  </w:style>
  <w:style w:type="character" w:customStyle="1" w:styleId="BMSTableTitleChar">
    <w:name w:val="BMS Table Title Char"/>
    <w:link w:val="BMSTableTitle"/>
    <w:rsid w:val="00F4383A"/>
    <w:rPr>
      <w:rFonts w:ascii="Times New Roman" w:eastAsia="PMingLiU" w:hAnsi="Times New Roman"/>
      <w:b/>
      <w:sz w:val="24"/>
      <w:lang w:eastAsia="ja-JP"/>
    </w:rPr>
  </w:style>
  <w:style w:type="character" w:customStyle="1" w:styleId="BMSTableNoteInfoChar">
    <w:name w:val="BMS Table Note Info Char"/>
    <w:link w:val="BMSTableNoteInfo"/>
    <w:locked/>
    <w:rsid w:val="00F4383A"/>
    <w:rPr>
      <w:rFonts w:ascii="Times New Roman" w:eastAsia="PMingLiU" w:hAnsi="Times New Roman"/>
      <w:color w:val="000000"/>
      <w:szCs w:val="24"/>
      <w:lang w:eastAsia="ja-JP"/>
    </w:rPr>
  </w:style>
  <w:style w:type="character" w:customStyle="1" w:styleId="BMSSubscript">
    <w:name w:val="BMS Subscript"/>
    <w:rsid w:val="00F4383A"/>
    <w:rPr>
      <w:sz w:val="28"/>
      <w:vertAlign w:val="subscript"/>
    </w:rPr>
  </w:style>
  <w:style w:type="paragraph" w:styleId="DocumentMap">
    <w:name w:val="Document Map"/>
    <w:basedOn w:val="Normal"/>
    <w:link w:val="DocumentMapChar"/>
    <w:semiHidden/>
    <w:rsid w:val="00F4383A"/>
    <w:pPr>
      <w:widowControl w:val="0"/>
      <w:shd w:val="clear" w:color="auto" w:fill="000080"/>
      <w:autoSpaceDE w:val="0"/>
      <w:autoSpaceDN w:val="0"/>
      <w:adjustRightInd w:val="0"/>
      <w:spacing w:after="0"/>
      <w:jc w:val="left"/>
    </w:pPr>
    <w:rPr>
      <w:rFonts w:ascii="Tahoma" w:eastAsia="PMingLiU" w:hAnsi="Tahoma" w:cs="Tahoma"/>
      <w:sz w:val="20"/>
      <w:szCs w:val="20"/>
      <w:lang w:val="en-US" w:eastAsia="en-AU"/>
    </w:rPr>
  </w:style>
  <w:style w:type="character" w:customStyle="1" w:styleId="DocumentMapChar">
    <w:name w:val="Document Map Char"/>
    <w:basedOn w:val="DefaultParagraphFont"/>
    <w:link w:val="DocumentMap"/>
    <w:semiHidden/>
    <w:rsid w:val="00F4383A"/>
    <w:rPr>
      <w:rFonts w:ascii="Tahoma" w:eastAsia="PMingLiU" w:hAnsi="Tahoma" w:cs="Tahoma"/>
      <w:shd w:val="clear" w:color="auto" w:fill="000080"/>
      <w:lang w:eastAsia="en-AU"/>
    </w:rPr>
  </w:style>
  <w:style w:type="paragraph" w:customStyle="1" w:styleId="BMSHeading1">
    <w:name w:val="BMS Heading 1"/>
    <w:next w:val="BMSBodyText"/>
    <w:rsid w:val="00F4383A"/>
    <w:pPr>
      <w:keepNext/>
      <w:keepLines/>
      <w:numPr>
        <w:numId w:val="38"/>
      </w:numPr>
      <w:tabs>
        <w:tab w:val="clear" w:pos="432"/>
        <w:tab w:val="left" w:pos="1152"/>
      </w:tabs>
      <w:spacing w:before="120" w:after="240"/>
      <w:ind w:left="1152" w:hanging="1152"/>
      <w:outlineLvl w:val="0"/>
    </w:pPr>
    <w:rPr>
      <w:rFonts w:ascii="Arial" w:eastAsia="PMingLiU" w:hAnsi="Arial"/>
      <w:b/>
      <w:caps/>
      <w:color w:val="000000"/>
      <w:sz w:val="28"/>
    </w:rPr>
  </w:style>
  <w:style w:type="paragraph" w:customStyle="1" w:styleId="BMSHeading2">
    <w:name w:val="BMS Heading 2"/>
    <w:next w:val="BMSBodyText"/>
    <w:rsid w:val="00F4383A"/>
    <w:pPr>
      <w:keepNext/>
      <w:keepLines/>
      <w:numPr>
        <w:ilvl w:val="1"/>
        <w:numId w:val="38"/>
      </w:numPr>
      <w:tabs>
        <w:tab w:val="clear" w:pos="576"/>
        <w:tab w:val="left" w:pos="1152"/>
      </w:tabs>
      <w:spacing w:before="120" w:after="240"/>
      <w:ind w:left="1152" w:hanging="1152"/>
      <w:outlineLvl w:val="1"/>
    </w:pPr>
    <w:rPr>
      <w:rFonts w:ascii="Arial" w:eastAsia="PMingLiU" w:hAnsi="Arial"/>
      <w:b/>
      <w:color w:val="000000"/>
      <w:sz w:val="28"/>
    </w:rPr>
  </w:style>
  <w:style w:type="paragraph" w:customStyle="1" w:styleId="BMSHeading3">
    <w:name w:val="BMS Heading 3"/>
    <w:next w:val="BMSBodyText"/>
    <w:link w:val="BMSHeading3Char"/>
    <w:rsid w:val="00F4383A"/>
    <w:pPr>
      <w:keepNext/>
      <w:keepLines/>
      <w:numPr>
        <w:ilvl w:val="2"/>
        <w:numId w:val="38"/>
      </w:numPr>
      <w:tabs>
        <w:tab w:val="clear" w:pos="720"/>
        <w:tab w:val="left" w:pos="1152"/>
      </w:tabs>
      <w:spacing w:before="120" w:after="240"/>
      <w:ind w:left="1152" w:hanging="1152"/>
      <w:outlineLvl w:val="2"/>
    </w:pPr>
    <w:rPr>
      <w:rFonts w:ascii="Arial" w:eastAsia="PMingLiU" w:hAnsi="Arial"/>
      <w:b/>
      <w:color w:val="000000"/>
      <w:sz w:val="24"/>
    </w:rPr>
  </w:style>
  <w:style w:type="paragraph" w:customStyle="1" w:styleId="BMSHeading4">
    <w:name w:val="BMS Heading 4"/>
    <w:next w:val="BMSBodyText"/>
    <w:rsid w:val="00F4383A"/>
    <w:pPr>
      <w:keepNext/>
      <w:keepLines/>
      <w:numPr>
        <w:ilvl w:val="3"/>
        <w:numId w:val="38"/>
      </w:numPr>
      <w:tabs>
        <w:tab w:val="clear" w:pos="864"/>
        <w:tab w:val="left" w:pos="1152"/>
      </w:tabs>
      <w:spacing w:before="120" w:after="240"/>
      <w:ind w:left="1152" w:hanging="1152"/>
      <w:outlineLvl w:val="3"/>
    </w:pPr>
    <w:rPr>
      <w:rFonts w:ascii="Arial" w:eastAsia="PMingLiU" w:hAnsi="Arial"/>
      <w:b/>
      <w:i/>
      <w:color w:val="000000"/>
      <w:sz w:val="24"/>
    </w:rPr>
  </w:style>
  <w:style w:type="paragraph" w:styleId="EndnoteText">
    <w:name w:val="endnote text"/>
    <w:basedOn w:val="BMSBodyText"/>
    <w:link w:val="EndnoteTextChar"/>
    <w:rsid w:val="00F4383A"/>
    <w:pPr>
      <w:tabs>
        <w:tab w:val="left" w:pos="360"/>
      </w:tabs>
      <w:spacing w:before="0" w:line="240" w:lineRule="auto"/>
      <w:ind w:left="360" w:hanging="360"/>
    </w:pPr>
    <w:rPr>
      <w:rFonts w:eastAsia="Times New Roman"/>
      <w:szCs w:val="20"/>
      <w:lang w:val="x-none" w:eastAsia="x-none"/>
    </w:rPr>
  </w:style>
  <w:style w:type="character" w:customStyle="1" w:styleId="EndnoteTextChar">
    <w:name w:val="Endnote Text Char"/>
    <w:basedOn w:val="DefaultParagraphFont"/>
    <w:link w:val="EndnoteText"/>
    <w:rsid w:val="00F4383A"/>
    <w:rPr>
      <w:rFonts w:ascii="Times New Roman" w:eastAsia="Times New Roman" w:hAnsi="Times New Roman"/>
      <w:color w:val="000000"/>
      <w:sz w:val="24"/>
      <w:lang w:val="x-none" w:eastAsia="x-none"/>
    </w:rPr>
  </w:style>
  <w:style w:type="character" w:styleId="EndnoteReference">
    <w:name w:val="endnote reference"/>
    <w:rsid w:val="00F4383A"/>
    <w:rPr>
      <w:sz w:val="28"/>
      <w:vertAlign w:val="superscript"/>
    </w:rPr>
  </w:style>
  <w:style w:type="paragraph" w:customStyle="1" w:styleId="BMSFigureCaption">
    <w:name w:val="BMS Figure Caption"/>
    <w:basedOn w:val="BMSTableTitle"/>
    <w:next w:val="BMSBodyText"/>
    <w:rsid w:val="00F4383A"/>
    <w:rPr>
      <w:rFonts w:eastAsia="Times New Roman"/>
      <w:lang w:val="en-AU" w:eastAsia="en-AU"/>
    </w:rPr>
  </w:style>
  <w:style w:type="character" w:customStyle="1" w:styleId="BMSTableHeaderChar">
    <w:name w:val="BMS Table Header Char"/>
    <w:link w:val="BMSTableHeader"/>
    <w:rsid w:val="00F4383A"/>
    <w:rPr>
      <w:rFonts w:ascii="Times New Roman" w:eastAsia="PMingLiU" w:hAnsi="Times New Roman"/>
      <w:b/>
      <w:lang w:eastAsia="ja-JP"/>
    </w:rPr>
  </w:style>
  <w:style w:type="paragraph" w:styleId="Revision">
    <w:name w:val="Revision"/>
    <w:hidden/>
    <w:uiPriority w:val="99"/>
    <w:semiHidden/>
    <w:rsid w:val="00F4383A"/>
    <w:rPr>
      <w:rFonts w:ascii="Times New Roman" w:eastAsia="PMingLiU" w:hAnsi="Times New Roman"/>
      <w:sz w:val="24"/>
      <w:szCs w:val="24"/>
      <w:lang w:eastAsia="en-AU"/>
    </w:rPr>
  </w:style>
  <w:style w:type="character" w:customStyle="1" w:styleId="BMSHeading3Char">
    <w:name w:val="BMS Heading 3 Char"/>
    <w:link w:val="BMSHeading3"/>
    <w:rsid w:val="00F4383A"/>
    <w:rPr>
      <w:rFonts w:ascii="Arial" w:eastAsia="PMingLiU" w:hAnsi="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08191">
      <w:bodyDiv w:val="1"/>
      <w:marLeft w:val="0"/>
      <w:marRight w:val="0"/>
      <w:marTop w:val="0"/>
      <w:marBottom w:val="0"/>
      <w:divBdr>
        <w:top w:val="none" w:sz="0" w:space="0" w:color="auto"/>
        <w:left w:val="none" w:sz="0" w:space="0" w:color="auto"/>
        <w:bottom w:val="none" w:sz="0" w:space="0" w:color="auto"/>
        <w:right w:val="none" w:sz="0" w:space="0" w:color="auto"/>
      </w:divBdr>
    </w:div>
    <w:div w:id="904879735">
      <w:bodyDiv w:val="1"/>
      <w:marLeft w:val="0"/>
      <w:marRight w:val="0"/>
      <w:marTop w:val="0"/>
      <w:marBottom w:val="0"/>
      <w:divBdr>
        <w:top w:val="none" w:sz="0" w:space="0" w:color="auto"/>
        <w:left w:val="none" w:sz="0" w:space="0" w:color="auto"/>
        <w:bottom w:val="none" w:sz="0" w:space="0" w:color="auto"/>
        <w:right w:val="none" w:sz="0" w:space="0" w:color="auto"/>
      </w:divBdr>
    </w:div>
    <w:div w:id="152420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edInfo.Australia@bm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idre\Desktop\C1PC\BMS%20Sprycel%20LBS\Stage%205%20post%20ACM\BMS_PI%20template_SmPC-style%20format_draft%20template_29%20Jan%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88285-9572-4780-AFEC-2FA9AC3A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BMS_PI template_SmPC-style format_draft template_29 Jan 18</Template>
  <TotalTime>4</TotalTime>
  <Pages>41</Pages>
  <Words>13304</Words>
  <Characters>74370</Characters>
  <Application>Microsoft Office Word</Application>
  <DocSecurity>0</DocSecurity>
  <Lines>2253</Lines>
  <Paragraphs>1308</Paragraphs>
  <ScaleCrop>false</ScaleCrop>
  <HeadingPairs>
    <vt:vector size="2" baseType="variant">
      <vt:variant>
        <vt:lpstr>Title</vt:lpstr>
      </vt:variant>
      <vt:variant>
        <vt:i4>1</vt:i4>
      </vt:variant>
    </vt:vector>
  </HeadingPairs>
  <TitlesOfParts>
    <vt:vector size="1" baseType="lpstr">
      <vt:lpstr>Attachment: Product Information: Rituximab</vt:lpstr>
    </vt:vector>
  </TitlesOfParts>
  <Company/>
  <LinksUpToDate>false</LinksUpToDate>
  <CharactersWithSpaces>86366</CharactersWithSpaces>
  <SharedDoc>false</SharedDoc>
  <HLinks>
    <vt:vector size="6" baseType="variant">
      <vt:variant>
        <vt:i4>1572971</vt:i4>
      </vt:variant>
      <vt:variant>
        <vt:i4>0</vt:i4>
      </vt:variant>
      <vt:variant>
        <vt:i4>0</vt:i4>
      </vt:variant>
      <vt:variant>
        <vt:i4>5</vt:i4>
      </vt:variant>
      <vt:variant>
        <vt:lpwstr>mailto:MedInfo.Australia@bms.com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Rituximab</dc:title>
  <dc:subject>prescription medicines</dc:subject>
  <dc:creator/>
  <cp:keywords/>
  <cp:lastModifiedBy>LACK, Janet</cp:lastModifiedBy>
  <cp:revision>5</cp:revision>
  <cp:lastPrinted>2018-03-14T23:57:00Z</cp:lastPrinted>
  <dcterms:created xsi:type="dcterms:W3CDTF">2019-09-26T02:25:00Z</dcterms:created>
  <dcterms:modified xsi:type="dcterms:W3CDTF">2019-09-26T03:56:00Z</dcterms:modified>
</cp:coreProperties>
</file>