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55AEA" w14:textId="29A5DE48" w:rsidR="00933E29" w:rsidRPr="00524EEA" w:rsidRDefault="00E4426F" w:rsidP="007A1187">
      <w:pPr>
        <w:jc w:val="center"/>
        <w:rPr>
          <w:rFonts w:eastAsia="Times New Roman" w:cs="Times New Roman"/>
          <w:b/>
          <w:sz w:val="32"/>
          <w:szCs w:val="32"/>
        </w:rPr>
      </w:pPr>
      <w:r w:rsidRPr="00524EEA">
        <w:rPr>
          <w:rFonts w:eastAsia="Times New Roman" w:cs="Times New Roman"/>
          <w:b/>
          <w:sz w:val="32"/>
          <w:szCs w:val="32"/>
        </w:rPr>
        <w:t xml:space="preserve">AUSTRALIAN </w:t>
      </w:r>
      <w:r w:rsidR="007A1187" w:rsidRPr="00524EEA">
        <w:rPr>
          <w:rFonts w:eastAsia="Times New Roman" w:cs="Times New Roman"/>
          <w:b/>
          <w:sz w:val="32"/>
          <w:szCs w:val="32"/>
        </w:rPr>
        <w:t>PRODUCT INFORMATION</w:t>
      </w:r>
    </w:p>
    <w:p w14:paraId="1FFD792F" w14:textId="77777777" w:rsidR="00933E29" w:rsidRPr="00524EEA" w:rsidRDefault="00933E29" w:rsidP="00933E29">
      <w:pPr>
        <w:jc w:val="center"/>
        <w:rPr>
          <w:rFonts w:eastAsia="Times New Roman" w:cs="Times New Roman"/>
          <w:b/>
          <w:sz w:val="36"/>
          <w:szCs w:val="32"/>
        </w:rPr>
      </w:pPr>
      <w:r w:rsidRPr="00524EEA">
        <w:rPr>
          <w:rFonts w:eastAsia="Times New Roman" w:cs="Times New Roman"/>
          <w:b/>
          <w:sz w:val="36"/>
          <w:szCs w:val="32"/>
        </w:rPr>
        <w:t>FORXIGA</w:t>
      </w:r>
      <w:r w:rsidRPr="00524EEA">
        <w:rPr>
          <w:rFonts w:eastAsia="Times New Roman" w:cs="Times New Roman"/>
          <w:b/>
          <w:sz w:val="36"/>
          <w:szCs w:val="32"/>
          <w:vertAlign w:val="superscript"/>
        </w:rPr>
        <w:t>®</w:t>
      </w:r>
    </w:p>
    <w:p w14:paraId="68BB044B" w14:textId="3C9EC8C1" w:rsidR="00933E29" w:rsidRPr="00524EEA" w:rsidRDefault="00E4426F" w:rsidP="00074D8F">
      <w:pPr>
        <w:jc w:val="center"/>
        <w:rPr>
          <w:bCs/>
          <w:sz w:val="28"/>
          <w:szCs w:val="28"/>
        </w:rPr>
      </w:pPr>
      <w:r w:rsidRPr="00524EEA">
        <w:rPr>
          <w:bCs/>
          <w:sz w:val="28"/>
          <w:szCs w:val="28"/>
        </w:rPr>
        <w:t>(</w:t>
      </w:r>
      <w:proofErr w:type="spellStart"/>
      <w:r w:rsidR="00933E29" w:rsidRPr="00524EEA">
        <w:rPr>
          <w:bCs/>
          <w:sz w:val="28"/>
          <w:szCs w:val="28"/>
        </w:rPr>
        <w:t>dapagliflozin</w:t>
      </w:r>
      <w:proofErr w:type="spellEnd"/>
      <w:r w:rsidR="00933E29" w:rsidRPr="00524EEA">
        <w:rPr>
          <w:bCs/>
          <w:sz w:val="28"/>
          <w:szCs w:val="28"/>
        </w:rPr>
        <w:t xml:space="preserve"> </w:t>
      </w:r>
      <w:proofErr w:type="spellStart"/>
      <w:r w:rsidR="00933E29" w:rsidRPr="00524EEA">
        <w:rPr>
          <w:bCs/>
          <w:sz w:val="28"/>
          <w:szCs w:val="28"/>
        </w:rPr>
        <w:t>propanediol</w:t>
      </w:r>
      <w:proofErr w:type="spellEnd"/>
      <w:r w:rsidR="00933E29" w:rsidRPr="00524EEA">
        <w:rPr>
          <w:bCs/>
          <w:sz w:val="28"/>
          <w:szCs w:val="28"/>
        </w:rPr>
        <w:t xml:space="preserve"> monohydrate</w:t>
      </w:r>
      <w:r w:rsidR="00DE38E6" w:rsidRPr="00524EEA">
        <w:rPr>
          <w:bCs/>
          <w:sz w:val="28"/>
          <w:szCs w:val="28"/>
        </w:rPr>
        <w:t xml:space="preserve">) </w:t>
      </w:r>
      <w:r w:rsidRPr="00524EEA">
        <w:rPr>
          <w:bCs/>
          <w:sz w:val="28"/>
          <w:szCs w:val="28"/>
        </w:rPr>
        <w:t>Tablets</w:t>
      </w:r>
    </w:p>
    <w:p w14:paraId="69A0B352" w14:textId="77777777" w:rsidR="001A3992" w:rsidRPr="00524EEA" w:rsidRDefault="001A3992" w:rsidP="00AC25AB">
      <w:pPr>
        <w:pStyle w:val="Heading1"/>
        <w:spacing w:before="0" w:after="120"/>
      </w:pPr>
      <w:r w:rsidRPr="00524EEA">
        <w:t>Name of the medicine</w:t>
      </w:r>
    </w:p>
    <w:p w14:paraId="550C3737" w14:textId="77777777" w:rsidR="00AC25AB" w:rsidRPr="00524EEA" w:rsidRDefault="00EC1810" w:rsidP="004E228A">
      <w:r w:rsidRPr="00524EEA">
        <w:t xml:space="preserve">The active ingredient in FORXIGA is </w:t>
      </w:r>
      <w:proofErr w:type="spellStart"/>
      <w:r w:rsidRPr="00524EEA">
        <w:t>dapagliflozin</w:t>
      </w:r>
      <w:proofErr w:type="spellEnd"/>
      <w:r w:rsidRPr="00524EEA">
        <w:t xml:space="preserve"> </w:t>
      </w:r>
      <w:proofErr w:type="spellStart"/>
      <w:r w:rsidRPr="00524EEA">
        <w:t>propanediol</w:t>
      </w:r>
      <w:proofErr w:type="spellEnd"/>
      <w:r w:rsidRPr="00524EEA">
        <w:t xml:space="preserve"> monohydrate.</w:t>
      </w:r>
    </w:p>
    <w:p w14:paraId="50AF1E6F" w14:textId="77777777" w:rsidR="001A3992" w:rsidRPr="00524EEA" w:rsidRDefault="001A3992" w:rsidP="001A3992">
      <w:pPr>
        <w:pStyle w:val="Heading1"/>
        <w:spacing w:before="0" w:after="120"/>
      </w:pPr>
      <w:r w:rsidRPr="00524EEA">
        <w:t>Qualitative and quantitative composition</w:t>
      </w:r>
    </w:p>
    <w:p w14:paraId="692F5FEA" w14:textId="77777777" w:rsidR="00C0700A" w:rsidRPr="00524EEA" w:rsidRDefault="00C0700A" w:rsidP="004E228A">
      <w:proofErr w:type="spellStart"/>
      <w:r w:rsidRPr="00524EEA">
        <w:rPr>
          <w:lang w:eastAsia="en-AU"/>
        </w:rPr>
        <w:t>Dapagliflozin</w:t>
      </w:r>
      <w:proofErr w:type="spellEnd"/>
      <w:r w:rsidRPr="00524EEA">
        <w:rPr>
          <w:lang w:eastAsia="en-AU"/>
        </w:rPr>
        <w:t xml:space="preserve"> drug substance is a white to off-white powder, is non-hygroscopic, crystalline. </w:t>
      </w:r>
      <w:proofErr w:type="spellStart"/>
      <w:r w:rsidRPr="00524EEA">
        <w:rPr>
          <w:lang w:eastAsia="en-AU"/>
        </w:rPr>
        <w:t>Dapagliflozin</w:t>
      </w:r>
      <w:proofErr w:type="spellEnd"/>
      <w:r w:rsidRPr="00524EEA">
        <w:rPr>
          <w:lang w:eastAsia="en-AU"/>
        </w:rPr>
        <w:t xml:space="preserve"> is non-</w:t>
      </w:r>
      <w:proofErr w:type="spellStart"/>
      <w:r w:rsidRPr="00524EEA">
        <w:rPr>
          <w:lang w:eastAsia="en-AU"/>
        </w:rPr>
        <w:t>ionizable</w:t>
      </w:r>
      <w:proofErr w:type="spellEnd"/>
      <w:r w:rsidRPr="00524EEA">
        <w:rPr>
          <w:lang w:eastAsia="en-AU"/>
        </w:rPr>
        <w:t xml:space="preserve">; thus, its aqueous solubility and partition coefficient are not affected by changes in </w:t>
      </w:r>
      <w:proofErr w:type="spellStart"/>
      <w:r w:rsidRPr="00524EEA">
        <w:rPr>
          <w:lang w:eastAsia="en-AU"/>
        </w:rPr>
        <w:t>pH.</w:t>
      </w:r>
      <w:proofErr w:type="spellEnd"/>
      <w:r w:rsidRPr="00524EEA">
        <w:rPr>
          <w:lang w:eastAsia="en-AU"/>
        </w:rPr>
        <w:t xml:space="preserve"> </w:t>
      </w:r>
      <w:proofErr w:type="spellStart"/>
      <w:r w:rsidRPr="00524EEA">
        <w:rPr>
          <w:lang w:eastAsia="en-AU"/>
        </w:rPr>
        <w:t>Dapagliflozin</w:t>
      </w:r>
      <w:proofErr w:type="spellEnd"/>
      <w:r w:rsidRPr="00524EEA">
        <w:rPr>
          <w:lang w:eastAsia="en-AU"/>
        </w:rPr>
        <w:t xml:space="preserve"> is a Biopharmaceutical Classification System (BCS) Class III drug.</w:t>
      </w:r>
    </w:p>
    <w:p w14:paraId="2403D1DB" w14:textId="77777777" w:rsidR="00C07601" w:rsidRPr="00524EEA" w:rsidRDefault="00C0700A" w:rsidP="004E228A">
      <w:r w:rsidRPr="00524EEA">
        <w:t xml:space="preserve">Each film-coated tablet of FORXIGA contains 10 mg of </w:t>
      </w:r>
      <w:proofErr w:type="spellStart"/>
      <w:r w:rsidRPr="00524EEA">
        <w:t>dapagliflozin</w:t>
      </w:r>
      <w:proofErr w:type="spellEnd"/>
      <w:r w:rsidRPr="00524EEA">
        <w:t xml:space="preserve"> (as </w:t>
      </w:r>
      <w:proofErr w:type="spellStart"/>
      <w:r w:rsidRPr="00524EEA">
        <w:t>dapagl</w:t>
      </w:r>
      <w:r w:rsidR="00344D33" w:rsidRPr="00524EEA">
        <w:t>iflozin</w:t>
      </w:r>
      <w:proofErr w:type="spellEnd"/>
      <w:r w:rsidR="00344D33" w:rsidRPr="00524EEA">
        <w:t xml:space="preserve"> </w:t>
      </w:r>
      <w:proofErr w:type="spellStart"/>
      <w:r w:rsidR="00344D33" w:rsidRPr="00524EEA">
        <w:t>propanediol</w:t>
      </w:r>
      <w:proofErr w:type="spellEnd"/>
      <w:r w:rsidR="00344D33" w:rsidRPr="00524EEA">
        <w:t xml:space="preserve"> monohydrate</w:t>
      </w:r>
      <w:r w:rsidRPr="00524EEA">
        <w:t>)</w:t>
      </w:r>
      <w:r w:rsidR="00C07601" w:rsidRPr="00524EEA">
        <w:t>.</w:t>
      </w:r>
    </w:p>
    <w:p w14:paraId="5F3A718D" w14:textId="77777777" w:rsidR="00C07601" w:rsidRPr="00524EEA" w:rsidRDefault="00C07601" w:rsidP="00C07601">
      <w:pPr>
        <w:rPr>
          <w:lang w:eastAsia="en-AU"/>
        </w:rPr>
      </w:pPr>
      <w:r w:rsidRPr="00524EEA">
        <w:rPr>
          <w:i/>
          <w:lang w:eastAsia="en-AU"/>
        </w:rPr>
        <w:t>Excipient with known effect</w:t>
      </w:r>
      <w:r w:rsidRPr="00524EEA">
        <w:rPr>
          <w:lang w:eastAsia="en-AU"/>
        </w:rPr>
        <w:t>: lactose</w:t>
      </w:r>
    </w:p>
    <w:p w14:paraId="3CA66AAD" w14:textId="6B15D4DE" w:rsidR="002D1E8A" w:rsidRPr="00524EEA" w:rsidRDefault="00C07601" w:rsidP="004E228A">
      <w:pPr>
        <w:rPr>
          <w:lang w:eastAsia="en-AU"/>
        </w:rPr>
      </w:pPr>
      <w:r w:rsidRPr="00524EEA">
        <w:rPr>
          <w:lang w:eastAsia="en-AU"/>
        </w:rPr>
        <w:t>For the full list of excipients, see section 6.1 List of excipients.</w:t>
      </w:r>
    </w:p>
    <w:p w14:paraId="0A973922" w14:textId="77777777" w:rsidR="001A3992" w:rsidRPr="00524EEA" w:rsidRDefault="001A3992" w:rsidP="001A3992">
      <w:pPr>
        <w:pStyle w:val="Heading1"/>
        <w:spacing w:before="0" w:after="120"/>
      </w:pPr>
      <w:r w:rsidRPr="00524EEA">
        <w:t>Pharmaceutical form</w:t>
      </w:r>
    </w:p>
    <w:p w14:paraId="66779056" w14:textId="2C6704EC" w:rsidR="00AC25AB" w:rsidRPr="00524EEA" w:rsidRDefault="00C66FF7" w:rsidP="00AC25AB">
      <w:r w:rsidRPr="00524EEA">
        <w:t>FORXIGA (</w:t>
      </w:r>
      <w:proofErr w:type="spellStart"/>
      <w:r w:rsidRPr="00524EEA">
        <w:t>dapagliflozin</w:t>
      </w:r>
      <w:proofErr w:type="spellEnd"/>
      <w:r w:rsidRPr="00524EEA">
        <w:t>) 10 mg tablets are yellow, biconvex, diamond, film coated tablets</w:t>
      </w:r>
      <w:r w:rsidR="00654105" w:rsidRPr="00524EEA">
        <w:t>.</w:t>
      </w:r>
      <w:r w:rsidRPr="00524EEA">
        <w:t xml:space="preserve"> </w:t>
      </w:r>
    </w:p>
    <w:p w14:paraId="13E91BEC" w14:textId="77777777" w:rsidR="001A3992" w:rsidRPr="00524EEA" w:rsidRDefault="001A3992" w:rsidP="001A3992">
      <w:pPr>
        <w:pStyle w:val="Heading1"/>
        <w:spacing w:before="0" w:after="120"/>
      </w:pPr>
      <w:r w:rsidRPr="00524EEA">
        <w:t>Clinical particulars</w:t>
      </w:r>
    </w:p>
    <w:p w14:paraId="70E0D6B1" w14:textId="3E28ABF7" w:rsidR="001A3992" w:rsidRPr="00524EEA" w:rsidRDefault="003E7A52" w:rsidP="003E7A52">
      <w:pPr>
        <w:pStyle w:val="Heading2"/>
      </w:pPr>
      <w:r w:rsidRPr="00524EEA">
        <w:t>Therapeutic indications</w:t>
      </w:r>
      <w:r w:rsidR="001310EE" w:rsidRPr="00524EEA">
        <w:t xml:space="preserve">  </w:t>
      </w:r>
    </w:p>
    <w:p w14:paraId="62C7EDF1" w14:textId="77777777" w:rsidR="00D05DE8" w:rsidRPr="00524EEA" w:rsidRDefault="00D05DE8" w:rsidP="00D05DE8">
      <w:pPr>
        <w:pStyle w:val="Heading3"/>
      </w:pPr>
      <w:r w:rsidRPr="00524EEA">
        <w:t>Type 2 diabetes mellitus</w:t>
      </w:r>
    </w:p>
    <w:p w14:paraId="1C87DC05" w14:textId="22C460F2" w:rsidR="00423EC6" w:rsidRPr="00524EEA" w:rsidRDefault="00423EC6" w:rsidP="00515747">
      <w:pPr>
        <w:pStyle w:val="Heading4"/>
      </w:pPr>
      <w:r w:rsidRPr="00524EEA">
        <w:t>Glycaemic control</w:t>
      </w:r>
      <w:r w:rsidR="004D5F2B" w:rsidRPr="00524EEA">
        <w:t xml:space="preserve">  </w:t>
      </w:r>
    </w:p>
    <w:p w14:paraId="1399FA8F" w14:textId="774EDC1B" w:rsidR="00530B12" w:rsidRPr="00524EEA" w:rsidRDefault="00530B12" w:rsidP="00402780">
      <w:pPr>
        <w:rPr>
          <w:lang w:val="en-US"/>
        </w:rPr>
      </w:pPr>
      <w:r w:rsidRPr="00524EEA">
        <w:rPr>
          <w:lang w:val="en-US"/>
        </w:rPr>
        <w:t>FORXIGA is indicated in adults with type 2 diabetes mellitus:</w:t>
      </w:r>
    </w:p>
    <w:p w14:paraId="160304A4" w14:textId="451641F2" w:rsidR="003E7A52" w:rsidRPr="00524EEA" w:rsidRDefault="00530B12" w:rsidP="000B34D0">
      <w:pPr>
        <w:pStyle w:val="ListParagraph"/>
        <w:numPr>
          <w:ilvl w:val="0"/>
          <w:numId w:val="27"/>
        </w:numPr>
      </w:pPr>
      <w:r w:rsidRPr="00524EEA">
        <w:t xml:space="preserve">as monotherapy </w:t>
      </w:r>
      <w:r w:rsidR="003E7A52" w:rsidRPr="00524EEA">
        <w:t>as an adjunct to diet and exercise in patients for whom metformin is otherwise indicated but was not tolerated.</w:t>
      </w:r>
    </w:p>
    <w:p w14:paraId="7D1FC925" w14:textId="33FD1C54" w:rsidR="003E7A52" w:rsidRPr="00524EEA" w:rsidRDefault="003E7A52" w:rsidP="0069765D">
      <w:pPr>
        <w:pStyle w:val="ListParagraph"/>
        <w:numPr>
          <w:ilvl w:val="0"/>
          <w:numId w:val="19"/>
        </w:numPr>
        <w:rPr>
          <w:rFonts w:cs="Arial"/>
        </w:rPr>
      </w:pPr>
      <w:r w:rsidRPr="00524EEA">
        <w:t xml:space="preserve">as initial combination therapy with metformin, as an adjunct to diet and exercise, to improve glycaemic control when diet and exercise have failed to provide adequate glycaemic control and there are poor prospects for response to metformin </w:t>
      </w:r>
      <w:r w:rsidRPr="00524EEA">
        <w:rPr>
          <w:rFonts w:cs="Arial"/>
        </w:rPr>
        <w:t xml:space="preserve">monotherapy (for example, </w:t>
      </w:r>
      <w:r w:rsidRPr="00524EEA">
        <w:rPr>
          <w:rFonts w:cs="Arial"/>
          <w:lang w:eastAsia="en-AU"/>
        </w:rPr>
        <w:t xml:space="preserve">high initial </w:t>
      </w:r>
      <w:r w:rsidR="005F5A58" w:rsidRPr="00524EEA">
        <w:rPr>
          <w:rFonts w:cs="Arial"/>
          <w:lang w:eastAsia="en-AU"/>
        </w:rPr>
        <w:t>haemoglobin A1c [</w:t>
      </w:r>
      <w:r w:rsidRPr="00524EEA">
        <w:rPr>
          <w:rFonts w:cs="Arial"/>
          <w:lang w:eastAsia="en-AU"/>
        </w:rPr>
        <w:t>HbA1c</w:t>
      </w:r>
      <w:r w:rsidR="005F5A58" w:rsidRPr="00524EEA">
        <w:rPr>
          <w:rFonts w:cs="Arial"/>
          <w:lang w:eastAsia="en-AU"/>
        </w:rPr>
        <w:t>]</w:t>
      </w:r>
      <w:r w:rsidRPr="00524EEA">
        <w:rPr>
          <w:rFonts w:cs="Arial"/>
          <w:lang w:eastAsia="en-AU"/>
        </w:rPr>
        <w:t xml:space="preserve"> levels)</w:t>
      </w:r>
      <w:r w:rsidRPr="00524EEA">
        <w:rPr>
          <w:rFonts w:cs="Arial"/>
        </w:rPr>
        <w:t>.</w:t>
      </w:r>
    </w:p>
    <w:p w14:paraId="4A07D80F" w14:textId="1A6F7C08" w:rsidR="00FF6901" w:rsidRPr="00524EEA" w:rsidRDefault="00F52AA4" w:rsidP="00FF6901">
      <w:pPr>
        <w:pStyle w:val="ListParagraph"/>
        <w:numPr>
          <w:ilvl w:val="0"/>
          <w:numId w:val="28"/>
        </w:numPr>
      </w:pPr>
      <w:r w:rsidRPr="00524EEA">
        <w:t xml:space="preserve">in combination with other anti-hyperglycaemic agents </w:t>
      </w:r>
      <w:r w:rsidR="00C66C3F" w:rsidRPr="00524EEA">
        <w:t>to improve glycaemic control, when these together with diet and exercise, do not provide adequate glycaemic control (see section 5.1 Pharmacodynamic properties – Clinical trials and section 4.4 Special warnings and precautions for use for available data on different add-on combination therapies).</w:t>
      </w:r>
    </w:p>
    <w:p w14:paraId="6E909FD6" w14:textId="26D3D612" w:rsidR="00423EC6" w:rsidRPr="00524EEA" w:rsidRDefault="00423EC6" w:rsidP="00515747">
      <w:pPr>
        <w:pStyle w:val="Heading4"/>
      </w:pPr>
      <w:r w:rsidRPr="00524EEA">
        <w:lastRenderedPageBreak/>
        <w:t>Prevention of hospitalisation for heart failure</w:t>
      </w:r>
    </w:p>
    <w:p w14:paraId="041AD2E9" w14:textId="291E7361" w:rsidR="00FF1E98" w:rsidRPr="00524EEA" w:rsidRDefault="00216B76" w:rsidP="00216B76">
      <w:pPr>
        <w:rPr>
          <w:lang w:val="en-US"/>
        </w:rPr>
      </w:pPr>
      <w:r w:rsidRPr="00524EEA">
        <w:rPr>
          <w:lang w:val="en-US"/>
        </w:rPr>
        <w:t>FORXIGA is indicated in adults with type 2 diabetes mellitus</w:t>
      </w:r>
      <w:r w:rsidR="00725C16" w:rsidRPr="00524EEA">
        <w:rPr>
          <w:lang w:val="en-US"/>
        </w:rPr>
        <w:t xml:space="preserve"> and </w:t>
      </w:r>
      <w:r w:rsidR="00FF1E98" w:rsidRPr="00524EEA">
        <w:rPr>
          <w:lang w:val="en-US"/>
        </w:rPr>
        <w:t xml:space="preserve">established cardiovascular disease </w:t>
      </w:r>
      <w:bookmarkStart w:id="0" w:name="_Hlk26449314"/>
      <w:r w:rsidR="004A2021" w:rsidRPr="00524EEA">
        <w:rPr>
          <w:lang w:val="en-US"/>
        </w:rPr>
        <w:t>or risk factors for car</w:t>
      </w:r>
      <w:r w:rsidR="004C3D18" w:rsidRPr="00524EEA">
        <w:rPr>
          <w:lang w:val="en-US"/>
        </w:rPr>
        <w:t>d</w:t>
      </w:r>
      <w:r w:rsidR="004A2021" w:rsidRPr="00524EEA">
        <w:rPr>
          <w:lang w:val="en-US"/>
        </w:rPr>
        <w:t xml:space="preserve">iovascular disease </w:t>
      </w:r>
      <w:bookmarkEnd w:id="0"/>
      <w:r w:rsidR="00BB607C" w:rsidRPr="00524EEA">
        <w:rPr>
          <w:lang w:val="en-US"/>
        </w:rPr>
        <w:t xml:space="preserve">to reduce the risk of hospitalization for heart failure </w:t>
      </w:r>
      <w:r w:rsidR="00FF1E98" w:rsidRPr="00524EEA">
        <w:rPr>
          <w:lang w:val="en-US"/>
        </w:rPr>
        <w:t xml:space="preserve">(see section </w:t>
      </w:r>
      <w:r w:rsidR="00FF1E98" w:rsidRPr="00524EEA">
        <w:t>5.1 Pharmacodynamic properties – Clinical trials</w:t>
      </w:r>
      <w:r w:rsidR="00FF1E98" w:rsidRPr="00524EEA">
        <w:rPr>
          <w:lang w:val="en-US"/>
        </w:rPr>
        <w:t>)</w:t>
      </w:r>
      <w:r w:rsidR="005C4410" w:rsidRPr="00524EEA">
        <w:rPr>
          <w:lang w:val="en-US"/>
        </w:rPr>
        <w:t>.</w:t>
      </w:r>
      <w:r w:rsidR="00186D6D" w:rsidRPr="00524EEA">
        <w:rPr>
          <w:lang w:val="en-US"/>
        </w:rPr>
        <w:t xml:space="preserve"> </w:t>
      </w:r>
    </w:p>
    <w:p w14:paraId="5449BA6B" w14:textId="77777777" w:rsidR="00B14DDA" w:rsidRPr="00524EEA" w:rsidRDefault="00B14DDA" w:rsidP="00515747">
      <w:pPr>
        <w:pStyle w:val="Heading3"/>
      </w:pPr>
      <w:bookmarkStart w:id="1" w:name="_Hlk42533315"/>
      <w:r w:rsidRPr="00524EEA">
        <w:t>Heart failure</w:t>
      </w:r>
    </w:p>
    <w:bookmarkEnd w:id="1"/>
    <w:p w14:paraId="103D213D" w14:textId="1121B544" w:rsidR="00B14DDA" w:rsidRPr="00524EEA" w:rsidRDefault="00B14DDA" w:rsidP="006B5A08">
      <w:pPr>
        <w:autoSpaceDE w:val="0"/>
        <w:autoSpaceDN w:val="0"/>
        <w:adjustRightInd w:val="0"/>
        <w:spacing w:after="0" w:line="240" w:lineRule="auto"/>
      </w:pPr>
      <w:r w:rsidRPr="00524EEA">
        <w:t xml:space="preserve">FORXIGA is indicated in adults for the treatment of </w:t>
      </w:r>
      <w:r w:rsidR="002155D1" w:rsidRPr="00524EEA">
        <w:t xml:space="preserve">symptomatic </w:t>
      </w:r>
      <w:r w:rsidRPr="00524EEA">
        <w:t>heart failure with reduced ejection</w:t>
      </w:r>
      <w:r w:rsidR="006B5A08" w:rsidRPr="00524EEA">
        <w:t xml:space="preserve"> </w:t>
      </w:r>
      <w:r w:rsidRPr="00524EEA">
        <w:t>fraction</w:t>
      </w:r>
      <w:r w:rsidR="009A35E2" w:rsidRPr="00524EEA">
        <w:t>, as an adjunct to standard of care therapy</w:t>
      </w:r>
      <w:r w:rsidRPr="00524EEA">
        <w:t xml:space="preserve"> (see section 5.1 Pharmacodynamic properties).</w:t>
      </w:r>
    </w:p>
    <w:p w14:paraId="7C9939B6" w14:textId="29F892F0" w:rsidR="001A3992" w:rsidRPr="00524EEA" w:rsidRDefault="001A3992" w:rsidP="006B5A08">
      <w:pPr>
        <w:pStyle w:val="Heading2"/>
        <w:ind w:left="578" w:hanging="578"/>
      </w:pPr>
      <w:bookmarkStart w:id="2" w:name="_Ref501530618"/>
      <w:r w:rsidRPr="00524EEA">
        <w:t>Do</w:t>
      </w:r>
      <w:r w:rsidR="00F81E19" w:rsidRPr="00524EEA">
        <w:t>se and method of administration</w:t>
      </w:r>
      <w:bookmarkEnd w:id="2"/>
    </w:p>
    <w:p w14:paraId="4F5CB918" w14:textId="77777777" w:rsidR="00515747" w:rsidRPr="00524EEA" w:rsidRDefault="00515747" w:rsidP="00515747">
      <w:pPr>
        <w:pStyle w:val="Heading3"/>
      </w:pPr>
      <w:bookmarkStart w:id="3" w:name="_Toc1971367"/>
      <w:bookmarkStart w:id="4" w:name="_Toc2059755"/>
      <w:bookmarkStart w:id="5" w:name="_Toc2060964"/>
      <w:bookmarkStart w:id="6" w:name="_Toc2061071"/>
      <w:bookmarkStart w:id="7" w:name="_Toc2061582"/>
      <w:bookmarkStart w:id="8" w:name="_Toc2061646"/>
      <w:bookmarkStart w:id="9" w:name="_Toc2061711"/>
      <w:bookmarkStart w:id="10" w:name="_Toc2062027"/>
      <w:bookmarkStart w:id="11" w:name="_Toc275524884"/>
      <w:r w:rsidRPr="00524EEA">
        <w:t>Type 2 diabetes mellitus</w:t>
      </w:r>
    </w:p>
    <w:p w14:paraId="03F626FB" w14:textId="77777777" w:rsidR="00F81E19" w:rsidRPr="00524EEA" w:rsidRDefault="00F81E19" w:rsidP="00F81E19">
      <w:pPr>
        <w:pStyle w:val="Heading3"/>
      </w:pPr>
      <w:r w:rsidRPr="00524EEA">
        <w:t>Recommended dosage</w:t>
      </w:r>
      <w:bookmarkEnd w:id="3"/>
      <w:bookmarkEnd w:id="4"/>
      <w:bookmarkEnd w:id="5"/>
      <w:bookmarkEnd w:id="6"/>
      <w:bookmarkEnd w:id="7"/>
      <w:bookmarkEnd w:id="8"/>
      <w:bookmarkEnd w:id="9"/>
      <w:bookmarkEnd w:id="10"/>
      <w:bookmarkEnd w:id="11"/>
    </w:p>
    <w:p w14:paraId="041A95F9" w14:textId="5B35D59F" w:rsidR="00F81E19" w:rsidRPr="00524EEA" w:rsidRDefault="00F81E19" w:rsidP="00F81E19">
      <w:r w:rsidRPr="00524EEA">
        <w:t xml:space="preserve">The recommended dose of FORXIGA is 10 mg taken once daily at any time of the day regardless of meals. </w:t>
      </w:r>
    </w:p>
    <w:p w14:paraId="5BE0E150" w14:textId="3B243440" w:rsidR="00F81E19" w:rsidRPr="00524EEA" w:rsidRDefault="00F81E19" w:rsidP="00F81E19">
      <w:r w:rsidRPr="00524EEA">
        <w:t xml:space="preserve">When FORXIGA is used as an add-on therapy with insulin or an insulin </w:t>
      </w:r>
      <w:proofErr w:type="spellStart"/>
      <w:r w:rsidRPr="00524EEA">
        <w:t>secretagogue</w:t>
      </w:r>
      <w:proofErr w:type="spellEnd"/>
      <w:r w:rsidRPr="00524EEA">
        <w:t xml:space="preserve"> (</w:t>
      </w:r>
      <w:proofErr w:type="spellStart"/>
      <w:r w:rsidRPr="00524EEA">
        <w:t>e.g</w:t>
      </w:r>
      <w:proofErr w:type="spellEnd"/>
      <w:r w:rsidRPr="00524EEA">
        <w:t xml:space="preserve">, sulfonylurea), a lower dose of insulin or an insulin </w:t>
      </w:r>
      <w:proofErr w:type="spellStart"/>
      <w:r w:rsidRPr="00524EEA">
        <w:t>secretagogue</w:t>
      </w:r>
      <w:proofErr w:type="spellEnd"/>
      <w:r w:rsidRPr="00524EEA">
        <w:t xml:space="preserve"> may be considered to reduce the risk of hypog</w:t>
      </w:r>
      <w:r w:rsidR="00770A59" w:rsidRPr="00524EEA">
        <w:t>l</w:t>
      </w:r>
      <w:r w:rsidRPr="00524EEA">
        <w:t>ycaemia.</w:t>
      </w:r>
    </w:p>
    <w:p w14:paraId="2D64628C" w14:textId="1EFBF83F" w:rsidR="00F81E19" w:rsidRPr="00524EEA" w:rsidRDefault="00F81E19" w:rsidP="00F81E19">
      <w:r w:rsidRPr="00524EEA">
        <w:t xml:space="preserve">The recommended starting doses of FORXIGA and metformin when used as initial combination therapy are 10 mg FORXIGA plus 500 mg metformin once daily.  Patients with inadequate glycaemic control on this starting dose should have their metformin dose increased according to approved metformin Product Information. </w:t>
      </w:r>
    </w:p>
    <w:p w14:paraId="65E67D28" w14:textId="77777777" w:rsidR="008E363A" w:rsidRPr="00524EEA" w:rsidRDefault="008E363A" w:rsidP="008E363A">
      <w:pPr>
        <w:pStyle w:val="Heading3"/>
      </w:pPr>
      <w:r w:rsidRPr="00524EEA">
        <w:t>Heart failure</w:t>
      </w:r>
    </w:p>
    <w:p w14:paraId="565C56E0" w14:textId="77777777" w:rsidR="008E363A" w:rsidRPr="00524EEA" w:rsidRDefault="008E363A" w:rsidP="008E363A">
      <w:pPr>
        <w:autoSpaceDE w:val="0"/>
        <w:autoSpaceDN w:val="0"/>
        <w:adjustRightInd w:val="0"/>
        <w:spacing w:after="0" w:line="240" w:lineRule="auto"/>
      </w:pPr>
      <w:r w:rsidRPr="00524EEA">
        <w:t>The recommended dose of FORXIGA is 10 mg taken orally once daily at any time of the day</w:t>
      </w:r>
    </w:p>
    <w:p w14:paraId="436F3ACA" w14:textId="5EA9727A" w:rsidR="008E363A" w:rsidRPr="00524EEA" w:rsidRDefault="008E363A" w:rsidP="008E363A">
      <w:pPr>
        <w:autoSpaceDE w:val="0"/>
        <w:autoSpaceDN w:val="0"/>
        <w:adjustRightInd w:val="0"/>
        <w:spacing w:after="0" w:line="240" w:lineRule="auto"/>
      </w:pPr>
      <w:r w:rsidRPr="00524EEA">
        <w:t xml:space="preserve">regardless of meals. FORXIGA </w:t>
      </w:r>
      <w:r w:rsidR="009A35E2" w:rsidRPr="00524EEA">
        <w:t xml:space="preserve">should </w:t>
      </w:r>
      <w:r w:rsidRPr="00524EEA">
        <w:t xml:space="preserve">be used in conjunction with </w:t>
      </w:r>
      <w:r w:rsidR="00F55083">
        <w:t>individual</w:t>
      </w:r>
      <w:r w:rsidR="00B8499E">
        <w:t>ised</w:t>
      </w:r>
      <w:r w:rsidR="00F55083" w:rsidRPr="00440D07">
        <w:t xml:space="preserve"> </w:t>
      </w:r>
      <w:r w:rsidR="004D1192" w:rsidRPr="00440D07">
        <w:t>standard of care therapy</w:t>
      </w:r>
      <w:r w:rsidRPr="00524EEA">
        <w:t>.</w:t>
      </w:r>
    </w:p>
    <w:p w14:paraId="061606FD" w14:textId="1425E4F8" w:rsidR="00AF7002" w:rsidRPr="00524EEA" w:rsidRDefault="00AF7002" w:rsidP="00AF7002">
      <w:pPr>
        <w:pStyle w:val="Heading3"/>
      </w:pPr>
      <w:bookmarkStart w:id="12" w:name="_Toc522071738"/>
      <w:bookmarkStart w:id="13" w:name="_Toc1971368"/>
      <w:bookmarkStart w:id="14" w:name="_Toc2059756"/>
      <w:bookmarkStart w:id="15" w:name="_Toc2060965"/>
      <w:bookmarkStart w:id="16" w:name="_Toc2061072"/>
      <w:bookmarkStart w:id="17" w:name="_Toc2061583"/>
      <w:bookmarkStart w:id="18" w:name="_Toc2061647"/>
      <w:bookmarkStart w:id="19" w:name="_Toc2061712"/>
      <w:bookmarkStart w:id="20" w:name="_Toc2062028"/>
      <w:bookmarkStart w:id="21" w:name="_Toc275524885"/>
      <w:r w:rsidRPr="00524EEA">
        <w:t>Renal impairment</w:t>
      </w:r>
      <w:bookmarkEnd w:id="12"/>
      <w:bookmarkEnd w:id="13"/>
      <w:bookmarkEnd w:id="14"/>
      <w:bookmarkEnd w:id="15"/>
      <w:bookmarkEnd w:id="16"/>
      <w:bookmarkEnd w:id="17"/>
      <w:bookmarkEnd w:id="18"/>
      <w:bookmarkEnd w:id="19"/>
      <w:bookmarkEnd w:id="20"/>
      <w:bookmarkEnd w:id="21"/>
    </w:p>
    <w:p w14:paraId="417C2DE5" w14:textId="46D6F415" w:rsidR="00515747" w:rsidRPr="00524EEA" w:rsidRDefault="00515747" w:rsidP="00515747">
      <w:pPr>
        <w:pStyle w:val="Heading4"/>
      </w:pPr>
      <w:bookmarkStart w:id="22" w:name="_Hlk43308837"/>
      <w:r w:rsidRPr="00524EEA">
        <w:t>Treatment of diabetes mellitus</w:t>
      </w:r>
    </w:p>
    <w:bookmarkEnd w:id="22"/>
    <w:p w14:paraId="10F8B7AB" w14:textId="77777777" w:rsidR="00B8499E" w:rsidRDefault="003E015B" w:rsidP="00811251">
      <w:pPr>
        <w:rPr>
          <w:lang w:val="en-US"/>
        </w:rPr>
      </w:pPr>
      <w:r w:rsidRPr="00524EEA">
        <w:rPr>
          <w:lang w:val="en-US"/>
        </w:rPr>
        <w:t xml:space="preserve">No dose adjustment is required </w:t>
      </w:r>
      <w:r w:rsidRPr="00524EEA">
        <w:t xml:space="preserve">for patients with </w:t>
      </w:r>
      <w:proofErr w:type="spellStart"/>
      <w:r w:rsidRPr="00524EEA">
        <w:t>eGFR</w:t>
      </w:r>
      <w:proofErr w:type="spellEnd"/>
      <w:r w:rsidRPr="00524EEA">
        <w:t xml:space="preserve"> ≥45 mL/min/1.73 m</w:t>
      </w:r>
      <w:r w:rsidRPr="00524EEA">
        <w:rPr>
          <w:vertAlign w:val="superscript"/>
        </w:rPr>
        <w:t>2</w:t>
      </w:r>
      <w:r w:rsidRPr="00524EEA">
        <w:rPr>
          <w:lang w:val="en-US"/>
        </w:rPr>
        <w:t>.</w:t>
      </w:r>
    </w:p>
    <w:p w14:paraId="0CCDB16C" w14:textId="25999BBF" w:rsidR="00811251" w:rsidRPr="00524EEA" w:rsidRDefault="00811251" w:rsidP="00811251">
      <w:r w:rsidRPr="00524EEA">
        <w:t xml:space="preserve">Assess renal function prior to initiation of </w:t>
      </w:r>
      <w:proofErr w:type="spellStart"/>
      <w:r w:rsidRPr="00524EEA">
        <w:t>dapagliflozin</w:t>
      </w:r>
      <w:proofErr w:type="spellEnd"/>
      <w:r w:rsidRPr="00524EEA">
        <w:t xml:space="preserve"> and periodically thereafter.</w:t>
      </w:r>
    </w:p>
    <w:p w14:paraId="7FECA9D7" w14:textId="5B2F6629" w:rsidR="00DC7A47" w:rsidRPr="00524EEA" w:rsidRDefault="00DC7A47" w:rsidP="00AF7002">
      <w:bookmarkStart w:id="23" w:name="_Toc522071739"/>
      <w:bookmarkStart w:id="24" w:name="_Toc1971369"/>
      <w:bookmarkStart w:id="25" w:name="_Toc2059757"/>
      <w:bookmarkStart w:id="26" w:name="_Toc2060966"/>
      <w:bookmarkStart w:id="27" w:name="_Toc2061073"/>
      <w:bookmarkStart w:id="28" w:name="_Toc2061584"/>
      <w:bookmarkStart w:id="29" w:name="_Toc2061648"/>
      <w:bookmarkStart w:id="30" w:name="_Toc2061713"/>
      <w:bookmarkStart w:id="31" w:name="_Toc2062029"/>
      <w:bookmarkStart w:id="32" w:name="_Toc275524886"/>
      <w:r w:rsidRPr="00524EEA">
        <w:t xml:space="preserve">As the glycaemic efficacy is dependent on renal function (see section 4.4 Special warnings and precautions for use, section 4.8 Adverse effects (Undesirable effects) and section 5.1 Pharmacodynamic properties – Clinical Trials). </w:t>
      </w:r>
      <w:r w:rsidR="00AF7002" w:rsidRPr="00524EEA">
        <w:t xml:space="preserve">FORXIGA should not be used </w:t>
      </w:r>
      <w:r w:rsidRPr="00524EEA">
        <w:t xml:space="preserve">to improve glycaemic control in </w:t>
      </w:r>
      <w:r w:rsidR="00AC44D6" w:rsidRPr="00524EEA">
        <w:t xml:space="preserve">the treatment of diabetes </w:t>
      </w:r>
      <w:r w:rsidR="00AF7002" w:rsidRPr="00524EEA">
        <w:t xml:space="preserve">in patients </w:t>
      </w:r>
      <w:r w:rsidR="0005016A" w:rsidRPr="00524EEA">
        <w:t xml:space="preserve">for </w:t>
      </w:r>
      <w:r w:rsidR="00024B87" w:rsidRPr="00524EEA">
        <w:t xml:space="preserve">whom </w:t>
      </w:r>
      <w:r w:rsidR="00AC44D6" w:rsidRPr="00524EEA">
        <w:t>the</w:t>
      </w:r>
      <w:r w:rsidR="009A353B" w:rsidRPr="00524EEA">
        <w:t xml:space="preserve"> estimated glomerular filtration rate (</w:t>
      </w:r>
      <w:proofErr w:type="spellStart"/>
      <w:r w:rsidR="00AF7002" w:rsidRPr="00524EEA">
        <w:t>eGFR</w:t>
      </w:r>
      <w:proofErr w:type="spellEnd"/>
      <w:r w:rsidR="009A353B" w:rsidRPr="00524EEA">
        <w:t>)</w:t>
      </w:r>
      <w:r w:rsidR="00AF7002" w:rsidRPr="00524EEA">
        <w:t xml:space="preserve"> </w:t>
      </w:r>
      <w:r w:rsidR="009A353B" w:rsidRPr="00524EEA">
        <w:t xml:space="preserve">is </w:t>
      </w:r>
      <w:r w:rsidR="00AF7002" w:rsidRPr="00524EEA">
        <w:t>persistently</w:t>
      </w:r>
      <w:r w:rsidR="009A353B" w:rsidRPr="00524EEA">
        <w:t xml:space="preserve"> below</w:t>
      </w:r>
      <w:r w:rsidR="00AF7002" w:rsidRPr="00524EEA">
        <w:t xml:space="preserve"> </w:t>
      </w:r>
      <w:r w:rsidR="009A353B" w:rsidRPr="00524EEA">
        <w:t xml:space="preserve">45 </w:t>
      </w:r>
      <w:r w:rsidR="00AF7002" w:rsidRPr="00524EEA">
        <w:t>mL/min/1.73 m</w:t>
      </w:r>
      <w:r w:rsidR="00AF7002" w:rsidRPr="00524EEA">
        <w:rPr>
          <w:vertAlign w:val="superscript"/>
        </w:rPr>
        <w:t>2</w:t>
      </w:r>
      <w:r w:rsidR="00AF7002" w:rsidRPr="00524EEA">
        <w:t xml:space="preserve"> by </w:t>
      </w:r>
      <w:r w:rsidR="009A353B" w:rsidRPr="00524EEA">
        <w:t>Modified Diet in Renal Disease (</w:t>
      </w:r>
      <w:r w:rsidR="00AF7002" w:rsidRPr="00524EEA">
        <w:t>MDRD</w:t>
      </w:r>
      <w:r w:rsidR="009A353B" w:rsidRPr="00524EEA">
        <w:t>)</w:t>
      </w:r>
      <w:r w:rsidRPr="00524EEA">
        <w:t>.</w:t>
      </w:r>
      <w:r w:rsidR="00AF7002" w:rsidRPr="00524EEA">
        <w:t xml:space="preserve"> </w:t>
      </w:r>
      <w:bookmarkEnd w:id="23"/>
      <w:bookmarkEnd w:id="24"/>
      <w:bookmarkEnd w:id="25"/>
      <w:bookmarkEnd w:id="26"/>
      <w:bookmarkEnd w:id="27"/>
      <w:bookmarkEnd w:id="28"/>
      <w:bookmarkEnd w:id="29"/>
      <w:bookmarkEnd w:id="30"/>
      <w:bookmarkEnd w:id="31"/>
      <w:bookmarkEnd w:id="32"/>
    </w:p>
    <w:p w14:paraId="59287288" w14:textId="45D02763" w:rsidR="0029524A" w:rsidRPr="00524EEA" w:rsidRDefault="0029524A" w:rsidP="0029524A">
      <w:pPr>
        <w:pStyle w:val="Heading4"/>
      </w:pPr>
      <w:r w:rsidRPr="00524EEA">
        <w:t xml:space="preserve">Treatment of </w:t>
      </w:r>
      <w:r w:rsidR="00FD6254" w:rsidRPr="00524EEA">
        <w:t>h</w:t>
      </w:r>
      <w:r w:rsidRPr="00524EEA">
        <w:t>eart failure</w:t>
      </w:r>
    </w:p>
    <w:p w14:paraId="1E3AD7A6" w14:textId="4CDA433C" w:rsidR="00D560E8" w:rsidRPr="00524EEA" w:rsidRDefault="0029524A" w:rsidP="00AF7002">
      <w:r w:rsidRPr="00524EEA">
        <w:t>No dosage adjustment is required based on renal function</w:t>
      </w:r>
      <w:r w:rsidR="00C51632" w:rsidRPr="00524EEA">
        <w:t xml:space="preserve"> (see section 4.4 Special warnings and precautions for use</w:t>
      </w:r>
      <w:r w:rsidR="00297ADF" w:rsidRPr="00524EEA">
        <w:t xml:space="preserve"> </w:t>
      </w:r>
      <w:r w:rsidR="00D560E8" w:rsidRPr="00524EEA">
        <w:t>- Use in renal impairment)</w:t>
      </w:r>
      <w:r w:rsidRPr="00524EEA">
        <w:t>.</w:t>
      </w:r>
    </w:p>
    <w:p w14:paraId="4CE24319" w14:textId="77777777" w:rsidR="00AF7002" w:rsidRPr="00524EEA" w:rsidRDefault="00AF7002" w:rsidP="00AF7002">
      <w:pPr>
        <w:pStyle w:val="Heading3"/>
      </w:pPr>
      <w:r w:rsidRPr="00524EEA">
        <w:lastRenderedPageBreak/>
        <w:t>Hepatic Impairment</w:t>
      </w:r>
    </w:p>
    <w:p w14:paraId="1F34E821" w14:textId="01199D5D" w:rsidR="00AF7002" w:rsidRPr="00524EEA" w:rsidRDefault="00AF7002" w:rsidP="00AF7002">
      <w:r w:rsidRPr="00524EEA">
        <w:t xml:space="preserve">No dosage adjustment for FORXIGA is necessary for patients with mild or moderate hepatic impairment.  FORXIGA should not be used in patients with severe hepatic impairment (see </w:t>
      </w:r>
      <w:r w:rsidR="004B7251" w:rsidRPr="00524EEA">
        <w:t>section</w:t>
      </w:r>
      <w:r w:rsidR="00747539" w:rsidRPr="00524EEA">
        <w:t xml:space="preserve"> 4.4 Special warnings and precautions for use</w:t>
      </w:r>
      <w:r w:rsidRPr="00524EEA">
        <w:t xml:space="preserve">). </w:t>
      </w:r>
    </w:p>
    <w:p w14:paraId="4BBA0FDB" w14:textId="77777777" w:rsidR="00AF7002" w:rsidRPr="00524EEA" w:rsidRDefault="00AF7002" w:rsidP="00AF7002">
      <w:pPr>
        <w:pStyle w:val="Heading3"/>
      </w:pPr>
      <w:bookmarkStart w:id="33" w:name="_Toc275524887"/>
      <w:r w:rsidRPr="00524EEA">
        <w:t>Paediatric and adolescent</w:t>
      </w:r>
      <w:bookmarkEnd w:id="33"/>
    </w:p>
    <w:p w14:paraId="3BFF248B" w14:textId="77777777" w:rsidR="00AF7002" w:rsidRPr="00524EEA" w:rsidRDefault="00AF7002" w:rsidP="00AF7002">
      <w:r w:rsidRPr="00524EEA">
        <w:t xml:space="preserve">Safety and effectiveness of FORXIGA in paediatric and adolescent patients have not been established. </w:t>
      </w:r>
    </w:p>
    <w:p w14:paraId="4629B61F" w14:textId="77777777" w:rsidR="00AF7002" w:rsidRPr="00524EEA" w:rsidRDefault="00AF7002" w:rsidP="00AF7002">
      <w:pPr>
        <w:pStyle w:val="Heading3"/>
      </w:pPr>
      <w:r w:rsidRPr="00524EEA">
        <w:t>Elderly</w:t>
      </w:r>
    </w:p>
    <w:p w14:paraId="493CA3FE" w14:textId="5A2967C2" w:rsidR="00AF7002" w:rsidRPr="00524EEA" w:rsidRDefault="00046590" w:rsidP="00AF7002">
      <w:r w:rsidRPr="00524EEA">
        <w:t>N</w:t>
      </w:r>
      <w:r w:rsidR="00AF7002" w:rsidRPr="00524EEA">
        <w:t>o dosage adjustment is recommended based on age</w:t>
      </w:r>
      <w:r w:rsidRPr="00524EEA">
        <w:t xml:space="preserve"> (see section 5.1 Pharmacodynamic properties)</w:t>
      </w:r>
      <w:r w:rsidR="00AF7002" w:rsidRPr="00524EEA">
        <w:t xml:space="preserve">.  </w:t>
      </w:r>
    </w:p>
    <w:p w14:paraId="1D47ED3C" w14:textId="11A22BBA" w:rsidR="001A3992" w:rsidRPr="00524EEA" w:rsidRDefault="001A3992" w:rsidP="001A3992">
      <w:pPr>
        <w:pStyle w:val="Heading2"/>
        <w:spacing w:before="0" w:after="120"/>
      </w:pPr>
      <w:bookmarkStart w:id="34" w:name="_Ref501530499"/>
      <w:r w:rsidRPr="00524EEA">
        <w:t>Contraindications</w:t>
      </w:r>
      <w:bookmarkEnd w:id="34"/>
    </w:p>
    <w:p w14:paraId="4F80703E" w14:textId="77777777" w:rsidR="003E7A52" w:rsidRPr="00524EEA" w:rsidRDefault="003E7A52" w:rsidP="003E7A52">
      <w:pPr>
        <w:numPr>
          <w:ilvl w:val="0"/>
          <w:numId w:val="13"/>
        </w:numPr>
        <w:spacing w:after="240" w:line="280" w:lineRule="atLeast"/>
      </w:pPr>
      <w:r w:rsidRPr="00524EEA">
        <w:t xml:space="preserve">Known hypersensitivity to any of the ingredients.  </w:t>
      </w:r>
    </w:p>
    <w:p w14:paraId="0D5ED830" w14:textId="017E5EAA" w:rsidR="003E7A52" w:rsidRPr="00524EEA" w:rsidRDefault="00A2383F" w:rsidP="00026597">
      <w:pPr>
        <w:numPr>
          <w:ilvl w:val="0"/>
          <w:numId w:val="13"/>
        </w:numPr>
        <w:spacing w:after="240" w:line="280" w:lineRule="atLeast"/>
      </w:pPr>
      <w:r w:rsidRPr="00524EEA">
        <w:rPr>
          <w:lang w:val="en-GB"/>
        </w:rPr>
        <w:t>For the treatment of diabetes</w:t>
      </w:r>
      <w:r w:rsidR="00622D1A" w:rsidRPr="00524EEA">
        <w:t xml:space="preserve">, as </w:t>
      </w:r>
      <w:r w:rsidR="003E7A52" w:rsidRPr="00524EEA">
        <w:t xml:space="preserve">the </w:t>
      </w:r>
      <w:r w:rsidR="000C0DEE" w:rsidRPr="00524EEA">
        <w:t xml:space="preserve">glycaemic </w:t>
      </w:r>
      <w:r w:rsidR="003E7A52" w:rsidRPr="00524EEA">
        <w:t xml:space="preserve">efficacy of FORXIGA is dependent on renal function (see </w:t>
      </w:r>
      <w:r w:rsidR="004B7251" w:rsidRPr="00524EEA">
        <w:t>section</w:t>
      </w:r>
      <w:r w:rsidR="00026597" w:rsidRPr="00524EEA">
        <w:t xml:space="preserve"> 4.4 Special warnings and precautions for use</w:t>
      </w:r>
      <w:r w:rsidR="003E7A52" w:rsidRPr="00524EEA">
        <w:t xml:space="preserve">), </w:t>
      </w:r>
      <w:r w:rsidR="003438F5" w:rsidRPr="00524EEA">
        <w:t xml:space="preserve">FORXIGA </w:t>
      </w:r>
      <w:r w:rsidR="003E7A52" w:rsidRPr="00524EEA">
        <w:t xml:space="preserve">should not be used in </w:t>
      </w:r>
      <w:r w:rsidR="003E7A52" w:rsidRPr="003D74DF">
        <w:t xml:space="preserve">patients with  </w:t>
      </w:r>
      <w:proofErr w:type="spellStart"/>
      <w:r w:rsidR="003E7A52" w:rsidRPr="003D74DF">
        <w:t>eGFR</w:t>
      </w:r>
      <w:proofErr w:type="spellEnd"/>
      <w:r w:rsidR="003E7A52" w:rsidRPr="003D74DF">
        <w:t xml:space="preserve"> persistently &lt;</w:t>
      </w:r>
      <w:r w:rsidR="00C2625C" w:rsidRPr="003D74DF">
        <w:t xml:space="preserve">45 </w:t>
      </w:r>
      <w:r w:rsidR="003E7A52" w:rsidRPr="003D74DF">
        <w:t>mL/min/1.73m</w:t>
      </w:r>
      <w:r w:rsidR="003E7A52" w:rsidRPr="003D74DF">
        <w:rPr>
          <w:vertAlign w:val="superscript"/>
        </w:rPr>
        <w:t>2</w:t>
      </w:r>
      <w:r w:rsidR="000C0DEE" w:rsidRPr="003D74DF">
        <w:rPr>
          <w:lang w:val="en-GB"/>
        </w:rPr>
        <w:t xml:space="preserve"> to improve glycaemic control</w:t>
      </w:r>
      <w:r w:rsidR="003E7A52" w:rsidRPr="003D74DF">
        <w:t>.</w:t>
      </w:r>
    </w:p>
    <w:p w14:paraId="6B64E2D9" w14:textId="77777777" w:rsidR="001A3992" w:rsidRPr="00524EEA" w:rsidRDefault="00E74A56" w:rsidP="001A3992">
      <w:pPr>
        <w:pStyle w:val="Heading2"/>
        <w:spacing w:before="0" w:after="120"/>
      </w:pPr>
      <w:bookmarkStart w:id="35" w:name="_Ref501530050"/>
      <w:r w:rsidRPr="00524EEA">
        <w:t>Special warnings and p</w:t>
      </w:r>
      <w:r w:rsidR="001A3992" w:rsidRPr="00524EEA">
        <w:t xml:space="preserve">recautions </w:t>
      </w:r>
      <w:r w:rsidRPr="00524EEA">
        <w:t>for use</w:t>
      </w:r>
      <w:bookmarkEnd w:id="35"/>
    </w:p>
    <w:p w14:paraId="1FDCC919" w14:textId="55AA8871" w:rsidR="003E7A52" w:rsidRPr="00524EEA" w:rsidRDefault="003E7A52" w:rsidP="003E7A52">
      <w:bookmarkStart w:id="36" w:name="_Hlk521502081"/>
      <w:r w:rsidRPr="00524EEA">
        <w:t xml:space="preserve">FORXIGA should not be used in patients with type 1 diabetes </w:t>
      </w:r>
      <w:r w:rsidR="001750D6" w:rsidRPr="00524EEA">
        <w:t xml:space="preserve">(see section 4.1 </w:t>
      </w:r>
      <w:r w:rsidR="000440A1" w:rsidRPr="00524EEA">
        <w:t>Therapeutic Indications</w:t>
      </w:r>
      <w:r w:rsidR="001750D6" w:rsidRPr="00524EEA">
        <w:t xml:space="preserve">) </w:t>
      </w:r>
      <w:r w:rsidRPr="00524EEA">
        <w:t>or for the treatment of diabetic ketoacidosis</w:t>
      </w:r>
      <w:r w:rsidR="001750D6" w:rsidRPr="00524EEA">
        <w:t xml:space="preserve"> (see section 4.4 </w:t>
      </w:r>
      <w:r w:rsidR="000440A1" w:rsidRPr="00524EEA">
        <w:t>Special Warnings and Precautions for Use</w:t>
      </w:r>
      <w:r w:rsidR="001750D6" w:rsidRPr="00524EEA">
        <w:t xml:space="preserve"> </w:t>
      </w:r>
      <w:r w:rsidR="00AA2E4E" w:rsidRPr="00524EEA">
        <w:t>–</w:t>
      </w:r>
      <w:r w:rsidR="001750D6" w:rsidRPr="00524EEA">
        <w:t xml:space="preserve"> Ketoacidosis</w:t>
      </w:r>
      <w:r w:rsidR="00AA2E4E" w:rsidRPr="00524EEA">
        <w:t>)</w:t>
      </w:r>
      <w:bookmarkEnd w:id="36"/>
      <w:r w:rsidRPr="00524EEA">
        <w:t>.</w:t>
      </w:r>
    </w:p>
    <w:p w14:paraId="5A2BC79F" w14:textId="0B1B4A87" w:rsidR="00887806" w:rsidRPr="00524EEA" w:rsidRDefault="00887806" w:rsidP="00887806">
      <w:pPr>
        <w:pStyle w:val="Heading3"/>
        <w:spacing w:before="0" w:after="120"/>
      </w:pPr>
      <w:r w:rsidRPr="00524EEA">
        <w:t>Use in renal impairment</w:t>
      </w:r>
    </w:p>
    <w:p w14:paraId="3B42BAA2" w14:textId="6C2FCF2F" w:rsidR="00143DB5" w:rsidRPr="00524EEA" w:rsidDel="006863F5" w:rsidRDefault="00143DB5" w:rsidP="00143DB5">
      <w:pPr>
        <w:pStyle w:val="Heading3"/>
        <w:spacing w:before="0" w:after="120"/>
        <w:ind w:left="0"/>
        <w:rPr>
          <w:rFonts w:eastAsiaTheme="minorHAnsi" w:cstheme="minorBidi"/>
          <w:b w:val="0"/>
          <w:bCs w:val="0"/>
        </w:rPr>
      </w:pPr>
      <w:r w:rsidRPr="00524EEA">
        <w:rPr>
          <w:rFonts w:eastAsiaTheme="minorHAnsi" w:cstheme="minorBidi"/>
          <w:b w:val="0"/>
          <w:bCs w:val="0"/>
        </w:rPr>
        <w:t xml:space="preserve">There is limited experience with </w:t>
      </w:r>
      <w:r w:rsidRPr="00524EEA" w:rsidDel="002E1D5A">
        <w:rPr>
          <w:rFonts w:eastAsiaTheme="minorHAnsi" w:cstheme="minorBidi"/>
          <w:b w:val="0"/>
          <w:bCs w:val="0"/>
        </w:rPr>
        <w:t>FORXIGA in patients with severe renal impairment (</w:t>
      </w:r>
      <w:proofErr w:type="spellStart"/>
      <w:r w:rsidRPr="00524EEA" w:rsidDel="002E1D5A">
        <w:rPr>
          <w:rFonts w:eastAsiaTheme="minorHAnsi" w:cstheme="minorBidi"/>
          <w:b w:val="0"/>
          <w:bCs w:val="0"/>
        </w:rPr>
        <w:t>eGFR</w:t>
      </w:r>
      <w:proofErr w:type="spellEnd"/>
      <w:r w:rsidRPr="00524EEA" w:rsidDel="002E1D5A">
        <w:rPr>
          <w:rFonts w:eastAsiaTheme="minorHAnsi" w:cstheme="minorBidi"/>
          <w:b w:val="0"/>
          <w:bCs w:val="0"/>
        </w:rPr>
        <w:t xml:space="preserve"> &lt;30 mL/min/1.73m</w:t>
      </w:r>
      <w:r w:rsidRPr="00524EEA" w:rsidDel="002E1D5A">
        <w:rPr>
          <w:rFonts w:eastAsiaTheme="minorHAnsi" w:cstheme="minorBidi"/>
          <w:b w:val="0"/>
          <w:bCs w:val="0"/>
          <w:vertAlign w:val="superscript"/>
        </w:rPr>
        <w:t>2</w:t>
      </w:r>
      <w:r w:rsidRPr="00524EEA" w:rsidDel="002E1D5A">
        <w:rPr>
          <w:rFonts w:eastAsiaTheme="minorHAnsi" w:cstheme="minorBidi"/>
          <w:b w:val="0"/>
          <w:bCs w:val="0"/>
        </w:rPr>
        <w:t>) or end stage renal disease (ESRD).</w:t>
      </w:r>
    </w:p>
    <w:p w14:paraId="2AC1B5C9" w14:textId="39A2FEE1" w:rsidR="006A0DDC" w:rsidRPr="00524EEA" w:rsidRDefault="006A0DDC" w:rsidP="006A0DDC">
      <w:proofErr w:type="spellStart"/>
      <w:r w:rsidRPr="00524EEA">
        <w:t>Dapagliflozin</w:t>
      </w:r>
      <w:proofErr w:type="spellEnd"/>
      <w:r w:rsidRPr="00524EEA">
        <w:t xml:space="preserve"> increases serum creatinine and decreases </w:t>
      </w:r>
      <w:proofErr w:type="spellStart"/>
      <w:r w:rsidRPr="00524EEA">
        <w:t>eGFR</w:t>
      </w:r>
      <w:proofErr w:type="spellEnd"/>
      <w:r w:rsidRPr="00524EEA">
        <w:t xml:space="preserve"> (see 4.8 Adverse effects (Undesirable effects)).</w:t>
      </w:r>
      <w:r w:rsidR="006B6A74" w:rsidRPr="00524EEA">
        <w:t xml:space="preserve"> </w:t>
      </w:r>
      <w:r w:rsidRPr="00524EEA">
        <w:t xml:space="preserve">Renal function abnormalities can occur after initiating </w:t>
      </w:r>
      <w:proofErr w:type="spellStart"/>
      <w:r w:rsidRPr="00524EEA">
        <w:t>dapagliflozin</w:t>
      </w:r>
      <w:proofErr w:type="spellEnd"/>
      <w:r w:rsidRPr="00524EEA">
        <w:t xml:space="preserve">. Patients with hypovolaemia may be more susceptible to these changes. </w:t>
      </w:r>
    </w:p>
    <w:p w14:paraId="063E5DF2" w14:textId="28798E1B" w:rsidR="006A0DDC" w:rsidRPr="00524EEA" w:rsidRDefault="006A0DDC" w:rsidP="006A0DDC">
      <w:r w:rsidRPr="00524EEA">
        <w:t xml:space="preserve">There have been </w:t>
      </w:r>
      <w:proofErr w:type="spellStart"/>
      <w:r w:rsidRPr="00524EEA">
        <w:t>postmarketing</w:t>
      </w:r>
      <w:proofErr w:type="spellEnd"/>
      <w:r w:rsidRPr="00524EEA">
        <w:t xml:space="preserve"> reports of acute kidney injury, some requiring hospitalisation and dialysis, in patients receiving SGLT2 inhibitors, including </w:t>
      </w:r>
      <w:proofErr w:type="spellStart"/>
      <w:r w:rsidRPr="00524EEA">
        <w:t>dapagliflozin</w:t>
      </w:r>
      <w:proofErr w:type="spellEnd"/>
      <w:r w:rsidRPr="00524EEA">
        <w:t>; some reports involved patients younger than 65 years of age.</w:t>
      </w:r>
    </w:p>
    <w:p w14:paraId="0D6F1A09" w14:textId="77777777" w:rsidR="00DF60F4" w:rsidRPr="00524EEA" w:rsidRDefault="00DF60F4" w:rsidP="00DF60F4">
      <w:pPr>
        <w:pStyle w:val="Heading4"/>
      </w:pPr>
      <w:r w:rsidRPr="00524EEA">
        <w:t>Treatment of diabetes mellitus</w:t>
      </w:r>
    </w:p>
    <w:p w14:paraId="5C960364" w14:textId="30417957" w:rsidR="00887806" w:rsidRPr="00524EEA" w:rsidRDefault="00887806" w:rsidP="00887806">
      <w:r w:rsidRPr="00524EEA">
        <w:t xml:space="preserve">FORXIGA should not be used </w:t>
      </w:r>
      <w:r w:rsidR="00D47F74" w:rsidRPr="00524EEA">
        <w:t>for</w:t>
      </w:r>
      <w:r w:rsidR="002E1D5A" w:rsidRPr="00524EEA">
        <w:t xml:space="preserve"> </w:t>
      </w:r>
      <w:r w:rsidR="00D47F74" w:rsidRPr="00524EEA">
        <w:t xml:space="preserve">the treatment of diabetes </w:t>
      </w:r>
      <w:r w:rsidR="002E1D5A" w:rsidRPr="00524EEA">
        <w:t xml:space="preserve">to improve glycaemic control </w:t>
      </w:r>
      <w:r w:rsidR="00FA486C" w:rsidRPr="00524EEA">
        <w:t xml:space="preserve">when </w:t>
      </w:r>
      <w:proofErr w:type="spellStart"/>
      <w:r w:rsidRPr="00524EEA">
        <w:t>eGFR</w:t>
      </w:r>
      <w:proofErr w:type="spellEnd"/>
      <w:r w:rsidR="00FA486C" w:rsidRPr="00524EEA">
        <w:t xml:space="preserve"> is persistently below </w:t>
      </w:r>
      <w:r w:rsidRPr="00524EEA">
        <w:t xml:space="preserve"> </w:t>
      </w:r>
      <w:r w:rsidR="00FA486C" w:rsidRPr="00524EEA">
        <w:t xml:space="preserve">45 </w:t>
      </w:r>
      <w:r w:rsidRPr="00524EEA">
        <w:t>mL/min/1.73m</w:t>
      </w:r>
      <w:r w:rsidRPr="00524EEA">
        <w:rPr>
          <w:vertAlign w:val="superscript"/>
        </w:rPr>
        <w:t>2</w:t>
      </w:r>
      <w:r w:rsidR="00FA486C" w:rsidRPr="00524EEA">
        <w:t xml:space="preserve"> as the glycaemic efficacy of </w:t>
      </w:r>
      <w:proofErr w:type="spellStart"/>
      <w:r w:rsidR="00FA486C" w:rsidRPr="00524EEA">
        <w:t>dapagliflozin</w:t>
      </w:r>
      <w:proofErr w:type="spellEnd"/>
      <w:r w:rsidR="00FA486C" w:rsidRPr="00524EEA">
        <w:t xml:space="preserve"> is dependent on renal function</w:t>
      </w:r>
      <w:r w:rsidRPr="00524EEA">
        <w:t>. (See section</w:t>
      </w:r>
      <w:r w:rsidR="00026597" w:rsidRPr="00524EEA">
        <w:t xml:space="preserve"> 4.2 Dose and method of administration</w:t>
      </w:r>
      <w:r w:rsidRPr="00524EEA">
        <w:t>, section</w:t>
      </w:r>
      <w:r w:rsidR="00026597" w:rsidRPr="00524EEA">
        <w:t xml:space="preserve"> 4.3 Contraindications</w:t>
      </w:r>
      <w:r w:rsidRPr="00524EEA">
        <w:t>, and section</w:t>
      </w:r>
      <w:r w:rsidR="00026597" w:rsidRPr="00524EEA">
        <w:t xml:space="preserve"> 4.8 Adverse effects</w:t>
      </w:r>
      <w:r w:rsidR="00C25299" w:rsidRPr="00524EEA">
        <w:t xml:space="preserve"> </w:t>
      </w:r>
      <w:r w:rsidR="00026597" w:rsidRPr="00524EEA">
        <w:t>(Undesirable effects)</w:t>
      </w:r>
      <w:r w:rsidRPr="00524EEA">
        <w:t>.</w:t>
      </w:r>
      <w:r w:rsidR="00DA0162" w:rsidRPr="00524EEA" w:rsidDel="006863F5">
        <w:t xml:space="preserve"> </w:t>
      </w:r>
    </w:p>
    <w:p w14:paraId="020CEB00" w14:textId="77777777" w:rsidR="00887806" w:rsidRPr="00524EEA" w:rsidRDefault="00887806" w:rsidP="00887806">
      <w:r w:rsidRPr="00524EEA">
        <w:t>Monitoring of renal function is recommended as follows:</w:t>
      </w:r>
    </w:p>
    <w:p w14:paraId="44A0000B" w14:textId="77777777" w:rsidR="00887806" w:rsidRPr="00524EEA" w:rsidRDefault="00887806" w:rsidP="00887806">
      <w:pPr>
        <w:pStyle w:val="ListParagraph"/>
        <w:rPr>
          <w:noProof w:val="0"/>
        </w:rPr>
      </w:pPr>
      <w:r w:rsidRPr="00524EEA">
        <w:rPr>
          <w:noProof w:val="0"/>
        </w:rPr>
        <w:t>prior to initiation of FORXIGA and at least yearly thereafter;</w:t>
      </w:r>
    </w:p>
    <w:p w14:paraId="492E83CF" w14:textId="77777777" w:rsidR="00887806" w:rsidRPr="00524EEA" w:rsidRDefault="00887806" w:rsidP="00887806">
      <w:pPr>
        <w:pStyle w:val="ListParagraph"/>
        <w:rPr>
          <w:noProof w:val="0"/>
        </w:rPr>
      </w:pPr>
      <w:r w:rsidRPr="00524EEA">
        <w:rPr>
          <w:noProof w:val="0"/>
        </w:rPr>
        <w:t>prior to initiation of concomitant medicines that may reduce renal function and periodically thereafter;</w:t>
      </w:r>
    </w:p>
    <w:p w14:paraId="18837691" w14:textId="5D9E24A3" w:rsidR="00887806" w:rsidRPr="00524EEA" w:rsidRDefault="00887806" w:rsidP="00D956B2">
      <w:pPr>
        <w:pStyle w:val="ListParagraph"/>
      </w:pPr>
      <w:r w:rsidRPr="00524EEA">
        <w:t>for renal function approaching</w:t>
      </w:r>
      <w:r w:rsidR="00922B60" w:rsidRPr="00524EEA">
        <w:t xml:space="preserve"> eGFR 45 mL/min/1.73 m</w:t>
      </w:r>
      <w:r w:rsidR="008612D1" w:rsidRPr="00524EEA">
        <w:rPr>
          <w:vertAlign w:val="superscript"/>
        </w:rPr>
        <w:t>2</w:t>
      </w:r>
      <w:r w:rsidRPr="00524EEA">
        <w:t xml:space="preserve">, at least 2 to 4 times per year. </w:t>
      </w:r>
      <w:r w:rsidR="00D43FA6">
        <w:t xml:space="preserve">   </w:t>
      </w:r>
      <w:r w:rsidRPr="00524EEA">
        <w:t>If renal function falls persistently below eGFR &lt;</w:t>
      </w:r>
      <w:r w:rsidR="003F2829" w:rsidRPr="00524EEA">
        <w:t>45 </w:t>
      </w:r>
      <w:r w:rsidRPr="00524EEA">
        <w:t>mL/min/1.73 m</w:t>
      </w:r>
      <w:r w:rsidRPr="00524EEA">
        <w:rPr>
          <w:vertAlign w:val="superscript"/>
        </w:rPr>
        <w:t>2</w:t>
      </w:r>
      <w:r w:rsidRPr="00524EEA">
        <w:t>, treatment with FORXIGA should be discontinued (see section</w:t>
      </w:r>
      <w:r w:rsidR="00D956B2" w:rsidRPr="00524EEA">
        <w:t xml:space="preserve"> </w:t>
      </w:r>
      <w:r w:rsidR="00D956B2" w:rsidRPr="00524EEA">
        <w:rPr>
          <w:noProof w:val="0"/>
        </w:rPr>
        <w:t>4.3 Contraindications</w:t>
      </w:r>
      <w:r w:rsidRPr="00524EEA">
        <w:t>).</w:t>
      </w:r>
    </w:p>
    <w:p w14:paraId="3C4334B0" w14:textId="56DBAD93" w:rsidR="00243AA6" w:rsidRPr="00524EEA" w:rsidRDefault="00E62AA5" w:rsidP="00243AA6">
      <w:pPr>
        <w:pStyle w:val="Heading3"/>
      </w:pPr>
      <w:r w:rsidRPr="00524EEA">
        <w:t xml:space="preserve">Use in hepatic impairment </w:t>
      </w:r>
    </w:p>
    <w:p w14:paraId="20D545FD" w14:textId="71FFF138" w:rsidR="00243AA6" w:rsidRPr="00524EEA" w:rsidRDefault="00243AA6" w:rsidP="00243AA6">
      <w:r w:rsidRPr="00524EEA">
        <w:t xml:space="preserve">There is limited experience in clinical trials in patients with hepatic impairment. </w:t>
      </w:r>
      <w:proofErr w:type="spellStart"/>
      <w:r w:rsidRPr="00524EEA">
        <w:t>Dapagliflozin</w:t>
      </w:r>
      <w:proofErr w:type="spellEnd"/>
      <w:r w:rsidRPr="00524EEA">
        <w:t xml:space="preserve"> exposure is increased in patients with severe hepatic impairment.  FORXIGA should not be used in patients with severe hepatic impairment (see</w:t>
      </w:r>
      <w:r w:rsidR="006A3BCE" w:rsidRPr="00524EEA">
        <w:t xml:space="preserve"> </w:t>
      </w:r>
      <w:bookmarkStart w:id="37" w:name="_Hlk501530669"/>
      <w:r w:rsidR="006A3BCE" w:rsidRPr="00524EEA">
        <w:t>section</w:t>
      </w:r>
      <w:r w:rsidRPr="00524EEA">
        <w:t xml:space="preserve"> </w:t>
      </w:r>
      <w:bookmarkEnd w:id="37"/>
      <w:r w:rsidR="00157B09" w:rsidRPr="00524EEA">
        <w:t xml:space="preserve">4.2 Dose and method of administration </w:t>
      </w:r>
      <w:r w:rsidRPr="00524EEA">
        <w:t xml:space="preserve">and </w:t>
      </w:r>
      <w:r w:rsidR="001F0809" w:rsidRPr="00524EEA">
        <w:t xml:space="preserve">section </w:t>
      </w:r>
      <w:r w:rsidR="003D4082" w:rsidRPr="00524EEA">
        <w:t xml:space="preserve">5.2 </w:t>
      </w:r>
      <w:r w:rsidR="009A6E60" w:rsidRPr="00524EEA">
        <w:t xml:space="preserve">Pharmacokinetic </w:t>
      </w:r>
      <w:r w:rsidR="003D4082" w:rsidRPr="00524EEA">
        <w:t>properties</w:t>
      </w:r>
      <w:r w:rsidR="00DC74DE" w:rsidRPr="00524EEA">
        <w:t>– Special Populations</w:t>
      </w:r>
      <w:r w:rsidRPr="00524EEA">
        <w:t>).</w:t>
      </w:r>
    </w:p>
    <w:p w14:paraId="761CD825" w14:textId="2A0DEEF1" w:rsidR="00243AA6" w:rsidRPr="00524EEA" w:rsidRDefault="00243AA6" w:rsidP="00243AA6">
      <w:pPr>
        <w:pStyle w:val="Heading3"/>
      </w:pPr>
      <w:r w:rsidRPr="00524EEA">
        <w:t xml:space="preserve">Use in Patients at Risk for Volume depletion </w:t>
      </w:r>
      <w:r w:rsidR="00771505" w:rsidRPr="00524EEA">
        <w:t xml:space="preserve">and or </w:t>
      </w:r>
      <w:r w:rsidRPr="00524EEA">
        <w:t xml:space="preserve">hypotension </w:t>
      </w:r>
    </w:p>
    <w:p w14:paraId="4D41E7F0" w14:textId="7D474A22" w:rsidR="00243AA6" w:rsidRPr="00524EEA" w:rsidRDefault="00243AA6" w:rsidP="00243AA6">
      <w:r w:rsidRPr="00524EEA">
        <w:t xml:space="preserve">The diuretic effect of FORXIGA is a potential concern for volume depleted patients. </w:t>
      </w:r>
      <w:r w:rsidR="00DC65DA" w:rsidRPr="00524EEA">
        <w:rPr>
          <w:lang w:val="en-US"/>
        </w:rPr>
        <w:t>Due to its mechanism of action, FORXIGA induces osmotic diuresis which may lead to the modest decrease in blood pressure observed in clinical studies (</w:t>
      </w:r>
      <w:r w:rsidR="00DC65DA" w:rsidRPr="00524EEA">
        <w:t>see section 5.1 Pharmacodynamic properties – Clinical trials</w:t>
      </w:r>
      <w:r w:rsidR="00DC65DA" w:rsidRPr="00524EEA">
        <w:rPr>
          <w:lang w:val="en-US"/>
        </w:rPr>
        <w:t>).</w:t>
      </w:r>
      <w:r w:rsidRPr="00524EEA">
        <w:t xml:space="preserve"> </w:t>
      </w:r>
    </w:p>
    <w:p w14:paraId="746BC5FD" w14:textId="60DE901D" w:rsidR="00243AA6" w:rsidRPr="00524EEA" w:rsidRDefault="00243AA6" w:rsidP="00243AA6">
      <w:r w:rsidRPr="00524EEA">
        <w:t xml:space="preserve">When considering initiating </w:t>
      </w:r>
      <w:proofErr w:type="spellStart"/>
      <w:r w:rsidRPr="00524EEA">
        <w:t>dapagliflozin</w:t>
      </w:r>
      <w:proofErr w:type="spellEnd"/>
      <w:r w:rsidRPr="00524EEA">
        <w:t xml:space="preserve">, there may be patients for whom the additional diuretic effect of </w:t>
      </w:r>
      <w:proofErr w:type="spellStart"/>
      <w:r w:rsidRPr="00524EEA">
        <w:t>dapagliflozin</w:t>
      </w:r>
      <w:proofErr w:type="spellEnd"/>
      <w:r w:rsidRPr="00524EEA">
        <w:t xml:space="preserve"> is a potential concern either due to acute illness (such as gastrointestinal illness) or a history of hypotension or dehydration with diuretic therapy for patients who may become volume depleted.  Initiation of therapy with </w:t>
      </w:r>
      <w:proofErr w:type="spellStart"/>
      <w:r w:rsidRPr="00524EEA">
        <w:t>dapagliflozin</w:t>
      </w:r>
      <w:proofErr w:type="spellEnd"/>
      <w:r w:rsidRPr="00524EEA">
        <w:t xml:space="preserve"> is therefore not recommended in these patients. </w:t>
      </w:r>
    </w:p>
    <w:p w14:paraId="65977903" w14:textId="6C40DA12" w:rsidR="00243AA6" w:rsidRPr="00524EEA" w:rsidRDefault="00DC65DA" w:rsidP="00243AA6">
      <w:r w:rsidRPr="00524EEA">
        <w:t xml:space="preserve">In </w:t>
      </w:r>
      <w:r w:rsidR="00243AA6" w:rsidRPr="00524EEA">
        <w:t xml:space="preserve">case of </w:t>
      </w:r>
      <w:proofErr w:type="spellStart"/>
      <w:r w:rsidR="00243AA6" w:rsidRPr="00524EEA">
        <w:t>intercurrent</w:t>
      </w:r>
      <w:proofErr w:type="spellEnd"/>
      <w:r w:rsidR="00243AA6" w:rsidRPr="00524EEA">
        <w:t xml:space="preserve"> conditions that may lead to volume depletion, such as gastrointestinal illness, heat stress or severe infections, careful monitoring of volume status (e.g. physical examination, blood pressure measurements, laboratory tests including electrolytes</w:t>
      </w:r>
      <w:r w:rsidRPr="00524EEA">
        <w:t>)</w:t>
      </w:r>
      <w:r w:rsidR="00243AA6" w:rsidRPr="00524EEA">
        <w:t xml:space="preserve"> is recommended.  Temporary interruption of FORXIGA is recommended for patients who develop volume depletion until the depletion is corrected (see </w:t>
      </w:r>
      <w:r w:rsidR="006A3BCE" w:rsidRPr="00524EEA">
        <w:t>section</w:t>
      </w:r>
      <w:r w:rsidR="0018522F" w:rsidRPr="00524EEA">
        <w:t xml:space="preserve"> 4.8 Adverse effects (Undesirable effects)</w:t>
      </w:r>
      <w:r w:rsidR="00243AA6" w:rsidRPr="00524EEA">
        <w:t>).</w:t>
      </w:r>
    </w:p>
    <w:p w14:paraId="7F0A5CE6" w14:textId="1BCF093D" w:rsidR="00243AA6" w:rsidRPr="00524EEA" w:rsidRDefault="00243AA6" w:rsidP="00243AA6">
      <w:r w:rsidRPr="00524EEA">
        <w:t xml:space="preserve">Caution should be exercised in patients for whom a </w:t>
      </w:r>
      <w:proofErr w:type="spellStart"/>
      <w:r w:rsidRPr="00524EEA">
        <w:t>dapagliflozin</w:t>
      </w:r>
      <w:proofErr w:type="spellEnd"/>
      <w:r w:rsidRPr="00524EEA">
        <w:t>-induced drop in blood pressure could pose a risk, such as patients with known cardiovascular disease, patients on antihypertensive therapy with a history of hypotension or elderly patients.</w:t>
      </w:r>
    </w:p>
    <w:p w14:paraId="0BD0ED0D" w14:textId="5436F81E" w:rsidR="00243AA6" w:rsidRPr="00524EEA" w:rsidRDefault="00243AA6" w:rsidP="00243AA6">
      <w:pPr>
        <w:pStyle w:val="Heading3"/>
      </w:pPr>
      <w:bookmarkStart w:id="38" w:name="_Hlk521502296"/>
      <w:r w:rsidRPr="00524EEA">
        <w:t>Ketoacidosis</w:t>
      </w:r>
      <w:r w:rsidR="00870E97" w:rsidRPr="00524EEA">
        <w:t xml:space="preserve"> in patients with diabetes mellitus</w:t>
      </w:r>
    </w:p>
    <w:p w14:paraId="6DFB4FA0" w14:textId="5AA48176" w:rsidR="00FE1920" w:rsidRPr="00524EEA" w:rsidRDefault="00FE1920" w:rsidP="00FE1920">
      <w:pPr>
        <w:pStyle w:val="Paragraph"/>
      </w:pPr>
      <w:r w:rsidRPr="00524EEA">
        <w:t>FORXIGA should not be used for the treatment of diabetic ketoacidosis (DKA).</w:t>
      </w:r>
    </w:p>
    <w:p w14:paraId="73C7C56F" w14:textId="2514348E" w:rsidR="00243AA6" w:rsidRPr="00524EEA" w:rsidRDefault="00243AA6" w:rsidP="00243AA6">
      <w:r w:rsidRPr="00524EEA">
        <w:t xml:space="preserve">There have been reports of ketoacidosis, including </w:t>
      </w:r>
      <w:r w:rsidR="00292475" w:rsidRPr="00524EEA">
        <w:t>DKA</w:t>
      </w:r>
      <w:r w:rsidRPr="00524EEA">
        <w:t xml:space="preserve">, </w:t>
      </w:r>
      <w:bookmarkStart w:id="39" w:name="_Hlk521323805"/>
      <w:r w:rsidR="0011231A" w:rsidRPr="00524EEA">
        <w:t>a serious life-threatening condition requiring urgent hospitalisation</w:t>
      </w:r>
      <w:bookmarkEnd w:id="39"/>
      <w:r w:rsidR="0011231A" w:rsidRPr="00524EEA">
        <w:t xml:space="preserve"> </w:t>
      </w:r>
      <w:r w:rsidRPr="00524EEA">
        <w:t>in patients taking</w:t>
      </w:r>
      <w:r w:rsidR="00FA024B" w:rsidRPr="00524EEA">
        <w:t xml:space="preserve"> </w:t>
      </w:r>
      <w:proofErr w:type="spellStart"/>
      <w:r w:rsidR="009C210E" w:rsidRPr="00524EEA">
        <w:t>dapagliflozin</w:t>
      </w:r>
      <w:proofErr w:type="spellEnd"/>
      <w:r w:rsidR="009C210E" w:rsidRPr="00524EEA">
        <w:t xml:space="preserve"> </w:t>
      </w:r>
      <w:r w:rsidRPr="00524EEA">
        <w:t xml:space="preserve">and other </w:t>
      </w:r>
      <w:r w:rsidR="005B6930" w:rsidRPr="00524EEA">
        <w:t>sodium-glucose cotransporter 2 (</w:t>
      </w:r>
      <w:r w:rsidRPr="00524EEA">
        <w:t>SGLT2</w:t>
      </w:r>
      <w:r w:rsidR="005B6930" w:rsidRPr="00524EEA">
        <w:t>)</w:t>
      </w:r>
      <w:r w:rsidRPr="00524EEA">
        <w:t xml:space="preserve"> inhibitors</w:t>
      </w:r>
      <w:bookmarkStart w:id="40" w:name="_Hlk521323873"/>
      <w:r w:rsidR="00BA41F0" w:rsidRPr="00524EEA">
        <w:t xml:space="preserve">. Fatal cases of ketoacidosis have been reported in patients taking </w:t>
      </w:r>
      <w:proofErr w:type="spellStart"/>
      <w:r w:rsidR="009C210E" w:rsidRPr="00524EEA">
        <w:t>dapagl</w:t>
      </w:r>
      <w:r w:rsidR="00C04A90" w:rsidRPr="00524EEA">
        <w:t>i</w:t>
      </w:r>
      <w:r w:rsidR="009C210E" w:rsidRPr="00524EEA">
        <w:t>flozin</w:t>
      </w:r>
      <w:proofErr w:type="spellEnd"/>
      <w:r w:rsidR="00BA41F0" w:rsidRPr="00524EEA">
        <w:t>.</w:t>
      </w:r>
      <w:bookmarkEnd w:id="40"/>
      <w:r w:rsidRPr="00524EEA">
        <w:t xml:space="preserve"> </w:t>
      </w:r>
    </w:p>
    <w:p w14:paraId="51EE34BA" w14:textId="084098E4" w:rsidR="00243AA6" w:rsidRPr="00524EEA" w:rsidRDefault="00243AA6" w:rsidP="00243AA6">
      <w:r w:rsidRPr="00524EEA">
        <w:t xml:space="preserve">Patients treated with FORXIGA who present with signs and symptoms consistent with ketoacidosis, including nausea, vomiting, abdominal pain, malaise and shortness of breath, should be assessed for ketoacidosis, even if blood glucose levels are below 14 </w:t>
      </w:r>
      <w:proofErr w:type="spellStart"/>
      <w:r w:rsidRPr="00524EEA">
        <w:t>mmol</w:t>
      </w:r>
      <w:proofErr w:type="spellEnd"/>
      <w:r w:rsidRPr="00524EEA">
        <w:t>/</w:t>
      </w:r>
      <w:r w:rsidR="002A3144" w:rsidRPr="00524EEA">
        <w:t xml:space="preserve">L </w:t>
      </w:r>
      <w:r w:rsidRPr="00524EEA">
        <w:t>(250 mg/</w:t>
      </w:r>
      <w:proofErr w:type="spellStart"/>
      <w:r w:rsidRPr="00524EEA">
        <w:t>dL</w:t>
      </w:r>
      <w:proofErr w:type="spellEnd"/>
      <w:r w:rsidRPr="00524EEA">
        <w:t>).</w:t>
      </w:r>
      <w:r w:rsidR="00297C69" w:rsidRPr="00524EEA">
        <w:t xml:space="preserve"> </w:t>
      </w:r>
      <w:r w:rsidRPr="00524EEA">
        <w:t xml:space="preserve">If ketoacidosis is suspected, </w:t>
      </w:r>
      <w:r w:rsidR="00AA2E4E" w:rsidRPr="00524EEA">
        <w:t xml:space="preserve">FORXIGA should be </w:t>
      </w:r>
      <w:r w:rsidR="00CC079D" w:rsidRPr="00524EEA">
        <w:t>suspen</w:t>
      </w:r>
      <w:r w:rsidR="00554CAD" w:rsidRPr="00524EEA">
        <w:t>ded</w:t>
      </w:r>
      <w:r w:rsidR="00C15074" w:rsidRPr="00524EEA">
        <w:t>,</w:t>
      </w:r>
      <w:r w:rsidR="00AA2E4E" w:rsidRPr="00524EEA">
        <w:t xml:space="preserve"> </w:t>
      </w:r>
      <w:r w:rsidRPr="00524EEA">
        <w:t>the patient should be evaluated</w:t>
      </w:r>
      <w:r w:rsidR="00AA2E4E" w:rsidRPr="00524EEA">
        <w:t xml:space="preserve"> and prompt treatment initiated</w:t>
      </w:r>
      <w:r w:rsidRPr="00524EEA">
        <w:t>.</w:t>
      </w:r>
    </w:p>
    <w:p w14:paraId="5CDB1DFC" w14:textId="7732C659" w:rsidR="005324FE" w:rsidRPr="00524EEA" w:rsidRDefault="005324FE" w:rsidP="00243AA6">
      <w:bookmarkStart w:id="41" w:name="_Hlk519585294"/>
      <w:r w:rsidRPr="00524EEA">
        <w:t>Treatment of ketoacidosis generally requires insulin, fluid, potassium and carbohydrate replacement.</w:t>
      </w:r>
    </w:p>
    <w:p w14:paraId="75E7E3CF" w14:textId="49502887" w:rsidR="005324FE" w:rsidRPr="00524EEA" w:rsidRDefault="005324FE" w:rsidP="00243AA6">
      <w:r w:rsidRPr="00524EEA">
        <w:t>Restarting SGLT2 inhibitor treatment in patients with previous DKA while on SGLT</w:t>
      </w:r>
      <w:r w:rsidR="002062D4" w:rsidRPr="00524EEA">
        <w:t>2</w:t>
      </w:r>
      <w:r w:rsidRPr="00524EEA">
        <w:t xml:space="preserve"> inhibitor treatment is not recommended unless another clear precipitating factor is identified and resolved.</w:t>
      </w:r>
    </w:p>
    <w:p w14:paraId="71F02E21" w14:textId="0BE02B72" w:rsidR="005324FE" w:rsidRPr="00524EEA" w:rsidRDefault="005324FE" w:rsidP="00243AA6">
      <w:r w:rsidRPr="00524EEA">
        <w:t>Before initiating FORXIGA, consider factors in the patient history that may predispose to ketoacidosis</w:t>
      </w:r>
      <w:r w:rsidR="000528BB" w:rsidRPr="00524EEA">
        <w:t>.</w:t>
      </w:r>
    </w:p>
    <w:p w14:paraId="3A6991B9" w14:textId="1B27B66A" w:rsidR="00243AA6" w:rsidRPr="00524EEA" w:rsidRDefault="005324FE" w:rsidP="00243AA6">
      <w:bookmarkStart w:id="42" w:name="_Hlk519585370"/>
      <w:bookmarkEnd w:id="41"/>
      <w:r w:rsidRPr="00524EEA">
        <w:t>F</w:t>
      </w:r>
      <w:r w:rsidR="00243AA6" w:rsidRPr="00524EEA">
        <w:t xml:space="preserve">actors </w:t>
      </w:r>
      <w:r w:rsidRPr="00524EEA">
        <w:t xml:space="preserve">that predispose patients </w:t>
      </w:r>
      <w:r w:rsidR="00243AA6" w:rsidRPr="00524EEA">
        <w:t xml:space="preserve">to ketoacidosis </w:t>
      </w:r>
      <w:r w:rsidR="002062D4" w:rsidRPr="00524EEA">
        <w:t xml:space="preserve">include </w:t>
      </w:r>
      <w:r w:rsidRPr="00524EEA">
        <w:t>insulin deficiency from any cause</w:t>
      </w:r>
      <w:r w:rsidR="00405B4E" w:rsidRPr="00524EEA">
        <w:t xml:space="preserve"> (including insulin pump failure, </w:t>
      </w:r>
      <w:r w:rsidR="00243AA6" w:rsidRPr="00524EEA">
        <w:t xml:space="preserve">history of pancreatitis or pancreatic surgery), insulin dose reduction, reduced caloric intake or increased insulin requirements due to infections, </w:t>
      </w:r>
      <w:r w:rsidR="00405B4E" w:rsidRPr="00524EEA">
        <w:t xml:space="preserve">low carbohydrate diet, acute </w:t>
      </w:r>
      <w:r w:rsidR="00243AA6" w:rsidRPr="00524EEA">
        <w:t>illness</w:t>
      </w:r>
      <w:r w:rsidR="002062D4" w:rsidRPr="00524EEA">
        <w:t>,</w:t>
      </w:r>
      <w:r w:rsidR="00243AA6" w:rsidRPr="00524EEA">
        <w:t xml:space="preserve"> surgery</w:t>
      </w:r>
      <w:r w:rsidR="00405B4E" w:rsidRPr="00524EEA">
        <w:t>, a previous ketoacidosis, dehydration</w:t>
      </w:r>
      <w:r w:rsidR="00243AA6" w:rsidRPr="00524EEA">
        <w:t xml:space="preserve"> and alcohol abuse. FORXIGA should be used with caution in these patients. Consider </w:t>
      </w:r>
      <w:r w:rsidR="00405B4E" w:rsidRPr="00524EEA">
        <w:t xml:space="preserve">monitoring </w:t>
      </w:r>
      <w:r w:rsidR="00243AA6" w:rsidRPr="00524EEA">
        <w:t>patients for ketoacidosis and temporarily discontinuing FORXIGA in clinical situations known to predispose to ketoacidosis.</w:t>
      </w:r>
    </w:p>
    <w:p w14:paraId="23F69D0B" w14:textId="19938B1F" w:rsidR="00405B4E" w:rsidRPr="00524EEA" w:rsidRDefault="00405B4E" w:rsidP="005F1964">
      <w:pPr>
        <w:pStyle w:val="Heading3"/>
      </w:pPr>
      <w:bookmarkStart w:id="43" w:name="_Hlk519585706"/>
      <w:bookmarkEnd w:id="42"/>
      <w:r w:rsidRPr="00524EEA">
        <w:t>Surgery</w:t>
      </w:r>
    </w:p>
    <w:p w14:paraId="123E4428" w14:textId="48446E94" w:rsidR="00FA19EA" w:rsidRPr="00524EEA" w:rsidRDefault="00405B4E" w:rsidP="00243AA6">
      <w:r w:rsidRPr="00524EEA">
        <w:t>Treatment with FO</w:t>
      </w:r>
      <w:r w:rsidR="00FA19EA" w:rsidRPr="00524EEA">
        <w:t>RXIGA</w:t>
      </w:r>
      <w:r w:rsidRPr="00524EEA">
        <w:t xml:space="preserve"> should be ceased prior to major surgery. </w:t>
      </w:r>
      <w:bookmarkStart w:id="44" w:name="_Hlk521324046"/>
      <w:r w:rsidR="00CD4B2F" w:rsidRPr="00524EEA">
        <w:t xml:space="preserve">An increase in other glucose lowering agents may be required </w:t>
      </w:r>
      <w:r w:rsidR="00881B7B" w:rsidRPr="00524EEA">
        <w:t>during this time.</w:t>
      </w:r>
      <w:bookmarkEnd w:id="44"/>
      <w:r w:rsidR="00881B7B" w:rsidRPr="00524EEA">
        <w:t xml:space="preserve"> </w:t>
      </w:r>
      <w:r w:rsidRPr="00524EEA">
        <w:t>Patients scheduled for non-urgent</w:t>
      </w:r>
      <w:r w:rsidR="00FA19EA" w:rsidRPr="00524EEA">
        <w:t xml:space="preserve"> surgery who have not ceased </w:t>
      </w:r>
      <w:proofErr w:type="spellStart"/>
      <w:r w:rsidR="00FA19EA" w:rsidRPr="00524EEA">
        <w:t>dapagliflozin</w:t>
      </w:r>
      <w:proofErr w:type="spellEnd"/>
      <w:r w:rsidR="00FA19EA" w:rsidRPr="00524EEA">
        <w:t xml:space="preserve"> should be assessed and consideration should be given to postponing the procedure. </w:t>
      </w:r>
    </w:p>
    <w:p w14:paraId="2A2C2537" w14:textId="1EB1919A" w:rsidR="00405B4E" w:rsidRPr="00524EEA" w:rsidRDefault="00FA19EA" w:rsidP="00243AA6">
      <w:r w:rsidRPr="00524EEA">
        <w:t>Treatment with FORXIGA may be restarted once the patient’s condition has stabilised and oral intake is normal.</w:t>
      </w:r>
    </w:p>
    <w:p w14:paraId="1D9C8B50" w14:textId="47E3C291" w:rsidR="00243AA6" w:rsidRPr="00524EEA" w:rsidRDefault="00243AA6" w:rsidP="00F84082">
      <w:pPr>
        <w:pStyle w:val="Heading3"/>
      </w:pPr>
      <w:bookmarkStart w:id="45" w:name="_Toc279132134"/>
      <w:bookmarkEnd w:id="38"/>
      <w:bookmarkEnd w:id="43"/>
      <w:r w:rsidRPr="00524EEA">
        <w:t>Urinary Tract Infections</w:t>
      </w:r>
      <w:bookmarkEnd w:id="45"/>
    </w:p>
    <w:p w14:paraId="6CE7A5A0" w14:textId="24DE24A1" w:rsidR="00243AA6" w:rsidRPr="00524EEA" w:rsidRDefault="00243AA6" w:rsidP="00243AA6">
      <w:r w:rsidRPr="00524EEA">
        <w:t xml:space="preserve">There have been </w:t>
      </w:r>
      <w:r w:rsidR="003D3D3A" w:rsidRPr="00524EEA">
        <w:t>post-marketing</w:t>
      </w:r>
      <w:r w:rsidRPr="00524EEA">
        <w:t xml:space="preserve"> reports of serious urinary tract infections including </w:t>
      </w:r>
      <w:proofErr w:type="spellStart"/>
      <w:r w:rsidRPr="00524EEA">
        <w:t>urosepsis</w:t>
      </w:r>
      <w:proofErr w:type="spellEnd"/>
      <w:r w:rsidRPr="00524EEA">
        <w:t xml:space="preserve"> and pyelonephritis requiring hospitalisation in patients receiving SGLT2 inhibitors, including FORXIGA.  Urinary tract infections were more frequently reported for </w:t>
      </w:r>
      <w:proofErr w:type="spellStart"/>
      <w:r w:rsidRPr="00524EEA">
        <w:t>dapagliflozin</w:t>
      </w:r>
      <w:proofErr w:type="spellEnd"/>
      <w:r w:rsidRPr="00524EEA">
        <w:t xml:space="preserve"> 10 mg compared to control in a placebo</w:t>
      </w:r>
      <w:r w:rsidR="006944D2" w:rsidRPr="00524EEA">
        <w:t>-</w:t>
      </w:r>
      <w:r w:rsidRPr="00524EEA">
        <w:t xml:space="preserve">pooled analysis up to 24 weeks (4.7% vs. 3.5%, respectively). Urinary glucose excretion may be associated with an increased risk of urinary tract infection. Evaluate patients for signs and symptoms of urinary tract infections and treat promptly, if indicated (see </w:t>
      </w:r>
      <w:r w:rsidR="006A3BCE" w:rsidRPr="00524EEA">
        <w:t>section</w:t>
      </w:r>
      <w:r w:rsidR="00510A7F" w:rsidRPr="00524EEA">
        <w:t xml:space="preserve"> 4.8 Adverse effects (Undesirable effects)</w:t>
      </w:r>
      <w:r w:rsidRPr="00524EEA">
        <w:t xml:space="preserve">).  Temporary interruption of </w:t>
      </w:r>
      <w:proofErr w:type="spellStart"/>
      <w:r w:rsidRPr="00524EEA">
        <w:t>dapagliflozin</w:t>
      </w:r>
      <w:proofErr w:type="spellEnd"/>
      <w:r w:rsidRPr="00524EEA">
        <w:t xml:space="preserve"> should be considered when treating pyelonephritis or </w:t>
      </w:r>
      <w:proofErr w:type="spellStart"/>
      <w:r w:rsidRPr="00524EEA">
        <w:t>urosepsis</w:t>
      </w:r>
      <w:proofErr w:type="spellEnd"/>
      <w:r w:rsidRPr="00524EEA">
        <w:t xml:space="preserve">. Discontinuation of </w:t>
      </w:r>
      <w:proofErr w:type="spellStart"/>
      <w:r w:rsidRPr="00524EEA">
        <w:t>dapagliflozin</w:t>
      </w:r>
      <w:proofErr w:type="spellEnd"/>
      <w:r w:rsidRPr="00524EEA">
        <w:t xml:space="preserve"> may be considered in cases of recurrent urinary tract infections; see </w:t>
      </w:r>
      <w:r w:rsidR="006A3BCE" w:rsidRPr="00524EEA">
        <w:t>section</w:t>
      </w:r>
      <w:r w:rsidR="00510A7F" w:rsidRPr="00524EEA">
        <w:t xml:space="preserve"> 4.8 Adverse effects (Undesirable effects)</w:t>
      </w:r>
      <w:r w:rsidRPr="00524EEA">
        <w:t>.</w:t>
      </w:r>
    </w:p>
    <w:p w14:paraId="782C70F4" w14:textId="5CA969A2" w:rsidR="00AE3F3C" w:rsidRPr="00524EEA" w:rsidRDefault="00AE3F3C" w:rsidP="00F84082">
      <w:pPr>
        <w:pStyle w:val="Heading3"/>
        <w:rPr>
          <w:sz w:val="22"/>
        </w:rPr>
      </w:pPr>
      <w:r w:rsidRPr="00524EEA">
        <w:t>Necrotising fasciitis of the perineum</w:t>
      </w:r>
      <w:r w:rsidR="004613B5" w:rsidRPr="00524EEA">
        <w:t xml:space="preserve"> (Fournier’s gangrene)</w:t>
      </w:r>
    </w:p>
    <w:p w14:paraId="2C92D16B" w14:textId="79300C9A" w:rsidR="00AE3F3C" w:rsidRPr="00524EEA" w:rsidRDefault="00AE3F3C" w:rsidP="00AE3F3C">
      <w:r w:rsidRPr="00524EEA">
        <w:rPr>
          <w:u w:color="0070C0"/>
        </w:rPr>
        <w:t>Post</w:t>
      </w:r>
      <w:r w:rsidR="003D3D3A" w:rsidRPr="00524EEA">
        <w:rPr>
          <w:u w:color="0070C0"/>
        </w:rPr>
        <w:t>-</w:t>
      </w:r>
      <w:r w:rsidRPr="00524EEA">
        <w:rPr>
          <w:u w:color="0070C0"/>
        </w:rPr>
        <w:t>mar</w:t>
      </w:r>
      <w:r w:rsidRPr="00524EEA">
        <w:rPr>
          <w:spacing w:val="1"/>
          <w:u w:color="0070C0"/>
        </w:rPr>
        <w:t>k</w:t>
      </w:r>
      <w:r w:rsidRPr="00524EEA">
        <w:rPr>
          <w:u w:color="0070C0"/>
        </w:rPr>
        <w:t>et</w:t>
      </w:r>
      <w:r w:rsidRPr="00524EEA">
        <w:rPr>
          <w:spacing w:val="1"/>
          <w:u w:color="0070C0"/>
        </w:rPr>
        <w:t>i</w:t>
      </w:r>
      <w:r w:rsidRPr="00524EEA">
        <w:rPr>
          <w:u w:color="0070C0"/>
        </w:rPr>
        <w:t>ng</w:t>
      </w:r>
      <w:r w:rsidRPr="00524EEA">
        <w:rPr>
          <w:spacing w:val="-1"/>
          <w:u w:color="0070C0"/>
        </w:rPr>
        <w:t xml:space="preserve"> </w:t>
      </w:r>
      <w:r w:rsidRPr="00524EEA">
        <w:rPr>
          <w:spacing w:val="2"/>
          <w:u w:color="0070C0"/>
        </w:rPr>
        <w:t>c</w:t>
      </w:r>
      <w:r w:rsidRPr="00524EEA">
        <w:rPr>
          <w:u w:color="0070C0"/>
        </w:rPr>
        <w:t>ases</w:t>
      </w:r>
      <w:r w:rsidRPr="00524EEA">
        <w:rPr>
          <w:spacing w:val="-5"/>
          <w:u w:color="0070C0"/>
        </w:rPr>
        <w:t xml:space="preserve"> </w:t>
      </w:r>
      <w:r w:rsidRPr="00524EEA">
        <w:rPr>
          <w:spacing w:val="1"/>
          <w:u w:color="0070C0"/>
        </w:rPr>
        <w:t>o</w:t>
      </w:r>
      <w:r w:rsidRPr="00524EEA">
        <w:rPr>
          <w:u w:color="0070C0"/>
        </w:rPr>
        <w:t>f</w:t>
      </w:r>
      <w:r w:rsidRPr="00524EEA">
        <w:rPr>
          <w:spacing w:val="-3"/>
          <w:u w:color="0070C0"/>
        </w:rPr>
        <w:t xml:space="preserve"> </w:t>
      </w:r>
      <w:r w:rsidRPr="00524EEA">
        <w:rPr>
          <w:spacing w:val="1"/>
          <w:u w:color="0070C0"/>
        </w:rPr>
        <w:t>n</w:t>
      </w:r>
      <w:r w:rsidRPr="00524EEA">
        <w:rPr>
          <w:u w:color="0070C0"/>
        </w:rPr>
        <w:t>ecrotising</w:t>
      </w:r>
      <w:r w:rsidRPr="00524EEA">
        <w:rPr>
          <w:spacing w:val="-10"/>
          <w:u w:color="0070C0"/>
        </w:rPr>
        <w:t xml:space="preserve"> </w:t>
      </w:r>
      <w:r w:rsidRPr="00524EEA">
        <w:rPr>
          <w:spacing w:val="-1"/>
          <w:u w:color="0070C0"/>
        </w:rPr>
        <w:t>f</w:t>
      </w:r>
      <w:r w:rsidRPr="00524EEA">
        <w:rPr>
          <w:spacing w:val="1"/>
          <w:u w:color="0070C0"/>
        </w:rPr>
        <w:t>a</w:t>
      </w:r>
      <w:r w:rsidRPr="00524EEA">
        <w:rPr>
          <w:u w:color="0070C0"/>
        </w:rPr>
        <w:t>sciitis</w:t>
      </w:r>
      <w:r w:rsidRPr="00524EEA">
        <w:rPr>
          <w:spacing w:val="-8"/>
          <w:u w:color="0070C0"/>
        </w:rPr>
        <w:t xml:space="preserve"> </w:t>
      </w:r>
      <w:r w:rsidRPr="00524EEA">
        <w:rPr>
          <w:u w:color="0070C0"/>
        </w:rPr>
        <w:t>of</w:t>
      </w:r>
      <w:r w:rsidRPr="00524EEA">
        <w:rPr>
          <w:spacing w:val="-3"/>
          <w:u w:color="0070C0"/>
        </w:rPr>
        <w:t xml:space="preserve"> </w:t>
      </w:r>
      <w:r w:rsidRPr="00524EEA">
        <w:rPr>
          <w:u w:color="0070C0"/>
        </w:rPr>
        <w:t>the</w:t>
      </w:r>
      <w:r w:rsidRPr="00524EEA">
        <w:rPr>
          <w:spacing w:val="-2"/>
          <w:u w:color="0070C0"/>
        </w:rPr>
        <w:t xml:space="preserve"> </w:t>
      </w:r>
      <w:r w:rsidRPr="00524EEA">
        <w:rPr>
          <w:u w:color="0070C0"/>
        </w:rPr>
        <w:t>perine</w:t>
      </w:r>
      <w:r w:rsidRPr="00524EEA">
        <w:rPr>
          <w:spacing w:val="1"/>
          <w:u w:color="0070C0"/>
        </w:rPr>
        <w:t>u</w:t>
      </w:r>
      <w:r w:rsidRPr="00524EEA">
        <w:rPr>
          <w:u w:color="0070C0"/>
        </w:rPr>
        <w:t>m</w:t>
      </w:r>
      <w:r w:rsidRPr="00524EEA">
        <w:rPr>
          <w:spacing w:val="-11"/>
          <w:u w:color="0070C0"/>
        </w:rPr>
        <w:t xml:space="preserve"> </w:t>
      </w:r>
      <w:r w:rsidRPr="00524EEA">
        <w:rPr>
          <w:spacing w:val="1"/>
          <w:u w:color="0070C0"/>
        </w:rPr>
        <w:t>(</w:t>
      </w:r>
      <w:r w:rsidRPr="00524EEA">
        <w:rPr>
          <w:u w:color="0070C0"/>
        </w:rPr>
        <w:t>also</w:t>
      </w:r>
      <w:r w:rsidRPr="00524EEA">
        <w:rPr>
          <w:spacing w:val="-5"/>
          <w:u w:color="0070C0"/>
        </w:rPr>
        <w:t xml:space="preserve"> </w:t>
      </w:r>
      <w:r w:rsidRPr="00524EEA">
        <w:rPr>
          <w:u w:color="0070C0"/>
        </w:rPr>
        <w:t>known</w:t>
      </w:r>
      <w:r w:rsidRPr="00524EEA">
        <w:rPr>
          <w:spacing w:val="-6"/>
          <w:u w:color="0070C0"/>
        </w:rPr>
        <w:t xml:space="preserve"> </w:t>
      </w:r>
      <w:r w:rsidRPr="00524EEA">
        <w:rPr>
          <w:u w:color="0070C0"/>
        </w:rPr>
        <w:t>as</w:t>
      </w:r>
      <w:r w:rsidRPr="00524EEA">
        <w:t xml:space="preserve"> </w:t>
      </w:r>
      <w:r w:rsidRPr="00524EEA">
        <w:rPr>
          <w:u w:color="0070C0"/>
        </w:rPr>
        <w:t>Fournie</w:t>
      </w:r>
      <w:r w:rsidRPr="00524EEA">
        <w:rPr>
          <w:spacing w:val="1"/>
          <w:u w:color="0070C0"/>
        </w:rPr>
        <w:t>r</w:t>
      </w:r>
      <w:r w:rsidRPr="00524EEA">
        <w:rPr>
          <w:spacing w:val="-1"/>
          <w:u w:color="0070C0"/>
        </w:rPr>
        <w:t>’</w:t>
      </w:r>
      <w:r w:rsidRPr="00524EEA">
        <w:rPr>
          <w:u w:color="0070C0"/>
        </w:rPr>
        <w:t>s</w:t>
      </w:r>
      <w:r w:rsidRPr="00524EEA">
        <w:rPr>
          <w:spacing w:val="-9"/>
          <w:u w:color="0070C0"/>
        </w:rPr>
        <w:t xml:space="preserve"> </w:t>
      </w:r>
      <w:r w:rsidRPr="00524EEA">
        <w:rPr>
          <w:spacing w:val="1"/>
          <w:u w:color="0070C0"/>
        </w:rPr>
        <w:t>g</w:t>
      </w:r>
      <w:r w:rsidRPr="00524EEA">
        <w:rPr>
          <w:u w:color="0070C0"/>
        </w:rPr>
        <w:t>ang</w:t>
      </w:r>
      <w:r w:rsidRPr="00524EEA">
        <w:rPr>
          <w:spacing w:val="1"/>
          <w:u w:color="0070C0"/>
        </w:rPr>
        <w:t>r</w:t>
      </w:r>
      <w:r w:rsidRPr="00524EEA">
        <w:rPr>
          <w:u w:color="0070C0"/>
        </w:rPr>
        <w:t>ene),</w:t>
      </w:r>
      <w:r w:rsidRPr="00524EEA">
        <w:rPr>
          <w:spacing w:val="-10"/>
          <w:u w:color="0070C0"/>
        </w:rPr>
        <w:t xml:space="preserve"> </w:t>
      </w:r>
      <w:r w:rsidRPr="00524EEA">
        <w:rPr>
          <w:u w:color="0070C0"/>
        </w:rPr>
        <w:t>a</w:t>
      </w:r>
      <w:r w:rsidRPr="00524EEA">
        <w:rPr>
          <w:spacing w:val="-3"/>
          <w:u w:color="0070C0"/>
        </w:rPr>
        <w:t xml:space="preserve"> </w:t>
      </w:r>
      <w:r w:rsidRPr="00524EEA">
        <w:rPr>
          <w:spacing w:val="1"/>
          <w:u w:color="0070C0"/>
        </w:rPr>
        <w:t>r</w:t>
      </w:r>
      <w:r w:rsidRPr="00524EEA">
        <w:rPr>
          <w:u w:color="0070C0"/>
        </w:rPr>
        <w:t>are,</w:t>
      </w:r>
      <w:r w:rsidRPr="00524EEA">
        <w:rPr>
          <w:spacing w:val="-5"/>
          <w:u w:color="0070C0"/>
        </w:rPr>
        <w:t xml:space="preserve"> </w:t>
      </w:r>
      <w:r w:rsidRPr="00524EEA">
        <w:rPr>
          <w:u w:color="0070C0"/>
        </w:rPr>
        <w:t>but</w:t>
      </w:r>
      <w:r w:rsidRPr="00524EEA">
        <w:rPr>
          <w:spacing w:val="-3"/>
          <w:u w:color="0070C0"/>
        </w:rPr>
        <w:t xml:space="preserve"> </w:t>
      </w:r>
      <w:r w:rsidRPr="00524EEA">
        <w:rPr>
          <w:u w:color="0070C0"/>
        </w:rPr>
        <w:t>ser</w:t>
      </w:r>
      <w:r w:rsidRPr="00524EEA">
        <w:rPr>
          <w:spacing w:val="1"/>
          <w:u w:color="0070C0"/>
        </w:rPr>
        <w:t>i</w:t>
      </w:r>
      <w:r w:rsidRPr="00524EEA">
        <w:rPr>
          <w:u w:color="0070C0"/>
        </w:rPr>
        <w:t>ous</w:t>
      </w:r>
      <w:r w:rsidRPr="00524EEA">
        <w:rPr>
          <w:spacing w:val="-7"/>
          <w:u w:color="0070C0"/>
        </w:rPr>
        <w:t xml:space="preserve"> </w:t>
      </w:r>
      <w:r w:rsidRPr="00524EEA">
        <w:rPr>
          <w:spacing w:val="1"/>
          <w:u w:color="0070C0"/>
        </w:rPr>
        <w:t>a</w:t>
      </w:r>
      <w:r w:rsidRPr="00524EEA">
        <w:rPr>
          <w:u w:color="0070C0"/>
        </w:rPr>
        <w:t xml:space="preserve">nd </w:t>
      </w:r>
      <w:bookmarkStart w:id="46" w:name="_Hlk531877449"/>
      <w:r w:rsidRPr="00524EEA">
        <w:rPr>
          <w:u w:color="0070C0"/>
        </w:rPr>
        <w:t>potentially</w:t>
      </w:r>
      <w:bookmarkEnd w:id="46"/>
      <w:r w:rsidRPr="00524EEA">
        <w:rPr>
          <w:spacing w:val="-4"/>
          <w:u w:color="0070C0"/>
        </w:rPr>
        <w:t xml:space="preserve"> </w:t>
      </w:r>
      <w:r w:rsidRPr="00524EEA">
        <w:rPr>
          <w:spacing w:val="1"/>
          <w:u w:color="0070C0"/>
        </w:rPr>
        <w:t>l</w:t>
      </w:r>
      <w:r w:rsidRPr="00524EEA">
        <w:rPr>
          <w:u w:color="0070C0"/>
        </w:rPr>
        <w:t>i</w:t>
      </w:r>
      <w:r w:rsidRPr="00524EEA">
        <w:rPr>
          <w:spacing w:val="-1"/>
          <w:u w:color="0070C0"/>
        </w:rPr>
        <w:t>f</w:t>
      </w:r>
      <w:r w:rsidRPr="00524EEA">
        <w:rPr>
          <w:u w:color="0070C0"/>
        </w:rPr>
        <w:t>e-</w:t>
      </w:r>
      <w:r w:rsidRPr="00524EEA">
        <w:rPr>
          <w:spacing w:val="1"/>
          <w:u w:color="0070C0"/>
        </w:rPr>
        <w:t>t</w:t>
      </w:r>
      <w:r w:rsidRPr="00524EEA">
        <w:rPr>
          <w:u w:color="0070C0"/>
        </w:rPr>
        <w:t>hreat</w:t>
      </w:r>
      <w:r w:rsidRPr="00524EEA">
        <w:rPr>
          <w:spacing w:val="1"/>
          <w:u w:color="0070C0"/>
        </w:rPr>
        <w:t>e</w:t>
      </w:r>
      <w:r w:rsidRPr="00524EEA">
        <w:rPr>
          <w:u w:color="0070C0"/>
        </w:rPr>
        <w:t>ni</w:t>
      </w:r>
      <w:r w:rsidRPr="00524EEA">
        <w:rPr>
          <w:spacing w:val="1"/>
          <w:u w:color="0070C0"/>
        </w:rPr>
        <w:t>n</w:t>
      </w:r>
      <w:r w:rsidRPr="00524EEA">
        <w:rPr>
          <w:u w:color="0070C0"/>
        </w:rPr>
        <w:t>g</w:t>
      </w:r>
      <w:r w:rsidRPr="00524EEA">
        <w:rPr>
          <w:spacing w:val="-16"/>
          <w:u w:color="0070C0"/>
        </w:rPr>
        <w:t xml:space="preserve"> </w:t>
      </w:r>
      <w:r w:rsidRPr="00524EEA">
        <w:rPr>
          <w:spacing w:val="1"/>
          <w:u w:color="0070C0"/>
        </w:rPr>
        <w:t>n</w:t>
      </w:r>
      <w:r w:rsidRPr="00524EEA">
        <w:rPr>
          <w:u w:color="0070C0"/>
        </w:rPr>
        <w:t>ecrotising</w:t>
      </w:r>
      <w:r w:rsidRPr="00524EEA">
        <w:rPr>
          <w:spacing w:val="-12"/>
          <w:u w:color="0070C0"/>
        </w:rPr>
        <w:t xml:space="preserve"> </w:t>
      </w:r>
      <w:r w:rsidRPr="00524EEA">
        <w:rPr>
          <w:spacing w:val="1"/>
          <w:u w:color="0070C0"/>
        </w:rPr>
        <w:t>in</w:t>
      </w:r>
      <w:r w:rsidRPr="00524EEA">
        <w:rPr>
          <w:spacing w:val="-1"/>
          <w:u w:color="0070C0"/>
        </w:rPr>
        <w:t>f</w:t>
      </w:r>
      <w:r w:rsidRPr="00524EEA">
        <w:rPr>
          <w:u w:color="0070C0"/>
        </w:rPr>
        <w:t>ection,</w:t>
      </w:r>
      <w:r w:rsidRPr="00524EEA">
        <w:t xml:space="preserve"> </w:t>
      </w:r>
      <w:r w:rsidRPr="00524EEA">
        <w:rPr>
          <w:u w:color="0070C0"/>
        </w:rPr>
        <w:t>have</w:t>
      </w:r>
      <w:r w:rsidRPr="00524EEA">
        <w:rPr>
          <w:spacing w:val="-4"/>
          <w:u w:color="0070C0"/>
        </w:rPr>
        <w:t xml:space="preserve"> </w:t>
      </w:r>
      <w:r w:rsidRPr="00524EEA">
        <w:rPr>
          <w:spacing w:val="1"/>
          <w:u w:color="0070C0"/>
        </w:rPr>
        <w:t>b</w:t>
      </w:r>
      <w:r w:rsidRPr="00524EEA">
        <w:rPr>
          <w:u w:color="0070C0"/>
        </w:rPr>
        <w:t>een</w:t>
      </w:r>
      <w:r w:rsidRPr="00524EEA">
        <w:rPr>
          <w:spacing w:val="-4"/>
          <w:u w:color="0070C0"/>
        </w:rPr>
        <w:t xml:space="preserve"> </w:t>
      </w:r>
      <w:r w:rsidRPr="00524EEA">
        <w:rPr>
          <w:u w:color="0070C0"/>
        </w:rPr>
        <w:t>r</w:t>
      </w:r>
      <w:r w:rsidRPr="00524EEA">
        <w:rPr>
          <w:spacing w:val="1"/>
          <w:u w:color="0070C0"/>
        </w:rPr>
        <w:t>e</w:t>
      </w:r>
      <w:r w:rsidRPr="00524EEA">
        <w:rPr>
          <w:u w:color="0070C0"/>
        </w:rPr>
        <w:t>ported</w:t>
      </w:r>
      <w:r w:rsidRPr="00524EEA">
        <w:rPr>
          <w:spacing w:val="-9"/>
          <w:u w:color="0070C0"/>
        </w:rPr>
        <w:t xml:space="preserve"> </w:t>
      </w:r>
      <w:r w:rsidRPr="00524EEA">
        <w:rPr>
          <w:u w:color="0070C0"/>
        </w:rPr>
        <w:t>in</w:t>
      </w:r>
      <w:r w:rsidRPr="00524EEA">
        <w:rPr>
          <w:spacing w:val="-1"/>
          <w:u w:color="0070C0"/>
        </w:rPr>
        <w:t xml:space="preserve"> f</w:t>
      </w:r>
      <w:r w:rsidRPr="00524EEA">
        <w:rPr>
          <w:spacing w:val="1"/>
          <w:u w:color="0070C0"/>
        </w:rPr>
        <w:t>e</w:t>
      </w:r>
      <w:r w:rsidRPr="00524EEA">
        <w:rPr>
          <w:u w:color="0070C0"/>
        </w:rPr>
        <w:t>male</w:t>
      </w:r>
      <w:r w:rsidRPr="00524EEA">
        <w:rPr>
          <w:spacing w:val="-6"/>
          <w:u w:color="0070C0"/>
        </w:rPr>
        <w:t xml:space="preserve"> </w:t>
      </w:r>
      <w:r w:rsidRPr="00524EEA">
        <w:rPr>
          <w:u w:color="0070C0"/>
        </w:rPr>
        <w:t>and</w:t>
      </w:r>
      <w:r w:rsidRPr="00524EEA">
        <w:rPr>
          <w:spacing w:val="-2"/>
          <w:u w:color="0070C0"/>
        </w:rPr>
        <w:t xml:space="preserve"> </w:t>
      </w:r>
      <w:r w:rsidRPr="00524EEA">
        <w:rPr>
          <w:spacing w:val="1"/>
          <w:u w:color="0070C0"/>
        </w:rPr>
        <w:t>ma</w:t>
      </w:r>
      <w:r w:rsidRPr="00524EEA">
        <w:rPr>
          <w:u w:color="0070C0"/>
        </w:rPr>
        <w:t>le</w:t>
      </w:r>
      <w:r w:rsidRPr="00524EEA">
        <w:rPr>
          <w:spacing w:val="-6"/>
          <w:u w:color="0070C0"/>
        </w:rPr>
        <w:t xml:space="preserve"> </w:t>
      </w:r>
      <w:r w:rsidRPr="00524EEA">
        <w:rPr>
          <w:u w:color="0070C0"/>
        </w:rPr>
        <w:t>pati</w:t>
      </w:r>
      <w:r w:rsidRPr="00524EEA">
        <w:rPr>
          <w:spacing w:val="1"/>
          <w:u w:color="0070C0"/>
        </w:rPr>
        <w:t>e</w:t>
      </w:r>
      <w:r w:rsidRPr="00524EEA">
        <w:rPr>
          <w:u w:color="0070C0"/>
        </w:rPr>
        <w:t>nts</w:t>
      </w:r>
      <w:r w:rsidRPr="00524EEA">
        <w:rPr>
          <w:spacing w:val="-8"/>
          <w:u w:color="0070C0"/>
        </w:rPr>
        <w:t xml:space="preserve"> </w:t>
      </w:r>
      <w:r w:rsidRPr="00524EEA">
        <w:rPr>
          <w:spacing w:val="2"/>
          <w:u w:color="0070C0"/>
        </w:rPr>
        <w:t>w</w:t>
      </w:r>
      <w:r w:rsidRPr="00524EEA">
        <w:rPr>
          <w:u w:color="0070C0"/>
        </w:rPr>
        <w:t>ith</w:t>
      </w:r>
      <w:r w:rsidRPr="00524EEA">
        <w:rPr>
          <w:spacing w:val="-5"/>
          <w:u w:color="0070C0"/>
        </w:rPr>
        <w:t xml:space="preserve"> </w:t>
      </w:r>
      <w:r w:rsidRPr="00524EEA">
        <w:rPr>
          <w:spacing w:val="1"/>
          <w:u w:color="0070C0"/>
        </w:rPr>
        <w:t>d</w:t>
      </w:r>
      <w:r w:rsidRPr="00524EEA">
        <w:rPr>
          <w:u w:color="0070C0"/>
        </w:rPr>
        <w:t>iabe</w:t>
      </w:r>
      <w:r w:rsidRPr="00524EEA">
        <w:rPr>
          <w:spacing w:val="1"/>
          <w:u w:color="0070C0"/>
        </w:rPr>
        <w:t>t</w:t>
      </w:r>
      <w:r w:rsidRPr="00524EEA">
        <w:rPr>
          <w:u w:color="0070C0"/>
        </w:rPr>
        <w:t>es</w:t>
      </w:r>
      <w:r w:rsidRPr="00524EEA">
        <w:rPr>
          <w:spacing w:val="-7"/>
          <w:u w:color="0070C0"/>
        </w:rPr>
        <w:t xml:space="preserve"> </w:t>
      </w:r>
      <w:r w:rsidRPr="00524EEA">
        <w:rPr>
          <w:u w:color="0070C0"/>
        </w:rPr>
        <w:t>mel</w:t>
      </w:r>
      <w:r w:rsidRPr="00524EEA">
        <w:rPr>
          <w:spacing w:val="1"/>
          <w:u w:color="0070C0"/>
        </w:rPr>
        <w:t>l</w:t>
      </w:r>
      <w:r w:rsidRPr="00524EEA">
        <w:rPr>
          <w:u w:color="0070C0"/>
        </w:rPr>
        <w:t>itus</w:t>
      </w:r>
      <w:r w:rsidRPr="00524EEA">
        <w:rPr>
          <w:spacing w:val="-8"/>
          <w:u w:color="0070C0"/>
        </w:rPr>
        <w:t xml:space="preserve"> </w:t>
      </w:r>
      <w:r w:rsidRPr="00524EEA">
        <w:rPr>
          <w:u w:color="0070C0"/>
        </w:rPr>
        <w:t>tr</w:t>
      </w:r>
      <w:r w:rsidRPr="00524EEA">
        <w:rPr>
          <w:spacing w:val="1"/>
          <w:u w:color="0070C0"/>
        </w:rPr>
        <w:t>ea</w:t>
      </w:r>
      <w:r w:rsidRPr="00524EEA">
        <w:rPr>
          <w:u w:color="0070C0"/>
        </w:rPr>
        <w:t>ted</w:t>
      </w:r>
      <w:r w:rsidRPr="00524EEA">
        <w:t xml:space="preserve"> </w:t>
      </w:r>
      <w:r w:rsidRPr="00524EEA">
        <w:rPr>
          <w:u w:color="0070C0"/>
        </w:rPr>
        <w:t>with</w:t>
      </w:r>
      <w:r w:rsidRPr="00524EEA">
        <w:rPr>
          <w:spacing w:val="-6"/>
          <w:u w:color="0070C0"/>
        </w:rPr>
        <w:t xml:space="preserve"> </w:t>
      </w:r>
      <w:r w:rsidRPr="00524EEA">
        <w:rPr>
          <w:u w:color="0070C0"/>
        </w:rPr>
        <w:t>SGL</w:t>
      </w:r>
      <w:r w:rsidRPr="00524EEA">
        <w:rPr>
          <w:spacing w:val="1"/>
          <w:u w:color="0070C0"/>
        </w:rPr>
        <w:t>T</w:t>
      </w:r>
      <w:r w:rsidRPr="00524EEA">
        <w:rPr>
          <w:u w:color="0070C0"/>
        </w:rPr>
        <w:t>2</w:t>
      </w:r>
      <w:r w:rsidRPr="00524EEA">
        <w:rPr>
          <w:spacing w:val="-8"/>
          <w:u w:color="0070C0"/>
        </w:rPr>
        <w:t xml:space="preserve"> </w:t>
      </w:r>
      <w:r w:rsidRPr="00524EEA">
        <w:rPr>
          <w:spacing w:val="1"/>
          <w:u w:color="0070C0"/>
        </w:rPr>
        <w:t>i</w:t>
      </w:r>
      <w:r w:rsidRPr="00524EEA">
        <w:rPr>
          <w:u w:color="0070C0"/>
        </w:rPr>
        <w:t>nhibitors,</w:t>
      </w:r>
      <w:r w:rsidRPr="00524EEA">
        <w:rPr>
          <w:spacing w:val="-10"/>
          <w:u w:color="0070C0"/>
        </w:rPr>
        <w:t xml:space="preserve"> </w:t>
      </w:r>
      <w:r w:rsidRPr="00524EEA">
        <w:rPr>
          <w:u w:color="0070C0"/>
        </w:rPr>
        <w:t>i</w:t>
      </w:r>
      <w:r w:rsidRPr="00524EEA">
        <w:rPr>
          <w:spacing w:val="1"/>
          <w:u w:color="0070C0"/>
        </w:rPr>
        <w:t>n</w:t>
      </w:r>
      <w:r w:rsidRPr="00524EEA">
        <w:rPr>
          <w:u w:color="0070C0"/>
        </w:rPr>
        <w:t>clu</w:t>
      </w:r>
      <w:r w:rsidRPr="00524EEA">
        <w:rPr>
          <w:spacing w:val="1"/>
          <w:u w:color="0070C0"/>
        </w:rPr>
        <w:t>d</w:t>
      </w:r>
      <w:r w:rsidRPr="00524EEA">
        <w:rPr>
          <w:u w:color="0070C0"/>
        </w:rPr>
        <w:t>ing</w:t>
      </w:r>
      <w:r w:rsidRPr="00524EEA">
        <w:rPr>
          <w:spacing w:val="-10"/>
          <w:u w:color="0070C0"/>
        </w:rPr>
        <w:t xml:space="preserve"> </w:t>
      </w:r>
      <w:proofErr w:type="spellStart"/>
      <w:r w:rsidRPr="00524EEA">
        <w:rPr>
          <w:spacing w:val="-10"/>
          <w:u w:color="0070C0"/>
        </w:rPr>
        <w:t>dapagliflozin</w:t>
      </w:r>
      <w:proofErr w:type="spellEnd"/>
      <w:r w:rsidR="00252A87" w:rsidRPr="00524EEA">
        <w:rPr>
          <w:spacing w:val="-10"/>
          <w:u w:color="0070C0"/>
        </w:rPr>
        <w:t xml:space="preserve"> </w:t>
      </w:r>
      <w:bookmarkStart w:id="47" w:name="_Hlk26438830"/>
      <w:r w:rsidR="00252A87" w:rsidRPr="00524EEA">
        <w:rPr>
          <w:spacing w:val="-10"/>
          <w:u w:color="0070C0"/>
        </w:rPr>
        <w:t>(see section 4.8 (Adverse effects (Undesirable effects))</w:t>
      </w:r>
      <w:r w:rsidRPr="00524EEA">
        <w:rPr>
          <w:u w:color="0070C0"/>
        </w:rPr>
        <w:t>.</w:t>
      </w:r>
      <w:r w:rsidRPr="00524EEA">
        <w:rPr>
          <w:spacing w:val="-12"/>
          <w:u w:color="0070C0"/>
        </w:rPr>
        <w:t xml:space="preserve"> </w:t>
      </w:r>
      <w:bookmarkEnd w:id="47"/>
      <w:r w:rsidRPr="00524EEA">
        <w:rPr>
          <w:u w:color="0070C0"/>
        </w:rPr>
        <w:t>Seri</w:t>
      </w:r>
      <w:r w:rsidRPr="00524EEA">
        <w:rPr>
          <w:spacing w:val="1"/>
          <w:u w:color="0070C0"/>
        </w:rPr>
        <w:t>o</w:t>
      </w:r>
      <w:r w:rsidRPr="00524EEA">
        <w:rPr>
          <w:u w:color="0070C0"/>
        </w:rPr>
        <w:t>us</w:t>
      </w:r>
      <w:r w:rsidRPr="00524EEA">
        <w:rPr>
          <w:spacing w:val="-7"/>
          <w:u w:color="0070C0"/>
        </w:rPr>
        <w:t xml:space="preserve"> </w:t>
      </w:r>
      <w:r w:rsidRPr="00524EEA">
        <w:rPr>
          <w:u w:color="0070C0"/>
        </w:rPr>
        <w:t>outc</w:t>
      </w:r>
      <w:r w:rsidRPr="00524EEA">
        <w:rPr>
          <w:spacing w:val="1"/>
          <w:u w:color="0070C0"/>
        </w:rPr>
        <w:t>o</w:t>
      </w:r>
      <w:r w:rsidRPr="00524EEA">
        <w:rPr>
          <w:u w:color="0070C0"/>
        </w:rPr>
        <w:t>mes</w:t>
      </w:r>
      <w:r w:rsidRPr="00524EEA">
        <w:rPr>
          <w:spacing w:val="-9"/>
          <w:u w:color="0070C0"/>
        </w:rPr>
        <w:t xml:space="preserve"> </w:t>
      </w:r>
      <w:r w:rsidRPr="00524EEA">
        <w:rPr>
          <w:u w:color="0070C0"/>
        </w:rPr>
        <w:t>have</w:t>
      </w:r>
      <w:r w:rsidRPr="00524EEA">
        <w:t xml:space="preserve"> </w:t>
      </w:r>
      <w:r w:rsidRPr="00524EEA">
        <w:rPr>
          <w:u w:color="0070C0"/>
        </w:rPr>
        <w:t>inclu</w:t>
      </w:r>
      <w:r w:rsidRPr="00524EEA">
        <w:rPr>
          <w:spacing w:val="1"/>
          <w:u w:color="0070C0"/>
        </w:rPr>
        <w:t>d</w:t>
      </w:r>
      <w:r w:rsidRPr="00524EEA">
        <w:rPr>
          <w:u w:color="0070C0"/>
        </w:rPr>
        <w:t>ed</w:t>
      </w:r>
      <w:r w:rsidRPr="00524EEA">
        <w:rPr>
          <w:spacing w:val="-9"/>
          <w:u w:color="0070C0"/>
        </w:rPr>
        <w:t xml:space="preserve"> </w:t>
      </w:r>
      <w:r w:rsidRPr="00524EEA">
        <w:rPr>
          <w:u w:color="0070C0"/>
        </w:rPr>
        <w:t>hospitalisation,</w:t>
      </w:r>
      <w:r w:rsidRPr="00524EEA">
        <w:rPr>
          <w:spacing w:val="-13"/>
          <w:u w:color="0070C0"/>
        </w:rPr>
        <w:t xml:space="preserve"> </w:t>
      </w:r>
      <w:r w:rsidRPr="00524EEA">
        <w:rPr>
          <w:u w:color="0070C0"/>
        </w:rPr>
        <w:t>mu</w:t>
      </w:r>
      <w:r w:rsidRPr="00524EEA">
        <w:rPr>
          <w:spacing w:val="1"/>
          <w:u w:color="0070C0"/>
        </w:rPr>
        <w:t>l</w:t>
      </w:r>
      <w:r w:rsidRPr="00524EEA">
        <w:rPr>
          <w:u w:color="0070C0"/>
        </w:rPr>
        <w:t>tiple</w:t>
      </w:r>
      <w:r w:rsidRPr="00524EEA">
        <w:rPr>
          <w:spacing w:val="-9"/>
          <w:u w:color="0070C0"/>
        </w:rPr>
        <w:t xml:space="preserve"> </w:t>
      </w:r>
      <w:r w:rsidRPr="00524EEA">
        <w:rPr>
          <w:u w:color="0070C0"/>
        </w:rPr>
        <w:t>su</w:t>
      </w:r>
      <w:r w:rsidRPr="00524EEA">
        <w:rPr>
          <w:spacing w:val="1"/>
          <w:u w:color="0070C0"/>
        </w:rPr>
        <w:t>r</w:t>
      </w:r>
      <w:r w:rsidRPr="00524EEA">
        <w:rPr>
          <w:u w:color="0070C0"/>
        </w:rPr>
        <w:t>geries,</w:t>
      </w:r>
      <w:r w:rsidRPr="00524EEA">
        <w:rPr>
          <w:spacing w:val="-10"/>
          <w:u w:color="0070C0"/>
        </w:rPr>
        <w:t xml:space="preserve"> </w:t>
      </w:r>
      <w:r w:rsidRPr="00524EEA">
        <w:rPr>
          <w:spacing w:val="1"/>
          <w:u w:color="0070C0"/>
        </w:rPr>
        <w:t>a</w:t>
      </w:r>
      <w:r w:rsidRPr="00524EEA">
        <w:rPr>
          <w:u w:color="0070C0"/>
        </w:rPr>
        <w:t>nd</w:t>
      </w:r>
      <w:r w:rsidRPr="00524EEA">
        <w:rPr>
          <w:spacing w:val="-4"/>
          <w:u w:color="0070C0"/>
        </w:rPr>
        <w:t xml:space="preserve"> </w:t>
      </w:r>
      <w:r w:rsidRPr="00524EEA">
        <w:rPr>
          <w:spacing w:val="2"/>
          <w:u w:color="0070C0"/>
        </w:rPr>
        <w:t>d</w:t>
      </w:r>
      <w:r w:rsidRPr="00524EEA">
        <w:rPr>
          <w:u w:color="0070C0"/>
        </w:rPr>
        <w:t>eath.</w:t>
      </w:r>
    </w:p>
    <w:p w14:paraId="385788AA" w14:textId="77777777" w:rsidR="004303BD" w:rsidRPr="00524EEA" w:rsidRDefault="00AE3F3C" w:rsidP="004303BD">
      <w:pPr>
        <w:rPr>
          <w:u w:color="0070C0"/>
        </w:rPr>
      </w:pPr>
      <w:r w:rsidRPr="00524EEA">
        <w:rPr>
          <w:u w:color="0070C0"/>
        </w:rPr>
        <w:t>Patients</w:t>
      </w:r>
      <w:r w:rsidRPr="00524EEA">
        <w:rPr>
          <w:spacing w:val="-7"/>
          <w:u w:color="0070C0"/>
        </w:rPr>
        <w:t xml:space="preserve"> </w:t>
      </w:r>
      <w:r w:rsidRPr="00524EEA">
        <w:rPr>
          <w:u w:color="0070C0"/>
        </w:rPr>
        <w:t>tre</w:t>
      </w:r>
      <w:r w:rsidRPr="00524EEA">
        <w:rPr>
          <w:spacing w:val="1"/>
          <w:u w:color="0070C0"/>
        </w:rPr>
        <w:t>a</w:t>
      </w:r>
      <w:r w:rsidRPr="00524EEA">
        <w:rPr>
          <w:u w:color="0070C0"/>
        </w:rPr>
        <w:t>ted</w:t>
      </w:r>
      <w:r w:rsidRPr="00524EEA">
        <w:rPr>
          <w:spacing w:val="-7"/>
          <w:u w:color="0070C0"/>
        </w:rPr>
        <w:t xml:space="preserve"> </w:t>
      </w:r>
      <w:r w:rsidRPr="00524EEA">
        <w:rPr>
          <w:u w:color="0070C0"/>
        </w:rPr>
        <w:t>with</w:t>
      </w:r>
      <w:r w:rsidRPr="00524EEA">
        <w:rPr>
          <w:spacing w:val="-5"/>
          <w:u w:color="0070C0"/>
        </w:rPr>
        <w:t xml:space="preserve"> </w:t>
      </w:r>
      <w:r w:rsidRPr="00524EEA">
        <w:rPr>
          <w:u w:color="0070C0"/>
        </w:rPr>
        <w:t>FORXIGA</w:t>
      </w:r>
      <w:r w:rsidRPr="00524EEA">
        <w:rPr>
          <w:spacing w:val="-10"/>
          <w:u w:color="0070C0"/>
        </w:rPr>
        <w:t xml:space="preserve"> </w:t>
      </w:r>
      <w:r w:rsidRPr="00524EEA">
        <w:rPr>
          <w:u w:color="0070C0"/>
        </w:rPr>
        <w:t>who</w:t>
      </w:r>
      <w:r w:rsidRPr="00524EEA">
        <w:rPr>
          <w:spacing w:val="-4"/>
          <w:u w:color="0070C0"/>
        </w:rPr>
        <w:t xml:space="preserve"> </w:t>
      </w:r>
      <w:r w:rsidRPr="00524EEA">
        <w:rPr>
          <w:u w:color="0070C0"/>
        </w:rPr>
        <w:t>present</w:t>
      </w:r>
      <w:r w:rsidRPr="00524EEA">
        <w:rPr>
          <w:spacing w:val="-8"/>
          <w:u w:color="0070C0"/>
        </w:rPr>
        <w:t xml:space="preserve"> </w:t>
      </w:r>
      <w:r w:rsidRPr="00524EEA">
        <w:rPr>
          <w:u w:color="0070C0"/>
        </w:rPr>
        <w:t>with</w:t>
      </w:r>
      <w:r w:rsidRPr="00524EEA">
        <w:rPr>
          <w:spacing w:val="-4"/>
          <w:u w:color="0070C0"/>
        </w:rPr>
        <w:t xml:space="preserve"> </w:t>
      </w:r>
      <w:r w:rsidRPr="00524EEA">
        <w:rPr>
          <w:u w:color="0070C0"/>
        </w:rPr>
        <w:t>pain</w:t>
      </w:r>
      <w:r w:rsidRPr="00524EEA">
        <w:rPr>
          <w:spacing w:val="-4"/>
          <w:u w:color="0070C0"/>
        </w:rPr>
        <w:t xml:space="preserve"> </w:t>
      </w:r>
      <w:r w:rsidRPr="00524EEA">
        <w:rPr>
          <w:u w:color="0070C0"/>
        </w:rPr>
        <w:t>or</w:t>
      </w:r>
      <w:r w:rsidRPr="00524EEA">
        <w:t xml:space="preserve"> </w:t>
      </w:r>
      <w:r w:rsidRPr="00524EEA">
        <w:rPr>
          <w:u w:color="0070C0"/>
        </w:rPr>
        <w:t>ten</w:t>
      </w:r>
      <w:r w:rsidRPr="00524EEA">
        <w:rPr>
          <w:spacing w:val="1"/>
          <w:u w:color="0070C0"/>
        </w:rPr>
        <w:t>d</w:t>
      </w:r>
      <w:r w:rsidRPr="00524EEA">
        <w:rPr>
          <w:u w:color="0070C0"/>
        </w:rPr>
        <w:t>erness,</w:t>
      </w:r>
      <w:r w:rsidRPr="00524EEA">
        <w:rPr>
          <w:spacing w:val="-10"/>
          <w:u w:color="0070C0"/>
        </w:rPr>
        <w:t xml:space="preserve"> </w:t>
      </w:r>
      <w:r w:rsidRPr="00524EEA">
        <w:rPr>
          <w:u w:color="0070C0"/>
        </w:rPr>
        <w:t>eryth</w:t>
      </w:r>
      <w:r w:rsidRPr="00524EEA">
        <w:rPr>
          <w:spacing w:val="1"/>
          <w:u w:color="0070C0"/>
        </w:rPr>
        <w:t>e</w:t>
      </w:r>
      <w:r w:rsidRPr="00524EEA">
        <w:rPr>
          <w:u w:color="0070C0"/>
        </w:rPr>
        <w:t>ma,</w:t>
      </w:r>
      <w:r w:rsidRPr="00524EEA">
        <w:rPr>
          <w:spacing w:val="-10"/>
          <w:u w:color="0070C0"/>
        </w:rPr>
        <w:t xml:space="preserve"> </w:t>
      </w:r>
      <w:r w:rsidRPr="00524EEA">
        <w:rPr>
          <w:spacing w:val="2"/>
          <w:u w:color="0070C0"/>
        </w:rPr>
        <w:t>s</w:t>
      </w:r>
      <w:r w:rsidRPr="00524EEA">
        <w:rPr>
          <w:u w:color="0070C0"/>
        </w:rPr>
        <w:t>we</w:t>
      </w:r>
      <w:r w:rsidRPr="00524EEA">
        <w:rPr>
          <w:spacing w:val="1"/>
          <w:u w:color="0070C0"/>
        </w:rPr>
        <w:t>l</w:t>
      </w:r>
      <w:r w:rsidRPr="00524EEA">
        <w:rPr>
          <w:u w:color="0070C0"/>
        </w:rPr>
        <w:t>ling</w:t>
      </w:r>
      <w:r w:rsidRPr="00524EEA">
        <w:rPr>
          <w:spacing w:val="-9"/>
          <w:u w:color="0070C0"/>
        </w:rPr>
        <w:t xml:space="preserve"> </w:t>
      </w:r>
      <w:r w:rsidRPr="00524EEA">
        <w:rPr>
          <w:u w:color="0070C0"/>
        </w:rPr>
        <w:t>in</w:t>
      </w:r>
      <w:r w:rsidRPr="00524EEA">
        <w:rPr>
          <w:spacing w:val="-1"/>
          <w:u w:color="0070C0"/>
        </w:rPr>
        <w:t xml:space="preserve"> </w:t>
      </w:r>
      <w:r w:rsidRPr="00524EEA">
        <w:rPr>
          <w:u w:color="0070C0"/>
        </w:rPr>
        <w:t>t</w:t>
      </w:r>
      <w:r w:rsidRPr="00524EEA">
        <w:rPr>
          <w:spacing w:val="1"/>
          <w:u w:color="0070C0"/>
        </w:rPr>
        <w:t>h</w:t>
      </w:r>
      <w:r w:rsidRPr="00524EEA">
        <w:rPr>
          <w:u w:color="0070C0"/>
        </w:rPr>
        <w:t>e</w:t>
      </w:r>
      <w:r w:rsidRPr="00524EEA">
        <w:rPr>
          <w:spacing w:val="-4"/>
          <w:u w:color="0070C0"/>
        </w:rPr>
        <w:t xml:space="preserve"> </w:t>
      </w:r>
      <w:r w:rsidRPr="00524EEA">
        <w:rPr>
          <w:spacing w:val="1"/>
          <w:u w:color="0070C0"/>
        </w:rPr>
        <w:t>g</w:t>
      </w:r>
      <w:r w:rsidRPr="00524EEA">
        <w:rPr>
          <w:u w:color="0070C0"/>
        </w:rPr>
        <w:t>eni</w:t>
      </w:r>
      <w:r w:rsidRPr="00524EEA">
        <w:rPr>
          <w:spacing w:val="1"/>
          <w:u w:color="0070C0"/>
        </w:rPr>
        <w:t>t</w:t>
      </w:r>
      <w:r w:rsidRPr="00524EEA">
        <w:rPr>
          <w:u w:color="0070C0"/>
        </w:rPr>
        <w:t>al</w:t>
      </w:r>
      <w:r w:rsidRPr="00524EEA">
        <w:rPr>
          <w:spacing w:val="-7"/>
          <w:u w:color="0070C0"/>
        </w:rPr>
        <w:t xml:space="preserve"> </w:t>
      </w:r>
      <w:r w:rsidRPr="00524EEA">
        <w:rPr>
          <w:u w:color="0070C0"/>
        </w:rPr>
        <w:t>or</w:t>
      </w:r>
      <w:r w:rsidRPr="00524EEA">
        <w:rPr>
          <w:spacing w:val="-3"/>
          <w:u w:color="0070C0"/>
        </w:rPr>
        <w:t xml:space="preserve"> </w:t>
      </w:r>
      <w:r w:rsidRPr="00524EEA">
        <w:rPr>
          <w:spacing w:val="1"/>
          <w:u w:color="0070C0"/>
        </w:rPr>
        <w:t>p</w:t>
      </w:r>
      <w:r w:rsidRPr="00524EEA">
        <w:rPr>
          <w:u w:color="0070C0"/>
        </w:rPr>
        <w:t>erineal</w:t>
      </w:r>
      <w:r w:rsidRPr="00524EEA">
        <w:rPr>
          <w:spacing w:val="-7"/>
          <w:u w:color="0070C0"/>
        </w:rPr>
        <w:t xml:space="preserve"> </w:t>
      </w:r>
      <w:r w:rsidRPr="00524EEA">
        <w:rPr>
          <w:u w:color="0070C0"/>
        </w:rPr>
        <w:t>ar</w:t>
      </w:r>
      <w:r w:rsidRPr="00524EEA">
        <w:rPr>
          <w:spacing w:val="1"/>
          <w:u w:color="0070C0"/>
        </w:rPr>
        <w:t>e</w:t>
      </w:r>
      <w:r w:rsidRPr="00524EEA">
        <w:rPr>
          <w:u w:color="0070C0"/>
        </w:rPr>
        <w:t>a,</w:t>
      </w:r>
      <w:r w:rsidRPr="00524EEA">
        <w:rPr>
          <w:spacing w:val="-4"/>
          <w:u w:color="0070C0"/>
        </w:rPr>
        <w:t xml:space="preserve"> </w:t>
      </w:r>
      <w:r w:rsidRPr="00524EEA">
        <w:rPr>
          <w:spacing w:val="-1"/>
          <w:u w:color="0070C0"/>
        </w:rPr>
        <w:t>f</w:t>
      </w:r>
      <w:r w:rsidRPr="00524EEA">
        <w:rPr>
          <w:u w:color="0070C0"/>
        </w:rPr>
        <w:t>e</w:t>
      </w:r>
      <w:r w:rsidRPr="00524EEA">
        <w:rPr>
          <w:spacing w:val="1"/>
          <w:u w:color="0070C0"/>
        </w:rPr>
        <w:t>v</w:t>
      </w:r>
      <w:r w:rsidRPr="00524EEA">
        <w:rPr>
          <w:u w:color="0070C0"/>
        </w:rPr>
        <w:t>er,</w:t>
      </w:r>
      <w:r w:rsidRPr="00524EEA">
        <w:rPr>
          <w:spacing w:val="-6"/>
          <w:u w:color="0070C0"/>
        </w:rPr>
        <w:t xml:space="preserve"> </w:t>
      </w:r>
      <w:r w:rsidRPr="00524EEA">
        <w:rPr>
          <w:spacing w:val="1"/>
          <w:u w:color="0070C0"/>
        </w:rPr>
        <w:t>m</w:t>
      </w:r>
      <w:r w:rsidRPr="00524EEA">
        <w:rPr>
          <w:u w:color="0070C0"/>
        </w:rPr>
        <w:t>alai</w:t>
      </w:r>
      <w:r w:rsidRPr="00524EEA">
        <w:rPr>
          <w:spacing w:val="2"/>
          <w:u w:color="0070C0"/>
        </w:rPr>
        <w:t>s</w:t>
      </w:r>
      <w:r w:rsidRPr="00524EEA">
        <w:rPr>
          <w:u w:color="0070C0"/>
        </w:rPr>
        <w:t>e</w:t>
      </w:r>
      <w:r w:rsidRPr="00524EEA">
        <w:t xml:space="preserve"> </w:t>
      </w:r>
      <w:r w:rsidRPr="00524EEA">
        <w:rPr>
          <w:u w:color="0070C0"/>
        </w:rPr>
        <w:t>should</w:t>
      </w:r>
      <w:r w:rsidRPr="00524EEA">
        <w:rPr>
          <w:spacing w:val="-7"/>
          <w:u w:color="0070C0"/>
        </w:rPr>
        <w:t xml:space="preserve"> </w:t>
      </w:r>
      <w:r w:rsidRPr="00524EEA">
        <w:rPr>
          <w:u w:color="0070C0"/>
        </w:rPr>
        <w:t>be</w:t>
      </w:r>
      <w:r w:rsidRPr="00524EEA">
        <w:rPr>
          <w:spacing w:val="-2"/>
          <w:u w:color="0070C0"/>
        </w:rPr>
        <w:t xml:space="preserve"> </w:t>
      </w:r>
      <w:r w:rsidRPr="00524EEA">
        <w:rPr>
          <w:u w:color="0070C0"/>
        </w:rPr>
        <w:t>e</w:t>
      </w:r>
      <w:r w:rsidRPr="00524EEA">
        <w:rPr>
          <w:spacing w:val="1"/>
          <w:u w:color="0070C0"/>
        </w:rPr>
        <w:t>v</w:t>
      </w:r>
      <w:r w:rsidRPr="00524EEA">
        <w:rPr>
          <w:u w:color="0070C0"/>
        </w:rPr>
        <w:t>a</w:t>
      </w:r>
      <w:r w:rsidRPr="00524EEA">
        <w:rPr>
          <w:spacing w:val="1"/>
          <w:u w:color="0070C0"/>
        </w:rPr>
        <w:t>l</w:t>
      </w:r>
      <w:r w:rsidRPr="00524EEA">
        <w:rPr>
          <w:u w:color="0070C0"/>
        </w:rPr>
        <w:t>uated</w:t>
      </w:r>
      <w:r w:rsidRPr="00524EEA">
        <w:rPr>
          <w:spacing w:val="-9"/>
          <w:u w:color="0070C0"/>
        </w:rPr>
        <w:t xml:space="preserve"> </w:t>
      </w:r>
      <w:r w:rsidRPr="00524EEA">
        <w:rPr>
          <w:spacing w:val="-1"/>
          <w:u w:color="0070C0"/>
        </w:rPr>
        <w:t>f</w:t>
      </w:r>
      <w:r w:rsidRPr="00524EEA">
        <w:rPr>
          <w:u w:color="0070C0"/>
        </w:rPr>
        <w:t>or</w:t>
      </w:r>
      <w:r w:rsidRPr="00524EEA">
        <w:rPr>
          <w:spacing w:val="-1"/>
          <w:u w:color="0070C0"/>
        </w:rPr>
        <w:t xml:space="preserve"> </w:t>
      </w:r>
      <w:r w:rsidRPr="00524EEA">
        <w:rPr>
          <w:spacing w:val="1"/>
          <w:u w:color="0070C0"/>
        </w:rPr>
        <w:t>n</w:t>
      </w:r>
      <w:r w:rsidRPr="00524EEA">
        <w:rPr>
          <w:u w:color="0070C0"/>
        </w:rPr>
        <w:t>ecrotising</w:t>
      </w:r>
      <w:r w:rsidRPr="00524EEA">
        <w:rPr>
          <w:spacing w:val="-10"/>
          <w:u w:color="0070C0"/>
        </w:rPr>
        <w:t xml:space="preserve"> </w:t>
      </w:r>
      <w:r w:rsidRPr="00524EEA">
        <w:rPr>
          <w:spacing w:val="-1"/>
          <w:u w:color="0070C0"/>
        </w:rPr>
        <w:t>f</w:t>
      </w:r>
      <w:r w:rsidRPr="00524EEA">
        <w:rPr>
          <w:spacing w:val="1"/>
          <w:u w:color="0070C0"/>
        </w:rPr>
        <w:t>a</w:t>
      </w:r>
      <w:r w:rsidRPr="00524EEA">
        <w:rPr>
          <w:u w:color="0070C0"/>
        </w:rPr>
        <w:t>sciitis.</w:t>
      </w:r>
      <w:r w:rsidRPr="00524EEA">
        <w:rPr>
          <w:spacing w:val="-8"/>
          <w:u w:color="0070C0"/>
        </w:rPr>
        <w:t xml:space="preserve"> </w:t>
      </w:r>
      <w:r w:rsidRPr="00524EEA">
        <w:rPr>
          <w:u w:color="0070C0"/>
        </w:rPr>
        <w:t>If</w:t>
      </w:r>
      <w:r w:rsidRPr="00524EEA">
        <w:rPr>
          <w:spacing w:val="-3"/>
          <w:u w:color="0070C0"/>
        </w:rPr>
        <w:t xml:space="preserve"> </w:t>
      </w:r>
      <w:r w:rsidRPr="00524EEA">
        <w:rPr>
          <w:u w:color="0070C0"/>
        </w:rPr>
        <w:t>suspecte</w:t>
      </w:r>
      <w:r w:rsidRPr="00524EEA">
        <w:rPr>
          <w:spacing w:val="1"/>
          <w:u w:color="0070C0"/>
        </w:rPr>
        <w:t>d</w:t>
      </w:r>
      <w:r w:rsidRPr="00524EEA">
        <w:rPr>
          <w:u w:color="0070C0"/>
        </w:rPr>
        <w:t>,</w:t>
      </w:r>
      <w:r w:rsidRPr="00524EEA">
        <w:rPr>
          <w:spacing w:val="-10"/>
          <w:u w:color="0070C0"/>
        </w:rPr>
        <w:t xml:space="preserve"> </w:t>
      </w:r>
      <w:r w:rsidRPr="00524EEA">
        <w:rPr>
          <w:u w:color="0070C0"/>
        </w:rPr>
        <w:t>FORXIGA should</w:t>
      </w:r>
      <w:r w:rsidRPr="00524EEA">
        <w:rPr>
          <w:spacing w:val="-7"/>
          <w:u w:color="0070C0"/>
        </w:rPr>
        <w:t xml:space="preserve"> </w:t>
      </w:r>
      <w:r w:rsidRPr="00524EEA">
        <w:rPr>
          <w:u w:color="0070C0"/>
        </w:rPr>
        <w:t>be</w:t>
      </w:r>
      <w:r w:rsidRPr="00524EEA">
        <w:rPr>
          <w:spacing w:val="-4"/>
          <w:u w:color="0070C0"/>
        </w:rPr>
        <w:t xml:space="preserve"> </w:t>
      </w:r>
      <w:r w:rsidRPr="00524EEA">
        <w:rPr>
          <w:spacing w:val="1"/>
          <w:u w:color="0070C0"/>
        </w:rPr>
        <w:t>di</w:t>
      </w:r>
      <w:r w:rsidRPr="00524EEA">
        <w:rPr>
          <w:u w:color="0070C0"/>
        </w:rPr>
        <w:t>scontinued</w:t>
      </w:r>
      <w:r w:rsidRPr="00524EEA">
        <w:rPr>
          <w:spacing w:val="-12"/>
          <w:u w:color="0070C0"/>
        </w:rPr>
        <w:t xml:space="preserve"> </w:t>
      </w:r>
      <w:r w:rsidRPr="00524EEA">
        <w:rPr>
          <w:spacing w:val="1"/>
          <w:u w:color="0070C0"/>
        </w:rPr>
        <w:t>a</w:t>
      </w:r>
      <w:r w:rsidRPr="00524EEA">
        <w:rPr>
          <w:u w:color="0070C0"/>
        </w:rPr>
        <w:t>nd</w:t>
      </w:r>
      <w:r w:rsidRPr="00524EEA">
        <w:rPr>
          <w:spacing w:val="-4"/>
          <w:u w:color="0070C0"/>
        </w:rPr>
        <w:t xml:space="preserve"> </w:t>
      </w:r>
      <w:r w:rsidRPr="00524EEA">
        <w:rPr>
          <w:u w:color="0070C0"/>
        </w:rPr>
        <w:t>prompt</w:t>
      </w:r>
      <w:r w:rsidRPr="00524EEA">
        <w:rPr>
          <w:spacing w:val="-8"/>
          <w:u w:color="0070C0"/>
        </w:rPr>
        <w:t xml:space="preserve"> </w:t>
      </w:r>
      <w:r w:rsidRPr="00524EEA">
        <w:rPr>
          <w:u w:color="0070C0"/>
        </w:rPr>
        <w:t>t</w:t>
      </w:r>
      <w:r w:rsidRPr="00524EEA">
        <w:rPr>
          <w:spacing w:val="1"/>
          <w:u w:color="0070C0"/>
        </w:rPr>
        <w:t>r</w:t>
      </w:r>
      <w:r w:rsidRPr="00524EEA">
        <w:rPr>
          <w:u w:color="0070C0"/>
        </w:rPr>
        <w:t>ea</w:t>
      </w:r>
      <w:r w:rsidRPr="00524EEA">
        <w:rPr>
          <w:spacing w:val="1"/>
          <w:u w:color="0070C0"/>
        </w:rPr>
        <w:t>t</w:t>
      </w:r>
      <w:r w:rsidRPr="00524EEA">
        <w:rPr>
          <w:u w:color="0070C0"/>
        </w:rPr>
        <w:t>ment</w:t>
      </w:r>
      <w:r w:rsidRPr="00524EEA">
        <w:rPr>
          <w:spacing w:val="-9"/>
          <w:u w:color="0070C0"/>
        </w:rPr>
        <w:t xml:space="preserve"> </w:t>
      </w:r>
      <w:r w:rsidRPr="00524EEA">
        <w:rPr>
          <w:u w:color="0070C0"/>
        </w:rPr>
        <w:t>sh</w:t>
      </w:r>
      <w:r w:rsidRPr="00524EEA">
        <w:rPr>
          <w:spacing w:val="1"/>
          <w:u w:color="0070C0"/>
        </w:rPr>
        <w:t>o</w:t>
      </w:r>
      <w:r w:rsidRPr="00524EEA">
        <w:rPr>
          <w:u w:color="0070C0"/>
        </w:rPr>
        <w:t>u</w:t>
      </w:r>
      <w:r w:rsidRPr="00524EEA">
        <w:rPr>
          <w:spacing w:val="1"/>
          <w:u w:color="0070C0"/>
        </w:rPr>
        <w:t>l</w:t>
      </w:r>
      <w:r w:rsidRPr="00524EEA">
        <w:rPr>
          <w:u w:color="0070C0"/>
        </w:rPr>
        <w:t>d</w:t>
      </w:r>
      <w:r w:rsidRPr="00524EEA">
        <w:rPr>
          <w:spacing w:val="-7"/>
          <w:u w:color="0070C0"/>
        </w:rPr>
        <w:t xml:space="preserve"> </w:t>
      </w:r>
      <w:r w:rsidRPr="00524EEA">
        <w:rPr>
          <w:u w:color="0070C0"/>
        </w:rPr>
        <w:t>be</w:t>
      </w:r>
      <w:r w:rsidRPr="00524EEA">
        <w:rPr>
          <w:spacing w:val="-4"/>
          <w:u w:color="0070C0"/>
        </w:rPr>
        <w:t xml:space="preserve"> </w:t>
      </w:r>
      <w:r w:rsidRPr="00524EEA">
        <w:rPr>
          <w:u w:color="0070C0"/>
        </w:rPr>
        <w:t>insti</w:t>
      </w:r>
      <w:r w:rsidRPr="00524EEA">
        <w:rPr>
          <w:spacing w:val="1"/>
          <w:u w:color="0070C0"/>
        </w:rPr>
        <w:t>t</w:t>
      </w:r>
      <w:r w:rsidRPr="00524EEA">
        <w:rPr>
          <w:u w:color="0070C0"/>
        </w:rPr>
        <w:t>uted</w:t>
      </w:r>
      <w:r w:rsidRPr="00524EEA">
        <w:rPr>
          <w:spacing w:val="-10"/>
          <w:u w:color="0070C0"/>
        </w:rPr>
        <w:t xml:space="preserve"> </w:t>
      </w:r>
      <w:r w:rsidRPr="00524EEA">
        <w:rPr>
          <w:u w:color="0070C0"/>
        </w:rPr>
        <w:t>(inclu</w:t>
      </w:r>
      <w:r w:rsidRPr="00524EEA">
        <w:rPr>
          <w:spacing w:val="1"/>
          <w:u w:color="0070C0"/>
        </w:rPr>
        <w:t>d</w:t>
      </w:r>
      <w:r w:rsidRPr="00524EEA">
        <w:rPr>
          <w:u w:color="0070C0"/>
        </w:rPr>
        <w:t>ing</w:t>
      </w:r>
      <w:r w:rsidRPr="00524EEA">
        <w:t xml:space="preserve"> </w:t>
      </w:r>
      <w:r w:rsidRPr="00524EEA">
        <w:rPr>
          <w:u w:color="0070C0"/>
        </w:rPr>
        <w:t>broa</w:t>
      </w:r>
      <w:r w:rsidRPr="00524EEA">
        <w:rPr>
          <w:spacing w:val="1"/>
          <w:u w:color="0070C0"/>
        </w:rPr>
        <w:t>d</w:t>
      </w:r>
      <w:r w:rsidRPr="00524EEA">
        <w:rPr>
          <w:u w:color="0070C0"/>
        </w:rPr>
        <w:t>-spectrum</w:t>
      </w:r>
      <w:r w:rsidRPr="00524EEA">
        <w:rPr>
          <w:spacing w:val="-15"/>
          <w:u w:color="0070C0"/>
        </w:rPr>
        <w:t xml:space="preserve"> </w:t>
      </w:r>
      <w:r w:rsidRPr="00524EEA">
        <w:rPr>
          <w:u w:color="0070C0"/>
        </w:rPr>
        <w:t>antib</w:t>
      </w:r>
      <w:r w:rsidRPr="00524EEA">
        <w:rPr>
          <w:spacing w:val="1"/>
          <w:u w:color="0070C0"/>
        </w:rPr>
        <w:t>i</w:t>
      </w:r>
      <w:r w:rsidRPr="00524EEA">
        <w:rPr>
          <w:u w:color="0070C0"/>
        </w:rPr>
        <w:t>otics</w:t>
      </w:r>
      <w:r w:rsidRPr="00524EEA">
        <w:rPr>
          <w:spacing w:val="-10"/>
          <w:u w:color="0070C0"/>
        </w:rPr>
        <w:t xml:space="preserve"> </w:t>
      </w:r>
      <w:r w:rsidRPr="00524EEA">
        <w:rPr>
          <w:u w:color="0070C0"/>
        </w:rPr>
        <w:t>and</w:t>
      </w:r>
      <w:r w:rsidRPr="00524EEA">
        <w:rPr>
          <w:spacing w:val="-4"/>
          <w:u w:color="0070C0"/>
        </w:rPr>
        <w:t xml:space="preserve"> </w:t>
      </w:r>
      <w:r w:rsidRPr="00524EEA">
        <w:rPr>
          <w:u w:color="0070C0"/>
        </w:rPr>
        <w:t>surgi</w:t>
      </w:r>
      <w:r w:rsidRPr="00524EEA">
        <w:rPr>
          <w:spacing w:val="2"/>
          <w:u w:color="0070C0"/>
        </w:rPr>
        <w:t>c</w:t>
      </w:r>
      <w:r w:rsidRPr="00524EEA">
        <w:rPr>
          <w:u w:color="0070C0"/>
        </w:rPr>
        <w:t>al</w:t>
      </w:r>
      <w:r w:rsidRPr="00524EEA">
        <w:rPr>
          <w:spacing w:val="-8"/>
          <w:u w:color="0070C0"/>
        </w:rPr>
        <w:t xml:space="preserve"> </w:t>
      </w:r>
      <w:r w:rsidRPr="00524EEA">
        <w:rPr>
          <w:spacing w:val="1"/>
          <w:u w:color="0070C0"/>
        </w:rPr>
        <w:t>d</w:t>
      </w:r>
      <w:r w:rsidRPr="00524EEA">
        <w:rPr>
          <w:u w:color="0070C0"/>
        </w:rPr>
        <w:t>ebri</w:t>
      </w:r>
      <w:r w:rsidRPr="00524EEA">
        <w:rPr>
          <w:spacing w:val="1"/>
          <w:u w:color="0070C0"/>
        </w:rPr>
        <w:t>dem</w:t>
      </w:r>
      <w:r w:rsidRPr="00524EEA">
        <w:rPr>
          <w:u w:color="0070C0"/>
        </w:rPr>
        <w:t>ent</w:t>
      </w:r>
      <w:r w:rsidRPr="00524EEA">
        <w:rPr>
          <w:spacing w:val="-13"/>
          <w:u w:color="0070C0"/>
        </w:rPr>
        <w:t xml:space="preserve"> </w:t>
      </w:r>
      <w:r w:rsidRPr="00524EEA">
        <w:rPr>
          <w:spacing w:val="1"/>
          <w:u w:color="0070C0"/>
        </w:rPr>
        <w:t>i</w:t>
      </w:r>
      <w:r w:rsidRPr="00524EEA">
        <w:rPr>
          <w:u w:color="0070C0"/>
        </w:rPr>
        <w:t>f</w:t>
      </w:r>
      <w:r w:rsidRPr="00524EEA">
        <w:rPr>
          <w:spacing w:val="-3"/>
          <w:u w:color="0070C0"/>
        </w:rPr>
        <w:t xml:space="preserve"> </w:t>
      </w:r>
      <w:r w:rsidRPr="00524EEA">
        <w:rPr>
          <w:spacing w:val="1"/>
          <w:u w:color="0070C0"/>
        </w:rPr>
        <w:t>n</w:t>
      </w:r>
      <w:r w:rsidRPr="00524EEA">
        <w:rPr>
          <w:u w:color="0070C0"/>
        </w:rPr>
        <w:t>ecessary).</w:t>
      </w:r>
    </w:p>
    <w:p w14:paraId="0DE5C2B3" w14:textId="50F09380" w:rsidR="00507CC5" w:rsidRPr="00524EEA" w:rsidRDefault="00507CC5" w:rsidP="00507CC5">
      <w:pPr>
        <w:pStyle w:val="Heading3"/>
      </w:pPr>
      <w:r w:rsidRPr="00524EEA">
        <w:t>Lower limb amputations</w:t>
      </w:r>
    </w:p>
    <w:p w14:paraId="31C50D74" w14:textId="60FDF1C4" w:rsidR="00507CC5" w:rsidRPr="00524EEA" w:rsidRDefault="00507CC5" w:rsidP="00507CC5">
      <w:pPr>
        <w:rPr>
          <w:rFonts w:cs="Times New Roman"/>
        </w:rPr>
      </w:pPr>
      <w:r w:rsidRPr="00524EEA">
        <w:rPr>
          <w:rFonts w:cs="Times New Roman"/>
        </w:rPr>
        <w:t xml:space="preserve">In one long-term clinical study with another SGLT2 inhibitor, an increase in cases of lower limb amputation (primarily of the toe) has been observed.  The medicine in that study is not </w:t>
      </w:r>
      <w:proofErr w:type="spellStart"/>
      <w:r w:rsidRPr="00524EEA">
        <w:rPr>
          <w:rFonts w:cs="Times New Roman"/>
        </w:rPr>
        <w:t>dapagliflozin</w:t>
      </w:r>
      <w:proofErr w:type="spellEnd"/>
      <w:r w:rsidRPr="00524EEA">
        <w:rPr>
          <w:rFonts w:cs="Times New Roman"/>
        </w:rPr>
        <w:t xml:space="preserve">. However, it is unknown whether this constitutes a class effect. It is important to regularly examine the feet and counsel all </w:t>
      </w:r>
      <w:r w:rsidR="00C421D0" w:rsidRPr="00524EEA">
        <w:rPr>
          <w:rFonts w:cs="Times New Roman"/>
        </w:rPr>
        <w:t>patients with diabetes</w:t>
      </w:r>
      <w:r w:rsidRPr="00524EEA">
        <w:rPr>
          <w:rFonts w:cs="Times New Roman"/>
        </w:rPr>
        <w:t xml:space="preserve"> on routine preventative </w:t>
      </w:r>
      <w:proofErr w:type="spellStart"/>
      <w:r w:rsidRPr="00524EEA">
        <w:rPr>
          <w:rFonts w:cs="Times New Roman"/>
        </w:rPr>
        <w:t>footcare</w:t>
      </w:r>
      <w:proofErr w:type="spellEnd"/>
      <w:r w:rsidRPr="00524EEA">
        <w:rPr>
          <w:rFonts w:cs="Times New Roman"/>
        </w:rPr>
        <w:t>.</w:t>
      </w:r>
    </w:p>
    <w:p w14:paraId="59C399DE" w14:textId="2DEFC61A" w:rsidR="00243AA6" w:rsidRPr="00524EEA" w:rsidRDefault="00243AA6" w:rsidP="00243AA6">
      <w:pPr>
        <w:pStyle w:val="Heading3"/>
      </w:pPr>
      <w:r w:rsidRPr="00524EEA">
        <w:t>Use with Medications Known to Cause Hypoglycaemia</w:t>
      </w:r>
    </w:p>
    <w:p w14:paraId="24930890" w14:textId="53F90F34" w:rsidR="00243AA6" w:rsidRPr="00524EEA" w:rsidRDefault="00243AA6" w:rsidP="00243AA6">
      <w:r w:rsidRPr="00524EEA">
        <w:t xml:space="preserve">Insulin and insulin secretagogues, such as sulfonylureas, cause hypoglycaemia.  Therefore, a lower dose of insulin or the insulin </w:t>
      </w:r>
      <w:proofErr w:type="spellStart"/>
      <w:r w:rsidRPr="00524EEA">
        <w:t>secretagogue</w:t>
      </w:r>
      <w:proofErr w:type="spellEnd"/>
      <w:r w:rsidRPr="00524EEA">
        <w:t xml:space="preserve"> may be required to reduce the risk of hypoglycaemia when used in combination with FORXIGA (see </w:t>
      </w:r>
      <w:r w:rsidR="006A3BCE" w:rsidRPr="00524EEA">
        <w:t>section</w:t>
      </w:r>
      <w:r w:rsidR="00510A7F" w:rsidRPr="00524EEA">
        <w:t xml:space="preserve"> 4.8 Adverse effects (Undesirable effects)</w:t>
      </w:r>
      <w:r w:rsidRPr="00524EEA">
        <w:t>).</w:t>
      </w:r>
    </w:p>
    <w:p w14:paraId="4C096036" w14:textId="77777777" w:rsidR="00C52E60" w:rsidRPr="00524EEA" w:rsidRDefault="00C52E60" w:rsidP="00C52E60">
      <w:pPr>
        <w:pStyle w:val="Heading3"/>
        <w:spacing w:before="0" w:after="120"/>
      </w:pPr>
      <w:r w:rsidRPr="00524EEA">
        <w:t>Paediatric use</w:t>
      </w:r>
    </w:p>
    <w:p w14:paraId="1EBCDAAD" w14:textId="77777777" w:rsidR="00C52E60" w:rsidRPr="00524EEA" w:rsidRDefault="00C52E60" w:rsidP="00C52E60">
      <w:r w:rsidRPr="00524EEA">
        <w:t>Safety and effectiveness of FORXIGA in paediatric patients have not been established.  Delayed growth and metabolic acidosis in rats were observed in both sexes at higher doses (greater than or equal to 15 mg/kg/day).  The developmental age of animals in this study approximately correlates to 2 to 16 years in humans.</w:t>
      </w:r>
    </w:p>
    <w:p w14:paraId="316060A9" w14:textId="4DE275C1" w:rsidR="001A3992" w:rsidRPr="00524EEA" w:rsidRDefault="001A3992" w:rsidP="001A3992">
      <w:pPr>
        <w:pStyle w:val="Heading3"/>
        <w:spacing w:before="0" w:after="120"/>
      </w:pPr>
      <w:r w:rsidRPr="00524EEA">
        <w:t>Use in the elderly</w:t>
      </w:r>
      <w:r w:rsidR="00DA18BB" w:rsidRPr="00524EEA">
        <w:t xml:space="preserve">  </w:t>
      </w:r>
    </w:p>
    <w:p w14:paraId="7070A2DA" w14:textId="33371E53" w:rsidR="004269BB" w:rsidRPr="00524EEA" w:rsidRDefault="004269BB" w:rsidP="00243AA6">
      <w:r w:rsidRPr="00524EEA">
        <w:t>No dosage adjustment for FORXIGA is required based on age (see Section 4.2 Dose and administration). Older patients are more likely to have impaired renal function. The renal function recommendations provided for all patients also apply to elderly patients (see Section 4.4 Special warnings and precautions for use).</w:t>
      </w:r>
    </w:p>
    <w:p w14:paraId="3CA09B19" w14:textId="1FA02BBF" w:rsidR="00243AA6" w:rsidRPr="00524EEA" w:rsidRDefault="00243AA6" w:rsidP="002A7784">
      <w:pPr>
        <w:pStyle w:val="Heading3"/>
        <w:ind w:left="0"/>
      </w:pPr>
      <w:r w:rsidRPr="00524EEA">
        <w:t>Cardiac failure</w:t>
      </w:r>
      <w:r w:rsidR="00E61FB9" w:rsidRPr="00524EEA">
        <w:t xml:space="preserve">   </w:t>
      </w:r>
    </w:p>
    <w:p w14:paraId="786AE512" w14:textId="207F6576" w:rsidR="00243AA6" w:rsidRPr="00524EEA" w:rsidRDefault="009708F0" w:rsidP="00243AA6">
      <w:r w:rsidRPr="00524EEA">
        <w:t>T</w:t>
      </w:r>
      <w:r w:rsidR="00243AA6" w:rsidRPr="00524EEA">
        <w:t xml:space="preserve">here is </w:t>
      </w:r>
      <w:r w:rsidR="0024507F" w:rsidRPr="00524EEA">
        <w:t xml:space="preserve">limited clinical </w:t>
      </w:r>
      <w:r w:rsidR="00243AA6" w:rsidRPr="00524EEA">
        <w:t xml:space="preserve">experience in </w:t>
      </w:r>
      <w:r w:rsidR="0024507F" w:rsidRPr="00524EEA">
        <w:t xml:space="preserve">patients with </w:t>
      </w:r>
      <w:r w:rsidR="00243AA6" w:rsidRPr="00524EEA">
        <w:t>NYHA class IV.</w:t>
      </w:r>
    </w:p>
    <w:p w14:paraId="2B398A7C" w14:textId="7A66C294" w:rsidR="001A3992" w:rsidRPr="00524EEA" w:rsidRDefault="001A3992" w:rsidP="001A3992">
      <w:pPr>
        <w:pStyle w:val="Heading3"/>
        <w:spacing w:before="0" w:after="120"/>
      </w:pPr>
      <w:r w:rsidRPr="00524EEA">
        <w:t>Effects on laboratory tests</w:t>
      </w:r>
    </w:p>
    <w:p w14:paraId="0448C17B" w14:textId="77777777" w:rsidR="00B701F0" w:rsidRPr="00524EEA" w:rsidRDefault="00B701F0" w:rsidP="00C07BC4">
      <w:pPr>
        <w:pStyle w:val="Heading4nobookmark"/>
      </w:pPr>
      <w:r w:rsidRPr="00524EEA">
        <w:t>Interference with 1,5-anhydroglucitol (1,5-AG) Assay</w:t>
      </w:r>
    </w:p>
    <w:p w14:paraId="76333CE9" w14:textId="77777777" w:rsidR="00B701F0" w:rsidRPr="00524EEA" w:rsidRDefault="00B701F0" w:rsidP="00B701F0">
      <w:r w:rsidRPr="00524EEA">
        <w:t>Monitoring glycaemic control with 1,5-AG assay is not recommended as measurements of 1,5-AG are unreliable in assessing glycaemic control in patients taking SGLT2 inhibitors. Use alternative methods to monitor glycaemic control.</w:t>
      </w:r>
    </w:p>
    <w:p w14:paraId="26B49D73" w14:textId="08FB17AA" w:rsidR="00B701F0" w:rsidRPr="00524EEA" w:rsidRDefault="00B701F0" w:rsidP="00C07BC4">
      <w:pPr>
        <w:pStyle w:val="Heading4nobookmark"/>
      </w:pPr>
      <w:r w:rsidRPr="00524EEA">
        <w:t>Haematocrit</w:t>
      </w:r>
    </w:p>
    <w:p w14:paraId="7A090058" w14:textId="72E0BA60" w:rsidR="00B701F0" w:rsidRPr="00524EEA" w:rsidRDefault="00B701F0" w:rsidP="00B701F0">
      <w:r w:rsidRPr="00524EEA">
        <w:t xml:space="preserve">In the pool of 13 short-term placebo-controlled studies (see </w:t>
      </w:r>
      <w:r w:rsidR="006A3BCE" w:rsidRPr="00524EEA">
        <w:t>section</w:t>
      </w:r>
      <w:r w:rsidR="0013741D" w:rsidRPr="00524EEA">
        <w:t xml:space="preserve"> 4.8 Adverse effects (Undesirable effects)</w:t>
      </w:r>
      <w:r w:rsidRPr="00524EEA">
        <w:t xml:space="preserve">), increases from baseline in mean haematocrit values were observed in FORXIGA-treated patients starting at Week 1.  At Week 24, the mean changes from baseline in haematocrit were </w:t>
      </w:r>
      <w:r w:rsidR="00640489" w:rsidRPr="00524EEA">
        <w:t>-</w:t>
      </w:r>
      <w:r w:rsidRPr="00524EEA">
        <w:t>0.33% in the placebo group and 2.30% in the FORXIGA 10 mg group. By Week 24, haematocrit values &gt;55% were reported in 0.4% of placebo-treated patients and 1.3% of FORXIGA 10 mg–treated patients.</w:t>
      </w:r>
    </w:p>
    <w:p w14:paraId="465F1951" w14:textId="0390549C" w:rsidR="00B701F0" w:rsidRPr="00524EEA" w:rsidRDefault="00B701F0" w:rsidP="00B701F0">
      <w:r w:rsidRPr="00524EEA">
        <w:t>In the pool of 9 placebo-controlled studies with short-term and long-term data, at week 102, the mean changes in haematocrit values were 2.68% vs. -0.46%, respectively.  Results for haematocrit values &gt;55% during the short-term plus long-term phase (the majority of patients were exposed to treatment for more than one year), were similar to week 24.</w:t>
      </w:r>
    </w:p>
    <w:p w14:paraId="495B2140" w14:textId="7BB8B69A" w:rsidR="00B701F0" w:rsidRPr="00524EEA" w:rsidRDefault="00B701F0" w:rsidP="00B701F0">
      <w:r w:rsidRPr="00524EEA">
        <w:t>Most patients with marked abnormalities of elevated haematocrit or haemoglobin had elevations measured a single time that resolved at subsequent visits.</w:t>
      </w:r>
    </w:p>
    <w:p w14:paraId="48177282" w14:textId="77777777" w:rsidR="00B701F0" w:rsidRPr="00524EEA" w:rsidRDefault="00B701F0" w:rsidP="00C07BC4">
      <w:pPr>
        <w:pStyle w:val="Heading4nobookmark"/>
      </w:pPr>
      <w:r w:rsidRPr="00524EEA">
        <w:t>Serum Inorganic Phosphorus</w:t>
      </w:r>
    </w:p>
    <w:p w14:paraId="4690D266" w14:textId="1E41E0D5" w:rsidR="00B701F0" w:rsidRPr="00524EEA" w:rsidRDefault="00B701F0" w:rsidP="00B701F0">
      <w:r w:rsidRPr="00524EEA">
        <w:t xml:space="preserve">In the pool of 13 short-term placebo-controlled studies, increases from baseline in mean serum phosphorus levels were reported at Week 24 in FORXIGA-treated patients compared with placebo-treated patients (mean increase of 0.042 </w:t>
      </w:r>
      <w:proofErr w:type="spellStart"/>
      <w:r w:rsidRPr="00524EEA">
        <w:t>mmol</w:t>
      </w:r>
      <w:proofErr w:type="spellEnd"/>
      <w:r w:rsidRPr="00524EEA">
        <w:t xml:space="preserve">/L versus </w:t>
      </w:r>
      <w:r w:rsidR="00640489" w:rsidRPr="00524EEA">
        <w:t>-</w:t>
      </w:r>
      <w:r w:rsidRPr="00524EEA">
        <w:t xml:space="preserve">0.0013 </w:t>
      </w:r>
      <w:proofErr w:type="spellStart"/>
      <w:r w:rsidRPr="00524EEA">
        <w:t>mmol</w:t>
      </w:r>
      <w:proofErr w:type="spellEnd"/>
      <w:r w:rsidRPr="00524EEA">
        <w:t xml:space="preserve">/L, respectively). Higher proportions of patients with marked laboratory abnormalities of </w:t>
      </w:r>
      <w:proofErr w:type="spellStart"/>
      <w:r w:rsidRPr="00524EEA">
        <w:t>hyperphosphataemia</w:t>
      </w:r>
      <w:proofErr w:type="spellEnd"/>
      <w:r w:rsidRPr="00524EEA">
        <w:t xml:space="preserve"> (≥1.81 </w:t>
      </w:r>
      <w:proofErr w:type="spellStart"/>
      <w:r w:rsidRPr="00524EEA">
        <w:t>mmol</w:t>
      </w:r>
      <w:proofErr w:type="spellEnd"/>
      <w:r w:rsidRPr="00524EEA">
        <w:t xml:space="preserve">/L for age 17-65 years or ≥1.65 </w:t>
      </w:r>
      <w:proofErr w:type="spellStart"/>
      <w:r w:rsidRPr="00524EEA">
        <w:t>mmol</w:t>
      </w:r>
      <w:proofErr w:type="spellEnd"/>
      <w:r w:rsidRPr="00524EEA">
        <w:t>/L for age ≥66 years) were reported on FORXIGA at Week 24 (0.9% versus 1.7% for placebo and FORXIGA 10 mg, respectively).</w:t>
      </w:r>
    </w:p>
    <w:p w14:paraId="3CE45F7B" w14:textId="77777777" w:rsidR="00B701F0" w:rsidRPr="00524EEA" w:rsidRDefault="00B701F0" w:rsidP="00B701F0">
      <w:r w:rsidRPr="00524EEA">
        <w:t xml:space="preserve">In the pool of 9 placebo-controlled studies with short-term and long-term data, at week 102, reported increases in mean serum phosphorus were similar to week 24 results.  During the short-term plus long-term phase laboratory abnormalities of </w:t>
      </w:r>
      <w:proofErr w:type="spellStart"/>
      <w:r w:rsidRPr="00524EEA">
        <w:t>hyperphosphataemia</w:t>
      </w:r>
      <w:proofErr w:type="spellEnd"/>
      <w:r w:rsidRPr="00524EEA">
        <w:t xml:space="preserve"> were reported in a higher proportion of patients in the FORXIGA group compared to placebo (3.0% vs. 1.6%, respectively).  The clinical relevance of these findings is unknown.</w:t>
      </w:r>
    </w:p>
    <w:p w14:paraId="6632133E" w14:textId="77777777" w:rsidR="00B701F0" w:rsidRPr="00524EEA" w:rsidRDefault="00B701F0" w:rsidP="00C07BC4">
      <w:pPr>
        <w:pStyle w:val="Heading4nobookmark"/>
      </w:pPr>
      <w:r w:rsidRPr="00524EEA">
        <w:t>Lipids</w:t>
      </w:r>
    </w:p>
    <w:p w14:paraId="2A192FC7" w14:textId="0C165CA0" w:rsidR="00B701F0" w:rsidRPr="00524EEA" w:rsidRDefault="00B701F0" w:rsidP="00B701F0">
      <w:r w:rsidRPr="00524EEA">
        <w:t>In the 13-study short-term placebo-controlled pool, small changes from baseline in mean lipid values were reported at week 24 in FORXIGA 10 mg treated patients compared with placebo (see</w:t>
      </w:r>
      <w:r w:rsidR="006E4BD6" w:rsidRPr="00524EEA">
        <w:t xml:space="preserve"> section 4.8 Adverse effects (Undesirable effects)</w:t>
      </w:r>
      <w:r w:rsidRPr="00524EEA">
        <w:t>).  Mean percent change from baseline at week 24 for FORXIGA 10 mg vs. placebo, respectively was as follows: total cholesterol 2.5% vs. 0.0%; HDL cholesterol 6.0% vs. 2.7%; LDL cholesterol 2.9% vs. -1.0%; triglycerides -2.7% vs. -0.7%.  The ratio between LDL cholesterol and HDL cholesterol decreased for both treatment groups at week 24.</w:t>
      </w:r>
    </w:p>
    <w:p w14:paraId="234AC19B" w14:textId="2052B59A" w:rsidR="00B701F0" w:rsidRPr="00524EEA" w:rsidRDefault="00B701F0" w:rsidP="00B701F0">
      <w:r w:rsidRPr="00524EEA">
        <w:t>In the pool of 9 placebo-controlled studies with short-term and long-term data, the mean percent change from baseline at week 102 for FORXIGA 10 mg vs. placebo, respectively was as follows: total cholesterol 2.1% vs.</w:t>
      </w:r>
      <w:r w:rsidRPr="00524EEA">
        <w:noBreakHyphen/>
        <w:t>1.5%; HDL cholesterol 6.6% vs. 2.1%; LDL cholesterol 2.9% vs. -2.2%; triglycerides -1.8% vs. -1.8%.</w:t>
      </w:r>
    </w:p>
    <w:p w14:paraId="200DA4AC" w14:textId="42F17BF3" w:rsidR="00D727B2" w:rsidRPr="00524EEA" w:rsidRDefault="00D727B2" w:rsidP="00B701F0">
      <w:r w:rsidRPr="00524EEA">
        <w:rPr>
          <w:rFonts w:eastAsia="MS Mincho"/>
          <w:lang w:val="en-US" w:eastAsia="ja-JP"/>
        </w:rPr>
        <w:t>In the cardiovascular outcomes study, no clinical important differences in total cholesterol, HDL cholesterol, LDL cholesterol or triglycerides were seen.</w:t>
      </w:r>
    </w:p>
    <w:p w14:paraId="05F228C2" w14:textId="77777777" w:rsidR="00B701F0" w:rsidRPr="00524EEA" w:rsidRDefault="00B701F0" w:rsidP="00C07BC4">
      <w:pPr>
        <w:pStyle w:val="Heading4nobookmark"/>
      </w:pPr>
      <w:r w:rsidRPr="00524EEA">
        <w:t>Liver Function Tests</w:t>
      </w:r>
    </w:p>
    <w:p w14:paraId="36125EF6" w14:textId="2F63F2FE" w:rsidR="00B701F0" w:rsidRPr="00524EEA" w:rsidRDefault="00B701F0" w:rsidP="00B701F0">
      <w:r w:rsidRPr="00524EEA">
        <w:t>In the 21-study active and placebo-controlled pool (see</w:t>
      </w:r>
      <w:r w:rsidR="006E4BD6" w:rsidRPr="00524EEA">
        <w:t xml:space="preserve"> section 4.8 Adverse effects (Undesirable effects)</w:t>
      </w:r>
      <w:r w:rsidRPr="00524EEA">
        <w:t xml:space="preserve">), there was no imbalance across treatment groups in the incidence of elevations of ALT or AST.  ALT &gt;3 x ULN was reported in 1.2% of patients treated with FORXIGA 10 mg and 1.6% treated with comparator. ALT or AST &gt;3 x ULN and bilirubin &gt;2 x ULN was reported in 0.1% of patients on any dose of </w:t>
      </w:r>
      <w:proofErr w:type="spellStart"/>
      <w:r w:rsidRPr="00524EEA">
        <w:t>dapagliflozin</w:t>
      </w:r>
      <w:proofErr w:type="spellEnd"/>
      <w:r w:rsidRPr="00524EEA">
        <w:t>, 0.2% of patients on FORXIGA, and 0.1% of patients on comparator.</w:t>
      </w:r>
    </w:p>
    <w:p w14:paraId="598273BD" w14:textId="230F33CD" w:rsidR="001A3992" w:rsidRPr="00524EEA" w:rsidRDefault="001A3992" w:rsidP="001A3992">
      <w:pPr>
        <w:pStyle w:val="Heading2"/>
        <w:keepLines/>
        <w:spacing w:before="0" w:after="120"/>
      </w:pPr>
      <w:r w:rsidRPr="00524EEA">
        <w:t>Interactions with other medicines and other forms of interactions</w:t>
      </w:r>
    </w:p>
    <w:p w14:paraId="0E7AFDFB" w14:textId="764628FF" w:rsidR="00B701F0" w:rsidRPr="00524EEA" w:rsidRDefault="00B701F0" w:rsidP="00B701F0">
      <w:r w:rsidRPr="00524EEA">
        <w:t xml:space="preserve">The metabolism of </w:t>
      </w:r>
      <w:proofErr w:type="spellStart"/>
      <w:r w:rsidRPr="00524EEA">
        <w:t>dapagliflozin</w:t>
      </w:r>
      <w:proofErr w:type="spellEnd"/>
      <w:r w:rsidRPr="00524EEA">
        <w:t xml:space="preserve"> is primarily mediated by UGT1A9-dependent glucuronide conjugation. The major metabolite, </w:t>
      </w:r>
      <w:proofErr w:type="spellStart"/>
      <w:r w:rsidRPr="00524EEA">
        <w:t>dapagliflozin</w:t>
      </w:r>
      <w:proofErr w:type="spellEnd"/>
      <w:r w:rsidRPr="00524EEA">
        <w:t xml:space="preserve"> 3-O-glucuronide, is not an SGLT2 inhibitor. </w:t>
      </w:r>
    </w:p>
    <w:p w14:paraId="1F6E5024" w14:textId="77777777" w:rsidR="00B701F0" w:rsidRPr="00524EEA" w:rsidRDefault="00B701F0" w:rsidP="00B701F0">
      <w:r w:rsidRPr="00524EEA">
        <w:t xml:space="preserve">In </w:t>
      </w:r>
      <w:r w:rsidRPr="00524EEA">
        <w:rPr>
          <w:i/>
        </w:rPr>
        <w:t xml:space="preserve">in-vitro </w:t>
      </w:r>
      <w:r w:rsidRPr="00524EEA">
        <w:t xml:space="preserve">studies, </w:t>
      </w:r>
      <w:proofErr w:type="spellStart"/>
      <w:r w:rsidRPr="00524EEA">
        <w:t>dapagliflozin</w:t>
      </w:r>
      <w:proofErr w:type="spellEnd"/>
      <w:r w:rsidRPr="00524EEA">
        <w:t xml:space="preserve"> neither inhibited CYP 1A2, 2A6, 2B6, 2C8, 2C9, 2C19, 2D6, 3A4, nor induced CYP1A2, 2B6 or 3A4.  Therefore, </w:t>
      </w:r>
      <w:proofErr w:type="spellStart"/>
      <w:r w:rsidRPr="00524EEA">
        <w:t>dapagliflozin</w:t>
      </w:r>
      <w:proofErr w:type="spellEnd"/>
      <w:r w:rsidRPr="00524EEA">
        <w:t xml:space="preserve"> is not expected to alter the metabolic clearance of </w:t>
      </w:r>
      <w:proofErr w:type="spellStart"/>
      <w:r w:rsidRPr="00524EEA">
        <w:t>coadministered</w:t>
      </w:r>
      <w:proofErr w:type="spellEnd"/>
      <w:r w:rsidRPr="00524EEA">
        <w:t xml:space="preserve"> drugs that are metabolized by these enzymes and drugs which inhibit or induce these enzymes are not expected to alter the metabolic clearance of </w:t>
      </w:r>
      <w:proofErr w:type="spellStart"/>
      <w:r w:rsidRPr="00524EEA">
        <w:t>dapagliflozin</w:t>
      </w:r>
      <w:proofErr w:type="spellEnd"/>
      <w:r w:rsidRPr="00524EEA">
        <w:t>.</w:t>
      </w:r>
      <w:r w:rsidRPr="00524EEA">
        <w:rPr>
          <w:bCs/>
        </w:rPr>
        <w:t xml:space="preserve">  </w:t>
      </w:r>
      <w:proofErr w:type="spellStart"/>
      <w:r w:rsidRPr="00524EEA">
        <w:t>Dapagliflozin</w:t>
      </w:r>
      <w:proofErr w:type="spellEnd"/>
      <w:r w:rsidRPr="00524EEA">
        <w:t xml:space="preserve"> is a weak substrate of the P-glycoprotein (P-</w:t>
      </w:r>
      <w:proofErr w:type="spellStart"/>
      <w:r w:rsidRPr="00524EEA">
        <w:t>gp</w:t>
      </w:r>
      <w:proofErr w:type="spellEnd"/>
      <w:r w:rsidRPr="00524EEA">
        <w:t xml:space="preserve">) active transporter and </w:t>
      </w:r>
      <w:proofErr w:type="spellStart"/>
      <w:r w:rsidRPr="00524EEA">
        <w:t>dapagliflozin</w:t>
      </w:r>
      <w:proofErr w:type="spellEnd"/>
      <w:r w:rsidRPr="00524EEA">
        <w:t xml:space="preserve"> 3-O-glucuronide is a substrate for the OAT3 active transporter.  </w:t>
      </w:r>
      <w:proofErr w:type="spellStart"/>
      <w:r w:rsidRPr="00524EEA">
        <w:t>Dapagliflozin</w:t>
      </w:r>
      <w:proofErr w:type="spellEnd"/>
      <w:r w:rsidRPr="00524EEA">
        <w:t xml:space="preserve"> or </w:t>
      </w:r>
      <w:proofErr w:type="spellStart"/>
      <w:r w:rsidRPr="00524EEA">
        <w:t>dapagliflozin</w:t>
      </w:r>
      <w:proofErr w:type="spellEnd"/>
      <w:r w:rsidRPr="00524EEA">
        <w:t xml:space="preserve"> 3-O-glucuronide did not meaningfully inhibit P-</w:t>
      </w:r>
      <w:proofErr w:type="spellStart"/>
      <w:r w:rsidRPr="00524EEA">
        <w:t>gp</w:t>
      </w:r>
      <w:proofErr w:type="spellEnd"/>
      <w:r w:rsidRPr="00524EEA">
        <w:t xml:space="preserve">, OCT2, OAT1, or OAT3 active transporters. Overall, </w:t>
      </w:r>
      <w:proofErr w:type="spellStart"/>
      <w:r w:rsidRPr="00524EEA">
        <w:t>dapagliflozin</w:t>
      </w:r>
      <w:proofErr w:type="spellEnd"/>
      <w:r w:rsidRPr="00524EEA">
        <w:t xml:space="preserve"> is unlikely to affect the pharmacokinetics of concurrently administered medications that are P-</w:t>
      </w:r>
      <w:proofErr w:type="spellStart"/>
      <w:r w:rsidRPr="00524EEA">
        <w:t>gp</w:t>
      </w:r>
      <w:proofErr w:type="spellEnd"/>
      <w:r w:rsidRPr="00524EEA">
        <w:t>, OCT2, OAT1, or OAT3 substrates.</w:t>
      </w:r>
    </w:p>
    <w:p w14:paraId="48720784" w14:textId="5BA8AFB4" w:rsidR="001D5AE6" w:rsidRPr="00524EEA" w:rsidRDefault="00B701F0" w:rsidP="0030758A">
      <w:r w:rsidRPr="00524EEA">
        <w:t xml:space="preserve">In </w:t>
      </w:r>
      <w:r w:rsidR="001D5AE6" w:rsidRPr="00524EEA">
        <w:t xml:space="preserve">interaction </w:t>
      </w:r>
      <w:r w:rsidRPr="00524EEA">
        <w:t xml:space="preserve">studies conducted in healthy subjects, </w:t>
      </w:r>
      <w:r w:rsidR="001D5AE6" w:rsidRPr="00524EEA">
        <w:t xml:space="preserve">using mainly single dose design, </w:t>
      </w:r>
      <w:r w:rsidRPr="00524EEA">
        <w:t xml:space="preserve">the pharmacokinetics of </w:t>
      </w:r>
      <w:proofErr w:type="spellStart"/>
      <w:r w:rsidRPr="00524EEA">
        <w:t>dapagliflozin</w:t>
      </w:r>
      <w:proofErr w:type="spellEnd"/>
      <w:r w:rsidRPr="00524EEA">
        <w:t xml:space="preserve"> were not altered by metformin</w:t>
      </w:r>
      <w:r w:rsidR="001D5AE6" w:rsidRPr="00524EEA">
        <w:t xml:space="preserve"> </w:t>
      </w:r>
      <w:r w:rsidR="008E1DC0" w:rsidRPr="00524EEA">
        <w:t>(</w:t>
      </w:r>
      <w:r w:rsidR="001D5AE6" w:rsidRPr="00524EEA">
        <w:t>an hOCT-1 and hOCT-2 substrate)</w:t>
      </w:r>
      <w:r w:rsidRPr="00524EEA">
        <w:t xml:space="preserve">, pioglitazone (a CYP2C8 [major] and CYP3A4 [minor] substrate), </w:t>
      </w:r>
      <w:proofErr w:type="spellStart"/>
      <w:r w:rsidRPr="00524EEA">
        <w:t>sitagliptin</w:t>
      </w:r>
      <w:proofErr w:type="spellEnd"/>
      <w:r w:rsidRPr="00524EEA">
        <w:t xml:space="preserve"> (an hOAT-3 substrate, and P-glycoprotein substrate), glimepiride</w:t>
      </w:r>
      <w:r w:rsidR="00963193" w:rsidRPr="00524EEA">
        <w:t xml:space="preserve"> </w:t>
      </w:r>
      <w:r w:rsidR="001D5AE6" w:rsidRPr="00524EEA">
        <w:t>(a CYP2C9</w:t>
      </w:r>
      <w:r w:rsidR="00963193" w:rsidRPr="00524EEA">
        <w:t xml:space="preserve"> substrate), </w:t>
      </w:r>
      <w:proofErr w:type="spellStart"/>
      <w:r w:rsidR="001D5AE6" w:rsidRPr="00524EEA">
        <w:t>voglibose</w:t>
      </w:r>
      <w:proofErr w:type="spellEnd"/>
      <w:r w:rsidRPr="00524EEA">
        <w:t>, hydrochlorothiazide, bumetanide, valsartan, or simvastatin</w:t>
      </w:r>
      <w:r w:rsidR="00963193" w:rsidRPr="00524EEA">
        <w:t xml:space="preserve"> </w:t>
      </w:r>
      <w:r w:rsidR="001D5AE6" w:rsidRPr="00524EEA">
        <w:t xml:space="preserve">(a CYP3A4 substrate). </w:t>
      </w:r>
      <w:bookmarkStart w:id="48" w:name="_Hlk517361361"/>
      <w:r w:rsidR="001D5AE6" w:rsidRPr="00524EEA">
        <w:rPr>
          <w:szCs w:val="24"/>
        </w:rPr>
        <w:t xml:space="preserve">Therefore, meaningful interaction of </w:t>
      </w:r>
      <w:proofErr w:type="spellStart"/>
      <w:r w:rsidR="001D5AE6" w:rsidRPr="00524EEA">
        <w:rPr>
          <w:szCs w:val="24"/>
        </w:rPr>
        <w:t>dapagliflozin</w:t>
      </w:r>
      <w:proofErr w:type="spellEnd"/>
      <w:r w:rsidR="001D5AE6" w:rsidRPr="00524EEA">
        <w:rPr>
          <w:szCs w:val="24"/>
        </w:rPr>
        <w:t xml:space="preserve"> with other substrates of hOCT-1, hOCT-2, hOAT-3, P-</w:t>
      </w:r>
      <w:proofErr w:type="spellStart"/>
      <w:r w:rsidR="001D5AE6" w:rsidRPr="00524EEA">
        <w:rPr>
          <w:szCs w:val="24"/>
        </w:rPr>
        <w:t>gp</w:t>
      </w:r>
      <w:proofErr w:type="spellEnd"/>
      <w:r w:rsidR="001D5AE6" w:rsidRPr="00524EEA">
        <w:rPr>
          <w:szCs w:val="24"/>
        </w:rPr>
        <w:t xml:space="preserve">, CYP2C8, CYP2C9, CYP3A4, and other </w:t>
      </w:r>
      <w:r w:rsidR="001D5AE6" w:rsidRPr="00524EEA">
        <w:rPr>
          <w:szCs w:val="24"/>
          <w:lang w:val="el-GR"/>
        </w:rPr>
        <w:t>α-glucosidase inhibitor</w:t>
      </w:r>
      <w:r w:rsidR="001D5AE6" w:rsidRPr="00524EEA">
        <w:rPr>
          <w:szCs w:val="24"/>
        </w:rPr>
        <w:t>s</w:t>
      </w:r>
      <w:r w:rsidR="001D5AE6" w:rsidRPr="00524EEA">
        <w:rPr>
          <w:szCs w:val="24"/>
          <w:lang w:val="el-GR"/>
        </w:rPr>
        <w:t xml:space="preserve"> would not be expected</w:t>
      </w:r>
      <w:bookmarkEnd w:id="48"/>
      <w:r w:rsidRPr="00524EEA">
        <w:t xml:space="preserve">. </w:t>
      </w:r>
    </w:p>
    <w:p w14:paraId="1C7935C4" w14:textId="77777777" w:rsidR="00963193" w:rsidRPr="00524EEA" w:rsidRDefault="00B701F0" w:rsidP="0030758A">
      <w:proofErr w:type="spellStart"/>
      <w:r w:rsidRPr="00524EEA">
        <w:t>Dapagliflozin</w:t>
      </w:r>
      <w:proofErr w:type="spellEnd"/>
      <w:r w:rsidRPr="00524EEA">
        <w:t xml:space="preserve"> also did not alter the pharmacokinetics of metformin, pioglitazone, </w:t>
      </w:r>
      <w:proofErr w:type="spellStart"/>
      <w:r w:rsidRPr="00524EEA">
        <w:t>sitagliptin</w:t>
      </w:r>
      <w:proofErr w:type="spellEnd"/>
      <w:r w:rsidRPr="00524EEA">
        <w:t>, glimepiride, hydrochlorothiazide, bumetanide, valsartan, simvastatin, digoxin</w:t>
      </w:r>
      <w:r w:rsidR="00963193" w:rsidRPr="00524EEA">
        <w:t xml:space="preserve"> </w:t>
      </w:r>
      <w:bookmarkStart w:id="49" w:name="_Hlk517361427"/>
      <w:r w:rsidR="00963193" w:rsidRPr="00524EEA">
        <w:t>(a P</w:t>
      </w:r>
      <w:r w:rsidR="00963193" w:rsidRPr="00524EEA">
        <w:noBreakHyphen/>
      </w:r>
      <w:proofErr w:type="spellStart"/>
      <w:r w:rsidR="00963193" w:rsidRPr="00524EEA">
        <w:t>gp</w:t>
      </w:r>
      <w:proofErr w:type="spellEnd"/>
      <w:r w:rsidR="00963193" w:rsidRPr="00524EEA">
        <w:t xml:space="preserve"> substrate)</w:t>
      </w:r>
      <w:bookmarkEnd w:id="49"/>
      <w:r w:rsidRPr="00524EEA">
        <w:t>, or warfarin</w:t>
      </w:r>
      <w:r w:rsidR="00963193" w:rsidRPr="00524EEA">
        <w:t xml:space="preserve"> </w:t>
      </w:r>
      <w:bookmarkStart w:id="50" w:name="_Hlk517361453"/>
      <w:r w:rsidR="00963193" w:rsidRPr="00524EEA">
        <w:t xml:space="preserve">(S-warfarin is a CYP2C substrate). </w:t>
      </w:r>
      <w:bookmarkEnd w:id="50"/>
      <w:r w:rsidR="00963193" w:rsidRPr="00524EEA">
        <w:t>Th</w:t>
      </w:r>
      <w:r w:rsidR="00963193" w:rsidRPr="00524EEA">
        <w:rPr>
          <w:szCs w:val="24"/>
        </w:rPr>
        <w:t xml:space="preserve">erefore, </w:t>
      </w:r>
      <w:proofErr w:type="spellStart"/>
      <w:r w:rsidR="00963193" w:rsidRPr="00524EEA">
        <w:rPr>
          <w:szCs w:val="24"/>
        </w:rPr>
        <w:t>dapagliflozin</w:t>
      </w:r>
      <w:proofErr w:type="spellEnd"/>
      <w:r w:rsidR="00963193" w:rsidRPr="00524EEA">
        <w:rPr>
          <w:szCs w:val="24"/>
        </w:rPr>
        <w:t xml:space="preserve"> is not a clinical meaningful inhibitor of hOCT-1, hOCT-2, hOAT-3, P-</w:t>
      </w:r>
      <w:proofErr w:type="spellStart"/>
      <w:r w:rsidR="00963193" w:rsidRPr="00524EEA">
        <w:rPr>
          <w:szCs w:val="24"/>
        </w:rPr>
        <w:t>gp</w:t>
      </w:r>
      <w:proofErr w:type="spellEnd"/>
      <w:r w:rsidR="00963193" w:rsidRPr="00524EEA">
        <w:rPr>
          <w:szCs w:val="24"/>
        </w:rPr>
        <w:t xml:space="preserve"> transporter pathway, and CYP2C8, CYP2C9, CYP2C19 and CYP3A4 mediated </w:t>
      </w:r>
      <w:r w:rsidR="00963193" w:rsidRPr="00524EEA">
        <w:t>metabolism</w:t>
      </w:r>
      <w:r w:rsidRPr="00524EEA">
        <w:t xml:space="preserve">.  </w:t>
      </w:r>
    </w:p>
    <w:p w14:paraId="66053344" w14:textId="4D2396C1" w:rsidR="00B701F0" w:rsidRPr="00524EEA" w:rsidRDefault="00B701F0" w:rsidP="0030758A">
      <w:pPr>
        <w:rPr>
          <w:szCs w:val="24"/>
          <w:lang w:val="el-GR"/>
        </w:rPr>
      </w:pPr>
      <w:r w:rsidRPr="00524EEA">
        <w:t xml:space="preserve">Following </w:t>
      </w:r>
      <w:proofErr w:type="spellStart"/>
      <w:r w:rsidRPr="00524EEA">
        <w:t>coadministration</w:t>
      </w:r>
      <w:proofErr w:type="spellEnd"/>
      <w:r w:rsidRPr="00524EEA">
        <w:t xml:space="preserve"> of </w:t>
      </w:r>
      <w:proofErr w:type="spellStart"/>
      <w:r w:rsidRPr="00524EEA">
        <w:t>dapagliflozin</w:t>
      </w:r>
      <w:proofErr w:type="spellEnd"/>
      <w:r w:rsidRPr="00524EEA">
        <w:t xml:space="preserve"> with rifampicin (an inducer of various active transporters and drug-metabolizing enzymes) or </w:t>
      </w:r>
      <w:proofErr w:type="spellStart"/>
      <w:r w:rsidRPr="00524EEA">
        <w:t>mefenamic</w:t>
      </w:r>
      <w:proofErr w:type="spellEnd"/>
      <w:r w:rsidRPr="00524EEA">
        <w:t xml:space="preserve"> acid (an inhibitor of UGT1A9), a 22% decrease and a 51% increase, respectively, in </w:t>
      </w:r>
      <w:proofErr w:type="spellStart"/>
      <w:r w:rsidRPr="00524EEA">
        <w:t>dapagliflozin</w:t>
      </w:r>
      <w:proofErr w:type="spellEnd"/>
      <w:r w:rsidRPr="00524EEA">
        <w:t xml:space="preserve"> systemic exposure was seen, but with no clinically meaningful effect on 24-hour urinary glucose excretion in either case.  </w:t>
      </w:r>
      <w:r w:rsidRPr="00524EEA">
        <w:rPr>
          <w:iCs/>
        </w:rPr>
        <w:t xml:space="preserve">No dose adjustment of </w:t>
      </w:r>
      <w:proofErr w:type="spellStart"/>
      <w:r w:rsidRPr="00524EEA">
        <w:rPr>
          <w:iCs/>
        </w:rPr>
        <w:t>dapagliflozin</w:t>
      </w:r>
      <w:proofErr w:type="spellEnd"/>
      <w:r w:rsidRPr="00524EEA">
        <w:rPr>
          <w:iCs/>
        </w:rPr>
        <w:t xml:space="preserve"> is recommended when </w:t>
      </w:r>
      <w:proofErr w:type="spellStart"/>
      <w:r w:rsidRPr="00524EEA">
        <w:rPr>
          <w:iCs/>
        </w:rPr>
        <w:t>dapagliflozin</w:t>
      </w:r>
      <w:proofErr w:type="spellEnd"/>
      <w:r w:rsidRPr="00524EEA">
        <w:rPr>
          <w:iCs/>
        </w:rPr>
        <w:t xml:space="preserve"> is </w:t>
      </w:r>
      <w:proofErr w:type="spellStart"/>
      <w:r w:rsidRPr="00524EEA">
        <w:rPr>
          <w:iCs/>
        </w:rPr>
        <w:t>coadministered</w:t>
      </w:r>
      <w:proofErr w:type="spellEnd"/>
      <w:r w:rsidRPr="00524EEA">
        <w:rPr>
          <w:iCs/>
        </w:rPr>
        <w:t xml:space="preserve"> with either rifampicin or </w:t>
      </w:r>
      <w:proofErr w:type="spellStart"/>
      <w:r w:rsidRPr="00524EEA">
        <w:rPr>
          <w:iCs/>
        </w:rPr>
        <w:t>mefenamic</w:t>
      </w:r>
      <w:proofErr w:type="spellEnd"/>
      <w:r w:rsidRPr="00524EEA">
        <w:rPr>
          <w:iCs/>
        </w:rPr>
        <w:t xml:space="preserve"> acid.</w:t>
      </w:r>
    </w:p>
    <w:p w14:paraId="708CAEC3" w14:textId="77777777" w:rsidR="00B701F0" w:rsidRPr="00524EEA" w:rsidRDefault="00B701F0" w:rsidP="00C07BC4">
      <w:pPr>
        <w:pStyle w:val="Heading4nobookmark"/>
      </w:pPr>
      <w:bookmarkStart w:id="51" w:name="_Toc268174004"/>
      <w:bookmarkStart w:id="52" w:name="_Toc269141324"/>
      <w:bookmarkStart w:id="53" w:name="_Toc269315240"/>
      <w:bookmarkStart w:id="54" w:name="_Toc1971386"/>
      <w:bookmarkStart w:id="55" w:name="_Toc2059774"/>
      <w:bookmarkStart w:id="56" w:name="_Toc2060983"/>
      <w:bookmarkStart w:id="57" w:name="_Toc2061090"/>
      <w:bookmarkStart w:id="58" w:name="_Toc2061601"/>
      <w:bookmarkStart w:id="59" w:name="_Toc2061665"/>
      <w:bookmarkStart w:id="60" w:name="_Toc2061730"/>
      <w:bookmarkStart w:id="61" w:name="_Toc2062046"/>
      <w:bookmarkStart w:id="62" w:name="_Toc279132146"/>
      <w:bookmarkEnd w:id="51"/>
      <w:bookmarkEnd w:id="52"/>
      <w:bookmarkEnd w:id="53"/>
      <w:r w:rsidRPr="00524EEA">
        <w:t>Other Interactions</w:t>
      </w:r>
      <w:bookmarkEnd w:id="54"/>
      <w:bookmarkEnd w:id="55"/>
      <w:bookmarkEnd w:id="56"/>
      <w:bookmarkEnd w:id="57"/>
      <w:bookmarkEnd w:id="58"/>
      <w:bookmarkEnd w:id="59"/>
      <w:bookmarkEnd w:id="60"/>
      <w:bookmarkEnd w:id="61"/>
      <w:bookmarkEnd w:id="62"/>
      <w:r w:rsidRPr="00524EEA">
        <w:t xml:space="preserve"> </w:t>
      </w:r>
    </w:p>
    <w:p w14:paraId="19430A07" w14:textId="048C5D61" w:rsidR="00AB46C9" w:rsidRPr="00524EEA" w:rsidRDefault="00B701F0" w:rsidP="00B701F0">
      <w:r w:rsidRPr="00524EEA">
        <w:t xml:space="preserve">The effects of smoking, diet, herbal products, and alcohol use on the pharmacokinetics of </w:t>
      </w:r>
      <w:proofErr w:type="spellStart"/>
      <w:r w:rsidRPr="00524EEA">
        <w:t>dapagliflozin</w:t>
      </w:r>
      <w:proofErr w:type="spellEnd"/>
      <w:r w:rsidRPr="00524EEA">
        <w:t xml:space="preserve"> have not been specifically studied.</w:t>
      </w:r>
    </w:p>
    <w:p w14:paraId="7C9EF871" w14:textId="77777777" w:rsidR="001A3992" w:rsidRPr="00524EEA" w:rsidRDefault="001A3992" w:rsidP="001A3992">
      <w:pPr>
        <w:pStyle w:val="Heading2"/>
        <w:spacing w:before="0" w:after="120"/>
      </w:pPr>
      <w:r w:rsidRPr="00524EEA">
        <w:t xml:space="preserve">Fertility, pregnancy and lactation </w:t>
      </w:r>
    </w:p>
    <w:p w14:paraId="79ADFEA2" w14:textId="5694BA5E" w:rsidR="001A3992" w:rsidRPr="00524EEA" w:rsidRDefault="001A3992" w:rsidP="001A3992">
      <w:pPr>
        <w:pStyle w:val="Heading3"/>
        <w:spacing w:before="0" w:after="120"/>
      </w:pPr>
      <w:r w:rsidRPr="00524EEA">
        <w:t>Effects on fertility</w:t>
      </w:r>
    </w:p>
    <w:p w14:paraId="49379C19" w14:textId="77777777" w:rsidR="004278E7" w:rsidRPr="00524EEA" w:rsidRDefault="004278E7" w:rsidP="004278E7">
      <w:r w:rsidRPr="00524EEA">
        <w:t xml:space="preserve">In a study of fertility in rats, no effects on mating, fertility, or early embryonic development were seen when males received oral doses up to 210 mg/kg/day or when females received oral doses up to 75 mg/kg/day (yielding plasma AUC values at least 1000 times the clinical exposure at the maximum recommended human dose [MRHD] of 10 mg/day).  However, at 210 mg/kg/day, a dose associated with profound toxicity (including mortality), seminal vesicle and </w:t>
      </w:r>
      <w:proofErr w:type="spellStart"/>
      <w:r w:rsidRPr="00524EEA">
        <w:t>epididymal</w:t>
      </w:r>
      <w:proofErr w:type="spellEnd"/>
      <w:r w:rsidRPr="00524EEA">
        <w:t xml:space="preserve"> weights were reduced; sperm motility and sperm counts were reduced; and there were increased numbers of morphologically abnormal sperm.  No adverse effects on sperm or male reproductive organs were seen at 75 mg/kg/day (700 times the clinical exposure at the MRHD).</w:t>
      </w:r>
    </w:p>
    <w:p w14:paraId="230E8929" w14:textId="423F38E0" w:rsidR="001A3992" w:rsidRPr="00524EEA" w:rsidRDefault="00AB46C9" w:rsidP="001A3992">
      <w:pPr>
        <w:pStyle w:val="Heading3"/>
        <w:spacing w:before="0" w:after="120"/>
      </w:pPr>
      <w:r w:rsidRPr="00524EEA">
        <w:t>Use in pregnancy</w:t>
      </w:r>
      <w:r w:rsidR="00A02C6A" w:rsidRPr="00524EEA">
        <w:t xml:space="preserve"> – Category D</w:t>
      </w:r>
    </w:p>
    <w:p w14:paraId="17EFAAFD" w14:textId="3EDE0A5F" w:rsidR="004278E7" w:rsidRPr="00524EEA" w:rsidRDefault="004278E7" w:rsidP="004278E7">
      <w:r w:rsidRPr="00524EEA">
        <w:t xml:space="preserve">There are no data from the use of </w:t>
      </w:r>
      <w:proofErr w:type="spellStart"/>
      <w:r w:rsidRPr="00524EEA">
        <w:t>dapagliflozin</w:t>
      </w:r>
      <w:proofErr w:type="spellEnd"/>
      <w:r w:rsidRPr="00524EEA">
        <w:t xml:space="preserve"> in pregnant women. Studies in rats have shown toxicity to the developing kidney in the time period corresponding to the second and third trimesters of human pregnancy (see </w:t>
      </w:r>
      <w:r w:rsidR="004B7251" w:rsidRPr="00524EEA">
        <w:t>section</w:t>
      </w:r>
      <w:r w:rsidR="00A122BC" w:rsidRPr="00524EEA">
        <w:t xml:space="preserve"> 4.4 Special warnings and precautions for use</w:t>
      </w:r>
      <w:r w:rsidRPr="00524EEA">
        <w:t>).  Therefore, FORXIGA must not be used during the second and third trimesters of pregnancy.  When pregnancy is detected, treatment with FORXIGA should be discontinued.</w:t>
      </w:r>
    </w:p>
    <w:p w14:paraId="2F3857EB" w14:textId="607F5977" w:rsidR="00AB46C9" w:rsidRPr="00524EEA" w:rsidRDefault="004278E7" w:rsidP="004278E7">
      <w:r w:rsidRPr="00524EEA">
        <w:t xml:space="preserve">In conventional studies of </w:t>
      </w:r>
      <w:proofErr w:type="spellStart"/>
      <w:r w:rsidRPr="00524EEA">
        <w:t>embryofoetal</w:t>
      </w:r>
      <w:proofErr w:type="spellEnd"/>
      <w:r w:rsidRPr="00524EEA">
        <w:t xml:space="preserve"> development in rats and rabbits, </w:t>
      </w:r>
      <w:proofErr w:type="spellStart"/>
      <w:r w:rsidRPr="00524EEA">
        <w:t>dapagliflozin</w:t>
      </w:r>
      <w:proofErr w:type="spellEnd"/>
      <w:r w:rsidRPr="00524EEA">
        <w:t xml:space="preserve"> was administered for intervals coinciding with the period of organogenesis in humans.  An increased incidence of </w:t>
      </w:r>
      <w:proofErr w:type="spellStart"/>
      <w:r w:rsidRPr="00524EEA">
        <w:t>embryofoetal</w:t>
      </w:r>
      <w:proofErr w:type="spellEnd"/>
      <w:r w:rsidRPr="00524EEA">
        <w:t xml:space="preserve"> lethality, decreased foetal weight and an increased incidence of foetal visceral and skeletal anomalies were seen in rats at </w:t>
      </w:r>
      <w:proofErr w:type="spellStart"/>
      <w:r w:rsidRPr="00524EEA">
        <w:t>maternotoxic</w:t>
      </w:r>
      <w:proofErr w:type="spellEnd"/>
      <w:r w:rsidRPr="00524EEA">
        <w:t xml:space="preserve"> doses (oral doses greater than or equal to 150 mg/kg/day).  The no observed effect level for </w:t>
      </w:r>
      <w:proofErr w:type="spellStart"/>
      <w:r w:rsidRPr="00524EEA">
        <w:t>embryofoetal</w:t>
      </w:r>
      <w:proofErr w:type="spellEnd"/>
      <w:r w:rsidRPr="00524EEA">
        <w:t xml:space="preserve"> effects in rats was an oral dose of 75 mg/kg/day (1530 times the exposure in patients at the maximum recommended human dose [MRHD]).  No developmental toxicities were observed in rabbits at oral doses up to 180 mg/kg/day (1265 times the exposure in patients at the MRHD).</w:t>
      </w:r>
    </w:p>
    <w:p w14:paraId="7FB0AA8E" w14:textId="2CC4B0F6" w:rsidR="001A3992" w:rsidRPr="00524EEA" w:rsidRDefault="001A3992" w:rsidP="001A3992">
      <w:pPr>
        <w:pStyle w:val="Heading3"/>
        <w:spacing w:before="0" w:after="120"/>
      </w:pPr>
      <w:r w:rsidRPr="00524EEA">
        <w:t>Use in</w:t>
      </w:r>
      <w:r w:rsidR="00AB46C9" w:rsidRPr="00524EEA">
        <w:t xml:space="preserve"> lactation</w:t>
      </w:r>
    </w:p>
    <w:p w14:paraId="10C59E5E" w14:textId="15898B70" w:rsidR="00AB46C9" w:rsidRPr="00524EEA" w:rsidRDefault="004278E7" w:rsidP="00AB46C9">
      <w:r w:rsidRPr="00524EEA">
        <w:t xml:space="preserve">FORXIGA must not be used by breastfeeding women.  It is not known whether </w:t>
      </w:r>
      <w:proofErr w:type="spellStart"/>
      <w:r w:rsidRPr="00524EEA">
        <w:t>dapagliflozin</w:t>
      </w:r>
      <w:proofErr w:type="spellEnd"/>
      <w:r w:rsidRPr="00524EEA">
        <w:t xml:space="preserve"> or its metabolites are excreted in human milk.  Studies in rats have shown excretion of </w:t>
      </w:r>
      <w:proofErr w:type="spellStart"/>
      <w:r w:rsidRPr="00524EEA">
        <w:t>dapagliflozin</w:t>
      </w:r>
      <w:proofErr w:type="spellEnd"/>
      <w:r w:rsidRPr="00524EEA">
        <w:t xml:space="preserve"> in milk.  Direct and indirect exposure of </w:t>
      </w:r>
      <w:proofErr w:type="spellStart"/>
      <w:r w:rsidRPr="00524EEA">
        <w:t>dapagliflozin</w:t>
      </w:r>
      <w:proofErr w:type="spellEnd"/>
      <w:r w:rsidRPr="00524EEA">
        <w:t xml:space="preserve"> to weanling juvenile rats and during late pregnancy are each associated with increased incidence and/or severity of renal pelvic and tubular dilatations in progeny.  The long-term functional consequences of these effects are unknown.  These periods of exposure coincide with a critical window of renal maturation in rats.  As functional maturation of the kidneys in humans continues in the first 2 years of life, </w:t>
      </w:r>
      <w:proofErr w:type="spellStart"/>
      <w:r w:rsidRPr="00524EEA">
        <w:t>dapagliflozin</w:t>
      </w:r>
      <w:proofErr w:type="spellEnd"/>
      <w:r w:rsidRPr="00524EEA">
        <w:t xml:space="preserve">-associated dilated renal pelvis and tubules noted in juvenile rats could constitute potential risk for human renal maturation during the first 2 years of life.  Additionally, the negative effects on body weight gain associated with </w:t>
      </w:r>
      <w:proofErr w:type="spellStart"/>
      <w:r w:rsidRPr="00524EEA">
        <w:t>lactational</w:t>
      </w:r>
      <w:proofErr w:type="spellEnd"/>
      <w:r w:rsidRPr="00524EEA">
        <w:t xml:space="preserve"> exposure in weanling juvenile rats suggest that FORXIGA must be avoided during the first 2 years of life.</w:t>
      </w:r>
    </w:p>
    <w:p w14:paraId="378C006C" w14:textId="7D34669D" w:rsidR="001A3992" w:rsidRPr="00524EEA" w:rsidRDefault="001A3992" w:rsidP="001A3992">
      <w:pPr>
        <w:pStyle w:val="Heading2"/>
        <w:spacing w:before="0" w:after="120"/>
      </w:pPr>
      <w:r w:rsidRPr="00524EEA">
        <w:t>Effects on ab</w:t>
      </w:r>
      <w:r w:rsidR="00AB46C9" w:rsidRPr="00524EEA">
        <w:t>ility to drive and use machines</w:t>
      </w:r>
    </w:p>
    <w:p w14:paraId="6E7BB633" w14:textId="77777777" w:rsidR="00B701F0" w:rsidRPr="00524EEA" w:rsidRDefault="00B701F0" w:rsidP="00B701F0">
      <w:pPr>
        <w:rPr>
          <w:rFonts w:cs="Arial"/>
        </w:rPr>
      </w:pPr>
      <w:r w:rsidRPr="00524EEA">
        <w:rPr>
          <w:rFonts w:cs="Arial"/>
        </w:rPr>
        <w:t xml:space="preserve">No studies on the effects on the ability to drive and use machines have been performed. Patients should be alerted to the risk of hypoglycaemia when </w:t>
      </w:r>
      <w:proofErr w:type="spellStart"/>
      <w:r w:rsidRPr="00524EEA">
        <w:rPr>
          <w:rFonts w:cs="Arial"/>
        </w:rPr>
        <w:t>dapagliflozin</w:t>
      </w:r>
      <w:proofErr w:type="spellEnd"/>
      <w:r w:rsidRPr="00524EEA">
        <w:rPr>
          <w:rFonts w:cs="Arial"/>
        </w:rPr>
        <w:t xml:space="preserve"> is used in combination with a </w:t>
      </w:r>
      <w:proofErr w:type="spellStart"/>
      <w:r w:rsidRPr="00524EEA">
        <w:rPr>
          <w:rFonts w:cs="Arial"/>
        </w:rPr>
        <w:t>sulphonylurea</w:t>
      </w:r>
      <w:proofErr w:type="spellEnd"/>
      <w:r w:rsidRPr="00524EEA">
        <w:rPr>
          <w:rFonts w:cs="Arial"/>
        </w:rPr>
        <w:t xml:space="preserve"> or insulin. </w:t>
      </w:r>
    </w:p>
    <w:p w14:paraId="10F90C60" w14:textId="67BCC0AA" w:rsidR="001A3992" w:rsidRPr="00524EEA" w:rsidRDefault="001A3992" w:rsidP="001A3992">
      <w:pPr>
        <w:pStyle w:val="Heading2"/>
        <w:keepLines/>
        <w:spacing w:before="0" w:after="120"/>
      </w:pPr>
      <w:bookmarkStart w:id="63" w:name="_Ref501530737"/>
      <w:r w:rsidRPr="00524EEA">
        <w:t>Adverse effects (Undesirable effects)</w:t>
      </w:r>
      <w:bookmarkEnd w:id="63"/>
    </w:p>
    <w:p w14:paraId="28EF1BFC" w14:textId="654AB978" w:rsidR="00F81E19" w:rsidRPr="00524EEA" w:rsidRDefault="00F81E19" w:rsidP="00F81E19">
      <w:pPr>
        <w:rPr>
          <w:b/>
        </w:rPr>
      </w:pPr>
      <w:r w:rsidRPr="00524EEA">
        <w:t xml:space="preserve">Significant adverse events are also described in the </w:t>
      </w:r>
      <w:r w:rsidR="004B7251" w:rsidRPr="00524EEA">
        <w:t xml:space="preserve">section </w:t>
      </w:r>
      <w:r w:rsidR="00475211" w:rsidRPr="00524EEA">
        <w:t xml:space="preserve">4.4 Special warnings and precautions for use </w:t>
      </w:r>
      <w:r w:rsidRPr="00524EEA">
        <w:t>section.</w:t>
      </w:r>
    </w:p>
    <w:p w14:paraId="7811541B" w14:textId="649D8732" w:rsidR="00F81E19" w:rsidRPr="00524EEA" w:rsidRDefault="00F81E19" w:rsidP="00251E70">
      <w:pPr>
        <w:pStyle w:val="Heading3"/>
        <w:spacing w:before="0" w:after="120"/>
      </w:pPr>
      <w:r w:rsidRPr="00524EEA">
        <w:t>Clinical Experience</w:t>
      </w:r>
    </w:p>
    <w:p w14:paraId="4BD48D8A" w14:textId="1EA9E1F3" w:rsidR="00F81E19" w:rsidRPr="00524EEA" w:rsidRDefault="00F81E19" w:rsidP="00F81E19">
      <w:r w:rsidRPr="00524EEA">
        <w:t>Two major pools of patients were used to evaluate adverse effects with FORXIGA 10 mg versus control; a pool of 13 placebo-controlled studies and a larger pool comprised of 21 active- and placebo-controlled studies.</w:t>
      </w:r>
    </w:p>
    <w:p w14:paraId="764DDCA0" w14:textId="452CE7A7" w:rsidR="001F1EA5" w:rsidRPr="00524EEA" w:rsidRDefault="001F1EA5" w:rsidP="00F81E19">
      <w:r w:rsidRPr="00524EEA">
        <w:rPr>
          <w:lang w:val="en-US"/>
        </w:rPr>
        <w:t>In the dedicated cardiovascular outcomes study in patients with type 2 diabetes mellitus, 8574 patients received FORXIGA 10 mg and 8569 received placebo for a median exposure time of 48 months. In total, there were 30623 patient-years of exposure to FORXIGA.</w:t>
      </w:r>
    </w:p>
    <w:p w14:paraId="7586CDFC" w14:textId="77777777" w:rsidR="001C0556" w:rsidRPr="00524EEA" w:rsidRDefault="001C0556" w:rsidP="001C0556">
      <w:r w:rsidRPr="00524EEA">
        <w:t xml:space="preserve">In the </w:t>
      </w:r>
      <w:proofErr w:type="spellStart"/>
      <w:r w:rsidRPr="00524EEA">
        <w:t>dapagliflozin</w:t>
      </w:r>
      <w:proofErr w:type="spellEnd"/>
      <w:r w:rsidRPr="00524EEA">
        <w:t xml:space="preserve"> cardiovascular outcome study in patients with heart failure with reduced ejection fraction (DAPA-HF), 2368 patients were treated with </w:t>
      </w:r>
      <w:proofErr w:type="spellStart"/>
      <w:r w:rsidRPr="00524EEA">
        <w:t>dapagliflozin</w:t>
      </w:r>
      <w:proofErr w:type="spellEnd"/>
      <w:r w:rsidRPr="00524EEA">
        <w:t xml:space="preserve"> 10 mg and 2368 patients with placebo for a median exposure time of 18 months. The patient population included patients with type 2 diabetes mellitus and without diabetes, and patients with </w:t>
      </w:r>
      <w:proofErr w:type="spellStart"/>
      <w:r w:rsidRPr="00524EEA">
        <w:t>eGFR</w:t>
      </w:r>
      <w:proofErr w:type="spellEnd"/>
      <w:r w:rsidRPr="00524EEA">
        <w:t xml:space="preserve"> ≥ 30 mL/min/1.73 m</w:t>
      </w:r>
      <w:r w:rsidRPr="00524EEA">
        <w:rPr>
          <w:vertAlign w:val="superscript"/>
        </w:rPr>
        <w:t>2</w:t>
      </w:r>
      <w:r w:rsidRPr="00524EEA">
        <w:t>.</w:t>
      </w:r>
    </w:p>
    <w:p w14:paraId="3446B92E" w14:textId="224B3077" w:rsidR="00F81E19" w:rsidRPr="00524EEA" w:rsidRDefault="00F81E19" w:rsidP="000A5257">
      <w:pPr>
        <w:pStyle w:val="Heading5"/>
      </w:pPr>
      <w:r w:rsidRPr="00524EEA">
        <w:t>Placebo-controlled studies</w:t>
      </w:r>
    </w:p>
    <w:p w14:paraId="183AEF95" w14:textId="77777777" w:rsidR="00F81E19" w:rsidRPr="00524EEA" w:rsidRDefault="00F81E19" w:rsidP="00F81E19">
      <w:pPr>
        <w:rPr>
          <w:rFonts w:cs="Arial"/>
        </w:rPr>
      </w:pPr>
      <w:r w:rsidRPr="00524EEA">
        <w:rPr>
          <w:rFonts w:cs="Arial"/>
        </w:rPr>
        <w:t xml:space="preserve">The first pool is a pre-specified pool of patients from 13 short-term, placebo-controlled studies including the monotherapy studies, add-on studies, and the initial combination with metformin study.  In the pool, 2360 patients were treated with FORXIGA 10 mg and 2295 were treated with placebo with a mean duration of exposure of 22 weeks.  </w:t>
      </w:r>
    </w:p>
    <w:p w14:paraId="2805E0C0" w14:textId="77777777" w:rsidR="00F81E19" w:rsidRPr="00524EEA" w:rsidRDefault="00F81E19" w:rsidP="00F81E19">
      <w:pPr>
        <w:rPr>
          <w:rFonts w:cs="Arial"/>
        </w:rPr>
      </w:pPr>
      <w:r w:rsidRPr="00524EEA">
        <w:rPr>
          <w:rFonts w:cs="Arial"/>
        </w:rPr>
        <w:t xml:space="preserve">The overall incidence of adverse events in patients treated with FORXIGA 10 mg was 60.0% compared to 55.7% for the placebo group. The incidence of discontinuation of therapy due to adverse events in patients who received FORXIGA 10 mg was 4.3%% compared to 3.6% for the placebo group.  The most commonly reported events leading to discontinuation and reported in at least 3 FORXIGA 10 mg-treated patients were renal impairment (0.8%), decrease in creatinine clearance (0.6%), increased blood creatinine (0.3%), urinary tract infections (0.2%), and vulvovaginal </w:t>
      </w:r>
      <w:proofErr w:type="spellStart"/>
      <w:r w:rsidRPr="00524EEA">
        <w:rPr>
          <w:rFonts w:cs="Arial"/>
        </w:rPr>
        <w:t>mycotic</w:t>
      </w:r>
      <w:proofErr w:type="spellEnd"/>
      <w:r w:rsidRPr="00524EEA">
        <w:rPr>
          <w:rFonts w:cs="Arial"/>
        </w:rPr>
        <w:t xml:space="preserve"> infection (0.1%).</w:t>
      </w:r>
    </w:p>
    <w:p w14:paraId="048BF361" w14:textId="77777777" w:rsidR="00F81E19" w:rsidRPr="00524EEA" w:rsidRDefault="00F81E19" w:rsidP="000A5257">
      <w:pPr>
        <w:pStyle w:val="Heading5"/>
      </w:pPr>
      <w:r w:rsidRPr="00524EEA">
        <w:t>Active- and Placebo-Controlled Studies</w:t>
      </w:r>
    </w:p>
    <w:p w14:paraId="3089A887" w14:textId="77777777" w:rsidR="00243218" w:rsidRPr="00524EEA" w:rsidRDefault="00F81E19" w:rsidP="00F81E19">
      <w:r w:rsidRPr="00524EEA">
        <w:t>The second pool is a pool of patients from 21 active- and placebo-controlled studies used to evaluate and present data for malignancies and liver tests. In this pool, 5936 patients were treated with FORXIGA and 3403 were treated with control (either as monotherapy or in combination with other antidiabetic therapies). These 21 studies provide a mean duration of exposure to FORXIGA 10 mg of 55 weeks (6247 patient-years).</w:t>
      </w:r>
    </w:p>
    <w:p w14:paraId="4F3815D8" w14:textId="3CFC27A5" w:rsidR="00AB46C9" w:rsidRPr="00524EEA" w:rsidRDefault="00F81E19" w:rsidP="00F81E19">
      <w:r w:rsidRPr="00524EEA">
        <w:t xml:space="preserve">The adverse reactions in the 13-study placebo controlled pool reported (regardless of investigator assessment of causality) in ≥2% of patients treated with FORXIGA 10 mg and </w:t>
      </w:r>
      <w:r w:rsidRPr="00524EEA">
        <w:sym w:font="Symbol" w:char="F0B3"/>
      </w:r>
      <w:r w:rsidRPr="00524EEA">
        <w:t>1% and</w:t>
      </w:r>
      <w:r w:rsidR="0098288E" w:rsidRPr="00524EEA">
        <w:t xml:space="preserve"> at least 3 patients more than </w:t>
      </w:r>
      <w:r w:rsidRPr="00524EEA">
        <w:t xml:space="preserve">treated with placebo are shown in </w:t>
      </w:r>
      <w:r w:rsidR="00715483" w:rsidRPr="00524EEA">
        <w:t>Table 1</w:t>
      </w:r>
      <w:r w:rsidRPr="00524EEA">
        <w:t>.</w:t>
      </w:r>
    </w:p>
    <w:tbl>
      <w:tblPr>
        <w:tblW w:w="506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4364"/>
        <w:gridCol w:w="2274"/>
        <w:gridCol w:w="2030"/>
        <w:gridCol w:w="358"/>
      </w:tblGrid>
      <w:tr w:rsidR="005A1EAA" w:rsidRPr="00524EEA" w14:paraId="432667E9" w14:textId="77777777" w:rsidTr="000D1D15">
        <w:trPr>
          <w:gridAfter w:val="1"/>
          <w:wAfter w:w="196" w:type="pct"/>
          <w:cantSplit/>
        </w:trPr>
        <w:tc>
          <w:tcPr>
            <w:tcW w:w="4804" w:type="pct"/>
            <w:gridSpan w:val="4"/>
            <w:tcBorders>
              <w:top w:val="nil"/>
              <w:left w:val="nil"/>
              <w:bottom w:val="nil"/>
              <w:right w:val="nil"/>
            </w:tcBorders>
            <w:vAlign w:val="bottom"/>
          </w:tcPr>
          <w:p w14:paraId="7136173D" w14:textId="7BF57C34" w:rsidR="005A1EAA" w:rsidRPr="00524EEA" w:rsidRDefault="005A1EAA" w:rsidP="0090220C">
            <w:pPr>
              <w:pStyle w:val="A-TableTitle"/>
              <w:tabs>
                <w:tab w:val="clear" w:pos="360"/>
                <w:tab w:val="clear" w:pos="1418"/>
              </w:tabs>
              <w:rPr>
                <w:bCs/>
                <w:lang w:val="en-AU"/>
              </w:rPr>
            </w:pPr>
            <w:r w:rsidRPr="00524EEA">
              <w:rPr>
                <w:lang w:val="en-AU"/>
              </w:rPr>
              <w:br w:type="page"/>
            </w:r>
            <w:r w:rsidR="00715483" w:rsidRPr="00524EEA">
              <w:rPr>
                <w:lang w:val="en-AU"/>
              </w:rPr>
              <w:t>Table 1.</w:t>
            </w:r>
            <w:r w:rsidR="00624D70" w:rsidRPr="00524EEA">
              <w:rPr>
                <w:lang w:val="en-AU"/>
              </w:rPr>
              <w:tab/>
            </w:r>
            <w:r w:rsidRPr="00524EEA">
              <w:rPr>
                <w:lang w:val="en-AU"/>
              </w:rPr>
              <w:t>Adverse reactions (Regardless of Investigator Assessment of Causality) in the 13 Placebo-Controlled Study</w:t>
            </w:r>
            <w:r w:rsidRPr="00524EEA">
              <w:rPr>
                <w:vertAlign w:val="superscript"/>
                <w:lang w:val="en-AU"/>
              </w:rPr>
              <w:t>*</w:t>
            </w:r>
            <w:r w:rsidRPr="00524EEA">
              <w:rPr>
                <w:lang w:val="en-AU"/>
              </w:rPr>
              <w:t xml:space="preserve"> Pool Reported in ≥2% of Patients Treated with FORXIGA 10 mg and </w:t>
            </w:r>
            <w:r w:rsidR="000D1D15" w:rsidRPr="00524EEA">
              <w:rPr>
                <w:lang w:val="en-AU"/>
              </w:rPr>
              <w:t>≥</w:t>
            </w:r>
            <w:r w:rsidRPr="00524EEA">
              <w:rPr>
                <w:lang w:val="en-AU"/>
              </w:rPr>
              <w:t xml:space="preserve">1% More Frequently than in Patients Treated with Placebo </w:t>
            </w:r>
          </w:p>
        </w:tc>
      </w:tr>
      <w:tr w:rsidR="005A1EAA" w:rsidRPr="00524EEA" w14:paraId="635424BB" w14:textId="77777777" w:rsidTr="007B15E8">
        <w:trPr>
          <w:gridBefore w:val="1"/>
          <w:wBefore w:w="59" w:type="pct"/>
          <w:cantSplit/>
          <w:trHeight w:val="398"/>
        </w:trPr>
        <w:tc>
          <w:tcPr>
            <w:tcW w:w="2389" w:type="pct"/>
            <w:vMerge w:val="restart"/>
            <w:tcBorders>
              <w:top w:val="single" w:sz="4" w:space="0" w:color="auto"/>
              <w:left w:val="single" w:sz="4" w:space="0" w:color="auto"/>
              <w:right w:val="single" w:sz="4" w:space="0" w:color="auto"/>
            </w:tcBorders>
            <w:vAlign w:val="center"/>
          </w:tcPr>
          <w:p w14:paraId="336D2D16" w14:textId="77777777" w:rsidR="005A1EAA" w:rsidRPr="00524EEA" w:rsidRDefault="005A1EAA" w:rsidP="005A1EAA"/>
        </w:tc>
        <w:tc>
          <w:tcPr>
            <w:tcW w:w="2552" w:type="pct"/>
            <w:gridSpan w:val="3"/>
            <w:tcBorders>
              <w:top w:val="single" w:sz="4" w:space="0" w:color="auto"/>
              <w:left w:val="single" w:sz="4" w:space="0" w:color="auto"/>
              <w:bottom w:val="single" w:sz="4" w:space="0" w:color="auto"/>
              <w:right w:val="single" w:sz="4" w:space="0" w:color="auto"/>
            </w:tcBorders>
            <w:vAlign w:val="center"/>
          </w:tcPr>
          <w:p w14:paraId="7E677DDB" w14:textId="77777777" w:rsidR="005A1EAA" w:rsidRPr="00524EEA" w:rsidRDefault="005A1EAA" w:rsidP="00D023D3">
            <w:pPr>
              <w:pStyle w:val="A-TableHeader"/>
              <w:jc w:val="center"/>
              <w:rPr>
                <w:lang w:val="en-AU"/>
              </w:rPr>
            </w:pPr>
            <w:r w:rsidRPr="00524EEA">
              <w:rPr>
                <w:lang w:val="en-AU"/>
              </w:rPr>
              <w:t>% of patients</w:t>
            </w:r>
          </w:p>
        </w:tc>
      </w:tr>
      <w:tr w:rsidR="005A1EAA" w:rsidRPr="00524EEA" w14:paraId="0431B69E" w14:textId="77777777" w:rsidTr="007B15E8">
        <w:trPr>
          <w:gridBefore w:val="1"/>
          <w:wBefore w:w="59" w:type="pct"/>
          <w:cantSplit/>
          <w:trHeight w:val="698"/>
        </w:trPr>
        <w:tc>
          <w:tcPr>
            <w:tcW w:w="2389" w:type="pct"/>
            <w:vMerge/>
            <w:tcBorders>
              <w:left w:val="single" w:sz="4" w:space="0" w:color="auto"/>
              <w:bottom w:val="single" w:sz="4" w:space="0" w:color="auto"/>
              <w:right w:val="single" w:sz="4" w:space="0" w:color="auto"/>
            </w:tcBorders>
            <w:vAlign w:val="center"/>
          </w:tcPr>
          <w:p w14:paraId="2E12029C" w14:textId="77777777" w:rsidR="005A1EAA" w:rsidRPr="00524EEA" w:rsidRDefault="005A1EAA" w:rsidP="005A1EAA">
            <w:pPr>
              <w:rPr>
                <w:b/>
              </w:rPr>
            </w:pPr>
          </w:p>
        </w:tc>
        <w:tc>
          <w:tcPr>
            <w:tcW w:w="1245" w:type="pct"/>
            <w:tcBorders>
              <w:top w:val="single" w:sz="4" w:space="0" w:color="auto"/>
              <w:left w:val="single" w:sz="4" w:space="0" w:color="auto"/>
              <w:bottom w:val="single" w:sz="4" w:space="0" w:color="auto"/>
              <w:right w:val="single" w:sz="4" w:space="0" w:color="auto"/>
            </w:tcBorders>
            <w:vAlign w:val="center"/>
          </w:tcPr>
          <w:p w14:paraId="03FAEB00" w14:textId="77777777" w:rsidR="005A1EAA" w:rsidRPr="00524EEA" w:rsidRDefault="005A1EAA" w:rsidP="00D023D3">
            <w:pPr>
              <w:pStyle w:val="A-TableHeader"/>
              <w:jc w:val="center"/>
              <w:rPr>
                <w:bCs/>
                <w:lang w:val="en-AU"/>
              </w:rPr>
            </w:pPr>
            <w:r w:rsidRPr="00524EEA">
              <w:rPr>
                <w:bCs/>
                <w:lang w:val="en-AU"/>
              </w:rPr>
              <w:t xml:space="preserve">FORXIGA </w:t>
            </w:r>
            <w:r w:rsidRPr="00524EEA">
              <w:rPr>
                <w:lang w:val="en-AU"/>
              </w:rPr>
              <w:t>10mg</w:t>
            </w:r>
            <w:r w:rsidRPr="00524EEA">
              <w:rPr>
                <w:lang w:val="en-AU"/>
              </w:rPr>
              <w:br/>
              <w:t>N=1193</w:t>
            </w:r>
          </w:p>
        </w:tc>
        <w:tc>
          <w:tcPr>
            <w:tcW w:w="1307" w:type="pct"/>
            <w:gridSpan w:val="2"/>
            <w:tcBorders>
              <w:left w:val="single" w:sz="4" w:space="0" w:color="auto"/>
              <w:bottom w:val="single" w:sz="4" w:space="0" w:color="auto"/>
              <w:right w:val="single" w:sz="4" w:space="0" w:color="auto"/>
            </w:tcBorders>
            <w:vAlign w:val="center"/>
          </w:tcPr>
          <w:p w14:paraId="4C1607B0" w14:textId="77777777" w:rsidR="005A1EAA" w:rsidRPr="00524EEA" w:rsidRDefault="005A1EAA" w:rsidP="00D023D3">
            <w:pPr>
              <w:pStyle w:val="A-TableHeader"/>
              <w:jc w:val="center"/>
              <w:rPr>
                <w:lang w:val="en-AU"/>
              </w:rPr>
            </w:pPr>
            <w:r w:rsidRPr="00524EEA">
              <w:rPr>
                <w:lang w:val="en-AU"/>
              </w:rPr>
              <w:t>Placebo</w:t>
            </w:r>
            <w:r w:rsidRPr="00524EEA">
              <w:rPr>
                <w:lang w:val="en-AU"/>
              </w:rPr>
              <w:br/>
              <w:t>N=1393</w:t>
            </w:r>
          </w:p>
        </w:tc>
      </w:tr>
      <w:tr w:rsidR="005A1EAA" w:rsidRPr="00524EEA" w14:paraId="28ABCAC9" w14:textId="77777777" w:rsidTr="007B15E8">
        <w:trPr>
          <w:gridBefore w:val="1"/>
          <w:wBefore w:w="59" w:type="pct"/>
          <w:cantSplit/>
          <w:trHeight w:val="343"/>
        </w:trPr>
        <w:tc>
          <w:tcPr>
            <w:tcW w:w="4941" w:type="pct"/>
            <w:gridSpan w:val="4"/>
            <w:tcBorders>
              <w:top w:val="single" w:sz="4" w:space="0" w:color="auto"/>
              <w:left w:val="single" w:sz="4" w:space="0" w:color="auto"/>
              <w:bottom w:val="single" w:sz="4" w:space="0" w:color="auto"/>
              <w:right w:val="single" w:sz="4" w:space="0" w:color="auto"/>
            </w:tcBorders>
            <w:vAlign w:val="center"/>
          </w:tcPr>
          <w:p w14:paraId="02379069" w14:textId="77777777" w:rsidR="005A1EAA" w:rsidRPr="00524EEA" w:rsidRDefault="005A1EAA" w:rsidP="00C17B39">
            <w:pPr>
              <w:pStyle w:val="A-TableHeader"/>
              <w:rPr>
                <w:lang w:val="en-AU"/>
              </w:rPr>
            </w:pPr>
            <w:r w:rsidRPr="00524EEA">
              <w:rPr>
                <w:lang w:val="en-AU"/>
              </w:rPr>
              <w:t>Infections and infestations</w:t>
            </w:r>
          </w:p>
        </w:tc>
      </w:tr>
      <w:tr w:rsidR="005A1EAA" w:rsidRPr="00524EEA" w14:paraId="34130EEC" w14:textId="77777777" w:rsidTr="007B15E8">
        <w:trPr>
          <w:gridBefore w:val="1"/>
          <w:wBefore w:w="59" w:type="pct"/>
          <w:cantSplit/>
        </w:trPr>
        <w:tc>
          <w:tcPr>
            <w:tcW w:w="2389" w:type="pct"/>
            <w:tcBorders>
              <w:top w:val="single" w:sz="4" w:space="0" w:color="auto"/>
              <w:left w:val="single" w:sz="4" w:space="0" w:color="auto"/>
              <w:bottom w:val="single" w:sz="4" w:space="0" w:color="auto"/>
              <w:right w:val="single" w:sz="4" w:space="0" w:color="auto"/>
            </w:tcBorders>
            <w:vAlign w:val="center"/>
          </w:tcPr>
          <w:p w14:paraId="618F552A" w14:textId="77777777" w:rsidR="005A1EAA" w:rsidRPr="00524EEA" w:rsidRDefault="005A1EAA" w:rsidP="00243218">
            <w:pPr>
              <w:pStyle w:val="A-TableText"/>
              <w:spacing w:line="240" w:lineRule="auto"/>
              <w:rPr>
                <w:vertAlign w:val="superscript"/>
                <w:lang w:val="en-AU"/>
              </w:rPr>
            </w:pPr>
            <w:r w:rsidRPr="00524EEA">
              <w:rPr>
                <w:lang w:val="en-AU"/>
              </w:rPr>
              <w:t>Genital Infection</w:t>
            </w:r>
            <w:r w:rsidRPr="00524EEA">
              <w:rPr>
                <w:vertAlign w:val="superscript"/>
                <w:lang w:val="en-AU"/>
              </w:rPr>
              <w:t>§</w:t>
            </w:r>
          </w:p>
        </w:tc>
        <w:tc>
          <w:tcPr>
            <w:tcW w:w="1245" w:type="pct"/>
            <w:tcBorders>
              <w:top w:val="single" w:sz="4" w:space="0" w:color="auto"/>
              <w:left w:val="single" w:sz="4" w:space="0" w:color="auto"/>
              <w:bottom w:val="single" w:sz="4" w:space="0" w:color="auto"/>
              <w:right w:val="single" w:sz="4" w:space="0" w:color="auto"/>
            </w:tcBorders>
            <w:vAlign w:val="center"/>
          </w:tcPr>
          <w:p w14:paraId="52C31C6D" w14:textId="77777777" w:rsidR="005A1EAA" w:rsidRPr="00524EEA" w:rsidRDefault="005A1EAA" w:rsidP="00243218">
            <w:pPr>
              <w:pStyle w:val="A-TableText"/>
              <w:spacing w:line="240" w:lineRule="auto"/>
              <w:jc w:val="center"/>
              <w:rPr>
                <w:lang w:val="en-AU"/>
              </w:rPr>
            </w:pPr>
            <w:r w:rsidRPr="00524EEA">
              <w:rPr>
                <w:lang w:val="en-AU"/>
              </w:rPr>
              <w:t>5.5</w:t>
            </w:r>
          </w:p>
        </w:tc>
        <w:tc>
          <w:tcPr>
            <w:tcW w:w="1307" w:type="pct"/>
            <w:gridSpan w:val="2"/>
            <w:tcBorders>
              <w:top w:val="single" w:sz="4" w:space="0" w:color="auto"/>
              <w:left w:val="single" w:sz="4" w:space="0" w:color="auto"/>
              <w:bottom w:val="single" w:sz="4" w:space="0" w:color="auto"/>
              <w:right w:val="single" w:sz="4" w:space="0" w:color="auto"/>
            </w:tcBorders>
            <w:vAlign w:val="center"/>
          </w:tcPr>
          <w:p w14:paraId="22265838" w14:textId="77777777" w:rsidR="005A1EAA" w:rsidRPr="00524EEA" w:rsidRDefault="005A1EAA" w:rsidP="00243218">
            <w:pPr>
              <w:pStyle w:val="A-TableText"/>
              <w:spacing w:line="240" w:lineRule="auto"/>
              <w:jc w:val="center"/>
              <w:rPr>
                <w:lang w:val="en-AU"/>
              </w:rPr>
            </w:pPr>
            <w:r w:rsidRPr="00524EEA">
              <w:rPr>
                <w:lang w:val="en-AU"/>
              </w:rPr>
              <w:t>0.6</w:t>
            </w:r>
          </w:p>
        </w:tc>
      </w:tr>
      <w:tr w:rsidR="005A1EAA" w:rsidRPr="00524EEA" w14:paraId="12F79EB8" w14:textId="77777777" w:rsidTr="007B15E8">
        <w:trPr>
          <w:gridBefore w:val="1"/>
          <w:wBefore w:w="59" w:type="pct"/>
          <w:cantSplit/>
        </w:trPr>
        <w:tc>
          <w:tcPr>
            <w:tcW w:w="2389" w:type="pct"/>
            <w:tcBorders>
              <w:top w:val="single" w:sz="4" w:space="0" w:color="auto"/>
              <w:left w:val="single" w:sz="4" w:space="0" w:color="auto"/>
              <w:bottom w:val="single" w:sz="4" w:space="0" w:color="auto"/>
              <w:right w:val="single" w:sz="4" w:space="0" w:color="auto"/>
            </w:tcBorders>
            <w:vAlign w:val="center"/>
          </w:tcPr>
          <w:p w14:paraId="5A303E83" w14:textId="77777777" w:rsidR="005A1EAA" w:rsidRPr="00524EEA" w:rsidRDefault="005A1EAA" w:rsidP="00243218">
            <w:pPr>
              <w:pStyle w:val="A-TableText"/>
              <w:spacing w:line="240" w:lineRule="auto"/>
              <w:rPr>
                <w:lang w:val="en-AU"/>
              </w:rPr>
            </w:pPr>
            <w:r w:rsidRPr="00524EEA">
              <w:rPr>
                <w:lang w:val="en-AU"/>
              </w:rPr>
              <w:t>Urinary tract infection*</w:t>
            </w:r>
          </w:p>
        </w:tc>
        <w:tc>
          <w:tcPr>
            <w:tcW w:w="1245" w:type="pct"/>
            <w:tcBorders>
              <w:top w:val="single" w:sz="4" w:space="0" w:color="auto"/>
              <w:left w:val="single" w:sz="4" w:space="0" w:color="auto"/>
              <w:bottom w:val="single" w:sz="4" w:space="0" w:color="auto"/>
              <w:right w:val="single" w:sz="4" w:space="0" w:color="auto"/>
            </w:tcBorders>
            <w:vAlign w:val="center"/>
          </w:tcPr>
          <w:p w14:paraId="07DB0C13" w14:textId="77777777" w:rsidR="005A1EAA" w:rsidRPr="00524EEA" w:rsidRDefault="005A1EAA" w:rsidP="00243218">
            <w:pPr>
              <w:pStyle w:val="A-TableText"/>
              <w:spacing w:line="240" w:lineRule="auto"/>
              <w:jc w:val="center"/>
              <w:rPr>
                <w:lang w:val="en-AU"/>
              </w:rPr>
            </w:pPr>
            <w:r w:rsidRPr="00524EEA">
              <w:rPr>
                <w:lang w:val="en-AU"/>
              </w:rPr>
              <w:t>4.7</w:t>
            </w:r>
          </w:p>
        </w:tc>
        <w:tc>
          <w:tcPr>
            <w:tcW w:w="1307" w:type="pct"/>
            <w:gridSpan w:val="2"/>
            <w:tcBorders>
              <w:top w:val="single" w:sz="4" w:space="0" w:color="auto"/>
              <w:left w:val="single" w:sz="4" w:space="0" w:color="auto"/>
              <w:bottom w:val="single" w:sz="4" w:space="0" w:color="auto"/>
              <w:right w:val="single" w:sz="4" w:space="0" w:color="auto"/>
            </w:tcBorders>
            <w:vAlign w:val="center"/>
          </w:tcPr>
          <w:p w14:paraId="796AD844" w14:textId="77777777" w:rsidR="005A1EAA" w:rsidRPr="00524EEA" w:rsidRDefault="005A1EAA" w:rsidP="00243218">
            <w:pPr>
              <w:pStyle w:val="A-TableText"/>
              <w:spacing w:line="240" w:lineRule="auto"/>
              <w:jc w:val="center"/>
              <w:rPr>
                <w:lang w:val="en-AU"/>
              </w:rPr>
            </w:pPr>
            <w:r w:rsidRPr="00524EEA">
              <w:rPr>
                <w:lang w:val="en-AU"/>
              </w:rPr>
              <w:t>3.5</w:t>
            </w:r>
          </w:p>
        </w:tc>
      </w:tr>
      <w:tr w:rsidR="005A1EAA" w:rsidRPr="00524EEA" w14:paraId="09AE11C6" w14:textId="77777777" w:rsidTr="007B15E8">
        <w:trPr>
          <w:gridBefore w:val="1"/>
          <w:wBefore w:w="59" w:type="pct"/>
          <w:cantSplit/>
        </w:trPr>
        <w:tc>
          <w:tcPr>
            <w:tcW w:w="4941" w:type="pct"/>
            <w:gridSpan w:val="4"/>
            <w:tcBorders>
              <w:top w:val="single" w:sz="4" w:space="0" w:color="auto"/>
              <w:left w:val="single" w:sz="4" w:space="0" w:color="auto"/>
              <w:bottom w:val="single" w:sz="4" w:space="0" w:color="auto"/>
              <w:right w:val="single" w:sz="4" w:space="0" w:color="auto"/>
            </w:tcBorders>
            <w:vAlign w:val="center"/>
          </w:tcPr>
          <w:p w14:paraId="4090AF9E" w14:textId="77777777" w:rsidR="005A1EAA" w:rsidRPr="00524EEA" w:rsidRDefault="005A1EAA" w:rsidP="00C17B39">
            <w:pPr>
              <w:pStyle w:val="A-TableHeader"/>
              <w:rPr>
                <w:lang w:val="en-AU"/>
              </w:rPr>
            </w:pPr>
            <w:r w:rsidRPr="00524EEA">
              <w:rPr>
                <w:lang w:val="en-AU"/>
              </w:rPr>
              <w:t>Musculoskeletal and Connective Tissue Disorders</w:t>
            </w:r>
          </w:p>
        </w:tc>
      </w:tr>
      <w:tr w:rsidR="005A1EAA" w:rsidRPr="00524EEA" w14:paraId="452734CD" w14:textId="77777777" w:rsidTr="007B15E8">
        <w:trPr>
          <w:gridBefore w:val="1"/>
          <w:wBefore w:w="59" w:type="pct"/>
          <w:cantSplit/>
        </w:trPr>
        <w:tc>
          <w:tcPr>
            <w:tcW w:w="2389" w:type="pct"/>
            <w:tcBorders>
              <w:top w:val="single" w:sz="4" w:space="0" w:color="auto"/>
              <w:left w:val="single" w:sz="4" w:space="0" w:color="auto"/>
              <w:bottom w:val="single" w:sz="4" w:space="0" w:color="auto"/>
              <w:right w:val="single" w:sz="4" w:space="0" w:color="auto"/>
            </w:tcBorders>
            <w:vAlign w:val="center"/>
          </w:tcPr>
          <w:p w14:paraId="75EC9671" w14:textId="77777777" w:rsidR="005A1EAA" w:rsidRPr="00524EEA" w:rsidRDefault="005A1EAA" w:rsidP="00243218">
            <w:pPr>
              <w:pStyle w:val="A-TableText"/>
              <w:spacing w:line="240" w:lineRule="auto"/>
              <w:rPr>
                <w:lang w:val="en-AU"/>
              </w:rPr>
            </w:pPr>
            <w:r w:rsidRPr="00524EEA">
              <w:rPr>
                <w:lang w:val="en-AU"/>
              </w:rPr>
              <w:t>Back pain</w:t>
            </w:r>
          </w:p>
        </w:tc>
        <w:tc>
          <w:tcPr>
            <w:tcW w:w="1245" w:type="pct"/>
            <w:tcBorders>
              <w:top w:val="single" w:sz="4" w:space="0" w:color="auto"/>
              <w:left w:val="single" w:sz="4" w:space="0" w:color="auto"/>
              <w:bottom w:val="single" w:sz="4" w:space="0" w:color="auto"/>
              <w:right w:val="single" w:sz="4" w:space="0" w:color="auto"/>
            </w:tcBorders>
            <w:vAlign w:val="center"/>
          </w:tcPr>
          <w:p w14:paraId="10547220" w14:textId="77777777" w:rsidR="005A1EAA" w:rsidRPr="00524EEA" w:rsidRDefault="005A1EAA" w:rsidP="00243218">
            <w:pPr>
              <w:pStyle w:val="A-TableText"/>
              <w:spacing w:line="240" w:lineRule="auto"/>
              <w:jc w:val="center"/>
              <w:rPr>
                <w:lang w:val="en-AU"/>
              </w:rPr>
            </w:pPr>
            <w:r w:rsidRPr="00524EEA">
              <w:rPr>
                <w:lang w:val="en-AU"/>
              </w:rPr>
              <w:t>3.5</w:t>
            </w:r>
          </w:p>
        </w:tc>
        <w:tc>
          <w:tcPr>
            <w:tcW w:w="1307" w:type="pct"/>
            <w:gridSpan w:val="2"/>
            <w:tcBorders>
              <w:top w:val="single" w:sz="4" w:space="0" w:color="auto"/>
              <w:left w:val="single" w:sz="4" w:space="0" w:color="auto"/>
              <w:bottom w:val="single" w:sz="4" w:space="0" w:color="auto"/>
              <w:right w:val="single" w:sz="4" w:space="0" w:color="auto"/>
            </w:tcBorders>
            <w:vAlign w:val="center"/>
          </w:tcPr>
          <w:p w14:paraId="12AAFFE2" w14:textId="77777777" w:rsidR="005A1EAA" w:rsidRPr="00524EEA" w:rsidRDefault="005A1EAA" w:rsidP="00243218">
            <w:pPr>
              <w:pStyle w:val="A-TableText"/>
              <w:spacing w:line="240" w:lineRule="auto"/>
              <w:jc w:val="center"/>
              <w:rPr>
                <w:lang w:val="en-AU"/>
              </w:rPr>
            </w:pPr>
            <w:r w:rsidRPr="00524EEA">
              <w:rPr>
                <w:lang w:val="en-AU"/>
              </w:rPr>
              <w:t>2.4</w:t>
            </w:r>
          </w:p>
        </w:tc>
      </w:tr>
      <w:tr w:rsidR="005A1EAA" w:rsidRPr="00524EEA" w14:paraId="20E5D31A" w14:textId="77777777" w:rsidTr="007B15E8">
        <w:trPr>
          <w:gridBefore w:val="1"/>
          <w:wBefore w:w="59" w:type="pct"/>
          <w:cantSplit/>
        </w:trPr>
        <w:tc>
          <w:tcPr>
            <w:tcW w:w="2389" w:type="pct"/>
            <w:tcBorders>
              <w:top w:val="single" w:sz="4" w:space="0" w:color="auto"/>
              <w:left w:val="single" w:sz="4" w:space="0" w:color="auto"/>
              <w:bottom w:val="single" w:sz="4" w:space="0" w:color="auto"/>
              <w:right w:val="single" w:sz="4" w:space="0" w:color="auto"/>
            </w:tcBorders>
            <w:vAlign w:val="center"/>
          </w:tcPr>
          <w:p w14:paraId="0C21830E" w14:textId="77777777" w:rsidR="005A1EAA" w:rsidRPr="00524EEA" w:rsidRDefault="005A1EAA" w:rsidP="00C17B39">
            <w:pPr>
              <w:pStyle w:val="A-TableHeader"/>
              <w:rPr>
                <w:lang w:val="en-AU"/>
              </w:rPr>
            </w:pPr>
            <w:r w:rsidRPr="00524EEA">
              <w:rPr>
                <w:lang w:val="en-AU"/>
              </w:rPr>
              <w:t>Renal and Urinary disorders</w:t>
            </w:r>
          </w:p>
        </w:tc>
        <w:tc>
          <w:tcPr>
            <w:tcW w:w="2552" w:type="pct"/>
            <w:gridSpan w:val="3"/>
            <w:tcBorders>
              <w:top w:val="single" w:sz="4" w:space="0" w:color="auto"/>
              <w:left w:val="single" w:sz="4" w:space="0" w:color="auto"/>
              <w:bottom w:val="single" w:sz="4" w:space="0" w:color="auto"/>
              <w:right w:val="single" w:sz="4" w:space="0" w:color="auto"/>
            </w:tcBorders>
            <w:vAlign w:val="center"/>
          </w:tcPr>
          <w:p w14:paraId="7CAD56BF" w14:textId="77777777" w:rsidR="005A1EAA" w:rsidRPr="00524EEA" w:rsidRDefault="005A1EAA" w:rsidP="00C17B39">
            <w:pPr>
              <w:pStyle w:val="A-TableHeader"/>
              <w:rPr>
                <w:lang w:val="en-AU"/>
              </w:rPr>
            </w:pPr>
          </w:p>
        </w:tc>
      </w:tr>
      <w:tr w:rsidR="005A1EAA" w:rsidRPr="00524EEA" w14:paraId="01DC8086" w14:textId="77777777" w:rsidTr="007B15E8">
        <w:trPr>
          <w:gridBefore w:val="1"/>
          <w:wBefore w:w="59" w:type="pct"/>
          <w:cantSplit/>
        </w:trPr>
        <w:tc>
          <w:tcPr>
            <w:tcW w:w="2389" w:type="pct"/>
            <w:tcBorders>
              <w:top w:val="single" w:sz="4" w:space="0" w:color="auto"/>
              <w:left w:val="single" w:sz="4" w:space="0" w:color="auto"/>
              <w:bottom w:val="single" w:sz="4" w:space="0" w:color="auto"/>
              <w:right w:val="single" w:sz="4" w:space="0" w:color="auto"/>
            </w:tcBorders>
            <w:vAlign w:val="center"/>
          </w:tcPr>
          <w:p w14:paraId="2BE04DB6" w14:textId="77777777" w:rsidR="005A1EAA" w:rsidRPr="00524EEA" w:rsidRDefault="005A1EAA" w:rsidP="00243218">
            <w:pPr>
              <w:pStyle w:val="A-TableText"/>
              <w:spacing w:line="240" w:lineRule="auto"/>
              <w:rPr>
                <w:lang w:val="en-AU"/>
              </w:rPr>
            </w:pPr>
            <w:r w:rsidRPr="00524EEA">
              <w:rPr>
                <w:lang w:val="en-AU"/>
              </w:rPr>
              <w:t>Polyuria¶</w:t>
            </w:r>
          </w:p>
        </w:tc>
        <w:tc>
          <w:tcPr>
            <w:tcW w:w="1245" w:type="pct"/>
            <w:tcBorders>
              <w:top w:val="single" w:sz="4" w:space="0" w:color="auto"/>
              <w:left w:val="single" w:sz="4" w:space="0" w:color="auto"/>
              <w:bottom w:val="single" w:sz="4" w:space="0" w:color="auto"/>
              <w:right w:val="single" w:sz="4" w:space="0" w:color="auto"/>
            </w:tcBorders>
            <w:vAlign w:val="center"/>
          </w:tcPr>
          <w:p w14:paraId="5711FA9C" w14:textId="77777777" w:rsidR="005A1EAA" w:rsidRPr="00524EEA" w:rsidRDefault="005A1EAA" w:rsidP="00243218">
            <w:pPr>
              <w:pStyle w:val="A-TableText"/>
              <w:spacing w:line="240" w:lineRule="auto"/>
              <w:jc w:val="center"/>
              <w:rPr>
                <w:lang w:val="en-AU"/>
              </w:rPr>
            </w:pPr>
            <w:r w:rsidRPr="00524EEA">
              <w:rPr>
                <w:lang w:val="en-AU"/>
              </w:rPr>
              <w:t>3.3</w:t>
            </w:r>
          </w:p>
        </w:tc>
        <w:tc>
          <w:tcPr>
            <w:tcW w:w="1307" w:type="pct"/>
            <w:gridSpan w:val="2"/>
            <w:tcBorders>
              <w:top w:val="single" w:sz="4" w:space="0" w:color="auto"/>
              <w:left w:val="single" w:sz="4" w:space="0" w:color="auto"/>
              <w:bottom w:val="single" w:sz="4" w:space="0" w:color="auto"/>
              <w:right w:val="single" w:sz="4" w:space="0" w:color="auto"/>
            </w:tcBorders>
            <w:vAlign w:val="center"/>
          </w:tcPr>
          <w:p w14:paraId="67C8150D" w14:textId="77777777" w:rsidR="005A1EAA" w:rsidRPr="00524EEA" w:rsidRDefault="005A1EAA" w:rsidP="00243218">
            <w:pPr>
              <w:pStyle w:val="A-TableText"/>
              <w:spacing w:line="240" w:lineRule="auto"/>
              <w:jc w:val="center"/>
              <w:rPr>
                <w:lang w:val="en-AU"/>
              </w:rPr>
            </w:pPr>
            <w:r w:rsidRPr="00524EEA">
              <w:rPr>
                <w:lang w:val="en-AU"/>
              </w:rPr>
              <w:t>1.2</w:t>
            </w:r>
          </w:p>
        </w:tc>
      </w:tr>
      <w:tr w:rsidR="005A1EAA" w:rsidRPr="00524EEA" w14:paraId="12D08948" w14:textId="77777777" w:rsidTr="007B15E8">
        <w:trPr>
          <w:gridBefore w:val="1"/>
          <w:wBefore w:w="59" w:type="pct"/>
          <w:cantSplit/>
        </w:trPr>
        <w:tc>
          <w:tcPr>
            <w:tcW w:w="4941" w:type="pct"/>
            <w:gridSpan w:val="4"/>
            <w:tcBorders>
              <w:top w:val="single" w:sz="4" w:space="0" w:color="auto"/>
              <w:left w:val="single" w:sz="4" w:space="0" w:color="auto"/>
              <w:bottom w:val="single" w:sz="4" w:space="0" w:color="auto"/>
              <w:right w:val="single" w:sz="4" w:space="0" w:color="auto"/>
            </w:tcBorders>
            <w:vAlign w:val="center"/>
          </w:tcPr>
          <w:p w14:paraId="033B3E45" w14:textId="77777777" w:rsidR="005A1EAA" w:rsidRPr="00524EEA" w:rsidRDefault="005A1EAA" w:rsidP="00C17B39">
            <w:pPr>
              <w:pStyle w:val="A-TableHeader"/>
              <w:rPr>
                <w:lang w:val="en-AU"/>
              </w:rPr>
            </w:pPr>
            <w:r w:rsidRPr="00524EEA">
              <w:rPr>
                <w:lang w:val="en-AU"/>
              </w:rPr>
              <w:t>Metabolism and nutrition disorders</w:t>
            </w:r>
          </w:p>
        </w:tc>
      </w:tr>
      <w:tr w:rsidR="005A1EAA" w:rsidRPr="00524EEA" w14:paraId="55E3BA46" w14:textId="77777777" w:rsidTr="007B15E8">
        <w:trPr>
          <w:gridBefore w:val="1"/>
          <w:wBefore w:w="59" w:type="pct"/>
          <w:cantSplit/>
        </w:trPr>
        <w:tc>
          <w:tcPr>
            <w:tcW w:w="2389" w:type="pct"/>
            <w:tcBorders>
              <w:top w:val="single" w:sz="4" w:space="0" w:color="auto"/>
              <w:left w:val="single" w:sz="4" w:space="0" w:color="auto"/>
              <w:bottom w:val="single" w:sz="4" w:space="0" w:color="auto"/>
              <w:right w:val="single" w:sz="4" w:space="0" w:color="auto"/>
            </w:tcBorders>
            <w:vAlign w:val="center"/>
          </w:tcPr>
          <w:p w14:paraId="652F39B5" w14:textId="77777777" w:rsidR="005A1EAA" w:rsidRPr="00524EEA" w:rsidRDefault="005A1EAA" w:rsidP="00243218">
            <w:pPr>
              <w:pStyle w:val="A-TableText"/>
              <w:spacing w:line="240" w:lineRule="auto"/>
              <w:rPr>
                <w:lang w:val="en-AU"/>
              </w:rPr>
            </w:pPr>
            <w:r w:rsidRPr="00524EEA">
              <w:rPr>
                <w:lang w:val="en-AU"/>
              </w:rPr>
              <w:t>Hypoglycaemia‡</w:t>
            </w:r>
          </w:p>
        </w:tc>
        <w:tc>
          <w:tcPr>
            <w:tcW w:w="1245" w:type="pct"/>
            <w:tcBorders>
              <w:top w:val="single" w:sz="4" w:space="0" w:color="auto"/>
              <w:left w:val="single" w:sz="4" w:space="0" w:color="auto"/>
              <w:bottom w:val="single" w:sz="4" w:space="0" w:color="auto"/>
              <w:right w:val="single" w:sz="4" w:space="0" w:color="auto"/>
            </w:tcBorders>
            <w:vAlign w:val="center"/>
          </w:tcPr>
          <w:p w14:paraId="5FC5D3ED" w14:textId="77777777" w:rsidR="005A1EAA" w:rsidRPr="00524EEA" w:rsidRDefault="005A1EAA" w:rsidP="00243218">
            <w:pPr>
              <w:pStyle w:val="A-TableText"/>
              <w:spacing w:line="240" w:lineRule="auto"/>
              <w:jc w:val="center"/>
              <w:rPr>
                <w:lang w:val="en-AU"/>
              </w:rPr>
            </w:pPr>
            <w:r w:rsidRPr="00524EEA">
              <w:rPr>
                <w:lang w:val="en-AU"/>
              </w:rPr>
              <w:t>13.5</w:t>
            </w:r>
          </w:p>
        </w:tc>
        <w:tc>
          <w:tcPr>
            <w:tcW w:w="1307" w:type="pct"/>
            <w:gridSpan w:val="2"/>
            <w:tcBorders>
              <w:top w:val="single" w:sz="4" w:space="0" w:color="auto"/>
              <w:left w:val="single" w:sz="4" w:space="0" w:color="auto"/>
              <w:bottom w:val="single" w:sz="4" w:space="0" w:color="auto"/>
              <w:right w:val="single" w:sz="4" w:space="0" w:color="auto"/>
            </w:tcBorders>
            <w:vAlign w:val="center"/>
          </w:tcPr>
          <w:p w14:paraId="4360066F" w14:textId="77777777" w:rsidR="005A1EAA" w:rsidRPr="00524EEA" w:rsidRDefault="005A1EAA" w:rsidP="00243218">
            <w:pPr>
              <w:pStyle w:val="A-TableText"/>
              <w:spacing w:line="240" w:lineRule="auto"/>
              <w:jc w:val="center"/>
              <w:rPr>
                <w:lang w:val="en-AU"/>
              </w:rPr>
            </w:pPr>
            <w:r w:rsidRPr="00524EEA">
              <w:rPr>
                <w:lang w:val="en-AU"/>
              </w:rPr>
              <w:t>10.1</w:t>
            </w:r>
          </w:p>
        </w:tc>
      </w:tr>
      <w:tr w:rsidR="005A1EAA" w:rsidRPr="00524EEA" w14:paraId="3EAF1858" w14:textId="77777777" w:rsidTr="007B15E8">
        <w:trPr>
          <w:gridBefore w:val="1"/>
          <w:wBefore w:w="59" w:type="pct"/>
          <w:cantSplit/>
        </w:trPr>
        <w:tc>
          <w:tcPr>
            <w:tcW w:w="4941" w:type="pct"/>
            <w:gridSpan w:val="4"/>
            <w:tcBorders>
              <w:top w:val="single" w:sz="4" w:space="0" w:color="auto"/>
              <w:left w:val="nil"/>
              <w:bottom w:val="nil"/>
              <w:right w:val="nil"/>
            </w:tcBorders>
          </w:tcPr>
          <w:p w14:paraId="52F875B0" w14:textId="77777777" w:rsidR="00C17B39" w:rsidRPr="00524EEA" w:rsidRDefault="005A1EAA" w:rsidP="001C4EEF">
            <w:pPr>
              <w:pStyle w:val="A-TableFootnoteText"/>
            </w:pPr>
            <w:r w:rsidRPr="00524EEA">
              <w:rPr>
                <w:vertAlign w:val="superscript"/>
              </w:rPr>
              <w:t>§</w:t>
            </w:r>
            <w:r w:rsidRPr="00524EEA">
              <w:t xml:space="preserve">Genital infection includes the preferred terms, listed in order of frequency reported: vulvovaginal </w:t>
            </w:r>
            <w:proofErr w:type="spellStart"/>
            <w:r w:rsidRPr="00524EEA">
              <w:t>mycotic</w:t>
            </w:r>
            <w:proofErr w:type="spellEnd"/>
            <w:r w:rsidRPr="00524EEA">
              <w:t xml:space="preserve"> infection, vaginal infection, balanitis, genital infection fungal, vulvovaginal candidiasis, </w:t>
            </w:r>
            <w:proofErr w:type="spellStart"/>
            <w:r w:rsidRPr="00524EEA">
              <w:t>vulvovaginitis</w:t>
            </w:r>
            <w:proofErr w:type="spellEnd"/>
            <w:r w:rsidRPr="00524EEA">
              <w:t xml:space="preserve">, balanitis candida, genital candidiasis, genital infection, genital infection male, penile infection, </w:t>
            </w:r>
            <w:proofErr w:type="spellStart"/>
            <w:r w:rsidRPr="00524EEA">
              <w:t>vulvitis</w:t>
            </w:r>
            <w:proofErr w:type="spellEnd"/>
            <w:r w:rsidRPr="00524EEA">
              <w:t xml:space="preserve">, vaginitis bacterial, and </w:t>
            </w:r>
            <w:proofErr w:type="spellStart"/>
            <w:r w:rsidRPr="00524EEA">
              <w:t>vulval</w:t>
            </w:r>
            <w:proofErr w:type="spellEnd"/>
            <w:r w:rsidRPr="00524EEA">
              <w:t xml:space="preserve"> abscess.</w:t>
            </w:r>
          </w:p>
          <w:p w14:paraId="72BC2091" w14:textId="77777777" w:rsidR="00C17B39" w:rsidRPr="00524EEA" w:rsidRDefault="005A1EAA" w:rsidP="001C4EEF">
            <w:pPr>
              <w:pStyle w:val="A-TableFootnoteText"/>
            </w:pPr>
            <w:r w:rsidRPr="00524EEA">
              <w:rPr>
                <w:vertAlign w:val="superscript"/>
              </w:rPr>
              <w:t xml:space="preserve"> *</w:t>
            </w:r>
            <w:r w:rsidRPr="00524EEA">
              <w:t xml:space="preserve"> Urinary tract infection includes the following preferred terms, listed in order of frequency reported: urinary tract infection, cystitis, Escherichia urinary tract infection, genitourinary tract infection, pyelonephritis, </w:t>
            </w:r>
            <w:proofErr w:type="spellStart"/>
            <w:r w:rsidRPr="00524EEA">
              <w:t>trigonitis</w:t>
            </w:r>
            <w:proofErr w:type="spellEnd"/>
            <w:r w:rsidRPr="00524EEA">
              <w:t>, urethritis, kidney infection, and prostatitis.</w:t>
            </w:r>
          </w:p>
          <w:p w14:paraId="25C0FD86" w14:textId="77777777" w:rsidR="00C17B39" w:rsidRPr="00524EEA" w:rsidRDefault="005A1EAA" w:rsidP="001C4EEF">
            <w:pPr>
              <w:pStyle w:val="A-TableFootnoteText"/>
            </w:pPr>
            <w:r w:rsidRPr="00524EEA">
              <w:rPr>
                <w:vertAlign w:val="superscript"/>
              </w:rPr>
              <w:t>¶</w:t>
            </w:r>
            <w:r w:rsidRPr="00524EEA">
              <w:t xml:space="preserve">Polyuria includes the preferred terms, listed in order of frequency reported: </w:t>
            </w:r>
            <w:proofErr w:type="spellStart"/>
            <w:r w:rsidRPr="00524EEA">
              <w:t>pollakiuria</w:t>
            </w:r>
            <w:proofErr w:type="spellEnd"/>
            <w:r w:rsidRPr="00524EEA">
              <w:t>, polyuria, urine output increased.</w:t>
            </w:r>
          </w:p>
          <w:p w14:paraId="1C6DE321" w14:textId="7E733B90" w:rsidR="005A1EAA" w:rsidRPr="00524EEA" w:rsidRDefault="005A1EAA" w:rsidP="001C4EEF">
            <w:pPr>
              <w:pStyle w:val="A-TableFootnoteText"/>
            </w:pPr>
            <w:r w:rsidRPr="00524EEA">
              <w:rPr>
                <w:vertAlign w:val="superscript"/>
              </w:rPr>
              <w:t>‡</w:t>
            </w:r>
            <w:r w:rsidRPr="00524EEA">
              <w:t xml:space="preserve"> See heading ‘Hypoglycaemia’ below.</w:t>
            </w:r>
          </w:p>
        </w:tc>
      </w:tr>
    </w:tbl>
    <w:p w14:paraId="419F37BF" w14:textId="77777777" w:rsidR="00243218" w:rsidRPr="00524EEA" w:rsidRDefault="00243218" w:rsidP="00931A56">
      <w:pPr>
        <w:spacing w:after="0" w:line="240" w:lineRule="auto"/>
        <w:rPr>
          <w:rFonts w:cs="Arial"/>
        </w:rPr>
      </w:pPr>
    </w:p>
    <w:p w14:paraId="2F42FA74" w14:textId="4525439A" w:rsidR="00921967" w:rsidRPr="00524EEA" w:rsidRDefault="00921967" w:rsidP="00931A56">
      <w:pPr>
        <w:rPr>
          <w:rFonts w:cs="Arial"/>
        </w:rPr>
      </w:pPr>
      <w:r w:rsidRPr="00524EEA">
        <w:rPr>
          <w:rFonts w:cs="Arial"/>
        </w:rPr>
        <w:t xml:space="preserve">Additional adverse reactions in </w:t>
      </w:r>
      <w:r w:rsidRPr="00524EEA">
        <w:rPr>
          <w:rFonts w:cs="Arial"/>
        </w:rPr>
        <w:sym w:font="Symbol" w:char="F0B3"/>
      </w:r>
      <w:r w:rsidRPr="00524EEA">
        <w:rPr>
          <w:rFonts w:cs="Arial"/>
        </w:rPr>
        <w:t xml:space="preserve">5% of patients treated with FORXIGA 10 mg, </w:t>
      </w:r>
      <w:r w:rsidRPr="00524EEA">
        <w:rPr>
          <w:rFonts w:cs="Arial"/>
        </w:rPr>
        <w:sym w:font="Symbol" w:char="F0B3"/>
      </w:r>
      <w:r w:rsidRPr="00524EEA">
        <w:rPr>
          <w:rFonts w:cs="Arial"/>
        </w:rPr>
        <w:t>1% more than patients in placebo/comparator, and reported in at least three more patients treated with FORXIGA 10 mg and regardless of relationship to FORXIGA reported by investigator, are described below by treatment regimen.</w:t>
      </w:r>
    </w:p>
    <w:p w14:paraId="378F0956" w14:textId="43EADF15" w:rsidR="00921967" w:rsidRPr="00524EEA" w:rsidRDefault="00921967" w:rsidP="00C00A4C">
      <w:pPr>
        <w:pStyle w:val="ListParagraph"/>
        <w:rPr>
          <w:noProof w:val="0"/>
        </w:rPr>
      </w:pPr>
      <w:r w:rsidRPr="00524EEA">
        <w:rPr>
          <w:noProof w:val="0"/>
        </w:rPr>
        <w:t>In the add-on to metformin studies: headache (5.3% FORXIGA 10mg and 3.1% placebo).</w:t>
      </w:r>
    </w:p>
    <w:p w14:paraId="247CFC40" w14:textId="38DA365F" w:rsidR="008E0A62" w:rsidRPr="00524EEA" w:rsidRDefault="008E0A62" w:rsidP="00102223">
      <w:r w:rsidRPr="00524EEA">
        <w:t>Diabetic ketoacidosis was identified with a frequency of rare (</w:t>
      </w:r>
      <w:r w:rsidRPr="00524EEA">
        <w:sym w:font="Symbol" w:char="F0B3"/>
      </w:r>
      <w:r w:rsidRPr="00524EEA">
        <w:t xml:space="preserve"> 1/10,000 to &lt; 1/1000), based on annual rate, in a large cardiovascular outcomes study with </w:t>
      </w:r>
      <w:proofErr w:type="spellStart"/>
      <w:r w:rsidRPr="00524EEA">
        <w:t>dapagliflozin</w:t>
      </w:r>
      <w:proofErr w:type="spellEnd"/>
      <w:r w:rsidRPr="00524EEA">
        <w:t xml:space="preserve"> in patients with type 2 diabetes. </w:t>
      </w:r>
    </w:p>
    <w:p w14:paraId="0FF9667C" w14:textId="77777777" w:rsidR="00F938A2" w:rsidRPr="00524EEA" w:rsidRDefault="001202E5" w:rsidP="00F938A2">
      <w:r w:rsidRPr="00524EEA">
        <w:t xml:space="preserve">The safety profile of </w:t>
      </w:r>
      <w:proofErr w:type="spellStart"/>
      <w:r w:rsidRPr="00524EEA">
        <w:t>dapagliflozin</w:t>
      </w:r>
      <w:proofErr w:type="spellEnd"/>
      <w:r w:rsidRPr="00524EEA">
        <w:t xml:space="preserve"> was overall consistent across the studied indications. DKA was observed only in patients with diabetes mellitus.</w:t>
      </w:r>
      <w:r w:rsidR="00F938A2" w:rsidRPr="00524EEA">
        <w:t xml:space="preserve"> </w:t>
      </w:r>
    </w:p>
    <w:p w14:paraId="69CCBB44" w14:textId="39B92CD3" w:rsidR="00F938A2" w:rsidRPr="00524EEA" w:rsidRDefault="00F938A2" w:rsidP="00F938A2">
      <w:pPr>
        <w:rPr>
          <w:szCs w:val="24"/>
        </w:rPr>
      </w:pPr>
      <w:r w:rsidRPr="00524EEA">
        <w:rPr>
          <w:szCs w:val="24"/>
        </w:rPr>
        <w:t>No new adverse reactions were identified in the DAPA-HF heart failure study.</w:t>
      </w:r>
    </w:p>
    <w:p w14:paraId="0565EFE1" w14:textId="22DB4F31" w:rsidR="00921967" w:rsidRPr="00524EEA" w:rsidRDefault="00921967" w:rsidP="00921967">
      <w:pPr>
        <w:pStyle w:val="Heading3"/>
      </w:pPr>
      <w:r w:rsidRPr="00524EEA">
        <w:t>Description of selected adverse events</w:t>
      </w:r>
    </w:p>
    <w:p w14:paraId="32B030BA" w14:textId="77777777" w:rsidR="00921967" w:rsidRPr="00524EEA" w:rsidRDefault="00921967" w:rsidP="00FF2C9C">
      <w:pPr>
        <w:pStyle w:val="Heading4"/>
      </w:pPr>
      <w:r w:rsidRPr="00524EEA">
        <w:t>Hypoglycaemia</w:t>
      </w:r>
    </w:p>
    <w:p w14:paraId="2C4A2CEF" w14:textId="52641B22" w:rsidR="00921967" w:rsidRPr="00524EEA" w:rsidRDefault="00921967" w:rsidP="00921967">
      <w:r w:rsidRPr="00524EEA">
        <w:t>The frequency of hypoglycaemia depended on the type of background therapy used in</w:t>
      </w:r>
      <w:r w:rsidR="00FF2C9C" w:rsidRPr="00524EEA">
        <w:t xml:space="preserve"> the clinical studies in diabetes mellitus</w:t>
      </w:r>
      <w:r w:rsidRPr="00524EEA">
        <w:t>.  Studies with add-on sulfonylurea and add-on insulin therapies had higher rates of hypoglycaemia with FORXIGA treatment than with placebo treatment (see section</w:t>
      </w:r>
      <w:r w:rsidR="004B7251" w:rsidRPr="00524EEA">
        <w:t xml:space="preserve"> </w:t>
      </w:r>
      <w:r w:rsidR="0094304A" w:rsidRPr="00524EEA">
        <w:t>4.4 Special warnings and precautions for use).</w:t>
      </w:r>
    </w:p>
    <w:p w14:paraId="34AA8CBD" w14:textId="77777777" w:rsidR="00921967" w:rsidRPr="00524EEA" w:rsidRDefault="00921967" w:rsidP="00921967">
      <w:r w:rsidRPr="00524EEA">
        <w:t xml:space="preserve">In studies of FORXIGA used in monotherapy, add-on to metformin, and initial combination with metformin up to 102 weeks, there were no major episodes of hypoglycaemia reported.  In a study of FORXIGA added on to </w:t>
      </w:r>
      <w:proofErr w:type="spellStart"/>
      <w:r w:rsidRPr="00524EEA">
        <w:t>sitagliptin</w:t>
      </w:r>
      <w:proofErr w:type="spellEnd"/>
      <w:r w:rsidRPr="00524EEA">
        <w:t xml:space="preserve"> (with or without metformin) for up to 48 weeks, one major episode of hypoglycaemia was reported in a patient treated with FORXIGA 10 mg plus </w:t>
      </w:r>
      <w:proofErr w:type="spellStart"/>
      <w:r w:rsidRPr="00524EEA">
        <w:t>sitagliptin</w:t>
      </w:r>
      <w:proofErr w:type="spellEnd"/>
      <w:r w:rsidRPr="00524EEA">
        <w:t xml:space="preserve"> (without metformin). In these studies, the frequency of minor episodes of hypoglycaemia was similar (&lt;5%) across the treatment groups, including placebo. </w:t>
      </w:r>
    </w:p>
    <w:p w14:paraId="0DE6062E" w14:textId="77777777" w:rsidR="00921967" w:rsidRPr="00524EEA" w:rsidRDefault="00921967" w:rsidP="00921967">
      <w:r w:rsidRPr="00524EEA">
        <w:t xml:space="preserve">In a study with FORXIGA 10 mg added on to glimepiride for up to 48 weeks that also included other doses of </w:t>
      </w:r>
      <w:proofErr w:type="spellStart"/>
      <w:r w:rsidRPr="00524EEA">
        <w:t>dapagliflozin</w:t>
      </w:r>
      <w:proofErr w:type="spellEnd"/>
      <w:r w:rsidRPr="00524EEA">
        <w:t xml:space="preserve">, one episode of major hypoglycaemia in a patient in the </w:t>
      </w:r>
      <w:proofErr w:type="spellStart"/>
      <w:r w:rsidRPr="00524EEA">
        <w:t>dapagliflozin</w:t>
      </w:r>
      <w:proofErr w:type="spellEnd"/>
      <w:r w:rsidRPr="00524EEA">
        <w:t xml:space="preserve"> 2.5 mg plus glimepiride group was reported.  Minor episodes of hypoglycaemia were reported in 7.9% of patients in the FORXIGA 10 mg plus glimepiride group and 2.1% patients in the placebo plus glimepiride group.</w:t>
      </w:r>
    </w:p>
    <w:p w14:paraId="4C87CC2E" w14:textId="77777777" w:rsidR="00921967" w:rsidRPr="00524EEA" w:rsidRDefault="00921967" w:rsidP="00921967">
      <w:r w:rsidRPr="00524EEA">
        <w:t xml:space="preserve">In an add-on to metformin study that compared </w:t>
      </w:r>
      <w:proofErr w:type="spellStart"/>
      <w:r w:rsidRPr="00524EEA">
        <w:t>dapagliflozin</w:t>
      </w:r>
      <w:proofErr w:type="spellEnd"/>
      <w:r w:rsidRPr="00524EEA">
        <w:t xml:space="preserve"> to glipizide up to 104 weeks, there were 3 episodes of major hypoglycaemia in the glipizide plus metformin group and none in the FORXIGA plus metformin group.  Minor episodes of hypoglycaemia were reported in 2.5% of subjects in the </w:t>
      </w:r>
      <w:proofErr w:type="spellStart"/>
      <w:r w:rsidRPr="00524EEA">
        <w:t>dapagliflozin</w:t>
      </w:r>
      <w:proofErr w:type="spellEnd"/>
      <w:r w:rsidRPr="00524EEA">
        <w:t xml:space="preserve"> plus metformin group and 42.4% of subjects in the glipizide plus metformin group.</w:t>
      </w:r>
    </w:p>
    <w:p w14:paraId="10B0E6C4" w14:textId="64B3A5D4" w:rsidR="00921967" w:rsidRPr="00524EEA" w:rsidRDefault="00921967" w:rsidP="00921967">
      <w:r w:rsidRPr="00524EEA">
        <w:t xml:space="preserve">In an add-on to metformin and a sulfonylurea study, up to </w:t>
      </w:r>
      <w:r w:rsidR="001078D5" w:rsidRPr="00524EEA">
        <w:t xml:space="preserve">52 </w:t>
      </w:r>
      <w:r w:rsidRPr="00524EEA">
        <w:t xml:space="preserve">weeks, no episodes of major hypoglycaemia were reported.  Minor episodes of hypoglycaemia were reported in </w:t>
      </w:r>
      <w:r w:rsidR="001078D5" w:rsidRPr="00524EEA">
        <w:t>15.6</w:t>
      </w:r>
      <w:r w:rsidRPr="00524EEA">
        <w:t xml:space="preserve">% of subjects who received </w:t>
      </w:r>
      <w:proofErr w:type="spellStart"/>
      <w:r w:rsidRPr="00524EEA">
        <w:t>dapagliflozin</w:t>
      </w:r>
      <w:proofErr w:type="spellEnd"/>
      <w:r w:rsidRPr="00524EEA">
        <w:t xml:space="preserve"> 10 mg plus metformin and a sulfonylurea and in </w:t>
      </w:r>
      <w:r w:rsidR="001078D5" w:rsidRPr="00524EEA">
        <w:t>4.6</w:t>
      </w:r>
      <w:r w:rsidRPr="00524EEA">
        <w:t>% of subjects who received placebo plus metformin and a sulfonylurea.</w:t>
      </w:r>
    </w:p>
    <w:p w14:paraId="6D91AFD0" w14:textId="77777777" w:rsidR="00921967" w:rsidRPr="00524EEA" w:rsidRDefault="00921967" w:rsidP="00921967">
      <w:r w:rsidRPr="00524EEA">
        <w:t xml:space="preserve">In the analysis of pooled safety data of 1169 patients from trials evaluating </w:t>
      </w:r>
      <w:proofErr w:type="spellStart"/>
      <w:r w:rsidRPr="00524EEA">
        <w:t>saxagliptin</w:t>
      </w:r>
      <w:proofErr w:type="spellEnd"/>
      <w:r w:rsidRPr="00524EEA">
        <w:t xml:space="preserve"> in combination with </w:t>
      </w:r>
      <w:proofErr w:type="spellStart"/>
      <w:r w:rsidRPr="00524EEA">
        <w:t>dapagliflozin</w:t>
      </w:r>
      <w:proofErr w:type="spellEnd"/>
      <w:r w:rsidRPr="00524EEA">
        <w:t xml:space="preserve"> at 24 weeks, the overall incidence of hypoglycaemia for the pooled safety data of was low (≤1.8% in any treatment group); there was no increase in hypoglycaemia in </w:t>
      </w:r>
      <w:proofErr w:type="spellStart"/>
      <w:r w:rsidRPr="00524EEA">
        <w:t>saxagliptin</w:t>
      </w:r>
      <w:proofErr w:type="spellEnd"/>
      <w:r w:rsidRPr="00524EEA">
        <w:t xml:space="preserve"> plus </w:t>
      </w:r>
      <w:proofErr w:type="spellStart"/>
      <w:r w:rsidRPr="00524EEA">
        <w:t>dapagliflozin</w:t>
      </w:r>
      <w:proofErr w:type="spellEnd"/>
      <w:r w:rsidRPr="00524EEA">
        <w:t xml:space="preserve"> plus metformin treatment group compared to the </w:t>
      </w:r>
      <w:proofErr w:type="spellStart"/>
      <w:r w:rsidRPr="00524EEA">
        <w:t>saxagliptin</w:t>
      </w:r>
      <w:proofErr w:type="spellEnd"/>
      <w:r w:rsidRPr="00524EEA">
        <w:t xml:space="preserve"> plus metformin or </w:t>
      </w:r>
      <w:proofErr w:type="spellStart"/>
      <w:r w:rsidRPr="00524EEA">
        <w:t>dapagliflozin</w:t>
      </w:r>
      <w:proofErr w:type="spellEnd"/>
      <w:r w:rsidRPr="00524EEA">
        <w:t xml:space="preserve"> plus metformin treatment groups.  The combined use of </w:t>
      </w:r>
      <w:proofErr w:type="spellStart"/>
      <w:r w:rsidRPr="00524EEA">
        <w:t>saxagliptin</w:t>
      </w:r>
      <w:proofErr w:type="spellEnd"/>
      <w:r w:rsidRPr="00524EEA">
        <w:t xml:space="preserve"> plus </w:t>
      </w:r>
      <w:proofErr w:type="spellStart"/>
      <w:r w:rsidRPr="00524EEA">
        <w:t>dapagliflozin</w:t>
      </w:r>
      <w:proofErr w:type="spellEnd"/>
      <w:r w:rsidRPr="00524EEA">
        <w:t xml:space="preserve"> plus metformin was not associated with an increase in the risk of hypoglycaemia when compared to the individual agents as monotherapy.  This was consistent with prior clinical trial experience regardless of whether the combination was added to metformin concurrently or sequentially.</w:t>
      </w:r>
    </w:p>
    <w:p w14:paraId="7B32587B" w14:textId="40CDE2EE" w:rsidR="00B07A9B" w:rsidRPr="00524EEA" w:rsidRDefault="00B07A9B" w:rsidP="00B07A9B">
      <w:r w:rsidRPr="00524EEA">
        <w:t xml:space="preserve">In a study of FORXIGA 10 mg initiated concomitantly with extended release </w:t>
      </w:r>
      <w:proofErr w:type="spellStart"/>
      <w:r w:rsidRPr="00524EEA">
        <w:t>exenatide</w:t>
      </w:r>
      <w:proofErr w:type="spellEnd"/>
      <w:r w:rsidRPr="00524EEA">
        <w:t xml:space="preserve"> (on a background of metformin), there were no episodes of major or minor hypoglycaemia reported.</w:t>
      </w:r>
    </w:p>
    <w:p w14:paraId="2C2DB968" w14:textId="792175F2" w:rsidR="00921967" w:rsidRPr="00524EEA" w:rsidRDefault="00921967" w:rsidP="00921967">
      <w:r w:rsidRPr="00524EEA">
        <w:t>In an add-on to insulin study up to 24 weeks, episodes of major hypoglycaemia were reported in 1 (0.5%) and 1 (0.5%) patient in FORXIGA 10 mg plus insulin and placebo plus insulin groups, respectively.  Up to 104 weeks, 2 (1.0%) and 1 (0.5%) patients in FORXIGA 10 mg plus insulin and placebo plus insulin groups reported major episodes.  Up to 24 weeks, minor episodes were reported in 79 (40.3%) patients in the FORXIGA 10 mg plus insulin group and in 67 (34%) patients in placebo plus insulin group.  Up to 104 weeks, minor episodes were reported in 104 [53.1%] patients for FORXIGA 10 mg plus insulin and 82 [41.6%] patients for placebo.  Patients in this study could also be treated with a maximum of two oral anti-diabetes medications (OADs) including metformin.</w:t>
      </w:r>
    </w:p>
    <w:p w14:paraId="474B28E1" w14:textId="77777777" w:rsidR="006325C0" w:rsidRDefault="00990235" w:rsidP="00E472C4">
      <w:pPr>
        <w:rPr>
          <w:snapToGrid w:val="0"/>
        </w:rPr>
      </w:pPr>
      <w:r w:rsidRPr="00524EEA">
        <w:rPr>
          <w:snapToGrid w:val="0"/>
        </w:rPr>
        <w:t xml:space="preserve">In the </w:t>
      </w:r>
      <w:proofErr w:type="spellStart"/>
      <w:r w:rsidRPr="00524EEA">
        <w:rPr>
          <w:snapToGrid w:val="0"/>
        </w:rPr>
        <w:t>dapagliflozin</w:t>
      </w:r>
      <w:proofErr w:type="spellEnd"/>
      <w:r w:rsidRPr="00524EEA">
        <w:rPr>
          <w:snapToGrid w:val="0"/>
        </w:rPr>
        <w:t xml:space="preserve"> cardiovascular outcomes study, no increased risk of major</w:t>
      </w:r>
      <w:r w:rsidR="00CC638F" w:rsidRPr="00524EEA">
        <w:rPr>
          <w:snapToGrid w:val="0"/>
        </w:rPr>
        <w:t xml:space="preserve"> </w:t>
      </w:r>
      <w:r w:rsidRPr="00524EEA">
        <w:rPr>
          <w:snapToGrid w:val="0"/>
        </w:rPr>
        <w:t xml:space="preserve">hypoglycaemia was observed with </w:t>
      </w:r>
      <w:proofErr w:type="spellStart"/>
      <w:r w:rsidRPr="00524EEA">
        <w:rPr>
          <w:snapToGrid w:val="0"/>
        </w:rPr>
        <w:t>dapagliflozin</w:t>
      </w:r>
      <w:proofErr w:type="spellEnd"/>
      <w:r w:rsidRPr="00524EEA">
        <w:rPr>
          <w:snapToGrid w:val="0"/>
        </w:rPr>
        <w:t xml:space="preserve"> therapy compared with placebo. Major events of hypoglycaemia were reported in 58 patients (0.7%) treated with </w:t>
      </w:r>
      <w:proofErr w:type="spellStart"/>
      <w:r w:rsidRPr="00524EEA">
        <w:rPr>
          <w:snapToGrid w:val="0"/>
        </w:rPr>
        <w:t>dapagliflozin</w:t>
      </w:r>
      <w:proofErr w:type="spellEnd"/>
      <w:r w:rsidRPr="00524EEA">
        <w:rPr>
          <w:snapToGrid w:val="0"/>
        </w:rPr>
        <w:t xml:space="preserve"> and 83 (1.0%) patients treated with placebo.</w:t>
      </w:r>
      <w:r w:rsidR="003D7BF3" w:rsidRPr="00524EEA" w:rsidDel="001C0556">
        <w:rPr>
          <w:snapToGrid w:val="0"/>
        </w:rPr>
        <w:t xml:space="preserve"> </w:t>
      </w:r>
    </w:p>
    <w:p w14:paraId="2750BB4A" w14:textId="7EE23654" w:rsidR="001C0556" w:rsidRPr="00524EEA" w:rsidRDefault="001C0556" w:rsidP="00E472C4">
      <w:pPr>
        <w:rPr>
          <w:snapToGrid w:val="0"/>
        </w:rPr>
      </w:pPr>
      <w:r w:rsidRPr="00524EEA">
        <w:rPr>
          <w:snapToGrid w:val="0"/>
        </w:rPr>
        <w:t>In the DAPA-HF study, major events of hypoglycaemia were reported in 4 (0.2%)</w:t>
      </w:r>
      <w:r w:rsidR="003D7BF3" w:rsidRPr="00524EEA">
        <w:rPr>
          <w:snapToGrid w:val="0"/>
        </w:rPr>
        <w:t xml:space="preserve"> </w:t>
      </w:r>
      <w:r w:rsidRPr="00524EEA">
        <w:rPr>
          <w:snapToGrid w:val="0"/>
        </w:rPr>
        <w:t xml:space="preserve">patients in both the </w:t>
      </w:r>
      <w:proofErr w:type="spellStart"/>
      <w:r w:rsidRPr="00524EEA">
        <w:rPr>
          <w:snapToGrid w:val="0"/>
        </w:rPr>
        <w:t>dapagliflozin</w:t>
      </w:r>
      <w:proofErr w:type="spellEnd"/>
      <w:r w:rsidRPr="00524EEA">
        <w:rPr>
          <w:snapToGrid w:val="0"/>
        </w:rPr>
        <w:t xml:space="preserve"> and placebo treatment groups and observed only in patients with type 2 diabetes mellitus.</w:t>
      </w:r>
    </w:p>
    <w:p w14:paraId="712E97F4" w14:textId="48C5D58A" w:rsidR="00921967" w:rsidRPr="00524EEA" w:rsidRDefault="00921967" w:rsidP="00C07BC4">
      <w:pPr>
        <w:pStyle w:val="Heading4nobookmark"/>
      </w:pPr>
      <w:r w:rsidRPr="00524EEA">
        <w:t>Volume depletion</w:t>
      </w:r>
    </w:p>
    <w:p w14:paraId="452BC665" w14:textId="596478D1" w:rsidR="00517849" w:rsidRPr="00524EEA" w:rsidRDefault="00921967" w:rsidP="00517849">
      <w:pPr>
        <w:pStyle w:val="Paragraph"/>
      </w:pPr>
      <w:r w:rsidRPr="00524EEA">
        <w:t xml:space="preserve">In the pooled analysis of 13 short-term, placebo-controlled studies, events </w:t>
      </w:r>
      <w:r w:rsidR="00990235" w:rsidRPr="00524EEA">
        <w:t xml:space="preserve">suggestive of </w:t>
      </w:r>
      <w:r w:rsidRPr="00524EEA">
        <w:t xml:space="preserve">volume depletion (including reports of dehydration, hypovolemia or hypotension) were reported in 1.1% and 0.7% of patients who received FORXIGA 10 mg and placebo, respectively.  Across the pool of 21 active and placebo-controlled studies, serious events occurred in </w:t>
      </w:r>
      <w:r w:rsidRPr="00524EEA">
        <w:sym w:font="Symbol" w:char="F0A3"/>
      </w:r>
      <w:r w:rsidRPr="00524EEA">
        <w:t xml:space="preserve">0.2% of patients and were balanced between FORXIGA 10 mg and comparator (see </w:t>
      </w:r>
      <w:bookmarkStart w:id="64" w:name="_Hlk501530094"/>
      <w:r w:rsidRPr="00524EEA">
        <w:t>section</w:t>
      </w:r>
      <w:bookmarkEnd w:id="64"/>
      <w:r w:rsidR="0094304A" w:rsidRPr="00524EEA">
        <w:t xml:space="preserve"> 4.4 Special warnings and precautions for use</w:t>
      </w:r>
      <w:r w:rsidRPr="00524EEA">
        <w:t>).</w:t>
      </w:r>
    </w:p>
    <w:p w14:paraId="7FBDB23B" w14:textId="2A47BFD5" w:rsidR="009831AE" w:rsidRPr="00524EEA" w:rsidRDefault="009831AE" w:rsidP="009831AE">
      <w:pPr>
        <w:pStyle w:val="Paragraph"/>
        <w:rPr>
          <w:rFonts w:eastAsia="TimesNewRoman"/>
        </w:rPr>
      </w:pPr>
      <w:bookmarkStart w:id="65" w:name="_Hlk16596544"/>
      <w:r w:rsidRPr="00524EEA">
        <w:rPr>
          <w:rFonts w:eastAsia="TimesNewRoman"/>
        </w:rPr>
        <w:t>Adverse events of volume depletion were more commonly seen in patients with moderate renal impairment</w:t>
      </w:r>
      <w:r w:rsidR="008638E5" w:rsidRPr="00524EEA">
        <w:rPr>
          <w:rFonts w:eastAsia="TimesNewRoman"/>
        </w:rPr>
        <w:t>.</w:t>
      </w:r>
    </w:p>
    <w:p w14:paraId="35A3F907" w14:textId="77777777" w:rsidR="00254C83" w:rsidRDefault="00990235" w:rsidP="00F55083">
      <w:r w:rsidRPr="00524EEA">
        <w:t xml:space="preserve">In the cardiovascular outcomes study, the numbers of patients with events suggestive of volume depletion were balanced between treatment groups: 213 (2.5%) and 207 (2.4%) in the </w:t>
      </w:r>
      <w:proofErr w:type="spellStart"/>
      <w:r w:rsidRPr="00524EEA">
        <w:t>dapagliflozin</w:t>
      </w:r>
      <w:proofErr w:type="spellEnd"/>
      <w:r w:rsidRPr="00524EEA">
        <w:t xml:space="preserve"> and placebo groups, respectively. Serious adverse events were reported in 81 (0.9%) and 70 (0.8%) in the </w:t>
      </w:r>
      <w:proofErr w:type="spellStart"/>
      <w:r w:rsidRPr="00524EEA">
        <w:t>dapagliflozin</w:t>
      </w:r>
      <w:proofErr w:type="spellEnd"/>
      <w:r w:rsidRPr="00524EEA">
        <w:t xml:space="preserve"> and placebo group, respectively. Events were generally balanced between treatment groups across subgroups of age, diuretic use, blood pressure and angiotensin-converting enzyme inhibitor/angiotensin receptor blocker use. In patients with </w:t>
      </w:r>
      <w:proofErr w:type="spellStart"/>
      <w:r w:rsidRPr="00524EEA">
        <w:t>eGFR</w:t>
      </w:r>
      <w:proofErr w:type="spellEnd"/>
      <w:r w:rsidRPr="00524EEA">
        <w:t xml:space="preserve"> &lt; 60 mL/min/1.73 m</w:t>
      </w:r>
      <w:r w:rsidRPr="008612D1">
        <w:rPr>
          <w:vertAlign w:val="superscript"/>
        </w:rPr>
        <w:t>2</w:t>
      </w:r>
      <w:r w:rsidRPr="00524EEA">
        <w:t xml:space="preserve"> at baseline, there were 19 events of serious adverse events suggestive of volume depletion</w:t>
      </w:r>
      <w:r w:rsidR="005052C5" w:rsidRPr="00524EEA">
        <w:t xml:space="preserve"> in</w:t>
      </w:r>
      <w:r w:rsidR="006D2ED2" w:rsidRPr="00524EEA">
        <w:t xml:space="preserve"> 604 patients in</w:t>
      </w:r>
      <w:r w:rsidR="005052C5" w:rsidRPr="00524EEA">
        <w:t xml:space="preserve"> </w:t>
      </w:r>
      <w:r w:rsidRPr="00524EEA">
        <w:t xml:space="preserve">the </w:t>
      </w:r>
      <w:proofErr w:type="spellStart"/>
      <w:r w:rsidRPr="00524EEA">
        <w:t>dapagliflozin</w:t>
      </w:r>
      <w:proofErr w:type="spellEnd"/>
      <w:r w:rsidRPr="00524EEA">
        <w:t xml:space="preserve"> group and 13 events </w:t>
      </w:r>
      <w:r w:rsidR="005052C5" w:rsidRPr="00524EEA">
        <w:t>in</w:t>
      </w:r>
      <w:r w:rsidRPr="00524EEA">
        <w:t xml:space="preserve"> </w:t>
      </w:r>
      <w:r w:rsidR="006D2ED2" w:rsidRPr="00524EEA">
        <w:t xml:space="preserve">658 patients in </w:t>
      </w:r>
      <w:r w:rsidRPr="00524EEA">
        <w:t>the placebo group</w:t>
      </w:r>
      <w:r w:rsidR="006F4952" w:rsidRPr="00524EEA">
        <w:t>.</w:t>
      </w:r>
      <w:r w:rsidR="00F55083" w:rsidDel="00F55083">
        <w:t xml:space="preserve"> </w:t>
      </w:r>
    </w:p>
    <w:p w14:paraId="23C5AB13" w14:textId="6346FEA5" w:rsidR="00524EEA" w:rsidRDefault="00F55083" w:rsidP="00F55083">
      <w:r w:rsidRPr="008963F4">
        <w:t>In the DAPA-HF study, the numbers of patients with events suggestive of volume depletion</w:t>
      </w:r>
      <w:r>
        <w:t xml:space="preserve"> </w:t>
      </w:r>
      <w:r w:rsidRPr="008963F4">
        <w:t xml:space="preserve">were 170 (7.2%) in the </w:t>
      </w:r>
      <w:proofErr w:type="spellStart"/>
      <w:r w:rsidRPr="008963F4">
        <w:t>dapagliflozin</w:t>
      </w:r>
      <w:proofErr w:type="spellEnd"/>
      <w:r w:rsidRPr="008963F4">
        <w:t xml:space="preserve"> group and 153 (6.5%) in the placebo group. There were fewer patients with serious events of symptoms suggestive of volume depletion in the </w:t>
      </w:r>
      <w:proofErr w:type="spellStart"/>
      <w:r w:rsidRPr="008963F4">
        <w:t>dapagliflozin</w:t>
      </w:r>
      <w:proofErr w:type="spellEnd"/>
      <w:r w:rsidRPr="008963F4">
        <w:t xml:space="preserve"> group (23 [1.0%]) compared with the placebo group (38 [1.6%]). Results were similar irrespective of presence of diabetes at baseline and baseline </w:t>
      </w:r>
      <w:proofErr w:type="spellStart"/>
      <w:r w:rsidRPr="008963F4">
        <w:t>eGFR</w:t>
      </w:r>
      <w:proofErr w:type="spellEnd"/>
      <w:r w:rsidRPr="008963F4">
        <w:t>.</w:t>
      </w:r>
      <w:bookmarkEnd w:id="65"/>
    </w:p>
    <w:p w14:paraId="44224944" w14:textId="20818485" w:rsidR="00921967" w:rsidRPr="00524EEA" w:rsidRDefault="00921967" w:rsidP="00C07BC4">
      <w:pPr>
        <w:pStyle w:val="Heading4nobookmark"/>
      </w:pPr>
      <w:r w:rsidRPr="00524EEA">
        <w:t>Genital Infections</w:t>
      </w:r>
    </w:p>
    <w:p w14:paraId="7261984E" w14:textId="77777777" w:rsidR="00921967" w:rsidRPr="00524EEA" w:rsidRDefault="00921967" w:rsidP="00921967">
      <w:r w:rsidRPr="00524EEA">
        <w:t>In the pooled analysis of 13 short-term, placebo-controlled studies, events of genital infections were reported in 5.5% and 0.6% of patients who received FORXIGA 10 mg and placebo, respectively.  The events of genital infections reported in patients treated with FORXIGA 10 mg were all mild to moderate. Most events of genital infection responded to an initial course of standard treatment and rarely resulted in discontinuation from the study (0.2% FORXIGA 10 mg vs. 0% placebo). Subjects with a history of recurrent genital infection were more likely to experience an infection.</w:t>
      </w:r>
    </w:p>
    <w:p w14:paraId="251CEA0A" w14:textId="77777777" w:rsidR="00921967" w:rsidRPr="00524EEA" w:rsidRDefault="00921967" w:rsidP="00921967">
      <w:r w:rsidRPr="00524EEA">
        <w:t xml:space="preserve">Infections were more frequently reported in females (8.4% FORXIGA 10 mg vs. 1.2% placebo) than in males (3.4% FORXIGA 10 mg vs. 0.2% placebo).  The most frequently reported genital infections were vulvovaginal </w:t>
      </w:r>
      <w:proofErr w:type="spellStart"/>
      <w:r w:rsidRPr="00524EEA">
        <w:t>mycotic</w:t>
      </w:r>
      <w:proofErr w:type="spellEnd"/>
      <w:r w:rsidRPr="00524EEA">
        <w:t xml:space="preserve"> infections in females, and balanitis in males.</w:t>
      </w:r>
    </w:p>
    <w:p w14:paraId="212D6BE5" w14:textId="77777777" w:rsidR="006D5E3A" w:rsidRPr="00524EEA" w:rsidRDefault="00921967" w:rsidP="00921967">
      <w:r w:rsidRPr="00524EEA">
        <w:t>In 9 of the 13 studies in the placebo-controlled pool, long-term data was available.  In this short-term plus long-term placebo-pooled analysis (mean duration of treatment was 439.5 days for FORXIGA 10 mg and 419.0 days for placebo); the proportions of patients with events of genital infections were 7.7% (156/2026) in the FORXIGA 10 mg group and 1.0% (19/1956) in the placebo group.  Of the patients treated with FORXIGA 10 mg who experienced an infection, 67.9% had only one and 10.9% had 3 or more.  Of the patients treated with placebo who experienced an infection, 89.5% had only one and none had 3 or more.</w:t>
      </w:r>
    </w:p>
    <w:p w14:paraId="33F42DFF" w14:textId="479AA367" w:rsidR="00A14C92" w:rsidRPr="00524EEA" w:rsidRDefault="00253AF5" w:rsidP="002A7784">
      <w:r w:rsidRPr="00524EEA">
        <w:t>In the cardiovascular outcomes study, the number of patients with serious adverse events of genital infections were few and balanced: 2 (&lt;0.1%) patients in each of the FORXIGA and placebo groups.</w:t>
      </w:r>
      <w:r w:rsidR="000B21B3" w:rsidRPr="00524EEA">
        <w:t xml:space="preserve"> </w:t>
      </w:r>
      <w:r w:rsidR="006A4BA5" w:rsidRPr="00524EEA">
        <w:t xml:space="preserve">There were 74 and 7 patients with non-serious adverse events of genital infections leading to study drug discontinuation in the </w:t>
      </w:r>
      <w:proofErr w:type="spellStart"/>
      <w:r w:rsidR="006A4BA5" w:rsidRPr="00524EEA">
        <w:t>dapagliflozin</w:t>
      </w:r>
      <w:proofErr w:type="spellEnd"/>
      <w:r w:rsidR="006A4BA5" w:rsidRPr="00524EEA">
        <w:t xml:space="preserve"> group and placebo group, respectively. </w:t>
      </w:r>
    </w:p>
    <w:p w14:paraId="127B7578" w14:textId="495DCF18" w:rsidR="002B4613" w:rsidRPr="00524EEA" w:rsidRDefault="002B4613" w:rsidP="002A7784">
      <w:r w:rsidRPr="00524EEA">
        <w:t>In the DAPA-HF study, no patient reported a SAE of genital infections in the FORXIGA group and one in the placebo group. There were 7 (0.3%) patients with adverse events leading to discontinuations (DAE) due to genital infections in the FORXIGA group and none in the placebo group.</w:t>
      </w:r>
    </w:p>
    <w:p w14:paraId="6FFD61BF" w14:textId="4F6D6CCF" w:rsidR="00EF5B8E" w:rsidRPr="00524EEA" w:rsidRDefault="00EF5B8E" w:rsidP="004E084F">
      <w:pPr>
        <w:pStyle w:val="Heading4nobookmark"/>
        <w:rPr>
          <w:sz w:val="22"/>
        </w:rPr>
      </w:pPr>
      <w:r w:rsidRPr="00524EEA">
        <w:t>Necrotising fasciitis of the perineum (Fournier’s gangrene)</w:t>
      </w:r>
    </w:p>
    <w:p w14:paraId="1F0C4800" w14:textId="35CB376A" w:rsidR="002B37D6" w:rsidRPr="00524EEA" w:rsidRDefault="00841DE0" w:rsidP="00841DE0">
      <w:pPr>
        <w:rPr>
          <w:sz w:val="22"/>
        </w:rPr>
      </w:pPr>
      <w:r w:rsidRPr="00524EEA">
        <w:rPr>
          <w:rFonts w:cs="Times New Roman"/>
          <w:szCs w:val="24"/>
        </w:rPr>
        <w:t xml:space="preserve">In the </w:t>
      </w:r>
      <w:proofErr w:type="spellStart"/>
      <w:r w:rsidRPr="00524EEA">
        <w:rPr>
          <w:rFonts w:cs="Times New Roman"/>
          <w:szCs w:val="24"/>
        </w:rPr>
        <w:t>dapagliflozin</w:t>
      </w:r>
      <w:proofErr w:type="spellEnd"/>
      <w:r w:rsidRPr="00524EEA">
        <w:rPr>
          <w:rFonts w:cs="Times New Roman"/>
          <w:szCs w:val="24"/>
        </w:rPr>
        <w:t xml:space="preserve"> cardiovascular outcomes study with 17,160 </w:t>
      </w:r>
      <w:r w:rsidR="005473DB" w:rsidRPr="00524EEA">
        <w:rPr>
          <w:rFonts w:cs="Times New Roman"/>
          <w:szCs w:val="24"/>
        </w:rPr>
        <w:t xml:space="preserve">patients with </w:t>
      </w:r>
      <w:r w:rsidRPr="00524EEA">
        <w:rPr>
          <w:rFonts w:cs="Times New Roman"/>
          <w:szCs w:val="24"/>
        </w:rPr>
        <w:t>type 2 diabetes mellitus and a median exposure time of 48 months, a total of 6 cases of Fournier’s gangrene were reported</w:t>
      </w:r>
      <w:r w:rsidR="007A22D5" w:rsidRPr="00524EEA">
        <w:rPr>
          <w:rFonts w:cs="Times New Roman"/>
          <w:szCs w:val="24"/>
        </w:rPr>
        <w:t xml:space="preserve"> on treatment</w:t>
      </w:r>
      <w:r w:rsidRPr="00524EEA">
        <w:rPr>
          <w:rFonts w:cs="Times New Roman"/>
          <w:szCs w:val="24"/>
        </w:rPr>
        <w:t xml:space="preserve">, one in the </w:t>
      </w:r>
      <w:proofErr w:type="spellStart"/>
      <w:r w:rsidRPr="00524EEA">
        <w:rPr>
          <w:rFonts w:cs="Times New Roman"/>
          <w:szCs w:val="24"/>
        </w:rPr>
        <w:t>dapagliflozin</w:t>
      </w:r>
      <w:proofErr w:type="spellEnd"/>
      <w:r w:rsidRPr="00524EEA">
        <w:rPr>
          <w:rFonts w:cs="Times New Roman"/>
          <w:szCs w:val="24"/>
        </w:rPr>
        <w:t>-treated group and 5 in the placebo group</w:t>
      </w:r>
      <w:r w:rsidR="000B4C67" w:rsidRPr="00524EEA">
        <w:rPr>
          <w:rFonts w:cs="Times New Roman"/>
          <w:szCs w:val="24"/>
        </w:rPr>
        <w:t>.</w:t>
      </w:r>
      <w:r w:rsidR="00037247" w:rsidRPr="00524EEA">
        <w:rPr>
          <w:rFonts w:cs="Times New Roman"/>
          <w:szCs w:val="24"/>
        </w:rPr>
        <w:t xml:space="preserve"> </w:t>
      </w:r>
    </w:p>
    <w:p w14:paraId="1FAE28E9" w14:textId="77777777" w:rsidR="00921967" w:rsidRPr="00524EEA" w:rsidRDefault="00921967" w:rsidP="00C07BC4">
      <w:pPr>
        <w:pStyle w:val="Heading4nobookmark"/>
      </w:pPr>
      <w:r w:rsidRPr="00524EEA">
        <w:t>Urinary Tract Infections</w:t>
      </w:r>
    </w:p>
    <w:p w14:paraId="7764443D" w14:textId="3619750F" w:rsidR="00921967" w:rsidRPr="00524EEA" w:rsidRDefault="00921967" w:rsidP="00921967">
      <w:r w:rsidRPr="00524EEA">
        <w:t xml:space="preserve">In the pooled analysis of 13 short-term, placebo-controlled studies, events of urinary tract infections were reported in 4.7% and 3.5% of patients who received FORXIGA 10 mg and placebo, respectively.  Most events of urinary tract infections reported in patients treated with FORXIGA 10 mg were mild to moderate.  Most patients responded to an initial course of standard treatment, and urinary tract infections rarely caused discontinuation from the study (0.2% FORXIGA 10 mg vs. 0.1% placebo).  Subjects with a history of recurrent urinary tract infection were more likely to experience an infection.  Infections were more frequently reported in females (8.5% FORXIGA 10 mg vs. 6.7% placebo) than in males (1.8% FORXIGA 10 mg vs. 1.3% placebo) (see </w:t>
      </w:r>
      <w:r w:rsidR="004B7251" w:rsidRPr="00524EEA">
        <w:t>section</w:t>
      </w:r>
      <w:r w:rsidR="00BE741D" w:rsidRPr="00524EEA">
        <w:t xml:space="preserve"> 4.4 Special warnings and precautions for use</w:t>
      </w:r>
      <w:r w:rsidRPr="00524EEA">
        <w:t>).</w:t>
      </w:r>
    </w:p>
    <w:p w14:paraId="5C9AD0F1" w14:textId="17727980" w:rsidR="00921967" w:rsidRPr="00524EEA" w:rsidRDefault="00921967" w:rsidP="00921967">
      <w:r w:rsidRPr="00524EEA">
        <w:t>In the short-term plus long-term placebo-pooled analysis of 9 short-term studies with long term data available the proportions of patients with events of urinary tract infections were 8.6% in the FORXIGA 10 mg group and 6.2% in the placebo group.  Of the patients treated with FORXIGA 10 mg who experienced an infection, 77.6% had only one and 6.3% had 3 or more. Of the patients treated with placebo who experienced an infection, 77.7% had only one and 9.9% had 3 or more.</w:t>
      </w:r>
    </w:p>
    <w:p w14:paraId="3B6A8EAD" w14:textId="60991510" w:rsidR="00253AF5" w:rsidRPr="00524EEA" w:rsidRDefault="00253AF5" w:rsidP="00921967">
      <w:pPr>
        <w:rPr>
          <w:rFonts w:eastAsia="MS Mincho"/>
          <w:lang w:val="en-US" w:eastAsia="ja-JP"/>
        </w:rPr>
      </w:pPr>
      <w:bookmarkStart w:id="66" w:name="_Hlk4076834"/>
      <w:r w:rsidRPr="00524EEA">
        <w:rPr>
          <w:rFonts w:eastAsia="MS Mincho"/>
          <w:lang w:val="en-US" w:eastAsia="ja-JP"/>
        </w:rPr>
        <w:t>In the cardiovascular outcomes study</w:t>
      </w:r>
      <w:r w:rsidR="00DD3B99" w:rsidRPr="00524EEA">
        <w:rPr>
          <w:rFonts w:eastAsia="MS Mincho"/>
          <w:lang w:val="en-US" w:eastAsia="ja-JP"/>
        </w:rPr>
        <w:t>,</w:t>
      </w:r>
      <w:r w:rsidRPr="00524EEA">
        <w:rPr>
          <w:rFonts w:eastAsia="MS Mincho"/>
          <w:lang w:val="en-US" w:eastAsia="ja-JP"/>
        </w:rPr>
        <w:t xml:space="preserve"> there were fewer patients with </w:t>
      </w:r>
      <w:r w:rsidRPr="00524EEA">
        <w:rPr>
          <w:lang w:val="en-US"/>
        </w:rPr>
        <w:t xml:space="preserve">serious adverse events </w:t>
      </w:r>
      <w:r w:rsidRPr="00524EEA">
        <w:rPr>
          <w:rFonts w:eastAsia="MS Mincho"/>
          <w:lang w:val="en-US" w:eastAsia="ja-JP"/>
        </w:rPr>
        <w:t>of urinary tract infections in the FORXIGA group compared with the placebo group: 79 (0.9%) and 109 (1.3%), respectively</w:t>
      </w:r>
      <w:bookmarkEnd w:id="66"/>
      <w:r w:rsidRPr="00524EEA">
        <w:rPr>
          <w:rFonts w:eastAsia="MS Mincho"/>
          <w:lang w:val="en-US" w:eastAsia="ja-JP"/>
        </w:rPr>
        <w:t>.</w:t>
      </w:r>
    </w:p>
    <w:p w14:paraId="6BC9F5EE" w14:textId="58C86D72" w:rsidR="002B4613" w:rsidRPr="00524EEA" w:rsidRDefault="002B4613" w:rsidP="00921967">
      <w:r w:rsidRPr="00524EEA">
        <w:t xml:space="preserve">In the DAPA-HF study, the number of patients with SAEs of UTI were low and balanced: </w:t>
      </w:r>
      <w:r w:rsidRPr="00524EEA">
        <w:br/>
        <w:t>14 (0.6%) patients in the FORXIGA group and 17 (0.7%) patients in the placebo group. There were 5 (0.2%) patients with DAEs due to urinary tract infections in each of the FORXIGA and placebo groups.</w:t>
      </w:r>
    </w:p>
    <w:p w14:paraId="1A1CC0F4" w14:textId="77777777" w:rsidR="0076369D" w:rsidRPr="00524EEA" w:rsidRDefault="0076369D" w:rsidP="00C07BC4">
      <w:pPr>
        <w:pStyle w:val="Heading4nobookmark"/>
      </w:pPr>
      <w:r w:rsidRPr="00524EEA">
        <w:t>Diabetic ketoacidosis (DKA)</w:t>
      </w:r>
    </w:p>
    <w:p w14:paraId="04F1003D" w14:textId="245EC2D5" w:rsidR="00DD104B" w:rsidRPr="00524EEA" w:rsidRDefault="0076369D" w:rsidP="001425B1">
      <w:r w:rsidRPr="00524EEA">
        <w:t xml:space="preserve">In a large cardiovascular outcomes study with </w:t>
      </w:r>
      <w:proofErr w:type="spellStart"/>
      <w:r w:rsidRPr="00524EEA">
        <w:t>dapaglif</w:t>
      </w:r>
      <w:r w:rsidR="00B1418A" w:rsidRPr="00524EEA">
        <w:t>l</w:t>
      </w:r>
      <w:r w:rsidRPr="00524EEA">
        <w:t>ozin</w:t>
      </w:r>
      <w:proofErr w:type="spellEnd"/>
      <w:r w:rsidRPr="00524EEA">
        <w:t xml:space="preserve"> in patients with type 2 diabetes, where 8574 patients received </w:t>
      </w:r>
      <w:proofErr w:type="spellStart"/>
      <w:r w:rsidRPr="00524EEA">
        <w:t>dapagliflozin</w:t>
      </w:r>
      <w:proofErr w:type="spellEnd"/>
      <w:r w:rsidRPr="00524EEA">
        <w:t xml:space="preserve"> 10 mg and 8569 patients received placebo, with a median exposure time of 48 months, events of DKA were reported in 27 patients in the </w:t>
      </w:r>
      <w:proofErr w:type="spellStart"/>
      <w:r w:rsidRPr="00524EEA">
        <w:t>dapagliflozin</w:t>
      </w:r>
      <w:proofErr w:type="spellEnd"/>
      <w:r w:rsidRPr="00524EEA">
        <w:t xml:space="preserve"> 10 mg group and 12 patients in the placebo group. The events occurred evenly distributed over the study period. Of the 27 patients with DKA events in the </w:t>
      </w:r>
      <w:proofErr w:type="spellStart"/>
      <w:r w:rsidRPr="00524EEA">
        <w:t>dapagliflozin</w:t>
      </w:r>
      <w:proofErr w:type="spellEnd"/>
      <w:r w:rsidRPr="00524EEA">
        <w:t xml:space="preserve"> group, 22 had concomitant insulin treatment at the time of the event. Precipitating factors for DKA were as expected in a type 2 diabetes mellitus population (see Section 4.4 </w:t>
      </w:r>
      <w:r w:rsidR="0000265D" w:rsidRPr="00524EEA">
        <w:t>Special warnings and precautions for use).</w:t>
      </w:r>
    </w:p>
    <w:p w14:paraId="5F09721A" w14:textId="77777777" w:rsidR="001425B1" w:rsidRPr="00524EEA" w:rsidRDefault="001425B1" w:rsidP="001425B1">
      <w:pPr>
        <w:autoSpaceDE w:val="0"/>
        <w:autoSpaceDN w:val="0"/>
        <w:adjustRightInd w:val="0"/>
        <w:spacing w:after="0" w:line="240" w:lineRule="auto"/>
        <w:jc w:val="both"/>
      </w:pPr>
      <w:r w:rsidRPr="00524EEA">
        <w:t>In the DAPA-HF study, events of DKA were reported in 3 patients with type 2 diabetes</w:t>
      </w:r>
    </w:p>
    <w:p w14:paraId="626530AE" w14:textId="3D7216C0" w:rsidR="001425B1" w:rsidRPr="00524EEA" w:rsidRDefault="001425B1" w:rsidP="001425B1">
      <w:pPr>
        <w:jc w:val="both"/>
      </w:pPr>
      <w:r w:rsidRPr="00524EEA">
        <w:t>mellitus in the FORXIGA group and none in the placebo group.</w:t>
      </w:r>
    </w:p>
    <w:p w14:paraId="3A4EA643" w14:textId="64CC6D8A" w:rsidR="00921967" w:rsidRPr="00524EEA" w:rsidRDefault="00921967" w:rsidP="00C07BC4">
      <w:pPr>
        <w:pStyle w:val="Heading4nobookmark"/>
      </w:pPr>
      <w:r w:rsidRPr="00524EEA">
        <w:t>Events related to decreased renal function</w:t>
      </w:r>
    </w:p>
    <w:p w14:paraId="506B0672" w14:textId="77777777" w:rsidR="00CF7D63" w:rsidRPr="00524EEA" w:rsidRDefault="00CF7D63" w:rsidP="00CF7D63">
      <w:r w:rsidRPr="00524EEA">
        <w:t xml:space="preserve">Use of </w:t>
      </w:r>
      <w:proofErr w:type="spellStart"/>
      <w:r w:rsidRPr="00524EEA">
        <w:t>dapagliflozin</w:t>
      </w:r>
      <w:proofErr w:type="spellEnd"/>
      <w:r w:rsidRPr="00524EEA">
        <w:t xml:space="preserve"> was associated with increases in serum creatinine and decreases in </w:t>
      </w:r>
      <w:proofErr w:type="spellStart"/>
      <w:r w:rsidRPr="00524EEA">
        <w:t>eGFR</w:t>
      </w:r>
      <w:proofErr w:type="spellEnd"/>
      <w:r w:rsidRPr="00524EEA">
        <w:t xml:space="preserve">. These changes were observed to reverse after treatment discontinuation, suggesting acute haemodynamic changes play a role in the renal function abnormalities observed with </w:t>
      </w:r>
      <w:proofErr w:type="spellStart"/>
      <w:r w:rsidRPr="00524EEA">
        <w:t>dapagliflozin</w:t>
      </w:r>
      <w:proofErr w:type="spellEnd"/>
      <w:r w:rsidRPr="00524EEA">
        <w:t xml:space="preserve">. </w:t>
      </w:r>
    </w:p>
    <w:p w14:paraId="11932938" w14:textId="562189DA" w:rsidR="00CF7D63" w:rsidRPr="00524EEA" w:rsidRDefault="00CF7D63" w:rsidP="00CF7D63">
      <w:r w:rsidRPr="00524EEA">
        <w:t xml:space="preserve">Renal-related adverse reactions (e.g. acute kidney injury, renal impairment, acute </w:t>
      </w:r>
      <w:proofErr w:type="spellStart"/>
      <w:r w:rsidRPr="00524EEA">
        <w:t>prerenal</w:t>
      </w:r>
      <w:proofErr w:type="spellEnd"/>
      <w:r w:rsidRPr="00524EEA">
        <w:t xml:space="preserve"> failure) may occur in patients treated with </w:t>
      </w:r>
      <w:proofErr w:type="spellStart"/>
      <w:r w:rsidRPr="00524EEA">
        <w:t>dapagliflozin</w:t>
      </w:r>
      <w:proofErr w:type="spellEnd"/>
      <w:r w:rsidRPr="00524EEA">
        <w:t>.</w:t>
      </w:r>
    </w:p>
    <w:p w14:paraId="76A376DB" w14:textId="1BC0FD86" w:rsidR="004B7D1C" w:rsidRPr="00524EEA" w:rsidRDefault="004B7D1C" w:rsidP="00921967">
      <w:pPr>
        <w:rPr>
          <w:lang w:val="en-US"/>
        </w:rPr>
      </w:pPr>
      <w:r w:rsidRPr="00524EEA">
        <w:rPr>
          <w:lang w:val="en-US"/>
        </w:rPr>
        <w:t xml:space="preserve">In the 13-study, short-term, placebo-controlled pool, mean serum creatinine levels increased a </w:t>
      </w:r>
      <w:r w:rsidRPr="00524EEA">
        <w:t xml:space="preserve">small amount at Week 1 (mean change from baseline: 0.0036 </w:t>
      </w:r>
      <w:proofErr w:type="spellStart"/>
      <w:r w:rsidRPr="00524EEA">
        <w:t>mmol</w:t>
      </w:r>
      <w:proofErr w:type="spellEnd"/>
      <w:r w:rsidRPr="00524EEA">
        <w:t xml:space="preserve">/L FORXIGA 10 mg versus 0.0007 </w:t>
      </w:r>
      <w:proofErr w:type="spellStart"/>
      <w:r w:rsidRPr="00524EEA">
        <w:t>mmol</w:t>
      </w:r>
      <w:proofErr w:type="spellEnd"/>
      <w:r w:rsidRPr="00524EEA">
        <w:t>/L placebo) and decreased toward</w:t>
      </w:r>
      <w:r w:rsidRPr="00524EEA">
        <w:rPr>
          <w:lang w:val="en-US"/>
        </w:rPr>
        <w:t xml:space="preserve"> baseline by Week 24 (mean change from baseline: 0.019 mg/</w:t>
      </w:r>
      <w:proofErr w:type="spellStart"/>
      <w:r w:rsidRPr="00524EEA">
        <w:rPr>
          <w:lang w:val="en-US"/>
        </w:rPr>
        <w:t>dL</w:t>
      </w:r>
      <w:proofErr w:type="spellEnd"/>
      <w:r w:rsidRPr="00524EEA">
        <w:rPr>
          <w:lang w:val="en-US"/>
        </w:rPr>
        <w:t xml:space="preserve"> FORXIGA 10 mg versus 0.008 mg/</w:t>
      </w:r>
      <w:proofErr w:type="spellStart"/>
      <w:r w:rsidRPr="00524EEA">
        <w:rPr>
          <w:lang w:val="en-US"/>
        </w:rPr>
        <w:t>dL</w:t>
      </w:r>
      <w:proofErr w:type="spellEnd"/>
      <w:r w:rsidRPr="00524EEA">
        <w:rPr>
          <w:lang w:val="en-US"/>
        </w:rPr>
        <w:t xml:space="preserve"> placebo)</w:t>
      </w:r>
      <w:r w:rsidRPr="00524EEA">
        <w:rPr>
          <w:vertAlign w:val="superscript"/>
          <w:lang w:val="en-US"/>
        </w:rPr>
        <w:t>12</w:t>
      </w:r>
      <w:r w:rsidRPr="00524EEA">
        <w:rPr>
          <w:lang w:val="en-US"/>
        </w:rPr>
        <w:t>. There were no further changes through Week 102.</w:t>
      </w:r>
    </w:p>
    <w:p w14:paraId="33A24E7D" w14:textId="77777777" w:rsidR="006325C0" w:rsidRDefault="004B7D1C" w:rsidP="004F10CD">
      <w:pPr>
        <w:rPr>
          <w:lang w:val="en-US"/>
        </w:rPr>
      </w:pPr>
      <w:r w:rsidRPr="00524EEA">
        <w:rPr>
          <w:lang w:val="en-US"/>
        </w:rPr>
        <w:t xml:space="preserve">In the cardiovascular outcomes study, there were fewer patients with marked laboratory abnormalities of creatinine, creatinine clearance, </w:t>
      </w:r>
      <w:proofErr w:type="spellStart"/>
      <w:r w:rsidRPr="00524EEA">
        <w:rPr>
          <w:lang w:val="en-US"/>
        </w:rPr>
        <w:t>eGFR</w:t>
      </w:r>
      <w:proofErr w:type="spellEnd"/>
      <w:r w:rsidRPr="00524EEA">
        <w:rPr>
          <w:lang w:val="en-US"/>
        </w:rPr>
        <w:t>, and urine albumin to creatinine ration (UACR) in the FORXIGA group compared with the placebo group. Fewer renal events (e.g., decreased renal creatinine clearance, renal impairment, increased blood creatinine, and decreased glomerular filtration rate) were reported in the FORXIGA group compared with the placebo group: 422 (4.9%) and 526 (6.1%), respectively. There were fewer patients with events reported as acute kidney injury in the FORXIGA group compared with the placebo group: 125 (1.5%) and 175 (2.0%), respectively. There were fewer patients with SAEs of renal events in the FORXIGA group compared with the placebo group: 80 (0.9%) and 136 (1.6%), respectively.</w:t>
      </w:r>
      <w:r w:rsidR="007F51D9" w:rsidRPr="00524EEA">
        <w:rPr>
          <w:lang w:val="en-US"/>
        </w:rPr>
        <w:t xml:space="preserve"> </w:t>
      </w:r>
      <w:bookmarkStart w:id="67" w:name="_Hlk26447905"/>
      <w:proofErr w:type="spellStart"/>
      <w:r w:rsidR="004723CE" w:rsidRPr="00524EEA">
        <w:rPr>
          <w:lang w:val="en-US"/>
        </w:rPr>
        <w:t>eGFR</w:t>
      </w:r>
      <w:proofErr w:type="spellEnd"/>
      <w:r w:rsidR="004723CE" w:rsidRPr="00524EEA">
        <w:rPr>
          <w:lang w:val="en-US"/>
        </w:rPr>
        <w:t xml:space="preserve"> decreased over time in both treatment groups. At 1 year, mean </w:t>
      </w:r>
      <w:proofErr w:type="spellStart"/>
      <w:r w:rsidR="004723CE" w:rsidRPr="00524EEA">
        <w:rPr>
          <w:lang w:val="en-US"/>
        </w:rPr>
        <w:t>eGFR</w:t>
      </w:r>
      <w:proofErr w:type="spellEnd"/>
      <w:r w:rsidR="004723CE" w:rsidRPr="00524EEA">
        <w:rPr>
          <w:lang w:val="en-US"/>
        </w:rPr>
        <w:t xml:space="preserve"> was slightly lower, and at 4 years, mean </w:t>
      </w:r>
      <w:proofErr w:type="spellStart"/>
      <w:r w:rsidR="004723CE" w:rsidRPr="00524EEA">
        <w:rPr>
          <w:lang w:val="en-US"/>
        </w:rPr>
        <w:t>eGFR</w:t>
      </w:r>
      <w:proofErr w:type="spellEnd"/>
      <w:r w:rsidR="004723CE" w:rsidRPr="00524EEA">
        <w:rPr>
          <w:lang w:val="en-US"/>
        </w:rPr>
        <w:t xml:space="preserve"> was slightly higher in the </w:t>
      </w:r>
      <w:proofErr w:type="spellStart"/>
      <w:r w:rsidR="004723CE" w:rsidRPr="00524EEA">
        <w:rPr>
          <w:lang w:val="en-US"/>
        </w:rPr>
        <w:t>dapagliflozin</w:t>
      </w:r>
      <w:proofErr w:type="spellEnd"/>
      <w:r w:rsidR="004723CE" w:rsidRPr="00524EEA">
        <w:rPr>
          <w:lang w:val="en-US"/>
        </w:rPr>
        <w:t xml:space="preserve"> group compared with the placebo group.</w:t>
      </w:r>
      <w:bookmarkEnd w:id="67"/>
      <w:r w:rsidR="00115764" w:rsidRPr="00524EEA" w:rsidDel="001C0556">
        <w:rPr>
          <w:lang w:val="en-US"/>
        </w:rPr>
        <w:t xml:space="preserve"> </w:t>
      </w:r>
    </w:p>
    <w:p w14:paraId="60592840" w14:textId="296C1D07" w:rsidR="001C0556" w:rsidRPr="00524EEA" w:rsidRDefault="001C0556" w:rsidP="004F10CD">
      <w:pPr>
        <w:rPr>
          <w:lang w:val="en-US"/>
        </w:rPr>
      </w:pPr>
      <w:r w:rsidRPr="00524EEA">
        <w:rPr>
          <w:lang w:val="en-US"/>
        </w:rPr>
        <w:t xml:space="preserve">In the DAPA-HF study, </w:t>
      </w:r>
      <w:proofErr w:type="spellStart"/>
      <w:r w:rsidRPr="00524EEA">
        <w:rPr>
          <w:lang w:val="en-US"/>
        </w:rPr>
        <w:t>eGFR</w:t>
      </w:r>
      <w:proofErr w:type="spellEnd"/>
      <w:r w:rsidRPr="00524EEA">
        <w:rPr>
          <w:lang w:val="en-US"/>
        </w:rPr>
        <w:t xml:space="preserve"> decreased over time in both the </w:t>
      </w:r>
      <w:proofErr w:type="spellStart"/>
      <w:r w:rsidRPr="00524EEA">
        <w:rPr>
          <w:lang w:val="en-US"/>
        </w:rPr>
        <w:t>dapagliflozin</w:t>
      </w:r>
      <w:proofErr w:type="spellEnd"/>
      <w:r w:rsidRPr="00524EEA">
        <w:rPr>
          <w:lang w:val="en-US"/>
        </w:rPr>
        <w:t xml:space="preserve"> group and the placebo group. The initial decrease in mean </w:t>
      </w:r>
      <w:proofErr w:type="spellStart"/>
      <w:r w:rsidRPr="00524EEA">
        <w:rPr>
          <w:lang w:val="en-US"/>
        </w:rPr>
        <w:t>eGFR</w:t>
      </w:r>
      <w:proofErr w:type="spellEnd"/>
      <w:r w:rsidRPr="00524EEA">
        <w:rPr>
          <w:lang w:val="en-US"/>
        </w:rPr>
        <w:t xml:space="preserve"> was -4.3 mL/min/1.73</w:t>
      </w:r>
      <w:r w:rsidR="00BB4E4D" w:rsidRPr="00524EEA">
        <w:rPr>
          <w:lang w:val="en-US"/>
        </w:rPr>
        <w:t xml:space="preserve"> </w:t>
      </w:r>
      <w:r w:rsidRPr="00524EEA">
        <w:rPr>
          <w:lang w:val="en-US"/>
        </w:rPr>
        <w:t>m</w:t>
      </w:r>
      <w:r w:rsidRPr="00524EEA">
        <w:rPr>
          <w:vertAlign w:val="superscript"/>
          <w:lang w:val="en-US"/>
        </w:rPr>
        <w:t>2</w:t>
      </w:r>
      <w:r w:rsidRPr="00524EEA">
        <w:rPr>
          <w:lang w:val="en-US"/>
        </w:rPr>
        <w:t xml:space="preserve"> in the </w:t>
      </w:r>
      <w:proofErr w:type="spellStart"/>
      <w:r w:rsidRPr="00524EEA">
        <w:rPr>
          <w:lang w:val="en-US"/>
        </w:rPr>
        <w:t>dapagliflozin</w:t>
      </w:r>
      <w:proofErr w:type="spellEnd"/>
      <w:r w:rsidRPr="00524EEA">
        <w:rPr>
          <w:lang w:val="en-US"/>
        </w:rPr>
        <w:t xml:space="preserve"> group and -1.1</w:t>
      </w:r>
      <w:r w:rsidR="00BB4E4D" w:rsidRPr="00524EEA">
        <w:rPr>
          <w:lang w:val="en-US"/>
        </w:rPr>
        <w:t xml:space="preserve"> </w:t>
      </w:r>
      <w:r w:rsidRPr="00524EEA">
        <w:rPr>
          <w:lang w:val="en-US"/>
        </w:rPr>
        <w:t>mL/min/1.73 m</w:t>
      </w:r>
      <w:r w:rsidRPr="00524EEA">
        <w:rPr>
          <w:vertAlign w:val="superscript"/>
          <w:lang w:val="en-US"/>
        </w:rPr>
        <w:t>2</w:t>
      </w:r>
      <w:r w:rsidRPr="00524EEA">
        <w:rPr>
          <w:lang w:val="en-US"/>
        </w:rPr>
        <w:t xml:space="preserve"> in the placebo group. At 20 months, change from baseline in </w:t>
      </w:r>
      <w:proofErr w:type="spellStart"/>
      <w:r w:rsidRPr="00524EEA">
        <w:rPr>
          <w:lang w:val="en-US"/>
        </w:rPr>
        <w:t>eGFR</w:t>
      </w:r>
      <w:proofErr w:type="spellEnd"/>
      <w:r w:rsidRPr="00524EEA">
        <w:rPr>
          <w:lang w:val="en-US"/>
        </w:rPr>
        <w:t xml:space="preserve"> was similar between the treatment groups: -5.3</w:t>
      </w:r>
      <w:r w:rsidR="00BB4E4D" w:rsidRPr="00524EEA">
        <w:rPr>
          <w:lang w:val="en-US"/>
        </w:rPr>
        <w:t xml:space="preserve"> </w:t>
      </w:r>
      <w:r w:rsidRPr="00524EEA">
        <w:rPr>
          <w:lang w:val="en-US"/>
        </w:rPr>
        <w:t>mL/min/1.73</w:t>
      </w:r>
      <w:r w:rsidR="00BB4E4D" w:rsidRPr="00524EEA">
        <w:rPr>
          <w:lang w:val="en-US"/>
        </w:rPr>
        <w:t xml:space="preserve"> </w:t>
      </w:r>
      <w:r w:rsidRPr="00524EEA">
        <w:rPr>
          <w:lang w:val="en-US"/>
        </w:rPr>
        <w:t>m</w:t>
      </w:r>
      <w:r w:rsidRPr="00524EEA">
        <w:rPr>
          <w:vertAlign w:val="superscript"/>
          <w:lang w:val="en-US"/>
        </w:rPr>
        <w:t>2</w:t>
      </w:r>
      <w:r w:rsidRPr="00524EEA">
        <w:rPr>
          <w:lang w:val="en-US"/>
        </w:rPr>
        <w:t xml:space="preserve"> for </w:t>
      </w:r>
      <w:proofErr w:type="spellStart"/>
      <w:r w:rsidRPr="00524EEA">
        <w:rPr>
          <w:lang w:val="en-US"/>
        </w:rPr>
        <w:t>dapagliflozin</w:t>
      </w:r>
      <w:proofErr w:type="spellEnd"/>
      <w:r w:rsidRPr="00524EEA">
        <w:rPr>
          <w:lang w:val="en-US"/>
        </w:rPr>
        <w:t xml:space="preserve"> and -4.5</w:t>
      </w:r>
      <w:r w:rsidR="00BB4E4D" w:rsidRPr="00524EEA">
        <w:rPr>
          <w:lang w:val="en-US"/>
        </w:rPr>
        <w:t xml:space="preserve"> </w:t>
      </w:r>
      <w:r w:rsidRPr="00524EEA">
        <w:rPr>
          <w:lang w:val="en-US"/>
        </w:rPr>
        <w:t>mL/min/1.73</w:t>
      </w:r>
      <w:r w:rsidR="00BB4E4D" w:rsidRPr="00524EEA">
        <w:rPr>
          <w:lang w:val="en-US"/>
        </w:rPr>
        <w:t xml:space="preserve"> </w:t>
      </w:r>
      <w:r w:rsidRPr="00524EEA">
        <w:rPr>
          <w:lang w:val="en-US"/>
        </w:rPr>
        <w:t>m</w:t>
      </w:r>
      <w:r w:rsidRPr="00524EEA">
        <w:rPr>
          <w:vertAlign w:val="superscript"/>
          <w:lang w:val="en-US"/>
        </w:rPr>
        <w:t>2</w:t>
      </w:r>
      <w:r w:rsidRPr="00524EEA">
        <w:rPr>
          <w:lang w:val="en-US"/>
        </w:rPr>
        <w:t xml:space="preserve"> for placebo.</w:t>
      </w:r>
    </w:p>
    <w:p w14:paraId="6807282A" w14:textId="698E863F" w:rsidR="00921967" w:rsidRPr="00524EEA" w:rsidRDefault="00921967" w:rsidP="0059385C">
      <w:pPr>
        <w:pStyle w:val="Heading3"/>
        <w:ind w:left="0"/>
      </w:pPr>
      <w:proofErr w:type="spellStart"/>
      <w:r w:rsidRPr="00524EEA">
        <w:t>Postmarketing</w:t>
      </w:r>
      <w:proofErr w:type="spellEnd"/>
      <w:r w:rsidRPr="00524EEA">
        <w:t xml:space="preserve"> experience</w:t>
      </w:r>
    </w:p>
    <w:p w14:paraId="759CCBD1" w14:textId="77777777" w:rsidR="00921967" w:rsidRPr="00524EEA" w:rsidRDefault="00921967" w:rsidP="00921967">
      <w:r w:rsidRPr="00524EEA">
        <w:t>The following post-marketing case reports have been reported during post-approval use of FORXIGA.  Because these cases are reported voluntarily from a population of an unknown size, it is not always possible to reliably estimate their frequency.</w:t>
      </w:r>
    </w:p>
    <w:p w14:paraId="1B43F4BC" w14:textId="77777777" w:rsidR="00921967" w:rsidRPr="00524EEA" w:rsidRDefault="00921967" w:rsidP="00921967">
      <w:r w:rsidRPr="00524EEA">
        <w:rPr>
          <w:i/>
        </w:rPr>
        <w:t>Metabolism and nutrition disorders</w:t>
      </w:r>
      <w:r w:rsidRPr="00524EEA">
        <w:t xml:space="preserve"> – Ketoacidosis</w:t>
      </w:r>
    </w:p>
    <w:p w14:paraId="191081AD" w14:textId="41FC34C1" w:rsidR="00921967" w:rsidRPr="00524EEA" w:rsidRDefault="00921967" w:rsidP="00D23B85">
      <w:pPr>
        <w:spacing w:before="4" w:after="0" w:line="268" w:lineRule="exact"/>
        <w:ind w:right="860"/>
      </w:pPr>
      <w:r w:rsidRPr="00524EEA">
        <w:rPr>
          <w:i/>
        </w:rPr>
        <w:t>Infections and infestations</w:t>
      </w:r>
      <w:r w:rsidRPr="00524EEA">
        <w:t xml:space="preserve"> – Pyelonephritis, </w:t>
      </w:r>
      <w:proofErr w:type="spellStart"/>
      <w:r w:rsidRPr="00524EEA">
        <w:t>urosepsis</w:t>
      </w:r>
      <w:proofErr w:type="spellEnd"/>
      <w:r w:rsidR="00D23B85" w:rsidRPr="00524EEA">
        <w:t>, necrotising fasciitis of the</w:t>
      </w:r>
      <w:r w:rsidR="008B581C" w:rsidRPr="00524EEA">
        <w:t xml:space="preserve"> </w:t>
      </w:r>
      <w:r w:rsidR="00D23B85" w:rsidRPr="00524EEA">
        <w:t>perineum (Fournier’s gangrene)</w:t>
      </w:r>
    </w:p>
    <w:p w14:paraId="40909958" w14:textId="77777777" w:rsidR="00D23B85" w:rsidRPr="00524EEA" w:rsidRDefault="00D23B85" w:rsidP="00D23B85">
      <w:pPr>
        <w:spacing w:before="4" w:after="0" w:line="268" w:lineRule="exact"/>
        <w:ind w:right="860"/>
      </w:pPr>
    </w:p>
    <w:p w14:paraId="294B9839" w14:textId="09BE4D54" w:rsidR="00921967" w:rsidRPr="00524EEA" w:rsidRDefault="00921967" w:rsidP="00921967">
      <w:r w:rsidRPr="00524EEA">
        <w:rPr>
          <w:i/>
          <w:iCs/>
        </w:rPr>
        <w:t xml:space="preserve">Skin and subcutaneous tissue disorders </w:t>
      </w:r>
      <w:r w:rsidR="00E967C3" w:rsidRPr="00524EEA">
        <w:t>–</w:t>
      </w:r>
      <w:r w:rsidRPr="00524EEA">
        <w:t xml:space="preserve"> Rash</w:t>
      </w:r>
      <w:r w:rsidR="006A0DDC" w:rsidRPr="00524EEA">
        <w:t>, angioedema</w:t>
      </w:r>
      <w:r w:rsidR="007656EC" w:rsidRPr="00524EEA">
        <w:t xml:space="preserve">    </w:t>
      </w:r>
    </w:p>
    <w:p w14:paraId="4289ECA4" w14:textId="4EEF3AF5" w:rsidR="00861626" w:rsidRPr="00524EEA" w:rsidRDefault="00861626" w:rsidP="00861626">
      <w:pPr>
        <w:pStyle w:val="Heading3"/>
      </w:pPr>
      <w:bookmarkStart w:id="68" w:name="_Hlk502651161"/>
      <w:r w:rsidRPr="00524EEA">
        <w:t xml:space="preserve">Reporting suspected adverse </w:t>
      </w:r>
      <w:r w:rsidR="005910D7" w:rsidRPr="00524EEA">
        <w:t>ef</w:t>
      </w:r>
      <w:r w:rsidR="00152A92" w:rsidRPr="00524EEA">
        <w:t>f</w:t>
      </w:r>
      <w:r w:rsidR="005910D7" w:rsidRPr="00524EEA">
        <w:t>ects</w:t>
      </w:r>
    </w:p>
    <w:p w14:paraId="434620C2" w14:textId="4AB5B2BA" w:rsidR="009951DF" w:rsidRPr="00524EEA" w:rsidRDefault="009951DF" w:rsidP="00921967">
      <w:r w:rsidRPr="00524EEA">
        <w:t>Reporting suspected adverse reactions after registration of the medicinal product is important. It allows continued monitoring of the benefit-risk balance of the medicinal product. Healthcare professionals are asked to report any suspected adverse reactions at www.tga.gov.au/reporting-problems.</w:t>
      </w:r>
      <w:bookmarkEnd w:id="68"/>
    </w:p>
    <w:p w14:paraId="3D5C69E2" w14:textId="26465DB8" w:rsidR="001A3992" w:rsidRPr="00524EEA" w:rsidRDefault="001A3992" w:rsidP="001A3992">
      <w:pPr>
        <w:pStyle w:val="Heading2"/>
        <w:keepLines/>
        <w:spacing w:before="0" w:after="120"/>
      </w:pPr>
      <w:r w:rsidRPr="00524EEA">
        <w:t>Overdose</w:t>
      </w:r>
    </w:p>
    <w:p w14:paraId="5B208135" w14:textId="77777777" w:rsidR="00524EEA" w:rsidRDefault="00705062" w:rsidP="00705062">
      <w:r w:rsidRPr="00524EEA">
        <w:t xml:space="preserve">Orally administered </w:t>
      </w:r>
      <w:proofErr w:type="spellStart"/>
      <w:r w:rsidRPr="00524EEA">
        <w:t>dapagliflozin</w:t>
      </w:r>
      <w:proofErr w:type="spellEnd"/>
      <w:r w:rsidRPr="00524EEA">
        <w:t xml:space="preserve"> has been shown to be safe and well tolerated in healthy subjects at single doses up to 500 mg (50 times the MRHD). These subjects had detectable glucose in the urine for a dose-related period of time (at least 5 days for the 500 mg dose), with no reports of dehydration, hypotension, or electrolyte imbalance, and with no clinically meaningful effect on </w:t>
      </w:r>
      <w:proofErr w:type="spellStart"/>
      <w:r w:rsidRPr="00524EEA">
        <w:t>QTc</w:t>
      </w:r>
      <w:proofErr w:type="spellEnd"/>
      <w:r w:rsidRPr="00524EEA">
        <w:t xml:space="preserve"> interval.  The incidence of hypoglycaemia was similar to placebo. </w:t>
      </w:r>
    </w:p>
    <w:p w14:paraId="0AC3588E" w14:textId="7140B9B0" w:rsidR="00705062" w:rsidRPr="00524EEA" w:rsidRDefault="00705062" w:rsidP="00705062">
      <w:r w:rsidRPr="00524EEA">
        <w:t xml:space="preserve">In clinical studies where once-daily doses of up to 100 mg (10 times the MRHD) were administered for 2 weeks in healthy subjects and </w:t>
      </w:r>
      <w:r w:rsidR="004108C4" w:rsidRPr="00524EEA">
        <w:t xml:space="preserve">patients with </w:t>
      </w:r>
      <w:r w:rsidRPr="00524EEA">
        <w:t>type 2 diabetes, the incidence of hypoglycaemia was slightly higher than placebo and was not dose-related. Rates of adverse events including dehydration or hypotension were similar to placebo, and there were no clinically meaningful dose-related changes in laboratory parameters including serum electrolytes and biomarkers of renal function.</w:t>
      </w:r>
    </w:p>
    <w:p w14:paraId="0328F012" w14:textId="77777777" w:rsidR="00705062" w:rsidRPr="00524EEA" w:rsidRDefault="00705062" w:rsidP="00705062">
      <w:r w:rsidRPr="00524EEA">
        <w:t xml:space="preserve">In the event of an overdose, appropriate supportive treatment should be initiated as dictated by the patient’s clinical status.  The removal of </w:t>
      </w:r>
      <w:proofErr w:type="spellStart"/>
      <w:r w:rsidRPr="00524EEA">
        <w:t>dapagliflozin</w:t>
      </w:r>
      <w:proofErr w:type="spellEnd"/>
      <w:r w:rsidRPr="00524EEA">
        <w:t xml:space="preserve"> by haemodialysis has not been studied.</w:t>
      </w:r>
    </w:p>
    <w:p w14:paraId="548E83A8" w14:textId="1CD518BF" w:rsidR="00705062" w:rsidRPr="00524EEA" w:rsidRDefault="007C6D40" w:rsidP="00705062">
      <w:r w:rsidRPr="00524EEA">
        <w:t xml:space="preserve">For information on the management of overdose, contact the </w:t>
      </w:r>
      <w:r w:rsidR="00705062" w:rsidRPr="00524EEA">
        <w:t>Poisons Information Centre</w:t>
      </w:r>
      <w:r w:rsidRPr="00524EEA">
        <w:t xml:space="preserve"> on</w:t>
      </w:r>
      <w:r w:rsidR="00705062" w:rsidRPr="00524EEA">
        <w:t xml:space="preserve"> 131126</w:t>
      </w:r>
      <w:r w:rsidRPr="00524EEA">
        <w:t xml:space="preserve"> (Australia)</w:t>
      </w:r>
      <w:r w:rsidR="00A33C9A" w:rsidRPr="00524EEA">
        <w:t>.</w:t>
      </w:r>
    </w:p>
    <w:p w14:paraId="1D56E6FC" w14:textId="77777777" w:rsidR="001A3992" w:rsidRPr="00524EEA" w:rsidRDefault="001A3992" w:rsidP="001A3992">
      <w:pPr>
        <w:pStyle w:val="Heading1"/>
        <w:spacing w:before="0" w:after="120"/>
      </w:pPr>
      <w:bookmarkStart w:id="69" w:name="_Ref501530329"/>
      <w:r w:rsidRPr="00524EEA">
        <w:t>Pharmacological properties</w:t>
      </w:r>
      <w:bookmarkEnd w:id="69"/>
    </w:p>
    <w:p w14:paraId="29E809E5" w14:textId="77777777" w:rsidR="001A3992" w:rsidRPr="00524EEA" w:rsidRDefault="001A3992" w:rsidP="001A3992">
      <w:pPr>
        <w:pStyle w:val="Heading2"/>
        <w:spacing w:before="0" w:after="120"/>
      </w:pPr>
      <w:r w:rsidRPr="00524EEA">
        <w:t xml:space="preserve">Pharmacodynamic properties </w:t>
      </w:r>
    </w:p>
    <w:p w14:paraId="45D06072" w14:textId="77777777" w:rsidR="001A3992" w:rsidRPr="00524EEA" w:rsidRDefault="001A3992" w:rsidP="001A3992">
      <w:pPr>
        <w:pStyle w:val="Heading3"/>
        <w:spacing w:before="0" w:after="120"/>
      </w:pPr>
      <w:r w:rsidRPr="00524EEA">
        <w:t>Mechanism of action</w:t>
      </w:r>
    </w:p>
    <w:p w14:paraId="6610CF7A" w14:textId="548B1816" w:rsidR="00C0700A" w:rsidRPr="00524EEA" w:rsidRDefault="00C0700A" w:rsidP="00C0700A">
      <w:proofErr w:type="spellStart"/>
      <w:r w:rsidRPr="00524EEA">
        <w:t>Dapagliflozin</w:t>
      </w:r>
      <w:proofErr w:type="spellEnd"/>
      <w:r w:rsidRPr="00524EEA">
        <w:t xml:space="preserve"> is a reversible competitive inhibitor of sodium glucose co-transporter 2 (SGLT2) with </w:t>
      </w:r>
      <w:proofErr w:type="spellStart"/>
      <w:r w:rsidRPr="00524EEA">
        <w:t>nanomolar</w:t>
      </w:r>
      <w:proofErr w:type="spellEnd"/>
      <w:r w:rsidRPr="00524EEA">
        <w:t xml:space="preserve"> potency that improves glycaemic control in patients with type 2 diabetes mellitus </w:t>
      </w:r>
      <w:r w:rsidR="00BE0AC4" w:rsidRPr="00524EEA">
        <w:t>and provides cardio-renal benefits</w:t>
      </w:r>
      <w:r w:rsidRPr="00524EEA">
        <w:t xml:space="preserve">. </w:t>
      </w:r>
    </w:p>
    <w:p w14:paraId="0A381370" w14:textId="77777777" w:rsidR="00BE0AC4" w:rsidRPr="00524EEA" w:rsidRDefault="00BE0AC4" w:rsidP="00BE0AC4">
      <w:r w:rsidRPr="00524EEA">
        <w:t xml:space="preserve">Inhibition of SGLT2 by </w:t>
      </w:r>
      <w:proofErr w:type="spellStart"/>
      <w:r w:rsidRPr="00524EEA">
        <w:t>dapagliflozin</w:t>
      </w:r>
      <w:proofErr w:type="spellEnd"/>
      <w:r w:rsidRPr="00524EEA">
        <w:t xml:space="preserve"> reduces reabsorption of glucose from the glomerular filtrate in the proximal renal tubule with a concomitant reduction in sodium reabsorption leading to urinary excretion of glucose and osmotic diuresis. </w:t>
      </w:r>
      <w:proofErr w:type="spellStart"/>
      <w:r w:rsidRPr="00524EEA">
        <w:t>Dapagliflozin</w:t>
      </w:r>
      <w:proofErr w:type="spellEnd"/>
      <w:r w:rsidRPr="00524EEA">
        <w:t xml:space="preserve"> therefore increases the delivery of sodium to the distal tubule which is believed to increase </w:t>
      </w:r>
      <w:proofErr w:type="spellStart"/>
      <w:r w:rsidRPr="00524EEA">
        <w:t>tubuloglomerular</w:t>
      </w:r>
      <w:proofErr w:type="spellEnd"/>
      <w:r w:rsidRPr="00524EEA">
        <w:t xml:space="preserve"> feedback and reduce </w:t>
      </w:r>
      <w:proofErr w:type="spellStart"/>
      <w:r w:rsidRPr="00524EEA">
        <w:t>intraglomerular</w:t>
      </w:r>
      <w:proofErr w:type="spellEnd"/>
      <w:r w:rsidRPr="00524EEA">
        <w:t xml:space="preserve"> pressure. Secondary effects of SGLT2 inhibition with </w:t>
      </w:r>
      <w:proofErr w:type="spellStart"/>
      <w:r w:rsidRPr="00524EEA">
        <w:t>dapagliflozin</w:t>
      </w:r>
      <w:proofErr w:type="spellEnd"/>
      <w:r w:rsidRPr="00524EEA">
        <w:t xml:space="preserve"> also include a modest reduction in blood pressure, reduction in body weight, and an increase in haematocrit.</w:t>
      </w:r>
    </w:p>
    <w:p w14:paraId="2DF657C3" w14:textId="2E78CC4C" w:rsidR="00BE0AC4" w:rsidRPr="00524EEA" w:rsidRDefault="00BE0AC4" w:rsidP="00C0700A">
      <w:r w:rsidRPr="00524EEA">
        <w:t xml:space="preserve">The cardio-renal benefits of </w:t>
      </w:r>
      <w:proofErr w:type="spellStart"/>
      <w:r w:rsidRPr="00524EEA">
        <w:t>dapagliflozin</w:t>
      </w:r>
      <w:proofErr w:type="spellEnd"/>
      <w:r w:rsidRPr="00524EEA">
        <w:t xml:space="preserve"> are not solely dependent on the blood glucose- lowering effect and not limited to patients with diabetes. In addition to the osmotic diuretic and related hemodynamic actions of SGLT2 inhibition, potential secondary effects on myocardial metabolism, ion channels, fibrosis, </w:t>
      </w:r>
      <w:proofErr w:type="spellStart"/>
      <w:r w:rsidRPr="00524EEA">
        <w:t>adipokines</w:t>
      </w:r>
      <w:proofErr w:type="spellEnd"/>
      <w:r w:rsidRPr="00524EEA">
        <w:t xml:space="preserve"> and uric acid may be mechanisms underlying the cardio-renal beneficial effects of </w:t>
      </w:r>
      <w:proofErr w:type="spellStart"/>
      <w:r w:rsidRPr="00524EEA">
        <w:t>dapagliflozin</w:t>
      </w:r>
      <w:proofErr w:type="spellEnd"/>
      <w:r w:rsidRPr="00524EEA">
        <w:t>.</w:t>
      </w:r>
    </w:p>
    <w:p w14:paraId="2DF461E6" w14:textId="747ECF8A" w:rsidR="00C0700A" w:rsidRPr="00524EEA" w:rsidRDefault="00C0700A" w:rsidP="00C0700A">
      <w:pPr>
        <w:rPr>
          <w:u w:val="single"/>
        </w:rPr>
      </w:pPr>
      <w:proofErr w:type="spellStart"/>
      <w:r w:rsidRPr="00524EEA">
        <w:t>Dapagliflozin</w:t>
      </w:r>
      <w:proofErr w:type="spellEnd"/>
      <w:r w:rsidRPr="00524EEA">
        <w:t xml:space="preserve"> improves both fasting</w:t>
      </w:r>
      <w:r w:rsidR="00791419" w:rsidRPr="00524EEA">
        <w:t xml:space="preserve"> pla</w:t>
      </w:r>
      <w:r w:rsidR="007E1D97" w:rsidRPr="00524EEA">
        <w:t>s</w:t>
      </w:r>
      <w:r w:rsidR="00791419" w:rsidRPr="00524EEA">
        <w:t>ma glucose (FPG)</w:t>
      </w:r>
      <w:r w:rsidRPr="00524EEA">
        <w:t xml:space="preserve"> and post-prandial plasma glucose</w:t>
      </w:r>
      <w:r w:rsidR="00791419" w:rsidRPr="00524EEA">
        <w:t xml:space="preserve"> (PPG)</w:t>
      </w:r>
      <w:r w:rsidRPr="00524EEA">
        <w:t xml:space="preserve"> levels by reducing renal glucose reabsorption leading to urinary glucose excretion.  This glucose excretion (</w:t>
      </w:r>
      <w:proofErr w:type="spellStart"/>
      <w:r w:rsidRPr="00524EEA">
        <w:t>glucuretic</w:t>
      </w:r>
      <w:proofErr w:type="spellEnd"/>
      <w:r w:rsidRPr="00524EEA">
        <w:t xml:space="preserve"> effect) is observed after the first dose, is continuous over the 24 hour dosing interval, and is sustained for the duration of treatment.  The amount of glucose removed by the kidney through this mechanism is dependent upon the blood glucose concentration and GFR.  Thus, in subjects with normal glucose, </w:t>
      </w:r>
      <w:proofErr w:type="spellStart"/>
      <w:r w:rsidRPr="00524EEA">
        <w:t>dapagliflozin</w:t>
      </w:r>
      <w:proofErr w:type="spellEnd"/>
      <w:r w:rsidRPr="00524EEA">
        <w:t xml:space="preserve"> has a low propensity to cause hypoglycaemia.  </w:t>
      </w:r>
      <w:proofErr w:type="spellStart"/>
      <w:r w:rsidRPr="00524EEA">
        <w:t>Dapagliflozin</w:t>
      </w:r>
      <w:proofErr w:type="spellEnd"/>
      <w:r w:rsidRPr="00524EEA">
        <w:t xml:space="preserve"> does not impair normal endogenous glucose production in response to hypoglycaemia.  </w:t>
      </w:r>
      <w:proofErr w:type="spellStart"/>
      <w:r w:rsidRPr="00524EEA">
        <w:t>Dapagliflozin</w:t>
      </w:r>
      <w:proofErr w:type="spellEnd"/>
      <w:r w:rsidRPr="00524EEA">
        <w:t xml:space="preserve"> acts independently of insulin secretion and insulin action.  Over time, improvement in beta cell function (HOMA-2) has been observed in clinical studies with </w:t>
      </w:r>
      <w:proofErr w:type="spellStart"/>
      <w:r w:rsidRPr="00524EEA">
        <w:t>dapagliflozin</w:t>
      </w:r>
      <w:proofErr w:type="spellEnd"/>
      <w:r w:rsidRPr="00524EEA">
        <w:t>.</w:t>
      </w:r>
    </w:p>
    <w:p w14:paraId="5C569607" w14:textId="77777777" w:rsidR="006325C0" w:rsidRDefault="00C0700A" w:rsidP="00C0700A">
      <w:r w:rsidRPr="00524EEA">
        <w:t xml:space="preserve">The majority of the weight reduction was body fat loss, including visceral fat rather than lean tissue or fluid loss as demonstrated by dual energy X-ray absorptiometry (DXA) and magnetic resonance imaging. </w:t>
      </w:r>
    </w:p>
    <w:p w14:paraId="5EE4007A" w14:textId="4B8F87B9" w:rsidR="00C0700A" w:rsidRPr="00524EEA" w:rsidRDefault="00E64385" w:rsidP="00C0700A">
      <w:r w:rsidRPr="00524EEA">
        <w:t xml:space="preserve">SGLT2 is selectively expressed in the kidney. </w:t>
      </w:r>
      <w:proofErr w:type="spellStart"/>
      <w:r w:rsidR="00C0700A" w:rsidRPr="00524EEA">
        <w:t>Dapagliflozin</w:t>
      </w:r>
      <w:proofErr w:type="spellEnd"/>
      <w:r w:rsidR="00C0700A" w:rsidRPr="00524EEA">
        <w:t xml:space="preserve"> does not inhibit other glucose transporters important for glucose transport into peripheral tissues and is approximately 1000-3000 times more selective for SGLT2 vs. SGLT1, the major transporter in the gut responsible for glucose absorption.</w:t>
      </w:r>
    </w:p>
    <w:p w14:paraId="453EBC55" w14:textId="77777777" w:rsidR="004C1301" w:rsidRPr="00524EEA" w:rsidRDefault="004C1301" w:rsidP="004C1301">
      <w:pPr>
        <w:pStyle w:val="Heading3"/>
      </w:pPr>
      <w:r w:rsidRPr="00524EEA">
        <w:t>Pharmacodynamic effects</w:t>
      </w:r>
    </w:p>
    <w:p w14:paraId="2D6F5836" w14:textId="77777777" w:rsidR="004C1301" w:rsidRPr="00524EEA" w:rsidRDefault="004C1301" w:rsidP="004C1301">
      <w:r w:rsidRPr="00524EEA">
        <w:t xml:space="preserve">Increases in the amount of glucose excreted in the urine were observed in healthy subjects and in patients with type 2 diabetes mellitus following the administration of </w:t>
      </w:r>
      <w:proofErr w:type="spellStart"/>
      <w:r w:rsidRPr="00524EEA">
        <w:t>dapagliflozin</w:t>
      </w:r>
      <w:proofErr w:type="spellEnd"/>
      <w:r w:rsidRPr="00524EEA">
        <w:t xml:space="preserve">.  Approximately 70 g of glucose was excreted in the urine per day (corresponding to 280 kcal/day) at a </w:t>
      </w:r>
      <w:proofErr w:type="spellStart"/>
      <w:r w:rsidRPr="00524EEA">
        <w:t>dapagliflozin</w:t>
      </w:r>
      <w:proofErr w:type="spellEnd"/>
      <w:r w:rsidRPr="00524EEA">
        <w:t xml:space="preserve"> dose of 10 mg/day in patients with type 2 diabetes mellitus for 12 weeks.  Evidence of sustained glucose excretion was seen in patients with type 2 diabetes mellitus given </w:t>
      </w:r>
      <w:proofErr w:type="spellStart"/>
      <w:r w:rsidRPr="00524EEA">
        <w:t>dapagliflozin</w:t>
      </w:r>
      <w:proofErr w:type="spellEnd"/>
      <w:r w:rsidRPr="00524EEA">
        <w:t xml:space="preserve"> 10mg/day for up to 2 years.</w:t>
      </w:r>
    </w:p>
    <w:p w14:paraId="2397EB55" w14:textId="77777777" w:rsidR="004C1301" w:rsidRPr="00524EEA" w:rsidRDefault="004C1301" w:rsidP="004C1301">
      <w:r w:rsidRPr="00524EEA">
        <w:t xml:space="preserve">This urinary glucose excretion with </w:t>
      </w:r>
      <w:proofErr w:type="spellStart"/>
      <w:r w:rsidRPr="00524EEA">
        <w:t>dapagliflozin</w:t>
      </w:r>
      <w:proofErr w:type="spellEnd"/>
      <w:r w:rsidRPr="00524EEA">
        <w:t xml:space="preserve"> also results in osmotic diuresis and increases in urinary volume.  Urinary volume increases in patients with type 2 diabetes mellitus treated with FORXIGA 10 mg were sustained at 12 weeks and amounted to approximately 375 mL/day.</w:t>
      </w:r>
      <w:r w:rsidRPr="00524EEA">
        <w:rPr>
          <w:vertAlign w:val="superscript"/>
        </w:rPr>
        <w:t xml:space="preserve">  </w:t>
      </w:r>
      <w:r w:rsidRPr="00524EEA">
        <w:t xml:space="preserve">The increase in urinary volume was associated with a small and transient increase in urinary sodium excretion that was not associated with changes in serum sodium concentrations. </w:t>
      </w:r>
    </w:p>
    <w:p w14:paraId="162BDBF2" w14:textId="77777777" w:rsidR="004C1301" w:rsidRPr="00524EEA" w:rsidRDefault="004C1301" w:rsidP="004C1301">
      <w:r w:rsidRPr="00524EEA">
        <w:t xml:space="preserve">Urinary uric acid excretion was also increased transiently (for 3-7 days) and accompanied by a reduction in serum uric acid concentration.  At 24 weeks, reductions in serum uric acid concentrations ranged from 18.3 to 48.3 </w:t>
      </w:r>
      <w:proofErr w:type="spellStart"/>
      <w:r w:rsidRPr="00524EEA">
        <w:t>μmol</w:t>
      </w:r>
      <w:proofErr w:type="spellEnd"/>
      <w:r w:rsidRPr="00524EEA">
        <w:t>/L.</w:t>
      </w:r>
    </w:p>
    <w:p w14:paraId="0A256D16" w14:textId="77777777" w:rsidR="004C1301" w:rsidRPr="00524EEA" w:rsidRDefault="004C1301" w:rsidP="00C07BC4">
      <w:pPr>
        <w:pStyle w:val="Heading4nobookmark"/>
      </w:pPr>
      <w:r w:rsidRPr="00524EEA">
        <w:t>Cardiac Electrophysiology</w:t>
      </w:r>
    </w:p>
    <w:p w14:paraId="2AF44B29" w14:textId="77777777" w:rsidR="004C1301" w:rsidRPr="00524EEA" w:rsidRDefault="004C1301" w:rsidP="004C1301">
      <w:proofErr w:type="spellStart"/>
      <w:r w:rsidRPr="00524EEA">
        <w:t>Dapagliflozin</w:t>
      </w:r>
      <w:proofErr w:type="spellEnd"/>
      <w:r w:rsidRPr="00524EEA">
        <w:t xml:space="preserve"> was not associated with clinically meaningful prolongation of </w:t>
      </w:r>
      <w:proofErr w:type="spellStart"/>
      <w:r w:rsidRPr="00524EEA">
        <w:t>QTc</w:t>
      </w:r>
      <w:proofErr w:type="spellEnd"/>
      <w:r w:rsidRPr="00524EEA">
        <w:t xml:space="preserve"> interval at daily doses up to 150 mg (15 times the recommended dose) in a study of healthy subjects.  In addition, no clinically meaningful effect on </w:t>
      </w:r>
      <w:proofErr w:type="spellStart"/>
      <w:r w:rsidRPr="00524EEA">
        <w:t>QTc</w:t>
      </w:r>
      <w:proofErr w:type="spellEnd"/>
      <w:r w:rsidRPr="00524EEA">
        <w:t xml:space="preserve"> interval was observed following single doses of up to 500 mg (50 times the recommended dose) </w:t>
      </w:r>
      <w:proofErr w:type="spellStart"/>
      <w:r w:rsidRPr="00524EEA">
        <w:t>dapagliflozin</w:t>
      </w:r>
      <w:proofErr w:type="spellEnd"/>
      <w:r w:rsidRPr="00524EEA">
        <w:t xml:space="preserve"> in healthy subjects.</w:t>
      </w:r>
    </w:p>
    <w:p w14:paraId="6BF32FDE" w14:textId="5CDF44D0" w:rsidR="001A3992" w:rsidRPr="00524EEA" w:rsidRDefault="001A3992" w:rsidP="001A3992">
      <w:pPr>
        <w:pStyle w:val="Heading3"/>
        <w:spacing w:before="0" w:after="120"/>
      </w:pPr>
      <w:r w:rsidRPr="00524EEA">
        <w:t>Clinical trials</w:t>
      </w:r>
      <w:r w:rsidR="00D868F9" w:rsidRPr="00524EEA">
        <w:t xml:space="preserve"> </w:t>
      </w:r>
      <w:r w:rsidR="005B2076" w:rsidRPr="00524EEA">
        <w:t xml:space="preserve">– Type 2 diabetes mellitus </w:t>
      </w:r>
    </w:p>
    <w:p w14:paraId="7977BA5F" w14:textId="1DD6CFA4" w:rsidR="00697658" w:rsidRPr="00524EEA" w:rsidRDefault="00A26BF6" w:rsidP="00697658">
      <w:bookmarkStart w:id="70" w:name="_Toc201050745"/>
      <w:r w:rsidRPr="00524EEA">
        <w:t xml:space="preserve">More than </w:t>
      </w:r>
      <w:r w:rsidR="004C0ED3" w:rsidRPr="00524EEA">
        <w:t>28000</w:t>
      </w:r>
      <w:r w:rsidRPr="00524EEA">
        <w:t xml:space="preserve"> patients </w:t>
      </w:r>
      <w:r w:rsidR="00893B3C" w:rsidRPr="00524EEA">
        <w:t xml:space="preserve">have been included </w:t>
      </w:r>
      <w:r w:rsidRPr="00524EEA">
        <w:t xml:space="preserve">in </w:t>
      </w:r>
      <w:r w:rsidR="004C0ED3" w:rsidRPr="00524EEA">
        <w:t xml:space="preserve">22 </w:t>
      </w:r>
      <w:r w:rsidRPr="00524EEA">
        <w:t xml:space="preserve">double-blind, controlled </w:t>
      </w:r>
      <w:r w:rsidR="00893B3C" w:rsidRPr="00524EEA">
        <w:t xml:space="preserve">type 2 diabetes mellitus </w:t>
      </w:r>
      <w:r w:rsidRPr="00524EEA">
        <w:t xml:space="preserve">clinical studies conducted to evaluate the safety and efficacy of FORXIGA; more than </w:t>
      </w:r>
      <w:r w:rsidR="004C0ED3" w:rsidRPr="00524EEA">
        <w:t xml:space="preserve">15000 </w:t>
      </w:r>
      <w:r w:rsidRPr="00524EEA">
        <w:t>patients in these studies were treated with FORXIGA</w:t>
      </w:r>
      <w:r w:rsidR="00D7244C" w:rsidRPr="00524EEA">
        <w:t>.</w:t>
      </w:r>
      <w:r w:rsidR="005C280E" w:rsidRPr="00524EEA" w:rsidDel="00A26BF6">
        <w:t xml:space="preserve"> </w:t>
      </w:r>
    </w:p>
    <w:p w14:paraId="219E0F93" w14:textId="2900C17C" w:rsidR="0098288E" w:rsidRPr="00524EEA" w:rsidRDefault="0098288E" w:rsidP="00C07BC4">
      <w:pPr>
        <w:pStyle w:val="Heading4nobookmark"/>
      </w:pPr>
      <w:bookmarkStart w:id="71" w:name="_Toc279132158"/>
      <w:r w:rsidRPr="00524EEA">
        <w:t>Monotherapy</w:t>
      </w:r>
      <w:bookmarkEnd w:id="70"/>
      <w:bookmarkEnd w:id="71"/>
    </w:p>
    <w:p w14:paraId="47C85165" w14:textId="1A30C60E" w:rsidR="0098288E" w:rsidRPr="00524EEA" w:rsidRDefault="0098288E" w:rsidP="0098288E">
      <w:r w:rsidRPr="00524EEA">
        <w:t>A double-blind, placebo-controlled study of 24-week duration (with an additional extension period) was conducted to evaluate the safety and efficacy of monotherapy with FORXIGA in subjects with inadequately controlled type 2 diabetes mellitus.  Once-daily treatment with FORXIGA resulted in statistically significant (p &lt;0.0001) reductions in HbA1c compared to placebo (</w:t>
      </w:r>
      <w:r w:rsidR="00715483" w:rsidRPr="00524EEA">
        <w:t>Table 2</w:t>
      </w:r>
      <w:r w:rsidRPr="00524EEA">
        <w:t>).</w:t>
      </w:r>
    </w:p>
    <w:p w14:paraId="6AE7651B" w14:textId="77777777" w:rsidR="0098288E" w:rsidRPr="00524EEA" w:rsidRDefault="0098288E" w:rsidP="0098288E">
      <w:r w:rsidRPr="00524EEA">
        <w:t>In the extension period, HbA1c reductions were sustained through Week 102 (</w:t>
      </w:r>
      <w:r w:rsidRPr="00524EEA">
        <w:noBreakHyphen/>
        <w:t xml:space="preserve">0.61%, and </w:t>
      </w:r>
      <w:r w:rsidRPr="00524EEA">
        <w:noBreakHyphen/>
        <w:t>0.17% adjusted mean change from baseline for FORXIGA 10 mg and placebo, respectively).</w:t>
      </w:r>
    </w:p>
    <w:p w14:paraId="39AC6E4B" w14:textId="77777777" w:rsidR="00D43FA6" w:rsidRDefault="00D43FA6">
      <w:pPr>
        <w:rPr>
          <w:rFonts w:eastAsia="Times New Roman" w:cs="Arial"/>
          <w:b/>
          <w:sz w:val="22"/>
          <w:szCs w:val="20"/>
        </w:rPr>
      </w:pPr>
      <w:r>
        <w:br w:type="page"/>
      </w:r>
    </w:p>
    <w:p w14:paraId="2CE72145" w14:textId="4D689DC2" w:rsidR="00D43FA6" w:rsidRPr="00D43FA6" w:rsidRDefault="00715483" w:rsidP="00AF7D0B">
      <w:pPr>
        <w:pStyle w:val="A-TableTitle"/>
        <w:ind w:left="0" w:firstLine="0"/>
        <w:rPr>
          <w:lang w:val="en-AU"/>
        </w:rPr>
      </w:pPr>
      <w:r w:rsidRPr="00524EEA">
        <w:rPr>
          <w:lang w:val="en-AU"/>
        </w:rPr>
        <w:t>Table 2</w:t>
      </w:r>
      <w:r w:rsidR="0098288E" w:rsidRPr="00524EEA">
        <w:rPr>
          <w:lang w:val="en-AU"/>
        </w:rPr>
        <w:t xml:space="preserve">. </w:t>
      </w:r>
      <w:r w:rsidR="0098288E" w:rsidRPr="00524EEA">
        <w:rPr>
          <w:lang w:val="en-AU"/>
        </w:rPr>
        <w:tab/>
        <w:t>Results at Week 24 (</w:t>
      </w:r>
      <w:proofErr w:type="spellStart"/>
      <w:r w:rsidR="0098288E" w:rsidRPr="00524EEA">
        <w:rPr>
          <w:lang w:val="en-AU"/>
        </w:rPr>
        <w:t>LOCF</w:t>
      </w:r>
      <w:r w:rsidR="0098288E" w:rsidRPr="00524EEA">
        <w:rPr>
          <w:vertAlign w:val="superscript"/>
          <w:lang w:val="en-AU"/>
        </w:rPr>
        <w:t>a</w:t>
      </w:r>
      <w:proofErr w:type="spellEnd"/>
      <w:r w:rsidR="0098288E" w:rsidRPr="00524EEA">
        <w:rPr>
          <w:lang w:val="en-AU"/>
        </w:rPr>
        <w:t>) of a placebo</w:t>
      </w:r>
      <w:r w:rsidR="0098288E" w:rsidRPr="00524EEA">
        <w:rPr>
          <w:lang w:val="en-AU"/>
        </w:rPr>
        <w:noBreakHyphen/>
        <w:t xml:space="preserve">controlled study of FORXIGA as </w:t>
      </w:r>
      <w:r w:rsidR="00D43FA6">
        <w:rPr>
          <w:lang w:val="en-AU"/>
        </w:rPr>
        <w:tab/>
      </w:r>
      <w:r w:rsidR="00D43FA6">
        <w:rPr>
          <w:lang w:val="en-AU"/>
        </w:rPr>
        <w:tab/>
      </w:r>
      <w:r w:rsidR="00D43FA6">
        <w:rPr>
          <w:lang w:val="en-AU"/>
        </w:rPr>
        <w:tab/>
      </w:r>
      <w:r w:rsidR="0098288E" w:rsidRPr="00524EEA">
        <w:rPr>
          <w:lang w:val="en-AU"/>
        </w:rPr>
        <w:t>monotherapy</w:t>
      </w:r>
    </w:p>
    <w:tbl>
      <w:tblPr>
        <w:tblW w:w="5000" w:type="pct"/>
        <w:tblInd w:w="-5"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125"/>
        <w:gridCol w:w="2923"/>
        <w:gridCol w:w="2791"/>
        <w:gridCol w:w="177"/>
      </w:tblGrid>
      <w:tr w:rsidR="0098288E" w:rsidRPr="00524EEA" w14:paraId="6D32FFDA" w14:textId="77777777" w:rsidTr="007B15E8">
        <w:tc>
          <w:tcPr>
            <w:tcW w:w="1733" w:type="pct"/>
            <w:tcBorders>
              <w:top w:val="single" w:sz="4" w:space="0" w:color="auto"/>
              <w:left w:val="single" w:sz="4" w:space="0" w:color="auto"/>
              <w:bottom w:val="single" w:sz="4" w:space="0" w:color="auto"/>
              <w:right w:val="single" w:sz="4" w:space="0" w:color="auto"/>
            </w:tcBorders>
            <w:vAlign w:val="bottom"/>
          </w:tcPr>
          <w:p w14:paraId="76952C70" w14:textId="77777777" w:rsidR="0098288E" w:rsidRPr="00524EEA" w:rsidRDefault="0098288E" w:rsidP="001B18F1">
            <w:pPr>
              <w:pStyle w:val="A-TableHeader"/>
              <w:rPr>
                <w:lang w:val="en-AU"/>
              </w:rPr>
            </w:pPr>
          </w:p>
        </w:tc>
        <w:tc>
          <w:tcPr>
            <w:tcW w:w="3267" w:type="pct"/>
            <w:gridSpan w:val="3"/>
            <w:tcBorders>
              <w:top w:val="single" w:sz="4" w:space="0" w:color="auto"/>
              <w:left w:val="single" w:sz="4" w:space="0" w:color="auto"/>
              <w:bottom w:val="single" w:sz="4" w:space="0" w:color="auto"/>
              <w:right w:val="single" w:sz="4" w:space="0" w:color="auto"/>
            </w:tcBorders>
          </w:tcPr>
          <w:p w14:paraId="53D6A98A" w14:textId="39DCD7C9" w:rsidR="0098288E" w:rsidRPr="00524EEA" w:rsidRDefault="0098288E" w:rsidP="001B18F1">
            <w:pPr>
              <w:pStyle w:val="A-TableHeader"/>
              <w:jc w:val="center"/>
              <w:rPr>
                <w:lang w:val="en-AU"/>
              </w:rPr>
            </w:pPr>
            <w:r w:rsidRPr="00524EEA">
              <w:rPr>
                <w:lang w:val="en-AU"/>
              </w:rPr>
              <w:t>Monotherapy</w:t>
            </w:r>
          </w:p>
        </w:tc>
      </w:tr>
      <w:tr w:rsidR="0098288E" w:rsidRPr="00524EEA" w14:paraId="7108B06D" w14:textId="77777777" w:rsidTr="007B15E8">
        <w:tc>
          <w:tcPr>
            <w:tcW w:w="1733" w:type="pct"/>
            <w:tcBorders>
              <w:top w:val="single" w:sz="4" w:space="0" w:color="auto"/>
              <w:left w:val="single" w:sz="4" w:space="0" w:color="auto"/>
              <w:bottom w:val="single" w:sz="4" w:space="0" w:color="auto"/>
              <w:right w:val="single" w:sz="4" w:space="0" w:color="auto"/>
            </w:tcBorders>
            <w:vAlign w:val="bottom"/>
          </w:tcPr>
          <w:p w14:paraId="588E3D8A" w14:textId="77777777" w:rsidR="0098288E" w:rsidRPr="00524EEA" w:rsidRDefault="0098288E" w:rsidP="001B18F1">
            <w:pPr>
              <w:pStyle w:val="A-TableHeader"/>
              <w:rPr>
                <w:lang w:val="en-AU"/>
              </w:rPr>
            </w:pPr>
          </w:p>
        </w:tc>
        <w:tc>
          <w:tcPr>
            <w:tcW w:w="1621" w:type="pct"/>
            <w:tcBorders>
              <w:top w:val="single" w:sz="4" w:space="0" w:color="auto"/>
              <w:left w:val="single" w:sz="4" w:space="0" w:color="auto"/>
              <w:bottom w:val="single" w:sz="4" w:space="0" w:color="auto"/>
              <w:right w:val="single" w:sz="4" w:space="0" w:color="auto"/>
            </w:tcBorders>
          </w:tcPr>
          <w:p w14:paraId="63DBADF9" w14:textId="77777777" w:rsidR="0098288E" w:rsidRPr="00524EEA" w:rsidRDefault="0098288E" w:rsidP="001B18F1">
            <w:pPr>
              <w:pStyle w:val="A-TableHeader"/>
              <w:jc w:val="center"/>
              <w:rPr>
                <w:lang w:val="en-AU"/>
              </w:rPr>
            </w:pPr>
            <w:r w:rsidRPr="00524EEA">
              <w:rPr>
                <w:lang w:val="en-AU"/>
              </w:rPr>
              <w:t>FORXIGA</w:t>
            </w:r>
          </w:p>
          <w:p w14:paraId="7DAE174C" w14:textId="77777777" w:rsidR="0098288E" w:rsidRPr="00524EEA" w:rsidRDefault="0098288E" w:rsidP="001B18F1">
            <w:pPr>
              <w:pStyle w:val="A-TableHeader"/>
              <w:jc w:val="center"/>
              <w:rPr>
                <w:lang w:val="en-AU"/>
              </w:rPr>
            </w:pPr>
            <w:r w:rsidRPr="00524EEA">
              <w:rPr>
                <w:lang w:val="en-AU"/>
              </w:rPr>
              <w:t>10 mg</w:t>
            </w:r>
          </w:p>
        </w:tc>
        <w:tc>
          <w:tcPr>
            <w:tcW w:w="1646" w:type="pct"/>
            <w:gridSpan w:val="2"/>
            <w:tcBorders>
              <w:top w:val="single" w:sz="4" w:space="0" w:color="auto"/>
              <w:left w:val="single" w:sz="4" w:space="0" w:color="auto"/>
              <w:bottom w:val="single" w:sz="4" w:space="0" w:color="auto"/>
              <w:right w:val="single" w:sz="4" w:space="0" w:color="auto"/>
            </w:tcBorders>
          </w:tcPr>
          <w:p w14:paraId="1AC0C9C1" w14:textId="77777777" w:rsidR="0098288E" w:rsidRPr="00524EEA" w:rsidRDefault="0098288E" w:rsidP="001B18F1">
            <w:pPr>
              <w:pStyle w:val="A-TableHeader"/>
              <w:jc w:val="center"/>
              <w:rPr>
                <w:lang w:val="en-AU"/>
              </w:rPr>
            </w:pPr>
            <w:r w:rsidRPr="00524EEA">
              <w:rPr>
                <w:lang w:val="en-AU"/>
              </w:rPr>
              <w:t>Placebo</w:t>
            </w:r>
          </w:p>
        </w:tc>
      </w:tr>
      <w:tr w:rsidR="0098288E" w:rsidRPr="00524EEA" w14:paraId="00433B27" w14:textId="77777777" w:rsidTr="007B15E8">
        <w:tc>
          <w:tcPr>
            <w:tcW w:w="1733" w:type="pct"/>
            <w:tcBorders>
              <w:top w:val="single" w:sz="4" w:space="0" w:color="auto"/>
              <w:left w:val="single" w:sz="4" w:space="0" w:color="auto"/>
              <w:bottom w:val="single" w:sz="4" w:space="0" w:color="auto"/>
              <w:right w:val="single" w:sz="4" w:space="0" w:color="auto"/>
            </w:tcBorders>
          </w:tcPr>
          <w:p w14:paraId="75653217" w14:textId="77777777" w:rsidR="0098288E" w:rsidRPr="00524EEA" w:rsidRDefault="0098288E" w:rsidP="00AF2F06">
            <w:pPr>
              <w:pStyle w:val="A-TableText"/>
              <w:rPr>
                <w:b/>
                <w:lang w:val="en-AU"/>
              </w:rPr>
            </w:pPr>
            <w:proofErr w:type="spellStart"/>
            <w:r w:rsidRPr="00524EEA">
              <w:rPr>
                <w:b/>
                <w:lang w:val="en-AU"/>
              </w:rPr>
              <w:t>N</w:t>
            </w:r>
            <w:r w:rsidRPr="00524EEA">
              <w:rPr>
                <w:b/>
                <w:vertAlign w:val="superscript"/>
                <w:lang w:val="en-AU"/>
              </w:rPr>
              <w:t>b</w:t>
            </w:r>
            <w:proofErr w:type="spellEnd"/>
          </w:p>
        </w:tc>
        <w:tc>
          <w:tcPr>
            <w:tcW w:w="1621" w:type="pct"/>
            <w:tcBorders>
              <w:top w:val="single" w:sz="4" w:space="0" w:color="auto"/>
              <w:left w:val="single" w:sz="4" w:space="0" w:color="auto"/>
              <w:bottom w:val="single" w:sz="4" w:space="0" w:color="auto"/>
              <w:right w:val="single" w:sz="4" w:space="0" w:color="auto"/>
            </w:tcBorders>
          </w:tcPr>
          <w:p w14:paraId="463F9D28" w14:textId="77777777" w:rsidR="0098288E" w:rsidRPr="00524EEA" w:rsidRDefault="0098288E" w:rsidP="001B18F1">
            <w:pPr>
              <w:pStyle w:val="A-TableText"/>
              <w:jc w:val="center"/>
              <w:rPr>
                <w:lang w:val="en-AU"/>
              </w:rPr>
            </w:pPr>
            <w:r w:rsidRPr="00524EEA">
              <w:rPr>
                <w:lang w:val="en-AU"/>
              </w:rPr>
              <w:t>70</w:t>
            </w:r>
          </w:p>
        </w:tc>
        <w:tc>
          <w:tcPr>
            <w:tcW w:w="1646" w:type="pct"/>
            <w:gridSpan w:val="2"/>
            <w:tcBorders>
              <w:top w:val="single" w:sz="4" w:space="0" w:color="auto"/>
              <w:left w:val="single" w:sz="4" w:space="0" w:color="auto"/>
              <w:bottom w:val="single" w:sz="4" w:space="0" w:color="auto"/>
              <w:right w:val="single" w:sz="4" w:space="0" w:color="auto"/>
            </w:tcBorders>
          </w:tcPr>
          <w:p w14:paraId="117CEAAA" w14:textId="77777777" w:rsidR="0098288E" w:rsidRPr="00524EEA" w:rsidRDefault="0098288E" w:rsidP="001B18F1">
            <w:pPr>
              <w:pStyle w:val="A-TableText"/>
              <w:jc w:val="center"/>
              <w:rPr>
                <w:lang w:val="en-AU"/>
              </w:rPr>
            </w:pPr>
            <w:r w:rsidRPr="00524EEA">
              <w:rPr>
                <w:lang w:val="en-AU"/>
              </w:rPr>
              <w:t>75</w:t>
            </w:r>
          </w:p>
        </w:tc>
      </w:tr>
      <w:tr w:rsidR="0098288E" w:rsidRPr="00524EEA" w14:paraId="7E062DAC" w14:textId="77777777" w:rsidTr="007B15E8">
        <w:tc>
          <w:tcPr>
            <w:tcW w:w="1733" w:type="pct"/>
            <w:tcBorders>
              <w:top w:val="single" w:sz="4" w:space="0" w:color="auto"/>
              <w:left w:val="single" w:sz="4" w:space="0" w:color="auto"/>
              <w:bottom w:val="single" w:sz="4" w:space="0" w:color="auto"/>
              <w:right w:val="single" w:sz="4" w:space="0" w:color="auto"/>
            </w:tcBorders>
          </w:tcPr>
          <w:p w14:paraId="2E40EDE8" w14:textId="77777777" w:rsidR="0098288E" w:rsidRPr="00524EEA" w:rsidRDefault="0098288E" w:rsidP="00AF2F06">
            <w:pPr>
              <w:pStyle w:val="A-TableText"/>
              <w:rPr>
                <w:b/>
                <w:lang w:val="en-AU"/>
              </w:rPr>
            </w:pPr>
            <w:r w:rsidRPr="00524EEA">
              <w:rPr>
                <w:b/>
                <w:lang w:val="en-AU"/>
              </w:rPr>
              <w:t>HbA1c (%)</w:t>
            </w:r>
          </w:p>
          <w:p w14:paraId="0BF3B39B" w14:textId="77777777" w:rsidR="0098288E" w:rsidRPr="00524EEA" w:rsidRDefault="0098288E" w:rsidP="00AF2F06">
            <w:pPr>
              <w:pStyle w:val="A-TableText"/>
              <w:rPr>
                <w:b/>
                <w:lang w:val="en-AU"/>
              </w:rPr>
            </w:pPr>
            <w:r w:rsidRPr="00524EEA">
              <w:rPr>
                <w:b/>
                <w:lang w:val="en-AU"/>
              </w:rPr>
              <w:t>Baseline (mean)</w:t>
            </w:r>
          </w:p>
          <w:p w14:paraId="1F3DE667" w14:textId="77777777" w:rsidR="0098288E" w:rsidRPr="00524EEA" w:rsidRDefault="0098288E" w:rsidP="00AF2F06">
            <w:pPr>
              <w:pStyle w:val="A-TableText"/>
              <w:rPr>
                <w:lang w:val="en-AU"/>
              </w:rPr>
            </w:pPr>
            <w:r w:rsidRPr="00524EEA">
              <w:rPr>
                <w:lang w:val="en-AU"/>
              </w:rPr>
              <w:t xml:space="preserve">Change from </w:t>
            </w:r>
            <w:proofErr w:type="spellStart"/>
            <w:r w:rsidRPr="00524EEA">
              <w:rPr>
                <w:lang w:val="en-AU"/>
              </w:rPr>
              <w:t>baseline</w:t>
            </w:r>
            <w:r w:rsidRPr="00524EEA">
              <w:rPr>
                <w:vertAlign w:val="superscript"/>
                <w:lang w:val="en-AU"/>
              </w:rPr>
              <w:t>c</w:t>
            </w:r>
            <w:proofErr w:type="spellEnd"/>
          </w:p>
          <w:p w14:paraId="24BCAD86" w14:textId="77777777" w:rsidR="0098288E" w:rsidRPr="00524EEA" w:rsidRDefault="0098288E" w:rsidP="00AF2F06">
            <w:pPr>
              <w:pStyle w:val="A-TableText"/>
              <w:rPr>
                <w:lang w:val="en-AU"/>
              </w:rPr>
            </w:pPr>
            <w:r w:rsidRPr="00524EEA">
              <w:rPr>
                <w:lang w:val="en-AU"/>
              </w:rPr>
              <w:t xml:space="preserve">Difference from </w:t>
            </w:r>
            <w:proofErr w:type="spellStart"/>
            <w:r w:rsidRPr="00524EEA">
              <w:rPr>
                <w:lang w:val="en-AU"/>
              </w:rPr>
              <w:t>placebo</w:t>
            </w:r>
            <w:r w:rsidRPr="00524EEA">
              <w:rPr>
                <w:vertAlign w:val="superscript"/>
                <w:lang w:val="en-AU"/>
              </w:rPr>
              <w:t>c</w:t>
            </w:r>
            <w:proofErr w:type="spellEnd"/>
          </w:p>
          <w:p w14:paraId="7559B8AE" w14:textId="77777777" w:rsidR="0098288E" w:rsidRPr="00524EEA" w:rsidRDefault="0098288E" w:rsidP="00AF2F06">
            <w:pPr>
              <w:pStyle w:val="A-TableText"/>
              <w:rPr>
                <w:lang w:val="en-AU"/>
              </w:rPr>
            </w:pPr>
            <w:r w:rsidRPr="00524EEA">
              <w:rPr>
                <w:lang w:val="en-AU"/>
              </w:rPr>
              <w:t>(95% CI)</w:t>
            </w:r>
          </w:p>
        </w:tc>
        <w:tc>
          <w:tcPr>
            <w:tcW w:w="1621" w:type="pct"/>
            <w:tcBorders>
              <w:top w:val="single" w:sz="4" w:space="0" w:color="auto"/>
              <w:left w:val="single" w:sz="4" w:space="0" w:color="auto"/>
              <w:bottom w:val="single" w:sz="4" w:space="0" w:color="auto"/>
              <w:right w:val="single" w:sz="4" w:space="0" w:color="auto"/>
            </w:tcBorders>
          </w:tcPr>
          <w:p w14:paraId="0E0EE499" w14:textId="77777777" w:rsidR="0098288E" w:rsidRPr="00524EEA" w:rsidRDefault="0098288E" w:rsidP="001B18F1">
            <w:pPr>
              <w:pStyle w:val="A-TableText"/>
              <w:jc w:val="center"/>
              <w:rPr>
                <w:lang w:val="en-AU"/>
              </w:rPr>
            </w:pPr>
          </w:p>
          <w:p w14:paraId="6C647EF2" w14:textId="77777777" w:rsidR="0098288E" w:rsidRPr="00524EEA" w:rsidRDefault="0098288E" w:rsidP="001B18F1">
            <w:pPr>
              <w:pStyle w:val="A-TableText"/>
              <w:jc w:val="center"/>
              <w:rPr>
                <w:lang w:val="en-AU"/>
              </w:rPr>
            </w:pPr>
            <w:r w:rsidRPr="00524EEA">
              <w:rPr>
                <w:lang w:val="en-AU"/>
              </w:rPr>
              <w:t>8.01</w:t>
            </w:r>
          </w:p>
          <w:p w14:paraId="6667010C" w14:textId="77777777" w:rsidR="0098288E" w:rsidRPr="00524EEA" w:rsidRDefault="0098288E" w:rsidP="001B18F1">
            <w:pPr>
              <w:pStyle w:val="A-TableText"/>
              <w:jc w:val="center"/>
              <w:rPr>
                <w:vertAlign w:val="superscript"/>
                <w:lang w:val="en-AU"/>
              </w:rPr>
            </w:pPr>
            <w:r w:rsidRPr="00524EEA">
              <w:rPr>
                <w:lang w:val="en-AU"/>
              </w:rPr>
              <w:noBreakHyphen/>
              <w:t>0.89</w:t>
            </w:r>
          </w:p>
          <w:p w14:paraId="18A0225F" w14:textId="77777777" w:rsidR="0098288E" w:rsidRPr="00524EEA" w:rsidRDefault="0098288E" w:rsidP="001B18F1">
            <w:pPr>
              <w:pStyle w:val="A-TableText"/>
              <w:jc w:val="center"/>
              <w:rPr>
                <w:lang w:val="en-AU"/>
              </w:rPr>
            </w:pPr>
            <w:r w:rsidRPr="00524EEA">
              <w:rPr>
                <w:lang w:val="en-AU"/>
              </w:rPr>
              <w:noBreakHyphen/>
              <w:t>0.66</w:t>
            </w:r>
            <w:r w:rsidRPr="00524EEA">
              <w:rPr>
                <w:vertAlign w:val="superscript"/>
                <w:lang w:val="en-AU"/>
              </w:rPr>
              <w:t>*</w:t>
            </w:r>
          </w:p>
          <w:p w14:paraId="52535766" w14:textId="77777777" w:rsidR="0098288E" w:rsidRPr="00524EEA" w:rsidRDefault="0098288E" w:rsidP="001B18F1">
            <w:pPr>
              <w:pStyle w:val="A-TableText"/>
              <w:jc w:val="center"/>
              <w:rPr>
                <w:lang w:val="en-AU"/>
              </w:rPr>
            </w:pPr>
            <w:r w:rsidRPr="00524EEA">
              <w:rPr>
                <w:lang w:val="en-AU"/>
              </w:rPr>
              <w:t>(</w:t>
            </w:r>
            <w:r w:rsidRPr="00524EEA">
              <w:rPr>
                <w:lang w:val="en-AU"/>
              </w:rPr>
              <w:noBreakHyphen/>
              <w:t xml:space="preserve">0.96, </w:t>
            </w:r>
            <w:r w:rsidRPr="00524EEA">
              <w:rPr>
                <w:lang w:val="en-AU"/>
              </w:rPr>
              <w:noBreakHyphen/>
              <w:t>0.36)</w:t>
            </w:r>
          </w:p>
        </w:tc>
        <w:tc>
          <w:tcPr>
            <w:tcW w:w="1646" w:type="pct"/>
            <w:gridSpan w:val="2"/>
            <w:tcBorders>
              <w:top w:val="single" w:sz="4" w:space="0" w:color="auto"/>
              <w:left w:val="single" w:sz="4" w:space="0" w:color="auto"/>
              <w:bottom w:val="single" w:sz="4" w:space="0" w:color="auto"/>
              <w:right w:val="single" w:sz="4" w:space="0" w:color="auto"/>
            </w:tcBorders>
          </w:tcPr>
          <w:p w14:paraId="624CC96E" w14:textId="77777777" w:rsidR="0098288E" w:rsidRPr="00524EEA" w:rsidRDefault="0098288E" w:rsidP="001B18F1">
            <w:pPr>
              <w:pStyle w:val="A-TableText"/>
              <w:jc w:val="center"/>
              <w:rPr>
                <w:lang w:val="en-AU"/>
              </w:rPr>
            </w:pPr>
          </w:p>
          <w:p w14:paraId="36D877F3" w14:textId="77777777" w:rsidR="0098288E" w:rsidRPr="00524EEA" w:rsidRDefault="0098288E" w:rsidP="001B18F1">
            <w:pPr>
              <w:pStyle w:val="A-TableText"/>
              <w:jc w:val="center"/>
              <w:rPr>
                <w:lang w:val="en-AU"/>
              </w:rPr>
            </w:pPr>
            <w:r w:rsidRPr="00524EEA">
              <w:rPr>
                <w:lang w:val="en-AU"/>
              </w:rPr>
              <w:t>7.79</w:t>
            </w:r>
          </w:p>
          <w:p w14:paraId="297E69D7" w14:textId="77777777" w:rsidR="0098288E" w:rsidRPr="00524EEA" w:rsidRDefault="0098288E" w:rsidP="001B18F1">
            <w:pPr>
              <w:pStyle w:val="A-TableText"/>
              <w:jc w:val="center"/>
              <w:rPr>
                <w:lang w:val="en-AU"/>
              </w:rPr>
            </w:pPr>
            <w:r w:rsidRPr="00524EEA">
              <w:rPr>
                <w:lang w:val="en-AU"/>
              </w:rPr>
              <w:noBreakHyphen/>
              <w:t>0.23</w:t>
            </w:r>
          </w:p>
          <w:p w14:paraId="71AF184C" w14:textId="77777777" w:rsidR="0098288E" w:rsidRPr="00524EEA" w:rsidRDefault="0098288E" w:rsidP="001B18F1">
            <w:pPr>
              <w:pStyle w:val="A-TableText"/>
              <w:jc w:val="center"/>
              <w:rPr>
                <w:lang w:val="en-AU"/>
              </w:rPr>
            </w:pPr>
          </w:p>
          <w:p w14:paraId="6544087A" w14:textId="77777777" w:rsidR="0098288E" w:rsidRPr="00524EEA" w:rsidRDefault="0098288E" w:rsidP="001B18F1">
            <w:pPr>
              <w:pStyle w:val="A-TableText"/>
              <w:jc w:val="center"/>
              <w:rPr>
                <w:lang w:val="en-AU"/>
              </w:rPr>
            </w:pPr>
          </w:p>
        </w:tc>
      </w:tr>
      <w:tr w:rsidR="0098288E" w:rsidRPr="00524EEA" w14:paraId="7D937078" w14:textId="77777777" w:rsidTr="007B15E8">
        <w:tc>
          <w:tcPr>
            <w:tcW w:w="1733" w:type="pct"/>
            <w:tcBorders>
              <w:top w:val="single" w:sz="4" w:space="0" w:color="auto"/>
              <w:left w:val="single" w:sz="4" w:space="0" w:color="auto"/>
              <w:bottom w:val="single" w:sz="4" w:space="0" w:color="auto"/>
              <w:right w:val="single" w:sz="4" w:space="0" w:color="auto"/>
            </w:tcBorders>
          </w:tcPr>
          <w:p w14:paraId="4E131B44" w14:textId="77777777" w:rsidR="0098288E" w:rsidRPr="00524EEA" w:rsidRDefault="0098288E" w:rsidP="00AF2F06">
            <w:pPr>
              <w:pStyle w:val="A-TableText"/>
              <w:rPr>
                <w:b/>
                <w:lang w:val="en-AU"/>
              </w:rPr>
            </w:pPr>
            <w:r w:rsidRPr="00524EEA">
              <w:rPr>
                <w:b/>
                <w:lang w:val="en-AU"/>
              </w:rPr>
              <w:t>Subjects (%) achieving:</w:t>
            </w:r>
          </w:p>
          <w:p w14:paraId="4E09DC3D" w14:textId="77777777" w:rsidR="0098288E" w:rsidRPr="00524EEA" w:rsidRDefault="0098288E" w:rsidP="00AF2F06">
            <w:pPr>
              <w:pStyle w:val="A-TableText"/>
              <w:rPr>
                <w:b/>
                <w:lang w:val="en-AU"/>
              </w:rPr>
            </w:pPr>
            <w:r w:rsidRPr="00524EEA">
              <w:rPr>
                <w:b/>
                <w:lang w:val="en-AU"/>
              </w:rPr>
              <w:t>HbA1c &lt; 7%</w:t>
            </w:r>
          </w:p>
          <w:p w14:paraId="6B52F683" w14:textId="77777777" w:rsidR="0098288E" w:rsidRPr="00524EEA" w:rsidRDefault="0098288E" w:rsidP="00AF2F06">
            <w:pPr>
              <w:pStyle w:val="A-TableText"/>
              <w:rPr>
                <w:lang w:val="en-AU"/>
              </w:rPr>
            </w:pPr>
            <w:r w:rsidRPr="00524EEA">
              <w:rPr>
                <w:lang w:val="en-AU"/>
              </w:rPr>
              <w:t>Adjusted for baseline</w:t>
            </w:r>
          </w:p>
        </w:tc>
        <w:tc>
          <w:tcPr>
            <w:tcW w:w="1621" w:type="pct"/>
            <w:tcBorders>
              <w:top w:val="single" w:sz="4" w:space="0" w:color="auto"/>
              <w:left w:val="single" w:sz="4" w:space="0" w:color="auto"/>
              <w:bottom w:val="single" w:sz="4" w:space="0" w:color="auto"/>
              <w:right w:val="single" w:sz="4" w:space="0" w:color="auto"/>
            </w:tcBorders>
          </w:tcPr>
          <w:p w14:paraId="68C7DE12" w14:textId="77777777" w:rsidR="0098288E" w:rsidRPr="00524EEA" w:rsidRDefault="0098288E" w:rsidP="001B18F1">
            <w:pPr>
              <w:pStyle w:val="A-TableText"/>
              <w:jc w:val="center"/>
              <w:rPr>
                <w:lang w:val="en-AU"/>
              </w:rPr>
            </w:pPr>
          </w:p>
          <w:p w14:paraId="569F5AB0" w14:textId="77777777" w:rsidR="0098288E" w:rsidRPr="00524EEA" w:rsidRDefault="0098288E" w:rsidP="001B18F1">
            <w:pPr>
              <w:pStyle w:val="A-TableText"/>
              <w:jc w:val="center"/>
              <w:rPr>
                <w:lang w:val="en-AU"/>
              </w:rPr>
            </w:pPr>
          </w:p>
          <w:p w14:paraId="3A66FF55" w14:textId="77777777" w:rsidR="0098288E" w:rsidRPr="00524EEA" w:rsidRDefault="0098288E" w:rsidP="001B18F1">
            <w:pPr>
              <w:pStyle w:val="A-TableText"/>
              <w:jc w:val="center"/>
              <w:rPr>
                <w:lang w:val="en-AU"/>
              </w:rPr>
            </w:pPr>
            <w:r w:rsidRPr="00524EEA">
              <w:rPr>
                <w:lang w:val="en-AU"/>
              </w:rPr>
              <w:t>50.8</w:t>
            </w:r>
            <w:r w:rsidRPr="00524EEA">
              <w:rPr>
                <w:vertAlign w:val="superscript"/>
                <w:lang w:val="en-AU"/>
              </w:rPr>
              <w:t>§</w:t>
            </w:r>
          </w:p>
        </w:tc>
        <w:tc>
          <w:tcPr>
            <w:tcW w:w="1646" w:type="pct"/>
            <w:gridSpan w:val="2"/>
            <w:tcBorders>
              <w:top w:val="single" w:sz="4" w:space="0" w:color="auto"/>
              <w:left w:val="single" w:sz="4" w:space="0" w:color="auto"/>
              <w:bottom w:val="single" w:sz="4" w:space="0" w:color="auto"/>
              <w:right w:val="single" w:sz="4" w:space="0" w:color="auto"/>
            </w:tcBorders>
          </w:tcPr>
          <w:p w14:paraId="1C5E4137" w14:textId="77777777" w:rsidR="0098288E" w:rsidRPr="00524EEA" w:rsidRDefault="0098288E" w:rsidP="001B18F1">
            <w:pPr>
              <w:pStyle w:val="A-TableText"/>
              <w:jc w:val="center"/>
              <w:rPr>
                <w:lang w:val="en-AU"/>
              </w:rPr>
            </w:pPr>
          </w:p>
          <w:p w14:paraId="66F88C95" w14:textId="77777777" w:rsidR="0098288E" w:rsidRPr="00524EEA" w:rsidRDefault="0098288E" w:rsidP="001B18F1">
            <w:pPr>
              <w:pStyle w:val="A-TableText"/>
              <w:jc w:val="center"/>
              <w:rPr>
                <w:lang w:val="en-AU"/>
              </w:rPr>
            </w:pPr>
          </w:p>
          <w:p w14:paraId="68361368" w14:textId="77777777" w:rsidR="0098288E" w:rsidRPr="00524EEA" w:rsidRDefault="0098288E" w:rsidP="001B18F1">
            <w:pPr>
              <w:pStyle w:val="A-TableText"/>
              <w:jc w:val="center"/>
              <w:rPr>
                <w:lang w:val="en-AU"/>
              </w:rPr>
            </w:pPr>
            <w:r w:rsidRPr="00524EEA">
              <w:rPr>
                <w:lang w:val="en-AU"/>
              </w:rPr>
              <w:t>31.6</w:t>
            </w:r>
          </w:p>
        </w:tc>
      </w:tr>
      <w:tr w:rsidR="0098288E" w:rsidRPr="00524EEA" w14:paraId="6BCD6C38" w14:textId="77777777" w:rsidTr="007B15E8">
        <w:tc>
          <w:tcPr>
            <w:tcW w:w="1733" w:type="pct"/>
            <w:tcBorders>
              <w:top w:val="single" w:sz="4" w:space="0" w:color="auto"/>
              <w:left w:val="single" w:sz="4" w:space="0" w:color="auto"/>
              <w:bottom w:val="single" w:sz="4" w:space="0" w:color="auto"/>
              <w:right w:val="single" w:sz="4" w:space="0" w:color="auto"/>
            </w:tcBorders>
          </w:tcPr>
          <w:p w14:paraId="1C4E96D2" w14:textId="77777777" w:rsidR="0098288E" w:rsidRPr="00524EEA" w:rsidRDefault="0098288E" w:rsidP="00AF2F06">
            <w:pPr>
              <w:pStyle w:val="A-TableText"/>
              <w:rPr>
                <w:b/>
                <w:lang w:val="en-AU"/>
              </w:rPr>
            </w:pPr>
            <w:r w:rsidRPr="00524EEA">
              <w:rPr>
                <w:b/>
                <w:lang w:val="en-AU"/>
              </w:rPr>
              <w:t>Body weight (kg)</w:t>
            </w:r>
          </w:p>
          <w:p w14:paraId="0DFCA712" w14:textId="77777777" w:rsidR="0098288E" w:rsidRPr="00524EEA" w:rsidRDefault="0098288E" w:rsidP="00AF2F06">
            <w:pPr>
              <w:pStyle w:val="A-TableText"/>
              <w:rPr>
                <w:lang w:val="en-AU"/>
              </w:rPr>
            </w:pPr>
            <w:r w:rsidRPr="00524EEA">
              <w:rPr>
                <w:lang w:val="en-AU"/>
              </w:rPr>
              <w:t>Baseline (mean)</w:t>
            </w:r>
          </w:p>
          <w:p w14:paraId="30A21A88" w14:textId="77777777" w:rsidR="0098288E" w:rsidRPr="00524EEA" w:rsidRDefault="0098288E" w:rsidP="00AF2F06">
            <w:pPr>
              <w:pStyle w:val="A-TableText"/>
              <w:rPr>
                <w:lang w:val="en-AU"/>
              </w:rPr>
            </w:pPr>
            <w:r w:rsidRPr="00524EEA">
              <w:rPr>
                <w:lang w:val="en-AU"/>
              </w:rPr>
              <w:t xml:space="preserve">Change from </w:t>
            </w:r>
            <w:proofErr w:type="spellStart"/>
            <w:r w:rsidRPr="00524EEA">
              <w:rPr>
                <w:lang w:val="en-AU"/>
              </w:rPr>
              <w:t>baseline</w:t>
            </w:r>
            <w:r w:rsidRPr="00524EEA">
              <w:rPr>
                <w:vertAlign w:val="superscript"/>
                <w:lang w:val="en-AU"/>
              </w:rPr>
              <w:t>c</w:t>
            </w:r>
            <w:proofErr w:type="spellEnd"/>
          </w:p>
          <w:p w14:paraId="55E0A7B3" w14:textId="77777777" w:rsidR="0098288E" w:rsidRPr="00524EEA" w:rsidRDefault="0098288E" w:rsidP="00AF2F06">
            <w:pPr>
              <w:pStyle w:val="A-TableText"/>
              <w:rPr>
                <w:vertAlign w:val="superscript"/>
                <w:lang w:val="en-AU"/>
              </w:rPr>
            </w:pPr>
            <w:r w:rsidRPr="00524EEA">
              <w:rPr>
                <w:lang w:val="en-AU"/>
              </w:rPr>
              <w:t xml:space="preserve">Difference from </w:t>
            </w:r>
            <w:proofErr w:type="spellStart"/>
            <w:r w:rsidRPr="00524EEA">
              <w:rPr>
                <w:lang w:val="en-AU"/>
              </w:rPr>
              <w:t>placebo</w:t>
            </w:r>
            <w:r w:rsidRPr="00524EEA">
              <w:rPr>
                <w:vertAlign w:val="superscript"/>
                <w:lang w:val="en-AU"/>
              </w:rPr>
              <w:t>c</w:t>
            </w:r>
            <w:proofErr w:type="spellEnd"/>
          </w:p>
          <w:p w14:paraId="268E6521" w14:textId="77777777" w:rsidR="0098288E" w:rsidRPr="00524EEA" w:rsidRDefault="0098288E" w:rsidP="00AF2F06">
            <w:pPr>
              <w:pStyle w:val="A-TableText"/>
              <w:rPr>
                <w:lang w:val="en-AU"/>
              </w:rPr>
            </w:pPr>
            <w:r w:rsidRPr="00524EEA">
              <w:rPr>
                <w:lang w:val="en-AU"/>
              </w:rPr>
              <w:t>(95% CI)</w:t>
            </w:r>
          </w:p>
        </w:tc>
        <w:tc>
          <w:tcPr>
            <w:tcW w:w="1621" w:type="pct"/>
            <w:tcBorders>
              <w:top w:val="single" w:sz="4" w:space="0" w:color="auto"/>
              <w:left w:val="single" w:sz="4" w:space="0" w:color="auto"/>
              <w:bottom w:val="single" w:sz="4" w:space="0" w:color="auto"/>
              <w:right w:val="single" w:sz="4" w:space="0" w:color="auto"/>
            </w:tcBorders>
          </w:tcPr>
          <w:p w14:paraId="3FCA7A6E" w14:textId="77777777" w:rsidR="0098288E" w:rsidRPr="00524EEA" w:rsidRDefault="0098288E" w:rsidP="001B18F1">
            <w:pPr>
              <w:pStyle w:val="A-TableText"/>
              <w:jc w:val="center"/>
              <w:rPr>
                <w:lang w:val="en-AU"/>
              </w:rPr>
            </w:pPr>
          </w:p>
          <w:p w14:paraId="55C7A6D3" w14:textId="77777777" w:rsidR="0098288E" w:rsidRPr="00524EEA" w:rsidRDefault="0098288E" w:rsidP="001B18F1">
            <w:pPr>
              <w:pStyle w:val="A-TableText"/>
              <w:jc w:val="center"/>
              <w:rPr>
                <w:lang w:val="en-AU"/>
              </w:rPr>
            </w:pPr>
            <w:r w:rsidRPr="00524EEA">
              <w:rPr>
                <w:lang w:val="en-AU"/>
              </w:rPr>
              <w:t>94.13</w:t>
            </w:r>
          </w:p>
          <w:p w14:paraId="6757D6D3" w14:textId="77777777" w:rsidR="0098288E" w:rsidRPr="00524EEA" w:rsidRDefault="0098288E" w:rsidP="001B18F1">
            <w:pPr>
              <w:pStyle w:val="A-TableText"/>
              <w:jc w:val="center"/>
              <w:rPr>
                <w:lang w:val="en-AU"/>
              </w:rPr>
            </w:pPr>
            <w:r w:rsidRPr="00524EEA">
              <w:rPr>
                <w:lang w:val="en-AU"/>
              </w:rPr>
              <w:noBreakHyphen/>
              <w:t>3.16</w:t>
            </w:r>
          </w:p>
          <w:p w14:paraId="2FD94541" w14:textId="77777777" w:rsidR="0098288E" w:rsidRPr="00524EEA" w:rsidRDefault="0098288E" w:rsidP="001B18F1">
            <w:pPr>
              <w:pStyle w:val="A-TableText"/>
              <w:jc w:val="center"/>
              <w:rPr>
                <w:lang w:val="en-AU"/>
              </w:rPr>
            </w:pPr>
            <w:r w:rsidRPr="00524EEA">
              <w:rPr>
                <w:lang w:val="en-AU"/>
              </w:rPr>
              <w:noBreakHyphen/>
              <w:t>0.97</w:t>
            </w:r>
          </w:p>
          <w:p w14:paraId="3D4297F8" w14:textId="77777777" w:rsidR="0098288E" w:rsidRPr="00524EEA" w:rsidRDefault="0098288E" w:rsidP="001B18F1">
            <w:pPr>
              <w:pStyle w:val="A-TableText"/>
              <w:jc w:val="center"/>
              <w:rPr>
                <w:lang w:val="en-AU"/>
              </w:rPr>
            </w:pPr>
            <w:r w:rsidRPr="00524EEA">
              <w:rPr>
                <w:lang w:val="en-AU"/>
              </w:rPr>
              <w:t>(</w:t>
            </w:r>
            <w:r w:rsidRPr="00524EEA">
              <w:rPr>
                <w:lang w:val="en-AU"/>
              </w:rPr>
              <w:noBreakHyphen/>
              <w:t>2.20, 0.25)</w:t>
            </w:r>
          </w:p>
        </w:tc>
        <w:tc>
          <w:tcPr>
            <w:tcW w:w="1646" w:type="pct"/>
            <w:gridSpan w:val="2"/>
            <w:tcBorders>
              <w:top w:val="single" w:sz="4" w:space="0" w:color="auto"/>
              <w:left w:val="single" w:sz="4" w:space="0" w:color="auto"/>
              <w:bottom w:val="single" w:sz="4" w:space="0" w:color="auto"/>
              <w:right w:val="single" w:sz="4" w:space="0" w:color="auto"/>
            </w:tcBorders>
          </w:tcPr>
          <w:p w14:paraId="3ECCD844" w14:textId="77777777" w:rsidR="0098288E" w:rsidRPr="00524EEA" w:rsidRDefault="0098288E" w:rsidP="001B18F1">
            <w:pPr>
              <w:pStyle w:val="A-TableText"/>
              <w:jc w:val="center"/>
              <w:rPr>
                <w:lang w:val="en-AU"/>
              </w:rPr>
            </w:pPr>
          </w:p>
          <w:p w14:paraId="53917401" w14:textId="77777777" w:rsidR="0098288E" w:rsidRPr="00524EEA" w:rsidRDefault="0098288E" w:rsidP="001B18F1">
            <w:pPr>
              <w:pStyle w:val="A-TableText"/>
              <w:jc w:val="center"/>
              <w:rPr>
                <w:lang w:val="en-AU"/>
              </w:rPr>
            </w:pPr>
            <w:r w:rsidRPr="00524EEA">
              <w:rPr>
                <w:lang w:val="en-AU"/>
              </w:rPr>
              <w:t>88.77</w:t>
            </w:r>
          </w:p>
          <w:p w14:paraId="0E1C3943" w14:textId="77777777" w:rsidR="0098288E" w:rsidRPr="00524EEA" w:rsidRDefault="0098288E" w:rsidP="001B18F1">
            <w:pPr>
              <w:pStyle w:val="A-TableText"/>
              <w:jc w:val="center"/>
              <w:rPr>
                <w:lang w:val="en-AU"/>
              </w:rPr>
            </w:pPr>
            <w:r w:rsidRPr="00524EEA">
              <w:rPr>
                <w:lang w:val="en-AU"/>
              </w:rPr>
              <w:noBreakHyphen/>
              <w:t>2.19</w:t>
            </w:r>
          </w:p>
        </w:tc>
      </w:tr>
      <w:tr w:rsidR="0098288E" w:rsidRPr="00524EEA" w14:paraId="6D6E8395" w14:textId="77777777" w:rsidTr="007B15E8">
        <w:trPr>
          <w:gridAfter w:val="1"/>
          <w:wAfter w:w="98" w:type="pct"/>
          <w:trHeight w:val="746"/>
        </w:trPr>
        <w:tc>
          <w:tcPr>
            <w:tcW w:w="4902" w:type="pct"/>
            <w:gridSpan w:val="3"/>
            <w:tcBorders>
              <w:top w:val="nil"/>
              <w:bottom w:val="nil"/>
            </w:tcBorders>
          </w:tcPr>
          <w:p w14:paraId="42BD98FA" w14:textId="77777777" w:rsidR="0098288E" w:rsidRPr="00524EEA" w:rsidRDefault="0098288E" w:rsidP="003501A4">
            <w:pPr>
              <w:pStyle w:val="A-TableFootnoteText"/>
              <w:jc w:val="left"/>
            </w:pPr>
            <w:r w:rsidRPr="00524EEA">
              <w:rPr>
                <w:vertAlign w:val="superscript"/>
              </w:rPr>
              <w:t>a</w:t>
            </w:r>
            <w:r w:rsidRPr="00524EEA">
              <w:t xml:space="preserve"> LOCF: Last observation (prior to rescue for rescued subjects) carried forward</w:t>
            </w:r>
          </w:p>
          <w:p w14:paraId="7EA299BD" w14:textId="77777777" w:rsidR="0098288E" w:rsidRPr="00524EEA" w:rsidRDefault="0098288E" w:rsidP="003501A4">
            <w:pPr>
              <w:pStyle w:val="A-TableFootnoteText"/>
              <w:jc w:val="left"/>
            </w:pPr>
            <w:r w:rsidRPr="00524EEA">
              <w:rPr>
                <w:vertAlign w:val="superscript"/>
              </w:rPr>
              <w:t xml:space="preserve">b </w:t>
            </w:r>
            <w:r w:rsidRPr="00524EEA">
              <w:t>All randomised subjects who took at least one dose of double-blind study medication during the short</w:t>
            </w:r>
            <w:r w:rsidRPr="00524EEA">
              <w:noBreakHyphen/>
              <w:t>term double</w:t>
            </w:r>
            <w:r w:rsidRPr="00524EEA">
              <w:noBreakHyphen/>
              <w:t>blind period</w:t>
            </w:r>
          </w:p>
          <w:p w14:paraId="3EF0EF95" w14:textId="77777777" w:rsidR="0098288E" w:rsidRPr="00524EEA" w:rsidRDefault="0098288E" w:rsidP="003501A4">
            <w:pPr>
              <w:pStyle w:val="A-TableFootnoteText"/>
              <w:jc w:val="left"/>
              <w:rPr>
                <w:vertAlign w:val="superscript"/>
              </w:rPr>
            </w:pPr>
            <w:r w:rsidRPr="00524EEA">
              <w:rPr>
                <w:vertAlign w:val="superscript"/>
              </w:rPr>
              <w:t xml:space="preserve">c </w:t>
            </w:r>
            <w:r w:rsidRPr="00524EEA">
              <w:t>Least squares mean adjusted for baseline value</w:t>
            </w:r>
          </w:p>
          <w:p w14:paraId="3C23EDC9" w14:textId="77777777" w:rsidR="0098288E" w:rsidRPr="00524EEA" w:rsidRDefault="0098288E" w:rsidP="003501A4">
            <w:pPr>
              <w:pStyle w:val="A-TableFootnoteText"/>
              <w:jc w:val="left"/>
            </w:pPr>
            <w:r w:rsidRPr="00524EEA">
              <w:rPr>
                <w:vertAlign w:val="superscript"/>
              </w:rPr>
              <w:t xml:space="preserve">*  </w:t>
            </w:r>
            <w:r w:rsidRPr="00524EEA">
              <w:t>p</w:t>
            </w:r>
            <w:r w:rsidRPr="00524EEA">
              <w:noBreakHyphen/>
              <w:t>value &lt; 0.0001 versus placebo</w:t>
            </w:r>
          </w:p>
          <w:p w14:paraId="49661CDF" w14:textId="77777777" w:rsidR="0098288E" w:rsidRPr="00524EEA" w:rsidRDefault="0098288E" w:rsidP="003501A4">
            <w:pPr>
              <w:pStyle w:val="A-TableFootnoteText"/>
              <w:jc w:val="left"/>
              <w:rPr>
                <w:szCs w:val="18"/>
              </w:rPr>
            </w:pPr>
            <w:r w:rsidRPr="00524EEA">
              <w:rPr>
                <w:vertAlign w:val="superscript"/>
              </w:rPr>
              <w:t xml:space="preserve">§ </w:t>
            </w:r>
            <w:r w:rsidRPr="00524EEA">
              <w:t>Not evaluated for statistical significance as a result of the sequential testing procedure for secondary end points</w:t>
            </w:r>
          </w:p>
        </w:tc>
      </w:tr>
    </w:tbl>
    <w:p w14:paraId="256AF371" w14:textId="77777777" w:rsidR="0098288E" w:rsidRPr="00524EEA" w:rsidRDefault="0098288E" w:rsidP="00C07BC4">
      <w:pPr>
        <w:pStyle w:val="Heading4nobookmark"/>
      </w:pPr>
      <w:bookmarkStart w:id="72" w:name="_Toc201050746"/>
      <w:bookmarkStart w:id="73" w:name="_Toc279132159"/>
      <w:r w:rsidRPr="00524EEA">
        <w:t>Combination Therapy</w:t>
      </w:r>
      <w:bookmarkEnd w:id="72"/>
      <w:bookmarkEnd w:id="73"/>
    </w:p>
    <w:p w14:paraId="1309FD50" w14:textId="7B9FCAB1" w:rsidR="0098288E" w:rsidRPr="00524EEA" w:rsidRDefault="0098288E" w:rsidP="0098288E">
      <w:r w:rsidRPr="00524EEA">
        <w:t xml:space="preserve">FORXIGA was studied as add-on to metformin, add-on to a sulfonylurea (glimepiride), add-on to metformin and a sulfonylurea, add-on to a </w:t>
      </w:r>
      <w:r w:rsidRPr="00524EEA">
        <w:rPr>
          <w:iCs/>
        </w:rPr>
        <w:t>DPP4 inhibitor (</w:t>
      </w:r>
      <w:proofErr w:type="spellStart"/>
      <w:r w:rsidRPr="00524EEA">
        <w:rPr>
          <w:iCs/>
        </w:rPr>
        <w:t>sitagliptin</w:t>
      </w:r>
      <w:proofErr w:type="spellEnd"/>
      <w:r w:rsidRPr="00524EEA">
        <w:rPr>
          <w:iCs/>
        </w:rPr>
        <w:t xml:space="preserve"> [with or without metformin], </w:t>
      </w:r>
      <w:proofErr w:type="spellStart"/>
      <w:r w:rsidRPr="00524EEA">
        <w:rPr>
          <w:iCs/>
        </w:rPr>
        <w:t>saxagliptin</w:t>
      </w:r>
      <w:proofErr w:type="spellEnd"/>
      <w:r w:rsidRPr="00524EEA">
        <w:rPr>
          <w:iCs/>
        </w:rPr>
        <w:t xml:space="preserve"> with metformin),</w:t>
      </w:r>
      <w:r w:rsidRPr="00524EEA">
        <w:t xml:space="preserve"> add-on to insulin (with or without other antidiabetic therapies)</w:t>
      </w:r>
      <w:r w:rsidR="001C3D59" w:rsidRPr="00524EEA">
        <w:t xml:space="preserve"> and when initiated concomitantly with a GLP-1 receptor agonist (extended release </w:t>
      </w:r>
      <w:proofErr w:type="spellStart"/>
      <w:r w:rsidR="001C3D59" w:rsidRPr="00524EEA">
        <w:t>exenatide</w:t>
      </w:r>
      <w:proofErr w:type="spellEnd"/>
      <w:r w:rsidR="001C3D59" w:rsidRPr="00524EEA">
        <w:t>) on a background of metformin</w:t>
      </w:r>
      <w:r w:rsidRPr="00524EEA">
        <w:t>.</w:t>
      </w:r>
    </w:p>
    <w:p w14:paraId="315BC602" w14:textId="77777777" w:rsidR="0098288E" w:rsidRPr="00524EEA" w:rsidRDefault="0098288E" w:rsidP="00C07BC4">
      <w:pPr>
        <w:pStyle w:val="Heading5nobookmark"/>
      </w:pPr>
      <w:r w:rsidRPr="00524EEA">
        <w:t>Initial Combination Therapy with Metformin</w:t>
      </w:r>
    </w:p>
    <w:p w14:paraId="59B88D1A" w14:textId="28718D76" w:rsidR="003677DA" w:rsidRPr="00524EEA" w:rsidRDefault="0098288E" w:rsidP="0098288E">
      <w:r w:rsidRPr="00524EEA">
        <w:t>6</w:t>
      </w:r>
      <w:r w:rsidR="006A76C6" w:rsidRPr="00524EEA">
        <w:t>38</w:t>
      </w:r>
      <w:r w:rsidRPr="00524EEA">
        <w:t xml:space="preserve"> patients </w:t>
      </w:r>
      <w:r w:rsidR="001C3D59" w:rsidRPr="00524EEA">
        <w:t>randomised</w:t>
      </w:r>
      <w:r w:rsidR="00A33C9A" w:rsidRPr="00524EEA">
        <w:t xml:space="preserve"> </w:t>
      </w:r>
      <w:r w:rsidRPr="00524EEA">
        <w:t>to one of three treatment arms following a 1-week lead-in period</w:t>
      </w:r>
      <w:r w:rsidR="006A76C6" w:rsidRPr="00524EEA">
        <w:t xml:space="preserve"> received </w:t>
      </w:r>
      <w:r w:rsidRPr="00524EEA">
        <w:t>: FORXIGA 10 mg plus metformin XR (up to 2000 mg per day), FORXIGA 10 mg plus placebo, or metformin XR (up to 2000 mg per day) plus placebo.  Metformin dose was up-titrated weekly in 500 mg increments, as tolerated, with the maximum and median dose achieved  being 2000 mg.  The patients were treatment-naïve, defined as either never having received diabetes medication or having had such for less than 24 weeks since the diagnosis of diabetes, not for more than 14 days during the 12 weeks prior to enrolment, and not at all during the 4 weeks prior to enrolment.</w:t>
      </w:r>
      <w:r w:rsidR="003677DA" w:rsidRPr="00524EEA">
        <w:t xml:space="preserve"> </w:t>
      </w:r>
    </w:p>
    <w:p w14:paraId="6106254D" w14:textId="77777777" w:rsidR="00D43FA6" w:rsidRDefault="00D43FA6" w:rsidP="0098288E"/>
    <w:p w14:paraId="1A9F6BD5" w14:textId="7483028F" w:rsidR="0098288E" w:rsidRPr="00524EEA" w:rsidRDefault="0098288E" w:rsidP="0098288E">
      <w:r w:rsidRPr="00524EEA">
        <w:t>The combination treatment of FORXIGA 10 mg plus metformin provided significant improvements in HbA1c and FPG, compared with either of the monotherapy treatments and significant improvements in body weight compared with metformin alone. (</w:t>
      </w:r>
      <w:r w:rsidR="00715483" w:rsidRPr="00524EEA">
        <w:t>Table 3</w:t>
      </w:r>
      <w:r w:rsidRPr="00524EEA">
        <w:t>).  FORXIGA 10 mg as monotherapy also provided significant improvements in FPG and body weight compared with metformin alone and was non-inferior to metformin monotherapy in lowering HbA1c.  The proportion of patients who were rescued or discontinued for lack of glycaemic control during the 24 week double-blind treatment period (adjusted for baseline HbA1c) was higher on treatment with metformin plus placebo (13.5%) than on FORXIGA 10 mg plus placebo and FORXIGA 10 mg plus metformin (7.8%, and 1.4%).</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6"/>
        <w:gridCol w:w="1800"/>
        <w:gridCol w:w="1611"/>
        <w:gridCol w:w="1539"/>
      </w:tblGrid>
      <w:tr w:rsidR="0098288E" w:rsidRPr="00524EEA" w14:paraId="138907C6" w14:textId="77777777" w:rsidTr="00524EEA">
        <w:trPr>
          <w:tblHeader/>
          <w:jc w:val="center"/>
        </w:trPr>
        <w:tc>
          <w:tcPr>
            <w:tcW w:w="9076" w:type="dxa"/>
            <w:gridSpan w:val="4"/>
            <w:tcBorders>
              <w:top w:val="nil"/>
              <w:left w:val="nil"/>
              <w:bottom w:val="single" w:sz="4" w:space="0" w:color="auto"/>
              <w:right w:val="nil"/>
            </w:tcBorders>
          </w:tcPr>
          <w:p w14:paraId="1B652D56" w14:textId="4178F47E" w:rsidR="00D43FA6" w:rsidRPr="00D43FA6" w:rsidRDefault="00715483" w:rsidP="00AF7D0B">
            <w:pPr>
              <w:pStyle w:val="A-TableTitle"/>
              <w:rPr>
                <w:lang w:val="en-AU"/>
              </w:rPr>
            </w:pPr>
            <w:r w:rsidRPr="00524EEA">
              <w:rPr>
                <w:lang w:val="en-AU"/>
              </w:rPr>
              <w:t>Table 3</w:t>
            </w:r>
            <w:r w:rsidR="001B18F1" w:rsidRPr="00524EEA">
              <w:rPr>
                <w:lang w:val="en-AU"/>
              </w:rPr>
              <w:t>.</w:t>
            </w:r>
            <w:r w:rsidR="0098288E" w:rsidRPr="00524EEA">
              <w:rPr>
                <w:lang w:val="en-AU"/>
              </w:rPr>
              <w:tab/>
              <w:t>Results at Week 24 (LOCF*) in an Active-Controlled Study of FORXIGA Initial Combination Therapy with Metformin XR</w:t>
            </w:r>
          </w:p>
        </w:tc>
      </w:tr>
      <w:tr w:rsidR="0098288E" w:rsidRPr="00524EEA" w14:paraId="7279C72F" w14:textId="77777777" w:rsidTr="00524EEA">
        <w:trPr>
          <w:tblHeader/>
          <w:jc w:val="center"/>
        </w:trPr>
        <w:tc>
          <w:tcPr>
            <w:tcW w:w="4126" w:type="dxa"/>
            <w:tcBorders>
              <w:top w:val="single" w:sz="4" w:space="0" w:color="auto"/>
              <w:left w:val="single" w:sz="4" w:space="0" w:color="auto"/>
              <w:bottom w:val="nil"/>
              <w:right w:val="single" w:sz="4" w:space="0" w:color="auto"/>
            </w:tcBorders>
          </w:tcPr>
          <w:p w14:paraId="0AFBEE01" w14:textId="77777777" w:rsidR="0098288E" w:rsidRPr="00524EEA" w:rsidRDefault="0098288E" w:rsidP="001B18F1">
            <w:pPr>
              <w:pStyle w:val="A-TableHeader"/>
              <w:rPr>
                <w:lang w:val="en-AU"/>
              </w:rPr>
            </w:pPr>
            <w:r w:rsidRPr="00524EEA">
              <w:rPr>
                <w:lang w:val="en-AU"/>
              </w:rPr>
              <w:t>Efficacy Parameter</w:t>
            </w:r>
          </w:p>
        </w:tc>
        <w:tc>
          <w:tcPr>
            <w:tcW w:w="1800" w:type="dxa"/>
            <w:tcBorders>
              <w:top w:val="single" w:sz="4" w:space="0" w:color="auto"/>
              <w:left w:val="single" w:sz="4" w:space="0" w:color="auto"/>
              <w:bottom w:val="nil"/>
              <w:right w:val="single" w:sz="4" w:space="0" w:color="auto"/>
            </w:tcBorders>
          </w:tcPr>
          <w:p w14:paraId="361BAE4D" w14:textId="4A152F47" w:rsidR="00AB5FB9" w:rsidRPr="00524EEA" w:rsidRDefault="0098288E" w:rsidP="001B18F1">
            <w:pPr>
              <w:pStyle w:val="A-TableHeader"/>
              <w:jc w:val="center"/>
              <w:rPr>
                <w:lang w:val="en-AU"/>
              </w:rPr>
            </w:pPr>
            <w:r w:rsidRPr="00524EEA">
              <w:rPr>
                <w:lang w:val="en-AU"/>
              </w:rPr>
              <w:t>FORXIGA</w:t>
            </w:r>
          </w:p>
          <w:p w14:paraId="15AB90CA" w14:textId="77777777" w:rsidR="00AB5FB9" w:rsidRPr="00524EEA" w:rsidRDefault="00AB5FB9" w:rsidP="001B18F1">
            <w:pPr>
              <w:pStyle w:val="A-TableHeader"/>
              <w:jc w:val="center"/>
              <w:rPr>
                <w:lang w:val="en-AU"/>
              </w:rPr>
            </w:pPr>
            <w:r w:rsidRPr="00524EEA">
              <w:rPr>
                <w:lang w:val="en-AU"/>
              </w:rPr>
              <w:t>10 mg +</w:t>
            </w:r>
          </w:p>
          <w:p w14:paraId="7DE6633E" w14:textId="2F561D37" w:rsidR="0098288E" w:rsidRPr="00524EEA" w:rsidRDefault="00AB5FB9" w:rsidP="001B18F1">
            <w:pPr>
              <w:pStyle w:val="A-TableHeader"/>
              <w:jc w:val="center"/>
              <w:rPr>
                <w:lang w:val="en-AU"/>
              </w:rPr>
            </w:pPr>
            <w:r w:rsidRPr="00524EEA">
              <w:rPr>
                <w:lang w:val="en-AU"/>
              </w:rPr>
              <w:t>M</w:t>
            </w:r>
            <w:r w:rsidR="0098288E" w:rsidRPr="00524EEA">
              <w:rPr>
                <w:lang w:val="en-AU"/>
              </w:rPr>
              <w:t>etformin XR</w:t>
            </w:r>
          </w:p>
        </w:tc>
        <w:tc>
          <w:tcPr>
            <w:tcW w:w="1611" w:type="dxa"/>
            <w:tcBorders>
              <w:top w:val="single" w:sz="4" w:space="0" w:color="auto"/>
              <w:left w:val="single" w:sz="4" w:space="0" w:color="auto"/>
              <w:bottom w:val="nil"/>
              <w:right w:val="single" w:sz="4" w:space="0" w:color="auto"/>
            </w:tcBorders>
          </w:tcPr>
          <w:p w14:paraId="0A7A3B49" w14:textId="4F1A8212" w:rsidR="0098288E" w:rsidRPr="00524EEA" w:rsidRDefault="0098288E" w:rsidP="001B18F1">
            <w:pPr>
              <w:pStyle w:val="A-TableHeader"/>
              <w:jc w:val="center"/>
              <w:rPr>
                <w:lang w:val="en-AU"/>
              </w:rPr>
            </w:pPr>
            <w:r w:rsidRPr="00524EEA">
              <w:rPr>
                <w:lang w:val="en-AU"/>
              </w:rPr>
              <w:t>FORXIGA 10</w:t>
            </w:r>
            <w:r w:rsidR="001B18F1" w:rsidRPr="00524EEA">
              <w:rPr>
                <w:lang w:val="en-AU"/>
              </w:rPr>
              <w:t xml:space="preserve"> </w:t>
            </w:r>
            <w:r w:rsidRPr="00524EEA">
              <w:rPr>
                <w:lang w:val="en-AU"/>
              </w:rPr>
              <w:t>mg</w:t>
            </w:r>
          </w:p>
        </w:tc>
        <w:tc>
          <w:tcPr>
            <w:tcW w:w="1539" w:type="dxa"/>
            <w:tcBorders>
              <w:top w:val="single" w:sz="4" w:space="0" w:color="auto"/>
              <w:left w:val="single" w:sz="4" w:space="0" w:color="auto"/>
              <w:bottom w:val="nil"/>
              <w:right w:val="single" w:sz="4" w:space="0" w:color="auto"/>
            </w:tcBorders>
          </w:tcPr>
          <w:p w14:paraId="0E411971" w14:textId="26EB0743" w:rsidR="0098288E" w:rsidRPr="00524EEA" w:rsidRDefault="0098288E" w:rsidP="001B18F1">
            <w:pPr>
              <w:pStyle w:val="A-TableHeader"/>
              <w:jc w:val="center"/>
              <w:rPr>
                <w:lang w:val="en-AU"/>
              </w:rPr>
            </w:pPr>
            <w:r w:rsidRPr="00524EEA">
              <w:rPr>
                <w:lang w:val="en-AU"/>
              </w:rPr>
              <w:t>Metformin XR</w:t>
            </w:r>
          </w:p>
        </w:tc>
      </w:tr>
      <w:tr w:rsidR="0098288E" w:rsidRPr="00524EEA" w14:paraId="5E5CF0B5" w14:textId="77777777" w:rsidTr="00524EEA">
        <w:trPr>
          <w:jc w:val="center"/>
        </w:trPr>
        <w:tc>
          <w:tcPr>
            <w:tcW w:w="4126" w:type="dxa"/>
            <w:tcBorders>
              <w:top w:val="nil"/>
              <w:left w:val="single" w:sz="4" w:space="0" w:color="auto"/>
              <w:bottom w:val="single" w:sz="4" w:space="0" w:color="auto"/>
              <w:right w:val="single" w:sz="4" w:space="0" w:color="auto"/>
            </w:tcBorders>
          </w:tcPr>
          <w:p w14:paraId="44DB4CB0" w14:textId="77777777" w:rsidR="0098288E" w:rsidRPr="00524EEA" w:rsidRDefault="0098288E" w:rsidP="001B18F1">
            <w:pPr>
              <w:pStyle w:val="A-TableHeader"/>
              <w:rPr>
                <w:lang w:val="en-AU"/>
              </w:rPr>
            </w:pPr>
          </w:p>
        </w:tc>
        <w:tc>
          <w:tcPr>
            <w:tcW w:w="1800" w:type="dxa"/>
            <w:tcBorders>
              <w:top w:val="nil"/>
              <w:left w:val="single" w:sz="4" w:space="0" w:color="auto"/>
              <w:bottom w:val="single" w:sz="4" w:space="0" w:color="auto"/>
              <w:right w:val="single" w:sz="4" w:space="0" w:color="auto"/>
            </w:tcBorders>
          </w:tcPr>
          <w:p w14:paraId="2C19C418" w14:textId="77777777" w:rsidR="0098288E" w:rsidRPr="00524EEA" w:rsidRDefault="0098288E" w:rsidP="001B18F1">
            <w:pPr>
              <w:pStyle w:val="A-TableHeader"/>
              <w:jc w:val="center"/>
              <w:rPr>
                <w:lang w:val="en-AU"/>
              </w:rPr>
            </w:pPr>
            <w:r w:rsidRPr="00524EEA">
              <w:rPr>
                <w:lang w:val="en-AU"/>
              </w:rPr>
              <w:t>N=211†</w:t>
            </w:r>
          </w:p>
        </w:tc>
        <w:tc>
          <w:tcPr>
            <w:tcW w:w="1611" w:type="dxa"/>
            <w:tcBorders>
              <w:top w:val="nil"/>
              <w:left w:val="single" w:sz="4" w:space="0" w:color="auto"/>
              <w:bottom w:val="single" w:sz="4" w:space="0" w:color="auto"/>
              <w:right w:val="single" w:sz="4" w:space="0" w:color="auto"/>
            </w:tcBorders>
          </w:tcPr>
          <w:p w14:paraId="7384A37C" w14:textId="77777777" w:rsidR="0098288E" w:rsidRPr="00524EEA" w:rsidRDefault="0098288E" w:rsidP="001B18F1">
            <w:pPr>
              <w:pStyle w:val="A-TableHeader"/>
              <w:jc w:val="center"/>
              <w:rPr>
                <w:lang w:val="en-AU"/>
              </w:rPr>
            </w:pPr>
            <w:r w:rsidRPr="00524EEA">
              <w:rPr>
                <w:lang w:val="en-AU"/>
              </w:rPr>
              <w:t>N=219†</w:t>
            </w:r>
          </w:p>
        </w:tc>
        <w:tc>
          <w:tcPr>
            <w:tcW w:w="1539" w:type="dxa"/>
            <w:tcBorders>
              <w:top w:val="nil"/>
              <w:left w:val="single" w:sz="4" w:space="0" w:color="auto"/>
              <w:bottom w:val="single" w:sz="4" w:space="0" w:color="auto"/>
              <w:right w:val="single" w:sz="4" w:space="0" w:color="auto"/>
            </w:tcBorders>
          </w:tcPr>
          <w:p w14:paraId="4280B2EC" w14:textId="77777777" w:rsidR="0098288E" w:rsidRPr="00524EEA" w:rsidRDefault="0098288E" w:rsidP="001B18F1">
            <w:pPr>
              <w:pStyle w:val="A-TableHeader"/>
              <w:jc w:val="center"/>
              <w:rPr>
                <w:lang w:val="en-AU"/>
              </w:rPr>
            </w:pPr>
            <w:r w:rsidRPr="00524EEA">
              <w:rPr>
                <w:lang w:val="en-AU"/>
              </w:rPr>
              <w:t>N=208†</w:t>
            </w:r>
          </w:p>
        </w:tc>
      </w:tr>
      <w:tr w:rsidR="0098288E" w:rsidRPr="00524EEA" w14:paraId="349B8932" w14:textId="77777777" w:rsidTr="00524EEA">
        <w:trPr>
          <w:jc w:val="center"/>
        </w:trPr>
        <w:tc>
          <w:tcPr>
            <w:tcW w:w="4126" w:type="dxa"/>
            <w:tcBorders>
              <w:top w:val="single" w:sz="4" w:space="0" w:color="auto"/>
              <w:left w:val="single" w:sz="4" w:space="0" w:color="auto"/>
              <w:bottom w:val="single" w:sz="4" w:space="0" w:color="auto"/>
              <w:right w:val="single" w:sz="4" w:space="0" w:color="auto"/>
            </w:tcBorders>
          </w:tcPr>
          <w:p w14:paraId="2E8B3BF4" w14:textId="77777777" w:rsidR="0098288E" w:rsidRPr="00524EEA" w:rsidRDefault="0098288E" w:rsidP="001B18F1">
            <w:pPr>
              <w:pStyle w:val="A-TableHeader"/>
              <w:rPr>
                <w:lang w:val="en-AU"/>
              </w:rPr>
            </w:pPr>
            <w:r w:rsidRPr="00524EEA">
              <w:rPr>
                <w:lang w:val="en-AU"/>
              </w:rPr>
              <w:t>HbA1c (%)</w:t>
            </w:r>
          </w:p>
        </w:tc>
        <w:tc>
          <w:tcPr>
            <w:tcW w:w="1800" w:type="dxa"/>
            <w:tcBorders>
              <w:top w:val="single" w:sz="4" w:space="0" w:color="auto"/>
              <w:left w:val="single" w:sz="4" w:space="0" w:color="auto"/>
              <w:bottom w:val="single" w:sz="4" w:space="0" w:color="auto"/>
              <w:right w:val="single" w:sz="4" w:space="0" w:color="auto"/>
            </w:tcBorders>
          </w:tcPr>
          <w:p w14:paraId="2E87BE35" w14:textId="77777777" w:rsidR="0098288E" w:rsidRPr="00524EEA" w:rsidRDefault="0098288E" w:rsidP="001B18F1">
            <w:pPr>
              <w:pStyle w:val="A-TableHeader"/>
              <w:jc w:val="center"/>
              <w:rPr>
                <w:lang w:val="en-AU"/>
              </w:rPr>
            </w:pPr>
          </w:p>
        </w:tc>
        <w:tc>
          <w:tcPr>
            <w:tcW w:w="1611" w:type="dxa"/>
            <w:tcBorders>
              <w:top w:val="single" w:sz="4" w:space="0" w:color="auto"/>
              <w:left w:val="single" w:sz="4" w:space="0" w:color="auto"/>
              <w:bottom w:val="single" w:sz="4" w:space="0" w:color="auto"/>
              <w:right w:val="single" w:sz="4" w:space="0" w:color="auto"/>
            </w:tcBorders>
          </w:tcPr>
          <w:p w14:paraId="2898C46F" w14:textId="77777777" w:rsidR="0098288E" w:rsidRPr="00524EEA" w:rsidRDefault="0098288E" w:rsidP="001B18F1">
            <w:pPr>
              <w:pStyle w:val="A-TableHeader"/>
              <w:jc w:val="center"/>
              <w:rPr>
                <w:lang w:val="en-AU"/>
              </w:rPr>
            </w:pPr>
          </w:p>
        </w:tc>
        <w:tc>
          <w:tcPr>
            <w:tcW w:w="1539" w:type="dxa"/>
            <w:tcBorders>
              <w:top w:val="single" w:sz="4" w:space="0" w:color="auto"/>
              <w:left w:val="single" w:sz="4" w:space="0" w:color="auto"/>
              <w:bottom w:val="single" w:sz="4" w:space="0" w:color="auto"/>
              <w:right w:val="single" w:sz="4" w:space="0" w:color="auto"/>
            </w:tcBorders>
          </w:tcPr>
          <w:p w14:paraId="07B48D40" w14:textId="77777777" w:rsidR="0098288E" w:rsidRPr="00524EEA" w:rsidRDefault="0098288E" w:rsidP="001B18F1">
            <w:pPr>
              <w:pStyle w:val="A-TableHeader"/>
              <w:jc w:val="center"/>
              <w:rPr>
                <w:lang w:val="en-AU"/>
              </w:rPr>
            </w:pPr>
          </w:p>
        </w:tc>
      </w:tr>
      <w:tr w:rsidR="0098288E" w:rsidRPr="00524EEA" w14:paraId="2DA6945F" w14:textId="77777777" w:rsidTr="00524EEA">
        <w:trPr>
          <w:jc w:val="center"/>
        </w:trPr>
        <w:tc>
          <w:tcPr>
            <w:tcW w:w="4126" w:type="dxa"/>
            <w:tcBorders>
              <w:top w:val="single" w:sz="4" w:space="0" w:color="auto"/>
              <w:left w:val="single" w:sz="4" w:space="0" w:color="auto"/>
              <w:bottom w:val="single" w:sz="4" w:space="0" w:color="auto"/>
              <w:right w:val="single" w:sz="4" w:space="0" w:color="auto"/>
            </w:tcBorders>
          </w:tcPr>
          <w:p w14:paraId="4DEB1ECD" w14:textId="77777777" w:rsidR="0098288E" w:rsidRPr="00524EEA" w:rsidRDefault="0098288E" w:rsidP="00AB5FB9">
            <w:pPr>
              <w:pStyle w:val="A-TableText"/>
              <w:rPr>
                <w:lang w:val="en-AU"/>
              </w:rPr>
            </w:pPr>
            <w:r w:rsidRPr="00524EEA">
              <w:rPr>
                <w:lang w:val="en-AU"/>
              </w:rPr>
              <w:t>Baseline (mean)</w:t>
            </w:r>
          </w:p>
        </w:tc>
        <w:tc>
          <w:tcPr>
            <w:tcW w:w="1800" w:type="dxa"/>
            <w:tcBorders>
              <w:top w:val="single" w:sz="4" w:space="0" w:color="auto"/>
              <w:left w:val="single" w:sz="4" w:space="0" w:color="auto"/>
              <w:bottom w:val="single" w:sz="4" w:space="0" w:color="auto"/>
              <w:right w:val="single" w:sz="4" w:space="0" w:color="auto"/>
            </w:tcBorders>
          </w:tcPr>
          <w:p w14:paraId="50097DEE" w14:textId="77777777" w:rsidR="0098288E" w:rsidRPr="00524EEA" w:rsidRDefault="0098288E" w:rsidP="001B18F1">
            <w:pPr>
              <w:pStyle w:val="A-TableText"/>
              <w:jc w:val="center"/>
              <w:rPr>
                <w:lang w:val="en-AU"/>
              </w:rPr>
            </w:pPr>
            <w:r w:rsidRPr="00524EEA">
              <w:rPr>
                <w:lang w:val="en-AU"/>
              </w:rPr>
              <w:t>9.10</w:t>
            </w:r>
          </w:p>
        </w:tc>
        <w:tc>
          <w:tcPr>
            <w:tcW w:w="1611" w:type="dxa"/>
            <w:tcBorders>
              <w:top w:val="single" w:sz="4" w:space="0" w:color="auto"/>
              <w:left w:val="single" w:sz="4" w:space="0" w:color="auto"/>
              <w:bottom w:val="single" w:sz="4" w:space="0" w:color="auto"/>
              <w:right w:val="single" w:sz="4" w:space="0" w:color="auto"/>
            </w:tcBorders>
          </w:tcPr>
          <w:p w14:paraId="1730FD0A" w14:textId="77777777" w:rsidR="0098288E" w:rsidRPr="00524EEA" w:rsidRDefault="0098288E" w:rsidP="001B18F1">
            <w:pPr>
              <w:pStyle w:val="A-TableText"/>
              <w:jc w:val="center"/>
              <w:rPr>
                <w:lang w:val="en-AU"/>
              </w:rPr>
            </w:pPr>
            <w:r w:rsidRPr="00524EEA">
              <w:rPr>
                <w:lang w:val="en-AU"/>
              </w:rPr>
              <w:t>9.03</w:t>
            </w:r>
          </w:p>
        </w:tc>
        <w:tc>
          <w:tcPr>
            <w:tcW w:w="1539" w:type="dxa"/>
            <w:tcBorders>
              <w:top w:val="single" w:sz="4" w:space="0" w:color="auto"/>
              <w:left w:val="single" w:sz="4" w:space="0" w:color="auto"/>
              <w:bottom w:val="single" w:sz="4" w:space="0" w:color="auto"/>
              <w:right w:val="single" w:sz="4" w:space="0" w:color="auto"/>
            </w:tcBorders>
          </w:tcPr>
          <w:p w14:paraId="4D68197C" w14:textId="77777777" w:rsidR="0098288E" w:rsidRPr="00524EEA" w:rsidRDefault="0098288E" w:rsidP="001B18F1">
            <w:pPr>
              <w:pStyle w:val="A-TableText"/>
              <w:jc w:val="center"/>
              <w:rPr>
                <w:lang w:val="en-AU"/>
              </w:rPr>
            </w:pPr>
            <w:r w:rsidRPr="00524EEA">
              <w:rPr>
                <w:lang w:val="en-AU"/>
              </w:rPr>
              <w:t>9.03</w:t>
            </w:r>
          </w:p>
        </w:tc>
      </w:tr>
      <w:tr w:rsidR="0098288E" w:rsidRPr="00524EEA" w14:paraId="688A41A6" w14:textId="77777777" w:rsidTr="00524EEA">
        <w:trPr>
          <w:jc w:val="center"/>
        </w:trPr>
        <w:tc>
          <w:tcPr>
            <w:tcW w:w="4126" w:type="dxa"/>
            <w:tcBorders>
              <w:top w:val="single" w:sz="4" w:space="0" w:color="auto"/>
              <w:left w:val="single" w:sz="4" w:space="0" w:color="auto"/>
              <w:bottom w:val="single" w:sz="4" w:space="0" w:color="auto"/>
              <w:right w:val="single" w:sz="4" w:space="0" w:color="auto"/>
            </w:tcBorders>
          </w:tcPr>
          <w:p w14:paraId="6A96D0AF" w14:textId="77777777" w:rsidR="0098288E" w:rsidRPr="00524EEA" w:rsidRDefault="0098288E" w:rsidP="00AB5FB9">
            <w:pPr>
              <w:pStyle w:val="A-TableText"/>
              <w:rPr>
                <w:lang w:val="en-AU"/>
              </w:rPr>
            </w:pPr>
            <w:r w:rsidRPr="00524EEA">
              <w:rPr>
                <w:lang w:val="en-AU"/>
              </w:rPr>
              <w:t>Change from baseline (adjusted mean‡)</w:t>
            </w:r>
          </w:p>
        </w:tc>
        <w:tc>
          <w:tcPr>
            <w:tcW w:w="1800" w:type="dxa"/>
            <w:tcBorders>
              <w:top w:val="single" w:sz="4" w:space="0" w:color="auto"/>
              <w:left w:val="single" w:sz="4" w:space="0" w:color="auto"/>
              <w:bottom w:val="single" w:sz="4" w:space="0" w:color="auto"/>
              <w:right w:val="single" w:sz="4" w:space="0" w:color="auto"/>
            </w:tcBorders>
          </w:tcPr>
          <w:p w14:paraId="36D0B10D" w14:textId="77777777" w:rsidR="0098288E" w:rsidRPr="00524EEA" w:rsidRDefault="0098288E" w:rsidP="001B18F1">
            <w:pPr>
              <w:pStyle w:val="A-TableText"/>
              <w:jc w:val="center"/>
              <w:rPr>
                <w:lang w:val="en-AU"/>
              </w:rPr>
            </w:pPr>
            <w:r w:rsidRPr="00524EEA">
              <w:rPr>
                <w:lang w:val="en-AU"/>
              </w:rPr>
              <w:t>−1.98</w:t>
            </w:r>
          </w:p>
        </w:tc>
        <w:tc>
          <w:tcPr>
            <w:tcW w:w="1611" w:type="dxa"/>
            <w:tcBorders>
              <w:top w:val="single" w:sz="4" w:space="0" w:color="auto"/>
              <w:left w:val="single" w:sz="4" w:space="0" w:color="auto"/>
              <w:bottom w:val="single" w:sz="4" w:space="0" w:color="auto"/>
              <w:right w:val="single" w:sz="4" w:space="0" w:color="auto"/>
            </w:tcBorders>
          </w:tcPr>
          <w:p w14:paraId="7F2513A4" w14:textId="77777777" w:rsidR="0098288E" w:rsidRPr="00524EEA" w:rsidRDefault="0098288E" w:rsidP="001B18F1">
            <w:pPr>
              <w:pStyle w:val="A-TableText"/>
              <w:jc w:val="center"/>
              <w:rPr>
                <w:lang w:val="en-AU"/>
              </w:rPr>
            </w:pPr>
            <w:r w:rsidRPr="00524EEA">
              <w:rPr>
                <w:lang w:val="en-AU"/>
              </w:rPr>
              <w:t>−1.45</w:t>
            </w:r>
          </w:p>
        </w:tc>
        <w:tc>
          <w:tcPr>
            <w:tcW w:w="1539" w:type="dxa"/>
            <w:tcBorders>
              <w:top w:val="single" w:sz="4" w:space="0" w:color="auto"/>
              <w:left w:val="single" w:sz="4" w:space="0" w:color="auto"/>
              <w:bottom w:val="single" w:sz="4" w:space="0" w:color="auto"/>
              <w:right w:val="single" w:sz="4" w:space="0" w:color="auto"/>
            </w:tcBorders>
          </w:tcPr>
          <w:p w14:paraId="4C6F6533" w14:textId="77777777" w:rsidR="0098288E" w:rsidRPr="00524EEA" w:rsidRDefault="0098288E" w:rsidP="001B18F1">
            <w:pPr>
              <w:pStyle w:val="A-TableText"/>
              <w:jc w:val="center"/>
              <w:rPr>
                <w:lang w:val="en-AU"/>
              </w:rPr>
            </w:pPr>
            <w:r w:rsidRPr="00524EEA">
              <w:rPr>
                <w:lang w:val="en-AU"/>
              </w:rPr>
              <w:t>−1.44</w:t>
            </w:r>
          </w:p>
        </w:tc>
      </w:tr>
      <w:tr w:rsidR="0098288E" w:rsidRPr="00524EEA" w14:paraId="316E9C47" w14:textId="77777777" w:rsidTr="00524EEA">
        <w:trPr>
          <w:jc w:val="center"/>
        </w:trPr>
        <w:tc>
          <w:tcPr>
            <w:tcW w:w="4126" w:type="dxa"/>
            <w:tcBorders>
              <w:top w:val="single" w:sz="4" w:space="0" w:color="auto"/>
              <w:left w:val="single" w:sz="4" w:space="0" w:color="auto"/>
              <w:bottom w:val="single" w:sz="4" w:space="0" w:color="auto"/>
              <w:right w:val="single" w:sz="4" w:space="0" w:color="auto"/>
            </w:tcBorders>
          </w:tcPr>
          <w:p w14:paraId="1B055B44" w14:textId="77777777" w:rsidR="0098288E" w:rsidRPr="00524EEA" w:rsidRDefault="0098288E" w:rsidP="00AB5FB9">
            <w:pPr>
              <w:pStyle w:val="A-TableText"/>
              <w:rPr>
                <w:lang w:val="en-AU"/>
              </w:rPr>
            </w:pPr>
            <w:r w:rsidRPr="00524EEA">
              <w:rPr>
                <w:lang w:val="en-AU"/>
              </w:rPr>
              <w:t xml:space="preserve">Difference from FORXIGA (adjusted mean‡) </w:t>
            </w:r>
            <w:r w:rsidRPr="00524EEA">
              <w:rPr>
                <w:lang w:val="en-AU"/>
              </w:rPr>
              <w:br/>
              <w:t>(95% CI)</w:t>
            </w:r>
          </w:p>
        </w:tc>
        <w:tc>
          <w:tcPr>
            <w:tcW w:w="1800" w:type="dxa"/>
            <w:tcBorders>
              <w:top w:val="single" w:sz="4" w:space="0" w:color="auto"/>
              <w:left w:val="single" w:sz="4" w:space="0" w:color="auto"/>
              <w:bottom w:val="single" w:sz="4" w:space="0" w:color="auto"/>
              <w:right w:val="single" w:sz="4" w:space="0" w:color="auto"/>
            </w:tcBorders>
          </w:tcPr>
          <w:p w14:paraId="378B1100" w14:textId="77777777" w:rsidR="0098288E" w:rsidRPr="00524EEA" w:rsidRDefault="0098288E" w:rsidP="001B18F1">
            <w:pPr>
              <w:pStyle w:val="A-TableText"/>
              <w:jc w:val="center"/>
              <w:rPr>
                <w:lang w:val="en-AU"/>
              </w:rPr>
            </w:pPr>
            <w:r w:rsidRPr="00524EEA">
              <w:rPr>
                <w:lang w:val="en-AU"/>
              </w:rPr>
              <w:t xml:space="preserve">−0.53§ </w:t>
            </w:r>
            <w:r w:rsidRPr="00524EEA">
              <w:rPr>
                <w:lang w:val="en-AU"/>
              </w:rPr>
              <w:br/>
              <w:t>(−0.74, −0.32)</w:t>
            </w:r>
          </w:p>
        </w:tc>
        <w:tc>
          <w:tcPr>
            <w:tcW w:w="1611" w:type="dxa"/>
            <w:tcBorders>
              <w:top w:val="single" w:sz="4" w:space="0" w:color="auto"/>
              <w:left w:val="single" w:sz="4" w:space="0" w:color="auto"/>
              <w:bottom w:val="single" w:sz="4" w:space="0" w:color="auto"/>
              <w:right w:val="single" w:sz="4" w:space="0" w:color="auto"/>
            </w:tcBorders>
          </w:tcPr>
          <w:p w14:paraId="6D1809E9" w14:textId="77777777" w:rsidR="0098288E" w:rsidRPr="00524EEA" w:rsidRDefault="0098288E" w:rsidP="001B18F1">
            <w:pPr>
              <w:pStyle w:val="A-TableText"/>
              <w:jc w:val="center"/>
              <w:rPr>
                <w:lang w:val="en-AU"/>
              </w:rPr>
            </w:pPr>
          </w:p>
        </w:tc>
        <w:tc>
          <w:tcPr>
            <w:tcW w:w="1539" w:type="dxa"/>
            <w:tcBorders>
              <w:top w:val="single" w:sz="4" w:space="0" w:color="auto"/>
              <w:left w:val="single" w:sz="4" w:space="0" w:color="auto"/>
              <w:bottom w:val="single" w:sz="4" w:space="0" w:color="auto"/>
              <w:right w:val="single" w:sz="4" w:space="0" w:color="auto"/>
            </w:tcBorders>
          </w:tcPr>
          <w:p w14:paraId="4E411279" w14:textId="77777777" w:rsidR="0098288E" w:rsidRPr="00524EEA" w:rsidRDefault="0098288E" w:rsidP="001B18F1">
            <w:pPr>
              <w:pStyle w:val="A-TableText"/>
              <w:jc w:val="center"/>
              <w:rPr>
                <w:lang w:val="en-AU"/>
              </w:rPr>
            </w:pPr>
          </w:p>
        </w:tc>
      </w:tr>
      <w:tr w:rsidR="0098288E" w:rsidRPr="00524EEA" w14:paraId="4DB474B0" w14:textId="77777777" w:rsidTr="00524EEA">
        <w:trPr>
          <w:jc w:val="center"/>
        </w:trPr>
        <w:tc>
          <w:tcPr>
            <w:tcW w:w="4126" w:type="dxa"/>
            <w:tcBorders>
              <w:top w:val="single" w:sz="4" w:space="0" w:color="auto"/>
              <w:left w:val="single" w:sz="4" w:space="0" w:color="auto"/>
              <w:bottom w:val="single" w:sz="4" w:space="0" w:color="auto"/>
              <w:right w:val="single" w:sz="4" w:space="0" w:color="auto"/>
            </w:tcBorders>
          </w:tcPr>
          <w:p w14:paraId="7B6E0DFB" w14:textId="13422F7E" w:rsidR="0098288E" w:rsidRPr="00524EEA" w:rsidRDefault="0098288E" w:rsidP="00AB5FB9">
            <w:pPr>
              <w:pStyle w:val="A-TableText"/>
              <w:rPr>
                <w:lang w:val="en-AU"/>
              </w:rPr>
            </w:pPr>
            <w:r w:rsidRPr="00524EEA">
              <w:rPr>
                <w:lang w:val="en-AU"/>
              </w:rPr>
              <w:t>Difference from metformin (adjusted mean‡)</w:t>
            </w:r>
            <w:r w:rsidR="00524EEA">
              <w:rPr>
                <w:lang w:val="en-AU"/>
              </w:rPr>
              <w:br/>
            </w:r>
            <w:r w:rsidRPr="00524EEA">
              <w:rPr>
                <w:lang w:val="en-AU"/>
              </w:rPr>
              <w:t>(95% CI)</w:t>
            </w:r>
          </w:p>
        </w:tc>
        <w:tc>
          <w:tcPr>
            <w:tcW w:w="1800" w:type="dxa"/>
            <w:tcBorders>
              <w:top w:val="single" w:sz="4" w:space="0" w:color="auto"/>
              <w:left w:val="single" w:sz="4" w:space="0" w:color="auto"/>
              <w:bottom w:val="single" w:sz="4" w:space="0" w:color="auto"/>
              <w:right w:val="single" w:sz="4" w:space="0" w:color="auto"/>
            </w:tcBorders>
          </w:tcPr>
          <w:p w14:paraId="481B4D3F" w14:textId="77777777" w:rsidR="0098288E" w:rsidRPr="00524EEA" w:rsidRDefault="0098288E" w:rsidP="001B18F1">
            <w:pPr>
              <w:pStyle w:val="A-TableText"/>
              <w:jc w:val="center"/>
              <w:rPr>
                <w:lang w:val="en-AU"/>
              </w:rPr>
            </w:pPr>
            <w:r w:rsidRPr="00524EEA">
              <w:rPr>
                <w:lang w:val="en-AU"/>
              </w:rPr>
              <w:t xml:space="preserve">−0.54§ </w:t>
            </w:r>
            <w:r w:rsidRPr="00524EEA">
              <w:rPr>
                <w:lang w:val="en-AU"/>
              </w:rPr>
              <w:br/>
              <w:t>(−0.75, −0.33)</w:t>
            </w:r>
          </w:p>
        </w:tc>
        <w:tc>
          <w:tcPr>
            <w:tcW w:w="1611" w:type="dxa"/>
            <w:tcBorders>
              <w:top w:val="single" w:sz="4" w:space="0" w:color="auto"/>
              <w:left w:val="single" w:sz="4" w:space="0" w:color="auto"/>
              <w:bottom w:val="single" w:sz="4" w:space="0" w:color="auto"/>
              <w:right w:val="single" w:sz="4" w:space="0" w:color="auto"/>
            </w:tcBorders>
          </w:tcPr>
          <w:p w14:paraId="5A6F357D" w14:textId="77777777" w:rsidR="0098288E" w:rsidRPr="00524EEA" w:rsidRDefault="0098288E" w:rsidP="001B18F1">
            <w:pPr>
              <w:pStyle w:val="A-TableText"/>
              <w:jc w:val="center"/>
              <w:rPr>
                <w:lang w:val="en-AU"/>
              </w:rPr>
            </w:pPr>
            <w:r w:rsidRPr="00524EEA">
              <w:rPr>
                <w:lang w:val="en-AU"/>
              </w:rPr>
              <w:t>−0.01¶</w:t>
            </w:r>
            <w:r w:rsidRPr="00524EEA">
              <w:rPr>
                <w:lang w:val="en-AU"/>
              </w:rPr>
              <w:br/>
              <w:t>(−0.22, 0.20)</w:t>
            </w:r>
          </w:p>
        </w:tc>
        <w:tc>
          <w:tcPr>
            <w:tcW w:w="1539" w:type="dxa"/>
            <w:tcBorders>
              <w:top w:val="single" w:sz="4" w:space="0" w:color="auto"/>
              <w:left w:val="single" w:sz="4" w:space="0" w:color="auto"/>
              <w:bottom w:val="single" w:sz="4" w:space="0" w:color="auto"/>
              <w:right w:val="single" w:sz="4" w:space="0" w:color="auto"/>
            </w:tcBorders>
          </w:tcPr>
          <w:p w14:paraId="7763E0D0" w14:textId="77777777" w:rsidR="0098288E" w:rsidRPr="00524EEA" w:rsidRDefault="0098288E" w:rsidP="001B18F1">
            <w:pPr>
              <w:pStyle w:val="A-TableText"/>
              <w:jc w:val="center"/>
              <w:rPr>
                <w:lang w:val="en-AU"/>
              </w:rPr>
            </w:pPr>
          </w:p>
        </w:tc>
      </w:tr>
      <w:tr w:rsidR="0098288E" w:rsidRPr="00524EEA" w14:paraId="744701CB" w14:textId="77777777" w:rsidTr="00524EEA">
        <w:trPr>
          <w:jc w:val="center"/>
        </w:trPr>
        <w:tc>
          <w:tcPr>
            <w:tcW w:w="4126" w:type="dxa"/>
            <w:tcBorders>
              <w:top w:val="single" w:sz="4" w:space="0" w:color="auto"/>
              <w:left w:val="single" w:sz="4" w:space="0" w:color="auto"/>
              <w:bottom w:val="single" w:sz="4" w:space="0" w:color="auto"/>
              <w:right w:val="single" w:sz="4" w:space="0" w:color="auto"/>
            </w:tcBorders>
          </w:tcPr>
          <w:p w14:paraId="124D7750" w14:textId="231AF698" w:rsidR="0098288E" w:rsidRPr="00524EEA" w:rsidRDefault="0098288E" w:rsidP="00AB5FB9">
            <w:pPr>
              <w:pStyle w:val="A-TableText"/>
              <w:rPr>
                <w:lang w:val="en-AU"/>
              </w:rPr>
            </w:pPr>
            <w:r w:rsidRPr="00524EEA">
              <w:rPr>
                <w:lang w:val="en-AU"/>
              </w:rPr>
              <w:t>Percent of patients achieving HbA1c &lt;7%</w:t>
            </w:r>
            <w:r w:rsidR="00524EEA">
              <w:rPr>
                <w:lang w:val="en-AU"/>
              </w:rPr>
              <w:br/>
            </w:r>
            <w:r w:rsidRPr="00524EEA">
              <w:rPr>
                <w:lang w:val="en-AU"/>
              </w:rPr>
              <w:t>adjusted for baseline</w:t>
            </w:r>
          </w:p>
        </w:tc>
        <w:tc>
          <w:tcPr>
            <w:tcW w:w="1800" w:type="dxa"/>
            <w:tcBorders>
              <w:top w:val="single" w:sz="4" w:space="0" w:color="auto"/>
              <w:left w:val="single" w:sz="4" w:space="0" w:color="auto"/>
              <w:bottom w:val="single" w:sz="4" w:space="0" w:color="auto"/>
              <w:right w:val="single" w:sz="4" w:space="0" w:color="auto"/>
            </w:tcBorders>
          </w:tcPr>
          <w:p w14:paraId="40E701DE" w14:textId="77777777" w:rsidR="0098288E" w:rsidRPr="00524EEA" w:rsidRDefault="0098288E" w:rsidP="001B18F1">
            <w:pPr>
              <w:pStyle w:val="A-TableText"/>
              <w:jc w:val="center"/>
              <w:rPr>
                <w:lang w:val="en-AU"/>
              </w:rPr>
            </w:pPr>
            <w:r w:rsidRPr="00524EEA">
              <w:rPr>
                <w:lang w:val="en-AU"/>
              </w:rPr>
              <w:t>46.6%#</w:t>
            </w:r>
          </w:p>
        </w:tc>
        <w:tc>
          <w:tcPr>
            <w:tcW w:w="1611" w:type="dxa"/>
            <w:tcBorders>
              <w:top w:val="single" w:sz="4" w:space="0" w:color="auto"/>
              <w:left w:val="single" w:sz="4" w:space="0" w:color="auto"/>
              <w:bottom w:val="single" w:sz="4" w:space="0" w:color="auto"/>
              <w:right w:val="single" w:sz="4" w:space="0" w:color="auto"/>
            </w:tcBorders>
          </w:tcPr>
          <w:p w14:paraId="793F7843" w14:textId="77777777" w:rsidR="0098288E" w:rsidRPr="00524EEA" w:rsidRDefault="0098288E" w:rsidP="001B18F1">
            <w:pPr>
              <w:pStyle w:val="A-TableText"/>
              <w:jc w:val="center"/>
              <w:rPr>
                <w:lang w:val="en-AU"/>
              </w:rPr>
            </w:pPr>
            <w:r w:rsidRPr="00524EEA">
              <w:rPr>
                <w:lang w:val="en-AU"/>
              </w:rPr>
              <w:t>31.7%</w:t>
            </w:r>
          </w:p>
        </w:tc>
        <w:tc>
          <w:tcPr>
            <w:tcW w:w="1539" w:type="dxa"/>
            <w:tcBorders>
              <w:top w:val="single" w:sz="4" w:space="0" w:color="auto"/>
              <w:left w:val="single" w:sz="4" w:space="0" w:color="auto"/>
              <w:bottom w:val="single" w:sz="4" w:space="0" w:color="auto"/>
              <w:right w:val="single" w:sz="4" w:space="0" w:color="auto"/>
            </w:tcBorders>
          </w:tcPr>
          <w:p w14:paraId="12F5A1A5" w14:textId="77777777" w:rsidR="0098288E" w:rsidRPr="00524EEA" w:rsidRDefault="0098288E" w:rsidP="001B18F1">
            <w:pPr>
              <w:pStyle w:val="A-TableText"/>
              <w:jc w:val="center"/>
              <w:rPr>
                <w:lang w:val="en-AU"/>
              </w:rPr>
            </w:pPr>
            <w:r w:rsidRPr="00524EEA">
              <w:rPr>
                <w:lang w:val="en-AU"/>
              </w:rPr>
              <w:t>35.2%</w:t>
            </w:r>
          </w:p>
        </w:tc>
      </w:tr>
      <w:tr w:rsidR="0098288E" w:rsidRPr="00524EEA" w14:paraId="5A1DB947" w14:textId="77777777" w:rsidTr="00524EEA">
        <w:trPr>
          <w:jc w:val="center"/>
        </w:trPr>
        <w:tc>
          <w:tcPr>
            <w:tcW w:w="4126" w:type="dxa"/>
            <w:tcBorders>
              <w:top w:val="single" w:sz="4" w:space="0" w:color="auto"/>
              <w:left w:val="single" w:sz="4" w:space="0" w:color="auto"/>
              <w:bottom w:val="single" w:sz="4" w:space="0" w:color="auto"/>
              <w:right w:val="single" w:sz="4" w:space="0" w:color="auto"/>
            </w:tcBorders>
          </w:tcPr>
          <w:p w14:paraId="631CB431" w14:textId="77777777" w:rsidR="0098288E" w:rsidRPr="00524EEA" w:rsidRDefault="0098288E" w:rsidP="00AB5FB9">
            <w:pPr>
              <w:pStyle w:val="A-TableText"/>
              <w:rPr>
                <w:lang w:val="en-AU"/>
              </w:rPr>
            </w:pPr>
            <w:r w:rsidRPr="00524EEA">
              <w:rPr>
                <w:lang w:val="en-AU"/>
              </w:rPr>
              <w:t>Change from baseline in HbA1c in patients with baseline HbA1c ≥9% (adjusted mean‡)</w:t>
            </w:r>
          </w:p>
        </w:tc>
        <w:tc>
          <w:tcPr>
            <w:tcW w:w="1800" w:type="dxa"/>
            <w:tcBorders>
              <w:top w:val="single" w:sz="4" w:space="0" w:color="auto"/>
              <w:left w:val="single" w:sz="4" w:space="0" w:color="auto"/>
              <w:bottom w:val="single" w:sz="4" w:space="0" w:color="auto"/>
              <w:right w:val="single" w:sz="4" w:space="0" w:color="auto"/>
            </w:tcBorders>
          </w:tcPr>
          <w:p w14:paraId="5F39A7EC" w14:textId="77777777" w:rsidR="0098288E" w:rsidRPr="00524EEA" w:rsidRDefault="0098288E" w:rsidP="001B18F1">
            <w:pPr>
              <w:pStyle w:val="A-TableText"/>
              <w:jc w:val="center"/>
              <w:rPr>
                <w:lang w:val="en-AU"/>
              </w:rPr>
            </w:pPr>
            <w:r w:rsidRPr="00524EEA">
              <w:rPr>
                <w:lang w:val="en-AU"/>
              </w:rPr>
              <w:t>−2.59#</w:t>
            </w:r>
          </w:p>
        </w:tc>
        <w:tc>
          <w:tcPr>
            <w:tcW w:w="1611" w:type="dxa"/>
            <w:tcBorders>
              <w:top w:val="single" w:sz="4" w:space="0" w:color="auto"/>
              <w:left w:val="single" w:sz="4" w:space="0" w:color="auto"/>
              <w:bottom w:val="single" w:sz="4" w:space="0" w:color="auto"/>
              <w:right w:val="single" w:sz="4" w:space="0" w:color="auto"/>
            </w:tcBorders>
          </w:tcPr>
          <w:p w14:paraId="41EBE6B2" w14:textId="77777777" w:rsidR="0098288E" w:rsidRPr="00524EEA" w:rsidRDefault="0098288E" w:rsidP="001B18F1">
            <w:pPr>
              <w:pStyle w:val="A-TableText"/>
              <w:jc w:val="center"/>
              <w:rPr>
                <w:lang w:val="en-AU"/>
              </w:rPr>
            </w:pPr>
            <w:r w:rsidRPr="00524EEA">
              <w:rPr>
                <w:lang w:val="en-AU"/>
              </w:rPr>
              <w:t>−2.14</w:t>
            </w:r>
          </w:p>
        </w:tc>
        <w:tc>
          <w:tcPr>
            <w:tcW w:w="1539" w:type="dxa"/>
            <w:tcBorders>
              <w:top w:val="single" w:sz="4" w:space="0" w:color="auto"/>
              <w:left w:val="single" w:sz="4" w:space="0" w:color="auto"/>
              <w:bottom w:val="single" w:sz="4" w:space="0" w:color="auto"/>
              <w:right w:val="single" w:sz="4" w:space="0" w:color="auto"/>
            </w:tcBorders>
          </w:tcPr>
          <w:p w14:paraId="11FE0BF7" w14:textId="77777777" w:rsidR="0098288E" w:rsidRPr="00524EEA" w:rsidRDefault="0098288E" w:rsidP="001B18F1">
            <w:pPr>
              <w:pStyle w:val="A-TableText"/>
              <w:jc w:val="center"/>
              <w:rPr>
                <w:lang w:val="en-AU"/>
              </w:rPr>
            </w:pPr>
            <w:r w:rsidRPr="00524EEA">
              <w:rPr>
                <w:lang w:val="en-AU"/>
              </w:rPr>
              <w:t>−2.05</w:t>
            </w:r>
          </w:p>
        </w:tc>
      </w:tr>
      <w:tr w:rsidR="0098288E" w:rsidRPr="00524EEA" w14:paraId="0213473E" w14:textId="77777777" w:rsidTr="00524EEA">
        <w:trPr>
          <w:jc w:val="center"/>
        </w:trPr>
        <w:tc>
          <w:tcPr>
            <w:tcW w:w="4126" w:type="dxa"/>
            <w:tcBorders>
              <w:top w:val="single" w:sz="4" w:space="0" w:color="auto"/>
              <w:left w:val="single" w:sz="4" w:space="0" w:color="auto"/>
              <w:bottom w:val="single" w:sz="4" w:space="0" w:color="auto"/>
              <w:right w:val="single" w:sz="4" w:space="0" w:color="auto"/>
            </w:tcBorders>
          </w:tcPr>
          <w:p w14:paraId="4159BBA0" w14:textId="77777777" w:rsidR="0098288E" w:rsidRPr="00524EEA" w:rsidRDefault="0098288E" w:rsidP="001B18F1">
            <w:pPr>
              <w:pStyle w:val="A-TableHeader"/>
              <w:rPr>
                <w:lang w:val="en-AU"/>
              </w:rPr>
            </w:pPr>
            <w:r w:rsidRPr="00524EEA">
              <w:rPr>
                <w:lang w:val="en-AU"/>
              </w:rPr>
              <w:t>Body Weight (kg)</w:t>
            </w:r>
          </w:p>
        </w:tc>
        <w:tc>
          <w:tcPr>
            <w:tcW w:w="1800" w:type="dxa"/>
            <w:tcBorders>
              <w:top w:val="single" w:sz="4" w:space="0" w:color="auto"/>
              <w:left w:val="single" w:sz="4" w:space="0" w:color="auto"/>
              <w:bottom w:val="single" w:sz="4" w:space="0" w:color="auto"/>
              <w:right w:val="single" w:sz="4" w:space="0" w:color="auto"/>
            </w:tcBorders>
          </w:tcPr>
          <w:p w14:paraId="2A7FB302" w14:textId="77777777" w:rsidR="0098288E" w:rsidRPr="00524EEA" w:rsidRDefault="0098288E" w:rsidP="001B18F1">
            <w:pPr>
              <w:pStyle w:val="A-TableHeader"/>
              <w:jc w:val="center"/>
              <w:rPr>
                <w:lang w:val="en-AU"/>
              </w:rPr>
            </w:pPr>
          </w:p>
        </w:tc>
        <w:tc>
          <w:tcPr>
            <w:tcW w:w="1611" w:type="dxa"/>
            <w:tcBorders>
              <w:top w:val="single" w:sz="4" w:space="0" w:color="auto"/>
              <w:left w:val="single" w:sz="4" w:space="0" w:color="auto"/>
              <w:bottom w:val="single" w:sz="4" w:space="0" w:color="auto"/>
              <w:right w:val="single" w:sz="4" w:space="0" w:color="auto"/>
            </w:tcBorders>
          </w:tcPr>
          <w:p w14:paraId="00030AF4" w14:textId="77777777" w:rsidR="0098288E" w:rsidRPr="00524EEA" w:rsidRDefault="0098288E" w:rsidP="001B18F1">
            <w:pPr>
              <w:pStyle w:val="A-TableHeader"/>
              <w:jc w:val="center"/>
              <w:rPr>
                <w:lang w:val="en-AU"/>
              </w:rPr>
            </w:pPr>
          </w:p>
        </w:tc>
        <w:tc>
          <w:tcPr>
            <w:tcW w:w="1539" w:type="dxa"/>
            <w:tcBorders>
              <w:top w:val="single" w:sz="4" w:space="0" w:color="auto"/>
              <w:left w:val="single" w:sz="4" w:space="0" w:color="auto"/>
              <w:bottom w:val="single" w:sz="4" w:space="0" w:color="auto"/>
              <w:right w:val="single" w:sz="4" w:space="0" w:color="auto"/>
            </w:tcBorders>
          </w:tcPr>
          <w:p w14:paraId="0FC7E119" w14:textId="77777777" w:rsidR="0098288E" w:rsidRPr="00524EEA" w:rsidRDefault="0098288E" w:rsidP="001B18F1">
            <w:pPr>
              <w:pStyle w:val="A-TableHeader"/>
              <w:jc w:val="center"/>
              <w:rPr>
                <w:lang w:val="en-AU"/>
              </w:rPr>
            </w:pPr>
          </w:p>
        </w:tc>
      </w:tr>
      <w:tr w:rsidR="0098288E" w:rsidRPr="00524EEA" w14:paraId="2EB195E5" w14:textId="77777777" w:rsidTr="00524EEA">
        <w:trPr>
          <w:jc w:val="center"/>
        </w:trPr>
        <w:tc>
          <w:tcPr>
            <w:tcW w:w="4126" w:type="dxa"/>
            <w:tcBorders>
              <w:top w:val="single" w:sz="4" w:space="0" w:color="auto"/>
              <w:left w:val="single" w:sz="4" w:space="0" w:color="auto"/>
              <w:bottom w:val="single" w:sz="4" w:space="0" w:color="auto"/>
              <w:right w:val="single" w:sz="4" w:space="0" w:color="auto"/>
            </w:tcBorders>
          </w:tcPr>
          <w:p w14:paraId="38A0B794" w14:textId="77777777" w:rsidR="0098288E" w:rsidRPr="00524EEA" w:rsidRDefault="0098288E" w:rsidP="00AB5FB9">
            <w:pPr>
              <w:pStyle w:val="A-TableText"/>
              <w:rPr>
                <w:lang w:val="en-AU"/>
              </w:rPr>
            </w:pPr>
            <w:r w:rsidRPr="00524EEA">
              <w:rPr>
                <w:lang w:val="en-AU"/>
              </w:rPr>
              <w:t>Baseline (mean)</w:t>
            </w:r>
          </w:p>
        </w:tc>
        <w:tc>
          <w:tcPr>
            <w:tcW w:w="1800" w:type="dxa"/>
            <w:tcBorders>
              <w:top w:val="single" w:sz="4" w:space="0" w:color="auto"/>
              <w:left w:val="single" w:sz="4" w:space="0" w:color="auto"/>
              <w:bottom w:val="single" w:sz="4" w:space="0" w:color="auto"/>
              <w:right w:val="single" w:sz="4" w:space="0" w:color="auto"/>
            </w:tcBorders>
          </w:tcPr>
          <w:p w14:paraId="08AF84BF" w14:textId="77777777" w:rsidR="0098288E" w:rsidRPr="00524EEA" w:rsidRDefault="0098288E" w:rsidP="001B18F1">
            <w:pPr>
              <w:pStyle w:val="A-TableText"/>
              <w:jc w:val="center"/>
              <w:rPr>
                <w:lang w:val="en-AU"/>
              </w:rPr>
            </w:pPr>
            <w:r w:rsidRPr="00524EEA">
              <w:rPr>
                <w:lang w:val="en-AU"/>
              </w:rPr>
              <w:t>88.56</w:t>
            </w:r>
          </w:p>
        </w:tc>
        <w:tc>
          <w:tcPr>
            <w:tcW w:w="1611" w:type="dxa"/>
            <w:tcBorders>
              <w:top w:val="single" w:sz="4" w:space="0" w:color="auto"/>
              <w:left w:val="single" w:sz="4" w:space="0" w:color="auto"/>
              <w:bottom w:val="single" w:sz="4" w:space="0" w:color="auto"/>
              <w:right w:val="single" w:sz="4" w:space="0" w:color="auto"/>
            </w:tcBorders>
          </w:tcPr>
          <w:p w14:paraId="50844942" w14:textId="77777777" w:rsidR="0098288E" w:rsidRPr="00524EEA" w:rsidRDefault="0098288E" w:rsidP="001B18F1">
            <w:pPr>
              <w:pStyle w:val="A-TableText"/>
              <w:jc w:val="center"/>
              <w:rPr>
                <w:lang w:val="en-AU"/>
              </w:rPr>
            </w:pPr>
            <w:r w:rsidRPr="00524EEA">
              <w:rPr>
                <w:lang w:val="en-AU"/>
              </w:rPr>
              <w:t>88.53</w:t>
            </w:r>
          </w:p>
        </w:tc>
        <w:tc>
          <w:tcPr>
            <w:tcW w:w="1539" w:type="dxa"/>
            <w:tcBorders>
              <w:top w:val="single" w:sz="4" w:space="0" w:color="auto"/>
              <w:left w:val="single" w:sz="4" w:space="0" w:color="auto"/>
              <w:bottom w:val="single" w:sz="4" w:space="0" w:color="auto"/>
              <w:right w:val="single" w:sz="4" w:space="0" w:color="auto"/>
            </w:tcBorders>
          </w:tcPr>
          <w:p w14:paraId="7DFB59D1" w14:textId="77777777" w:rsidR="0098288E" w:rsidRPr="00524EEA" w:rsidRDefault="0098288E" w:rsidP="001B18F1">
            <w:pPr>
              <w:pStyle w:val="A-TableText"/>
              <w:jc w:val="center"/>
              <w:rPr>
                <w:lang w:val="en-AU"/>
              </w:rPr>
            </w:pPr>
            <w:r w:rsidRPr="00524EEA">
              <w:rPr>
                <w:lang w:val="en-AU"/>
              </w:rPr>
              <w:t>87.24</w:t>
            </w:r>
          </w:p>
        </w:tc>
      </w:tr>
      <w:tr w:rsidR="0098288E" w:rsidRPr="00524EEA" w14:paraId="02C18551" w14:textId="77777777" w:rsidTr="00524EEA">
        <w:trPr>
          <w:jc w:val="center"/>
        </w:trPr>
        <w:tc>
          <w:tcPr>
            <w:tcW w:w="4126" w:type="dxa"/>
            <w:tcBorders>
              <w:top w:val="single" w:sz="4" w:space="0" w:color="auto"/>
              <w:left w:val="single" w:sz="4" w:space="0" w:color="auto"/>
              <w:bottom w:val="single" w:sz="4" w:space="0" w:color="auto"/>
              <w:right w:val="single" w:sz="4" w:space="0" w:color="auto"/>
            </w:tcBorders>
          </w:tcPr>
          <w:p w14:paraId="6DD04C7A" w14:textId="77777777" w:rsidR="0098288E" w:rsidRPr="00524EEA" w:rsidRDefault="0098288E" w:rsidP="00AB5FB9">
            <w:pPr>
              <w:pStyle w:val="A-TableText"/>
              <w:rPr>
                <w:lang w:val="en-AU"/>
              </w:rPr>
            </w:pPr>
            <w:r w:rsidRPr="00524EEA">
              <w:rPr>
                <w:lang w:val="en-AU"/>
              </w:rPr>
              <w:t>Change from baseline (adjusted mean</w:t>
            </w:r>
            <w:r w:rsidRPr="00524EEA">
              <w:rPr>
                <w:vertAlign w:val="superscript"/>
                <w:lang w:val="en-AU"/>
              </w:rPr>
              <w:t>‡</w:t>
            </w:r>
            <w:r w:rsidRPr="00524EEA">
              <w:rPr>
                <w:lang w:val="en-AU"/>
              </w:rPr>
              <w:t>)</w:t>
            </w:r>
          </w:p>
        </w:tc>
        <w:tc>
          <w:tcPr>
            <w:tcW w:w="1800" w:type="dxa"/>
            <w:tcBorders>
              <w:top w:val="single" w:sz="4" w:space="0" w:color="auto"/>
              <w:left w:val="single" w:sz="4" w:space="0" w:color="auto"/>
              <w:bottom w:val="single" w:sz="4" w:space="0" w:color="auto"/>
              <w:right w:val="single" w:sz="4" w:space="0" w:color="auto"/>
            </w:tcBorders>
          </w:tcPr>
          <w:p w14:paraId="6B12DFCD" w14:textId="77777777" w:rsidR="0098288E" w:rsidRPr="00524EEA" w:rsidRDefault="0098288E" w:rsidP="001B18F1">
            <w:pPr>
              <w:pStyle w:val="A-TableText"/>
              <w:jc w:val="center"/>
              <w:rPr>
                <w:lang w:val="en-AU"/>
              </w:rPr>
            </w:pPr>
            <w:r w:rsidRPr="00524EEA">
              <w:rPr>
                <w:lang w:val="en-AU"/>
              </w:rPr>
              <w:t>−3.33</w:t>
            </w:r>
          </w:p>
        </w:tc>
        <w:tc>
          <w:tcPr>
            <w:tcW w:w="1611" w:type="dxa"/>
            <w:tcBorders>
              <w:top w:val="single" w:sz="4" w:space="0" w:color="auto"/>
              <w:left w:val="single" w:sz="4" w:space="0" w:color="auto"/>
              <w:bottom w:val="single" w:sz="4" w:space="0" w:color="auto"/>
              <w:right w:val="single" w:sz="4" w:space="0" w:color="auto"/>
            </w:tcBorders>
          </w:tcPr>
          <w:p w14:paraId="4E20A280" w14:textId="77777777" w:rsidR="0098288E" w:rsidRPr="00524EEA" w:rsidRDefault="0098288E" w:rsidP="001B18F1">
            <w:pPr>
              <w:pStyle w:val="A-TableText"/>
              <w:jc w:val="center"/>
              <w:rPr>
                <w:lang w:val="en-AU"/>
              </w:rPr>
            </w:pPr>
            <w:r w:rsidRPr="00524EEA">
              <w:rPr>
                <w:lang w:val="en-AU"/>
              </w:rPr>
              <w:t>−2.73</w:t>
            </w:r>
          </w:p>
        </w:tc>
        <w:tc>
          <w:tcPr>
            <w:tcW w:w="1539" w:type="dxa"/>
            <w:tcBorders>
              <w:top w:val="single" w:sz="4" w:space="0" w:color="auto"/>
              <w:left w:val="single" w:sz="4" w:space="0" w:color="auto"/>
              <w:bottom w:val="single" w:sz="4" w:space="0" w:color="auto"/>
              <w:right w:val="single" w:sz="4" w:space="0" w:color="auto"/>
            </w:tcBorders>
          </w:tcPr>
          <w:p w14:paraId="5506D90C" w14:textId="77777777" w:rsidR="0098288E" w:rsidRPr="00524EEA" w:rsidRDefault="0098288E" w:rsidP="001B18F1">
            <w:pPr>
              <w:pStyle w:val="A-TableText"/>
              <w:jc w:val="center"/>
              <w:rPr>
                <w:lang w:val="en-AU"/>
              </w:rPr>
            </w:pPr>
            <w:r w:rsidRPr="00524EEA">
              <w:rPr>
                <w:lang w:val="en-AU"/>
              </w:rPr>
              <w:t>−1.36</w:t>
            </w:r>
          </w:p>
        </w:tc>
      </w:tr>
      <w:tr w:rsidR="0098288E" w:rsidRPr="00524EEA" w14:paraId="1CFCBC06" w14:textId="77777777" w:rsidTr="00524EEA">
        <w:trPr>
          <w:jc w:val="center"/>
        </w:trPr>
        <w:tc>
          <w:tcPr>
            <w:tcW w:w="4126" w:type="dxa"/>
            <w:tcBorders>
              <w:top w:val="single" w:sz="4" w:space="0" w:color="auto"/>
              <w:left w:val="single" w:sz="4" w:space="0" w:color="auto"/>
              <w:bottom w:val="single" w:sz="4" w:space="0" w:color="auto"/>
              <w:right w:val="single" w:sz="4" w:space="0" w:color="auto"/>
            </w:tcBorders>
          </w:tcPr>
          <w:p w14:paraId="552433BD" w14:textId="77777777" w:rsidR="0098288E" w:rsidRPr="00524EEA" w:rsidRDefault="0098288E" w:rsidP="00AB5FB9">
            <w:pPr>
              <w:pStyle w:val="A-TableText"/>
              <w:rPr>
                <w:lang w:val="en-AU"/>
              </w:rPr>
            </w:pPr>
            <w:r w:rsidRPr="00524EEA">
              <w:rPr>
                <w:lang w:val="en-AU"/>
              </w:rPr>
              <w:t>Difference from metformin (adjusted mean</w:t>
            </w:r>
            <w:r w:rsidRPr="00524EEA">
              <w:rPr>
                <w:vertAlign w:val="superscript"/>
                <w:lang w:val="en-AU"/>
              </w:rPr>
              <w:t>‡</w:t>
            </w:r>
            <w:r w:rsidRPr="00524EEA">
              <w:rPr>
                <w:lang w:val="en-AU"/>
              </w:rPr>
              <w:t xml:space="preserve">) </w:t>
            </w:r>
            <w:r w:rsidRPr="00524EEA">
              <w:rPr>
                <w:lang w:val="en-AU"/>
              </w:rPr>
              <w:br/>
              <w:t>(95% CI)</w:t>
            </w:r>
          </w:p>
        </w:tc>
        <w:tc>
          <w:tcPr>
            <w:tcW w:w="1800" w:type="dxa"/>
            <w:tcBorders>
              <w:top w:val="single" w:sz="4" w:space="0" w:color="auto"/>
              <w:left w:val="single" w:sz="4" w:space="0" w:color="auto"/>
              <w:bottom w:val="single" w:sz="4" w:space="0" w:color="auto"/>
              <w:right w:val="single" w:sz="4" w:space="0" w:color="auto"/>
            </w:tcBorders>
          </w:tcPr>
          <w:p w14:paraId="68E1C628" w14:textId="77777777" w:rsidR="0098288E" w:rsidRPr="00524EEA" w:rsidRDefault="0098288E" w:rsidP="001B18F1">
            <w:pPr>
              <w:pStyle w:val="A-TableText"/>
              <w:jc w:val="center"/>
              <w:rPr>
                <w:vertAlign w:val="superscript"/>
                <w:lang w:val="en-AU"/>
              </w:rPr>
            </w:pPr>
            <w:r w:rsidRPr="00524EEA">
              <w:rPr>
                <w:lang w:val="en-AU"/>
              </w:rPr>
              <w:t>−1.97</w:t>
            </w:r>
            <w:r w:rsidRPr="00524EEA">
              <w:rPr>
                <w:vertAlign w:val="superscript"/>
                <w:lang w:val="en-AU"/>
              </w:rPr>
              <w:t>§</w:t>
            </w:r>
            <w:r w:rsidRPr="00524EEA">
              <w:rPr>
                <w:lang w:val="en-AU"/>
              </w:rPr>
              <w:t xml:space="preserve"> </w:t>
            </w:r>
            <w:r w:rsidRPr="00524EEA">
              <w:rPr>
                <w:lang w:val="en-AU"/>
              </w:rPr>
              <w:br/>
              <w:t>(−2.64, −1.30)</w:t>
            </w:r>
          </w:p>
        </w:tc>
        <w:tc>
          <w:tcPr>
            <w:tcW w:w="1611" w:type="dxa"/>
            <w:tcBorders>
              <w:top w:val="single" w:sz="4" w:space="0" w:color="auto"/>
              <w:left w:val="single" w:sz="4" w:space="0" w:color="auto"/>
              <w:bottom w:val="single" w:sz="4" w:space="0" w:color="auto"/>
              <w:right w:val="single" w:sz="4" w:space="0" w:color="auto"/>
            </w:tcBorders>
          </w:tcPr>
          <w:p w14:paraId="387BDDF9" w14:textId="77777777" w:rsidR="0098288E" w:rsidRPr="00524EEA" w:rsidRDefault="0098288E" w:rsidP="001B18F1">
            <w:pPr>
              <w:pStyle w:val="A-TableText"/>
              <w:jc w:val="center"/>
              <w:rPr>
                <w:vertAlign w:val="superscript"/>
                <w:lang w:val="en-AU"/>
              </w:rPr>
            </w:pPr>
            <w:r w:rsidRPr="00524EEA">
              <w:rPr>
                <w:lang w:val="en-AU"/>
              </w:rPr>
              <w:t>−1.37</w:t>
            </w:r>
            <w:r w:rsidRPr="00524EEA">
              <w:rPr>
                <w:vertAlign w:val="superscript"/>
                <w:lang w:val="en-AU"/>
              </w:rPr>
              <w:t>§</w:t>
            </w:r>
            <w:r w:rsidRPr="00524EEA">
              <w:rPr>
                <w:lang w:val="en-AU"/>
              </w:rPr>
              <w:t xml:space="preserve"> </w:t>
            </w:r>
            <w:r w:rsidRPr="00524EEA">
              <w:rPr>
                <w:lang w:val="en-AU"/>
              </w:rPr>
              <w:br/>
              <w:t>(−2.03, −0.71)</w:t>
            </w:r>
          </w:p>
        </w:tc>
        <w:tc>
          <w:tcPr>
            <w:tcW w:w="1539" w:type="dxa"/>
            <w:tcBorders>
              <w:top w:val="single" w:sz="4" w:space="0" w:color="auto"/>
              <w:left w:val="single" w:sz="4" w:space="0" w:color="auto"/>
              <w:bottom w:val="single" w:sz="4" w:space="0" w:color="auto"/>
              <w:right w:val="single" w:sz="4" w:space="0" w:color="auto"/>
            </w:tcBorders>
          </w:tcPr>
          <w:p w14:paraId="02FF7373" w14:textId="77777777" w:rsidR="0098288E" w:rsidRPr="00524EEA" w:rsidRDefault="0098288E" w:rsidP="001B18F1">
            <w:pPr>
              <w:pStyle w:val="A-TableText"/>
              <w:jc w:val="center"/>
              <w:rPr>
                <w:b/>
                <w:lang w:val="en-AU"/>
              </w:rPr>
            </w:pPr>
          </w:p>
        </w:tc>
      </w:tr>
    </w:tbl>
    <w:p w14:paraId="26C60355" w14:textId="04CEDA61" w:rsidR="0098288E" w:rsidRPr="00524EEA" w:rsidRDefault="0098288E" w:rsidP="00115764">
      <w:pPr>
        <w:pStyle w:val="A-TableFootnoteText"/>
        <w:jc w:val="left"/>
      </w:pPr>
      <w:r w:rsidRPr="00524EEA">
        <w:rPr>
          <w:vertAlign w:val="superscript"/>
        </w:rPr>
        <w:t>*</w:t>
      </w:r>
      <w:r w:rsidRPr="00524EEA">
        <w:tab/>
        <w:t>LOCF: last observation (prior to rescue for rescued patients) carried forward.</w:t>
      </w:r>
    </w:p>
    <w:p w14:paraId="157A937F" w14:textId="3F0FB6B1" w:rsidR="0098288E" w:rsidRPr="00524EEA" w:rsidRDefault="0098288E" w:rsidP="00115764">
      <w:pPr>
        <w:pStyle w:val="A-TableFootnoteText"/>
        <w:jc w:val="left"/>
      </w:pPr>
      <w:r w:rsidRPr="00524EEA">
        <w:rPr>
          <w:vertAlign w:val="superscript"/>
        </w:rPr>
        <w:t>†</w:t>
      </w:r>
      <w:r w:rsidRPr="00524EEA">
        <w:tab/>
        <w:t xml:space="preserve">All randomised patients who took at least one dose of double-blind study medication during the short-term </w:t>
      </w:r>
      <w:r w:rsidR="008B581C" w:rsidRPr="00524EEA">
        <w:br/>
      </w:r>
      <w:r w:rsidR="008B581C" w:rsidRPr="00524EEA">
        <w:tab/>
      </w:r>
      <w:r w:rsidRPr="00524EEA">
        <w:t>double-blind period.</w:t>
      </w:r>
    </w:p>
    <w:p w14:paraId="1A792AC8" w14:textId="77777777" w:rsidR="0098288E" w:rsidRPr="00524EEA" w:rsidRDefault="0098288E" w:rsidP="00115764">
      <w:pPr>
        <w:pStyle w:val="A-TableFootnoteText"/>
        <w:jc w:val="left"/>
      </w:pPr>
      <w:r w:rsidRPr="00524EEA">
        <w:rPr>
          <w:vertAlign w:val="superscript"/>
        </w:rPr>
        <w:t>‡</w:t>
      </w:r>
      <w:r w:rsidRPr="00524EEA">
        <w:tab/>
        <w:t>Least squares mean adjusted for baseline value.</w:t>
      </w:r>
    </w:p>
    <w:p w14:paraId="356B049D" w14:textId="77777777" w:rsidR="0098288E" w:rsidRPr="00524EEA" w:rsidRDefault="0098288E" w:rsidP="00115764">
      <w:pPr>
        <w:pStyle w:val="A-TableFootnoteText"/>
        <w:jc w:val="left"/>
      </w:pPr>
      <w:r w:rsidRPr="00524EEA">
        <w:rPr>
          <w:vertAlign w:val="superscript"/>
        </w:rPr>
        <w:t>§</w:t>
      </w:r>
      <w:r w:rsidRPr="00524EEA">
        <w:tab/>
        <w:t>p-value &lt;0.0001.</w:t>
      </w:r>
    </w:p>
    <w:p w14:paraId="659CB939" w14:textId="77777777" w:rsidR="0098288E" w:rsidRPr="00524EEA" w:rsidRDefault="0098288E" w:rsidP="00115764">
      <w:pPr>
        <w:pStyle w:val="A-TableFootnoteText"/>
        <w:jc w:val="left"/>
      </w:pPr>
      <w:r w:rsidRPr="00524EEA">
        <w:rPr>
          <w:vertAlign w:val="superscript"/>
        </w:rPr>
        <w:t>¶</w:t>
      </w:r>
      <w:r w:rsidRPr="00524EEA">
        <w:tab/>
        <w:t>Non-inferior versus metformin.</w:t>
      </w:r>
    </w:p>
    <w:p w14:paraId="184F1FB9" w14:textId="4E8833E7" w:rsidR="00D43FA6" w:rsidRDefault="0098288E" w:rsidP="00AF7D0B">
      <w:pPr>
        <w:pStyle w:val="A-TableFootnoteText"/>
        <w:jc w:val="left"/>
      </w:pPr>
      <w:r w:rsidRPr="00524EEA">
        <w:rPr>
          <w:vertAlign w:val="superscript"/>
        </w:rPr>
        <w:t>#</w:t>
      </w:r>
      <w:r w:rsidRPr="00524EEA">
        <w:rPr>
          <w:vertAlign w:val="superscript"/>
        </w:rPr>
        <w:tab/>
      </w:r>
      <w:r w:rsidRPr="00524EEA">
        <w:t>p-value &lt;0.05.</w:t>
      </w:r>
    </w:p>
    <w:p w14:paraId="5A3C044D" w14:textId="77777777" w:rsidR="00AF7D0B" w:rsidRPr="00AF7D0B" w:rsidRDefault="00AF7D0B" w:rsidP="00AF7D0B">
      <w:pPr>
        <w:spacing w:after="0" w:line="240" w:lineRule="auto"/>
        <w:rPr>
          <w:lang w:val="en-GB"/>
        </w:rPr>
      </w:pPr>
    </w:p>
    <w:p w14:paraId="464B28C2" w14:textId="7A456336" w:rsidR="0098288E" w:rsidRPr="00524EEA" w:rsidRDefault="0098288E" w:rsidP="00C07BC4">
      <w:pPr>
        <w:pStyle w:val="Heading5nobookmark"/>
      </w:pPr>
      <w:r w:rsidRPr="00524EEA">
        <w:t>Add-on combination therapy with other anti-hyperglycaemic agents</w:t>
      </w:r>
    </w:p>
    <w:p w14:paraId="120EDBC6" w14:textId="07B3ABD2" w:rsidR="00A33C9A" w:rsidRPr="00524EEA" w:rsidRDefault="0098288E" w:rsidP="0098288E">
      <w:r w:rsidRPr="00524EEA">
        <w:t>In a 52</w:t>
      </w:r>
      <w:r w:rsidRPr="00524EEA">
        <w:noBreakHyphen/>
        <w:t>week, active-controlled non-inferiority study (with 52</w:t>
      </w:r>
      <w:r w:rsidRPr="00524EEA">
        <w:noBreakHyphen/>
        <w:t xml:space="preserve"> and 104 week extension periods), FORXIGA was evaluated as add</w:t>
      </w:r>
      <w:r w:rsidRPr="00524EEA">
        <w:noBreakHyphen/>
        <w:t>on therapy to metformin compared with a sulfonylurea (glipizide) as add</w:t>
      </w:r>
      <w:r w:rsidRPr="00524EEA">
        <w:noBreakHyphen/>
        <w:t>on therapy to metformin in subjects with inadequate glycaemic control (HbA1c &gt;6.5% and ≤ 10%).  The results showed a similar mean reduction in HbA1c from baseline to Week 52, compared to glipizide, thus demonstrating non</w:t>
      </w:r>
      <w:r w:rsidRPr="00524EEA">
        <w:noBreakHyphen/>
        <w:t>inferiority (</w:t>
      </w:r>
      <w:r w:rsidR="00715483" w:rsidRPr="00524EEA">
        <w:t>Table 4</w:t>
      </w:r>
      <w:r w:rsidRPr="00524EEA">
        <w:t xml:space="preserve">). At Week 104, adjusted mean change from baseline in HbA1c was </w:t>
      </w:r>
      <w:r w:rsidRPr="00524EEA">
        <w:noBreakHyphen/>
        <w:t xml:space="preserve">0.32% for FORXIGA and </w:t>
      </w:r>
      <w:r w:rsidRPr="00524EEA">
        <w:noBreakHyphen/>
        <w:t>0.14% for glipizide.  At Week 208, the secondary endpoint of adjusted mean change from baseline in HbA1c was -0.10% for FORXIGA and 0.20% for glipizide (see Fig 1).  At 52, 104 and 208 weeks, a significantly lower proportion of subjects in the group treated with FORXIGA (3.5%, 4.3% and 5.0% respectively) experienced at least one event of hypoglycaemia compared to the group treated with glipizide (40.8%, 47.0% and 50.0% respectively).  The proportions of subjects remaining in the study at Week 104 and at Week 208 were 56.2% and 39% respectively for the group treated with FORXIGA and 50.0% and 34.6% respectively for the group treated with glipizide.</w:t>
      </w:r>
    </w:p>
    <w:p w14:paraId="19A16118" w14:textId="63A7F112" w:rsidR="00D43FA6" w:rsidRPr="00D43FA6" w:rsidRDefault="00715483" w:rsidP="00AF7D0B">
      <w:pPr>
        <w:pStyle w:val="A-TableTitle"/>
        <w:rPr>
          <w:lang w:val="en-AU"/>
        </w:rPr>
      </w:pPr>
      <w:r w:rsidRPr="00524EEA">
        <w:rPr>
          <w:lang w:val="en-AU"/>
        </w:rPr>
        <w:t>Table 4</w:t>
      </w:r>
      <w:r w:rsidR="0098288E" w:rsidRPr="00524EEA">
        <w:rPr>
          <w:lang w:val="en-AU"/>
        </w:rPr>
        <w:t xml:space="preserve">. </w:t>
      </w:r>
      <w:r w:rsidR="0098288E" w:rsidRPr="00524EEA">
        <w:rPr>
          <w:lang w:val="en-AU"/>
        </w:rPr>
        <w:tab/>
        <w:t>Results at Week 52 (</w:t>
      </w:r>
      <w:proofErr w:type="spellStart"/>
      <w:r w:rsidR="0098288E" w:rsidRPr="00524EEA">
        <w:rPr>
          <w:lang w:val="en-AU"/>
        </w:rPr>
        <w:t>LOCF</w:t>
      </w:r>
      <w:r w:rsidR="0098288E" w:rsidRPr="00524EEA">
        <w:rPr>
          <w:vertAlign w:val="superscript"/>
          <w:lang w:val="en-AU"/>
        </w:rPr>
        <w:t>a</w:t>
      </w:r>
      <w:proofErr w:type="spellEnd"/>
      <w:r w:rsidR="0098288E" w:rsidRPr="00524EEA">
        <w:rPr>
          <w:lang w:val="en-AU"/>
        </w:rPr>
        <w:t>) in an active</w:t>
      </w:r>
      <w:r w:rsidR="0098288E" w:rsidRPr="00524EEA">
        <w:rPr>
          <w:lang w:val="en-AU"/>
        </w:rPr>
        <w:noBreakHyphen/>
        <w:t>controlled study comparing FORXIGA to glipizide as add</w:t>
      </w:r>
      <w:r w:rsidR="0098288E" w:rsidRPr="00524EEA">
        <w:rPr>
          <w:lang w:val="en-AU"/>
        </w:rPr>
        <w:noBreakHyphen/>
        <w:t>on to metformin</w:t>
      </w:r>
    </w:p>
    <w:tbl>
      <w:tblPr>
        <w:tblW w:w="5535" w:type="pct"/>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994"/>
        <w:gridCol w:w="2216"/>
        <w:gridCol w:w="2783"/>
        <w:gridCol w:w="988"/>
      </w:tblGrid>
      <w:tr w:rsidR="0098288E" w:rsidRPr="00524EEA" w14:paraId="3AFAD264" w14:textId="77777777" w:rsidTr="001C4EEF">
        <w:trPr>
          <w:gridAfter w:val="1"/>
          <w:wAfter w:w="495" w:type="pct"/>
          <w:cantSplit/>
        </w:trPr>
        <w:tc>
          <w:tcPr>
            <w:tcW w:w="2001" w:type="pct"/>
            <w:tcBorders>
              <w:top w:val="single" w:sz="4" w:space="0" w:color="auto"/>
              <w:left w:val="single" w:sz="4" w:space="0" w:color="auto"/>
              <w:right w:val="single" w:sz="4" w:space="0" w:color="auto"/>
            </w:tcBorders>
            <w:vAlign w:val="bottom"/>
          </w:tcPr>
          <w:p w14:paraId="2AB9E207" w14:textId="77777777" w:rsidR="0098288E" w:rsidRPr="00524EEA" w:rsidRDefault="0098288E" w:rsidP="001B18F1">
            <w:pPr>
              <w:pStyle w:val="A-TableHeader"/>
              <w:rPr>
                <w:lang w:val="en-AU"/>
              </w:rPr>
            </w:pPr>
            <w:r w:rsidRPr="00524EEA">
              <w:rPr>
                <w:lang w:val="en-AU"/>
              </w:rPr>
              <w:t>Parameter</w:t>
            </w:r>
          </w:p>
        </w:tc>
        <w:tc>
          <w:tcPr>
            <w:tcW w:w="1110" w:type="pct"/>
            <w:tcBorders>
              <w:top w:val="single" w:sz="4" w:space="0" w:color="auto"/>
              <w:left w:val="single" w:sz="4" w:space="0" w:color="auto"/>
              <w:right w:val="single" w:sz="4" w:space="0" w:color="auto"/>
            </w:tcBorders>
          </w:tcPr>
          <w:p w14:paraId="3820E51C" w14:textId="77777777" w:rsidR="0098288E" w:rsidRPr="00524EEA" w:rsidRDefault="0098288E" w:rsidP="001B18F1">
            <w:pPr>
              <w:pStyle w:val="A-TableHeader"/>
              <w:jc w:val="center"/>
              <w:rPr>
                <w:lang w:val="en-AU"/>
              </w:rPr>
            </w:pPr>
            <w:r w:rsidRPr="00524EEA">
              <w:rPr>
                <w:lang w:val="en-AU"/>
              </w:rPr>
              <w:t>FORXIGA</w:t>
            </w:r>
          </w:p>
          <w:p w14:paraId="61023059" w14:textId="77777777" w:rsidR="0098288E" w:rsidRPr="00524EEA" w:rsidRDefault="0098288E" w:rsidP="001B18F1">
            <w:pPr>
              <w:pStyle w:val="A-TableHeader"/>
              <w:jc w:val="center"/>
              <w:rPr>
                <w:lang w:val="en-AU"/>
              </w:rPr>
            </w:pPr>
            <w:r w:rsidRPr="00524EEA">
              <w:rPr>
                <w:lang w:val="en-AU"/>
              </w:rPr>
              <w:t>+ metformin</w:t>
            </w:r>
          </w:p>
        </w:tc>
        <w:tc>
          <w:tcPr>
            <w:tcW w:w="1394" w:type="pct"/>
            <w:tcBorders>
              <w:top w:val="single" w:sz="4" w:space="0" w:color="auto"/>
              <w:left w:val="single" w:sz="4" w:space="0" w:color="auto"/>
              <w:right w:val="single" w:sz="4" w:space="0" w:color="auto"/>
            </w:tcBorders>
          </w:tcPr>
          <w:p w14:paraId="2C05A39F" w14:textId="77777777" w:rsidR="0098288E" w:rsidRPr="00524EEA" w:rsidRDefault="0098288E" w:rsidP="001B18F1">
            <w:pPr>
              <w:pStyle w:val="A-TableHeader"/>
              <w:jc w:val="center"/>
              <w:rPr>
                <w:lang w:val="en-AU"/>
              </w:rPr>
            </w:pPr>
            <w:r w:rsidRPr="00524EEA">
              <w:rPr>
                <w:lang w:val="en-AU"/>
              </w:rPr>
              <w:t>Glipizide</w:t>
            </w:r>
          </w:p>
          <w:p w14:paraId="6F62C3B4" w14:textId="77777777" w:rsidR="0098288E" w:rsidRPr="00524EEA" w:rsidRDefault="0098288E" w:rsidP="001B18F1">
            <w:pPr>
              <w:pStyle w:val="A-TableHeader"/>
              <w:jc w:val="center"/>
              <w:rPr>
                <w:lang w:val="en-AU"/>
              </w:rPr>
            </w:pPr>
            <w:r w:rsidRPr="00524EEA">
              <w:rPr>
                <w:lang w:val="en-AU"/>
              </w:rPr>
              <w:t>+ metformin</w:t>
            </w:r>
          </w:p>
        </w:tc>
      </w:tr>
      <w:tr w:rsidR="0098288E" w:rsidRPr="00524EEA" w14:paraId="726643D9" w14:textId="77777777" w:rsidTr="001C4EEF">
        <w:trPr>
          <w:gridAfter w:val="1"/>
          <w:wAfter w:w="495" w:type="pct"/>
          <w:cantSplit/>
        </w:trPr>
        <w:tc>
          <w:tcPr>
            <w:tcW w:w="2001" w:type="pct"/>
            <w:tcBorders>
              <w:top w:val="single" w:sz="4" w:space="0" w:color="auto"/>
              <w:left w:val="single" w:sz="4" w:space="0" w:color="auto"/>
              <w:right w:val="single" w:sz="4" w:space="0" w:color="auto"/>
            </w:tcBorders>
          </w:tcPr>
          <w:p w14:paraId="436625DD" w14:textId="77777777" w:rsidR="0098288E" w:rsidRPr="00524EEA" w:rsidRDefault="0098288E" w:rsidP="00AB5FB9">
            <w:pPr>
              <w:pStyle w:val="A-TableText"/>
              <w:rPr>
                <w:b/>
                <w:lang w:val="en-AU"/>
              </w:rPr>
            </w:pPr>
            <w:proofErr w:type="spellStart"/>
            <w:r w:rsidRPr="00524EEA">
              <w:rPr>
                <w:b/>
                <w:lang w:val="en-AU"/>
              </w:rPr>
              <w:t>N</w:t>
            </w:r>
            <w:r w:rsidRPr="00524EEA">
              <w:rPr>
                <w:b/>
                <w:vertAlign w:val="superscript"/>
                <w:lang w:val="en-AU"/>
              </w:rPr>
              <w:t>b</w:t>
            </w:r>
            <w:proofErr w:type="spellEnd"/>
          </w:p>
        </w:tc>
        <w:tc>
          <w:tcPr>
            <w:tcW w:w="1110" w:type="pct"/>
            <w:tcBorders>
              <w:top w:val="single" w:sz="4" w:space="0" w:color="auto"/>
              <w:left w:val="single" w:sz="4" w:space="0" w:color="auto"/>
              <w:right w:val="single" w:sz="4" w:space="0" w:color="auto"/>
            </w:tcBorders>
          </w:tcPr>
          <w:p w14:paraId="40C75977" w14:textId="77777777" w:rsidR="0098288E" w:rsidRPr="00524EEA" w:rsidRDefault="0098288E" w:rsidP="001B18F1">
            <w:pPr>
              <w:pStyle w:val="A-TableText"/>
              <w:jc w:val="center"/>
              <w:rPr>
                <w:lang w:val="en-AU"/>
              </w:rPr>
            </w:pPr>
            <w:r w:rsidRPr="00524EEA">
              <w:rPr>
                <w:lang w:val="en-AU"/>
              </w:rPr>
              <w:t>400</w:t>
            </w:r>
          </w:p>
        </w:tc>
        <w:tc>
          <w:tcPr>
            <w:tcW w:w="1394" w:type="pct"/>
            <w:tcBorders>
              <w:top w:val="single" w:sz="4" w:space="0" w:color="auto"/>
              <w:left w:val="single" w:sz="4" w:space="0" w:color="auto"/>
              <w:right w:val="single" w:sz="4" w:space="0" w:color="auto"/>
            </w:tcBorders>
          </w:tcPr>
          <w:p w14:paraId="3ABFFD54" w14:textId="77777777" w:rsidR="0098288E" w:rsidRPr="00524EEA" w:rsidRDefault="0098288E" w:rsidP="001B18F1">
            <w:pPr>
              <w:pStyle w:val="A-TableText"/>
              <w:jc w:val="center"/>
              <w:rPr>
                <w:lang w:val="en-AU"/>
              </w:rPr>
            </w:pPr>
            <w:r w:rsidRPr="00524EEA">
              <w:rPr>
                <w:lang w:val="en-AU"/>
              </w:rPr>
              <w:t>401</w:t>
            </w:r>
          </w:p>
        </w:tc>
      </w:tr>
      <w:tr w:rsidR="0098288E" w:rsidRPr="00524EEA" w14:paraId="1BB7F272" w14:textId="77777777" w:rsidTr="001C4EEF">
        <w:trPr>
          <w:gridAfter w:val="1"/>
          <w:wAfter w:w="495" w:type="pct"/>
          <w:cantSplit/>
          <w:trHeight w:val="785"/>
        </w:trPr>
        <w:tc>
          <w:tcPr>
            <w:tcW w:w="2001" w:type="pct"/>
            <w:tcBorders>
              <w:top w:val="single" w:sz="4" w:space="0" w:color="auto"/>
              <w:left w:val="single" w:sz="4" w:space="0" w:color="auto"/>
              <w:right w:val="single" w:sz="4" w:space="0" w:color="auto"/>
            </w:tcBorders>
          </w:tcPr>
          <w:p w14:paraId="5845CED9" w14:textId="77777777" w:rsidR="0098288E" w:rsidRPr="00524EEA" w:rsidRDefault="0098288E" w:rsidP="00AB5FB9">
            <w:pPr>
              <w:pStyle w:val="A-TableText"/>
              <w:rPr>
                <w:b/>
                <w:lang w:val="en-AU"/>
              </w:rPr>
            </w:pPr>
            <w:r w:rsidRPr="00524EEA">
              <w:rPr>
                <w:b/>
                <w:lang w:val="en-AU"/>
              </w:rPr>
              <w:t>HbA1c (%)</w:t>
            </w:r>
          </w:p>
          <w:p w14:paraId="091D2DC8" w14:textId="77777777" w:rsidR="0098288E" w:rsidRPr="00524EEA" w:rsidRDefault="0098288E" w:rsidP="00AB5FB9">
            <w:pPr>
              <w:pStyle w:val="A-TableText"/>
              <w:rPr>
                <w:lang w:val="en-AU"/>
              </w:rPr>
            </w:pPr>
            <w:r w:rsidRPr="00524EEA">
              <w:rPr>
                <w:lang w:val="en-AU"/>
              </w:rPr>
              <w:t>Baseline (mean)</w:t>
            </w:r>
          </w:p>
          <w:p w14:paraId="3F72080E" w14:textId="77777777" w:rsidR="0098288E" w:rsidRPr="00524EEA" w:rsidRDefault="0098288E" w:rsidP="00AB5FB9">
            <w:pPr>
              <w:pStyle w:val="A-TableText"/>
              <w:rPr>
                <w:lang w:val="en-AU"/>
              </w:rPr>
            </w:pPr>
            <w:r w:rsidRPr="00524EEA">
              <w:rPr>
                <w:lang w:val="en-AU"/>
              </w:rPr>
              <w:t xml:space="preserve">Change from </w:t>
            </w:r>
            <w:proofErr w:type="spellStart"/>
            <w:r w:rsidRPr="00524EEA">
              <w:rPr>
                <w:lang w:val="en-AU"/>
              </w:rPr>
              <w:t>baseline</w:t>
            </w:r>
            <w:r w:rsidRPr="00524EEA">
              <w:rPr>
                <w:vertAlign w:val="superscript"/>
                <w:lang w:val="en-AU"/>
              </w:rPr>
              <w:t>c</w:t>
            </w:r>
            <w:proofErr w:type="spellEnd"/>
          </w:p>
          <w:p w14:paraId="14ABD5FC" w14:textId="77777777" w:rsidR="0098288E" w:rsidRPr="00524EEA" w:rsidRDefault="0098288E" w:rsidP="00AB5FB9">
            <w:pPr>
              <w:pStyle w:val="A-TableText"/>
              <w:rPr>
                <w:lang w:val="en-AU"/>
              </w:rPr>
            </w:pPr>
            <w:r w:rsidRPr="00524EEA">
              <w:rPr>
                <w:lang w:val="en-AU"/>
              </w:rPr>
              <w:t>Difference from glipizide + </w:t>
            </w:r>
            <w:proofErr w:type="spellStart"/>
            <w:r w:rsidRPr="00524EEA">
              <w:rPr>
                <w:lang w:val="en-AU"/>
              </w:rPr>
              <w:t>metformin</w:t>
            </w:r>
            <w:r w:rsidRPr="00524EEA">
              <w:rPr>
                <w:vertAlign w:val="superscript"/>
                <w:lang w:val="en-AU"/>
              </w:rPr>
              <w:t>c</w:t>
            </w:r>
            <w:proofErr w:type="spellEnd"/>
            <w:r w:rsidRPr="00524EEA">
              <w:rPr>
                <w:lang w:val="en-AU"/>
              </w:rPr>
              <w:t xml:space="preserve"> </w:t>
            </w:r>
          </w:p>
          <w:p w14:paraId="1F3CD04F" w14:textId="77777777" w:rsidR="0098288E" w:rsidRPr="00524EEA" w:rsidRDefault="0098288E" w:rsidP="00AB5FB9">
            <w:pPr>
              <w:pStyle w:val="A-TableText"/>
              <w:rPr>
                <w:lang w:val="en-AU"/>
              </w:rPr>
            </w:pPr>
            <w:r w:rsidRPr="00524EEA">
              <w:rPr>
                <w:lang w:val="en-AU"/>
              </w:rPr>
              <w:t xml:space="preserve">    (95% CI)</w:t>
            </w:r>
          </w:p>
        </w:tc>
        <w:tc>
          <w:tcPr>
            <w:tcW w:w="1110" w:type="pct"/>
            <w:tcBorders>
              <w:top w:val="single" w:sz="4" w:space="0" w:color="auto"/>
              <w:left w:val="single" w:sz="4" w:space="0" w:color="auto"/>
              <w:right w:val="single" w:sz="4" w:space="0" w:color="auto"/>
            </w:tcBorders>
          </w:tcPr>
          <w:p w14:paraId="7B101D2B" w14:textId="77777777" w:rsidR="0098288E" w:rsidRPr="00524EEA" w:rsidRDefault="0098288E" w:rsidP="001B18F1">
            <w:pPr>
              <w:pStyle w:val="A-TableText"/>
              <w:jc w:val="center"/>
              <w:rPr>
                <w:lang w:val="en-AU"/>
              </w:rPr>
            </w:pPr>
          </w:p>
          <w:p w14:paraId="343BFCD9" w14:textId="77777777" w:rsidR="0098288E" w:rsidRPr="00524EEA" w:rsidRDefault="0098288E" w:rsidP="001B18F1">
            <w:pPr>
              <w:pStyle w:val="A-TableText"/>
              <w:jc w:val="center"/>
              <w:rPr>
                <w:lang w:val="en-AU"/>
              </w:rPr>
            </w:pPr>
            <w:r w:rsidRPr="00524EEA">
              <w:rPr>
                <w:lang w:val="en-AU"/>
              </w:rPr>
              <w:t>7.69</w:t>
            </w:r>
          </w:p>
          <w:p w14:paraId="7C5FDEFB" w14:textId="77777777" w:rsidR="0098288E" w:rsidRPr="00524EEA" w:rsidRDefault="0098288E" w:rsidP="001B18F1">
            <w:pPr>
              <w:pStyle w:val="A-TableText"/>
              <w:jc w:val="center"/>
              <w:rPr>
                <w:lang w:val="en-AU"/>
              </w:rPr>
            </w:pPr>
            <w:r w:rsidRPr="00524EEA">
              <w:rPr>
                <w:lang w:val="en-AU"/>
              </w:rPr>
              <w:noBreakHyphen/>
              <w:t>0.52</w:t>
            </w:r>
          </w:p>
          <w:p w14:paraId="04FA2E56" w14:textId="77777777" w:rsidR="0098288E" w:rsidRPr="00524EEA" w:rsidRDefault="0098288E" w:rsidP="001B18F1">
            <w:pPr>
              <w:pStyle w:val="A-TableText"/>
              <w:jc w:val="center"/>
              <w:rPr>
                <w:lang w:val="en-AU"/>
              </w:rPr>
            </w:pPr>
            <w:r w:rsidRPr="00524EEA">
              <w:rPr>
                <w:lang w:val="en-AU"/>
              </w:rPr>
              <w:t>0.00</w:t>
            </w:r>
            <w:r w:rsidRPr="00524EEA">
              <w:rPr>
                <w:vertAlign w:val="superscript"/>
                <w:lang w:val="en-AU"/>
              </w:rPr>
              <w:t>d</w:t>
            </w:r>
          </w:p>
          <w:p w14:paraId="0CD04321" w14:textId="77777777" w:rsidR="0098288E" w:rsidRPr="00524EEA" w:rsidRDefault="0098288E" w:rsidP="001B18F1">
            <w:pPr>
              <w:pStyle w:val="A-TableText"/>
              <w:jc w:val="center"/>
              <w:rPr>
                <w:lang w:val="en-AU"/>
              </w:rPr>
            </w:pPr>
            <w:r w:rsidRPr="00524EEA">
              <w:rPr>
                <w:lang w:val="en-AU"/>
              </w:rPr>
              <w:t>(</w:t>
            </w:r>
            <w:r w:rsidRPr="00524EEA">
              <w:rPr>
                <w:lang w:val="en-AU"/>
              </w:rPr>
              <w:noBreakHyphen/>
              <w:t>0.11, 0.11)</w:t>
            </w:r>
          </w:p>
        </w:tc>
        <w:tc>
          <w:tcPr>
            <w:tcW w:w="1394" w:type="pct"/>
            <w:tcBorders>
              <w:top w:val="single" w:sz="4" w:space="0" w:color="auto"/>
              <w:left w:val="single" w:sz="4" w:space="0" w:color="auto"/>
              <w:right w:val="single" w:sz="4" w:space="0" w:color="auto"/>
            </w:tcBorders>
          </w:tcPr>
          <w:p w14:paraId="2CAC1112" w14:textId="77777777" w:rsidR="0098288E" w:rsidRPr="00524EEA" w:rsidRDefault="0098288E" w:rsidP="001B18F1">
            <w:pPr>
              <w:pStyle w:val="A-TableText"/>
              <w:jc w:val="center"/>
              <w:rPr>
                <w:lang w:val="en-AU"/>
              </w:rPr>
            </w:pPr>
          </w:p>
          <w:p w14:paraId="6017AF56" w14:textId="77777777" w:rsidR="0098288E" w:rsidRPr="00524EEA" w:rsidRDefault="0098288E" w:rsidP="001B18F1">
            <w:pPr>
              <w:pStyle w:val="A-TableText"/>
              <w:jc w:val="center"/>
              <w:rPr>
                <w:lang w:val="en-AU"/>
              </w:rPr>
            </w:pPr>
            <w:r w:rsidRPr="00524EEA">
              <w:rPr>
                <w:lang w:val="en-AU"/>
              </w:rPr>
              <w:t>7.74</w:t>
            </w:r>
          </w:p>
          <w:p w14:paraId="07AE613E" w14:textId="77777777" w:rsidR="0098288E" w:rsidRPr="00524EEA" w:rsidRDefault="0098288E" w:rsidP="001B18F1">
            <w:pPr>
              <w:pStyle w:val="A-TableText"/>
              <w:jc w:val="center"/>
              <w:rPr>
                <w:lang w:val="en-AU"/>
              </w:rPr>
            </w:pPr>
            <w:r w:rsidRPr="00524EEA">
              <w:rPr>
                <w:lang w:val="en-AU"/>
              </w:rPr>
              <w:noBreakHyphen/>
              <w:t>0.52</w:t>
            </w:r>
          </w:p>
          <w:p w14:paraId="47D549AF" w14:textId="77777777" w:rsidR="0098288E" w:rsidRPr="00524EEA" w:rsidRDefault="0098288E" w:rsidP="001B18F1">
            <w:pPr>
              <w:pStyle w:val="A-TableText"/>
              <w:jc w:val="center"/>
              <w:rPr>
                <w:lang w:val="en-AU"/>
              </w:rPr>
            </w:pPr>
          </w:p>
          <w:p w14:paraId="5C78A753" w14:textId="77777777" w:rsidR="0098288E" w:rsidRPr="00524EEA" w:rsidRDefault="0098288E" w:rsidP="001B18F1">
            <w:pPr>
              <w:pStyle w:val="A-TableText"/>
              <w:jc w:val="center"/>
              <w:rPr>
                <w:lang w:val="en-AU"/>
              </w:rPr>
            </w:pPr>
          </w:p>
        </w:tc>
      </w:tr>
      <w:tr w:rsidR="0098288E" w:rsidRPr="00524EEA" w14:paraId="0093C2A9" w14:textId="77777777" w:rsidTr="001C4EEF">
        <w:trPr>
          <w:gridAfter w:val="1"/>
          <w:wAfter w:w="495" w:type="pct"/>
          <w:cantSplit/>
          <w:trHeight w:val="785"/>
        </w:trPr>
        <w:tc>
          <w:tcPr>
            <w:tcW w:w="2001" w:type="pct"/>
            <w:tcBorders>
              <w:top w:val="single" w:sz="4" w:space="0" w:color="auto"/>
              <w:left w:val="single" w:sz="4" w:space="0" w:color="auto"/>
              <w:bottom w:val="single" w:sz="4" w:space="0" w:color="auto"/>
              <w:right w:val="single" w:sz="4" w:space="0" w:color="auto"/>
            </w:tcBorders>
          </w:tcPr>
          <w:p w14:paraId="7ADCCA57" w14:textId="77777777" w:rsidR="0098288E" w:rsidRPr="00524EEA" w:rsidRDefault="0098288E" w:rsidP="00AB5FB9">
            <w:pPr>
              <w:pStyle w:val="A-TableText"/>
              <w:rPr>
                <w:b/>
                <w:lang w:val="en-AU"/>
              </w:rPr>
            </w:pPr>
            <w:r w:rsidRPr="00524EEA">
              <w:rPr>
                <w:b/>
                <w:lang w:val="en-AU"/>
              </w:rPr>
              <w:t>Body weight (kg)</w:t>
            </w:r>
          </w:p>
          <w:p w14:paraId="034B5E06" w14:textId="77777777" w:rsidR="0098288E" w:rsidRPr="00524EEA" w:rsidRDefault="0098288E" w:rsidP="00AB5FB9">
            <w:pPr>
              <w:pStyle w:val="A-TableText"/>
              <w:rPr>
                <w:lang w:val="en-AU"/>
              </w:rPr>
            </w:pPr>
            <w:r w:rsidRPr="00524EEA">
              <w:rPr>
                <w:lang w:val="en-AU"/>
              </w:rPr>
              <w:t>Baseline (mean)</w:t>
            </w:r>
          </w:p>
          <w:p w14:paraId="7D62CDBD" w14:textId="77777777" w:rsidR="0098288E" w:rsidRPr="00524EEA" w:rsidRDefault="0098288E" w:rsidP="00AB5FB9">
            <w:pPr>
              <w:pStyle w:val="A-TableText"/>
              <w:rPr>
                <w:lang w:val="en-AU"/>
              </w:rPr>
            </w:pPr>
            <w:r w:rsidRPr="00524EEA">
              <w:rPr>
                <w:lang w:val="en-AU"/>
              </w:rPr>
              <w:t xml:space="preserve">Change from </w:t>
            </w:r>
            <w:proofErr w:type="spellStart"/>
            <w:r w:rsidRPr="00524EEA">
              <w:rPr>
                <w:lang w:val="en-AU"/>
              </w:rPr>
              <w:t>baseline</w:t>
            </w:r>
            <w:r w:rsidRPr="00524EEA">
              <w:rPr>
                <w:vertAlign w:val="superscript"/>
                <w:lang w:val="en-AU"/>
              </w:rPr>
              <w:t>c</w:t>
            </w:r>
            <w:proofErr w:type="spellEnd"/>
          </w:p>
          <w:p w14:paraId="527BC964" w14:textId="77777777" w:rsidR="0098288E" w:rsidRPr="00524EEA" w:rsidRDefault="0098288E" w:rsidP="00AB5FB9">
            <w:pPr>
              <w:pStyle w:val="A-TableText"/>
              <w:rPr>
                <w:lang w:val="en-AU"/>
              </w:rPr>
            </w:pPr>
            <w:r w:rsidRPr="00524EEA">
              <w:rPr>
                <w:lang w:val="en-AU"/>
              </w:rPr>
              <w:t>Difference from glipizide + </w:t>
            </w:r>
            <w:proofErr w:type="spellStart"/>
            <w:r w:rsidRPr="00524EEA">
              <w:rPr>
                <w:lang w:val="en-AU"/>
              </w:rPr>
              <w:t>metformin</w:t>
            </w:r>
            <w:r w:rsidRPr="00524EEA">
              <w:rPr>
                <w:vertAlign w:val="superscript"/>
                <w:lang w:val="en-AU"/>
              </w:rPr>
              <w:t>c</w:t>
            </w:r>
            <w:proofErr w:type="spellEnd"/>
            <w:r w:rsidRPr="00524EEA">
              <w:rPr>
                <w:lang w:val="en-AU"/>
              </w:rPr>
              <w:t xml:space="preserve"> </w:t>
            </w:r>
          </w:p>
          <w:p w14:paraId="71E9EA4D" w14:textId="77777777" w:rsidR="0098288E" w:rsidRPr="00524EEA" w:rsidRDefault="0098288E" w:rsidP="00AB5FB9">
            <w:pPr>
              <w:pStyle w:val="A-TableText"/>
              <w:rPr>
                <w:lang w:val="en-AU"/>
              </w:rPr>
            </w:pPr>
            <w:r w:rsidRPr="00524EEA">
              <w:rPr>
                <w:lang w:val="en-AU"/>
              </w:rPr>
              <w:t>(95% CI)</w:t>
            </w:r>
          </w:p>
        </w:tc>
        <w:tc>
          <w:tcPr>
            <w:tcW w:w="1110" w:type="pct"/>
            <w:tcBorders>
              <w:top w:val="single" w:sz="4" w:space="0" w:color="auto"/>
              <w:left w:val="single" w:sz="4" w:space="0" w:color="auto"/>
              <w:bottom w:val="single" w:sz="4" w:space="0" w:color="auto"/>
              <w:right w:val="single" w:sz="4" w:space="0" w:color="auto"/>
            </w:tcBorders>
          </w:tcPr>
          <w:p w14:paraId="35CE782C" w14:textId="77777777" w:rsidR="0098288E" w:rsidRPr="00524EEA" w:rsidRDefault="0098288E" w:rsidP="001B18F1">
            <w:pPr>
              <w:pStyle w:val="A-TableText"/>
              <w:jc w:val="center"/>
              <w:rPr>
                <w:lang w:val="en-AU"/>
              </w:rPr>
            </w:pPr>
          </w:p>
          <w:p w14:paraId="4CE4EE8D" w14:textId="77777777" w:rsidR="0098288E" w:rsidRPr="00524EEA" w:rsidRDefault="0098288E" w:rsidP="001B18F1">
            <w:pPr>
              <w:pStyle w:val="A-TableText"/>
              <w:jc w:val="center"/>
              <w:rPr>
                <w:lang w:val="en-AU"/>
              </w:rPr>
            </w:pPr>
            <w:r w:rsidRPr="00524EEA">
              <w:rPr>
                <w:lang w:val="en-AU"/>
              </w:rPr>
              <w:t>88.44</w:t>
            </w:r>
          </w:p>
          <w:p w14:paraId="05A06467" w14:textId="77777777" w:rsidR="0098288E" w:rsidRPr="00524EEA" w:rsidRDefault="0098288E" w:rsidP="001B18F1">
            <w:pPr>
              <w:pStyle w:val="A-TableText"/>
              <w:jc w:val="center"/>
              <w:rPr>
                <w:lang w:val="en-AU"/>
              </w:rPr>
            </w:pPr>
            <w:r w:rsidRPr="00524EEA">
              <w:rPr>
                <w:lang w:val="en-AU"/>
              </w:rPr>
              <w:noBreakHyphen/>
              <w:t>3.22</w:t>
            </w:r>
          </w:p>
          <w:p w14:paraId="75387A56" w14:textId="77777777" w:rsidR="0098288E" w:rsidRPr="00524EEA" w:rsidRDefault="0098288E" w:rsidP="001B18F1">
            <w:pPr>
              <w:pStyle w:val="A-TableText"/>
              <w:jc w:val="center"/>
              <w:rPr>
                <w:lang w:val="en-AU"/>
              </w:rPr>
            </w:pPr>
            <w:r w:rsidRPr="00524EEA">
              <w:rPr>
                <w:lang w:val="en-AU"/>
              </w:rPr>
              <w:noBreakHyphen/>
              <w:t>4.65</w:t>
            </w:r>
            <w:r w:rsidRPr="00524EEA">
              <w:rPr>
                <w:vertAlign w:val="superscript"/>
                <w:lang w:val="en-AU"/>
              </w:rPr>
              <w:t>*</w:t>
            </w:r>
          </w:p>
          <w:p w14:paraId="12BA3AEB" w14:textId="77777777" w:rsidR="0098288E" w:rsidRPr="00524EEA" w:rsidRDefault="0098288E" w:rsidP="001B18F1">
            <w:pPr>
              <w:pStyle w:val="A-TableText"/>
              <w:jc w:val="center"/>
              <w:rPr>
                <w:lang w:val="en-AU"/>
              </w:rPr>
            </w:pPr>
            <w:r w:rsidRPr="00524EEA">
              <w:rPr>
                <w:lang w:val="en-AU"/>
              </w:rPr>
              <w:t>(</w:t>
            </w:r>
            <w:r w:rsidRPr="00524EEA">
              <w:rPr>
                <w:lang w:val="en-AU"/>
              </w:rPr>
              <w:noBreakHyphen/>
              <w:t xml:space="preserve">5.14, </w:t>
            </w:r>
            <w:r w:rsidRPr="00524EEA">
              <w:rPr>
                <w:lang w:val="en-AU"/>
              </w:rPr>
              <w:noBreakHyphen/>
              <w:t>4.17)</w:t>
            </w:r>
          </w:p>
        </w:tc>
        <w:tc>
          <w:tcPr>
            <w:tcW w:w="1394" w:type="pct"/>
            <w:tcBorders>
              <w:top w:val="single" w:sz="4" w:space="0" w:color="auto"/>
              <w:left w:val="single" w:sz="4" w:space="0" w:color="auto"/>
              <w:bottom w:val="single" w:sz="4" w:space="0" w:color="auto"/>
              <w:right w:val="single" w:sz="4" w:space="0" w:color="auto"/>
            </w:tcBorders>
          </w:tcPr>
          <w:p w14:paraId="0D72FEA6" w14:textId="77777777" w:rsidR="0098288E" w:rsidRPr="00524EEA" w:rsidRDefault="0098288E" w:rsidP="001B18F1">
            <w:pPr>
              <w:pStyle w:val="A-TableText"/>
              <w:jc w:val="center"/>
              <w:rPr>
                <w:lang w:val="en-AU"/>
              </w:rPr>
            </w:pPr>
          </w:p>
          <w:p w14:paraId="0F9FDF67" w14:textId="77777777" w:rsidR="0098288E" w:rsidRPr="00524EEA" w:rsidRDefault="0098288E" w:rsidP="001B18F1">
            <w:pPr>
              <w:pStyle w:val="A-TableText"/>
              <w:jc w:val="center"/>
              <w:rPr>
                <w:lang w:val="en-AU"/>
              </w:rPr>
            </w:pPr>
            <w:r w:rsidRPr="00524EEA">
              <w:rPr>
                <w:lang w:val="en-AU"/>
              </w:rPr>
              <w:t>87.60</w:t>
            </w:r>
          </w:p>
          <w:p w14:paraId="034A35A2" w14:textId="77777777" w:rsidR="0098288E" w:rsidRPr="00524EEA" w:rsidRDefault="0098288E" w:rsidP="001B18F1">
            <w:pPr>
              <w:pStyle w:val="A-TableText"/>
              <w:jc w:val="center"/>
              <w:rPr>
                <w:lang w:val="en-AU"/>
              </w:rPr>
            </w:pPr>
            <w:r w:rsidRPr="00524EEA">
              <w:rPr>
                <w:lang w:val="en-AU"/>
              </w:rPr>
              <w:t>1.44</w:t>
            </w:r>
          </w:p>
          <w:p w14:paraId="50F838B4" w14:textId="77777777" w:rsidR="0098288E" w:rsidRPr="00524EEA" w:rsidRDefault="0098288E" w:rsidP="001B18F1">
            <w:pPr>
              <w:pStyle w:val="A-TableText"/>
              <w:jc w:val="center"/>
              <w:rPr>
                <w:lang w:val="en-AU"/>
              </w:rPr>
            </w:pPr>
          </w:p>
          <w:p w14:paraId="5DA43BB7" w14:textId="77777777" w:rsidR="0098288E" w:rsidRPr="00524EEA" w:rsidRDefault="0098288E" w:rsidP="001B18F1">
            <w:pPr>
              <w:pStyle w:val="A-TableText"/>
              <w:jc w:val="center"/>
              <w:rPr>
                <w:lang w:val="en-AU"/>
              </w:rPr>
            </w:pPr>
          </w:p>
        </w:tc>
      </w:tr>
      <w:tr w:rsidR="0098288E" w:rsidRPr="00524EEA" w14:paraId="5635E7C5" w14:textId="77777777" w:rsidTr="001C4EEF">
        <w:trPr>
          <w:gridAfter w:val="1"/>
          <w:wAfter w:w="495" w:type="pct"/>
          <w:cantSplit/>
        </w:trPr>
        <w:tc>
          <w:tcPr>
            <w:tcW w:w="4505" w:type="pct"/>
            <w:gridSpan w:val="3"/>
            <w:tcBorders>
              <w:top w:val="single" w:sz="4" w:space="0" w:color="auto"/>
              <w:left w:val="nil"/>
              <w:bottom w:val="nil"/>
              <w:right w:val="nil"/>
            </w:tcBorders>
          </w:tcPr>
          <w:p w14:paraId="3F9F8571" w14:textId="77777777" w:rsidR="0098288E" w:rsidRPr="00524EEA" w:rsidRDefault="0098288E" w:rsidP="003501A4">
            <w:pPr>
              <w:pStyle w:val="A-TableFootnoteText"/>
              <w:jc w:val="left"/>
            </w:pPr>
            <w:proofErr w:type="spellStart"/>
            <w:r w:rsidRPr="00524EEA">
              <w:rPr>
                <w:vertAlign w:val="superscript"/>
              </w:rPr>
              <w:t>a</w:t>
            </w:r>
            <w:r w:rsidRPr="00524EEA">
              <w:t>LOCF</w:t>
            </w:r>
            <w:proofErr w:type="spellEnd"/>
            <w:r w:rsidRPr="00524EEA">
              <w:t>: Last observation carried forward</w:t>
            </w:r>
          </w:p>
          <w:p w14:paraId="65CF14CB" w14:textId="77777777" w:rsidR="0098288E" w:rsidRPr="00524EEA" w:rsidRDefault="0098288E" w:rsidP="003501A4">
            <w:pPr>
              <w:pStyle w:val="A-TableFootnoteText"/>
              <w:jc w:val="left"/>
            </w:pPr>
            <w:proofErr w:type="spellStart"/>
            <w:r w:rsidRPr="00524EEA">
              <w:rPr>
                <w:vertAlign w:val="superscript"/>
              </w:rPr>
              <w:t>b</w:t>
            </w:r>
            <w:r w:rsidRPr="00524EEA">
              <w:t>Randomised</w:t>
            </w:r>
            <w:proofErr w:type="spellEnd"/>
            <w:r w:rsidRPr="00524EEA">
              <w:t xml:space="preserve"> and treated subjects with baseline and at least 1 post</w:t>
            </w:r>
            <w:r w:rsidRPr="00524EEA">
              <w:noBreakHyphen/>
              <w:t>baseline efficacy measurement</w:t>
            </w:r>
          </w:p>
          <w:p w14:paraId="545DA5C2" w14:textId="77777777" w:rsidR="0098288E" w:rsidRPr="00524EEA" w:rsidRDefault="0098288E" w:rsidP="003501A4">
            <w:pPr>
              <w:pStyle w:val="A-TableFootnoteText"/>
              <w:jc w:val="left"/>
            </w:pPr>
            <w:proofErr w:type="spellStart"/>
            <w:r w:rsidRPr="00524EEA">
              <w:rPr>
                <w:vertAlign w:val="superscript"/>
              </w:rPr>
              <w:t>c</w:t>
            </w:r>
            <w:r w:rsidRPr="00524EEA">
              <w:t>Least</w:t>
            </w:r>
            <w:proofErr w:type="spellEnd"/>
            <w:r w:rsidRPr="00524EEA">
              <w:t xml:space="preserve"> squares mean adjusted for baseline value</w:t>
            </w:r>
          </w:p>
          <w:p w14:paraId="27ACE08A" w14:textId="77777777" w:rsidR="0098288E" w:rsidRPr="00524EEA" w:rsidRDefault="0098288E" w:rsidP="003501A4">
            <w:pPr>
              <w:pStyle w:val="A-TableFootnoteText"/>
              <w:jc w:val="left"/>
            </w:pPr>
            <w:proofErr w:type="spellStart"/>
            <w:r w:rsidRPr="00524EEA">
              <w:rPr>
                <w:vertAlign w:val="superscript"/>
              </w:rPr>
              <w:t>d</w:t>
            </w:r>
            <w:r w:rsidRPr="00524EEA">
              <w:t>Non</w:t>
            </w:r>
            <w:proofErr w:type="spellEnd"/>
            <w:r w:rsidRPr="00524EEA">
              <w:noBreakHyphen/>
              <w:t>inferior to glipizide + metformin</w:t>
            </w:r>
          </w:p>
          <w:p w14:paraId="2E2ED88A" w14:textId="587B771F" w:rsidR="00FD45B6" w:rsidRPr="00524EEA" w:rsidRDefault="0098288E" w:rsidP="003501A4">
            <w:pPr>
              <w:pStyle w:val="A-TableFootnoteText"/>
              <w:jc w:val="left"/>
            </w:pPr>
            <w:r w:rsidRPr="00524EEA">
              <w:rPr>
                <w:vertAlign w:val="superscript"/>
              </w:rPr>
              <w:t>*</w:t>
            </w:r>
            <w:r w:rsidRPr="00524EEA">
              <w:t>p</w:t>
            </w:r>
            <w:r w:rsidRPr="00524EEA">
              <w:noBreakHyphen/>
              <w:t>value &lt; 0.0001</w:t>
            </w:r>
          </w:p>
        </w:tc>
      </w:tr>
      <w:tr w:rsidR="003E6F2D" w:rsidRPr="00524EEA" w14:paraId="0A053F02" w14:textId="77777777" w:rsidTr="001C4EEF">
        <w:tblPrEx>
          <w:jc w:val="center"/>
          <w:tblBorders>
            <w:top w:val="none" w:sz="0" w:space="0" w:color="auto"/>
            <w:bottom w:val="none" w:sz="0" w:space="0" w:color="auto"/>
            <w:insideH w:val="none" w:sz="0" w:space="0" w:color="auto"/>
          </w:tblBorders>
          <w:tblLook w:val="01E0" w:firstRow="1" w:lastRow="1" w:firstColumn="1" w:lastColumn="1" w:noHBand="0" w:noVBand="0"/>
        </w:tblPrEx>
        <w:trPr>
          <w:jc w:val="center"/>
        </w:trPr>
        <w:tc>
          <w:tcPr>
            <w:tcW w:w="5000" w:type="pct"/>
            <w:gridSpan w:val="4"/>
          </w:tcPr>
          <w:p w14:paraId="2DDCC884" w14:textId="0C24E488" w:rsidR="003E6F2D" w:rsidRPr="00524EEA" w:rsidRDefault="003E6F2D" w:rsidP="001B18F1">
            <w:pPr>
              <w:pStyle w:val="A-FigureTitle"/>
              <w:rPr>
                <w:lang w:val="en-AU"/>
              </w:rPr>
            </w:pPr>
            <w:r w:rsidRPr="00524EEA">
              <w:rPr>
                <w:lang w:val="en-AU"/>
              </w:rPr>
              <w:t>F</w:t>
            </w:r>
            <w:r w:rsidR="001B18F1" w:rsidRPr="00524EEA">
              <w:rPr>
                <w:lang w:val="en-AU"/>
              </w:rPr>
              <w:t>igure 1.</w:t>
            </w:r>
            <w:r w:rsidRPr="00524EEA">
              <w:rPr>
                <w:lang w:val="en-AU"/>
              </w:rPr>
              <w:tab/>
              <w:t xml:space="preserve">Adjusted Mean Change from Baseline Over Time in HbA1c (%) in a 208-Week </w:t>
            </w:r>
            <w:r w:rsidR="00213BFB" w:rsidRPr="00524EEA">
              <w:rPr>
                <w:lang w:val="en-AU"/>
              </w:rPr>
              <w:br/>
            </w:r>
            <w:r w:rsidRPr="00524EEA">
              <w:rPr>
                <w:lang w:val="en-AU"/>
              </w:rPr>
              <w:t>Active-Controlled Study Comparing FORXIGA to Glipizide as Add-on to Metformin (Longitudinal Repeated Measures Analysis, Excluding Data after Rescue)</w:t>
            </w:r>
          </w:p>
        </w:tc>
      </w:tr>
      <w:tr w:rsidR="003E6F2D" w:rsidRPr="00524EEA" w14:paraId="194FCC02" w14:textId="77777777" w:rsidTr="001C4EEF">
        <w:tblPrEx>
          <w:jc w:val="center"/>
          <w:tblBorders>
            <w:top w:val="none" w:sz="0" w:space="0" w:color="auto"/>
            <w:bottom w:val="none" w:sz="0" w:space="0" w:color="auto"/>
            <w:insideH w:val="none" w:sz="0" w:space="0" w:color="auto"/>
          </w:tblBorders>
          <w:tblLook w:val="01E0" w:firstRow="1" w:lastRow="1" w:firstColumn="1" w:lastColumn="1" w:noHBand="0" w:noVBand="0"/>
        </w:tblPrEx>
        <w:trPr>
          <w:jc w:val="center"/>
        </w:trPr>
        <w:tc>
          <w:tcPr>
            <w:tcW w:w="5000" w:type="pct"/>
            <w:gridSpan w:val="4"/>
          </w:tcPr>
          <w:p w14:paraId="064ED50B" w14:textId="7DD39B34" w:rsidR="003E6F2D" w:rsidRPr="00524EEA" w:rsidRDefault="003E6F2D" w:rsidP="00FD45B6">
            <w:pPr>
              <w:jc w:val="center"/>
            </w:pPr>
            <w:r w:rsidRPr="00524EEA">
              <w:rPr>
                <w:noProof/>
                <w:lang w:eastAsia="en-AU"/>
              </w:rPr>
              <w:drawing>
                <wp:inline distT="0" distB="0" distL="0" distR="0" wp14:anchorId="105BD3E6" wp14:editId="0D89F360">
                  <wp:extent cx="4974336" cy="4029459"/>
                  <wp:effectExtent l="0" t="0" r="0" b="9525"/>
                  <wp:docPr id="2" name="Picture 2"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4336" cy="4029459"/>
                          </a:xfrm>
                          <a:prstGeom prst="rect">
                            <a:avLst/>
                          </a:prstGeom>
                          <a:noFill/>
                          <a:ln>
                            <a:noFill/>
                          </a:ln>
                        </pic:spPr>
                      </pic:pic>
                    </a:graphicData>
                  </a:graphic>
                </wp:inline>
              </w:drawing>
            </w:r>
          </w:p>
        </w:tc>
      </w:tr>
    </w:tbl>
    <w:p w14:paraId="6A5269AC" w14:textId="77777777" w:rsidR="00AF7D0B" w:rsidRDefault="003E6F2D" w:rsidP="00524EEA">
      <w:r w:rsidRPr="00524EEA">
        <w:t>FORXIGA as an add</w:t>
      </w:r>
      <w:r w:rsidRPr="00524EEA">
        <w:noBreakHyphen/>
        <w:t xml:space="preserve">on with either metformin, glimepiride, metformin and a sulfonylurea, </w:t>
      </w:r>
      <w:proofErr w:type="spellStart"/>
      <w:r w:rsidRPr="00524EEA">
        <w:t>sitagliptin</w:t>
      </w:r>
      <w:proofErr w:type="spellEnd"/>
      <w:r w:rsidRPr="00524EEA">
        <w:t xml:space="preserve"> (with or without metformin), </w:t>
      </w:r>
      <w:proofErr w:type="spellStart"/>
      <w:r w:rsidRPr="00524EEA">
        <w:t>saxagliptin</w:t>
      </w:r>
      <w:proofErr w:type="spellEnd"/>
      <w:r w:rsidRPr="00524EEA">
        <w:t xml:space="preserve"> with metformin or insulin resulted in statistically significant reductions in HbA1c at 24 weeks compared with subjects receiving placebo (p &lt;0.0001; Tables </w:t>
      </w:r>
      <w:r w:rsidR="00D50AC0" w:rsidRPr="00524EEA">
        <w:t>5</w:t>
      </w:r>
      <w:r w:rsidRPr="00524EEA">
        <w:t xml:space="preserve">, </w:t>
      </w:r>
      <w:r w:rsidR="00D50AC0" w:rsidRPr="00524EEA">
        <w:t>6</w:t>
      </w:r>
      <w:r w:rsidR="00F62A94" w:rsidRPr="00524EEA">
        <w:t xml:space="preserve"> </w:t>
      </w:r>
      <w:r w:rsidRPr="00524EEA">
        <w:t>and </w:t>
      </w:r>
      <w:r w:rsidR="00D50AC0" w:rsidRPr="00524EEA">
        <w:t>7</w:t>
      </w:r>
      <w:r w:rsidRPr="00524EEA">
        <w:t>).</w:t>
      </w:r>
      <w:r w:rsidR="00524EEA" w:rsidRPr="00524EEA">
        <w:t xml:space="preserve"> </w:t>
      </w:r>
    </w:p>
    <w:p w14:paraId="75491792" w14:textId="58485785" w:rsidR="003E6F2D" w:rsidRPr="00AF7D0B" w:rsidRDefault="00715483" w:rsidP="00AF7D0B">
      <w:pPr>
        <w:pStyle w:val="A-TableTitle"/>
        <w:rPr>
          <w:lang w:val="en-AU"/>
        </w:rPr>
      </w:pPr>
      <w:r w:rsidRPr="00AF7D0B">
        <w:rPr>
          <w:lang w:val="en-AU"/>
        </w:rPr>
        <w:t>Table 5</w:t>
      </w:r>
      <w:r w:rsidR="003E6F2D" w:rsidRPr="00AF7D0B">
        <w:rPr>
          <w:lang w:val="en-AU"/>
        </w:rPr>
        <w:t xml:space="preserve">. </w:t>
      </w:r>
      <w:r w:rsidR="003E6F2D" w:rsidRPr="00AF7D0B">
        <w:rPr>
          <w:lang w:val="en-AU"/>
        </w:rPr>
        <w:tab/>
        <w:t>Results of 24</w:t>
      </w:r>
      <w:r w:rsidR="003E6F2D" w:rsidRPr="00AF7D0B">
        <w:rPr>
          <w:lang w:val="en-AU"/>
        </w:rPr>
        <w:noBreakHyphen/>
        <w:t>week placebo-controlled studies of FORXIGA in add</w:t>
      </w:r>
      <w:r w:rsidR="003E6F2D" w:rsidRPr="00AF7D0B">
        <w:rPr>
          <w:lang w:val="en-AU"/>
        </w:rPr>
        <w:noBreakHyphen/>
        <w:t xml:space="preserve">on combination with metformin, </w:t>
      </w:r>
      <w:proofErr w:type="spellStart"/>
      <w:r w:rsidR="003E6F2D" w:rsidRPr="00AF7D0B">
        <w:rPr>
          <w:lang w:val="en-AU"/>
        </w:rPr>
        <w:t>sitagliptin</w:t>
      </w:r>
      <w:proofErr w:type="spellEnd"/>
      <w:r w:rsidR="003E6F2D" w:rsidRPr="00AF7D0B">
        <w:rPr>
          <w:lang w:val="en-AU"/>
        </w:rPr>
        <w:t xml:space="preserve"> (with or without metformin) or </w:t>
      </w:r>
      <w:proofErr w:type="spellStart"/>
      <w:r w:rsidR="003E6F2D" w:rsidRPr="00AF7D0B">
        <w:rPr>
          <w:lang w:val="en-AU"/>
        </w:rPr>
        <w:t>saxagliptin</w:t>
      </w:r>
      <w:proofErr w:type="spellEnd"/>
      <w:r w:rsidR="003E6F2D" w:rsidRPr="00AF7D0B">
        <w:rPr>
          <w:lang w:val="en-AU"/>
        </w:rPr>
        <w:t xml:space="preserve"> with metformin</w:t>
      </w:r>
    </w:p>
    <w:tbl>
      <w:tblPr>
        <w:tblW w:w="5503" w:type="pct"/>
        <w:tblInd w:w="-5" w:type="dxa"/>
        <w:tblBorders>
          <w:top w:val="single" w:sz="12" w:space="0" w:color="auto"/>
          <w:insideH w:val="single" w:sz="12" w:space="0" w:color="auto"/>
        </w:tblBorders>
        <w:tblLayout w:type="fixed"/>
        <w:tblLook w:val="0000" w:firstRow="0" w:lastRow="0" w:firstColumn="0" w:lastColumn="0" w:noHBand="0" w:noVBand="0"/>
      </w:tblPr>
      <w:tblGrid>
        <w:gridCol w:w="2365"/>
        <w:gridCol w:w="1498"/>
        <w:gridCol w:w="990"/>
        <w:gridCol w:w="8"/>
        <w:gridCol w:w="1492"/>
        <w:gridCol w:w="986"/>
        <w:gridCol w:w="8"/>
        <w:gridCol w:w="1494"/>
        <w:gridCol w:w="1082"/>
      </w:tblGrid>
      <w:tr w:rsidR="003E6F2D" w:rsidRPr="00524EEA" w14:paraId="6F92066B" w14:textId="77777777" w:rsidTr="003501A4">
        <w:trPr>
          <w:cantSplit/>
          <w:trHeight w:val="147"/>
          <w:tblHeader/>
        </w:trPr>
        <w:tc>
          <w:tcPr>
            <w:tcW w:w="1191" w:type="pct"/>
            <w:vMerge w:val="restart"/>
            <w:tcBorders>
              <w:top w:val="single" w:sz="4" w:space="0" w:color="auto"/>
              <w:left w:val="single" w:sz="4" w:space="0" w:color="auto"/>
              <w:right w:val="single" w:sz="4" w:space="0" w:color="auto"/>
            </w:tcBorders>
            <w:vAlign w:val="bottom"/>
          </w:tcPr>
          <w:p w14:paraId="101A3773" w14:textId="77777777" w:rsidR="003E6F2D" w:rsidRPr="00524EEA" w:rsidRDefault="003E6F2D" w:rsidP="003E6F2D"/>
        </w:tc>
        <w:tc>
          <w:tcPr>
            <w:tcW w:w="3809" w:type="pct"/>
            <w:gridSpan w:val="8"/>
            <w:tcBorders>
              <w:top w:val="single" w:sz="4" w:space="0" w:color="auto"/>
              <w:left w:val="single" w:sz="4" w:space="0" w:color="auto"/>
              <w:bottom w:val="single" w:sz="4" w:space="0" w:color="auto"/>
              <w:right w:val="single" w:sz="4" w:space="0" w:color="auto"/>
            </w:tcBorders>
          </w:tcPr>
          <w:p w14:paraId="58CDF08C" w14:textId="77777777" w:rsidR="003E6F2D" w:rsidRPr="00524EEA" w:rsidRDefault="003E6F2D" w:rsidP="00254D29">
            <w:pPr>
              <w:pStyle w:val="A-TableHeader"/>
              <w:jc w:val="center"/>
              <w:rPr>
                <w:lang w:val="en-AU"/>
              </w:rPr>
            </w:pPr>
            <w:r w:rsidRPr="00524EEA">
              <w:rPr>
                <w:lang w:val="en-AU"/>
              </w:rPr>
              <w:t>Add</w:t>
            </w:r>
            <w:r w:rsidRPr="00524EEA">
              <w:rPr>
                <w:lang w:val="en-AU"/>
              </w:rPr>
              <w:noBreakHyphen/>
              <w:t>on combination</w:t>
            </w:r>
          </w:p>
        </w:tc>
      </w:tr>
      <w:tr w:rsidR="003E6F2D" w:rsidRPr="00524EEA" w14:paraId="0C2415C6" w14:textId="77777777" w:rsidTr="003501A4">
        <w:trPr>
          <w:cantSplit/>
          <w:trHeight w:val="278"/>
          <w:tblHeader/>
        </w:trPr>
        <w:tc>
          <w:tcPr>
            <w:tcW w:w="1191" w:type="pct"/>
            <w:vMerge/>
            <w:tcBorders>
              <w:left w:val="single" w:sz="4" w:space="0" w:color="auto"/>
              <w:right w:val="single" w:sz="4" w:space="0" w:color="auto"/>
            </w:tcBorders>
            <w:vAlign w:val="bottom"/>
          </w:tcPr>
          <w:p w14:paraId="500D35B9" w14:textId="77777777" w:rsidR="003E6F2D" w:rsidRPr="00524EEA" w:rsidRDefault="003E6F2D" w:rsidP="003E6F2D"/>
        </w:tc>
        <w:tc>
          <w:tcPr>
            <w:tcW w:w="1258" w:type="pct"/>
            <w:gridSpan w:val="3"/>
            <w:vMerge w:val="restart"/>
            <w:tcBorders>
              <w:top w:val="single" w:sz="4" w:space="0" w:color="auto"/>
              <w:left w:val="single" w:sz="4" w:space="0" w:color="auto"/>
              <w:right w:val="single" w:sz="4" w:space="0" w:color="auto"/>
            </w:tcBorders>
            <w:vAlign w:val="center"/>
          </w:tcPr>
          <w:p w14:paraId="25D2E7FB" w14:textId="77777777" w:rsidR="003E6F2D" w:rsidRPr="00524EEA" w:rsidRDefault="003E6F2D" w:rsidP="00254D29">
            <w:pPr>
              <w:pStyle w:val="A-TableHeader"/>
              <w:jc w:val="center"/>
              <w:rPr>
                <w:lang w:val="en-AU"/>
              </w:rPr>
            </w:pPr>
            <w:r w:rsidRPr="00524EEA">
              <w:rPr>
                <w:lang w:val="en-AU"/>
              </w:rPr>
              <w:t>Metformin</w:t>
            </w:r>
            <w:r w:rsidRPr="00524EEA">
              <w:rPr>
                <w:vertAlign w:val="superscript"/>
                <w:lang w:val="en-AU"/>
              </w:rPr>
              <w:t>1</w:t>
            </w:r>
          </w:p>
          <w:p w14:paraId="271A3FA2" w14:textId="77777777" w:rsidR="003E6F2D" w:rsidRPr="00524EEA" w:rsidRDefault="003E6F2D" w:rsidP="00254D29">
            <w:pPr>
              <w:pStyle w:val="A-TableHeader"/>
              <w:jc w:val="center"/>
              <w:rPr>
                <w:lang w:val="en-AU"/>
              </w:rPr>
            </w:pPr>
          </w:p>
        </w:tc>
        <w:tc>
          <w:tcPr>
            <w:tcW w:w="2551" w:type="pct"/>
            <w:gridSpan w:val="5"/>
            <w:tcBorders>
              <w:top w:val="single" w:sz="4" w:space="0" w:color="auto"/>
              <w:left w:val="single" w:sz="4" w:space="0" w:color="auto"/>
              <w:bottom w:val="single" w:sz="4" w:space="0" w:color="auto"/>
              <w:right w:val="single" w:sz="4" w:space="0" w:color="auto"/>
            </w:tcBorders>
          </w:tcPr>
          <w:p w14:paraId="3507ED37" w14:textId="77777777" w:rsidR="003E6F2D" w:rsidRPr="00524EEA" w:rsidRDefault="003E6F2D" w:rsidP="00254D29">
            <w:pPr>
              <w:pStyle w:val="A-TableHeader"/>
              <w:jc w:val="center"/>
              <w:rPr>
                <w:lang w:val="en-AU"/>
              </w:rPr>
            </w:pPr>
            <w:r w:rsidRPr="00524EEA">
              <w:rPr>
                <w:lang w:val="en-AU"/>
              </w:rPr>
              <w:t>DPP4 Inhibitor</w:t>
            </w:r>
          </w:p>
        </w:tc>
      </w:tr>
      <w:tr w:rsidR="003E6F2D" w:rsidRPr="00524EEA" w14:paraId="173F0632" w14:textId="77777777" w:rsidTr="003501A4">
        <w:trPr>
          <w:cantSplit/>
          <w:trHeight w:val="277"/>
          <w:tblHeader/>
        </w:trPr>
        <w:tc>
          <w:tcPr>
            <w:tcW w:w="1191" w:type="pct"/>
            <w:vMerge/>
            <w:tcBorders>
              <w:left w:val="single" w:sz="4" w:space="0" w:color="auto"/>
              <w:right w:val="single" w:sz="4" w:space="0" w:color="auto"/>
            </w:tcBorders>
            <w:vAlign w:val="bottom"/>
          </w:tcPr>
          <w:p w14:paraId="5F6408A5" w14:textId="77777777" w:rsidR="003E6F2D" w:rsidRPr="00524EEA" w:rsidRDefault="003E6F2D" w:rsidP="003E6F2D"/>
        </w:tc>
        <w:tc>
          <w:tcPr>
            <w:tcW w:w="1258" w:type="pct"/>
            <w:gridSpan w:val="3"/>
            <w:vMerge/>
            <w:tcBorders>
              <w:left w:val="single" w:sz="4" w:space="0" w:color="auto"/>
              <w:bottom w:val="single" w:sz="4" w:space="0" w:color="auto"/>
              <w:right w:val="single" w:sz="4" w:space="0" w:color="auto"/>
            </w:tcBorders>
          </w:tcPr>
          <w:p w14:paraId="1BAC993B" w14:textId="77777777" w:rsidR="003E6F2D" w:rsidRPr="00524EEA" w:rsidRDefault="003E6F2D" w:rsidP="00254D29">
            <w:pPr>
              <w:pStyle w:val="A-TableHeader"/>
              <w:jc w:val="center"/>
              <w:rPr>
                <w:lang w:val="en-AU"/>
              </w:rPr>
            </w:pPr>
          </w:p>
        </w:tc>
        <w:tc>
          <w:tcPr>
            <w:tcW w:w="1253" w:type="pct"/>
            <w:gridSpan w:val="3"/>
            <w:tcBorders>
              <w:top w:val="single" w:sz="4" w:space="0" w:color="auto"/>
              <w:left w:val="single" w:sz="4" w:space="0" w:color="auto"/>
              <w:bottom w:val="single" w:sz="4" w:space="0" w:color="auto"/>
              <w:right w:val="single" w:sz="4" w:space="0" w:color="auto"/>
            </w:tcBorders>
          </w:tcPr>
          <w:p w14:paraId="477F2681" w14:textId="77777777" w:rsidR="003E6F2D" w:rsidRPr="00524EEA" w:rsidRDefault="003E6F2D" w:rsidP="00254D29">
            <w:pPr>
              <w:pStyle w:val="A-TableHeader"/>
              <w:jc w:val="center"/>
              <w:rPr>
                <w:lang w:val="en-AU"/>
              </w:rPr>
            </w:pPr>
            <w:r w:rsidRPr="00524EEA">
              <w:rPr>
                <w:lang w:val="en-AU"/>
              </w:rPr>
              <w:t>(sitagliptin</w:t>
            </w:r>
            <w:r w:rsidRPr="00524EEA">
              <w:rPr>
                <w:vertAlign w:val="superscript"/>
                <w:lang w:val="en-AU"/>
              </w:rPr>
              <w:t>2</w:t>
            </w:r>
            <w:r w:rsidRPr="00524EEA">
              <w:rPr>
                <w:lang w:val="en-AU"/>
              </w:rPr>
              <w:t>) ± Metformin</w:t>
            </w:r>
            <w:r w:rsidRPr="00524EEA">
              <w:rPr>
                <w:vertAlign w:val="superscript"/>
                <w:lang w:val="en-AU"/>
              </w:rPr>
              <w:t>1</w:t>
            </w:r>
          </w:p>
        </w:tc>
        <w:tc>
          <w:tcPr>
            <w:tcW w:w="1298" w:type="pct"/>
            <w:gridSpan w:val="2"/>
            <w:tcBorders>
              <w:top w:val="single" w:sz="4" w:space="0" w:color="auto"/>
              <w:left w:val="single" w:sz="4" w:space="0" w:color="auto"/>
              <w:bottom w:val="single" w:sz="4" w:space="0" w:color="auto"/>
              <w:right w:val="single" w:sz="4" w:space="0" w:color="auto"/>
            </w:tcBorders>
          </w:tcPr>
          <w:p w14:paraId="73F4F3EF" w14:textId="77777777" w:rsidR="003E6F2D" w:rsidRPr="00524EEA" w:rsidRDefault="003E6F2D" w:rsidP="00254D29">
            <w:pPr>
              <w:pStyle w:val="A-TableHeader"/>
              <w:jc w:val="center"/>
              <w:rPr>
                <w:lang w:val="en-AU"/>
              </w:rPr>
            </w:pPr>
            <w:r w:rsidRPr="00524EEA">
              <w:rPr>
                <w:lang w:val="en-AU"/>
              </w:rPr>
              <w:t>Saxagliptin</w:t>
            </w:r>
            <w:r w:rsidRPr="00524EEA">
              <w:rPr>
                <w:vertAlign w:val="superscript"/>
                <w:lang w:val="en-AU"/>
              </w:rPr>
              <w:t>3</w:t>
            </w:r>
            <w:r w:rsidRPr="00524EEA">
              <w:rPr>
                <w:lang w:val="en-AU"/>
              </w:rPr>
              <w:t xml:space="preserve"> + Metformin</w:t>
            </w:r>
            <w:r w:rsidRPr="00524EEA">
              <w:rPr>
                <w:vertAlign w:val="superscript"/>
                <w:lang w:val="en-AU"/>
              </w:rPr>
              <w:t>1</w:t>
            </w:r>
          </w:p>
        </w:tc>
      </w:tr>
      <w:tr w:rsidR="003E6F2D" w:rsidRPr="00524EEA" w14:paraId="68F5A0DB" w14:textId="77777777" w:rsidTr="003501A4">
        <w:trPr>
          <w:cantSplit/>
          <w:trHeight w:val="147"/>
          <w:tblHeader/>
        </w:trPr>
        <w:tc>
          <w:tcPr>
            <w:tcW w:w="1191" w:type="pct"/>
            <w:vMerge/>
            <w:tcBorders>
              <w:left w:val="single" w:sz="4" w:space="0" w:color="auto"/>
              <w:bottom w:val="single" w:sz="4" w:space="0" w:color="auto"/>
              <w:right w:val="single" w:sz="4" w:space="0" w:color="auto"/>
            </w:tcBorders>
            <w:vAlign w:val="bottom"/>
          </w:tcPr>
          <w:p w14:paraId="67DD7511" w14:textId="77777777" w:rsidR="003E6F2D" w:rsidRPr="00524EEA" w:rsidRDefault="003E6F2D" w:rsidP="003E6F2D"/>
        </w:tc>
        <w:tc>
          <w:tcPr>
            <w:tcW w:w="755" w:type="pct"/>
            <w:tcBorders>
              <w:top w:val="single" w:sz="4" w:space="0" w:color="auto"/>
              <w:left w:val="single" w:sz="4" w:space="0" w:color="auto"/>
              <w:bottom w:val="single" w:sz="4" w:space="0" w:color="auto"/>
              <w:right w:val="single" w:sz="4" w:space="0" w:color="auto"/>
            </w:tcBorders>
          </w:tcPr>
          <w:p w14:paraId="1447055F" w14:textId="2D44EEE3" w:rsidR="003E6F2D" w:rsidRPr="00524EEA" w:rsidRDefault="003E6F2D" w:rsidP="00254D29">
            <w:pPr>
              <w:pStyle w:val="A-TableHeader"/>
              <w:jc w:val="center"/>
              <w:rPr>
                <w:lang w:val="en-AU"/>
              </w:rPr>
            </w:pPr>
            <w:r w:rsidRPr="00524EEA">
              <w:rPr>
                <w:lang w:val="en-AU"/>
              </w:rPr>
              <w:t>FORXIGA</w:t>
            </w:r>
            <w:r w:rsidR="00254D29" w:rsidRPr="00524EEA">
              <w:rPr>
                <w:lang w:val="en-AU"/>
              </w:rPr>
              <w:t xml:space="preserve"> </w:t>
            </w:r>
            <w:r w:rsidRPr="00524EEA">
              <w:rPr>
                <w:lang w:val="en-AU"/>
              </w:rPr>
              <w:t>10 mg</w:t>
            </w:r>
          </w:p>
        </w:tc>
        <w:tc>
          <w:tcPr>
            <w:tcW w:w="499" w:type="pct"/>
            <w:tcBorders>
              <w:top w:val="single" w:sz="4" w:space="0" w:color="auto"/>
              <w:left w:val="single" w:sz="4" w:space="0" w:color="auto"/>
              <w:bottom w:val="single" w:sz="4" w:space="0" w:color="auto"/>
              <w:right w:val="single" w:sz="4" w:space="0" w:color="auto"/>
            </w:tcBorders>
          </w:tcPr>
          <w:p w14:paraId="0BBAFB20" w14:textId="35EC3B02" w:rsidR="003E6F2D" w:rsidRPr="00524EEA" w:rsidRDefault="00254D29" w:rsidP="00254D29">
            <w:pPr>
              <w:pStyle w:val="A-TableHeader"/>
              <w:jc w:val="center"/>
              <w:rPr>
                <w:lang w:val="en-AU"/>
              </w:rPr>
            </w:pPr>
            <w:r w:rsidRPr="00524EEA">
              <w:rPr>
                <w:lang w:val="en-AU"/>
              </w:rPr>
              <w:t>Placebo</w:t>
            </w:r>
          </w:p>
        </w:tc>
        <w:tc>
          <w:tcPr>
            <w:tcW w:w="756" w:type="pct"/>
            <w:gridSpan w:val="2"/>
            <w:tcBorders>
              <w:top w:val="single" w:sz="4" w:space="0" w:color="auto"/>
              <w:left w:val="single" w:sz="4" w:space="0" w:color="auto"/>
              <w:bottom w:val="single" w:sz="4" w:space="0" w:color="auto"/>
              <w:right w:val="single" w:sz="4" w:space="0" w:color="auto"/>
            </w:tcBorders>
          </w:tcPr>
          <w:p w14:paraId="1F40AF14" w14:textId="77777777" w:rsidR="003E6F2D" w:rsidRPr="00524EEA" w:rsidRDefault="003E6F2D" w:rsidP="00254D29">
            <w:pPr>
              <w:pStyle w:val="A-TableHeader"/>
              <w:jc w:val="center"/>
              <w:rPr>
                <w:lang w:val="en-AU"/>
              </w:rPr>
            </w:pPr>
            <w:r w:rsidRPr="00524EEA">
              <w:rPr>
                <w:lang w:val="en-AU"/>
              </w:rPr>
              <w:t>FORXIGA</w:t>
            </w:r>
          </w:p>
          <w:p w14:paraId="0F894B70" w14:textId="77777777" w:rsidR="003E6F2D" w:rsidRPr="00524EEA" w:rsidRDefault="003E6F2D" w:rsidP="00254D29">
            <w:pPr>
              <w:pStyle w:val="A-TableHeader"/>
              <w:jc w:val="center"/>
              <w:rPr>
                <w:lang w:val="en-AU"/>
              </w:rPr>
            </w:pPr>
            <w:r w:rsidRPr="00524EEA">
              <w:rPr>
                <w:lang w:val="en-AU"/>
              </w:rPr>
              <w:t>10 mg</w:t>
            </w:r>
          </w:p>
        </w:tc>
        <w:tc>
          <w:tcPr>
            <w:tcW w:w="497" w:type="pct"/>
            <w:tcBorders>
              <w:top w:val="single" w:sz="4" w:space="0" w:color="auto"/>
              <w:left w:val="single" w:sz="4" w:space="0" w:color="auto"/>
              <w:bottom w:val="single" w:sz="4" w:space="0" w:color="auto"/>
              <w:right w:val="single" w:sz="4" w:space="0" w:color="auto"/>
            </w:tcBorders>
          </w:tcPr>
          <w:p w14:paraId="211FD1DE" w14:textId="77777777" w:rsidR="003E6F2D" w:rsidRPr="00524EEA" w:rsidRDefault="003E6F2D" w:rsidP="00254D29">
            <w:pPr>
              <w:pStyle w:val="A-TableHeader"/>
              <w:jc w:val="center"/>
              <w:rPr>
                <w:lang w:val="en-AU"/>
              </w:rPr>
            </w:pPr>
            <w:r w:rsidRPr="00524EEA">
              <w:rPr>
                <w:lang w:val="en-AU"/>
              </w:rPr>
              <w:t>Placebo</w:t>
            </w:r>
          </w:p>
        </w:tc>
        <w:tc>
          <w:tcPr>
            <w:tcW w:w="757" w:type="pct"/>
            <w:gridSpan w:val="2"/>
            <w:tcBorders>
              <w:top w:val="single" w:sz="4" w:space="0" w:color="auto"/>
              <w:left w:val="single" w:sz="4" w:space="0" w:color="auto"/>
              <w:bottom w:val="single" w:sz="4" w:space="0" w:color="auto"/>
              <w:right w:val="single" w:sz="4" w:space="0" w:color="auto"/>
            </w:tcBorders>
          </w:tcPr>
          <w:p w14:paraId="5CC304BE" w14:textId="0243CF31" w:rsidR="003E6F2D" w:rsidRPr="00524EEA" w:rsidRDefault="003E6F2D" w:rsidP="00254D29">
            <w:pPr>
              <w:pStyle w:val="A-TableHeader"/>
              <w:jc w:val="center"/>
              <w:rPr>
                <w:lang w:val="en-AU"/>
              </w:rPr>
            </w:pPr>
            <w:r w:rsidRPr="00524EEA">
              <w:rPr>
                <w:lang w:val="en-AU"/>
              </w:rPr>
              <w:t>FORXIGA</w:t>
            </w:r>
            <w:r w:rsidR="00254D29" w:rsidRPr="00524EEA">
              <w:rPr>
                <w:lang w:val="en-AU"/>
              </w:rPr>
              <w:t xml:space="preserve"> </w:t>
            </w:r>
            <w:r w:rsidR="00524EEA">
              <w:rPr>
                <w:lang w:val="en-AU"/>
              </w:rPr>
              <w:t xml:space="preserve">   </w:t>
            </w:r>
            <w:r w:rsidRPr="00524EEA">
              <w:rPr>
                <w:lang w:val="en-AU"/>
              </w:rPr>
              <w:t>10 mg</w:t>
            </w:r>
          </w:p>
        </w:tc>
        <w:tc>
          <w:tcPr>
            <w:tcW w:w="544" w:type="pct"/>
            <w:tcBorders>
              <w:top w:val="single" w:sz="4" w:space="0" w:color="auto"/>
              <w:left w:val="single" w:sz="4" w:space="0" w:color="auto"/>
              <w:bottom w:val="single" w:sz="4" w:space="0" w:color="auto"/>
              <w:right w:val="single" w:sz="4" w:space="0" w:color="auto"/>
            </w:tcBorders>
          </w:tcPr>
          <w:p w14:paraId="4099D7B9" w14:textId="77777777" w:rsidR="003E6F2D" w:rsidRPr="00524EEA" w:rsidRDefault="003E6F2D" w:rsidP="00254D29">
            <w:pPr>
              <w:pStyle w:val="A-TableHeader"/>
              <w:jc w:val="center"/>
              <w:rPr>
                <w:lang w:val="en-AU"/>
              </w:rPr>
            </w:pPr>
            <w:r w:rsidRPr="00524EEA">
              <w:rPr>
                <w:lang w:val="en-AU"/>
              </w:rPr>
              <w:t>Placebo</w:t>
            </w:r>
          </w:p>
        </w:tc>
      </w:tr>
      <w:tr w:rsidR="003E6F2D" w:rsidRPr="00524EEA" w14:paraId="752779D6" w14:textId="77777777" w:rsidTr="003501A4">
        <w:trPr>
          <w:cantSplit/>
          <w:trHeight w:val="147"/>
          <w:tblHeader/>
        </w:trPr>
        <w:tc>
          <w:tcPr>
            <w:tcW w:w="1191" w:type="pct"/>
            <w:tcBorders>
              <w:top w:val="single" w:sz="4" w:space="0" w:color="auto"/>
              <w:left w:val="single" w:sz="4" w:space="0" w:color="auto"/>
              <w:bottom w:val="single" w:sz="4" w:space="0" w:color="auto"/>
              <w:right w:val="single" w:sz="4" w:space="0" w:color="auto"/>
            </w:tcBorders>
          </w:tcPr>
          <w:p w14:paraId="3228EACB" w14:textId="77777777" w:rsidR="003E6F2D" w:rsidRPr="00524EEA" w:rsidRDefault="003E6F2D" w:rsidP="00254D29">
            <w:pPr>
              <w:pStyle w:val="A-TableText"/>
              <w:rPr>
                <w:b/>
                <w:lang w:val="en-AU"/>
              </w:rPr>
            </w:pPr>
            <w:r w:rsidRPr="00524EEA">
              <w:rPr>
                <w:b/>
                <w:lang w:val="en-AU"/>
              </w:rPr>
              <w:t>N</w:t>
            </w:r>
          </w:p>
        </w:tc>
        <w:tc>
          <w:tcPr>
            <w:tcW w:w="755" w:type="pct"/>
            <w:tcBorders>
              <w:top w:val="single" w:sz="4" w:space="0" w:color="auto"/>
              <w:left w:val="single" w:sz="4" w:space="0" w:color="auto"/>
              <w:bottom w:val="single" w:sz="4" w:space="0" w:color="auto"/>
              <w:right w:val="single" w:sz="4" w:space="0" w:color="auto"/>
            </w:tcBorders>
          </w:tcPr>
          <w:p w14:paraId="66C44389" w14:textId="77777777" w:rsidR="003E6F2D" w:rsidRPr="00524EEA" w:rsidRDefault="003E6F2D" w:rsidP="00254D29">
            <w:pPr>
              <w:pStyle w:val="A-TableText"/>
              <w:jc w:val="center"/>
              <w:rPr>
                <w:lang w:val="en-AU"/>
              </w:rPr>
            </w:pPr>
            <w:r w:rsidRPr="00524EEA">
              <w:rPr>
                <w:lang w:val="en-AU"/>
              </w:rPr>
              <w:t>135</w:t>
            </w:r>
            <w:r w:rsidRPr="00524EEA">
              <w:rPr>
                <w:vertAlign w:val="superscript"/>
                <w:lang w:val="en-AU"/>
              </w:rPr>
              <w:t>a</w:t>
            </w:r>
          </w:p>
        </w:tc>
        <w:tc>
          <w:tcPr>
            <w:tcW w:w="499" w:type="pct"/>
            <w:tcBorders>
              <w:top w:val="single" w:sz="4" w:space="0" w:color="auto"/>
              <w:left w:val="single" w:sz="4" w:space="0" w:color="auto"/>
              <w:bottom w:val="single" w:sz="4" w:space="0" w:color="auto"/>
              <w:right w:val="single" w:sz="4" w:space="0" w:color="auto"/>
            </w:tcBorders>
          </w:tcPr>
          <w:p w14:paraId="125FDE27" w14:textId="77777777" w:rsidR="003E6F2D" w:rsidRPr="00524EEA" w:rsidRDefault="003E6F2D" w:rsidP="00254D29">
            <w:pPr>
              <w:pStyle w:val="A-TableText"/>
              <w:jc w:val="center"/>
              <w:rPr>
                <w:lang w:val="en-AU"/>
              </w:rPr>
            </w:pPr>
            <w:r w:rsidRPr="00524EEA">
              <w:rPr>
                <w:lang w:val="en-AU"/>
              </w:rPr>
              <w:t>137</w:t>
            </w:r>
            <w:r w:rsidRPr="00524EEA">
              <w:rPr>
                <w:vertAlign w:val="superscript"/>
                <w:lang w:val="en-AU"/>
              </w:rPr>
              <w:t>a</w:t>
            </w:r>
          </w:p>
        </w:tc>
        <w:tc>
          <w:tcPr>
            <w:tcW w:w="756" w:type="pct"/>
            <w:gridSpan w:val="2"/>
            <w:tcBorders>
              <w:top w:val="single" w:sz="4" w:space="0" w:color="auto"/>
              <w:left w:val="single" w:sz="4" w:space="0" w:color="auto"/>
              <w:bottom w:val="single" w:sz="4" w:space="0" w:color="auto"/>
              <w:right w:val="single" w:sz="4" w:space="0" w:color="auto"/>
            </w:tcBorders>
          </w:tcPr>
          <w:p w14:paraId="02DA298E" w14:textId="77777777" w:rsidR="003E6F2D" w:rsidRPr="00524EEA" w:rsidRDefault="003E6F2D" w:rsidP="00254D29">
            <w:pPr>
              <w:pStyle w:val="A-TableText"/>
              <w:jc w:val="center"/>
              <w:rPr>
                <w:lang w:val="en-AU"/>
              </w:rPr>
            </w:pPr>
            <w:r w:rsidRPr="00524EEA">
              <w:rPr>
                <w:lang w:val="en-AU"/>
              </w:rPr>
              <w:t>223</w:t>
            </w:r>
            <w:r w:rsidRPr="00524EEA">
              <w:rPr>
                <w:vertAlign w:val="superscript"/>
                <w:lang w:val="en-AU"/>
              </w:rPr>
              <w:t>a</w:t>
            </w:r>
          </w:p>
        </w:tc>
        <w:tc>
          <w:tcPr>
            <w:tcW w:w="497" w:type="pct"/>
            <w:tcBorders>
              <w:top w:val="single" w:sz="4" w:space="0" w:color="auto"/>
              <w:left w:val="single" w:sz="4" w:space="0" w:color="auto"/>
              <w:bottom w:val="single" w:sz="4" w:space="0" w:color="auto"/>
              <w:right w:val="single" w:sz="4" w:space="0" w:color="auto"/>
            </w:tcBorders>
          </w:tcPr>
          <w:p w14:paraId="0678E696" w14:textId="77777777" w:rsidR="003E6F2D" w:rsidRPr="00524EEA" w:rsidRDefault="003E6F2D" w:rsidP="00254D29">
            <w:pPr>
              <w:pStyle w:val="A-TableText"/>
              <w:jc w:val="center"/>
              <w:rPr>
                <w:lang w:val="en-AU"/>
              </w:rPr>
            </w:pPr>
            <w:r w:rsidRPr="00524EEA">
              <w:rPr>
                <w:lang w:val="en-AU"/>
              </w:rPr>
              <w:t>224</w:t>
            </w:r>
            <w:r w:rsidRPr="00524EEA">
              <w:rPr>
                <w:vertAlign w:val="superscript"/>
                <w:lang w:val="en-AU"/>
              </w:rPr>
              <w:t>a</w:t>
            </w:r>
          </w:p>
        </w:tc>
        <w:tc>
          <w:tcPr>
            <w:tcW w:w="757" w:type="pct"/>
            <w:gridSpan w:val="2"/>
            <w:tcBorders>
              <w:top w:val="single" w:sz="4" w:space="0" w:color="auto"/>
              <w:left w:val="single" w:sz="4" w:space="0" w:color="auto"/>
              <w:bottom w:val="single" w:sz="4" w:space="0" w:color="auto"/>
              <w:right w:val="single" w:sz="4" w:space="0" w:color="auto"/>
            </w:tcBorders>
          </w:tcPr>
          <w:p w14:paraId="6732AC3C" w14:textId="77777777" w:rsidR="003E6F2D" w:rsidRPr="00524EEA" w:rsidRDefault="003E6F2D" w:rsidP="00254D29">
            <w:pPr>
              <w:pStyle w:val="A-TableText"/>
              <w:jc w:val="center"/>
              <w:rPr>
                <w:lang w:val="en-AU"/>
              </w:rPr>
            </w:pPr>
            <w:r w:rsidRPr="00524EEA">
              <w:rPr>
                <w:lang w:val="en-AU"/>
              </w:rPr>
              <w:t>160</w:t>
            </w:r>
            <w:r w:rsidRPr="00524EEA">
              <w:rPr>
                <w:vertAlign w:val="superscript"/>
                <w:lang w:val="en-AU"/>
              </w:rPr>
              <w:t>b</w:t>
            </w:r>
          </w:p>
        </w:tc>
        <w:tc>
          <w:tcPr>
            <w:tcW w:w="544" w:type="pct"/>
            <w:tcBorders>
              <w:top w:val="single" w:sz="4" w:space="0" w:color="auto"/>
              <w:left w:val="single" w:sz="4" w:space="0" w:color="auto"/>
              <w:bottom w:val="single" w:sz="4" w:space="0" w:color="auto"/>
              <w:right w:val="single" w:sz="4" w:space="0" w:color="auto"/>
            </w:tcBorders>
          </w:tcPr>
          <w:p w14:paraId="1E065CEC" w14:textId="77777777" w:rsidR="003E6F2D" w:rsidRPr="00524EEA" w:rsidRDefault="003E6F2D" w:rsidP="00254D29">
            <w:pPr>
              <w:pStyle w:val="A-TableText"/>
              <w:jc w:val="center"/>
              <w:rPr>
                <w:lang w:val="en-AU"/>
              </w:rPr>
            </w:pPr>
            <w:r w:rsidRPr="00524EEA">
              <w:rPr>
                <w:lang w:val="en-AU"/>
              </w:rPr>
              <w:t>160</w:t>
            </w:r>
            <w:r w:rsidRPr="00524EEA">
              <w:rPr>
                <w:vertAlign w:val="superscript"/>
                <w:lang w:val="en-AU"/>
              </w:rPr>
              <w:t>b</w:t>
            </w:r>
          </w:p>
        </w:tc>
      </w:tr>
      <w:tr w:rsidR="003E6F2D" w:rsidRPr="00524EEA" w14:paraId="01E1FA66" w14:textId="77777777" w:rsidTr="003501A4">
        <w:trPr>
          <w:cantSplit/>
          <w:trHeight w:val="975"/>
          <w:tblHeader/>
        </w:trPr>
        <w:tc>
          <w:tcPr>
            <w:tcW w:w="1191" w:type="pct"/>
            <w:tcBorders>
              <w:top w:val="single" w:sz="4" w:space="0" w:color="auto"/>
              <w:left w:val="single" w:sz="4" w:space="0" w:color="auto"/>
              <w:bottom w:val="single" w:sz="4" w:space="0" w:color="auto"/>
              <w:right w:val="single" w:sz="4" w:space="0" w:color="auto"/>
            </w:tcBorders>
          </w:tcPr>
          <w:p w14:paraId="0679F81D" w14:textId="77777777" w:rsidR="003E6F2D" w:rsidRPr="00524EEA" w:rsidRDefault="003E6F2D" w:rsidP="00254D29">
            <w:pPr>
              <w:pStyle w:val="A-TableText"/>
              <w:rPr>
                <w:b/>
                <w:lang w:val="en-AU"/>
              </w:rPr>
            </w:pPr>
            <w:r w:rsidRPr="00524EEA">
              <w:rPr>
                <w:b/>
                <w:lang w:val="en-AU"/>
              </w:rPr>
              <w:t>HbA1c (%)</w:t>
            </w:r>
          </w:p>
          <w:p w14:paraId="10301D45" w14:textId="77777777" w:rsidR="003E6F2D" w:rsidRPr="00524EEA" w:rsidRDefault="003E6F2D" w:rsidP="00254D29">
            <w:pPr>
              <w:pStyle w:val="A-TableText"/>
              <w:rPr>
                <w:lang w:val="en-AU"/>
              </w:rPr>
            </w:pPr>
            <w:r w:rsidRPr="00524EEA">
              <w:rPr>
                <w:lang w:val="en-AU"/>
              </w:rPr>
              <w:t>Baseline (mean)</w:t>
            </w:r>
          </w:p>
          <w:p w14:paraId="20DFA467" w14:textId="77777777" w:rsidR="003E6F2D" w:rsidRPr="00524EEA" w:rsidRDefault="003E6F2D" w:rsidP="00254D29">
            <w:pPr>
              <w:pStyle w:val="A-TableText"/>
              <w:rPr>
                <w:lang w:val="en-AU"/>
              </w:rPr>
            </w:pPr>
            <w:r w:rsidRPr="00524EEA">
              <w:rPr>
                <w:lang w:val="en-AU"/>
              </w:rPr>
              <w:t xml:space="preserve">Change from  </w:t>
            </w:r>
            <w:proofErr w:type="spellStart"/>
            <w:r w:rsidRPr="00524EEA">
              <w:rPr>
                <w:lang w:val="en-AU"/>
              </w:rPr>
              <w:t>baseline</w:t>
            </w:r>
            <w:r w:rsidRPr="00524EEA">
              <w:rPr>
                <w:vertAlign w:val="superscript"/>
                <w:lang w:val="en-AU"/>
              </w:rPr>
              <w:t>c</w:t>
            </w:r>
            <w:proofErr w:type="spellEnd"/>
          </w:p>
          <w:p w14:paraId="3EB2D012" w14:textId="77777777" w:rsidR="003E6F2D" w:rsidRPr="00524EEA" w:rsidRDefault="003E6F2D" w:rsidP="00254D29">
            <w:pPr>
              <w:pStyle w:val="A-TableText"/>
              <w:rPr>
                <w:lang w:val="en-AU"/>
              </w:rPr>
            </w:pPr>
            <w:r w:rsidRPr="00524EEA">
              <w:rPr>
                <w:lang w:val="en-AU"/>
              </w:rPr>
              <w:t xml:space="preserve">Difference from </w:t>
            </w:r>
            <w:proofErr w:type="spellStart"/>
            <w:r w:rsidRPr="00524EEA">
              <w:rPr>
                <w:lang w:val="en-AU"/>
              </w:rPr>
              <w:t>placebo</w:t>
            </w:r>
            <w:r w:rsidRPr="00524EEA">
              <w:rPr>
                <w:vertAlign w:val="superscript"/>
                <w:lang w:val="en-AU"/>
              </w:rPr>
              <w:t>c</w:t>
            </w:r>
            <w:proofErr w:type="spellEnd"/>
          </w:p>
          <w:p w14:paraId="6CE51568" w14:textId="77777777" w:rsidR="003E6F2D" w:rsidRPr="00524EEA" w:rsidRDefault="003E6F2D" w:rsidP="00254D29">
            <w:pPr>
              <w:pStyle w:val="A-TableText"/>
              <w:rPr>
                <w:lang w:val="en-AU"/>
              </w:rPr>
            </w:pPr>
            <w:r w:rsidRPr="00524EEA">
              <w:rPr>
                <w:lang w:val="en-AU"/>
              </w:rPr>
              <w:t xml:space="preserve">    (95% CI)</w:t>
            </w:r>
          </w:p>
        </w:tc>
        <w:tc>
          <w:tcPr>
            <w:tcW w:w="755" w:type="pct"/>
            <w:tcBorders>
              <w:top w:val="single" w:sz="4" w:space="0" w:color="auto"/>
              <w:left w:val="single" w:sz="4" w:space="0" w:color="auto"/>
              <w:bottom w:val="single" w:sz="4" w:space="0" w:color="auto"/>
              <w:right w:val="single" w:sz="4" w:space="0" w:color="auto"/>
            </w:tcBorders>
          </w:tcPr>
          <w:p w14:paraId="2B7332F0" w14:textId="77777777" w:rsidR="003E6F2D" w:rsidRPr="00524EEA" w:rsidRDefault="003E6F2D" w:rsidP="00254D29">
            <w:pPr>
              <w:pStyle w:val="A-TableText"/>
              <w:jc w:val="center"/>
              <w:rPr>
                <w:lang w:val="en-AU"/>
              </w:rPr>
            </w:pPr>
          </w:p>
          <w:p w14:paraId="7D75FA46" w14:textId="77777777" w:rsidR="003E6F2D" w:rsidRPr="00524EEA" w:rsidRDefault="003E6F2D" w:rsidP="00254D29">
            <w:pPr>
              <w:pStyle w:val="A-TableText"/>
              <w:jc w:val="center"/>
              <w:rPr>
                <w:lang w:val="en-AU"/>
              </w:rPr>
            </w:pPr>
            <w:r w:rsidRPr="00524EEA">
              <w:rPr>
                <w:lang w:val="en-AU"/>
              </w:rPr>
              <w:t>7.92</w:t>
            </w:r>
            <w:r w:rsidRPr="00524EEA">
              <w:rPr>
                <w:vertAlign w:val="superscript"/>
                <w:lang w:val="en-AU"/>
              </w:rPr>
              <w:t>^</w:t>
            </w:r>
          </w:p>
          <w:p w14:paraId="320F4E82" w14:textId="77777777" w:rsidR="003E6F2D" w:rsidRPr="00524EEA" w:rsidRDefault="003E6F2D" w:rsidP="00254D29">
            <w:pPr>
              <w:pStyle w:val="A-TableText"/>
              <w:jc w:val="center"/>
              <w:rPr>
                <w:lang w:val="en-AU"/>
              </w:rPr>
            </w:pPr>
            <w:r w:rsidRPr="00524EEA">
              <w:rPr>
                <w:lang w:val="en-AU"/>
              </w:rPr>
              <w:noBreakHyphen/>
              <w:t>0.84</w:t>
            </w:r>
          </w:p>
          <w:p w14:paraId="1043AD77" w14:textId="77777777" w:rsidR="003E6F2D" w:rsidRPr="00524EEA" w:rsidRDefault="003E6F2D" w:rsidP="00254D29">
            <w:pPr>
              <w:pStyle w:val="A-TableText"/>
              <w:jc w:val="center"/>
              <w:rPr>
                <w:lang w:val="en-AU"/>
              </w:rPr>
            </w:pPr>
            <w:r w:rsidRPr="00524EEA">
              <w:rPr>
                <w:lang w:val="en-AU"/>
              </w:rPr>
              <w:noBreakHyphen/>
              <w:t>0.54</w:t>
            </w:r>
            <w:r w:rsidRPr="00524EEA">
              <w:rPr>
                <w:vertAlign w:val="superscript"/>
                <w:lang w:val="en-AU"/>
              </w:rPr>
              <w:t>*</w:t>
            </w:r>
          </w:p>
          <w:p w14:paraId="0F6278B6" w14:textId="77777777" w:rsidR="003E6F2D" w:rsidRPr="00524EEA" w:rsidRDefault="003E6F2D" w:rsidP="00254D29">
            <w:pPr>
              <w:pStyle w:val="A-TableText"/>
              <w:jc w:val="center"/>
              <w:rPr>
                <w:lang w:val="en-AU"/>
              </w:rPr>
            </w:pPr>
            <w:r w:rsidRPr="00524EEA">
              <w:rPr>
                <w:lang w:val="en-AU"/>
              </w:rPr>
              <w:t>(</w:t>
            </w:r>
            <w:r w:rsidRPr="00524EEA">
              <w:rPr>
                <w:lang w:val="en-AU"/>
              </w:rPr>
              <w:noBreakHyphen/>
              <w:t xml:space="preserve">0.74, </w:t>
            </w:r>
            <w:r w:rsidRPr="00524EEA">
              <w:rPr>
                <w:lang w:val="en-AU"/>
              </w:rPr>
              <w:noBreakHyphen/>
              <w:t>0.34)</w:t>
            </w:r>
          </w:p>
        </w:tc>
        <w:tc>
          <w:tcPr>
            <w:tcW w:w="499" w:type="pct"/>
            <w:tcBorders>
              <w:top w:val="single" w:sz="4" w:space="0" w:color="auto"/>
              <w:left w:val="single" w:sz="4" w:space="0" w:color="auto"/>
              <w:bottom w:val="single" w:sz="4" w:space="0" w:color="auto"/>
              <w:right w:val="single" w:sz="4" w:space="0" w:color="auto"/>
            </w:tcBorders>
          </w:tcPr>
          <w:p w14:paraId="4FBDA6B9" w14:textId="77777777" w:rsidR="003E6F2D" w:rsidRPr="00524EEA" w:rsidRDefault="003E6F2D" w:rsidP="00254D29">
            <w:pPr>
              <w:pStyle w:val="A-TableText"/>
              <w:jc w:val="center"/>
              <w:rPr>
                <w:lang w:val="en-AU"/>
              </w:rPr>
            </w:pPr>
          </w:p>
          <w:p w14:paraId="39B1E16C" w14:textId="77777777" w:rsidR="003E6F2D" w:rsidRPr="00524EEA" w:rsidRDefault="003E6F2D" w:rsidP="00254D29">
            <w:pPr>
              <w:pStyle w:val="A-TableText"/>
              <w:jc w:val="center"/>
              <w:rPr>
                <w:lang w:val="en-AU"/>
              </w:rPr>
            </w:pPr>
            <w:r w:rsidRPr="00524EEA">
              <w:rPr>
                <w:lang w:val="en-AU"/>
              </w:rPr>
              <w:t>8.11</w:t>
            </w:r>
            <w:r w:rsidRPr="00524EEA">
              <w:rPr>
                <w:vertAlign w:val="superscript"/>
                <w:lang w:val="en-AU"/>
              </w:rPr>
              <w:t>^</w:t>
            </w:r>
          </w:p>
          <w:p w14:paraId="7821BA62" w14:textId="77777777" w:rsidR="003E6F2D" w:rsidRPr="00524EEA" w:rsidRDefault="003E6F2D" w:rsidP="00254D29">
            <w:pPr>
              <w:pStyle w:val="A-TableText"/>
              <w:jc w:val="center"/>
              <w:rPr>
                <w:lang w:val="en-AU"/>
              </w:rPr>
            </w:pPr>
            <w:r w:rsidRPr="00524EEA">
              <w:rPr>
                <w:lang w:val="en-AU"/>
              </w:rPr>
              <w:noBreakHyphen/>
              <w:t>0.30</w:t>
            </w:r>
          </w:p>
        </w:tc>
        <w:tc>
          <w:tcPr>
            <w:tcW w:w="756" w:type="pct"/>
            <w:gridSpan w:val="2"/>
            <w:tcBorders>
              <w:top w:val="single" w:sz="4" w:space="0" w:color="auto"/>
              <w:left w:val="single" w:sz="4" w:space="0" w:color="auto"/>
              <w:bottom w:val="single" w:sz="4" w:space="0" w:color="auto"/>
              <w:right w:val="single" w:sz="4" w:space="0" w:color="auto"/>
            </w:tcBorders>
          </w:tcPr>
          <w:p w14:paraId="40F82CC0" w14:textId="77777777" w:rsidR="003E6F2D" w:rsidRPr="00524EEA" w:rsidRDefault="003E6F2D" w:rsidP="00254D29">
            <w:pPr>
              <w:pStyle w:val="A-TableText"/>
              <w:jc w:val="center"/>
              <w:rPr>
                <w:lang w:val="en-AU"/>
              </w:rPr>
            </w:pPr>
          </w:p>
          <w:p w14:paraId="0BD99200" w14:textId="77777777" w:rsidR="003E6F2D" w:rsidRPr="00524EEA" w:rsidRDefault="003E6F2D" w:rsidP="00254D29">
            <w:pPr>
              <w:pStyle w:val="A-TableText"/>
              <w:jc w:val="center"/>
              <w:rPr>
                <w:lang w:val="en-AU"/>
              </w:rPr>
            </w:pPr>
            <w:r w:rsidRPr="00524EEA">
              <w:rPr>
                <w:lang w:val="en-AU"/>
              </w:rPr>
              <w:t>7.90</w:t>
            </w:r>
            <w:r w:rsidRPr="00524EEA">
              <w:rPr>
                <w:vertAlign w:val="superscript"/>
                <w:lang w:val="en-AU"/>
              </w:rPr>
              <w:t>^</w:t>
            </w:r>
          </w:p>
          <w:p w14:paraId="34C2D215" w14:textId="77777777" w:rsidR="003E6F2D" w:rsidRPr="00524EEA" w:rsidRDefault="003E6F2D" w:rsidP="00254D29">
            <w:pPr>
              <w:pStyle w:val="A-TableText"/>
              <w:jc w:val="center"/>
              <w:rPr>
                <w:lang w:val="en-AU"/>
              </w:rPr>
            </w:pPr>
            <w:r w:rsidRPr="00524EEA">
              <w:rPr>
                <w:lang w:val="en-AU"/>
              </w:rPr>
              <w:noBreakHyphen/>
              <w:t>0.45</w:t>
            </w:r>
          </w:p>
          <w:p w14:paraId="31023F6E" w14:textId="77777777" w:rsidR="003E6F2D" w:rsidRPr="00524EEA" w:rsidRDefault="003E6F2D" w:rsidP="00254D29">
            <w:pPr>
              <w:pStyle w:val="A-TableText"/>
              <w:jc w:val="center"/>
              <w:rPr>
                <w:lang w:val="en-AU"/>
              </w:rPr>
            </w:pPr>
            <w:r w:rsidRPr="00524EEA">
              <w:rPr>
                <w:lang w:val="en-AU"/>
              </w:rPr>
              <w:noBreakHyphen/>
              <w:t>0.48</w:t>
            </w:r>
            <w:r w:rsidRPr="00524EEA">
              <w:rPr>
                <w:vertAlign w:val="superscript"/>
                <w:lang w:val="en-AU"/>
              </w:rPr>
              <w:t>*</w:t>
            </w:r>
          </w:p>
          <w:p w14:paraId="3E482398" w14:textId="77777777" w:rsidR="003E6F2D" w:rsidRPr="00524EEA" w:rsidRDefault="003E6F2D" w:rsidP="00254D29">
            <w:pPr>
              <w:pStyle w:val="A-TableText"/>
              <w:jc w:val="center"/>
              <w:rPr>
                <w:lang w:val="en-AU"/>
              </w:rPr>
            </w:pPr>
            <w:r w:rsidRPr="00524EEA">
              <w:rPr>
                <w:lang w:val="en-AU"/>
              </w:rPr>
              <w:t>(</w:t>
            </w:r>
            <w:r w:rsidRPr="00524EEA">
              <w:rPr>
                <w:lang w:val="en-AU"/>
              </w:rPr>
              <w:noBreakHyphen/>
              <w:t xml:space="preserve">0.62, </w:t>
            </w:r>
            <w:r w:rsidRPr="00524EEA">
              <w:rPr>
                <w:lang w:val="en-AU"/>
              </w:rPr>
              <w:noBreakHyphen/>
              <w:t>0.34)</w:t>
            </w:r>
          </w:p>
        </w:tc>
        <w:tc>
          <w:tcPr>
            <w:tcW w:w="497" w:type="pct"/>
            <w:tcBorders>
              <w:top w:val="single" w:sz="4" w:space="0" w:color="auto"/>
              <w:left w:val="single" w:sz="4" w:space="0" w:color="auto"/>
              <w:bottom w:val="single" w:sz="4" w:space="0" w:color="auto"/>
              <w:right w:val="single" w:sz="4" w:space="0" w:color="auto"/>
            </w:tcBorders>
          </w:tcPr>
          <w:p w14:paraId="708A66BE" w14:textId="77777777" w:rsidR="003E6F2D" w:rsidRPr="00524EEA" w:rsidRDefault="003E6F2D" w:rsidP="00254D29">
            <w:pPr>
              <w:pStyle w:val="A-TableText"/>
              <w:jc w:val="center"/>
              <w:rPr>
                <w:lang w:val="en-AU"/>
              </w:rPr>
            </w:pPr>
          </w:p>
          <w:p w14:paraId="08946FC7" w14:textId="77777777" w:rsidR="003E6F2D" w:rsidRPr="00524EEA" w:rsidRDefault="003E6F2D" w:rsidP="00254D29">
            <w:pPr>
              <w:pStyle w:val="A-TableText"/>
              <w:jc w:val="center"/>
              <w:rPr>
                <w:lang w:val="en-AU"/>
              </w:rPr>
            </w:pPr>
            <w:r w:rsidRPr="00524EEA">
              <w:rPr>
                <w:lang w:val="en-AU"/>
              </w:rPr>
              <w:t>7.97</w:t>
            </w:r>
            <w:r w:rsidRPr="00524EEA">
              <w:rPr>
                <w:vertAlign w:val="superscript"/>
                <w:lang w:val="en-AU"/>
              </w:rPr>
              <w:t>^</w:t>
            </w:r>
          </w:p>
          <w:p w14:paraId="4190D65F" w14:textId="77777777" w:rsidR="003E6F2D" w:rsidRPr="00524EEA" w:rsidRDefault="003E6F2D" w:rsidP="00254D29">
            <w:pPr>
              <w:pStyle w:val="A-TableText"/>
              <w:jc w:val="center"/>
              <w:rPr>
                <w:lang w:val="en-AU"/>
              </w:rPr>
            </w:pPr>
            <w:r w:rsidRPr="00524EEA">
              <w:rPr>
                <w:lang w:val="en-AU"/>
              </w:rPr>
              <w:t>0.04</w:t>
            </w:r>
          </w:p>
        </w:tc>
        <w:tc>
          <w:tcPr>
            <w:tcW w:w="757" w:type="pct"/>
            <w:gridSpan w:val="2"/>
            <w:tcBorders>
              <w:top w:val="single" w:sz="4" w:space="0" w:color="auto"/>
              <w:left w:val="single" w:sz="4" w:space="0" w:color="auto"/>
              <w:bottom w:val="single" w:sz="4" w:space="0" w:color="auto"/>
              <w:right w:val="single" w:sz="4" w:space="0" w:color="auto"/>
            </w:tcBorders>
          </w:tcPr>
          <w:p w14:paraId="6C7CD360" w14:textId="77777777" w:rsidR="003E6F2D" w:rsidRPr="00524EEA" w:rsidRDefault="003E6F2D" w:rsidP="00254D29">
            <w:pPr>
              <w:pStyle w:val="A-TableText"/>
              <w:jc w:val="center"/>
              <w:rPr>
                <w:lang w:val="en-AU"/>
              </w:rPr>
            </w:pPr>
          </w:p>
          <w:p w14:paraId="0BC5F40D" w14:textId="77777777" w:rsidR="003E6F2D" w:rsidRPr="00524EEA" w:rsidRDefault="003E6F2D" w:rsidP="00254D29">
            <w:pPr>
              <w:pStyle w:val="A-TableText"/>
              <w:jc w:val="center"/>
              <w:rPr>
                <w:vertAlign w:val="superscript"/>
                <w:lang w:val="en-AU"/>
              </w:rPr>
            </w:pPr>
            <w:r w:rsidRPr="00524EEA">
              <w:rPr>
                <w:lang w:val="en-AU"/>
              </w:rPr>
              <w:t>8.24</w:t>
            </w:r>
            <w:r w:rsidRPr="00524EEA">
              <w:rPr>
                <w:vertAlign w:val="superscript"/>
                <w:lang w:val="en-AU"/>
              </w:rPr>
              <w:t>#</w:t>
            </w:r>
          </w:p>
          <w:p w14:paraId="572D71E6" w14:textId="4F53EACB" w:rsidR="00254D29" w:rsidRPr="00524EEA" w:rsidRDefault="00C968AB" w:rsidP="00254D29">
            <w:pPr>
              <w:pStyle w:val="A-TableText"/>
              <w:jc w:val="center"/>
              <w:rPr>
                <w:lang w:val="en-AU"/>
              </w:rPr>
            </w:pPr>
            <w:r w:rsidRPr="00524EEA">
              <w:rPr>
                <w:lang w:val="en-AU"/>
              </w:rPr>
              <w:t>-</w:t>
            </w:r>
            <w:r w:rsidR="003E6F2D" w:rsidRPr="00524EEA">
              <w:rPr>
                <w:lang w:val="en-AU"/>
              </w:rPr>
              <w:t>0.82</w:t>
            </w:r>
          </w:p>
          <w:p w14:paraId="4ACBC1E2" w14:textId="37CD3393" w:rsidR="00254D29" w:rsidRPr="00524EEA" w:rsidRDefault="00C968AB" w:rsidP="00254D29">
            <w:pPr>
              <w:pStyle w:val="A-TableText"/>
              <w:jc w:val="center"/>
              <w:rPr>
                <w:vertAlign w:val="superscript"/>
                <w:lang w:val="en-AU"/>
              </w:rPr>
            </w:pPr>
            <w:r w:rsidRPr="00524EEA">
              <w:rPr>
                <w:lang w:val="en-AU"/>
              </w:rPr>
              <w:t>-</w:t>
            </w:r>
            <w:r w:rsidR="003E6F2D" w:rsidRPr="00524EEA">
              <w:rPr>
                <w:lang w:val="en-AU"/>
              </w:rPr>
              <w:t>0.72</w:t>
            </w:r>
            <w:r w:rsidR="003E6F2D" w:rsidRPr="00524EEA">
              <w:rPr>
                <w:vertAlign w:val="superscript"/>
                <w:lang w:val="en-AU"/>
              </w:rPr>
              <w:t>*</w:t>
            </w:r>
          </w:p>
          <w:p w14:paraId="44305909" w14:textId="4A5F7301" w:rsidR="003E6F2D" w:rsidRPr="00524EEA" w:rsidRDefault="003E6F2D" w:rsidP="00254D29">
            <w:pPr>
              <w:pStyle w:val="A-TableText"/>
              <w:jc w:val="center"/>
              <w:rPr>
                <w:lang w:val="en-AU"/>
              </w:rPr>
            </w:pPr>
            <w:r w:rsidRPr="00524EEA">
              <w:rPr>
                <w:lang w:val="en-AU"/>
              </w:rPr>
              <w:t>(-0.91, -0.53)</w:t>
            </w:r>
          </w:p>
        </w:tc>
        <w:tc>
          <w:tcPr>
            <w:tcW w:w="544" w:type="pct"/>
            <w:tcBorders>
              <w:top w:val="single" w:sz="4" w:space="0" w:color="auto"/>
              <w:left w:val="single" w:sz="4" w:space="0" w:color="auto"/>
              <w:bottom w:val="single" w:sz="4" w:space="0" w:color="auto"/>
              <w:right w:val="single" w:sz="4" w:space="0" w:color="auto"/>
            </w:tcBorders>
          </w:tcPr>
          <w:p w14:paraId="0DD47E99" w14:textId="77777777" w:rsidR="003E6F2D" w:rsidRPr="00524EEA" w:rsidRDefault="003E6F2D" w:rsidP="00254D29">
            <w:pPr>
              <w:pStyle w:val="A-TableText"/>
              <w:jc w:val="center"/>
              <w:rPr>
                <w:lang w:val="en-AU"/>
              </w:rPr>
            </w:pPr>
          </w:p>
          <w:p w14:paraId="2C095C45" w14:textId="77777777" w:rsidR="003E6F2D" w:rsidRPr="00524EEA" w:rsidRDefault="003E6F2D" w:rsidP="00254D29">
            <w:pPr>
              <w:pStyle w:val="A-TableText"/>
              <w:jc w:val="center"/>
              <w:rPr>
                <w:vertAlign w:val="superscript"/>
                <w:lang w:val="en-AU"/>
              </w:rPr>
            </w:pPr>
            <w:r w:rsidRPr="00524EEA">
              <w:rPr>
                <w:lang w:val="en-AU"/>
              </w:rPr>
              <w:t>8.16</w:t>
            </w:r>
            <w:r w:rsidRPr="00524EEA">
              <w:rPr>
                <w:vertAlign w:val="superscript"/>
                <w:lang w:val="en-AU"/>
              </w:rPr>
              <w:t>#</w:t>
            </w:r>
          </w:p>
          <w:p w14:paraId="7E258EBE" w14:textId="28145871" w:rsidR="003E6F2D" w:rsidRPr="00524EEA" w:rsidRDefault="00C968AB" w:rsidP="00254D29">
            <w:pPr>
              <w:pStyle w:val="A-TableText"/>
              <w:jc w:val="center"/>
              <w:rPr>
                <w:lang w:val="en-AU"/>
              </w:rPr>
            </w:pPr>
            <w:r w:rsidRPr="00524EEA">
              <w:rPr>
                <w:lang w:val="en-AU"/>
              </w:rPr>
              <w:t>-</w:t>
            </w:r>
            <w:r w:rsidR="003E6F2D" w:rsidRPr="00524EEA">
              <w:rPr>
                <w:lang w:val="en-AU"/>
              </w:rPr>
              <w:t>0.10</w:t>
            </w:r>
            <w:r w:rsidR="003E6F2D" w:rsidRPr="00524EEA">
              <w:rPr>
                <w:lang w:val="en-AU"/>
              </w:rPr>
              <w:br/>
            </w:r>
          </w:p>
        </w:tc>
      </w:tr>
      <w:tr w:rsidR="003E6F2D" w:rsidRPr="00524EEA" w14:paraId="74874456" w14:textId="77777777" w:rsidTr="003501A4">
        <w:trPr>
          <w:cantSplit/>
          <w:trHeight w:val="732"/>
          <w:tblHeader/>
        </w:trPr>
        <w:tc>
          <w:tcPr>
            <w:tcW w:w="1191" w:type="pct"/>
            <w:tcBorders>
              <w:top w:val="single" w:sz="4" w:space="0" w:color="auto"/>
              <w:left w:val="single" w:sz="4" w:space="0" w:color="auto"/>
              <w:bottom w:val="single" w:sz="4" w:space="0" w:color="auto"/>
              <w:right w:val="single" w:sz="4" w:space="0" w:color="auto"/>
            </w:tcBorders>
          </w:tcPr>
          <w:p w14:paraId="554FD9C5" w14:textId="77777777" w:rsidR="003E6F2D" w:rsidRPr="00524EEA" w:rsidRDefault="003E6F2D" w:rsidP="00254D29">
            <w:pPr>
              <w:pStyle w:val="A-TableText"/>
              <w:rPr>
                <w:b/>
                <w:lang w:val="en-AU"/>
              </w:rPr>
            </w:pPr>
            <w:r w:rsidRPr="00524EEA">
              <w:rPr>
                <w:b/>
                <w:lang w:val="en-AU"/>
              </w:rPr>
              <w:t>Subjects (%) achieving:</w:t>
            </w:r>
          </w:p>
          <w:p w14:paraId="736235AE" w14:textId="77777777" w:rsidR="003E6F2D" w:rsidRPr="00524EEA" w:rsidRDefault="003E6F2D" w:rsidP="00254D29">
            <w:pPr>
              <w:pStyle w:val="A-TableText"/>
              <w:rPr>
                <w:lang w:val="en-AU"/>
              </w:rPr>
            </w:pPr>
            <w:r w:rsidRPr="00524EEA">
              <w:rPr>
                <w:b/>
                <w:lang w:val="en-AU"/>
              </w:rPr>
              <w:t>HbA1c &lt; 7%</w:t>
            </w:r>
          </w:p>
          <w:p w14:paraId="19B24043" w14:textId="77777777" w:rsidR="003E6F2D" w:rsidRPr="00524EEA" w:rsidRDefault="003E6F2D" w:rsidP="00254D29">
            <w:pPr>
              <w:pStyle w:val="A-TableText"/>
              <w:rPr>
                <w:lang w:val="en-AU"/>
              </w:rPr>
            </w:pPr>
            <w:r w:rsidRPr="00524EEA">
              <w:rPr>
                <w:lang w:val="en-AU"/>
              </w:rPr>
              <w:t>Adjusted for baseline</w:t>
            </w:r>
          </w:p>
        </w:tc>
        <w:tc>
          <w:tcPr>
            <w:tcW w:w="755" w:type="pct"/>
            <w:tcBorders>
              <w:top w:val="single" w:sz="4" w:space="0" w:color="auto"/>
              <w:left w:val="single" w:sz="4" w:space="0" w:color="auto"/>
              <w:bottom w:val="single" w:sz="4" w:space="0" w:color="auto"/>
              <w:right w:val="single" w:sz="4" w:space="0" w:color="auto"/>
            </w:tcBorders>
          </w:tcPr>
          <w:p w14:paraId="6657FB1E" w14:textId="77777777" w:rsidR="003E6F2D" w:rsidRPr="00524EEA" w:rsidRDefault="003E6F2D" w:rsidP="00254D29">
            <w:pPr>
              <w:pStyle w:val="A-TableText"/>
              <w:jc w:val="center"/>
              <w:rPr>
                <w:lang w:val="en-AU"/>
              </w:rPr>
            </w:pPr>
          </w:p>
          <w:p w14:paraId="58499141" w14:textId="77777777" w:rsidR="003E6F2D" w:rsidRPr="00524EEA" w:rsidRDefault="003E6F2D" w:rsidP="00254D29">
            <w:pPr>
              <w:pStyle w:val="A-TableText"/>
              <w:jc w:val="center"/>
              <w:rPr>
                <w:lang w:val="en-AU"/>
              </w:rPr>
            </w:pPr>
          </w:p>
          <w:p w14:paraId="19563EE9" w14:textId="77777777" w:rsidR="003E6F2D" w:rsidRPr="00524EEA" w:rsidRDefault="003E6F2D" w:rsidP="00254D29">
            <w:pPr>
              <w:pStyle w:val="A-TableText"/>
              <w:jc w:val="center"/>
              <w:rPr>
                <w:lang w:val="en-AU"/>
              </w:rPr>
            </w:pPr>
            <w:r w:rsidRPr="00524EEA">
              <w:rPr>
                <w:lang w:val="en-AU"/>
              </w:rPr>
              <w:t>40.6</w:t>
            </w:r>
            <w:r w:rsidRPr="00524EEA">
              <w:rPr>
                <w:vertAlign w:val="superscript"/>
                <w:lang w:val="en-AU"/>
              </w:rPr>
              <w:t>**</w:t>
            </w:r>
          </w:p>
        </w:tc>
        <w:tc>
          <w:tcPr>
            <w:tcW w:w="499" w:type="pct"/>
            <w:tcBorders>
              <w:top w:val="single" w:sz="4" w:space="0" w:color="auto"/>
              <w:left w:val="single" w:sz="4" w:space="0" w:color="auto"/>
              <w:bottom w:val="single" w:sz="4" w:space="0" w:color="auto"/>
              <w:right w:val="single" w:sz="4" w:space="0" w:color="auto"/>
            </w:tcBorders>
          </w:tcPr>
          <w:p w14:paraId="1CB83163" w14:textId="77777777" w:rsidR="003E6F2D" w:rsidRPr="00524EEA" w:rsidRDefault="003E6F2D" w:rsidP="00254D29">
            <w:pPr>
              <w:pStyle w:val="A-TableText"/>
              <w:jc w:val="center"/>
              <w:rPr>
                <w:lang w:val="en-AU"/>
              </w:rPr>
            </w:pPr>
          </w:p>
          <w:p w14:paraId="614B540B" w14:textId="77777777" w:rsidR="003E6F2D" w:rsidRPr="00524EEA" w:rsidRDefault="003E6F2D" w:rsidP="00254D29">
            <w:pPr>
              <w:pStyle w:val="A-TableText"/>
              <w:jc w:val="center"/>
              <w:rPr>
                <w:lang w:val="en-AU"/>
              </w:rPr>
            </w:pPr>
          </w:p>
          <w:p w14:paraId="21E402DD" w14:textId="77777777" w:rsidR="003E6F2D" w:rsidRPr="00524EEA" w:rsidRDefault="003E6F2D" w:rsidP="00254D29">
            <w:pPr>
              <w:pStyle w:val="A-TableText"/>
              <w:jc w:val="center"/>
              <w:rPr>
                <w:lang w:val="en-AU"/>
              </w:rPr>
            </w:pPr>
            <w:r w:rsidRPr="00524EEA">
              <w:rPr>
                <w:lang w:val="en-AU"/>
              </w:rPr>
              <w:t>25.9</w:t>
            </w:r>
          </w:p>
        </w:tc>
        <w:tc>
          <w:tcPr>
            <w:tcW w:w="756" w:type="pct"/>
            <w:gridSpan w:val="2"/>
            <w:tcBorders>
              <w:top w:val="single" w:sz="4" w:space="0" w:color="auto"/>
              <w:left w:val="single" w:sz="4" w:space="0" w:color="auto"/>
              <w:bottom w:val="single" w:sz="4" w:space="0" w:color="auto"/>
              <w:right w:val="single" w:sz="4" w:space="0" w:color="auto"/>
            </w:tcBorders>
          </w:tcPr>
          <w:p w14:paraId="434E9C18" w14:textId="77777777" w:rsidR="003E6F2D" w:rsidRPr="00524EEA" w:rsidRDefault="003E6F2D" w:rsidP="00254D29">
            <w:pPr>
              <w:pStyle w:val="A-TableText"/>
              <w:jc w:val="center"/>
              <w:rPr>
                <w:lang w:val="en-AU"/>
              </w:rPr>
            </w:pPr>
          </w:p>
        </w:tc>
        <w:tc>
          <w:tcPr>
            <w:tcW w:w="497" w:type="pct"/>
            <w:tcBorders>
              <w:top w:val="single" w:sz="4" w:space="0" w:color="auto"/>
              <w:left w:val="single" w:sz="4" w:space="0" w:color="auto"/>
              <w:bottom w:val="single" w:sz="4" w:space="0" w:color="auto"/>
              <w:right w:val="single" w:sz="4" w:space="0" w:color="auto"/>
            </w:tcBorders>
          </w:tcPr>
          <w:p w14:paraId="39C72D52" w14:textId="77777777" w:rsidR="003E6F2D" w:rsidRPr="00524EEA" w:rsidRDefault="003E6F2D" w:rsidP="00254D29">
            <w:pPr>
              <w:pStyle w:val="A-TableText"/>
              <w:jc w:val="center"/>
              <w:rPr>
                <w:lang w:val="en-AU"/>
              </w:rPr>
            </w:pPr>
          </w:p>
        </w:tc>
        <w:tc>
          <w:tcPr>
            <w:tcW w:w="757" w:type="pct"/>
            <w:gridSpan w:val="2"/>
            <w:tcBorders>
              <w:top w:val="single" w:sz="4" w:space="0" w:color="auto"/>
              <w:left w:val="single" w:sz="4" w:space="0" w:color="auto"/>
              <w:bottom w:val="single" w:sz="4" w:space="0" w:color="auto"/>
              <w:right w:val="single" w:sz="4" w:space="0" w:color="auto"/>
            </w:tcBorders>
          </w:tcPr>
          <w:p w14:paraId="3F237036" w14:textId="77777777" w:rsidR="00C968AB" w:rsidRPr="00524EEA" w:rsidRDefault="00C968AB" w:rsidP="00C968AB">
            <w:pPr>
              <w:pStyle w:val="A-TableText"/>
              <w:jc w:val="center"/>
              <w:rPr>
                <w:lang w:val="en-AU"/>
              </w:rPr>
            </w:pPr>
          </w:p>
          <w:p w14:paraId="4D94A966" w14:textId="77777777" w:rsidR="00C968AB" w:rsidRPr="00524EEA" w:rsidRDefault="00C968AB" w:rsidP="00C968AB">
            <w:pPr>
              <w:pStyle w:val="A-TableText"/>
              <w:jc w:val="center"/>
              <w:rPr>
                <w:lang w:val="en-AU"/>
              </w:rPr>
            </w:pPr>
          </w:p>
          <w:p w14:paraId="29226C25" w14:textId="591EA428" w:rsidR="003E6F2D" w:rsidRPr="00524EEA" w:rsidRDefault="00C968AB" w:rsidP="00C968AB">
            <w:pPr>
              <w:pStyle w:val="A-TableText"/>
              <w:jc w:val="center"/>
              <w:rPr>
                <w:lang w:val="en-AU"/>
              </w:rPr>
            </w:pPr>
            <w:r w:rsidRPr="00524EEA">
              <w:rPr>
                <w:lang w:val="en-AU"/>
              </w:rPr>
              <w:t>38.0*</w:t>
            </w:r>
          </w:p>
        </w:tc>
        <w:tc>
          <w:tcPr>
            <w:tcW w:w="544" w:type="pct"/>
            <w:tcBorders>
              <w:top w:val="single" w:sz="4" w:space="0" w:color="auto"/>
              <w:left w:val="single" w:sz="4" w:space="0" w:color="auto"/>
              <w:bottom w:val="single" w:sz="4" w:space="0" w:color="auto"/>
              <w:right w:val="single" w:sz="4" w:space="0" w:color="auto"/>
            </w:tcBorders>
          </w:tcPr>
          <w:p w14:paraId="0D091804" w14:textId="77777777" w:rsidR="00C968AB" w:rsidRPr="00524EEA" w:rsidRDefault="00C968AB" w:rsidP="00C968AB">
            <w:pPr>
              <w:pStyle w:val="A-TableText"/>
              <w:jc w:val="center"/>
              <w:rPr>
                <w:lang w:val="en-AU"/>
              </w:rPr>
            </w:pPr>
          </w:p>
          <w:p w14:paraId="30EB1185" w14:textId="77777777" w:rsidR="00C968AB" w:rsidRPr="00524EEA" w:rsidRDefault="00C968AB" w:rsidP="00C968AB">
            <w:pPr>
              <w:pStyle w:val="A-TableText"/>
              <w:jc w:val="center"/>
              <w:rPr>
                <w:lang w:val="en-AU"/>
              </w:rPr>
            </w:pPr>
          </w:p>
          <w:p w14:paraId="289B9A9D" w14:textId="57BB8301" w:rsidR="003E6F2D" w:rsidRPr="00524EEA" w:rsidRDefault="00C968AB" w:rsidP="00C968AB">
            <w:pPr>
              <w:pStyle w:val="A-TableText"/>
              <w:jc w:val="center"/>
              <w:rPr>
                <w:lang w:val="en-AU"/>
              </w:rPr>
            </w:pPr>
            <w:r w:rsidRPr="00524EEA">
              <w:rPr>
                <w:lang w:val="en-AU"/>
              </w:rPr>
              <w:t xml:space="preserve">12.4 </w:t>
            </w:r>
          </w:p>
        </w:tc>
      </w:tr>
      <w:tr w:rsidR="003E6F2D" w:rsidRPr="00524EEA" w14:paraId="1E1F1500" w14:textId="77777777" w:rsidTr="003501A4">
        <w:trPr>
          <w:cantSplit/>
          <w:trHeight w:val="147"/>
          <w:tblHeader/>
        </w:trPr>
        <w:tc>
          <w:tcPr>
            <w:tcW w:w="1191" w:type="pct"/>
            <w:tcBorders>
              <w:top w:val="single" w:sz="4" w:space="0" w:color="auto"/>
              <w:left w:val="single" w:sz="4" w:space="0" w:color="auto"/>
              <w:bottom w:val="single" w:sz="4" w:space="0" w:color="auto"/>
              <w:right w:val="single" w:sz="4" w:space="0" w:color="auto"/>
            </w:tcBorders>
          </w:tcPr>
          <w:p w14:paraId="04558624" w14:textId="77777777" w:rsidR="003E6F2D" w:rsidRPr="00524EEA" w:rsidRDefault="003E6F2D" w:rsidP="00254D29">
            <w:pPr>
              <w:pStyle w:val="A-TableText"/>
              <w:rPr>
                <w:b/>
                <w:lang w:val="en-AU"/>
              </w:rPr>
            </w:pPr>
            <w:r w:rsidRPr="00524EEA">
              <w:rPr>
                <w:b/>
                <w:lang w:val="en-AU"/>
              </w:rPr>
              <w:t xml:space="preserve">Body weight (kg) </w:t>
            </w:r>
          </w:p>
          <w:p w14:paraId="6007BFF5" w14:textId="77777777" w:rsidR="003E6F2D" w:rsidRPr="00524EEA" w:rsidRDefault="003E6F2D" w:rsidP="00254D29">
            <w:pPr>
              <w:pStyle w:val="A-TableText"/>
              <w:rPr>
                <w:lang w:val="en-AU"/>
              </w:rPr>
            </w:pPr>
            <w:r w:rsidRPr="00524EEA">
              <w:rPr>
                <w:lang w:val="en-AU"/>
              </w:rPr>
              <w:t>Baseline (mean)</w:t>
            </w:r>
          </w:p>
          <w:p w14:paraId="245C12A4" w14:textId="77777777" w:rsidR="003E6F2D" w:rsidRPr="00524EEA" w:rsidRDefault="003E6F2D" w:rsidP="00254D29">
            <w:pPr>
              <w:pStyle w:val="A-TableText"/>
              <w:rPr>
                <w:lang w:val="en-AU"/>
              </w:rPr>
            </w:pPr>
            <w:r w:rsidRPr="00524EEA">
              <w:rPr>
                <w:lang w:val="en-AU"/>
              </w:rPr>
              <w:t xml:space="preserve">Change from </w:t>
            </w:r>
            <w:proofErr w:type="spellStart"/>
            <w:r w:rsidRPr="00524EEA">
              <w:rPr>
                <w:lang w:val="en-AU"/>
              </w:rPr>
              <w:t>baseline</w:t>
            </w:r>
            <w:r w:rsidRPr="00524EEA">
              <w:rPr>
                <w:vertAlign w:val="superscript"/>
                <w:lang w:val="en-AU"/>
              </w:rPr>
              <w:t>c</w:t>
            </w:r>
            <w:proofErr w:type="spellEnd"/>
          </w:p>
          <w:p w14:paraId="7B43E1FC" w14:textId="77777777" w:rsidR="003E6F2D" w:rsidRPr="00524EEA" w:rsidRDefault="003E6F2D" w:rsidP="00254D29">
            <w:pPr>
              <w:pStyle w:val="A-TableText"/>
              <w:rPr>
                <w:lang w:val="en-AU"/>
              </w:rPr>
            </w:pPr>
            <w:r w:rsidRPr="00524EEA">
              <w:rPr>
                <w:lang w:val="en-AU"/>
              </w:rPr>
              <w:t xml:space="preserve">Difference from </w:t>
            </w:r>
            <w:proofErr w:type="spellStart"/>
            <w:r w:rsidRPr="00524EEA">
              <w:rPr>
                <w:lang w:val="en-AU"/>
              </w:rPr>
              <w:t>placebo</w:t>
            </w:r>
            <w:r w:rsidRPr="00524EEA">
              <w:rPr>
                <w:vertAlign w:val="superscript"/>
                <w:lang w:val="en-AU"/>
              </w:rPr>
              <w:t>c</w:t>
            </w:r>
            <w:proofErr w:type="spellEnd"/>
          </w:p>
          <w:p w14:paraId="76417A87" w14:textId="77777777" w:rsidR="003E6F2D" w:rsidRPr="00524EEA" w:rsidRDefault="003E6F2D" w:rsidP="00254D29">
            <w:pPr>
              <w:pStyle w:val="A-TableText"/>
              <w:rPr>
                <w:lang w:val="en-AU"/>
              </w:rPr>
            </w:pPr>
            <w:r w:rsidRPr="00524EEA">
              <w:rPr>
                <w:lang w:val="en-AU"/>
              </w:rPr>
              <w:t xml:space="preserve">    (95% CI)</w:t>
            </w:r>
          </w:p>
        </w:tc>
        <w:tc>
          <w:tcPr>
            <w:tcW w:w="755" w:type="pct"/>
            <w:tcBorders>
              <w:top w:val="single" w:sz="4" w:space="0" w:color="auto"/>
              <w:left w:val="single" w:sz="4" w:space="0" w:color="auto"/>
              <w:bottom w:val="single" w:sz="4" w:space="0" w:color="auto"/>
              <w:right w:val="single" w:sz="4" w:space="0" w:color="auto"/>
            </w:tcBorders>
          </w:tcPr>
          <w:p w14:paraId="49068228" w14:textId="77777777" w:rsidR="003E6F2D" w:rsidRPr="00524EEA" w:rsidRDefault="003E6F2D" w:rsidP="00254D29">
            <w:pPr>
              <w:pStyle w:val="A-TableText"/>
              <w:jc w:val="center"/>
              <w:rPr>
                <w:lang w:val="en-AU"/>
              </w:rPr>
            </w:pPr>
          </w:p>
          <w:p w14:paraId="19BC0EC7" w14:textId="77777777" w:rsidR="003E6F2D" w:rsidRPr="00524EEA" w:rsidRDefault="003E6F2D" w:rsidP="00254D29">
            <w:pPr>
              <w:pStyle w:val="A-TableText"/>
              <w:jc w:val="center"/>
              <w:rPr>
                <w:lang w:val="en-AU"/>
              </w:rPr>
            </w:pPr>
            <w:r w:rsidRPr="00524EEA">
              <w:rPr>
                <w:lang w:val="en-AU"/>
              </w:rPr>
              <w:t>86.28</w:t>
            </w:r>
          </w:p>
          <w:p w14:paraId="5E8F9E64" w14:textId="77777777" w:rsidR="003E6F2D" w:rsidRPr="00524EEA" w:rsidRDefault="003E6F2D" w:rsidP="00254D29">
            <w:pPr>
              <w:pStyle w:val="A-TableText"/>
              <w:jc w:val="center"/>
              <w:rPr>
                <w:lang w:val="en-AU"/>
              </w:rPr>
            </w:pPr>
            <w:r w:rsidRPr="00524EEA">
              <w:rPr>
                <w:lang w:val="en-AU"/>
              </w:rPr>
              <w:noBreakHyphen/>
              <w:t>2.86</w:t>
            </w:r>
          </w:p>
          <w:p w14:paraId="46BC41B6" w14:textId="77777777" w:rsidR="003E6F2D" w:rsidRPr="00524EEA" w:rsidRDefault="003E6F2D" w:rsidP="00254D29">
            <w:pPr>
              <w:pStyle w:val="A-TableText"/>
              <w:jc w:val="center"/>
              <w:rPr>
                <w:lang w:val="en-AU"/>
              </w:rPr>
            </w:pPr>
            <w:r w:rsidRPr="00524EEA">
              <w:rPr>
                <w:lang w:val="en-AU"/>
              </w:rPr>
              <w:noBreakHyphen/>
              <w:t>1.97</w:t>
            </w:r>
            <w:r w:rsidRPr="00524EEA">
              <w:rPr>
                <w:vertAlign w:val="superscript"/>
                <w:lang w:val="en-AU"/>
              </w:rPr>
              <w:t>*</w:t>
            </w:r>
          </w:p>
          <w:p w14:paraId="3F31C5B9" w14:textId="77777777" w:rsidR="003E6F2D" w:rsidRPr="00524EEA" w:rsidRDefault="003E6F2D" w:rsidP="00254D29">
            <w:pPr>
              <w:pStyle w:val="A-TableText"/>
              <w:jc w:val="center"/>
              <w:rPr>
                <w:lang w:val="en-AU"/>
              </w:rPr>
            </w:pPr>
            <w:r w:rsidRPr="00524EEA">
              <w:rPr>
                <w:lang w:val="en-AU"/>
              </w:rPr>
              <w:t>(</w:t>
            </w:r>
            <w:r w:rsidRPr="00524EEA">
              <w:rPr>
                <w:lang w:val="en-AU"/>
              </w:rPr>
              <w:noBreakHyphen/>
              <w:t xml:space="preserve">2.63, </w:t>
            </w:r>
            <w:r w:rsidRPr="00524EEA">
              <w:rPr>
                <w:lang w:val="en-AU"/>
              </w:rPr>
              <w:noBreakHyphen/>
              <w:t>1.31)</w:t>
            </w:r>
          </w:p>
        </w:tc>
        <w:tc>
          <w:tcPr>
            <w:tcW w:w="499" w:type="pct"/>
            <w:tcBorders>
              <w:top w:val="single" w:sz="4" w:space="0" w:color="auto"/>
              <w:left w:val="single" w:sz="4" w:space="0" w:color="auto"/>
              <w:bottom w:val="single" w:sz="4" w:space="0" w:color="auto"/>
              <w:right w:val="single" w:sz="4" w:space="0" w:color="auto"/>
            </w:tcBorders>
          </w:tcPr>
          <w:p w14:paraId="737B258B" w14:textId="77777777" w:rsidR="003E6F2D" w:rsidRPr="00524EEA" w:rsidRDefault="003E6F2D" w:rsidP="00254D29">
            <w:pPr>
              <w:pStyle w:val="A-TableText"/>
              <w:jc w:val="center"/>
              <w:rPr>
                <w:lang w:val="en-AU"/>
              </w:rPr>
            </w:pPr>
          </w:p>
          <w:p w14:paraId="565C2F72" w14:textId="77777777" w:rsidR="003E6F2D" w:rsidRPr="00524EEA" w:rsidRDefault="003E6F2D" w:rsidP="00254D29">
            <w:pPr>
              <w:pStyle w:val="A-TableText"/>
              <w:jc w:val="center"/>
              <w:rPr>
                <w:lang w:val="en-AU"/>
              </w:rPr>
            </w:pPr>
            <w:r w:rsidRPr="00524EEA">
              <w:rPr>
                <w:lang w:val="en-AU"/>
              </w:rPr>
              <w:t>87.74</w:t>
            </w:r>
          </w:p>
          <w:p w14:paraId="2994FC43" w14:textId="77777777" w:rsidR="003E6F2D" w:rsidRPr="00524EEA" w:rsidRDefault="003E6F2D" w:rsidP="00254D29">
            <w:pPr>
              <w:pStyle w:val="A-TableText"/>
              <w:jc w:val="center"/>
              <w:rPr>
                <w:lang w:val="en-AU"/>
              </w:rPr>
            </w:pPr>
            <w:r w:rsidRPr="00524EEA">
              <w:rPr>
                <w:lang w:val="en-AU"/>
              </w:rPr>
              <w:noBreakHyphen/>
              <w:t>0.89</w:t>
            </w:r>
          </w:p>
        </w:tc>
        <w:tc>
          <w:tcPr>
            <w:tcW w:w="756" w:type="pct"/>
            <w:gridSpan w:val="2"/>
            <w:tcBorders>
              <w:top w:val="single" w:sz="4" w:space="0" w:color="auto"/>
              <w:left w:val="single" w:sz="4" w:space="0" w:color="auto"/>
              <w:bottom w:val="single" w:sz="4" w:space="0" w:color="auto"/>
              <w:right w:val="single" w:sz="4" w:space="0" w:color="auto"/>
            </w:tcBorders>
          </w:tcPr>
          <w:p w14:paraId="539E53A1" w14:textId="77777777" w:rsidR="003E6F2D" w:rsidRPr="00524EEA" w:rsidRDefault="003E6F2D" w:rsidP="00254D29">
            <w:pPr>
              <w:pStyle w:val="A-TableText"/>
              <w:jc w:val="center"/>
              <w:rPr>
                <w:lang w:val="en-AU"/>
              </w:rPr>
            </w:pPr>
          </w:p>
          <w:p w14:paraId="7BFB37A7" w14:textId="77777777" w:rsidR="003E6F2D" w:rsidRPr="00524EEA" w:rsidRDefault="003E6F2D" w:rsidP="00254D29">
            <w:pPr>
              <w:pStyle w:val="A-TableText"/>
              <w:jc w:val="center"/>
              <w:rPr>
                <w:lang w:val="en-AU"/>
              </w:rPr>
            </w:pPr>
            <w:r w:rsidRPr="00524EEA">
              <w:rPr>
                <w:lang w:val="en-AU"/>
              </w:rPr>
              <w:t>91.02</w:t>
            </w:r>
          </w:p>
          <w:p w14:paraId="6F92FEA5" w14:textId="77777777" w:rsidR="003E6F2D" w:rsidRPr="00524EEA" w:rsidRDefault="003E6F2D" w:rsidP="00254D29">
            <w:pPr>
              <w:pStyle w:val="A-TableText"/>
              <w:jc w:val="center"/>
              <w:rPr>
                <w:lang w:val="en-AU"/>
              </w:rPr>
            </w:pPr>
            <w:r w:rsidRPr="00524EEA">
              <w:rPr>
                <w:lang w:val="en-AU"/>
              </w:rPr>
              <w:noBreakHyphen/>
              <w:t>2.14</w:t>
            </w:r>
          </w:p>
          <w:p w14:paraId="753FFF3E" w14:textId="77777777" w:rsidR="003E6F2D" w:rsidRPr="00524EEA" w:rsidRDefault="003E6F2D" w:rsidP="00254D29">
            <w:pPr>
              <w:pStyle w:val="A-TableText"/>
              <w:jc w:val="center"/>
              <w:rPr>
                <w:lang w:val="en-AU"/>
              </w:rPr>
            </w:pPr>
            <w:r w:rsidRPr="00524EEA">
              <w:rPr>
                <w:lang w:val="en-AU"/>
              </w:rPr>
              <w:noBreakHyphen/>
              <w:t>1.89</w:t>
            </w:r>
            <w:r w:rsidRPr="00524EEA">
              <w:rPr>
                <w:vertAlign w:val="superscript"/>
                <w:lang w:val="en-AU"/>
              </w:rPr>
              <w:t>*</w:t>
            </w:r>
          </w:p>
          <w:p w14:paraId="332FDEBE" w14:textId="77777777" w:rsidR="003E6F2D" w:rsidRPr="00524EEA" w:rsidRDefault="003E6F2D" w:rsidP="00254D29">
            <w:pPr>
              <w:pStyle w:val="A-TableText"/>
              <w:jc w:val="center"/>
              <w:rPr>
                <w:lang w:val="en-AU"/>
              </w:rPr>
            </w:pPr>
            <w:r w:rsidRPr="00524EEA">
              <w:rPr>
                <w:lang w:val="en-AU"/>
              </w:rPr>
              <w:t>(</w:t>
            </w:r>
            <w:r w:rsidRPr="00524EEA">
              <w:rPr>
                <w:lang w:val="en-AU"/>
              </w:rPr>
              <w:noBreakHyphen/>
              <w:t xml:space="preserve">2.37, </w:t>
            </w:r>
            <w:r w:rsidRPr="00524EEA">
              <w:rPr>
                <w:lang w:val="en-AU"/>
              </w:rPr>
              <w:noBreakHyphen/>
              <w:t>1.40)</w:t>
            </w:r>
          </w:p>
        </w:tc>
        <w:tc>
          <w:tcPr>
            <w:tcW w:w="497" w:type="pct"/>
            <w:tcBorders>
              <w:top w:val="single" w:sz="4" w:space="0" w:color="auto"/>
              <w:left w:val="single" w:sz="4" w:space="0" w:color="auto"/>
              <w:bottom w:val="single" w:sz="4" w:space="0" w:color="auto"/>
              <w:right w:val="single" w:sz="4" w:space="0" w:color="auto"/>
            </w:tcBorders>
          </w:tcPr>
          <w:p w14:paraId="4E80E42F" w14:textId="77777777" w:rsidR="003E6F2D" w:rsidRPr="00524EEA" w:rsidRDefault="003E6F2D" w:rsidP="00254D29">
            <w:pPr>
              <w:pStyle w:val="A-TableText"/>
              <w:jc w:val="center"/>
              <w:rPr>
                <w:lang w:val="en-AU"/>
              </w:rPr>
            </w:pPr>
          </w:p>
          <w:p w14:paraId="41BEABA7" w14:textId="77777777" w:rsidR="003E6F2D" w:rsidRPr="00524EEA" w:rsidRDefault="003E6F2D" w:rsidP="00254D29">
            <w:pPr>
              <w:pStyle w:val="A-TableText"/>
              <w:jc w:val="center"/>
              <w:rPr>
                <w:lang w:val="en-AU"/>
              </w:rPr>
            </w:pPr>
            <w:r w:rsidRPr="00524EEA">
              <w:rPr>
                <w:lang w:val="en-AU"/>
              </w:rPr>
              <w:t>89.23</w:t>
            </w:r>
          </w:p>
          <w:p w14:paraId="4ACBF192" w14:textId="77777777" w:rsidR="003E6F2D" w:rsidRPr="00524EEA" w:rsidRDefault="003E6F2D" w:rsidP="00254D29">
            <w:pPr>
              <w:pStyle w:val="A-TableText"/>
              <w:jc w:val="center"/>
              <w:rPr>
                <w:lang w:val="en-AU"/>
              </w:rPr>
            </w:pPr>
            <w:r w:rsidRPr="00524EEA">
              <w:rPr>
                <w:lang w:val="en-AU"/>
              </w:rPr>
              <w:noBreakHyphen/>
              <w:t>0.26</w:t>
            </w:r>
          </w:p>
          <w:p w14:paraId="0CFF47F5" w14:textId="77777777" w:rsidR="003E6F2D" w:rsidRPr="00524EEA" w:rsidRDefault="003E6F2D" w:rsidP="00254D29">
            <w:pPr>
              <w:pStyle w:val="A-TableText"/>
              <w:jc w:val="center"/>
              <w:rPr>
                <w:lang w:val="en-AU"/>
              </w:rPr>
            </w:pPr>
          </w:p>
          <w:p w14:paraId="38783448" w14:textId="77777777" w:rsidR="003E6F2D" w:rsidRPr="00524EEA" w:rsidRDefault="003E6F2D" w:rsidP="00254D29">
            <w:pPr>
              <w:pStyle w:val="A-TableText"/>
              <w:jc w:val="center"/>
              <w:rPr>
                <w:b/>
                <w:lang w:val="en-AU"/>
              </w:rPr>
            </w:pPr>
          </w:p>
        </w:tc>
        <w:tc>
          <w:tcPr>
            <w:tcW w:w="757" w:type="pct"/>
            <w:gridSpan w:val="2"/>
            <w:tcBorders>
              <w:top w:val="single" w:sz="4" w:space="0" w:color="auto"/>
              <w:left w:val="single" w:sz="4" w:space="0" w:color="auto"/>
              <w:bottom w:val="single" w:sz="4" w:space="0" w:color="auto"/>
              <w:right w:val="single" w:sz="4" w:space="0" w:color="auto"/>
            </w:tcBorders>
          </w:tcPr>
          <w:p w14:paraId="09DCD7B4" w14:textId="77777777" w:rsidR="009173DC" w:rsidRPr="00524EEA" w:rsidRDefault="009173DC" w:rsidP="009173DC">
            <w:pPr>
              <w:pStyle w:val="A-TableText"/>
              <w:jc w:val="center"/>
              <w:rPr>
                <w:lang w:val="en-AU"/>
              </w:rPr>
            </w:pPr>
          </w:p>
          <w:p w14:paraId="767A836C" w14:textId="13143909" w:rsidR="003E6F2D" w:rsidRPr="00524EEA" w:rsidRDefault="003E6F2D" w:rsidP="009173DC">
            <w:pPr>
              <w:pStyle w:val="A-TableText"/>
              <w:jc w:val="center"/>
              <w:rPr>
                <w:lang w:val="en-AU"/>
              </w:rPr>
            </w:pPr>
            <w:r w:rsidRPr="00524EEA">
              <w:rPr>
                <w:lang w:val="en-AU"/>
              </w:rPr>
              <w:t>85.83</w:t>
            </w:r>
          </w:p>
          <w:p w14:paraId="5510BB32" w14:textId="77777777" w:rsidR="003E6F2D" w:rsidRPr="00524EEA" w:rsidRDefault="003E6F2D" w:rsidP="00254D29">
            <w:pPr>
              <w:pStyle w:val="A-TableText"/>
              <w:jc w:val="center"/>
              <w:rPr>
                <w:lang w:val="en-AU"/>
              </w:rPr>
            </w:pPr>
            <w:r w:rsidRPr="00524EEA">
              <w:rPr>
                <w:lang w:val="en-AU"/>
              </w:rPr>
              <w:t>-1.91</w:t>
            </w:r>
          </w:p>
          <w:p w14:paraId="7DEA5BD4" w14:textId="77777777" w:rsidR="003E6F2D" w:rsidRPr="00524EEA" w:rsidRDefault="003E6F2D" w:rsidP="00254D29">
            <w:pPr>
              <w:pStyle w:val="A-TableText"/>
              <w:jc w:val="center"/>
              <w:rPr>
                <w:vertAlign w:val="superscript"/>
                <w:lang w:val="en-AU"/>
              </w:rPr>
            </w:pPr>
            <w:r w:rsidRPr="00524EEA">
              <w:rPr>
                <w:lang w:val="en-AU"/>
              </w:rPr>
              <w:t>-1.50</w:t>
            </w:r>
            <w:r w:rsidRPr="00524EEA">
              <w:rPr>
                <w:vertAlign w:val="superscript"/>
                <w:lang w:val="en-AU"/>
              </w:rPr>
              <w:t>*</w:t>
            </w:r>
          </w:p>
          <w:p w14:paraId="22D1DF16" w14:textId="77777777" w:rsidR="003E6F2D" w:rsidRPr="00524EEA" w:rsidRDefault="003E6F2D" w:rsidP="00254D29">
            <w:pPr>
              <w:pStyle w:val="A-TableText"/>
              <w:jc w:val="center"/>
              <w:rPr>
                <w:lang w:val="en-AU"/>
              </w:rPr>
            </w:pPr>
            <w:r w:rsidRPr="00524EEA">
              <w:rPr>
                <w:lang w:val="en-AU"/>
              </w:rPr>
              <w:t>(-2.12, -0.89)</w:t>
            </w:r>
          </w:p>
        </w:tc>
        <w:tc>
          <w:tcPr>
            <w:tcW w:w="544" w:type="pct"/>
            <w:tcBorders>
              <w:top w:val="single" w:sz="4" w:space="0" w:color="auto"/>
              <w:left w:val="single" w:sz="4" w:space="0" w:color="auto"/>
              <w:bottom w:val="single" w:sz="4" w:space="0" w:color="auto"/>
              <w:right w:val="single" w:sz="4" w:space="0" w:color="auto"/>
            </w:tcBorders>
          </w:tcPr>
          <w:p w14:paraId="10041CF4" w14:textId="77777777" w:rsidR="009173DC" w:rsidRPr="00524EEA" w:rsidRDefault="009173DC" w:rsidP="009173DC">
            <w:pPr>
              <w:pStyle w:val="A-TableText"/>
              <w:jc w:val="center"/>
              <w:rPr>
                <w:lang w:val="en-AU"/>
              </w:rPr>
            </w:pPr>
          </w:p>
          <w:p w14:paraId="79EB7EFC" w14:textId="784BD3AA" w:rsidR="003E6F2D" w:rsidRPr="00524EEA" w:rsidRDefault="003E6F2D" w:rsidP="009173DC">
            <w:pPr>
              <w:pStyle w:val="A-TableText"/>
              <w:jc w:val="center"/>
              <w:rPr>
                <w:lang w:val="en-AU"/>
              </w:rPr>
            </w:pPr>
            <w:r w:rsidRPr="00524EEA">
              <w:rPr>
                <w:lang w:val="en-AU"/>
              </w:rPr>
              <w:t>88.24</w:t>
            </w:r>
          </w:p>
          <w:p w14:paraId="5A738E18" w14:textId="77777777" w:rsidR="003E6F2D" w:rsidRPr="00524EEA" w:rsidRDefault="003E6F2D" w:rsidP="00254D29">
            <w:pPr>
              <w:pStyle w:val="A-TableText"/>
              <w:jc w:val="center"/>
              <w:rPr>
                <w:lang w:val="en-AU"/>
              </w:rPr>
            </w:pPr>
            <w:r w:rsidRPr="00524EEA">
              <w:rPr>
                <w:lang w:val="en-AU"/>
              </w:rPr>
              <w:t>-0.41</w:t>
            </w:r>
          </w:p>
        </w:tc>
      </w:tr>
      <w:tr w:rsidR="003E6F2D" w:rsidRPr="00524EEA" w14:paraId="3146016B" w14:textId="77777777" w:rsidTr="003501A4">
        <w:trPr>
          <w:cantSplit/>
          <w:trHeight w:val="2725"/>
          <w:tblHeader/>
        </w:trPr>
        <w:tc>
          <w:tcPr>
            <w:tcW w:w="5000" w:type="pct"/>
            <w:gridSpan w:val="9"/>
            <w:tcBorders>
              <w:top w:val="single" w:sz="4" w:space="0" w:color="auto"/>
              <w:left w:val="nil"/>
              <w:bottom w:val="nil"/>
              <w:right w:val="nil"/>
            </w:tcBorders>
          </w:tcPr>
          <w:p w14:paraId="29755228" w14:textId="77777777" w:rsidR="003E6F2D" w:rsidRPr="00524EEA" w:rsidRDefault="003E6F2D" w:rsidP="003501A4">
            <w:pPr>
              <w:pStyle w:val="A-TableFootnoteText"/>
              <w:jc w:val="left"/>
            </w:pPr>
            <w:r w:rsidRPr="00524EEA">
              <w:rPr>
                <w:vertAlign w:val="superscript"/>
              </w:rPr>
              <w:t xml:space="preserve">1 </w:t>
            </w:r>
            <w:r w:rsidRPr="00524EEA">
              <w:t xml:space="preserve">Metformin ≥1500 mg/day; </w:t>
            </w:r>
            <w:r w:rsidRPr="00524EEA">
              <w:rPr>
                <w:vertAlign w:val="superscript"/>
              </w:rPr>
              <w:t>2</w:t>
            </w:r>
            <w:r w:rsidRPr="00524EEA">
              <w:t xml:space="preserve">sitagliptin 100 mg/day; </w:t>
            </w:r>
            <w:r w:rsidRPr="00524EEA">
              <w:rPr>
                <w:vertAlign w:val="superscript"/>
              </w:rPr>
              <w:t>3</w:t>
            </w:r>
            <w:r w:rsidRPr="00524EEA">
              <w:t>saxagliptin 5 mg/day</w:t>
            </w:r>
          </w:p>
          <w:p w14:paraId="14DD8201" w14:textId="77777777" w:rsidR="003E6F2D" w:rsidRPr="00524EEA" w:rsidRDefault="003E6F2D" w:rsidP="003501A4">
            <w:pPr>
              <w:pStyle w:val="A-TableFootnoteText"/>
              <w:jc w:val="left"/>
            </w:pPr>
            <w:r w:rsidRPr="00524EEA">
              <w:rPr>
                <w:vertAlign w:val="superscript"/>
              </w:rPr>
              <w:t xml:space="preserve">^ </w:t>
            </w:r>
            <w:r w:rsidRPr="00524EEA">
              <w:t>LOCF: Last observation (prior to rescue for rescued subjects) carried forward</w:t>
            </w:r>
          </w:p>
          <w:p w14:paraId="10D1200E" w14:textId="77777777" w:rsidR="003E6F2D" w:rsidRPr="00524EEA" w:rsidRDefault="003E6F2D" w:rsidP="003501A4">
            <w:pPr>
              <w:pStyle w:val="A-TableFootnoteText"/>
              <w:jc w:val="left"/>
              <w:rPr>
                <w:vertAlign w:val="superscript"/>
              </w:rPr>
            </w:pPr>
            <w:r w:rsidRPr="00524EEA">
              <w:rPr>
                <w:vertAlign w:val="superscript"/>
              </w:rPr>
              <w:t>#</w:t>
            </w:r>
            <w:r w:rsidRPr="00524EEA">
              <w:t xml:space="preserve"> LRM = Longitudinal repeated measures (using values prior to rescue</w:t>
            </w:r>
            <w:r w:rsidRPr="00524EEA" w:rsidDel="001F0A31">
              <w:t xml:space="preserve"> </w:t>
            </w:r>
          </w:p>
          <w:p w14:paraId="41C77BB3" w14:textId="25E48A65" w:rsidR="003E6F2D" w:rsidRPr="00524EEA" w:rsidRDefault="003E6F2D" w:rsidP="003501A4">
            <w:pPr>
              <w:pStyle w:val="A-TableFootnoteText"/>
              <w:jc w:val="left"/>
            </w:pPr>
            <w:proofErr w:type="spellStart"/>
            <w:r w:rsidRPr="00524EEA">
              <w:rPr>
                <w:vertAlign w:val="superscript"/>
              </w:rPr>
              <w:t>a</w:t>
            </w:r>
            <w:proofErr w:type="spellEnd"/>
            <w:r w:rsidR="009173DC" w:rsidRPr="00524EEA">
              <w:rPr>
                <w:vertAlign w:val="superscript"/>
              </w:rPr>
              <w:t xml:space="preserve"> </w:t>
            </w:r>
            <w:r w:rsidRPr="00524EEA">
              <w:t>All randomised subjects who took at least one dose of double-blind study medicinal product during the short</w:t>
            </w:r>
            <w:r w:rsidRPr="00524EEA">
              <w:noBreakHyphen/>
              <w:t>term double</w:t>
            </w:r>
            <w:r w:rsidRPr="00524EEA">
              <w:noBreakHyphen/>
              <w:t>blind period</w:t>
            </w:r>
          </w:p>
          <w:p w14:paraId="1CE147DD" w14:textId="085FE31D" w:rsidR="003E6F2D" w:rsidRPr="00524EEA" w:rsidRDefault="003E6F2D" w:rsidP="003501A4">
            <w:pPr>
              <w:pStyle w:val="A-TableFootnoteText"/>
              <w:jc w:val="left"/>
            </w:pPr>
            <w:r w:rsidRPr="00524EEA">
              <w:rPr>
                <w:vertAlign w:val="superscript"/>
              </w:rPr>
              <w:t>b</w:t>
            </w:r>
            <w:r w:rsidR="009173DC" w:rsidRPr="00524EEA">
              <w:rPr>
                <w:vertAlign w:val="superscript"/>
              </w:rPr>
              <w:t xml:space="preserve"> </w:t>
            </w:r>
            <w:r w:rsidRPr="00524EEA">
              <w:t>Randomised and treated patients with baseline and at least 1 post-baseline efficacy measurement</w:t>
            </w:r>
          </w:p>
          <w:p w14:paraId="098EA7DB" w14:textId="77777777" w:rsidR="003E6F2D" w:rsidRPr="00524EEA" w:rsidRDefault="003E6F2D" w:rsidP="003501A4">
            <w:pPr>
              <w:pStyle w:val="A-TableFootnoteText"/>
              <w:jc w:val="left"/>
            </w:pPr>
            <w:r w:rsidRPr="00524EEA">
              <w:rPr>
                <w:vertAlign w:val="superscript"/>
              </w:rPr>
              <w:t xml:space="preserve">c </w:t>
            </w:r>
            <w:r w:rsidRPr="00524EEA">
              <w:t>Least squares mean adjusted for baseline value</w:t>
            </w:r>
          </w:p>
          <w:p w14:paraId="40CA235F" w14:textId="658288CE" w:rsidR="003E6F2D" w:rsidRPr="00524EEA" w:rsidRDefault="003E6F2D" w:rsidP="003501A4">
            <w:pPr>
              <w:pStyle w:val="A-TableFootnoteText"/>
              <w:jc w:val="left"/>
            </w:pPr>
            <w:r w:rsidRPr="00524EEA">
              <w:rPr>
                <w:vertAlign w:val="superscript"/>
              </w:rPr>
              <w:t>*</w:t>
            </w:r>
            <w:r w:rsidR="009173DC" w:rsidRPr="00524EEA">
              <w:rPr>
                <w:vertAlign w:val="superscript"/>
              </w:rPr>
              <w:t xml:space="preserve"> </w:t>
            </w:r>
            <w:r w:rsidRPr="00524EEA">
              <w:t>p</w:t>
            </w:r>
            <w:r w:rsidRPr="00524EEA">
              <w:noBreakHyphen/>
              <w:t>value &lt;0.0001 versus placebo + oral glucose</w:t>
            </w:r>
            <w:r w:rsidRPr="00524EEA">
              <w:noBreakHyphen/>
              <w:t>lowering medicinal product</w:t>
            </w:r>
          </w:p>
          <w:p w14:paraId="25BBD0CD" w14:textId="61987F30" w:rsidR="003E6F2D" w:rsidRPr="00524EEA" w:rsidRDefault="003E6F2D" w:rsidP="003501A4">
            <w:pPr>
              <w:pStyle w:val="A-TableFootnoteText"/>
              <w:jc w:val="left"/>
              <w:rPr>
                <w:vertAlign w:val="superscript"/>
              </w:rPr>
            </w:pPr>
            <w:r w:rsidRPr="00524EEA">
              <w:rPr>
                <w:vertAlign w:val="superscript"/>
              </w:rPr>
              <w:t>**</w:t>
            </w:r>
            <w:r w:rsidR="009173DC" w:rsidRPr="00524EEA">
              <w:rPr>
                <w:vertAlign w:val="superscript"/>
              </w:rPr>
              <w:t xml:space="preserve"> </w:t>
            </w:r>
            <w:r w:rsidRPr="00524EEA">
              <w:t>p</w:t>
            </w:r>
            <w:r w:rsidRPr="00524EEA">
              <w:noBreakHyphen/>
              <w:t>value &lt;0.05 versus placebo + oral glucose</w:t>
            </w:r>
            <w:r w:rsidRPr="00524EEA">
              <w:noBreakHyphen/>
              <w:t>lowering medicinal product</w:t>
            </w:r>
          </w:p>
        </w:tc>
      </w:tr>
    </w:tbl>
    <w:p w14:paraId="65B14182" w14:textId="77777777" w:rsidR="003E6F2D" w:rsidRPr="00524EEA" w:rsidRDefault="003E6F2D" w:rsidP="003E6F2D"/>
    <w:p w14:paraId="5C2AF7AF" w14:textId="6A040E3B" w:rsidR="003E6F2D" w:rsidRPr="00524EEA" w:rsidRDefault="00CD5A35" w:rsidP="00254D29">
      <w:pPr>
        <w:pStyle w:val="A-TableTitle"/>
        <w:rPr>
          <w:lang w:val="en-AU"/>
        </w:rPr>
      </w:pPr>
      <w:r w:rsidRPr="00524EEA">
        <w:rPr>
          <w:lang w:val="en-AU"/>
        </w:rPr>
        <w:t xml:space="preserve">Table </w:t>
      </w:r>
      <w:r w:rsidR="00D50AC0" w:rsidRPr="00524EEA">
        <w:rPr>
          <w:lang w:val="en-AU"/>
        </w:rPr>
        <w:t>6</w:t>
      </w:r>
      <w:r w:rsidR="003E6F2D" w:rsidRPr="00524EEA">
        <w:rPr>
          <w:lang w:val="en-AU"/>
        </w:rPr>
        <w:t xml:space="preserve">. </w:t>
      </w:r>
      <w:r w:rsidR="003E6F2D" w:rsidRPr="00524EEA">
        <w:rPr>
          <w:lang w:val="en-AU"/>
        </w:rPr>
        <w:tab/>
        <w:t>Results of 24</w:t>
      </w:r>
      <w:r w:rsidR="003E6F2D" w:rsidRPr="00524EEA">
        <w:rPr>
          <w:lang w:val="en-AU"/>
        </w:rPr>
        <w:noBreakHyphen/>
        <w:t xml:space="preserve">week placebo-controlled studies of </w:t>
      </w:r>
      <w:proofErr w:type="spellStart"/>
      <w:r w:rsidR="003E6F2D" w:rsidRPr="00524EEA">
        <w:rPr>
          <w:lang w:val="en-AU"/>
        </w:rPr>
        <w:t>dapagliflozin</w:t>
      </w:r>
      <w:proofErr w:type="spellEnd"/>
      <w:r w:rsidR="003E6F2D" w:rsidRPr="00524EEA">
        <w:rPr>
          <w:lang w:val="en-AU"/>
        </w:rPr>
        <w:t xml:space="preserve"> in add</w:t>
      </w:r>
      <w:r w:rsidR="003E6F2D" w:rsidRPr="00524EEA">
        <w:rPr>
          <w:lang w:val="en-AU"/>
        </w:rPr>
        <w:noBreakHyphen/>
        <w:t xml:space="preserve">on combination with sulfonylurea (glimepiride) or metformin and a sulfonylurea </w:t>
      </w:r>
    </w:p>
    <w:tbl>
      <w:tblPr>
        <w:tblW w:w="50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
        <w:gridCol w:w="2992"/>
        <w:gridCol w:w="1568"/>
        <w:gridCol w:w="1436"/>
        <w:gridCol w:w="1568"/>
        <w:gridCol w:w="1345"/>
        <w:gridCol w:w="108"/>
      </w:tblGrid>
      <w:tr w:rsidR="003E6F2D" w:rsidRPr="00524EEA" w14:paraId="777FBD23" w14:textId="77777777" w:rsidTr="00FD45B6">
        <w:trPr>
          <w:gridBefore w:val="1"/>
          <w:wBefore w:w="59" w:type="pct"/>
          <w:cantSplit/>
          <w:trHeight w:val="145"/>
          <w:tblHeader/>
        </w:trPr>
        <w:tc>
          <w:tcPr>
            <w:tcW w:w="1640" w:type="pct"/>
            <w:vMerge w:val="restart"/>
            <w:vAlign w:val="bottom"/>
          </w:tcPr>
          <w:p w14:paraId="776CDE25" w14:textId="77777777" w:rsidR="003E6F2D" w:rsidRPr="00524EEA" w:rsidRDefault="003E6F2D" w:rsidP="003E6F2D">
            <w:pPr>
              <w:rPr>
                <w:bCs/>
              </w:rPr>
            </w:pPr>
          </w:p>
        </w:tc>
        <w:tc>
          <w:tcPr>
            <w:tcW w:w="3301" w:type="pct"/>
            <w:gridSpan w:val="5"/>
          </w:tcPr>
          <w:p w14:paraId="26932F06" w14:textId="77777777" w:rsidR="003E6F2D" w:rsidRPr="00524EEA" w:rsidRDefault="003E6F2D" w:rsidP="00254D29">
            <w:pPr>
              <w:pStyle w:val="A-TableHeader"/>
              <w:jc w:val="center"/>
              <w:rPr>
                <w:lang w:val="en-AU"/>
              </w:rPr>
            </w:pPr>
            <w:r w:rsidRPr="00524EEA">
              <w:rPr>
                <w:lang w:val="en-AU"/>
              </w:rPr>
              <w:t>Add</w:t>
            </w:r>
            <w:r w:rsidRPr="00524EEA">
              <w:rPr>
                <w:lang w:val="en-AU"/>
              </w:rPr>
              <w:noBreakHyphen/>
              <w:t>on combination</w:t>
            </w:r>
          </w:p>
        </w:tc>
      </w:tr>
      <w:tr w:rsidR="003E6F2D" w:rsidRPr="00524EEA" w14:paraId="7D444550" w14:textId="77777777" w:rsidTr="00FD45B6">
        <w:trPr>
          <w:gridBefore w:val="1"/>
          <w:wBefore w:w="59" w:type="pct"/>
          <w:cantSplit/>
          <w:trHeight w:val="145"/>
          <w:tblHeader/>
        </w:trPr>
        <w:tc>
          <w:tcPr>
            <w:tcW w:w="1640" w:type="pct"/>
            <w:vMerge/>
            <w:vAlign w:val="bottom"/>
          </w:tcPr>
          <w:p w14:paraId="7A87DE40" w14:textId="77777777" w:rsidR="003E6F2D" w:rsidRPr="00524EEA" w:rsidRDefault="003E6F2D" w:rsidP="003E6F2D">
            <w:pPr>
              <w:rPr>
                <w:bCs/>
              </w:rPr>
            </w:pPr>
          </w:p>
        </w:tc>
        <w:tc>
          <w:tcPr>
            <w:tcW w:w="1646" w:type="pct"/>
            <w:gridSpan w:val="2"/>
          </w:tcPr>
          <w:p w14:paraId="496624E0" w14:textId="77777777" w:rsidR="003E6F2D" w:rsidRPr="00524EEA" w:rsidRDefault="003E6F2D" w:rsidP="00254D29">
            <w:pPr>
              <w:pStyle w:val="A-TableHeader"/>
              <w:jc w:val="center"/>
              <w:rPr>
                <w:bCs/>
                <w:lang w:val="en-AU"/>
              </w:rPr>
            </w:pPr>
            <w:r w:rsidRPr="00524EEA">
              <w:rPr>
                <w:bCs/>
                <w:lang w:val="en-AU"/>
              </w:rPr>
              <w:t>Sulfonylurea</w:t>
            </w:r>
          </w:p>
          <w:p w14:paraId="6EA1874E" w14:textId="77777777" w:rsidR="003E6F2D" w:rsidRPr="00524EEA" w:rsidRDefault="003E6F2D" w:rsidP="00254D29">
            <w:pPr>
              <w:pStyle w:val="A-TableHeader"/>
              <w:jc w:val="center"/>
              <w:rPr>
                <w:bCs/>
                <w:lang w:val="en-AU"/>
              </w:rPr>
            </w:pPr>
            <w:r w:rsidRPr="00524EEA">
              <w:rPr>
                <w:bCs/>
                <w:lang w:val="en-AU"/>
              </w:rPr>
              <w:t>(glimepiride</w:t>
            </w:r>
            <w:r w:rsidRPr="00524EEA">
              <w:rPr>
                <w:vertAlign w:val="superscript"/>
                <w:lang w:val="en-AU"/>
              </w:rPr>
              <w:t>1</w:t>
            </w:r>
            <w:r w:rsidRPr="00524EEA">
              <w:rPr>
                <w:bCs/>
                <w:lang w:val="en-AU"/>
              </w:rPr>
              <w:t>)</w:t>
            </w:r>
          </w:p>
        </w:tc>
        <w:tc>
          <w:tcPr>
            <w:tcW w:w="1654" w:type="pct"/>
            <w:gridSpan w:val="3"/>
          </w:tcPr>
          <w:p w14:paraId="45D0A4AF" w14:textId="77777777" w:rsidR="003E6F2D" w:rsidRPr="00524EEA" w:rsidRDefault="003E6F2D" w:rsidP="00254D29">
            <w:pPr>
              <w:pStyle w:val="A-TableHeader"/>
              <w:jc w:val="center"/>
              <w:rPr>
                <w:bCs/>
                <w:lang w:val="en-AU"/>
              </w:rPr>
            </w:pPr>
            <w:r w:rsidRPr="00524EEA">
              <w:rPr>
                <w:bCs/>
                <w:lang w:val="en-AU"/>
              </w:rPr>
              <w:t>Sulfonylurea</w:t>
            </w:r>
          </w:p>
          <w:p w14:paraId="704AB665" w14:textId="77777777" w:rsidR="003E6F2D" w:rsidRPr="00524EEA" w:rsidRDefault="003E6F2D" w:rsidP="00254D29">
            <w:pPr>
              <w:pStyle w:val="A-TableHeader"/>
              <w:jc w:val="center"/>
              <w:rPr>
                <w:bCs/>
                <w:lang w:val="en-AU"/>
              </w:rPr>
            </w:pPr>
            <w:r w:rsidRPr="00524EEA">
              <w:rPr>
                <w:bCs/>
                <w:lang w:val="en-AU"/>
              </w:rPr>
              <w:t>+ Metformin</w:t>
            </w:r>
            <w:r w:rsidRPr="00524EEA">
              <w:rPr>
                <w:vertAlign w:val="superscript"/>
                <w:lang w:val="en-AU"/>
              </w:rPr>
              <w:t>2</w:t>
            </w:r>
          </w:p>
        </w:tc>
      </w:tr>
      <w:tr w:rsidR="003E6F2D" w:rsidRPr="00524EEA" w14:paraId="17A36C6F" w14:textId="77777777" w:rsidTr="00FD45B6">
        <w:trPr>
          <w:gridBefore w:val="1"/>
          <w:wBefore w:w="59" w:type="pct"/>
          <w:cantSplit/>
          <w:trHeight w:val="145"/>
          <w:tblHeader/>
        </w:trPr>
        <w:tc>
          <w:tcPr>
            <w:tcW w:w="1640" w:type="pct"/>
            <w:vMerge/>
            <w:vAlign w:val="bottom"/>
          </w:tcPr>
          <w:p w14:paraId="3F23FB62" w14:textId="77777777" w:rsidR="003E6F2D" w:rsidRPr="00524EEA" w:rsidRDefault="003E6F2D" w:rsidP="003E6F2D"/>
        </w:tc>
        <w:tc>
          <w:tcPr>
            <w:tcW w:w="859" w:type="pct"/>
          </w:tcPr>
          <w:p w14:paraId="626FB90A" w14:textId="77777777" w:rsidR="003E6F2D" w:rsidRPr="00524EEA" w:rsidRDefault="003E6F2D" w:rsidP="00254D29">
            <w:pPr>
              <w:pStyle w:val="A-TableHeader"/>
              <w:jc w:val="center"/>
              <w:rPr>
                <w:bCs/>
                <w:lang w:val="en-AU"/>
              </w:rPr>
            </w:pPr>
            <w:proofErr w:type="spellStart"/>
            <w:r w:rsidRPr="00524EEA">
              <w:rPr>
                <w:bCs/>
                <w:lang w:val="en-AU"/>
              </w:rPr>
              <w:t>Dapagliflozin</w:t>
            </w:r>
            <w:proofErr w:type="spellEnd"/>
          </w:p>
          <w:p w14:paraId="731A97AF" w14:textId="77777777" w:rsidR="003E6F2D" w:rsidRPr="00524EEA" w:rsidRDefault="003E6F2D" w:rsidP="00254D29">
            <w:pPr>
              <w:pStyle w:val="A-TableHeader"/>
              <w:jc w:val="center"/>
              <w:rPr>
                <w:bCs/>
                <w:lang w:val="en-AU"/>
              </w:rPr>
            </w:pPr>
            <w:r w:rsidRPr="00524EEA">
              <w:rPr>
                <w:bCs/>
                <w:lang w:val="en-AU"/>
              </w:rPr>
              <w:t>10 mg</w:t>
            </w:r>
          </w:p>
        </w:tc>
        <w:tc>
          <w:tcPr>
            <w:tcW w:w="787" w:type="pct"/>
          </w:tcPr>
          <w:p w14:paraId="5E3A19B8" w14:textId="77777777" w:rsidR="003E6F2D" w:rsidRPr="00524EEA" w:rsidRDefault="003E6F2D" w:rsidP="00254D29">
            <w:pPr>
              <w:pStyle w:val="A-TableHeader"/>
              <w:jc w:val="center"/>
              <w:rPr>
                <w:bCs/>
                <w:lang w:val="en-AU"/>
              </w:rPr>
            </w:pPr>
            <w:r w:rsidRPr="00524EEA">
              <w:rPr>
                <w:bCs/>
                <w:lang w:val="en-AU"/>
              </w:rPr>
              <w:t>Placebo</w:t>
            </w:r>
          </w:p>
          <w:p w14:paraId="75F99F80" w14:textId="77777777" w:rsidR="003E6F2D" w:rsidRPr="00524EEA" w:rsidRDefault="003E6F2D" w:rsidP="00254D29">
            <w:pPr>
              <w:pStyle w:val="A-TableHeader"/>
              <w:jc w:val="center"/>
              <w:rPr>
                <w:bCs/>
                <w:lang w:val="en-AU"/>
              </w:rPr>
            </w:pPr>
          </w:p>
        </w:tc>
        <w:tc>
          <w:tcPr>
            <w:tcW w:w="859" w:type="pct"/>
          </w:tcPr>
          <w:p w14:paraId="0468F4C7" w14:textId="77777777" w:rsidR="003E6F2D" w:rsidRPr="00524EEA" w:rsidRDefault="003E6F2D" w:rsidP="00254D29">
            <w:pPr>
              <w:pStyle w:val="A-TableHeader"/>
              <w:jc w:val="center"/>
              <w:rPr>
                <w:bCs/>
                <w:lang w:val="en-AU"/>
              </w:rPr>
            </w:pPr>
            <w:proofErr w:type="spellStart"/>
            <w:r w:rsidRPr="00524EEA">
              <w:rPr>
                <w:bCs/>
                <w:lang w:val="en-AU"/>
              </w:rPr>
              <w:t>Dapagliflozin</w:t>
            </w:r>
            <w:proofErr w:type="spellEnd"/>
          </w:p>
          <w:p w14:paraId="498332C3" w14:textId="77777777" w:rsidR="003E6F2D" w:rsidRPr="00524EEA" w:rsidRDefault="003E6F2D" w:rsidP="00254D29">
            <w:pPr>
              <w:pStyle w:val="A-TableHeader"/>
              <w:jc w:val="center"/>
              <w:rPr>
                <w:bCs/>
                <w:lang w:val="en-AU"/>
              </w:rPr>
            </w:pPr>
            <w:r w:rsidRPr="00524EEA">
              <w:rPr>
                <w:bCs/>
                <w:lang w:val="en-AU"/>
              </w:rPr>
              <w:t>10 mg</w:t>
            </w:r>
          </w:p>
        </w:tc>
        <w:tc>
          <w:tcPr>
            <w:tcW w:w="796" w:type="pct"/>
            <w:gridSpan w:val="2"/>
          </w:tcPr>
          <w:p w14:paraId="493F2CB8" w14:textId="77777777" w:rsidR="003E6F2D" w:rsidRPr="00524EEA" w:rsidRDefault="003E6F2D" w:rsidP="00254D29">
            <w:pPr>
              <w:pStyle w:val="A-TableHeader"/>
              <w:jc w:val="center"/>
              <w:rPr>
                <w:bCs/>
                <w:lang w:val="en-AU"/>
              </w:rPr>
            </w:pPr>
            <w:r w:rsidRPr="00524EEA">
              <w:rPr>
                <w:bCs/>
                <w:lang w:val="en-AU"/>
              </w:rPr>
              <w:t>Placebo</w:t>
            </w:r>
          </w:p>
        </w:tc>
      </w:tr>
      <w:tr w:rsidR="003E6F2D" w:rsidRPr="00524EEA" w14:paraId="241B4943" w14:textId="77777777" w:rsidTr="00FD45B6">
        <w:trPr>
          <w:gridBefore w:val="1"/>
          <w:wBefore w:w="59" w:type="pct"/>
          <w:trHeight w:val="145"/>
          <w:tblHeader/>
        </w:trPr>
        <w:tc>
          <w:tcPr>
            <w:tcW w:w="1640" w:type="pct"/>
          </w:tcPr>
          <w:p w14:paraId="73838CC7" w14:textId="77777777" w:rsidR="003E6F2D" w:rsidRPr="00524EEA" w:rsidRDefault="003E6F2D" w:rsidP="00254D29">
            <w:pPr>
              <w:pStyle w:val="A-TableText"/>
              <w:rPr>
                <w:b/>
                <w:lang w:val="en-AU"/>
              </w:rPr>
            </w:pPr>
            <w:r w:rsidRPr="00524EEA">
              <w:rPr>
                <w:b/>
                <w:lang w:val="en-AU"/>
              </w:rPr>
              <w:t>N</w:t>
            </w:r>
            <w:r w:rsidRPr="00524EEA">
              <w:rPr>
                <w:b/>
                <w:vertAlign w:val="superscript"/>
                <w:lang w:val="en-AU"/>
              </w:rPr>
              <w:t>a</w:t>
            </w:r>
          </w:p>
        </w:tc>
        <w:tc>
          <w:tcPr>
            <w:tcW w:w="859" w:type="pct"/>
          </w:tcPr>
          <w:p w14:paraId="18BC9FD0" w14:textId="77777777" w:rsidR="003E6F2D" w:rsidRPr="00524EEA" w:rsidRDefault="003E6F2D" w:rsidP="00254D29">
            <w:pPr>
              <w:pStyle w:val="A-TableText"/>
              <w:jc w:val="center"/>
              <w:rPr>
                <w:lang w:val="en-AU"/>
              </w:rPr>
            </w:pPr>
            <w:r w:rsidRPr="00524EEA">
              <w:rPr>
                <w:lang w:val="en-AU"/>
              </w:rPr>
              <w:t>151</w:t>
            </w:r>
          </w:p>
        </w:tc>
        <w:tc>
          <w:tcPr>
            <w:tcW w:w="787" w:type="pct"/>
          </w:tcPr>
          <w:p w14:paraId="174BA93C" w14:textId="77777777" w:rsidR="003E6F2D" w:rsidRPr="00524EEA" w:rsidRDefault="003E6F2D" w:rsidP="00254D29">
            <w:pPr>
              <w:pStyle w:val="A-TableText"/>
              <w:jc w:val="center"/>
              <w:rPr>
                <w:lang w:val="en-AU"/>
              </w:rPr>
            </w:pPr>
            <w:r w:rsidRPr="00524EEA">
              <w:rPr>
                <w:lang w:val="en-AU"/>
              </w:rPr>
              <w:t>145</w:t>
            </w:r>
          </w:p>
        </w:tc>
        <w:tc>
          <w:tcPr>
            <w:tcW w:w="859" w:type="pct"/>
          </w:tcPr>
          <w:p w14:paraId="4CA81EE4" w14:textId="77777777" w:rsidR="003E6F2D" w:rsidRPr="00524EEA" w:rsidRDefault="003E6F2D" w:rsidP="00254D29">
            <w:pPr>
              <w:pStyle w:val="A-TableText"/>
              <w:jc w:val="center"/>
              <w:rPr>
                <w:lang w:val="en-AU"/>
              </w:rPr>
            </w:pPr>
            <w:r w:rsidRPr="00524EEA">
              <w:rPr>
                <w:lang w:val="en-AU"/>
              </w:rPr>
              <w:t>108</w:t>
            </w:r>
          </w:p>
        </w:tc>
        <w:tc>
          <w:tcPr>
            <w:tcW w:w="796" w:type="pct"/>
            <w:gridSpan w:val="2"/>
          </w:tcPr>
          <w:p w14:paraId="68B5DE3A" w14:textId="77777777" w:rsidR="003E6F2D" w:rsidRPr="00524EEA" w:rsidRDefault="003E6F2D" w:rsidP="00254D29">
            <w:pPr>
              <w:pStyle w:val="A-TableText"/>
              <w:jc w:val="center"/>
              <w:rPr>
                <w:lang w:val="en-AU"/>
              </w:rPr>
            </w:pPr>
            <w:r w:rsidRPr="00524EEA">
              <w:rPr>
                <w:lang w:val="en-AU"/>
              </w:rPr>
              <w:t>108</w:t>
            </w:r>
          </w:p>
        </w:tc>
      </w:tr>
      <w:tr w:rsidR="003E6F2D" w:rsidRPr="00524EEA" w14:paraId="2D896432" w14:textId="77777777" w:rsidTr="00FD45B6">
        <w:trPr>
          <w:gridBefore w:val="1"/>
          <w:wBefore w:w="59" w:type="pct"/>
          <w:cantSplit/>
          <w:trHeight w:val="962"/>
          <w:tblHeader/>
        </w:trPr>
        <w:tc>
          <w:tcPr>
            <w:tcW w:w="1640" w:type="pct"/>
          </w:tcPr>
          <w:p w14:paraId="45D66249" w14:textId="77777777" w:rsidR="003E6F2D" w:rsidRPr="00524EEA" w:rsidRDefault="003E6F2D" w:rsidP="00254D29">
            <w:pPr>
              <w:pStyle w:val="A-TableText"/>
              <w:rPr>
                <w:b/>
                <w:lang w:val="en-AU"/>
              </w:rPr>
            </w:pPr>
            <w:r w:rsidRPr="00524EEA">
              <w:rPr>
                <w:b/>
                <w:lang w:val="en-AU"/>
              </w:rPr>
              <w:t>HbA1c (%)</w:t>
            </w:r>
            <w:r w:rsidRPr="00524EEA">
              <w:rPr>
                <w:vertAlign w:val="superscript"/>
                <w:lang w:val="en-AU"/>
              </w:rPr>
              <w:t>b</w:t>
            </w:r>
          </w:p>
          <w:p w14:paraId="4C856748" w14:textId="77777777" w:rsidR="003E6F2D" w:rsidRPr="00524EEA" w:rsidRDefault="003E6F2D" w:rsidP="00254D29">
            <w:pPr>
              <w:pStyle w:val="A-TableText"/>
              <w:rPr>
                <w:lang w:val="en-AU"/>
              </w:rPr>
            </w:pPr>
            <w:r w:rsidRPr="00524EEA">
              <w:rPr>
                <w:lang w:val="en-AU"/>
              </w:rPr>
              <w:t>Baseline (mean)</w:t>
            </w:r>
          </w:p>
          <w:p w14:paraId="34D80A0D" w14:textId="77777777" w:rsidR="003E6F2D" w:rsidRPr="00524EEA" w:rsidRDefault="003E6F2D" w:rsidP="00254D29">
            <w:pPr>
              <w:pStyle w:val="A-TableText"/>
              <w:rPr>
                <w:lang w:val="en-AU"/>
              </w:rPr>
            </w:pPr>
            <w:r w:rsidRPr="00524EEA">
              <w:rPr>
                <w:lang w:val="en-AU"/>
              </w:rPr>
              <w:t xml:space="preserve">Change from </w:t>
            </w:r>
            <w:proofErr w:type="spellStart"/>
            <w:r w:rsidRPr="00524EEA">
              <w:rPr>
                <w:lang w:val="en-AU"/>
              </w:rPr>
              <w:t>Baseline</w:t>
            </w:r>
            <w:r w:rsidRPr="00524EEA">
              <w:rPr>
                <w:vertAlign w:val="superscript"/>
                <w:lang w:val="en-AU"/>
              </w:rPr>
              <w:t>c</w:t>
            </w:r>
            <w:proofErr w:type="spellEnd"/>
          </w:p>
          <w:p w14:paraId="5F0666D8" w14:textId="77777777" w:rsidR="003E6F2D" w:rsidRPr="00524EEA" w:rsidRDefault="003E6F2D" w:rsidP="00254D29">
            <w:pPr>
              <w:pStyle w:val="A-TableText"/>
              <w:rPr>
                <w:lang w:val="en-AU"/>
              </w:rPr>
            </w:pPr>
            <w:r w:rsidRPr="00524EEA">
              <w:rPr>
                <w:lang w:val="en-AU"/>
              </w:rPr>
              <w:t xml:space="preserve">Difference from </w:t>
            </w:r>
            <w:proofErr w:type="spellStart"/>
            <w:r w:rsidRPr="00524EEA">
              <w:rPr>
                <w:lang w:val="en-AU"/>
              </w:rPr>
              <w:t>Placebo</w:t>
            </w:r>
            <w:r w:rsidRPr="00524EEA">
              <w:rPr>
                <w:vertAlign w:val="superscript"/>
                <w:lang w:val="en-AU"/>
              </w:rPr>
              <w:t>c</w:t>
            </w:r>
            <w:proofErr w:type="spellEnd"/>
          </w:p>
          <w:p w14:paraId="13A4494F" w14:textId="77777777" w:rsidR="003E6F2D" w:rsidRPr="00524EEA" w:rsidRDefault="003E6F2D" w:rsidP="00254D29">
            <w:pPr>
              <w:pStyle w:val="A-TableText"/>
              <w:rPr>
                <w:lang w:val="en-AU"/>
              </w:rPr>
            </w:pPr>
            <w:r w:rsidRPr="00524EEA">
              <w:rPr>
                <w:lang w:val="en-AU"/>
              </w:rPr>
              <w:t xml:space="preserve">    (95% CI)</w:t>
            </w:r>
          </w:p>
        </w:tc>
        <w:tc>
          <w:tcPr>
            <w:tcW w:w="859" w:type="pct"/>
          </w:tcPr>
          <w:p w14:paraId="209D1133" w14:textId="77777777" w:rsidR="003E6F2D" w:rsidRPr="00524EEA" w:rsidRDefault="003E6F2D" w:rsidP="00254D29">
            <w:pPr>
              <w:pStyle w:val="A-TableText"/>
              <w:jc w:val="center"/>
              <w:rPr>
                <w:lang w:val="en-AU"/>
              </w:rPr>
            </w:pPr>
          </w:p>
          <w:p w14:paraId="44A99F87" w14:textId="77777777" w:rsidR="003E6F2D" w:rsidRPr="00524EEA" w:rsidRDefault="003E6F2D" w:rsidP="00254D29">
            <w:pPr>
              <w:pStyle w:val="A-TableText"/>
              <w:jc w:val="center"/>
              <w:rPr>
                <w:lang w:val="en-AU"/>
              </w:rPr>
            </w:pPr>
            <w:r w:rsidRPr="00524EEA">
              <w:rPr>
                <w:lang w:val="en-AU"/>
              </w:rPr>
              <w:t>8.07</w:t>
            </w:r>
          </w:p>
          <w:p w14:paraId="3A59DB41" w14:textId="77777777" w:rsidR="003E6F2D" w:rsidRPr="00524EEA" w:rsidRDefault="003E6F2D" w:rsidP="00254D29">
            <w:pPr>
              <w:pStyle w:val="A-TableText"/>
              <w:jc w:val="center"/>
              <w:rPr>
                <w:lang w:val="en-AU"/>
              </w:rPr>
            </w:pPr>
            <w:r w:rsidRPr="00524EEA">
              <w:rPr>
                <w:lang w:val="en-AU"/>
              </w:rPr>
              <w:noBreakHyphen/>
              <w:t>0.82</w:t>
            </w:r>
          </w:p>
          <w:p w14:paraId="243D24F5" w14:textId="77777777" w:rsidR="003E6F2D" w:rsidRPr="00524EEA" w:rsidRDefault="003E6F2D" w:rsidP="00254D29">
            <w:pPr>
              <w:pStyle w:val="A-TableText"/>
              <w:jc w:val="center"/>
              <w:rPr>
                <w:lang w:val="en-AU"/>
              </w:rPr>
            </w:pPr>
            <w:r w:rsidRPr="00524EEA">
              <w:rPr>
                <w:lang w:val="en-AU"/>
              </w:rPr>
              <w:noBreakHyphen/>
              <w:t>0.68*</w:t>
            </w:r>
          </w:p>
          <w:p w14:paraId="58BF8466" w14:textId="77777777" w:rsidR="003E6F2D" w:rsidRPr="00524EEA" w:rsidRDefault="003E6F2D" w:rsidP="00254D29">
            <w:pPr>
              <w:pStyle w:val="A-TableText"/>
              <w:jc w:val="center"/>
              <w:rPr>
                <w:lang w:val="en-AU"/>
              </w:rPr>
            </w:pPr>
            <w:r w:rsidRPr="00524EEA">
              <w:rPr>
                <w:lang w:val="en-AU"/>
              </w:rPr>
              <w:t>(</w:t>
            </w:r>
            <w:r w:rsidRPr="00524EEA">
              <w:rPr>
                <w:lang w:val="en-AU"/>
              </w:rPr>
              <w:noBreakHyphen/>
              <w:t xml:space="preserve">0.86, </w:t>
            </w:r>
            <w:r w:rsidRPr="00524EEA">
              <w:rPr>
                <w:lang w:val="en-AU"/>
              </w:rPr>
              <w:noBreakHyphen/>
              <w:t>0.51)</w:t>
            </w:r>
          </w:p>
        </w:tc>
        <w:tc>
          <w:tcPr>
            <w:tcW w:w="787" w:type="pct"/>
          </w:tcPr>
          <w:p w14:paraId="46471C23" w14:textId="77777777" w:rsidR="003E6F2D" w:rsidRPr="00524EEA" w:rsidRDefault="003E6F2D" w:rsidP="00254D29">
            <w:pPr>
              <w:pStyle w:val="A-TableText"/>
              <w:jc w:val="center"/>
              <w:rPr>
                <w:lang w:val="en-AU"/>
              </w:rPr>
            </w:pPr>
          </w:p>
          <w:p w14:paraId="310F57D0" w14:textId="77777777" w:rsidR="003E6F2D" w:rsidRPr="00524EEA" w:rsidRDefault="003E6F2D" w:rsidP="00254D29">
            <w:pPr>
              <w:pStyle w:val="A-TableText"/>
              <w:jc w:val="center"/>
              <w:rPr>
                <w:lang w:val="en-AU"/>
              </w:rPr>
            </w:pPr>
            <w:r w:rsidRPr="00524EEA">
              <w:rPr>
                <w:lang w:val="en-AU"/>
              </w:rPr>
              <w:t>8.15</w:t>
            </w:r>
          </w:p>
          <w:p w14:paraId="34A88C06" w14:textId="77777777" w:rsidR="003E6F2D" w:rsidRPr="00524EEA" w:rsidRDefault="003E6F2D" w:rsidP="00254D29">
            <w:pPr>
              <w:pStyle w:val="A-TableText"/>
              <w:jc w:val="center"/>
              <w:rPr>
                <w:lang w:val="en-AU"/>
              </w:rPr>
            </w:pPr>
            <w:r w:rsidRPr="00524EEA">
              <w:rPr>
                <w:lang w:val="en-AU"/>
              </w:rPr>
              <w:noBreakHyphen/>
              <w:t>0.13</w:t>
            </w:r>
          </w:p>
        </w:tc>
        <w:tc>
          <w:tcPr>
            <w:tcW w:w="859" w:type="pct"/>
          </w:tcPr>
          <w:p w14:paraId="41108444" w14:textId="77777777" w:rsidR="003E6F2D" w:rsidRPr="00524EEA" w:rsidRDefault="003E6F2D" w:rsidP="00254D29">
            <w:pPr>
              <w:pStyle w:val="A-TableText"/>
              <w:jc w:val="center"/>
              <w:rPr>
                <w:lang w:val="en-AU"/>
              </w:rPr>
            </w:pPr>
          </w:p>
          <w:p w14:paraId="31AF067C" w14:textId="77777777" w:rsidR="003E6F2D" w:rsidRPr="00524EEA" w:rsidRDefault="003E6F2D" w:rsidP="00254D29">
            <w:pPr>
              <w:pStyle w:val="A-TableText"/>
              <w:jc w:val="center"/>
              <w:rPr>
                <w:lang w:val="en-AU"/>
              </w:rPr>
            </w:pPr>
            <w:r w:rsidRPr="00524EEA">
              <w:rPr>
                <w:lang w:val="en-AU"/>
              </w:rPr>
              <w:t>8.08</w:t>
            </w:r>
          </w:p>
          <w:p w14:paraId="22989E76" w14:textId="77777777" w:rsidR="003E6F2D" w:rsidRPr="00524EEA" w:rsidRDefault="003E6F2D" w:rsidP="00254D29">
            <w:pPr>
              <w:pStyle w:val="A-TableText"/>
              <w:jc w:val="center"/>
              <w:rPr>
                <w:lang w:val="en-AU"/>
              </w:rPr>
            </w:pPr>
            <w:r w:rsidRPr="00524EEA">
              <w:rPr>
                <w:lang w:val="en-AU"/>
              </w:rPr>
              <w:noBreakHyphen/>
              <w:t>0.86</w:t>
            </w:r>
          </w:p>
          <w:p w14:paraId="296FA32B" w14:textId="0B685568" w:rsidR="00254D29" w:rsidRPr="00524EEA" w:rsidRDefault="009173DC" w:rsidP="00254D29">
            <w:pPr>
              <w:pStyle w:val="A-TableText"/>
              <w:jc w:val="center"/>
              <w:rPr>
                <w:lang w:val="en-AU"/>
              </w:rPr>
            </w:pPr>
            <w:r w:rsidRPr="00524EEA">
              <w:rPr>
                <w:lang w:val="en-AU"/>
              </w:rPr>
              <w:t>-</w:t>
            </w:r>
            <w:r w:rsidR="003E6F2D" w:rsidRPr="00524EEA">
              <w:rPr>
                <w:lang w:val="en-AU"/>
              </w:rPr>
              <w:t>0.69*</w:t>
            </w:r>
          </w:p>
          <w:p w14:paraId="5403DF6C" w14:textId="5604A635" w:rsidR="003E6F2D" w:rsidRPr="00524EEA" w:rsidRDefault="003E6F2D" w:rsidP="00254D29">
            <w:pPr>
              <w:pStyle w:val="A-TableText"/>
              <w:jc w:val="center"/>
              <w:rPr>
                <w:lang w:val="en-AU"/>
              </w:rPr>
            </w:pPr>
            <w:r w:rsidRPr="00524EEA">
              <w:rPr>
                <w:lang w:val="en-AU"/>
              </w:rPr>
              <w:t>(</w:t>
            </w:r>
            <w:r w:rsidR="009173DC" w:rsidRPr="00524EEA">
              <w:rPr>
                <w:lang w:val="en-AU"/>
              </w:rPr>
              <w:t>-</w:t>
            </w:r>
            <w:r w:rsidRPr="00524EEA">
              <w:rPr>
                <w:lang w:val="en-AU"/>
              </w:rPr>
              <w:t xml:space="preserve">0.89, </w:t>
            </w:r>
            <w:r w:rsidR="009173DC" w:rsidRPr="00524EEA">
              <w:rPr>
                <w:lang w:val="en-AU"/>
              </w:rPr>
              <w:t>-</w:t>
            </w:r>
            <w:r w:rsidRPr="00524EEA">
              <w:rPr>
                <w:lang w:val="en-AU"/>
              </w:rPr>
              <w:t>0.49)</w:t>
            </w:r>
          </w:p>
        </w:tc>
        <w:tc>
          <w:tcPr>
            <w:tcW w:w="796" w:type="pct"/>
            <w:gridSpan w:val="2"/>
          </w:tcPr>
          <w:p w14:paraId="339F01CF" w14:textId="77777777" w:rsidR="003E6F2D" w:rsidRPr="00524EEA" w:rsidRDefault="003E6F2D" w:rsidP="00254D29">
            <w:pPr>
              <w:pStyle w:val="A-TableText"/>
              <w:jc w:val="center"/>
              <w:rPr>
                <w:lang w:val="en-AU"/>
              </w:rPr>
            </w:pPr>
          </w:p>
          <w:p w14:paraId="7615384A" w14:textId="77777777" w:rsidR="003E6F2D" w:rsidRPr="00524EEA" w:rsidRDefault="003E6F2D" w:rsidP="00254D29">
            <w:pPr>
              <w:pStyle w:val="A-TableText"/>
              <w:jc w:val="center"/>
              <w:rPr>
                <w:lang w:val="en-AU"/>
              </w:rPr>
            </w:pPr>
            <w:r w:rsidRPr="00524EEA">
              <w:rPr>
                <w:lang w:val="en-AU"/>
              </w:rPr>
              <w:t>8.24</w:t>
            </w:r>
          </w:p>
          <w:p w14:paraId="271D63C6" w14:textId="77777777" w:rsidR="003E6F2D" w:rsidRPr="00524EEA" w:rsidRDefault="003E6F2D" w:rsidP="00254D29">
            <w:pPr>
              <w:pStyle w:val="A-TableText"/>
              <w:jc w:val="center"/>
              <w:rPr>
                <w:lang w:val="en-AU"/>
              </w:rPr>
            </w:pPr>
            <w:r w:rsidRPr="00524EEA">
              <w:rPr>
                <w:lang w:val="en-AU"/>
              </w:rPr>
              <w:noBreakHyphen/>
              <w:t>0.17</w:t>
            </w:r>
          </w:p>
        </w:tc>
      </w:tr>
      <w:tr w:rsidR="003E6F2D" w:rsidRPr="00524EEA" w14:paraId="549675A2" w14:textId="77777777" w:rsidTr="00FD45B6">
        <w:trPr>
          <w:gridBefore w:val="1"/>
          <w:wBefore w:w="59" w:type="pct"/>
          <w:cantSplit/>
          <w:trHeight w:val="722"/>
          <w:tblHeader/>
        </w:trPr>
        <w:tc>
          <w:tcPr>
            <w:tcW w:w="1640" w:type="pct"/>
          </w:tcPr>
          <w:p w14:paraId="0AD58DA9" w14:textId="77777777" w:rsidR="003E6F2D" w:rsidRPr="00524EEA" w:rsidRDefault="003E6F2D" w:rsidP="00254D29">
            <w:pPr>
              <w:pStyle w:val="A-TableText"/>
              <w:rPr>
                <w:b/>
                <w:lang w:val="en-AU"/>
              </w:rPr>
            </w:pPr>
            <w:r w:rsidRPr="00524EEA">
              <w:rPr>
                <w:b/>
                <w:lang w:val="en-AU"/>
              </w:rPr>
              <w:t>Subjects (%) achieving:</w:t>
            </w:r>
          </w:p>
          <w:p w14:paraId="3DA8486A" w14:textId="77777777" w:rsidR="003E6F2D" w:rsidRPr="00524EEA" w:rsidRDefault="003E6F2D" w:rsidP="00254D29">
            <w:pPr>
              <w:pStyle w:val="A-TableText"/>
              <w:rPr>
                <w:b/>
                <w:lang w:val="en-AU"/>
              </w:rPr>
            </w:pPr>
            <w:r w:rsidRPr="00524EEA">
              <w:rPr>
                <w:b/>
                <w:lang w:val="en-AU"/>
              </w:rPr>
              <w:t>HbA1c &lt; 7% (LOCF)</w:t>
            </w:r>
            <w:r w:rsidRPr="00524EEA">
              <w:rPr>
                <w:vertAlign w:val="superscript"/>
                <w:lang w:val="en-AU"/>
              </w:rPr>
              <w:t>d</w:t>
            </w:r>
          </w:p>
          <w:p w14:paraId="7BEED0F0" w14:textId="77777777" w:rsidR="003E6F2D" w:rsidRPr="00524EEA" w:rsidRDefault="003E6F2D" w:rsidP="00254D29">
            <w:pPr>
              <w:pStyle w:val="A-TableText"/>
              <w:rPr>
                <w:lang w:val="en-AU"/>
              </w:rPr>
            </w:pPr>
            <w:r w:rsidRPr="00524EEA">
              <w:rPr>
                <w:lang w:val="en-AU"/>
              </w:rPr>
              <w:t>Adjusted for baseline</w:t>
            </w:r>
          </w:p>
        </w:tc>
        <w:tc>
          <w:tcPr>
            <w:tcW w:w="859" w:type="pct"/>
          </w:tcPr>
          <w:p w14:paraId="13D27D81" w14:textId="77777777" w:rsidR="003E6F2D" w:rsidRPr="00524EEA" w:rsidRDefault="003E6F2D" w:rsidP="00254D29">
            <w:pPr>
              <w:pStyle w:val="A-TableText"/>
              <w:jc w:val="center"/>
              <w:rPr>
                <w:lang w:val="en-AU"/>
              </w:rPr>
            </w:pPr>
          </w:p>
          <w:p w14:paraId="0D256A26" w14:textId="77777777" w:rsidR="003E6F2D" w:rsidRPr="00524EEA" w:rsidRDefault="003E6F2D" w:rsidP="00254D29">
            <w:pPr>
              <w:pStyle w:val="A-TableText"/>
              <w:jc w:val="center"/>
              <w:rPr>
                <w:lang w:val="en-AU"/>
              </w:rPr>
            </w:pPr>
          </w:p>
          <w:p w14:paraId="6F65F4B1" w14:textId="77777777" w:rsidR="003E6F2D" w:rsidRPr="00524EEA" w:rsidRDefault="003E6F2D" w:rsidP="00254D29">
            <w:pPr>
              <w:pStyle w:val="A-TableText"/>
              <w:jc w:val="center"/>
              <w:rPr>
                <w:lang w:val="en-AU"/>
              </w:rPr>
            </w:pPr>
            <w:r w:rsidRPr="00524EEA">
              <w:rPr>
                <w:lang w:val="en-AU"/>
              </w:rPr>
              <w:t>31.7*</w:t>
            </w:r>
          </w:p>
        </w:tc>
        <w:tc>
          <w:tcPr>
            <w:tcW w:w="787" w:type="pct"/>
          </w:tcPr>
          <w:p w14:paraId="35690FAE" w14:textId="77777777" w:rsidR="003E6F2D" w:rsidRPr="00524EEA" w:rsidRDefault="003E6F2D" w:rsidP="00254D29">
            <w:pPr>
              <w:pStyle w:val="A-TableText"/>
              <w:jc w:val="center"/>
              <w:rPr>
                <w:lang w:val="en-AU"/>
              </w:rPr>
            </w:pPr>
          </w:p>
          <w:p w14:paraId="1A8B56E9" w14:textId="77777777" w:rsidR="003E6F2D" w:rsidRPr="00524EEA" w:rsidRDefault="003E6F2D" w:rsidP="00254D29">
            <w:pPr>
              <w:pStyle w:val="A-TableText"/>
              <w:jc w:val="center"/>
              <w:rPr>
                <w:lang w:val="en-AU"/>
              </w:rPr>
            </w:pPr>
          </w:p>
          <w:p w14:paraId="6E91F42B" w14:textId="77777777" w:rsidR="003E6F2D" w:rsidRPr="00524EEA" w:rsidRDefault="003E6F2D" w:rsidP="00254D29">
            <w:pPr>
              <w:pStyle w:val="A-TableText"/>
              <w:jc w:val="center"/>
              <w:rPr>
                <w:lang w:val="en-AU"/>
              </w:rPr>
            </w:pPr>
            <w:r w:rsidRPr="00524EEA">
              <w:rPr>
                <w:lang w:val="en-AU"/>
              </w:rPr>
              <w:t>13.0</w:t>
            </w:r>
          </w:p>
        </w:tc>
        <w:tc>
          <w:tcPr>
            <w:tcW w:w="859" w:type="pct"/>
          </w:tcPr>
          <w:p w14:paraId="7051196B" w14:textId="77777777" w:rsidR="003E6F2D" w:rsidRPr="00524EEA" w:rsidRDefault="003E6F2D" w:rsidP="00254D29">
            <w:pPr>
              <w:pStyle w:val="A-TableText"/>
              <w:jc w:val="center"/>
              <w:rPr>
                <w:lang w:val="en-AU"/>
              </w:rPr>
            </w:pPr>
          </w:p>
          <w:p w14:paraId="72490B30" w14:textId="77777777" w:rsidR="003E6F2D" w:rsidRPr="00524EEA" w:rsidRDefault="003E6F2D" w:rsidP="00254D29">
            <w:pPr>
              <w:pStyle w:val="A-TableText"/>
              <w:jc w:val="center"/>
              <w:rPr>
                <w:lang w:val="en-AU"/>
              </w:rPr>
            </w:pPr>
          </w:p>
          <w:p w14:paraId="773F313C" w14:textId="77777777" w:rsidR="003E6F2D" w:rsidRPr="00524EEA" w:rsidRDefault="003E6F2D" w:rsidP="00254D29">
            <w:pPr>
              <w:pStyle w:val="A-TableText"/>
              <w:jc w:val="center"/>
              <w:rPr>
                <w:lang w:val="en-AU"/>
              </w:rPr>
            </w:pPr>
            <w:r w:rsidRPr="00524EEA">
              <w:rPr>
                <w:lang w:val="en-AU"/>
              </w:rPr>
              <w:t>31.8*</w:t>
            </w:r>
          </w:p>
        </w:tc>
        <w:tc>
          <w:tcPr>
            <w:tcW w:w="796" w:type="pct"/>
            <w:gridSpan w:val="2"/>
          </w:tcPr>
          <w:p w14:paraId="4E50D44A" w14:textId="77777777" w:rsidR="003E6F2D" w:rsidRPr="00524EEA" w:rsidRDefault="003E6F2D" w:rsidP="00254D29">
            <w:pPr>
              <w:pStyle w:val="A-TableText"/>
              <w:jc w:val="center"/>
              <w:rPr>
                <w:lang w:val="en-AU"/>
              </w:rPr>
            </w:pPr>
          </w:p>
          <w:p w14:paraId="0DED00B7" w14:textId="77777777" w:rsidR="003E6F2D" w:rsidRPr="00524EEA" w:rsidRDefault="003E6F2D" w:rsidP="00254D29">
            <w:pPr>
              <w:pStyle w:val="A-TableText"/>
              <w:jc w:val="center"/>
              <w:rPr>
                <w:lang w:val="en-AU"/>
              </w:rPr>
            </w:pPr>
          </w:p>
          <w:p w14:paraId="58411A30" w14:textId="77777777" w:rsidR="003E6F2D" w:rsidRPr="00524EEA" w:rsidRDefault="003E6F2D" w:rsidP="00254D29">
            <w:pPr>
              <w:pStyle w:val="A-TableText"/>
              <w:jc w:val="center"/>
              <w:rPr>
                <w:lang w:val="en-AU"/>
              </w:rPr>
            </w:pPr>
            <w:r w:rsidRPr="00524EEA">
              <w:rPr>
                <w:lang w:val="en-AU"/>
              </w:rPr>
              <w:t>11.1</w:t>
            </w:r>
          </w:p>
        </w:tc>
      </w:tr>
      <w:tr w:rsidR="003E6F2D" w:rsidRPr="00524EEA" w14:paraId="2783D47C" w14:textId="77777777" w:rsidTr="00FD45B6">
        <w:trPr>
          <w:gridBefore w:val="1"/>
          <w:wBefore w:w="59" w:type="pct"/>
          <w:trHeight w:val="145"/>
          <w:tblHeader/>
        </w:trPr>
        <w:tc>
          <w:tcPr>
            <w:tcW w:w="1640" w:type="pct"/>
            <w:tcBorders>
              <w:bottom w:val="single" w:sz="4" w:space="0" w:color="auto"/>
            </w:tcBorders>
          </w:tcPr>
          <w:p w14:paraId="2B2BABA8" w14:textId="77777777" w:rsidR="003E6F2D" w:rsidRPr="00524EEA" w:rsidRDefault="003E6F2D" w:rsidP="00254D29">
            <w:pPr>
              <w:pStyle w:val="A-TableText"/>
              <w:rPr>
                <w:b/>
                <w:lang w:val="en-AU"/>
              </w:rPr>
            </w:pPr>
            <w:r w:rsidRPr="00524EEA">
              <w:rPr>
                <w:b/>
                <w:lang w:val="en-AU"/>
              </w:rPr>
              <w:t>Body weight (kg) (LOCF)</w:t>
            </w:r>
            <w:r w:rsidRPr="00524EEA">
              <w:rPr>
                <w:vertAlign w:val="superscript"/>
                <w:lang w:val="en-AU"/>
              </w:rPr>
              <w:t>d</w:t>
            </w:r>
          </w:p>
          <w:p w14:paraId="456523C6" w14:textId="77777777" w:rsidR="003E6F2D" w:rsidRPr="00524EEA" w:rsidRDefault="003E6F2D" w:rsidP="00254D29">
            <w:pPr>
              <w:pStyle w:val="A-TableText"/>
              <w:rPr>
                <w:lang w:val="en-AU"/>
              </w:rPr>
            </w:pPr>
            <w:r w:rsidRPr="00524EEA">
              <w:rPr>
                <w:lang w:val="en-AU"/>
              </w:rPr>
              <w:t>Baseline (mean)</w:t>
            </w:r>
          </w:p>
          <w:p w14:paraId="541A314E" w14:textId="77777777" w:rsidR="003E6F2D" w:rsidRPr="00524EEA" w:rsidRDefault="003E6F2D" w:rsidP="00254D29">
            <w:pPr>
              <w:pStyle w:val="A-TableText"/>
              <w:rPr>
                <w:lang w:val="en-AU"/>
              </w:rPr>
            </w:pPr>
            <w:r w:rsidRPr="00524EEA">
              <w:rPr>
                <w:lang w:val="en-AU"/>
              </w:rPr>
              <w:t xml:space="preserve">Change from </w:t>
            </w:r>
            <w:proofErr w:type="spellStart"/>
            <w:r w:rsidRPr="00524EEA">
              <w:rPr>
                <w:lang w:val="en-AU"/>
              </w:rPr>
              <w:t>Baseline</w:t>
            </w:r>
            <w:r w:rsidRPr="00524EEA">
              <w:rPr>
                <w:vertAlign w:val="superscript"/>
                <w:lang w:val="en-AU"/>
              </w:rPr>
              <w:t>c</w:t>
            </w:r>
            <w:proofErr w:type="spellEnd"/>
          </w:p>
          <w:p w14:paraId="0BE25707" w14:textId="77777777" w:rsidR="003E6F2D" w:rsidRPr="00524EEA" w:rsidRDefault="003E6F2D" w:rsidP="00254D29">
            <w:pPr>
              <w:pStyle w:val="A-TableText"/>
              <w:rPr>
                <w:lang w:val="en-AU"/>
              </w:rPr>
            </w:pPr>
            <w:r w:rsidRPr="00524EEA">
              <w:rPr>
                <w:lang w:val="en-AU"/>
              </w:rPr>
              <w:t xml:space="preserve">Difference from </w:t>
            </w:r>
            <w:proofErr w:type="spellStart"/>
            <w:r w:rsidRPr="00524EEA">
              <w:rPr>
                <w:lang w:val="en-AU"/>
              </w:rPr>
              <w:t>Placebo</w:t>
            </w:r>
            <w:r w:rsidRPr="00524EEA">
              <w:rPr>
                <w:vertAlign w:val="superscript"/>
                <w:lang w:val="en-AU"/>
              </w:rPr>
              <w:t>c</w:t>
            </w:r>
            <w:proofErr w:type="spellEnd"/>
          </w:p>
          <w:p w14:paraId="05316B48" w14:textId="77777777" w:rsidR="003E6F2D" w:rsidRPr="00524EEA" w:rsidRDefault="003E6F2D" w:rsidP="00254D29">
            <w:pPr>
              <w:pStyle w:val="A-TableText"/>
              <w:rPr>
                <w:lang w:val="en-AU"/>
              </w:rPr>
            </w:pPr>
            <w:r w:rsidRPr="00524EEA">
              <w:rPr>
                <w:lang w:val="en-AU"/>
              </w:rPr>
              <w:t xml:space="preserve">    (95% CI)</w:t>
            </w:r>
          </w:p>
        </w:tc>
        <w:tc>
          <w:tcPr>
            <w:tcW w:w="859" w:type="pct"/>
            <w:tcBorders>
              <w:bottom w:val="single" w:sz="4" w:space="0" w:color="auto"/>
            </w:tcBorders>
          </w:tcPr>
          <w:p w14:paraId="53ED646C" w14:textId="77777777" w:rsidR="003E6F2D" w:rsidRPr="00524EEA" w:rsidRDefault="003E6F2D" w:rsidP="00254D29">
            <w:pPr>
              <w:pStyle w:val="A-TableText"/>
              <w:jc w:val="center"/>
              <w:rPr>
                <w:lang w:val="en-AU"/>
              </w:rPr>
            </w:pPr>
          </w:p>
          <w:p w14:paraId="55327713" w14:textId="77777777" w:rsidR="003E6F2D" w:rsidRPr="00524EEA" w:rsidRDefault="003E6F2D" w:rsidP="00254D29">
            <w:pPr>
              <w:pStyle w:val="A-TableText"/>
              <w:jc w:val="center"/>
              <w:rPr>
                <w:lang w:val="en-AU"/>
              </w:rPr>
            </w:pPr>
            <w:r w:rsidRPr="00524EEA">
              <w:rPr>
                <w:lang w:val="en-AU"/>
              </w:rPr>
              <w:t>80.56</w:t>
            </w:r>
          </w:p>
          <w:p w14:paraId="0C0EE6B4" w14:textId="77777777" w:rsidR="003E6F2D" w:rsidRPr="00524EEA" w:rsidRDefault="003E6F2D" w:rsidP="00254D29">
            <w:pPr>
              <w:pStyle w:val="A-TableText"/>
              <w:jc w:val="center"/>
              <w:rPr>
                <w:lang w:val="en-AU"/>
              </w:rPr>
            </w:pPr>
            <w:r w:rsidRPr="00524EEA">
              <w:rPr>
                <w:lang w:val="en-AU"/>
              </w:rPr>
              <w:noBreakHyphen/>
              <w:t>2.26</w:t>
            </w:r>
          </w:p>
          <w:p w14:paraId="32B52FDA" w14:textId="77777777" w:rsidR="003E6F2D" w:rsidRPr="00524EEA" w:rsidRDefault="003E6F2D" w:rsidP="00254D29">
            <w:pPr>
              <w:pStyle w:val="A-TableText"/>
              <w:jc w:val="center"/>
              <w:rPr>
                <w:lang w:val="en-AU"/>
              </w:rPr>
            </w:pPr>
            <w:r w:rsidRPr="00524EEA">
              <w:rPr>
                <w:lang w:val="en-AU"/>
              </w:rPr>
              <w:noBreakHyphen/>
              <w:t>1.54*</w:t>
            </w:r>
          </w:p>
          <w:p w14:paraId="6BF99B54" w14:textId="77777777" w:rsidR="003E6F2D" w:rsidRPr="00524EEA" w:rsidRDefault="003E6F2D" w:rsidP="00254D29">
            <w:pPr>
              <w:pStyle w:val="A-TableText"/>
              <w:jc w:val="center"/>
              <w:rPr>
                <w:lang w:val="en-AU"/>
              </w:rPr>
            </w:pPr>
            <w:r w:rsidRPr="00524EEA">
              <w:rPr>
                <w:lang w:val="en-AU"/>
              </w:rPr>
              <w:t>(</w:t>
            </w:r>
            <w:r w:rsidRPr="00524EEA">
              <w:rPr>
                <w:lang w:val="en-AU"/>
              </w:rPr>
              <w:noBreakHyphen/>
              <w:t xml:space="preserve">2.17, </w:t>
            </w:r>
            <w:r w:rsidRPr="00524EEA">
              <w:rPr>
                <w:lang w:val="en-AU"/>
              </w:rPr>
              <w:noBreakHyphen/>
              <w:t>0.92)</w:t>
            </w:r>
          </w:p>
        </w:tc>
        <w:tc>
          <w:tcPr>
            <w:tcW w:w="787" w:type="pct"/>
            <w:tcBorders>
              <w:bottom w:val="single" w:sz="4" w:space="0" w:color="auto"/>
            </w:tcBorders>
          </w:tcPr>
          <w:p w14:paraId="61C8DD40" w14:textId="77777777" w:rsidR="003E6F2D" w:rsidRPr="00524EEA" w:rsidRDefault="003E6F2D" w:rsidP="00254D29">
            <w:pPr>
              <w:pStyle w:val="A-TableText"/>
              <w:jc w:val="center"/>
              <w:rPr>
                <w:lang w:val="en-AU"/>
              </w:rPr>
            </w:pPr>
          </w:p>
          <w:p w14:paraId="71DCC447" w14:textId="77777777" w:rsidR="003E6F2D" w:rsidRPr="00524EEA" w:rsidRDefault="003E6F2D" w:rsidP="00254D29">
            <w:pPr>
              <w:pStyle w:val="A-TableText"/>
              <w:jc w:val="center"/>
              <w:rPr>
                <w:lang w:val="en-AU"/>
              </w:rPr>
            </w:pPr>
            <w:r w:rsidRPr="00524EEA">
              <w:rPr>
                <w:lang w:val="en-AU"/>
              </w:rPr>
              <w:t>80.94</w:t>
            </w:r>
          </w:p>
          <w:p w14:paraId="3D62C471" w14:textId="77777777" w:rsidR="003E6F2D" w:rsidRPr="00524EEA" w:rsidRDefault="003E6F2D" w:rsidP="00254D29">
            <w:pPr>
              <w:pStyle w:val="A-TableText"/>
              <w:jc w:val="center"/>
              <w:rPr>
                <w:lang w:val="en-AU"/>
              </w:rPr>
            </w:pPr>
            <w:r w:rsidRPr="00524EEA">
              <w:rPr>
                <w:lang w:val="en-AU"/>
              </w:rPr>
              <w:noBreakHyphen/>
              <w:t>0.72</w:t>
            </w:r>
          </w:p>
        </w:tc>
        <w:tc>
          <w:tcPr>
            <w:tcW w:w="859" w:type="pct"/>
            <w:tcBorders>
              <w:bottom w:val="single" w:sz="4" w:space="0" w:color="auto"/>
            </w:tcBorders>
          </w:tcPr>
          <w:p w14:paraId="1116E537" w14:textId="77777777" w:rsidR="003E6F2D" w:rsidRPr="00524EEA" w:rsidRDefault="003E6F2D" w:rsidP="00254D29">
            <w:pPr>
              <w:pStyle w:val="A-TableText"/>
              <w:jc w:val="center"/>
              <w:rPr>
                <w:lang w:val="en-AU"/>
              </w:rPr>
            </w:pPr>
          </w:p>
          <w:p w14:paraId="3664315E" w14:textId="77777777" w:rsidR="003E6F2D" w:rsidRPr="00524EEA" w:rsidRDefault="003E6F2D" w:rsidP="00254D29">
            <w:pPr>
              <w:pStyle w:val="A-TableText"/>
              <w:jc w:val="center"/>
              <w:rPr>
                <w:lang w:val="en-AU"/>
              </w:rPr>
            </w:pPr>
            <w:r w:rsidRPr="00524EEA">
              <w:rPr>
                <w:lang w:val="en-AU"/>
              </w:rPr>
              <w:t>88.57</w:t>
            </w:r>
          </w:p>
          <w:p w14:paraId="3CC6BA71" w14:textId="77777777" w:rsidR="003E6F2D" w:rsidRPr="00524EEA" w:rsidRDefault="003E6F2D" w:rsidP="00254D29">
            <w:pPr>
              <w:pStyle w:val="A-TableText"/>
              <w:jc w:val="center"/>
              <w:rPr>
                <w:lang w:val="en-AU"/>
              </w:rPr>
            </w:pPr>
            <w:r w:rsidRPr="00524EEA">
              <w:rPr>
                <w:lang w:val="en-AU"/>
              </w:rPr>
              <w:noBreakHyphen/>
              <w:t>2.65</w:t>
            </w:r>
          </w:p>
          <w:p w14:paraId="32D6CE81" w14:textId="5A649A58" w:rsidR="00254D29" w:rsidRPr="00524EEA" w:rsidRDefault="009173DC" w:rsidP="00254D29">
            <w:pPr>
              <w:pStyle w:val="A-TableText"/>
              <w:jc w:val="center"/>
              <w:rPr>
                <w:lang w:val="en-AU"/>
              </w:rPr>
            </w:pPr>
            <w:r w:rsidRPr="00524EEA">
              <w:rPr>
                <w:lang w:val="en-AU"/>
              </w:rPr>
              <w:t>-</w:t>
            </w:r>
            <w:r w:rsidR="003E6F2D" w:rsidRPr="00524EEA">
              <w:rPr>
                <w:lang w:val="en-AU"/>
              </w:rPr>
              <w:t>2.07*</w:t>
            </w:r>
          </w:p>
          <w:p w14:paraId="2EEB4BFB" w14:textId="49FA01B9" w:rsidR="003E6F2D" w:rsidRPr="00524EEA" w:rsidRDefault="003E6F2D" w:rsidP="00254D29">
            <w:pPr>
              <w:pStyle w:val="A-TableText"/>
              <w:jc w:val="center"/>
              <w:rPr>
                <w:lang w:val="en-AU"/>
              </w:rPr>
            </w:pPr>
            <w:r w:rsidRPr="00524EEA">
              <w:rPr>
                <w:lang w:val="en-AU"/>
              </w:rPr>
              <w:t>(</w:t>
            </w:r>
            <w:r w:rsidR="009173DC" w:rsidRPr="00524EEA">
              <w:rPr>
                <w:lang w:val="en-AU"/>
              </w:rPr>
              <w:t>-</w:t>
            </w:r>
            <w:r w:rsidRPr="00524EEA">
              <w:rPr>
                <w:lang w:val="en-AU"/>
              </w:rPr>
              <w:t xml:space="preserve">2.79, </w:t>
            </w:r>
            <w:r w:rsidR="009173DC" w:rsidRPr="00524EEA">
              <w:rPr>
                <w:lang w:val="en-AU"/>
              </w:rPr>
              <w:t>-</w:t>
            </w:r>
            <w:r w:rsidRPr="00524EEA">
              <w:rPr>
                <w:lang w:val="en-AU"/>
              </w:rPr>
              <w:t>1.35)</w:t>
            </w:r>
          </w:p>
        </w:tc>
        <w:tc>
          <w:tcPr>
            <w:tcW w:w="796" w:type="pct"/>
            <w:gridSpan w:val="2"/>
            <w:tcBorders>
              <w:bottom w:val="single" w:sz="4" w:space="0" w:color="auto"/>
            </w:tcBorders>
          </w:tcPr>
          <w:p w14:paraId="13CEA83D" w14:textId="77777777" w:rsidR="003E6F2D" w:rsidRPr="00524EEA" w:rsidRDefault="003E6F2D" w:rsidP="00254D29">
            <w:pPr>
              <w:pStyle w:val="A-TableText"/>
              <w:jc w:val="center"/>
              <w:rPr>
                <w:lang w:val="en-AU"/>
              </w:rPr>
            </w:pPr>
          </w:p>
          <w:p w14:paraId="7A18EDA5" w14:textId="77777777" w:rsidR="003E6F2D" w:rsidRPr="00524EEA" w:rsidRDefault="003E6F2D" w:rsidP="00254D29">
            <w:pPr>
              <w:pStyle w:val="A-TableText"/>
              <w:jc w:val="center"/>
              <w:rPr>
                <w:lang w:val="en-AU"/>
              </w:rPr>
            </w:pPr>
            <w:r w:rsidRPr="00524EEA">
              <w:rPr>
                <w:lang w:val="en-AU"/>
              </w:rPr>
              <w:t>90.07</w:t>
            </w:r>
          </w:p>
          <w:p w14:paraId="2961C9B4" w14:textId="77777777" w:rsidR="003E6F2D" w:rsidRPr="00524EEA" w:rsidRDefault="003E6F2D" w:rsidP="00254D29">
            <w:pPr>
              <w:pStyle w:val="A-TableText"/>
              <w:jc w:val="center"/>
              <w:rPr>
                <w:lang w:val="en-AU"/>
              </w:rPr>
            </w:pPr>
            <w:r w:rsidRPr="00524EEA">
              <w:rPr>
                <w:lang w:val="en-AU"/>
              </w:rPr>
              <w:t>-0.58</w:t>
            </w:r>
          </w:p>
        </w:tc>
      </w:tr>
      <w:tr w:rsidR="003E6F2D" w:rsidRPr="00524EEA" w14:paraId="6160B8F4" w14:textId="77777777" w:rsidTr="00FD45B6">
        <w:trPr>
          <w:gridAfter w:val="1"/>
          <w:wAfter w:w="59" w:type="pct"/>
          <w:cantSplit/>
          <w:trHeight w:val="145"/>
          <w:tblHeader/>
        </w:trPr>
        <w:tc>
          <w:tcPr>
            <w:tcW w:w="4941" w:type="pct"/>
            <w:gridSpan w:val="6"/>
            <w:tcBorders>
              <w:top w:val="nil"/>
              <w:left w:val="nil"/>
              <w:bottom w:val="nil"/>
              <w:right w:val="nil"/>
            </w:tcBorders>
          </w:tcPr>
          <w:p w14:paraId="077B6793" w14:textId="5D3EBFE5" w:rsidR="003E6F2D" w:rsidRPr="00524EEA" w:rsidRDefault="003E6F2D" w:rsidP="003501A4">
            <w:pPr>
              <w:pStyle w:val="A-TableFootnoteText"/>
              <w:jc w:val="left"/>
            </w:pPr>
            <w:r w:rsidRPr="00524EEA">
              <w:rPr>
                <w:vertAlign w:val="superscript"/>
              </w:rPr>
              <w:t>1</w:t>
            </w:r>
            <w:r w:rsidR="009173DC" w:rsidRPr="00524EEA">
              <w:rPr>
                <w:vertAlign w:val="superscript"/>
              </w:rPr>
              <w:t xml:space="preserve"> </w:t>
            </w:r>
            <w:r w:rsidRPr="00524EEA">
              <w:t xml:space="preserve">glimepiride 4 mg/day; </w:t>
            </w:r>
            <w:r w:rsidRPr="00524EEA">
              <w:rPr>
                <w:vertAlign w:val="superscript"/>
              </w:rPr>
              <w:t>2</w:t>
            </w:r>
            <w:r w:rsidRPr="00524EEA">
              <w:t>Metformin (immediate- or extended-release formulations) ≥1500 mg/day plus maximum</w:t>
            </w:r>
            <w:r w:rsidR="004C3E58" w:rsidRPr="00524EEA">
              <w:t xml:space="preserve"> </w:t>
            </w:r>
            <w:r w:rsidRPr="00524EEA">
              <w:t xml:space="preserve">tolerated dose, which must be at least half maximum dose, of a sulfonylurea for at least 8 weeks prior to </w:t>
            </w:r>
            <w:r w:rsidR="009173DC" w:rsidRPr="00524EEA">
              <w:t>enrolment</w:t>
            </w:r>
            <w:r w:rsidRPr="00524EEA">
              <w:t>.</w:t>
            </w:r>
          </w:p>
          <w:p w14:paraId="244133AB" w14:textId="691BAAAC" w:rsidR="003E6F2D" w:rsidRPr="00524EEA" w:rsidRDefault="003E6F2D" w:rsidP="003501A4">
            <w:pPr>
              <w:pStyle w:val="A-TableFootnoteText"/>
              <w:jc w:val="left"/>
            </w:pPr>
            <w:r w:rsidRPr="00524EEA">
              <w:rPr>
                <w:vertAlign w:val="superscript"/>
              </w:rPr>
              <w:t>a</w:t>
            </w:r>
            <w:r w:rsidR="009173DC" w:rsidRPr="00524EEA">
              <w:rPr>
                <w:vertAlign w:val="superscript"/>
              </w:rPr>
              <w:t xml:space="preserve"> </w:t>
            </w:r>
            <w:r w:rsidRPr="00524EEA">
              <w:t>Randomised and treated patients with baseline and at least 1 post-baseline efficacy measurement.</w:t>
            </w:r>
          </w:p>
          <w:p w14:paraId="7467E29C" w14:textId="5F7F5522" w:rsidR="003E6F2D" w:rsidRPr="00524EEA" w:rsidRDefault="003E6F2D" w:rsidP="003501A4">
            <w:pPr>
              <w:pStyle w:val="A-TableFootnoteText"/>
              <w:jc w:val="left"/>
            </w:pPr>
            <w:r w:rsidRPr="00524EEA">
              <w:rPr>
                <w:vertAlign w:val="superscript"/>
              </w:rPr>
              <w:t>b</w:t>
            </w:r>
            <w:r w:rsidR="009173DC" w:rsidRPr="00524EEA">
              <w:rPr>
                <w:vertAlign w:val="superscript"/>
              </w:rPr>
              <w:t xml:space="preserve"> </w:t>
            </w:r>
            <w:r w:rsidRPr="00524EEA">
              <w:t xml:space="preserve">Columns 1 and 2, HbA1c </w:t>
            </w:r>
            <w:proofErr w:type="spellStart"/>
            <w:r w:rsidR="001C4EEF" w:rsidRPr="00524EEA">
              <w:t>analyzed</w:t>
            </w:r>
            <w:proofErr w:type="spellEnd"/>
            <w:r w:rsidRPr="00524EEA">
              <w:t xml:space="preserve"> using LOCF (see footnote d); Columns 3 and 4, HbA1c </w:t>
            </w:r>
            <w:proofErr w:type="spellStart"/>
            <w:r w:rsidR="001C4EEF" w:rsidRPr="00524EEA">
              <w:t>analyzed</w:t>
            </w:r>
            <w:proofErr w:type="spellEnd"/>
            <w:r w:rsidRPr="00524EEA">
              <w:t xml:space="preserve"> using LRM (see footnote e)</w:t>
            </w:r>
          </w:p>
          <w:p w14:paraId="506D836A" w14:textId="7F915F80" w:rsidR="003E6F2D" w:rsidRPr="00524EEA" w:rsidRDefault="003E6F2D" w:rsidP="003501A4">
            <w:pPr>
              <w:pStyle w:val="A-TableFootnoteText"/>
              <w:jc w:val="left"/>
            </w:pPr>
            <w:r w:rsidRPr="00524EEA">
              <w:rPr>
                <w:vertAlign w:val="superscript"/>
              </w:rPr>
              <w:t>c</w:t>
            </w:r>
            <w:r w:rsidR="009173DC" w:rsidRPr="00524EEA">
              <w:rPr>
                <w:vertAlign w:val="superscript"/>
              </w:rPr>
              <w:t xml:space="preserve"> </w:t>
            </w:r>
            <w:r w:rsidRPr="00524EEA">
              <w:t>Least squares mean adjusted for baseline value</w:t>
            </w:r>
          </w:p>
          <w:p w14:paraId="14576662" w14:textId="07099D1A" w:rsidR="003E6F2D" w:rsidRPr="00524EEA" w:rsidRDefault="003E6F2D" w:rsidP="003501A4">
            <w:pPr>
              <w:pStyle w:val="A-TableFootnoteText"/>
              <w:jc w:val="left"/>
            </w:pPr>
            <w:r w:rsidRPr="00524EEA">
              <w:rPr>
                <w:vertAlign w:val="superscript"/>
              </w:rPr>
              <w:t>d</w:t>
            </w:r>
            <w:r w:rsidR="009173DC" w:rsidRPr="00524EEA">
              <w:rPr>
                <w:vertAlign w:val="superscript"/>
              </w:rPr>
              <w:t xml:space="preserve"> </w:t>
            </w:r>
            <w:r w:rsidRPr="00524EEA">
              <w:t>LOCF: Last observation (prior to rescue for rescued subjects) carried forward</w:t>
            </w:r>
          </w:p>
          <w:p w14:paraId="77FF6E27" w14:textId="16DC9BA1" w:rsidR="003E6F2D" w:rsidRPr="00524EEA" w:rsidRDefault="003E6F2D" w:rsidP="003501A4">
            <w:pPr>
              <w:pStyle w:val="A-TableFootnoteText"/>
              <w:jc w:val="left"/>
            </w:pPr>
            <w:r w:rsidRPr="00524EEA">
              <w:rPr>
                <w:vertAlign w:val="superscript"/>
              </w:rPr>
              <w:t>e</w:t>
            </w:r>
            <w:r w:rsidR="009173DC" w:rsidRPr="00524EEA">
              <w:rPr>
                <w:vertAlign w:val="superscript"/>
              </w:rPr>
              <w:t xml:space="preserve"> </w:t>
            </w:r>
            <w:r w:rsidRPr="00524EEA">
              <w:t>LRM: Longitudinal repeated measures analysis</w:t>
            </w:r>
          </w:p>
          <w:p w14:paraId="172620C2" w14:textId="77777777" w:rsidR="004C3E58" w:rsidRPr="00524EEA" w:rsidRDefault="003E6F2D" w:rsidP="003501A4">
            <w:pPr>
              <w:pStyle w:val="A-TableFootnoteText"/>
              <w:jc w:val="left"/>
            </w:pPr>
            <w:r w:rsidRPr="00524EEA">
              <w:rPr>
                <w:vertAlign w:val="superscript"/>
              </w:rPr>
              <w:t>*</w:t>
            </w:r>
            <w:r w:rsidR="009173DC" w:rsidRPr="00524EEA">
              <w:rPr>
                <w:vertAlign w:val="superscript"/>
              </w:rPr>
              <w:t xml:space="preserve"> </w:t>
            </w:r>
            <w:r w:rsidRPr="00524EEA">
              <w:t>p</w:t>
            </w:r>
            <w:r w:rsidRPr="00524EEA">
              <w:noBreakHyphen/>
              <w:t>value &lt;0.0001 versus placebo + oral glucose</w:t>
            </w:r>
            <w:r w:rsidRPr="00524EEA">
              <w:noBreakHyphen/>
              <w:t>lowering medicinal product(s)</w:t>
            </w:r>
          </w:p>
          <w:p w14:paraId="1911F7EB" w14:textId="05E757F6" w:rsidR="00AA6992" w:rsidRPr="00524EEA" w:rsidRDefault="00AA6992" w:rsidP="00AA6992">
            <w:pPr>
              <w:rPr>
                <w:lang w:val="en-GB"/>
              </w:rPr>
            </w:pPr>
          </w:p>
        </w:tc>
      </w:tr>
    </w:tbl>
    <w:p w14:paraId="539A1CA5" w14:textId="77777777" w:rsidR="003501A4" w:rsidRPr="00524EEA" w:rsidRDefault="003501A4" w:rsidP="001B18F1">
      <w:pPr>
        <w:pStyle w:val="A-TableTitle"/>
        <w:rPr>
          <w:lang w:val="en-AU"/>
        </w:rPr>
      </w:pPr>
    </w:p>
    <w:p w14:paraId="59215AE8" w14:textId="77777777" w:rsidR="003501A4" w:rsidRPr="00524EEA" w:rsidRDefault="003501A4">
      <w:pPr>
        <w:rPr>
          <w:rFonts w:eastAsia="Times New Roman" w:cs="Arial"/>
          <w:b/>
          <w:sz w:val="22"/>
          <w:szCs w:val="20"/>
        </w:rPr>
      </w:pPr>
      <w:r w:rsidRPr="00524EEA">
        <w:br w:type="page"/>
      </w:r>
    </w:p>
    <w:p w14:paraId="343D4A4D" w14:textId="38CFD2E0" w:rsidR="00F85751" w:rsidRPr="00524EEA" w:rsidRDefault="00254D29" w:rsidP="00AF7D0B">
      <w:pPr>
        <w:pStyle w:val="A-TableTitle"/>
        <w:rPr>
          <w:lang w:val="en-AU"/>
        </w:rPr>
      </w:pPr>
      <w:r w:rsidRPr="00524EEA">
        <w:rPr>
          <w:lang w:val="en-AU"/>
        </w:rPr>
        <w:t xml:space="preserve">Table </w:t>
      </w:r>
      <w:r w:rsidR="00D50AC0" w:rsidRPr="00524EEA">
        <w:rPr>
          <w:lang w:val="en-AU"/>
        </w:rPr>
        <w:t>7</w:t>
      </w:r>
      <w:r w:rsidR="003E6F2D" w:rsidRPr="00524EEA">
        <w:rPr>
          <w:lang w:val="en-AU"/>
        </w:rPr>
        <w:t xml:space="preserve">. </w:t>
      </w:r>
      <w:r w:rsidR="003E6F2D" w:rsidRPr="00524EEA">
        <w:rPr>
          <w:lang w:val="en-AU"/>
        </w:rPr>
        <w:tab/>
        <w:t>Results at Week 24 (</w:t>
      </w:r>
      <w:proofErr w:type="spellStart"/>
      <w:r w:rsidR="003E6F2D" w:rsidRPr="00524EEA">
        <w:rPr>
          <w:lang w:val="en-AU"/>
        </w:rPr>
        <w:t>LOCF</w:t>
      </w:r>
      <w:r w:rsidR="003E6F2D" w:rsidRPr="00524EEA">
        <w:rPr>
          <w:vertAlign w:val="superscript"/>
          <w:lang w:val="en-AU"/>
        </w:rPr>
        <w:t>a</w:t>
      </w:r>
      <w:proofErr w:type="spellEnd"/>
      <w:r w:rsidR="003E6F2D" w:rsidRPr="00524EEA">
        <w:rPr>
          <w:lang w:val="en-AU"/>
        </w:rPr>
        <w:t>) in a placebo-controlled study of FORXIGA in combination with insulin (alone or with oral glucose-lowering medicinal products)</w:t>
      </w:r>
    </w:p>
    <w:tbl>
      <w:tblPr>
        <w:tblW w:w="4887" w:type="pct"/>
        <w:tblInd w:w="250"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3476"/>
        <w:gridCol w:w="2671"/>
        <w:gridCol w:w="2675"/>
      </w:tblGrid>
      <w:tr w:rsidR="003E6F2D" w:rsidRPr="00524EEA" w14:paraId="5F7881A8" w14:textId="77777777" w:rsidTr="006325C0">
        <w:trPr>
          <w:tblHeader/>
        </w:trPr>
        <w:tc>
          <w:tcPr>
            <w:tcW w:w="1970" w:type="pct"/>
            <w:tcBorders>
              <w:top w:val="single" w:sz="8" w:space="0" w:color="auto"/>
              <w:left w:val="nil"/>
              <w:bottom w:val="single" w:sz="8" w:space="0" w:color="auto"/>
              <w:right w:val="nil"/>
            </w:tcBorders>
            <w:vAlign w:val="bottom"/>
          </w:tcPr>
          <w:p w14:paraId="7732735E" w14:textId="77777777" w:rsidR="003E6F2D" w:rsidRPr="00524EEA" w:rsidRDefault="003E6F2D" w:rsidP="00254D29">
            <w:pPr>
              <w:pStyle w:val="A-TableHeader"/>
              <w:rPr>
                <w:lang w:val="en-AU"/>
              </w:rPr>
            </w:pPr>
            <w:r w:rsidRPr="00524EEA">
              <w:rPr>
                <w:lang w:val="en-AU"/>
              </w:rPr>
              <w:t>Parameter</w:t>
            </w:r>
          </w:p>
        </w:tc>
        <w:tc>
          <w:tcPr>
            <w:tcW w:w="1514" w:type="pct"/>
            <w:tcBorders>
              <w:top w:val="single" w:sz="8" w:space="0" w:color="auto"/>
              <w:left w:val="nil"/>
              <w:bottom w:val="single" w:sz="8" w:space="0" w:color="auto"/>
              <w:right w:val="nil"/>
            </w:tcBorders>
          </w:tcPr>
          <w:p w14:paraId="6580E48B" w14:textId="77777777" w:rsidR="003E6F2D" w:rsidRPr="00524EEA" w:rsidRDefault="003E6F2D" w:rsidP="00254D29">
            <w:pPr>
              <w:pStyle w:val="A-TableHeader"/>
              <w:jc w:val="center"/>
              <w:rPr>
                <w:lang w:val="en-AU"/>
              </w:rPr>
            </w:pPr>
            <w:r w:rsidRPr="00524EEA">
              <w:rPr>
                <w:lang w:val="en-AU"/>
              </w:rPr>
              <w:t>FORXIGA 10 mg</w:t>
            </w:r>
          </w:p>
          <w:p w14:paraId="1CCC8B07" w14:textId="77777777" w:rsidR="003E6F2D" w:rsidRPr="00524EEA" w:rsidRDefault="003E6F2D" w:rsidP="00254D29">
            <w:pPr>
              <w:pStyle w:val="A-TableHeader"/>
              <w:jc w:val="center"/>
              <w:rPr>
                <w:vertAlign w:val="superscript"/>
                <w:lang w:val="en-AU"/>
              </w:rPr>
            </w:pPr>
            <w:r w:rsidRPr="00524EEA">
              <w:rPr>
                <w:lang w:val="en-AU"/>
              </w:rPr>
              <w:t>+ insulin</w:t>
            </w:r>
          </w:p>
          <w:p w14:paraId="6DFE5FE9" w14:textId="77777777" w:rsidR="003E6F2D" w:rsidRPr="00524EEA" w:rsidRDefault="003E6F2D" w:rsidP="00254D29">
            <w:pPr>
              <w:pStyle w:val="A-TableHeader"/>
              <w:jc w:val="center"/>
              <w:rPr>
                <w:lang w:val="en-AU"/>
              </w:rPr>
            </w:pPr>
            <w:r w:rsidRPr="00524EEA">
              <w:rPr>
                <w:lang w:val="en-AU"/>
              </w:rPr>
              <w:t>± oral glucose</w:t>
            </w:r>
            <w:r w:rsidRPr="00524EEA">
              <w:rPr>
                <w:lang w:val="en-AU"/>
              </w:rPr>
              <w:noBreakHyphen/>
              <w:t>lowering medicinal products</w:t>
            </w:r>
            <w:r w:rsidRPr="00524EEA">
              <w:rPr>
                <w:vertAlign w:val="superscript"/>
                <w:lang w:val="en-AU"/>
              </w:rPr>
              <w:t>2</w:t>
            </w:r>
          </w:p>
        </w:tc>
        <w:tc>
          <w:tcPr>
            <w:tcW w:w="1516" w:type="pct"/>
            <w:tcBorders>
              <w:top w:val="single" w:sz="8" w:space="0" w:color="auto"/>
              <w:left w:val="nil"/>
              <w:bottom w:val="single" w:sz="8" w:space="0" w:color="auto"/>
              <w:right w:val="nil"/>
            </w:tcBorders>
            <w:vAlign w:val="bottom"/>
          </w:tcPr>
          <w:p w14:paraId="52B25BB7" w14:textId="77777777" w:rsidR="003E6F2D" w:rsidRPr="00524EEA" w:rsidRDefault="003E6F2D" w:rsidP="00254D29">
            <w:pPr>
              <w:pStyle w:val="A-TableHeader"/>
              <w:jc w:val="center"/>
              <w:rPr>
                <w:lang w:val="en-AU"/>
              </w:rPr>
            </w:pPr>
            <w:r w:rsidRPr="00524EEA">
              <w:rPr>
                <w:lang w:val="en-AU"/>
              </w:rPr>
              <w:t>Placebo</w:t>
            </w:r>
          </w:p>
          <w:p w14:paraId="1F754EE1" w14:textId="77777777" w:rsidR="003E6F2D" w:rsidRPr="00524EEA" w:rsidRDefault="003E6F2D" w:rsidP="00254D29">
            <w:pPr>
              <w:pStyle w:val="A-TableHeader"/>
              <w:jc w:val="center"/>
              <w:rPr>
                <w:vertAlign w:val="superscript"/>
                <w:lang w:val="en-AU"/>
              </w:rPr>
            </w:pPr>
            <w:r w:rsidRPr="00524EEA">
              <w:rPr>
                <w:lang w:val="en-AU"/>
              </w:rPr>
              <w:t>+ insulin</w:t>
            </w:r>
          </w:p>
          <w:p w14:paraId="725FC795" w14:textId="77777777" w:rsidR="003E6F2D" w:rsidRPr="00524EEA" w:rsidRDefault="003E6F2D" w:rsidP="00254D29">
            <w:pPr>
              <w:pStyle w:val="A-TableHeader"/>
              <w:jc w:val="center"/>
              <w:rPr>
                <w:lang w:val="en-AU"/>
              </w:rPr>
            </w:pPr>
            <w:r w:rsidRPr="00524EEA">
              <w:rPr>
                <w:lang w:val="en-AU"/>
              </w:rPr>
              <w:t>± oral glucose</w:t>
            </w:r>
            <w:r w:rsidRPr="00524EEA">
              <w:rPr>
                <w:lang w:val="en-AU"/>
              </w:rPr>
              <w:noBreakHyphen/>
              <w:t>lowering medicinal products</w:t>
            </w:r>
            <w:r w:rsidRPr="00524EEA">
              <w:rPr>
                <w:vertAlign w:val="superscript"/>
                <w:lang w:val="en-AU"/>
              </w:rPr>
              <w:t>2</w:t>
            </w:r>
          </w:p>
        </w:tc>
      </w:tr>
      <w:tr w:rsidR="003E6F2D" w:rsidRPr="00524EEA" w14:paraId="6988C02C" w14:textId="77777777" w:rsidTr="006325C0">
        <w:tc>
          <w:tcPr>
            <w:tcW w:w="1970" w:type="pct"/>
            <w:tcBorders>
              <w:top w:val="single" w:sz="8" w:space="0" w:color="auto"/>
              <w:left w:val="nil"/>
              <w:right w:val="nil"/>
            </w:tcBorders>
          </w:tcPr>
          <w:p w14:paraId="2D1304D7" w14:textId="77777777" w:rsidR="003E6F2D" w:rsidRPr="00524EEA" w:rsidRDefault="003E6F2D" w:rsidP="00254D29">
            <w:pPr>
              <w:pStyle w:val="A-TableText"/>
              <w:rPr>
                <w:lang w:val="en-AU"/>
              </w:rPr>
            </w:pPr>
            <w:proofErr w:type="spellStart"/>
            <w:r w:rsidRPr="00524EEA">
              <w:rPr>
                <w:b/>
                <w:bCs/>
                <w:lang w:val="en-AU"/>
              </w:rPr>
              <w:t>N</w:t>
            </w:r>
            <w:r w:rsidRPr="00524EEA">
              <w:rPr>
                <w:vertAlign w:val="superscript"/>
                <w:lang w:val="en-AU"/>
              </w:rPr>
              <w:t>b</w:t>
            </w:r>
            <w:proofErr w:type="spellEnd"/>
          </w:p>
        </w:tc>
        <w:tc>
          <w:tcPr>
            <w:tcW w:w="1514" w:type="pct"/>
            <w:tcBorders>
              <w:top w:val="single" w:sz="8" w:space="0" w:color="auto"/>
              <w:left w:val="nil"/>
              <w:right w:val="nil"/>
            </w:tcBorders>
          </w:tcPr>
          <w:p w14:paraId="4DAD7AC8" w14:textId="77777777" w:rsidR="003E6F2D" w:rsidRPr="00524EEA" w:rsidRDefault="003E6F2D" w:rsidP="00254D29">
            <w:pPr>
              <w:pStyle w:val="A-TableText"/>
              <w:jc w:val="center"/>
              <w:rPr>
                <w:lang w:val="en-AU"/>
              </w:rPr>
            </w:pPr>
            <w:r w:rsidRPr="00524EEA">
              <w:rPr>
                <w:lang w:val="en-AU"/>
              </w:rPr>
              <w:t>194</w:t>
            </w:r>
          </w:p>
        </w:tc>
        <w:tc>
          <w:tcPr>
            <w:tcW w:w="1516" w:type="pct"/>
            <w:tcBorders>
              <w:top w:val="single" w:sz="8" w:space="0" w:color="auto"/>
              <w:left w:val="nil"/>
              <w:right w:val="nil"/>
            </w:tcBorders>
          </w:tcPr>
          <w:p w14:paraId="134C19DC" w14:textId="77777777" w:rsidR="003E6F2D" w:rsidRPr="00524EEA" w:rsidRDefault="003E6F2D" w:rsidP="00254D29">
            <w:pPr>
              <w:pStyle w:val="A-TableText"/>
              <w:jc w:val="center"/>
              <w:rPr>
                <w:lang w:val="en-AU"/>
              </w:rPr>
            </w:pPr>
            <w:r w:rsidRPr="00524EEA">
              <w:rPr>
                <w:lang w:val="en-AU"/>
              </w:rPr>
              <w:t>193</w:t>
            </w:r>
          </w:p>
        </w:tc>
      </w:tr>
      <w:tr w:rsidR="003E6F2D" w:rsidRPr="00524EEA" w14:paraId="60BDA63A" w14:textId="77777777" w:rsidTr="003E6F2D">
        <w:tc>
          <w:tcPr>
            <w:tcW w:w="1970" w:type="pct"/>
            <w:tcBorders>
              <w:left w:val="nil"/>
              <w:right w:val="nil"/>
            </w:tcBorders>
          </w:tcPr>
          <w:p w14:paraId="3E413B1D" w14:textId="77777777" w:rsidR="003E6F2D" w:rsidRPr="00524EEA" w:rsidRDefault="003E6F2D" w:rsidP="00254D29">
            <w:pPr>
              <w:pStyle w:val="A-TableText"/>
              <w:rPr>
                <w:b/>
                <w:bCs/>
                <w:lang w:val="en-AU"/>
              </w:rPr>
            </w:pPr>
            <w:r w:rsidRPr="00524EEA">
              <w:rPr>
                <w:b/>
                <w:bCs/>
                <w:lang w:val="en-AU"/>
              </w:rPr>
              <w:t>HbA1c (%)</w:t>
            </w:r>
          </w:p>
          <w:p w14:paraId="6785AD49" w14:textId="77777777" w:rsidR="003E6F2D" w:rsidRPr="00524EEA" w:rsidRDefault="003E6F2D" w:rsidP="00254D29">
            <w:pPr>
              <w:pStyle w:val="A-TableText"/>
              <w:rPr>
                <w:lang w:val="en-AU"/>
              </w:rPr>
            </w:pPr>
            <w:r w:rsidRPr="00524EEA">
              <w:rPr>
                <w:lang w:val="en-AU"/>
              </w:rPr>
              <w:t>Baseline (mean)</w:t>
            </w:r>
          </w:p>
          <w:p w14:paraId="0E55BCFD" w14:textId="77777777" w:rsidR="003E6F2D" w:rsidRPr="00524EEA" w:rsidRDefault="003E6F2D" w:rsidP="00254D29">
            <w:pPr>
              <w:pStyle w:val="A-TableText"/>
              <w:rPr>
                <w:lang w:val="en-AU"/>
              </w:rPr>
            </w:pPr>
            <w:r w:rsidRPr="00524EEA">
              <w:rPr>
                <w:lang w:val="en-AU"/>
              </w:rPr>
              <w:t xml:space="preserve">Change from </w:t>
            </w:r>
            <w:proofErr w:type="spellStart"/>
            <w:r w:rsidRPr="00524EEA">
              <w:rPr>
                <w:lang w:val="en-AU"/>
              </w:rPr>
              <w:t>baseline</w:t>
            </w:r>
            <w:r w:rsidRPr="00524EEA">
              <w:rPr>
                <w:vertAlign w:val="superscript"/>
                <w:lang w:val="en-AU"/>
              </w:rPr>
              <w:t>c</w:t>
            </w:r>
            <w:proofErr w:type="spellEnd"/>
          </w:p>
          <w:p w14:paraId="0A3FE5DE" w14:textId="77777777" w:rsidR="003E6F2D" w:rsidRPr="00524EEA" w:rsidRDefault="003E6F2D" w:rsidP="00254D29">
            <w:pPr>
              <w:pStyle w:val="A-TableText"/>
              <w:rPr>
                <w:vertAlign w:val="superscript"/>
                <w:lang w:val="en-AU"/>
              </w:rPr>
            </w:pPr>
            <w:r w:rsidRPr="00524EEA">
              <w:rPr>
                <w:lang w:val="en-AU"/>
              </w:rPr>
              <w:t xml:space="preserve">Difference from </w:t>
            </w:r>
            <w:proofErr w:type="spellStart"/>
            <w:r w:rsidRPr="00524EEA">
              <w:rPr>
                <w:lang w:val="en-AU"/>
              </w:rPr>
              <w:t>placebo</w:t>
            </w:r>
            <w:r w:rsidRPr="00524EEA">
              <w:rPr>
                <w:vertAlign w:val="superscript"/>
                <w:lang w:val="en-AU"/>
              </w:rPr>
              <w:t>c</w:t>
            </w:r>
            <w:proofErr w:type="spellEnd"/>
          </w:p>
          <w:p w14:paraId="506232B7" w14:textId="77777777" w:rsidR="003E6F2D" w:rsidRPr="00524EEA" w:rsidRDefault="003E6F2D" w:rsidP="00254D29">
            <w:pPr>
              <w:pStyle w:val="A-TableText"/>
              <w:rPr>
                <w:lang w:val="en-AU"/>
              </w:rPr>
            </w:pPr>
            <w:r w:rsidRPr="00524EEA">
              <w:rPr>
                <w:lang w:val="en-AU"/>
              </w:rPr>
              <w:t xml:space="preserve"> (95% CI)</w:t>
            </w:r>
          </w:p>
        </w:tc>
        <w:tc>
          <w:tcPr>
            <w:tcW w:w="1514" w:type="pct"/>
            <w:tcBorders>
              <w:left w:val="nil"/>
              <w:right w:val="nil"/>
            </w:tcBorders>
          </w:tcPr>
          <w:p w14:paraId="624071BE" w14:textId="77777777" w:rsidR="003E6F2D" w:rsidRPr="00524EEA" w:rsidRDefault="003E6F2D" w:rsidP="00254D29">
            <w:pPr>
              <w:pStyle w:val="A-TableText"/>
              <w:jc w:val="center"/>
              <w:rPr>
                <w:lang w:val="en-AU"/>
              </w:rPr>
            </w:pPr>
          </w:p>
          <w:p w14:paraId="5D586901" w14:textId="77777777" w:rsidR="003E6F2D" w:rsidRPr="00524EEA" w:rsidRDefault="003E6F2D" w:rsidP="00254D29">
            <w:pPr>
              <w:pStyle w:val="A-TableText"/>
              <w:jc w:val="center"/>
              <w:rPr>
                <w:lang w:val="en-AU"/>
              </w:rPr>
            </w:pPr>
            <w:r w:rsidRPr="00524EEA">
              <w:rPr>
                <w:lang w:val="en-AU"/>
              </w:rPr>
              <w:t>8.58</w:t>
            </w:r>
          </w:p>
          <w:p w14:paraId="23C1232E" w14:textId="77777777" w:rsidR="003E6F2D" w:rsidRPr="00524EEA" w:rsidRDefault="003E6F2D" w:rsidP="00254D29">
            <w:pPr>
              <w:pStyle w:val="A-TableText"/>
              <w:jc w:val="center"/>
              <w:rPr>
                <w:lang w:val="en-AU"/>
              </w:rPr>
            </w:pPr>
            <w:r w:rsidRPr="00524EEA">
              <w:rPr>
                <w:lang w:val="en-AU"/>
              </w:rPr>
              <w:noBreakHyphen/>
              <w:t>0.90</w:t>
            </w:r>
          </w:p>
          <w:p w14:paraId="436F710E" w14:textId="77777777" w:rsidR="003E6F2D" w:rsidRPr="00524EEA" w:rsidRDefault="003E6F2D" w:rsidP="00254D29">
            <w:pPr>
              <w:pStyle w:val="A-TableText"/>
              <w:jc w:val="center"/>
              <w:rPr>
                <w:lang w:val="en-AU"/>
              </w:rPr>
            </w:pPr>
            <w:r w:rsidRPr="00524EEA">
              <w:rPr>
                <w:lang w:val="en-AU"/>
              </w:rPr>
              <w:noBreakHyphen/>
              <w:t>0.60</w:t>
            </w:r>
            <w:r w:rsidRPr="00524EEA">
              <w:rPr>
                <w:vertAlign w:val="superscript"/>
                <w:lang w:val="en-AU"/>
              </w:rPr>
              <w:t>*</w:t>
            </w:r>
          </w:p>
          <w:p w14:paraId="2550FBA8" w14:textId="77777777" w:rsidR="003E6F2D" w:rsidRPr="00524EEA" w:rsidRDefault="003E6F2D" w:rsidP="00254D29">
            <w:pPr>
              <w:pStyle w:val="A-TableText"/>
              <w:jc w:val="center"/>
              <w:rPr>
                <w:lang w:val="en-AU"/>
              </w:rPr>
            </w:pPr>
            <w:r w:rsidRPr="00524EEA">
              <w:rPr>
                <w:lang w:val="en-AU"/>
              </w:rPr>
              <w:t>(</w:t>
            </w:r>
            <w:r w:rsidRPr="00524EEA">
              <w:rPr>
                <w:lang w:val="en-AU"/>
              </w:rPr>
              <w:noBreakHyphen/>
              <w:t xml:space="preserve">0.74, </w:t>
            </w:r>
            <w:r w:rsidRPr="00524EEA">
              <w:rPr>
                <w:lang w:val="en-AU"/>
              </w:rPr>
              <w:noBreakHyphen/>
              <w:t>0.45)</w:t>
            </w:r>
          </w:p>
        </w:tc>
        <w:tc>
          <w:tcPr>
            <w:tcW w:w="1516" w:type="pct"/>
            <w:tcBorders>
              <w:left w:val="nil"/>
              <w:right w:val="nil"/>
            </w:tcBorders>
          </w:tcPr>
          <w:p w14:paraId="2ED32024" w14:textId="77777777" w:rsidR="003E6F2D" w:rsidRPr="00524EEA" w:rsidRDefault="003E6F2D" w:rsidP="00254D29">
            <w:pPr>
              <w:pStyle w:val="A-TableText"/>
              <w:jc w:val="center"/>
              <w:rPr>
                <w:lang w:val="en-AU"/>
              </w:rPr>
            </w:pPr>
          </w:p>
          <w:p w14:paraId="7484E32F" w14:textId="77777777" w:rsidR="003E6F2D" w:rsidRPr="00524EEA" w:rsidRDefault="003E6F2D" w:rsidP="00254D29">
            <w:pPr>
              <w:pStyle w:val="A-TableText"/>
              <w:jc w:val="center"/>
              <w:rPr>
                <w:lang w:val="en-AU"/>
              </w:rPr>
            </w:pPr>
            <w:r w:rsidRPr="00524EEA">
              <w:rPr>
                <w:lang w:val="en-AU"/>
              </w:rPr>
              <w:t>8.46</w:t>
            </w:r>
          </w:p>
          <w:p w14:paraId="290C87AC" w14:textId="77777777" w:rsidR="003E6F2D" w:rsidRPr="00524EEA" w:rsidRDefault="003E6F2D" w:rsidP="00254D29">
            <w:pPr>
              <w:pStyle w:val="A-TableText"/>
              <w:jc w:val="center"/>
              <w:rPr>
                <w:lang w:val="en-AU"/>
              </w:rPr>
            </w:pPr>
            <w:r w:rsidRPr="00524EEA">
              <w:rPr>
                <w:lang w:val="en-AU"/>
              </w:rPr>
              <w:noBreakHyphen/>
              <w:t>0.30</w:t>
            </w:r>
          </w:p>
        </w:tc>
      </w:tr>
      <w:tr w:rsidR="003E6F2D" w:rsidRPr="00524EEA" w14:paraId="1F8B3393" w14:textId="77777777" w:rsidTr="006325C0">
        <w:tc>
          <w:tcPr>
            <w:tcW w:w="1970" w:type="pct"/>
            <w:tcBorders>
              <w:left w:val="nil"/>
              <w:bottom w:val="single" w:sz="4" w:space="0" w:color="auto"/>
              <w:right w:val="nil"/>
            </w:tcBorders>
          </w:tcPr>
          <w:p w14:paraId="669EE99E" w14:textId="2CC36248" w:rsidR="003E6F2D" w:rsidRPr="00524EEA" w:rsidRDefault="003E6F2D" w:rsidP="00254D29">
            <w:pPr>
              <w:pStyle w:val="A-TableText"/>
              <w:rPr>
                <w:b/>
                <w:bCs/>
                <w:lang w:val="en-AU"/>
              </w:rPr>
            </w:pPr>
            <w:r w:rsidRPr="00524EEA">
              <w:rPr>
                <w:b/>
                <w:bCs/>
                <w:lang w:val="en-AU"/>
              </w:rPr>
              <w:t>Body weight (kg)</w:t>
            </w:r>
          </w:p>
          <w:p w14:paraId="79753779" w14:textId="77777777" w:rsidR="003E6F2D" w:rsidRPr="00524EEA" w:rsidRDefault="003E6F2D" w:rsidP="00254D29">
            <w:pPr>
              <w:pStyle w:val="A-TableText"/>
              <w:rPr>
                <w:lang w:val="en-AU"/>
              </w:rPr>
            </w:pPr>
            <w:r w:rsidRPr="00524EEA">
              <w:rPr>
                <w:lang w:val="en-AU"/>
              </w:rPr>
              <w:t>Baseline (mean)</w:t>
            </w:r>
          </w:p>
          <w:p w14:paraId="20DE1E6F" w14:textId="77777777" w:rsidR="003E6F2D" w:rsidRPr="00524EEA" w:rsidRDefault="003E6F2D" w:rsidP="00254D29">
            <w:pPr>
              <w:pStyle w:val="A-TableText"/>
              <w:rPr>
                <w:lang w:val="en-AU"/>
              </w:rPr>
            </w:pPr>
            <w:r w:rsidRPr="00524EEA">
              <w:rPr>
                <w:lang w:val="en-AU"/>
              </w:rPr>
              <w:t xml:space="preserve">Change from </w:t>
            </w:r>
            <w:proofErr w:type="spellStart"/>
            <w:r w:rsidRPr="00524EEA">
              <w:rPr>
                <w:lang w:val="en-AU"/>
              </w:rPr>
              <w:t>baseline</w:t>
            </w:r>
            <w:r w:rsidRPr="00524EEA">
              <w:rPr>
                <w:vertAlign w:val="superscript"/>
                <w:lang w:val="en-AU"/>
              </w:rPr>
              <w:t>c</w:t>
            </w:r>
            <w:proofErr w:type="spellEnd"/>
          </w:p>
          <w:p w14:paraId="04425D5F" w14:textId="77777777" w:rsidR="003E6F2D" w:rsidRPr="00524EEA" w:rsidRDefault="003E6F2D" w:rsidP="00254D29">
            <w:pPr>
              <w:pStyle w:val="A-TableText"/>
              <w:rPr>
                <w:lang w:val="en-AU"/>
              </w:rPr>
            </w:pPr>
            <w:r w:rsidRPr="00524EEA">
              <w:rPr>
                <w:lang w:val="en-AU"/>
              </w:rPr>
              <w:t xml:space="preserve">Difference from </w:t>
            </w:r>
            <w:proofErr w:type="spellStart"/>
            <w:r w:rsidRPr="00524EEA">
              <w:rPr>
                <w:lang w:val="en-AU"/>
              </w:rPr>
              <w:t>placebo</w:t>
            </w:r>
            <w:r w:rsidRPr="00524EEA">
              <w:rPr>
                <w:vertAlign w:val="superscript"/>
                <w:lang w:val="en-AU"/>
              </w:rPr>
              <w:t>c</w:t>
            </w:r>
            <w:proofErr w:type="spellEnd"/>
          </w:p>
          <w:p w14:paraId="0104BF36" w14:textId="77777777" w:rsidR="003E6F2D" w:rsidRPr="00524EEA" w:rsidRDefault="003E6F2D" w:rsidP="00254D29">
            <w:pPr>
              <w:pStyle w:val="A-TableText"/>
              <w:rPr>
                <w:lang w:val="en-AU"/>
              </w:rPr>
            </w:pPr>
            <w:r w:rsidRPr="00524EEA">
              <w:rPr>
                <w:lang w:val="en-AU"/>
              </w:rPr>
              <w:t xml:space="preserve"> (95% CI)</w:t>
            </w:r>
          </w:p>
        </w:tc>
        <w:tc>
          <w:tcPr>
            <w:tcW w:w="1514" w:type="pct"/>
            <w:tcBorders>
              <w:left w:val="nil"/>
              <w:bottom w:val="single" w:sz="4" w:space="0" w:color="auto"/>
              <w:right w:val="nil"/>
            </w:tcBorders>
          </w:tcPr>
          <w:p w14:paraId="2E2828D9" w14:textId="77777777" w:rsidR="003E6F2D" w:rsidRPr="00524EEA" w:rsidRDefault="003E6F2D" w:rsidP="00254D29">
            <w:pPr>
              <w:pStyle w:val="A-TableText"/>
              <w:jc w:val="center"/>
              <w:rPr>
                <w:lang w:val="en-AU"/>
              </w:rPr>
            </w:pPr>
          </w:p>
          <w:p w14:paraId="55B3E972" w14:textId="77777777" w:rsidR="003E6F2D" w:rsidRPr="00524EEA" w:rsidRDefault="003E6F2D" w:rsidP="00254D29">
            <w:pPr>
              <w:pStyle w:val="A-TableText"/>
              <w:jc w:val="center"/>
              <w:rPr>
                <w:lang w:val="en-AU"/>
              </w:rPr>
            </w:pPr>
            <w:r w:rsidRPr="00524EEA">
              <w:rPr>
                <w:lang w:val="en-AU"/>
              </w:rPr>
              <w:t>94.63</w:t>
            </w:r>
          </w:p>
          <w:p w14:paraId="720F8CDF" w14:textId="77777777" w:rsidR="003E6F2D" w:rsidRPr="00524EEA" w:rsidRDefault="003E6F2D" w:rsidP="00254D29">
            <w:pPr>
              <w:pStyle w:val="A-TableText"/>
              <w:jc w:val="center"/>
              <w:rPr>
                <w:lang w:val="en-AU"/>
              </w:rPr>
            </w:pPr>
            <w:r w:rsidRPr="00524EEA">
              <w:rPr>
                <w:lang w:val="en-AU"/>
              </w:rPr>
              <w:noBreakHyphen/>
              <w:t>1.67</w:t>
            </w:r>
          </w:p>
          <w:p w14:paraId="599C300F" w14:textId="77777777" w:rsidR="003E6F2D" w:rsidRPr="00524EEA" w:rsidRDefault="003E6F2D" w:rsidP="00254D29">
            <w:pPr>
              <w:pStyle w:val="A-TableText"/>
              <w:jc w:val="center"/>
              <w:rPr>
                <w:lang w:val="en-AU"/>
              </w:rPr>
            </w:pPr>
            <w:r w:rsidRPr="00524EEA">
              <w:rPr>
                <w:lang w:val="en-AU"/>
              </w:rPr>
              <w:noBreakHyphen/>
              <w:t>1.68</w:t>
            </w:r>
            <w:r w:rsidRPr="00524EEA">
              <w:rPr>
                <w:vertAlign w:val="superscript"/>
                <w:lang w:val="en-AU"/>
              </w:rPr>
              <w:t>*</w:t>
            </w:r>
          </w:p>
          <w:p w14:paraId="57ECA2C3" w14:textId="77777777" w:rsidR="003E6F2D" w:rsidRPr="00524EEA" w:rsidRDefault="003E6F2D" w:rsidP="00254D29">
            <w:pPr>
              <w:pStyle w:val="A-TableText"/>
              <w:jc w:val="center"/>
              <w:rPr>
                <w:lang w:val="en-AU"/>
              </w:rPr>
            </w:pPr>
            <w:r w:rsidRPr="00524EEA">
              <w:rPr>
                <w:lang w:val="en-AU"/>
              </w:rPr>
              <w:t>(</w:t>
            </w:r>
            <w:r w:rsidRPr="00524EEA">
              <w:rPr>
                <w:lang w:val="en-AU"/>
              </w:rPr>
              <w:noBreakHyphen/>
              <w:t xml:space="preserve">2.19, </w:t>
            </w:r>
            <w:r w:rsidRPr="00524EEA">
              <w:rPr>
                <w:lang w:val="en-AU"/>
              </w:rPr>
              <w:noBreakHyphen/>
              <w:t>1.18)</w:t>
            </w:r>
          </w:p>
        </w:tc>
        <w:tc>
          <w:tcPr>
            <w:tcW w:w="1516" w:type="pct"/>
            <w:tcBorders>
              <w:left w:val="nil"/>
              <w:bottom w:val="single" w:sz="4" w:space="0" w:color="auto"/>
              <w:right w:val="nil"/>
            </w:tcBorders>
          </w:tcPr>
          <w:p w14:paraId="2C2D0196" w14:textId="77777777" w:rsidR="003E6F2D" w:rsidRPr="00524EEA" w:rsidRDefault="003E6F2D" w:rsidP="00254D29">
            <w:pPr>
              <w:pStyle w:val="A-TableText"/>
              <w:jc w:val="center"/>
              <w:rPr>
                <w:lang w:val="en-AU"/>
              </w:rPr>
            </w:pPr>
          </w:p>
          <w:p w14:paraId="55A29CCD" w14:textId="77777777" w:rsidR="003E6F2D" w:rsidRPr="00524EEA" w:rsidRDefault="003E6F2D" w:rsidP="00254D29">
            <w:pPr>
              <w:pStyle w:val="A-TableText"/>
              <w:jc w:val="center"/>
              <w:rPr>
                <w:lang w:val="en-AU"/>
              </w:rPr>
            </w:pPr>
            <w:r w:rsidRPr="00524EEA">
              <w:rPr>
                <w:lang w:val="en-AU"/>
              </w:rPr>
              <w:t>94.21</w:t>
            </w:r>
          </w:p>
          <w:p w14:paraId="5A663EFC" w14:textId="77777777" w:rsidR="003E6F2D" w:rsidRPr="00524EEA" w:rsidRDefault="003E6F2D" w:rsidP="00254D29">
            <w:pPr>
              <w:pStyle w:val="A-TableText"/>
              <w:jc w:val="center"/>
              <w:rPr>
                <w:lang w:val="en-AU"/>
              </w:rPr>
            </w:pPr>
            <w:r w:rsidRPr="00524EEA">
              <w:rPr>
                <w:lang w:val="en-AU"/>
              </w:rPr>
              <w:t>0.02</w:t>
            </w:r>
          </w:p>
        </w:tc>
      </w:tr>
      <w:tr w:rsidR="003E6F2D" w:rsidRPr="00524EEA" w14:paraId="1220C088" w14:textId="77777777" w:rsidTr="003501A4">
        <w:tc>
          <w:tcPr>
            <w:tcW w:w="1970" w:type="pct"/>
            <w:tcBorders>
              <w:top w:val="single" w:sz="4" w:space="0" w:color="auto"/>
              <w:left w:val="nil"/>
              <w:bottom w:val="single" w:sz="8" w:space="0" w:color="auto"/>
              <w:right w:val="nil"/>
            </w:tcBorders>
          </w:tcPr>
          <w:p w14:paraId="3A4642B4" w14:textId="77777777" w:rsidR="003E6F2D" w:rsidRPr="00524EEA" w:rsidRDefault="003E6F2D" w:rsidP="00254D29">
            <w:pPr>
              <w:pStyle w:val="A-TableText"/>
              <w:rPr>
                <w:lang w:val="en-AU"/>
              </w:rPr>
            </w:pPr>
            <w:r w:rsidRPr="00524EEA">
              <w:rPr>
                <w:b/>
                <w:bCs/>
                <w:lang w:val="en-AU"/>
              </w:rPr>
              <w:t>Mean daily insulin dose (IU)</w:t>
            </w:r>
            <w:r w:rsidRPr="00524EEA">
              <w:rPr>
                <w:vertAlign w:val="superscript"/>
                <w:lang w:val="en-AU"/>
              </w:rPr>
              <w:t>1</w:t>
            </w:r>
          </w:p>
          <w:p w14:paraId="3479C4FD" w14:textId="77777777" w:rsidR="003E6F2D" w:rsidRPr="00524EEA" w:rsidRDefault="003E6F2D" w:rsidP="00254D29">
            <w:pPr>
              <w:pStyle w:val="A-TableText"/>
              <w:rPr>
                <w:lang w:val="en-AU"/>
              </w:rPr>
            </w:pPr>
            <w:r w:rsidRPr="00524EEA">
              <w:rPr>
                <w:lang w:val="en-AU"/>
              </w:rPr>
              <w:t>Baseline (mean)</w:t>
            </w:r>
          </w:p>
          <w:p w14:paraId="3E86F055" w14:textId="77777777" w:rsidR="003E6F2D" w:rsidRPr="00524EEA" w:rsidRDefault="003E6F2D" w:rsidP="00254D29">
            <w:pPr>
              <w:pStyle w:val="A-TableText"/>
              <w:rPr>
                <w:lang w:val="en-AU"/>
              </w:rPr>
            </w:pPr>
            <w:r w:rsidRPr="00524EEA">
              <w:rPr>
                <w:lang w:val="en-AU"/>
              </w:rPr>
              <w:t xml:space="preserve">Change from </w:t>
            </w:r>
            <w:proofErr w:type="spellStart"/>
            <w:r w:rsidRPr="00524EEA">
              <w:rPr>
                <w:lang w:val="en-AU"/>
              </w:rPr>
              <w:t>baseline</w:t>
            </w:r>
            <w:r w:rsidRPr="00524EEA">
              <w:rPr>
                <w:vertAlign w:val="superscript"/>
                <w:lang w:val="en-AU"/>
              </w:rPr>
              <w:t>c</w:t>
            </w:r>
            <w:proofErr w:type="spellEnd"/>
          </w:p>
          <w:p w14:paraId="59BEBF39" w14:textId="77777777" w:rsidR="003E6F2D" w:rsidRPr="00524EEA" w:rsidRDefault="003E6F2D" w:rsidP="00254D29">
            <w:pPr>
              <w:pStyle w:val="A-TableText"/>
              <w:rPr>
                <w:lang w:val="en-AU"/>
              </w:rPr>
            </w:pPr>
            <w:r w:rsidRPr="00524EEA">
              <w:rPr>
                <w:lang w:val="en-AU"/>
              </w:rPr>
              <w:t xml:space="preserve">Difference from </w:t>
            </w:r>
            <w:proofErr w:type="spellStart"/>
            <w:r w:rsidRPr="00524EEA">
              <w:rPr>
                <w:lang w:val="en-AU"/>
              </w:rPr>
              <w:t>placebo</w:t>
            </w:r>
            <w:r w:rsidRPr="00524EEA">
              <w:rPr>
                <w:vertAlign w:val="superscript"/>
                <w:lang w:val="en-AU"/>
              </w:rPr>
              <w:t>c</w:t>
            </w:r>
            <w:proofErr w:type="spellEnd"/>
          </w:p>
          <w:p w14:paraId="05BADF74" w14:textId="77777777" w:rsidR="003E6F2D" w:rsidRPr="00524EEA" w:rsidRDefault="003E6F2D" w:rsidP="00254D29">
            <w:pPr>
              <w:pStyle w:val="A-TableText"/>
              <w:rPr>
                <w:lang w:val="en-AU"/>
              </w:rPr>
            </w:pPr>
            <w:r w:rsidRPr="00524EEA">
              <w:rPr>
                <w:lang w:val="en-AU"/>
              </w:rPr>
              <w:t xml:space="preserve"> (95% CI)</w:t>
            </w:r>
          </w:p>
          <w:p w14:paraId="6D1B0E46" w14:textId="77777777" w:rsidR="003E6F2D" w:rsidRPr="00524EEA" w:rsidRDefault="003E6F2D" w:rsidP="00254D29">
            <w:pPr>
              <w:pStyle w:val="A-TableText"/>
              <w:rPr>
                <w:b/>
                <w:bCs/>
                <w:lang w:val="en-AU"/>
              </w:rPr>
            </w:pPr>
            <w:r w:rsidRPr="00524EEA">
              <w:rPr>
                <w:lang w:val="en-AU"/>
              </w:rPr>
              <w:t>Subjects with mean daily insulin dose reduction of at least 10% (%)</w:t>
            </w:r>
          </w:p>
        </w:tc>
        <w:tc>
          <w:tcPr>
            <w:tcW w:w="1514" w:type="pct"/>
            <w:tcBorders>
              <w:top w:val="single" w:sz="4" w:space="0" w:color="auto"/>
              <w:left w:val="nil"/>
              <w:bottom w:val="single" w:sz="8" w:space="0" w:color="auto"/>
              <w:right w:val="nil"/>
            </w:tcBorders>
          </w:tcPr>
          <w:p w14:paraId="41FF88EB" w14:textId="77777777" w:rsidR="003E6F2D" w:rsidRPr="00524EEA" w:rsidRDefault="003E6F2D" w:rsidP="00254D29">
            <w:pPr>
              <w:pStyle w:val="A-TableText"/>
              <w:jc w:val="center"/>
              <w:rPr>
                <w:lang w:val="en-AU"/>
              </w:rPr>
            </w:pPr>
          </w:p>
          <w:p w14:paraId="03347205" w14:textId="77777777" w:rsidR="003E6F2D" w:rsidRPr="00524EEA" w:rsidRDefault="003E6F2D" w:rsidP="00254D29">
            <w:pPr>
              <w:pStyle w:val="A-TableText"/>
              <w:jc w:val="center"/>
              <w:rPr>
                <w:lang w:val="en-AU"/>
              </w:rPr>
            </w:pPr>
            <w:r w:rsidRPr="00524EEA">
              <w:rPr>
                <w:lang w:val="en-AU"/>
              </w:rPr>
              <w:t>77.96</w:t>
            </w:r>
          </w:p>
          <w:p w14:paraId="0E06EAB5" w14:textId="77777777" w:rsidR="003E6F2D" w:rsidRPr="00524EEA" w:rsidRDefault="003E6F2D" w:rsidP="00254D29">
            <w:pPr>
              <w:pStyle w:val="A-TableText"/>
              <w:jc w:val="center"/>
              <w:rPr>
                <w:lang w:val="en-AU"/>
              </w:rPr>
            </w:pPr>
            <w:r w:rsidRPr="00524EEA">
              <w:rPr>
                <w:lang w:val="en-AU"/>
              </w:rPr>
              <w:noBreakHyphen/>
              <w:t>1.16</w:t>
            </w:r>
          </w:p>
          <w:p w14:paraId="3A66E0C6" w14:textId="77777777" w:rsidR="003E6F2D" w:rsidRPr="00524EEA" w:rsidRDefault="003E6F2D" w:rsidP="00254D29">
            <w:pPr>
              <w:pStyle w:val="A-TableText"/>
              <w:jc w:val="center"/>
              <w:rPr>
                <w:lang w:val="en-AU"/>
              </w:rPr>
            </w:pPr>
            <w:r w:rsidRPr="00524EEA">
              <w:rPr>
                <w:lang w:val="en-AU"/>
              </w:rPr>
              <w:noBreakHyphen/>
              <w:t>6.23</w:t>
            </w:r>
            <w:r w:rsidRPr="00524EEA">
              <w:rPr>
                <w:vertAlign w:val="superscript"/>
                <w:lang w:val="en-AU"/>
              </w:rPr>
              <w:t>*</w:t>
            </w:r>
          </w:p>
          <w:p w14:paraId="17C9CD32" w14:textId="77777777" w:rsidR="003E6F2D" w:rsidRPr="00524EEA" w:rsidRDefault="003E6F2D" w:rsidP="00254D29">
            <w:pPr>
              <w:pStyle w:val="A-TableText"/>
              <w:jc w:val="center"/>
              <w:rPr>
                <w:lang w:val="en-AU"/>
              </w:rPr>
            </w:pPr>
            <w:r w:rsidRPr="00524EEA">
              <w:rPr>
                <w:lang w:val="en-AU"/>
              </w:rPr>
              <w:t>(</w:t>
            </w:r>
            <w:r w:rsidRPr="00524EEA">
              <w:rPr>
                <w:lang w:val="en-AU"/>
              </w:rPr>
              <w:noBreakHyphen/>
              <w:t xml:space="preserve">8.84, </w:t>
            </w:r>
            <w:r w:rsidRPr="00524EEA">
              <w:rPr>
                <w:lang w:val="en-AU"/>
              </w:rPr>
              <w:noBreakHyphen/>
              <w:t>3.63)</w:t>
            </w:r>
          </w:p>
          <w:p w14:paraId="33D1B2A8" w14:textId="77777777" w:rsidR="003E6F2D" w:rsidRPr="00524EEA" w:rsidRDefault="003E6F2D" w:rsidP="00254D29">
            <w:pPr>
              <w:pStyle w:val="A-TableText"/>
              <w:jc w:val="center"/>
              <w:rPr>
                <w:lang w:val="en-AU"/>
              </w:rPr>
            </w:pPr>
          </w:p>
          <w:p w14:paraId="0EBFB96A" w14:textId="77777777" w:rsidR="003E6F2D" w:rsidRPr="00524EEA" w:rsidRDefault="003E6F2D" w:rsidP="00254D29">
            <w:pPr>
              <w:pStyle w:val="A-TableText"/>
              <w:jc w:val="center"/>
              <w:rPr>
                <w:lang w:val="en-AU"/>
              </w:rPr>
            </w:pPr>
            <w:r w:rsidRPr="00524EEA">
              <w:rPr>
                <w:lang w:val="en-AU"/>
              </w:rPr>
              <w:t>19.7</w:t>
            </w:r>
            <w:r w:rsidRPr="00524EEA">
              <w:rPr>
                <w:vertAlign w:val="superscript"/>
                <w:lang w:val="en-AU"/>
              </w:rPr>
              <w:t>**</w:t>
            </w:r>
          </w:p>
        </w:tc>
        <w:tc>
          <w:tcPr>
            <w:tcW w:w="1516" w:type="pct"/>
            <w:tcBorders>
              <w:top w:val="single" w:sz="4" w:space="0" w:color="auto"/>
              <w:left w:val="nil"/>
              <w:bottom w:val="single" w:sz="8" w:space="0" w:color="auto"/>
              <w:right w:val="nil"/>
            </w:tcBorders>
          </w:tcPr>
          <w:p w14:paraId="6C38DDF0" w14:textId="77777777" w:rsidR="003E6F2D" w:rsidRPr="00524EEA" w:rsidRDefault="003E6F2D" w:rsidP="00254D29">
            <w:pPr>
              <w:pStyle w:val="A-TableText"/>
              <w:jc w:val="center"/>
              <w:rPr>
                <w:lang w:val="en-AU"/>
              </w:rPr>
            </w:pPr>
          </w:p>
          <w:p w14:paraId="5CA7367F" w14:textId="77777777" w:rsidR="003E6F2D" w:rsidRPr="00524EEA" w:rsidRDefault="003E6F2D" w:rsidP="00254D29">
            <w:pPr>
              <w:pStyle w:val="A-TableText"/>
              <w:jc w:val="center"/>
              <w:rPr>
                <w:lang w:val="en-AU"/>
              </w:rPr>
            </w:pPr>
            <w:r w:rsidRPr="00524EEA">
              <w:rPr>
                <w:lang w:val="en-AU"/>
              </w:rPr>
              <w:t>73.96</w:t>
            </w:r>
          </w:p>
          <w:p w14:paraId="15E29F26" w14:textId="77777777" w:rsidR="003E6F2D" w:rsidRPr="00524EEA" w:rsidRDefault="003E6F2D" w:rsidP="00254D29">
            <w:pPr>
              <w:pStyle w:val="A-TableText"/>
              <w:jc w:val="center"/>
              <w:rPr>
                <w:lang w:val="en-AU"/>
              </w:rPr>
            </w:pPr>
            <w:r w:rsidRPr="00524EEA">
              <w:rPr>
                <w:lang w:val="en-AU"/>
              </w:rPr>
              <w:t>5.08</w:t>
            </w:r>
          </w:p>
          <w:p w14:paraId="320035B2" w14:textId="77777777" w:rsidR="003E6F2D" w:rsidRPr="00524EEA" w:rsidRDefault="003E6F2D" w:rsidP="00254D29">
            <w:pPr>
              <w:pStyle w:val="A-TableText"/>
              <w:jc w:val="center"/>
              <w:rPr>
                <w:lang w:val="en-AU"/>
              </w:rPr>
            </w:pPr>
          </w:p>
          <w:p w14:paraId="4D18ACAE" w14:textId="77777777" w:rsidR="003E6F2D" w:rsidRPr="00524EEA" w:rsidRDefault="003E6F2D" w:rsidP="00254D29">
            <w:pPr>
              <w:pStyle w:val="A-TableText"/>
              <w:jc w:val="center"/>
              <w:rPr>
                <w:lang w:val="en-AU"/>
              </w:rPr>
            </w:pPr>
          </w:p>
          <w:p w14:paraId="46A55FD5" w14:textId="77777777" w:rsidR="003E6F2D" w:rsidRPr="00524EEA" w:rsidRDefault="003E6F2D" w:rsidP="00254D29">
            <w:pPr>
              <w:pStyle w:val="A-TableText"/>
              <w:jc w:val="center"/>
              <w:rPr>
                <w:lang w:val="en-AU"/>
              </w:rPr>
            </w:pPr>
          </w:p>
          <w:p w14:paraId="515A594D" w14:textId="77777777" w:rsidR="003E6F2D" w:rsidRPr="00524EEA" w:rsidRDefault="003E6F2D" w:rsidP="00254D29">
            <w:pPr>
              <w:pStyle w:val="A-TableText"/>
              <w:jc w:val="center"/>
              <w:rPr>
                <w:lang w:val="en-AU"/>
              </w:rPr>
            </w:pPr>
            <w:r w:rsidRPr="00524EEA">
              <w:rPr>
                <w:lang w:val="en-AU"/>
              </w:rPr>
              <w:t>11.0</w:t>
            </w:r>
          </w:p>
        </w:tc>
      </w:tr>
      <w:tr w:rsidR="003E6F2D" w:rsidRPr="00524EEA" w14:paraId="2E3EF46A" w14:textId="77777777" w:rsidTr="003501A4">
        <w:tblPrEx>
          <w:tblBorders>
            <w:top w:val="single" w:sz="4" w:space="0" w:color="auto"/>
            <w:bottom w:val="none" w:sz="0" w:space="0" w:color="auto"/>
            <w:insideH w:val="none" w:sz="0" w:space="0" w:color="auto"/>
          </w:tblBorders>
        </w:tblPrEx>
        <w:trPr>
          <w:cantSplit/>
        </w:trPr>
        <w:tc>
          <w:tcPr>
            <w:tcW w:w="5000" w:type="pct"/>
            <w:gridSpan w:val="3"/>
            <w:tcBorders>
              <w:top w:val="single" w:sz="8" w:space="0" w:color="auto"/>
              <w:left w:val="nil"/>
              <w:bottom w:val="nil"/>
              <w:right w:val="nil"/>
            </w:tcBorders>
          </w:tcPr>
          <w:p w14:paraId="0D86E7EB" w14:textId="4A1CC9C8" w:rsidR="003E6F2D" w:rsidRPr="00524EEA" w:rsidRDefault="003E6F2D" w:rsidP="003501A4">
            <w:pPr>
              <w:pStyle w:val="A-TableFootnoteText"/>
              <w:jc w:val="left"/>
            </w:pPr>
            <w:r w:rsidRPr="00524EEA">
              <w:rPr>
                <w:vertAlign w:val="superscript"/>
              </w:rPr>
              <w:t>a</w:t>
            </w:r>
            <w:r w:rsidR="00B633A6" w:rsidRPr="00524EEA">
              <w:rPr>
                <w:vertAlign w:val="superscript"/>
              </w:rPr>
              <w:t xml:space="preserve"> </w:t>
            </w:r>
            <w:r w:rsidRPr="00524EEA">
              <w:t>LOCF: Last observation (prior to or on the date of the first insulin up-titration, if needed) carried forward</w:t>
            </w:r>
          </w:p>
          <w:p w14:paraId="0B7BD2EE" w14:textId="3BC9DC7F" w:rsidR="003E6F2D" w:rsidRPr="00524EEA" w:rsidRDefault="003E6F2D" w:rsidP="003501A4">
            <w:pPr>
              <w:pStyle w:val="A-TableFootnoteText"/>
              <w:jc w:val="left"/>
            </w:pPr>
            <w:r w:rsidRPr="00524EEA">
              <w:rPr>
                <w:vertAlign w:val="superscript"/>
              </w:rPr>
              <w:t>b</w:t>
            </w:r>
            <w:r w:rsidR="00B633A6" w:rsidRPr="00524EEA">
              <w:rPr>
                <w:vertAlign w:val="superscript"/>
              </w:rPr>
              <w:t xml:space="preserve"> </w:t>
            </w:r>
            <w:r w:rsidRPr="00524EEA">
              <w:t>All randomised subjects who took at least one dose of double-blind study medicinal product during the short-term double</w:t>
            </w:r>
            <w:r w:rsidRPr="00524EEA">
              <w:noBreakHyphen/>
              <w:t>blind period</w:t>
            </w:r>
          </w:p>
          <w:p w14:paraId="28579C8D" w14:textId="4D75C8BC" w:rsidR="003E6F2D" w:rsidRPr="00524EEA" w:rsidRDefault="003E6F2D" w:rsidP="003501A4">
            <w:pPr>
              <w:pStyle w:val="A-TableFootnoteText"/>
              <w:jc w:val="left"/>
            </w:pPr>
            <w:r w:rsidRPr="00524EEA">
              <w:rPr>
                <w:vertAlign w:val="superscript"/>
              </w:rPr>
              <w:t>c</w:t>
            </w:r>
            <w:r w:rsidR="00B633A6" w:rsidRPr="00524EEA">
              <w:rPr>
                <w:vertAlign w:val="superscript"/>
              </w:rPr>
              <w:t xml:space="preserve"> </w:t>
            </w:r>
            <w:r w:rsidRPr="00524EEA">
              <w:t>Least squares mean adjusted for baseline value and presence of oral glucose-lowering medicinal product</w:t>
            </w:r>
          </w:p>
          <w:p w14:paraId="441D8784" w14:textId="3AA2AE49" w:rsidR="003E6F2D" w:rsidRPr="00524EEA" w:rsidRDefault="003E6F2D" w:rsidP="003501A4">
            <w:pPr>
              <w:pStyle w:val="A-TableFootnoteText"/>
              <w:jc w:val="left"/>
            </w:pPr>
            <w:r w:rsidRPr="00524EEA">
              <w:rPr>
                <w:vertAlign w:val="superscript"/>
              </w:rPr>
              <w:t>*</w:t>
            </w:r>
            <w:r w:rsidR="00B633A6" w:rsidRPr="00524EEA">
              <w:rPr>
                <w:vertAlign w:val="superscript"/>
              </w:rPr>
              <w:t xml:space="preserve"> </w:t>
            </w:r>
            <w:r w:rsidRPr="00524EEA">
              <w:t>p</w:t>
            </w:r>
            <w:r w:rsidRPr="00524EEA">
              <w:noBreakHyphen/>
              <w:t>value &lt;0.0001 versus placebo + insulin ± oral glucose</w:t>
            </w:r>
            <w:r w:rsidRPr="00524EEA">
              <w:noBreakHyphen/>
              <w:t>lowering medicinal product</w:t>
            </w:r>
          </w:p>
          <w:p w14:paraId="3BE4B8EE" w14:textId="1E563D2A" w:rsidR="003E6F2D" w:rsidRPr="00524EEA" w:rsidRDefault="003E6F2D" w:rsidP="003501A4">
            <w:pPr>
              <w:pStyle w:val="A-TableFootnoteText"/>
              <w:jc w:val="left"/>
            </w:pPr>
            <w:r w:rsidRPr="00524EEA">
              <w:rPr>
                <w:vertAlign w:val="superscript"/>
              </w:rPr>
              <w:t>**</w:t>
            </w:r>
            <w:r w:rsidR="00B633A6" w:rsidRPr="00524EEA">
              <w:rPr>
                <w:vertAlign w:val="superscript"/>
              </w:rPr>
              <w:t xml:space="preserve"> </w:t>
            </w:r>
            <w:r w:rsidRPr="00524EEA">
              <w:t>p</w:t>
            </w:r>
            <w:r w:rsidRPr="00524EEA">
              <w:noBreakHyphen/>
              <w:t>value &lt;0.05 versus placebo + insulin ± oral glucose</w:t>
            </w:r>
            <w:r w:rsidRPr="00524EEA">
              <w:noBreakHyphen/>
              <w:t>lowering medicinal product</w:t>
            </w:r>
          </w:p>
          <w:p w14:paraId="50976477" w14:textId="6D7524F5" w:rsidR="003E6F2D" w:rsidRPr="00524EEA" w:rsidRDefault="003E6F2D" w:rsidP="003501A4">
            <w:pPr>
              <w:pStyle w:val="A-TableFootnoteText"/>
              <w:jc w:val="left"/>
            </w:pPr>
            <w:r w:rsidRPr="00524EEA">
              <w:rPr>
                <w:vertAlign w:val="superscript"/>
              </w:rPr>
              <w:t>1</w:t>
            </w:r>
            <w:r w:rsidR="00B633A6" w:rsidRPr="00524EEA">
              <w:rPr>
                <w:vertAlign w:val="superscript"/>
              </w:rPr>
              <w:t xml:space="preserve"> </w:t>
            </w:r>
            <w:r w:rsidRPr="00524EEA">
              <w:t>Up</w:t>
            </w:r>
            <w:r w:rsidRPr="00524EEA">
              <w:noBreakHyphen/>
              <w:t>titration of insulin regimens (including short-acting, intermediate, and basal insulin) was only allowed if subjects met pre</w:t>
            </w:r>
            <w:r w:rsidRPr="00524EEA">
              <w:noBreakHyphen/>
              <w:t>defined FPG criteria.</w:t>
            </w:r>
          </w:p>
          <w:p w14:paraId="5AF6198C" w14:textId="4217CDC1" w:rsidR="003E6F2D" w:rsidRPr="00524EEA" w:rsidRDefault="003E6F2D" w:rsidP="003501A4">
            <w:pPr>
              <w:pStyle w:val="A-TableFootnoteText"/>
              <w:jc w:val="left"/>
            </w:pPr>
            <w:r w:rsidRPr="00524EEA">
              <w:rPr>
                <w:vertAlign w:val="superscript"/>
              </w:rPr>
              <w:t>2</w:t>
            </w:r>
            <w:r w:rsidR="00B633A6" w:rsidRPr="00524EEA">
              <w:rPr>
                <w:vertAlign w:val="superscript"/>
              </w:rPr>
              <w:t xml:space="preserve"> </w:t>
            </w:r>
            <w:r w:rsidRPr="00524EEA">
              <w:t>Fifty percent of subjects were on insulin monotherapy at baseline; 50% were on 1 or 2 oral glucose</w:t>
            </w:r>
            <w:r w:rsidRPr="00524EEA">
              <w:noBreakHyphen/>
              <w:t>lowering medicinal product(s) in addition to insulin: Of this latter group, 80% were on metformin alone, 12% were on metformin plus sulfonylurea therapy, and the rest were on other oral glucose</w:t>
            </w:r>
            <w:r w:rsidRPr="00524EEA">
              <w:noBreakHyphen/>
              <w:t>lowering medicinal products.</w:t>
            </w:r>
          </w:p>
        </w:tc>
      </w:tr>
    </w:tbl>
    <w:p w14:paraId="40335735" w14:textId="77777777" w:rsidR="003E6F2D" w:rsidRPr="00524EEA" w:rsidRDefault="003E6F2D" w:rsidP="004C3E58">
      <w:pPr>
        <w:spacing w:after="0" w:line="240" w:lineRule="auto"/>
      </w:pPr>
    </w:p>
    <w:p w14:paraId="3E257118" w14:textId="105CE3CF" w:rsidR="003E6F2D" w:rsidRPr="00524EEA" w:rsidRDefault="003E6F2D" w:rsidP="003E6F2D">
      <w:r w:rsidRPr="00524EEA">
        <w:t>The reductions in HbA1c observed at Week 24 were sustained in add</w:t>
      </w:r>
      <w:r w:rsidRPr="00524EEA">
        <w:noBreakHyphen/>
        <w:t>on combination studies (glimepiride and insulin) with 48</w:t>
      </w:r>
      <w:r w:rsidRPr="00524EEA">
        <w:noBreakHyphen/>
        <w:t>week data (glimepiride) and up to 104</w:t>
      </w:r>
      <w:r w:rsidRPr="00524EEA">
        <w:noBreakHyphen/>
        <w:t xml:space="preserve">week data (insulin, see Fig 2).  At Week 48 when added to </w:t>
      </w:r>
      <w:proofErr w:type="spellStart"/>
      <w:r w:rsidRPr="00524EEA">
        <w:t>sitagliptin</w:t>
      </w:r>
      <w:proofErr w:type="spellEnd"/>
      <w:r w:rsidRPr="00524EEA">
        <w:t xml:space="preserve"> (with or without metformin), the adjusted mean change from baseline for FORXIGA 10 mg and placebo was </w:t>
      </w:r>
      <w:r w:rsidRPr="00524EEA">
        <w:noBreakHyphen/>
        <w:t>0.30% and 0.38%, respectively.  For the add</w:t>
      </w:r>
      <w:r w:rsidRPr="00524EEA">
        <w:noBreakHyphen/>
        <w:t>on to metformin study, HbA1c reductions were sustained through Week 102 (</w:t>
      </w:r>
      <w:r w:rsidRPr="00524EEA">
        <w:noBreakHyphen/>
        <w:t>0.78% and 0.02% adjusted mean change from baseline for 10 mg and placebo, respectively, see also Fig 3).  At Week 104 for insulin (with or without additional oral glucose</w:t>
      </w:r>
      <w:r w:rsidRPr="00524EEA">
        <w:noBreakHyphen/>
        <w:t xml:space="preserve">lowering medicinal products), the HbA1c reductions were </w:t>
      </w:r>
      <w:r w:rsidRPr="00524EEA">
        <w:noBreakHyphen/>
        <w:t xml:space="preserve">0.71% and </w:t>
      </w:r>
      <w:r w:rsidRPr="00524EEA">
        <w:noBreakHyphen/>
        <w:t>0.06% adjusted mean change from baseline for FORXIGA 10 mg and placebo, respectively.  At Weeks 48 and 104, the insulin dose remained stable compared to baseline in subjects treated with FORXIGA 10 mg at an average dose of 76 IU/day (See Fig 4).  In the placebo group there was a mean increase of 10.5 IU/day and 18.3 IU/day from baseline at Weeks 48 and 104, respectively.  The proportion of subjects remaining in the study at Week 104 was 72.4% for the group treated with FORXIGA 10 mg and 54.8% for the placebo group.</w:t>
      </w:r>
    </w:p>
    <w:tbl>
      <w:tblPr>
        <w:tblW w:w="9855" w:type="dxa"/>
        <w:tblInd w:w="-108" w:type="dxa"/>
        <w:tblLayout w:type="fixed"/>
        <w:tblLook w:val="01E0" w:firstRow="1" w:lastRow="1" w:firstColumn="1" w:lastColumn="1" w:noHBand="0" w:noVBand="0"/>
      </w:tblPr>
      <w:tblGrid>
        <w:gridCol w:w="500"/>
        <w:gridCol w:w="8855"/>
        <w:gridCol w:w="500"/>
      </w:tblGrid>
      <w:tr w:rsidR="003E6F2D" w:rsidRPr="00524EEA" w14:paraId="1D032358" w14:textId="77777777" w:rsidTr="003501A4">
        <w:trPr>
          <w:gridAfter w:val="1"/>
          <w:wAfter w:w="500" w:type="dxa"/>
        </w:trPr>
        <w:tc>
          <w:tcPr>
            <w:tcW w:w="9355" w:type="dxa"/>
            <w:gridSpan w:val="2"/>
          </w:tcPr>
          <w:p w14:paraId="3D706C9A" w14:textId="61F1A884" w:rsidR="003501A4" w:rsidRPr="00524EEA" w:rsidRDefault="003E6F2D" w:rsidP="003501A4">
            <w:pPr>
              <w:pStyle w:val="A-FigureTitle"/>
              <w:rPr>
                <w:lang w:val="en-AU"/>
              </w:rPr>
            </w:pPr>
            <w:r w:rsidRPr="00524EEA">
              <w:rPr>
                <w:lang w:val="en-AU"/>
              </w:rPr>
              <w:t>F</w:t>
            </w:r>
            <w:r w:rsidR="006A3BCE" w:rsidRPr="00524EEA">
              <w:rPr>
                <w:lang w:val="en-AU"/>
              </w:rPr>
              <w:t>igure 2.</w:t>
            </w:r>
            <w:r w:rsidRPr="00524EEA">
              <w:rPr>
                <w:lang w:val="en-AU"/>
              </w:rPr>
              <w:tab/>
              <w:t>HbA1c (%) Adjusted Mean Change from Baseline Over Time Short-term and Long-term Treatment Period in a Placebo-controlled Study of FORXIGA in Combination with Insulin with or without up to 2 Oral Anti-diabetic Therapies Excluding Data After Insulin Up-titration.</w:t>
            </w:r>
          </w:p>
        </w:tc>
      </w:tr>
      <w:tr w:rsidR="003E6F2D" w:rsidRPr="00524EEA" w14:paraId="20EA2317" w14:textId="77777777" w:rsidTr="003501A4">
        <w:trPr>
          <w:gridBefore w:val="1"/>
          <w:wBefore w:w="500" w:type="dxa"/>
        </w:trPr>
        <w:tc>
          <w:tcPr>
            <w:tcW w:w="9355" w:type="dxa"/>
            <w:gridSpan w:val="2"/>
          </w:tcPr>
          <w:p w14:paraId="1C6FA0D1" w14:textId="661ED5F9" w:rsidR="003E6F2D" w:rsidRPr="00524EEA" w:rsidRDefault="003E6F2D" w:rsidP="003501A4">
            <w:pPr>
              <w:ind w:hanging="501"/>
              <w:rPr>
                <w:b/>
              </w:rPr>
            </w:pPr>
            <w:r w:rsidRPr="00524EEA">
              <w:rPr>
                <w:noProof/>
                <w:lang w:eastAsia="en-AU"/>
              </w:rPr>
              <w:drawing>
                <wp:inline distT="0" distB="0" distL="0" distR="0" wp14:anchorId="6AFDD1C6" wp14:editId="67E20D23">
                  <wp:extent cx="5915660" cy="5001260"/>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l="7552" b="22021"/>
                          <a:stretch>
                            <a:fillRect/>
                          </a:stretch>
                        </pic:blipFill>
                        <pic:spPr bwMode="auto">
                          <a:xfrm>
                            <a:off x="0" y="0"/>
                            <a:ext cx="5915660" cy="5001260"/>
                          </a:xfrm>
                          <a:prstGeom prst="rect">
                            <a:avLst/>
                          </a:prstGeom>
                          <a:noFill/>
                          <a:ln>
                            <a:noFill/>
                          </a:ln>
                        </pic:spPr>
                      </pic:pic>
                    </a:graphicData>
                  </a:graphic>
                </wp:inline>
              </w:drawing>
            </w:r>
          </w:p>
          <w:p w14:paraId="01792E19" w14:textId="77777777" w:rsidR="003E6F2D" w:rsidRPr="00524EEA" w:rsidRDefault="003E6F2D" w:rsidP="001C4EEF">
            <w:pPr>
              <w:pStyle w:val="A-TableFootnoteText"/>
            </w:pPr>
            <w:r w:rsidRPr="00524EEA">
              <w:t>Error bars represent 95% confidence intervals for the adjusted mean change from baseline</w:t>
            </w:r>
          </w:p>
        </w:tc>
      </w:tr>
    </w:tbl>
    <w:p w14:paraId="5150F110" w14:textId="77777777" w:rsidR="003E6F2D" w:rsidRPr="00524EEA" w:rsidRDefault="003E6F2D" w:rsidP="003E6F2D"/>
    <w:p w14:paraId="734334DC" w14:textId="285820B7" w:rsidR="003501A4" w:rsidRPr="00524EEA" w:rsidRDefault="003501A4">
      <w:pPr>
        <w:rPr>
          <w:rFonts w:eastAsia="Times New Roman" w:cs="Arial"/>
          <w:b/>
          <w:sz w:val="22"/>
          <w:szCs w:val="20"/>
        </w:rPr>
      </w:pPr>
      <w:r w:rsidRPr="00524EEA">
        <w:br w:type="page"/>
      </w:r>
    </w:p>
    <w:p w14:paraId="293CD1A3" w14:textId="0A54D384" w:rsidR="003E6F2D" w:rsidRPr="00524EEA" w:rsidRDefault="003E6F2D" w:rsidP="001B18F1">
      <w:pPr>
        <w:pStyle w:val="A-TableTitle"/>
        <w:rPr>
          <w:lang w:val="en-AU"/>
        </w:rPr>
      </w:pPr>
      <w:r w:rsidRPr="00524EEA">
        <w:rPr>
          <w:lang w:val="en-AU"/>
        </w:rPr>
        <w:t>F</w:t>
      </w:r>
      <w:r w:rsidR="00715483" w:rsidRPr="00524EEA">
        <w:rPr>
          <w:lang w:val="en-AU"/>
        </w:rPr>
        <w:t>igure 3.</w:t>
      </w:r>
      <w:r w:rsidRPr="00524EEA">
        <w:rPr>
          <w:lang w:val="en-AU"/>
        </w:rPr>
        <w:tab/>
        <w:t>Adjusted Mean Change from Baseline Over Time in HbA1c in a 102</w:t>
      </w:r>
      <w:r w:rsidRPr="00524EEA">
        <w:rPr>
          <w:lang w:val="en-AU"/>
        </w:rPr>
        <w:noBreakHyphen/>
        <w:t>Week Placebo-Controlled Study of FORXIGA in Combination with Metformin (Longitudinal Repeated Measures Analysis, Excluding Data after Rescue)</w:t>
      </w:r>
    </w:p>
    <w:p w14:paraId="76969812" w14:textId="77777777" w:rsidR="003501A4" w:rsidRPr="00524EEA" w:rsidRDefault="003501A4" w:rsidP="003501A4">
      <w:pPr>
        <w:pStyle w:val="A-TableText"/>
        <w:rPr>
          <w:lang w:val="en-AU"/>
        </w:rPr>
      </w:pPr>
    </w:p>
    <w:p w14:paraId="1D431BB4" w14:textId="7E048731" w:rsidR="003E6F2D" w:rsidRPr="00524EEA" w:rsidRDefault="003E6F2D" w:rsidP="003E6F2D">
      <w:r w:rsidRPr="00524EEA">
        <w:rPr>
          <w:noProof/>
          <w:lang w:eastAsia="en-AU"/>
        </w:rPr>
        <w:drawing>
          <wp:inline distT="0" distB="0" distL="0" distR="0" wp14:anchorId="26659071" wp14:editId="7ECC4874">
            <wp:extent cx="5955665" cy="4253865"/>
            <wp:effectExtent l="0" t="0" r="0" b="0"/>
            <wp:docPr id="7" name="Picture 7" descr="FORIXGA PI_Fig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IXGA PI_Figure 4-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5665" cy="4253865"/>
                    </a:xfrm>
                    <a:prstGeom prst="rect">
                      <a:avLst/>
                    </a:prstGeom>
                    <a:noFill/>
                    <a:ln>
                      <a:noFill/>
                    </a:ln>
                  </pic:spPr>
                </pic:pic>
              </a:graphicData>
            </a:graphic>
          </wp:inline>
        </w:drawing>
      </w:r>
    </w:p>
    <w:p w14:paraId="328A98CA" w14:textId="77777777" w:rsidR="003E6F2D" w:rsidRPr="00524EEA" w:rsidRDefault="003E6F2D" w:rsidP="003501A4">
      <w:pPr>
        <w:pStyle w:val="A-TableFootnoteText"/>
        <w:jc w:val="left"/>
      </w:pPr>
      <w:r w:rsidRPr="00524EEA">
        <w:t>LOCF: Last observation (prior to rescue for rescued subjects) carried forward.</w:t>
      </w:r>
    </w:p>
    <w:p w14:paraId="0A145367" w14:textId="77777777" w:rsidR="003E6F2D" w:rsidRPr="00524EEA" w:rsidRDefault="003E6F2D" w:rsidP="003501A4">
      <w:pPr>
        <w:pStyle w:val="A-TableFootnoteText"/>
        <w:jc w:val="left"/>
      </w:pPr>
      <w:r w:rsidRPr="00524EEA">
        <w:t>Values for 24 (OCF) represent adjusted mean and 95% confidence intervals based on an ANCOVA model.</w:t>
      </w:r>
    </w:p>
    <w:p w14:paraId="48D05DF9" w14:textId="7D0CCAA9" w:rsidR="003E6F2D" w:rsidRPr="00524EEA" w:rsidRDefault="003E6F2D" w:rsidP="003501A4">
      <w:pPr>
        <w:pStyle w:val="A-TableFootnoteText"/>
        <w:jc w:val="left"/>
      </w:pPr>
      <w:r w:rsidRPr="00524EEA">
        <w:t>Values for other weeks represent adjusted means based on a longitudinal repeated measures model.</w:t>
      </w:r>
    </w:p>
    <w:p w14:paraId="3168995A" w14:textId="32F1DB36" w:rsidR="00AA6992" w:rsidRPr="00524EEA" w:rsidRDefault="00AA6992" w:rsidP="001C4EEF">
      <w:pPr>
        <w:pStyle w:val="A-TableFootnoteText"/>
      </w:pPr>
    </w:p>
    <w:p w14:paraId="037362A4" w14:textId="7C9BCDA5" w:rsidR="001C4EEF" w:rsidRPr="00524EEA" w:rsidRDefault="001C4EEF" w:rsidP="001C4EEF">
      <w:pPr>
        <w:rPr>
          <w:lang w:val="en-GB"/>
        </w:rPr>
      </w:pPr>
    </w:p>
    <w:tbl>
      <w:tblPr>
        <w:tblW w:w="9435" w:type="dxa"/>
        <w:tblInd w:w="108" w:type="dxa"/>
        <w:tblLook w:val="01E0" w:firstRow="1" w:lastRow="1" w:firstColumn="1" w:lastColumn="1" w:noHBand="0" w:noVBand="0"/>
      </w:tblPr>
      <w:tblGrid>
        <w:gridCol w:w="9435"/>
      </w:tblGrid>
      <w:tr w:rsidR="003E6F2D" w:rsidRPr="00524EEA" w14:paraId="77A01C6A" w14:textId="77777777" w:rsidTr="003E6F2D">
        <w:tc>
          <w:tcPr>
            <w:tcW w:w="9435" w:type="dxa"/>
          </w:tcPr>
          <w:p w14:paraId="7CB20533" w14:textId="4399A01F" w:rsidR="003E6F2D" w:rsidRPr="00524EEA" w:rsidRDefault="003E6F2D" w:rsidP="0056764E">
            <w:pPr>
              <w:pStyle w:val="A-FigureTitle"/>
              <w:rPr>
                <w:lang w:val="en-AU"/>
              </w:rPr>
            </w:pPr>
            <w:r w:rsidRPr="00524EEA">
              <w:rPr>
                <w:lang w:val="en-AU"/>
              </w:rPr>
              <w:t>F</w:t>
            </w:r>
            <w:r w:rsidR="0056764E" w:rsidRPr="00524EEA">
              <w:rPr>
                <w:lang w:val="en-AU"/>
              </w:rPr>
              <w:t>igure 4.</w:t>
            </w:r>
            <w:r w:rsidRPr="00524EEA">
              <w:rPr>
                <w:lang w:val="en-AU"/>
              </w:rPr>
              <w:tab/>
              <w:t>Mean Daily Insulin Dose (IU/day) Adjusted Mean Change from Baseline Over Time in a Placebo-controlled Study of FORXIGA in Combination with Insulin with or without up to 2 Oral Anti-diabetic Therapies Short-term and Long-term Treatment Period Including Data After Insulin Up-titration</w:t>
            </w:r>
          </w:p>
          <w:p w14:paraId="547E7D5F" w14:textId="560B9D4F" w:rsidR="003E6F2D" w:rsidRPr="00524EEA" w:rsidRDefault="003E6F2D" w:rsidP="003E6F2D">
            <w:pPr>
              <w:rPr>
                <w:b/>
              </w:rPr>
            </w:pPr>
            <w:r w:rsidRPr="00524EEA">
              <w:rPr>
                <w:noProof/>
                <w:lang w:eastAsia="en-AU"/>
              </w:rPr>
              <w:drawing>
                <wp:inline distT="0" distB="0" distL="0" distR="0" wp14:anchorId="21630E1A" wp14:editId="25981287">
                  <wp:extent cx="5446395" cy="5446395"/>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l="7552" b="22021"/>
                          <a:stretch>
                            <a:fillRect/>
                          </a:stretch>
                        </pic:blipFill>
                        <pic:spPr bwMode="auto">
                          <a:xfrm>
                            <a:off x="0" y="0"/>
                            <a:ext cx="5446395" cy="5446395"/>
                          </a:xfrm>
                          <a:prstGeom prst="rect">
                            <a:avLst/>
                          </a:prstGeom>
                          <a:noFill/>
                          <a:ln>
                            <a:noFill/>
                          </a:ln>
                        </pic:spPr>
                      </pic:pic>
                    </a:graphicData>
                  </a:graphic>
                </wp:inline>
              </w:drawing>
            </w:r>
          </w:p>
          <w:p w14:paraId="42DA82B3" w14:textId="77777777" w:rsidR="003E6F2D" w:rsidRPr="00524EEA" w:rsidRDefault="001C4EEF" w:rsidP="001C4EEF">
            <w:pPr>
              <w:pStyle w:val="A-TableFootnoteText"/>
            </w:pPr>
            <w:r w:rsidRPr="00524EEA">
              <w:t>Error bars represent 95% confidence intervals for the adjusted mean change from baseline</w:t>
            </w:r>
          </w:p>
          <w:p w14:paraId="139C8B7E" w14:textId="70DBFF35" w:rsidR="001C4EEF" w:rsidRPr="00524EEA" w:rsidRDefault="001C4EEF" w:rsidP="001C4EEF">
            <w:pPr>
              <w:rPr>
                <w:lang w:val="en-GB"/>
              </w:rPr>
            </w:pPr>
          </w:p>
        </w:tc>
      </w:tr>
    </w:tbl>
    <w:p w14:paraId="4132C948" w14:textId="77777777" w:rsidR="003E6F2D" w:rsidRPr="00524EEA" w:rsidRDefault="003E6F2D" w:rsidP="00D57799">
      <w:pPr>
        <w:pStyle w:val="Heading5nobookmark"/>
      </w:pPr>
      <w:r w:rsidRPr="00524EEA">
        <w:t xml:space="preserve">Concomitant Initiation therapy with </w:t>
      </w:r>
      <w:proofErr w:type="spellStart"/>
      <w:r w:rsidRPr="00524EEA">
        <w:t>saxagliptin</w:t>
      </w:r>
      <w:proofErr w:type="spellEnd"/>
      <w:r w:rsidRPr="00524EEA">
        <w:t xml:space="preserve"> and </w:t>
      </w:r>
      <w:proofErr w:type="spellStart"/>
      <w:r w:rsidRPr="00524EEA">
        <w:t>dapagliflozin</w:t>
      </w:r>
      <w:proofErr w:type="spellEnd"/>
      <w:r w:rsidRPr="00524EEA">
        <w:t xml:space="preserve"> in patients inadequately controlled on metformin</w:t>
      </w:r>
    </w:p>
    <w:p w14:paraId="5460A6D2" w14:textId="5F44E79F" w:rsidR="003E6F2D" w:rsidRPr="00524EEA" w:rsidRDefault="003E6F2D" w:rsidP="003E6F2D">
      <w:r w:rsidRPr="00524EEA">
        <w:t xml:space="preserve">In a 24-week randomised, double-blind, active comparator-controlled superiority study comparing the combination of </w:t>
      </w:r>
      <w:proofErr w:type="spellStart"/>
      <w:r w:rsidRPr="00524EEA">
        <w:t>saxagliptin</w:t>
      </w:r>
      <w:proofErr w:type="spellEnd"/>
      <w:r w:rsidRPr="00524EEA">
        <w:t xml:space="preserve"> and </w:t>
      </w:r>
      <w:proofErr w:type="spellStart"/>
      <w:r w:rsidRPr="00524EEA">
        <w:t>dapagliflozin</w:t>
      </w:r>
      <w:proofErr w:type="spellEnd"/>
      <w:r w:rsidRPr="00524EEA">
        <w:t xml:space="preserve"> added concomitantly to metformin, versus </w:t>
      </w:r>
      <w:proofErr w:type="spellStart"/>
      <w:r w:rsidRPr="00524EEA">
        <w:t>saxagliptin</w:t>
      </w:r>
      <w:proofErr w:type="spellEnd"/>
      <w:r w:rsidRPr="00524EEA">
        <w:t xml:space="preserve"> (DPP4-Inhibitor) or </w:t>
      </w:r>
      <w:proofErr w:type="spellStart"/>
      <w:r w:rsidRPr="00524EEA">
        <w:t>dapagliflozin</w:t>
      </w:r>
      <w:proofErr w:type="spellEnd"/>
      <w:r w:rsidRPr="00524EEA">
        <w:t xml:space="preserve"> (SGLT2 inhibitor) added to metformin in patients with type 2 diabetes mellitus with inadequate glycaemic control on metformin alone (HbA1c ≥8% and ≤12%).The </w:t>
      </w:r>
      <w:proofErr w:type="spellStart"/>
      <w:r w:rsidRPr="00524EEA">
        <w:t>saxagliptin</w:t>
      </w:r>
      <w:proofErr w:type="spellEnd"/>
      <w:r w:rsidRPr="00524EEA">
        <w:t xml:space="preserve"> and </w:t>
      </w:r>
      <w:proofErr w:type="spellStart"/>
      <w:r w:rsidRPr="00524EEA">
        <w:t>dapagliflozin</w:t>
      </w:r>
      <w:proofErr w:type="spellEnd"/>
      <w:r w:rsidRPr="00524EEA">
        <w:t xml:space="preserve"> group achieved significantly greater reductions in HbA1c versus either the </w:t>
      </w:r>
      <w:proofErr w:type="spellStart"/>
      <w:r w:rsidRPr="00524EEA">
        <w:t>saxagliptin</w:t>
      </w:r>
      <w:proofErr w:type="spellEnd"/>
      <w:r w:rsidRPr="00524EEA">
        <w:t xml:space="preserve"> group or </w:t>
      </w:r>
      <w:proofErr w:type="spellStart"/>
      <w:r w:rsidRPr="00524EEA">
        <w:t>dapagliflozin</w:t>
      </w:r>
      <w:proofErr w:type="spellEnd"/>
      <w:r w:rsidRPr="00524EEA">
        <w:t xml:space="preserve"> group at 24 weeks (see </w:t>
      </w:r>
      <w:r w:rsidR="00715483" w:rsidRPr="00524EEA">
        <w:t>Table 8</w:t>
      </w:r>
      <w:r w:rsidRPr="00524EEA">
        <w:t>).</w:t>
      </w:r>
    </w:p>
    <w:p w14:paraId="3F59C2FB" w14:textId="043B7612" w:rsidR="003501A4" w:rsidRPr="00524EEA" w:rsidRDefault="00715483" w:rsidP="008B581C">
      <w:pPr>
        <w:pStyle w:val="A-TableTitle"/>
        <w:rPr>
          <w:lang w:val="en-AU"/>
        </w:rPr>
      </w:pPr>
      <w:r w:rsidRPr="00524EEA">
        <w:rPr>
          <w:lang w:val="en-AU"/>
        </w:rPr>
        <w:t>Table 8</w:t>
      </w:r>
      <w:r w:rsidR="0056764E" w:rsidRPr="00524EEA">
        <w:rPr>
          <w:lang w:val="en-AU"/>
        </w:rPr>
        <w:t>.</w:t>
      </w:r>
      <w:r w:rsidR="003E6F2D" w:rsidRPr="00524EEA">
        <w:rPr>
          <w:lang w:val="en-AU"/>
        </w:rPr>
        <w:tab/>
        <w:t xml:space="preserve">HbA1c at Week 24 in Active-Controlled Study Comparing the Combination of </w:t>
      </w:r>
      <w:proofErr w:type="spellStart"/>
      <w:r w:rsidR="003E6F2D" w:rsidRPr="00524EEA">
        <w:rPr>
          <w:lang w:val="en-AU"/>
        </w:rPr>
        <w:t>Saxagliptin</w:t>
      </w:r>
      <w:proofErr w:type="spellEnd"/>
      <w:r w:rsidR="003E6F2D" w:rsidRPr="00524EEA">
        <w:rPr>
          <w:lang w:val="en-AU"/>
        </w:rPr>
        <w:t xml:space="preserve"> and </w:t>
      </w:r>
      <w:proofErr w:type="spellStart"/>
      <w:r w:rsidR="003E6F2D" w:rsidRPr="00524EEA">
        <w:rPr>
          <w:lang w:val="en-AU"/>
        </w:rPr>
        <w:t>Dapagliflozin</w:t>
      </w:r>
      <w:proofErr w:type="spellEnd"/>
      <w:r w:rsidR="003E6F2D" w:rsidRPr="00524EEA">
        <w:rPr>
          <w:lang w:val="en-AU"/>
        </w:rPr>
        <w:t xml:space="preserve"> Added Concurrently to Metformin with either </w:t>
      </w:r>
      <w:proofErr w:type="spellStart"/>
      <w:r w:rsidR="003E6F2D" w:rsidRPr="00524EEA">
        <w:rPr>
          <w:lang w:val="en-AU"/>
        </w:rPr>
        <w:t>Saxagliptin</w:t>
      </w:r>
      <w:proofErr w:type="spellEnd"/>
      <w:r w:rsidR="003E6F2D" w:rsidRPr="00524EEA">
        <w:rPr>
          <w:lang w:val="en-AU"/>
        </w:rPr>
        <w:t xml:space="preserve"> or </w:t>
      </w:r>
      <w:proofErr w:type="spellStart"/>
      <w:r w:rsidR="003E6F2D" w:rsidRPr="00524EEA">
        <w:rPr>
          <w:lang w:val="en-AU"/>
        </w:rPr>
        <w:t>Dapagliflozin</w:t>
      </w:r>
      <w:proofErr w:type="spellEnd"/>
      <w:r w:rsidR="003E6F2D" w:rsidRPr="00524EEA">
        <w:rPr>
          <w:lang w:val="en-AU"/>
        </w:rPr>
        <w:t xml:space="preserve"> Added to Metformin</w:t>
      </w:r>
    </w:p>
    <w:tbl>
      <w:tblPr>
        <w:tblW w:w="0" w:type="auto"/>
        <w:tblLayout w:type="fixed"/>
        <w:tblLook w:val="0000" w:firstRow="0" w:lastRow="0" w:firstColumn="0" w:lastColumn="0" w:noHBand="0" w:noVBand="0"/>
      </w:tblPr>
      <w:tblGrid>
        <w:gridCol w:w="2376"/>
        <w:gridCol w:w="2268"/>
        <w:gridCol w:w="2127"/>
        <w:gridCol w:w="2235"/>
      </w:tblGrid>
      <w:tr w:rsidR="003E6F2D" w:rsidRPr="00524EEA" w14:paraId="7EF72E7A" w14:textId="77777777" w:rsidTr="003501A4">
        <w:trPr>
          <w:cantSplit/>
          <w:tblHeader/>
        </w:trPr>
        <w:tc>
          <w:tcPr>
            <w:tcW w:w="2376" w:type="dxa"/>
            <w:tcBorders>
              <w:top w:val="single" w:sz="8" w:space="0" w:color="auto"/>
              <w:bottom w:val="single" w:sz="4" w:space="0" w:color="auto"/>
            </w:tcBorders>
            <w:shd w:val="clear" w:color="auto" w:fill="auto"/>
          </w:tcPr>
          <w:p w14:paraId="05C48143" w14:textId="77777777" w:rsidR="003E6F2D" w:rsidRPr="00524EEA" w:rsidRDefault="003E6F2D" w:rsidP="0056764E">
            <w:pPr>
              <w:pStyle w:val="A-TableHeader"/>
              <w:rPr>
                <w:lang w:val="en-AU"/>
              </w:rPr>
            </w:pPr>
            <w:r w:rsidRPr="00524EEA">
              <w:rPr>
                <w:lang w:val="en-AU"/>
              </w:rPr>
              <w:t>Efficacy Parameter</w:t>
            </w:r>
          </w:p>
        </w:tc>
        <w:tc>
          <w:tcPr>
            <w:tcW w:w="2268" w:type="dxa"/>
            <w:tcBorders>
              <w:top w:val="single" w:sz="8" w:space="0" w:color="auto"/>
              <w:bottom w:val="single" w:sz="4" w:space="0" w:color="auto"/>
            </w:tcBorders>
            <w:shd w:val="clear" w:color="auto" w:fill="auto"/>
          </w:tcPr>
          <w:p w14:paraId="5E9FAAB3" w14:textId="77777777" w:rsidR="003E6F2D" w:rsidRPr="00524EEA" w:rsidRDefault="003E6F2D" w:rsidP="0056764E">
            <w:pPr>
              <w:pStyle w:val="A-TableHeader"/>
              <w:jc w:val="center"/>
              <w:rPr>
                <w:lang w:val="en-AU"/>
              </w:rPr>
            </w:pPr>
            <w:proofErr w:type="spellStart"/>
            <w:r w:rsidRPr="00524EEA">
              <w:rPr>
                <w:lang w:val="en-AU"/>
              </w:rPr>
              <w:t>Saxagliptin</w:t>
            </w:r>
            <w:proofErr w:type="spellEnd"/>
            <w:r w:rsidRPr="00524EEA">
              <w:rPr>
                <w:lang w:val="en-AU"/>
              </w:rPr>
              <w:t xml:space="preserve"> 5 mg + </w:t>
            </w:r>
            <w:proofErr w:type="spellStart"/>
            <w:r w:rsidRPr="00524EEA">
              <w:rPr>
                <w:lang w:val="en-AU"/>
              </w:rPr>
              <w:t>Dapagliflozin</w:t>
            </w:r>
            <w:proofErr w:type="spellEnd"/>
            <w:r w:rsidRPr="00524EEA">
              <w:rPr>
                <w:lang w:val="en-AU"/>
              </w:rPr>
              <w:t xml:space="preserve"> 10 mg + Metformin XR</w:t>
            </w:r>
            <w:r w:rsidRPr="00524EEA">
              <w:rPr>
                <w:vertAlign w:val="superscript"/>
                <w:lang w:val="en-AU"/>
              </w:rPr>
              <w:t>#</w:t>
            </w:r>
          </w:p>
          <w:p w14:paraId="2E647A2F" w14:textId="77777777" w:rsidR="003E6F2D" w:rsidRPr="00524EEA" w:rsidRDefault="003E6F2D" w:rsidP="0056764E">
            <w:pPr>
              <w:pStyle w:val="A-TableHeader"/>
              <w:jc w:val="center"/>
              <w:rPr>
                <w:lang w:val="en-AU"/>
              </w:rPr>
            </w:pPr>
            <w:r w:rsidRPr="00524EEA">
              <w:rPr>
                <w:lang w:val="en-AU"/>
              </w:rPr>
              <w:t>N=179</w:t>
            </w:r>
            <w:r w:rsidRPr="00524EEA">
              <w:rPr>
                <w:vertAlign w:val="superscript"/>
                <w:lang w:val="en-AU"/>
              </w:rPr>
              <w:t>b</w:t>
            </w:r>
          </w:p>
        </w:tc>
        <w:tc>
          <w:tcPr>
            <w:tcW w:w="2127" w:type="dxa"/>
            <w:tcBorders>
              <w:top w:val="single" w:sz="8" w:space="0" w:color="auto"/>
              <w:bottom w:val="single" w:sz="4" w:space="0" w:color="auto"/>
            </w:tcBorders>
            <w:shd w:val="clear" w:color="auto" w:fill="auto"/>
          </w:tcPr>
          <w:p w14:paraId="5FB018CA" w14:textId="77777777" w:rsidR="003E6F2D" w:rsidRPr="00524EEA" w:rsidRDefault="003E6F2D" w:rsidP="0056764E">
            <w:pPr>
              <w:pStyle w:val="A-TableHeader"/>
              <w:jc w:val="center"/>
              <w:rPr>
                <w:lang w:val="sv-SE"/>
              </w:rPr>
            </w:pPr>
            <w:r w:rsidRPr="00524EEA">
              <w:rPr>
                <w:lang w:val="sv-SE"/>
              </w:rPr>
              <w:t>Saxagliptin 5 mg + Metformin XR</w:t>
            </w:r>
          </w:p>
          <w:p w14:paraId="01B3F4AC" w14:textId="77777777" w:rsidR="003E6F2D" w:rsidRPr="00524EEA" w:rsidRDefault="003E6F2D" w:rsidP="0056764E">
            <w:pPr>
              <w:pStyle w:val="A-TableHeader"/>
              <w:jc w:val="center"/>
              <w:rPr>
                <w:lang w:val="sv-SE"/>
              </w:rPr>
            </w:pPr>
            <w:r w:rsidRPr="00524EEA">
              <w:rPr>
                <w:lang w:val="sv-SE"/>
              </w:rPr>
              <w:br/>
              <w:t>N=176</w:t>
            </w:r>
            <w:r w:rsidRPr="00524EEA">
              <w:rPr>
                <w:vertAlign w:val="superscript"/>
                <w:lang w:val="sv-SE"/>
              </w:rPr>
              <w:t>b</w:t>
            </w:r>
          </w:p>
        </w:tc>
        <w:tc>
          <w:tcPr>
            <w:tcW w:w="2235" w:type="dxa"/>
            <w:tcBorders>
              <w:top w:val="single" w:sz="8" w:space="0" w:color="auto"/>
              <w:bottom w:val="single" w:sz="4" w:space="0" w:color="auto"/>
            </w:tcBorders>
            <w:shd w:val="clear" w:color="auto" w:fill="auto"/>
          </w:tcPr>
          <w:p w14:paraId="6FBE248D" w14:textId="77777777" w:rsidR="003E6F2D" w:rsidRPr="00524EEA" w:rsidRDefault="003E6F2D" w:rsidP="0056764E">
            <w:pPr>
              <w:pStyle w:val="A-TableHeader"/>
              <w:jc w:val="center"/>
              <w:rPr>
                <w:lang w:val="sv-SE"/>
              </w:rPr>
            </w:pPr>
            <w:r w:rsidRPr="00524EEA">
              <w:rPr>
                <w:lang w:val="sv-SE"/>
              </w:rPr>
              <w:t>Dapagliflozin 10 mg + Metformin XR</w:t>
            </w:r>
          </w:p>
          <w:p w14:paraId="6C8D2CA9" w14:textId="77777777" w:rsidR="003E6F2D" w:rsidRPr="00524EEA" w:rsidRDefault="003E6F2D" w:rsidP="0056764E">
            <w:pPr>
              <w:pStyle w:val="A-TableHeader"/>
              <w:jc w:val="center"/>
              <w:rPr>
                <w:lang w:val="sv-SE"/>
              </w:rPr>
            </w:pPr>
            <w:r w:rsidRPr="00524EEA">
              <w:rPr>
                <w:lang w:val="sv-SE"/>
              </w:rPr>
              <w:br/>
              <w:t>N=179</w:t>
            </w:r>
            <w:r w:rsidRPr="00524EEA">
              <w:rPr>
                <w:vertAlign w:val="superscript"/>
                <w:lang w:val="sv-SE"/>
              </w:rPr>
              <w:t>b</w:t>
            </w:r>
          </w:p>
        </w:tc>
      </w:tr>
      <w:tr w:rsidR="003E6F2D" w:rsidRPr="00524EEA" w14:paraId="165D0D47" w14:textId="77777777" w:rsidTr="003E6F2D">
        <w:trPr>
          <w:cantSplit/>
          <w:tblHeader/>
        </w:trPr>
        <w:tc>
          <w:tcPr>
            <w:tcW w:w="9006" w:type="dxa"/>
            <w:gridSpan w:val="4"/>
            <w:tcBorders>
              <w:top w:val="single" w:sz="4" w:space="0" w:color="auto"/>
              <w:bottom w:val="single" w:sz="6" w:space="0" w:color="auto"/>
            </w:tcBorders>
            <w:shd w:val="clear" w:color="auto" w:fill="auto"/>
          </w:tcPr>
          <w:p w14:paraId="6BBEEB7D" w14:textId="77777777" w:rsidR="003E6F2D" w:rsidRPr="00524EEA" w:rsidRDefault="003E6F2D" w:rsidP="0056764E">
            <w:pPr>
              <w:pStyle w:val="A-TableHeader"/>
              <w:rPr>
                <w:lang w:val="en-AU"/>
              </w:rPr>
            </w:pPr>
            <w:r w:rsidRPr="00524EEA">
              <w:rPr>
                <w:lang w:val="en-AU"/>
              </w:rPr>
              <w:t>HbA1c (%) at week 24</w:t>
            </w:r>
            <w:r w:rsidRPr="00524EEA">
              <w:rPr>
                <w:vertAlign w:val="superscript"/>
                <w:lang w:val="en-AU"/>
              </w:rPr>
              <w:t>a</w:t>
            </w:r>
          </w:p>
        </w:tc>
      </w:tr>
      <w:tr w:rsidR="003E6F2D" w:rsidRPr="00524EEA" w14:paraId="14553687" w14:textId="77777777" w:rsidTr="003E6F2D">
        <w:trPr>
          <w:cantSplit/>
        </w:trPr>
        <w:tc>
          <w:tcPr>
            <w:tcW w:w="2376" w:type="dxa"/>
            <w:shd w:val="clear" w:color="auto" w:fill="auto"/>
          </w:tcPr>
          <w:p w14:paraId="0AD321CE" w14:textId="77777777" w:rsidR="003E6F2D" w:rsidRPr="00524EEA" w:rsidRDefault="003E6F2D" w:rsidP="0056764E">
            <w:pPr>
              <w:pStyle w:val="A-TableText"/>
              <w:rPr>
                <w:lang w:val="en-AU"/>
              </w:rPr>
            </w:pPr>
            <w:r w:rsidRPr="00524EEA">
              <w:rPr>
                <w:lang w:val="en-AU"/>
              </w:rPr>
              <w:t>Baseline (mean)</w:t>
            </w:r>
          </w:p>
        </w:tc>
        <w:tc>
          <w:tcPr>
            <w:tcW w:w="2268" w:type="dxa"/>
            <w:shd w:val="clear" w:color="auto" w:fill="auto"/>
          </w:tcPr>
          <w:p w14:paraId="60C49A79" w14:textId="77777777" w:rsidR="003E6F2D" w:rsidRPr="00524EEA" w:rsidRDefault="003E6F2D" w:rsidP="0056764E">
            <w:pPr>
              <w:pStyle w:val="A-TableText"/>
              <w:jc w:val="center"/>
              <w:rPr>
                <w:lang w:val="en-AU"/>
              </w:rPr>
            </w:pPr>
            <w:r w:rsidRPr="00524EEA">
              <w:rPr>
                <w:lang w:val="en-AU"/>
              </w:rPr>
              <w:t>8.9</w:t>
            </w:r>
          </w:p>
        </w:tc>
        <w:tc>
          <w:tcPr>
            <w:tcW w:w="2127" w:type="dxa"/>
            <w:shd w:val="clear" w:color="auto" w:fill="auto"/>
          </w:tcPr>
          <w:p w14:paraId="71670E76" w14:textId="77777777" w:rsidR="003E6F2D" w:rsidRPr="00524EEA" w:rsidRDefault="003E6F2D" w:rsidP="0056764E">
            <w:pPr>
              <w:pStyle w:val="A-TableText"/>
              <w:jc w:val="center"/>
              <w:rPr>
                <w:lang w:val="en-AU"/>
              </w:rPr>
            </w:pPr>
            <w:r w:rsidRPr="00524EEA">
              <w:rPr>
                <w:lang w:val="en-AU"/>
              </w:rPr>
              <w:t>9.0</w:t>
            </w:r>
          </w:p>
        </w:tc>
        <w:tc>
          <w:tcPr>
            <w:tcW w:w="2235" w:type="dxa"/>
            <w:shd w:val="clear" w:color="auto" w:fill="auto"/>
          </w:tcPr>
          <w:p w14:paraId="19A2C466" w14:textId="77777777" w:rsidR="003E6F2D" w:rsidRPr="00524EEA" w:rsidRDefault="003E6F2D" w:rsidP="0056764E">
            <w:pPr>
              <w:pStyle w:val="A-TableText"/>
              <w:jc w:val="center"/>
              <w:rPr>
                <w:lang w:val="en-AU"/>
              </w:rPr>
            </w:pPr>
            <w:r w:rsidRPr="00524EEA">
              <w:rPr>
                <w:lang w:val="en-AU"/>
              </w:rPr>
              <w:t>8.9</w:t>
            </w:r>
          </w:p>
        </w:tc>
      </w:tr>
      <w:tr w:rsidR="003E6F2D" w:rsidRPr="00524EEA" w14:paraId="290FAD1E" w14:textId="77777777" w:rsidTr="003E6F2D">
        <w:trPr>
          <w:cantSplit/>
        </w:trPr>
        <w:tc>
          <w:tcPr>
            <w:tcW w:w="2376" w:type="dxa"/>
            <w:shd w:val="clear" w:color="auto" w:fill="auto"/>
          </w:tcPr>
          <w:p w14:paraId="241998BC" w14:textId="77777777" w:rsidR="003E6F2D" w:rsidRPr="00524EEA" w:rsidRDefault="003E6F2D" w:rsidP="0056764E">
            <w:pPr>
              <w:pStyle w:val="A-TableText"/>
              <w:rPr>
                <w:lang w:val="en-AU"/>
              </w:rPr>
            </w:pPr>
            <w:r w:rsidRPr="00524EEA">
              <w:rPr>
                <w:lang w:val="en-AU"/>
              </w:rPr>
              <w:t xml:space="preserve">Change from baseline </w:t>
            </w:r>
            <w:r w:rsidRPr="00524EEA">
              <w:rPr>
                <w:lang w:val="en-AU"/>
              </w:rPr>
              <w:br/>
              <w:t>(adjusted mean)</w:t>
            </w:r>
          </w:p>
          <w:p w14:paraId="050526E9" w14:textId="77777777" w:rsidR="003E6F2D" w:rsidRPr="00524EEA" w:rsidRDefault="003E6F2D" w:rsidP="0056764E">
            <w:pPr>
              <w:pStyle w:val="A-TableText"/>
              <w:rPr>
                <w:lang w:val="en-AU"/>
              </w:rPr>
            </w:pPr>
            <w:r w:rsidRPr="00524EEA">
              <w:rPr>
                <w:lang w:val="en-AU"/>
              </w:rPr>
              <w:t>(95% CI)</w:t>
            </w:r>
          </w:p>
        </w:tc>
        <w:tc>
          <w:tcPr>
            <w:tcW w:w="2268" w:type="dxa"/>
            <w:shd w:val="clear" w:color="auto" w:fill="auto"/>
          </w:tcPr>
          <w:p w14:paraId="31B27E7B" w14:textId="16C12405" w:rsidR="003E6F2D" w:rsidRPr="00524EEA" w:rsidRDefault="00B633A6" w:rsidP="0056764E">
            <w:pPr>
              <w:pStyle w:val="A-TableText"/>
              <w:jc w:val="center"/>
              <w:rPr>
                <w:lang w:val="en-AU"/>
              </w:rPr>
            </w:pPr>
            <w:r w:rsidRPr="00524EEA">
              <w:rPr>
                <w:lang w:val="en-AU"/>
              </w:rPr>
              <w:t>-</w:t>
            </w:r>
            <w:r w:rsidR="003E6F2D" w:rsidRPr="00524EEA">
              <w:rPr>
                <w:lang w:val="en-AU"/>
              </w:rPr>
              <w:t>1.5</w:t>
            </w:r>
            <w:r w:rsidR="003E6F2D" w:rsidRPr="00524EEA">
              <w:rPr>
                <w:lang w:val="en-AU"/>
              </w:rPr>
              <w:br/>
            </w:r>
          </w:p>
          <w:p w14:paraId="27AAF340" w14:textId="67A34366" w:rsidR="003E6F2D" w:rsidRPr="00524EEA" w:rsidRDefault="003E6F2D" w:rsidP="0056764E">
            <w:pPr>
              <w:pStyle w:val="A-TableText"/>
              <w:jc w:val="center"/>
              <w:rPr>
                <w:lang w:val="en-AU"/>
              </w:rPr>
            </w:pPr>
            <w:r w:rsidRPr="00524EEA">
              <w:rPr>
                <w:lang w:val="en-AU"/>
              </w:rPr>
              <w:t>(</w:t>
            </w:r>
            <w:r w:rsidR="00B633A6" w:rsidRPr="00524EEA">
              <w:rPr>
                <w:lang w:val="en-AU"/>
              </w:rPr>
              <w:t>-</w:t>
            </w:r>
            <w:r w:rsidRPr="00524EEA">
              <w:rPr>
                <w:lang w:val="en-AU"/>
              </w:rPr>
              <w:t xml:space="preserve">1.6, </w:t>
            </w:r>
            <w:r w:rsidR="00B633A6" w:rsidRPr="00524EEA">
              <w:rPr>
                <w:lang w:val="en-AU"/>
              </w:rPr>
              <w:t>-</w:t>
            </w:r>
            <w:r w:rsidRPr="00524EEA">
              <w:rPr>
                <w:lang w:val="en-AU"/>
              </w:rPr>
              <w:t>1.3)</w:t>
            </w:r>
          </w:p>
        </w:tc>
        <w:tc>
          <w:tcPr>
            <w:tcW w:w="2127" w:type="dxa"/>
            <w:shd w:val="clear" w:color="auto" w:fill="auto"/>
          </w:tcPr>
          <w:p w14:paraId="6442AB6D" w14:textId="716E9142" w:rsidR="003E6F2D" w:rsidRPr="00524EEA" w:rsidRDefault="00B633A6" w:rsidP="0056764E">
            <w:pPr>
              <w:pStyle w:val="A-TableText"/>
              <w:jc w:val="center"/>
              <w:rPr>
                <w:lang w:val="en-AU"/>
              </w:rPr>
            </w:pPr>
            <w:r w:rsidRPr="00524EEA">
              <w:rPr>
                <w:lang w:val="en-AU"/>
              </w:rPr>
              <w:t>-</w:t>
            </w:r>
            <w:r w:rsidR="003E6F2D" w:rsidRPr="00524EEA">
              <w:rPr>
                <w:lang w:val="en-AU"/>
              </w:rPr>
              <w:t>0.9</w:t>
            </w:r>
            <w:r w:rsidR="003E6F2D" w:rsidRPr="00524EEA">
              <w:rPr>
                <w:lang w:val="en-AU"/>
              </w:rPr>
              <w:br/>
            </w:r>
          </w:p>
          <w:p w14:paraId="6CB751E2" w14:textId="342590FB" w:rsidR="003E6F2D" w:rsidRPr="00524EEA" w:rsidRDefault="003E6F2D" w:rsidP="0056764E">
            <w:pPr>
              <w:pStyle w:val="A-TableText"/>
              <w:jc w:val="center"/>
              <w:rPr>
                <w:lang w:val="en-AU"/>
              </w:rPr>
            </w:pPr>
            <w:r w:rsidRPr="00524EEA">
              <w:rPr>
                <w:lang w:val="en-AU"/>
              </w:rPr>
              <w:t>(</w:t>
            </w:r>
            <w:r w:rsidR="00B633A6" w:rsidRPr="00524EEA">
              <w:rPr>
                <w:lang w:val="en-AU"/>
              </w:rPr>
              <w:t>-</w:t>
            </w:r>
            <w:r w:rsidRPr="00524EEA">
              <w:rPr>
                <w:lang w:val="en-AU"/>
              </w:rPr>
              <w:t xml:space="preserve">1.0, </w:t>
            </w:r>
            <w:r w:rsidR="00B633A6" w:rsidRPr="00524EEA">
              <w:rPr>
                <w:lang w:val="en-AU"/>
              </w:rPr>
              <w:t>-</w:t>
            </w:r>
            <w:r w:rsidRPr="00524EEA">
              <w:rPr>
                <w:lang w:val="en-AU"/>
              </w:rPr>
              <w:t>0.7)</w:t>
            </w:r>
          </w:p>
        </w:tc>
        <w:tc>
          <w:tcPr>
            <w:tcW w:w="2235" w:type="dxa"/>
            <w:shd w:val="clear" w:color="auto" w:fill="auto"/>
          </w:tcPr>
          <w:p w14:paraId="4FCD2A69" w14:textId="16712AA5" w:rsidR="003E6F2D" w:rsidRPr="00524EEA" w:rsidRDefault="00B633A6" w:rsidP="0056764E">
            <w:pPr>
              <w:pStyle w:val="A-TableText"/>
              <w:jc w:val="center"/>
              <w:rPr>
                <w:lang w:val="en-AU"/>
              </w:rPr>
            </w:pPr>
            <w:r w:rsidRPr="00524EEA">
              <w:rPr>
                <w:lang w:val="en-AU"/>
              </w:rPr>
              <w:t>-</w:t>
            </w:r>
            <w:r w:rsidR="003E6F2D" w:rsidRPr="00524EEA">
              <w:rPr>
                <w:lang w:val="en-AU"/>
              </w:rPr>
              <w:t>1.2</w:t>
            </w:r>
            <w:r w:rsidR="003E6F2D" w:rsidRPr="00524EEA">
              <w:rPr>
                <w:lang w:val="en-AU"/>
              </w:rPr>
              <w:br/>
            </w:r>
          </w:p>
          <w:p w14:paraId="0CE0D9C9" w14:textId="64F1B894" w:rsidR="003E6F2D" w:rsidRPr="00524EEA" w:rsidRDefault="003E6F2D" w:rsidP="0056764E">
            <w:pPr>
              <w:pStyle w:val="A-TableText"/>
              <w:jc w:val="center"/>
              <w:rPr>
                <w:lang w:val="en-AU"/>
              </w:rPr>
            </w:pPr>
            <w:r w:rsidRPr="00524EEA">
              <w:rPr>
                <w:lang w:val="en-AU"/>
              </w:rPr>
              <w:t>(</w:t>
            </w:r>
            <w:r w:rsidR="00B633A6" w:rsidRPr="00524EEA">
              <w:rPr>
                <w:lang w:val="en-AU"/>
              </w:rPr>
              <w:t>-</w:t>
            </w:r>
            <w:r w:rsidRPr="00524EEA">
              <w:rPr>
                <w:lang w:val="en-AU"/>
              </w:rPr>
              <w:t xml:space="preserve">1.4, </w:t>
            </w:r>
            <w:r w:rsidR="00B633A6" w:rsidRPr="00524EEA">
              <w:rPr>
                <w:lang w:val="en-AU"/>
              </w:rPr>
              <w:t>-</w:t>
            </w:r>
            <w:r w:rsidRPr="00524EEA">
              <w:rPr>
                <w:lang w:val="en-AU"/>
              </w:rPr>
              <w:t>1.0)</w:t>
            </w:r>
          </w:p>
        </w:tc>
      </w:tr>
      <w:tr w:rsidR="003E6F2D" w:rsidRPr="00524EEA" w14:paraId="7AFF3F0E" w14:textId="77777777" w:rsidTr="003E6F2D">
        <w:trPr>
          <w:cantSplit/>
        </w:trPr>
        <w:tc>
          <w:tcPr>
            <w:tcW w:w="4644" w:type="dxa"/>
            <w:gridSpan w:val="2"/>
            <w:shd w:val="clear" w:color="auto" w:fill="auto"/>
          </w:tcPr>
          <w:p w14:paraId="59711B1C" w14:textId="77777777" w:rsidR="003E6F2D" w:rsidRPr="00524EEA" w:rsidRDefault="003E6F2D" w:rsidP="0056764E">
            <w:pPr>
              <w:pStyle w:val="A-TableText"/>
              <w:rPr>
                <w:lang w:val="en-AU"/>
              </w:rPr>
            </w:pPr>
            <w:r w:rsidRPr="00524EEA">
              <w:rPr>
                <w:lang w:val="en-AU"/>
              </w:rPr>
              <w:t xml:space="preserve">Difference from </w:t>
            </w:r>
            <w:proofErr w:type="spellStart"/>
            <w:r w:rsidRPr="00524EEA">
              <w:rPr>
                <w:lang w:val="en-AU"/>
              </w:rPr>
              <w:t>saxagliptin+metformin</w:t>
            </w:r>
            <w:proofErr w:type="spellEnd"/>
            <w:r w:rsidRPr="00524EEA">
              <w:rPr>
                <w:lang w:val="en-AU"/>
              </w:rPr>
              <w:t xml:space="preserve"> </w:t>
            </w:r>
            <w:r w:rsidRPr="00524EEA">
              <w:rPr>
                <w:lang w:val="en-AU"/>
              </w:rPr>
              <w:br/>
              <w:t xml:space="preserve">(adjusted </w:t>
            </w:r>
            <w:proofErr w:type="spellStart"/>
            <w:r w:rsidRPr="00524EEA">
              <w:rPr>
                <w:lang w:val="en-AU"/>
              </w:rPr>
              <w:t>mean</w:t>
            </w:r>
            <w:r w:rsidRPr="00524EEA">
              <w:rPr>
                <w:vertAlign w:val="superscript"/>
                <w:lang w:val="en-AU"/>
              </w:rPr>
              <w:t>c</w:t>
            </w:r>
            <w:proofErr w:type="spellEnd"/>
            <w:r w:rsidRPr="00524EEA">
              <w:rPr>
                <w:lang w:val="en-AU"/>
              </w:rPr>
              <w:t>)</w:t>
            </w:r>
            <w:r w:rsidRPr="00524EEA">
              <w:rPr>
                <w:lang w:val="en-AU"/>
              </w:rPr>
              <w:br/>
              <w:t>(95% CI)</w:t>
            </w:r>
          </w:p>
        </w:tc>
        <w:tc>
          <w:tcPr>
            <w:tcW w:w="2127" w:type="dxa"/>
            <w:shd w:val="clear" w:color="auto" w:fill="auto"/>
          </w:tcPr>
          <w:p w14:paraId="6329D863" w14:textId="548DDDA4" w:rsidR="003E6F2D" w:rsidRPr="00524EEA" w:rsidRDefault="00B633A6" w:rsidP="0056764E">
            <w:pPr>
              <w:pStyle w:val="A-TableText"/>
              <w:jc w:val="center"/>
              <w:rPr>
                <w:lang w:val="en-AU"/>
              </w:rPr>
            </w:pPr>
            <w:r w:rsidRPr="00524EEA">
              <w:rPr>
                <w:lang w:val="en-AU"/>
              </w:rPr>
              <w:t>-</w:t>
            </w:r>
            <w:r w:rsidR="003E6F2D" w:rsidRPr="00524EEA">
              <w:rPr>
                <w:lang w:val="en-AU"/>
              </w:rPr>
              <w:t>0.6</w:t>
            </w:r>
            <w:r w:rsidR="003E6F2D" w:rsidRPr="00524EEA">
              <w:rPr>
                <w:vertAlign w:val="superscript"/>
                <w:lang w:val="en-AU"/>
              </w:rPr>
              <w:t>d</w:t>
            </w:r>
            <w:r w:rsidR="003E6F2D" w:rsidRPr="00524EEA">
              <w:rPr>
                <w:lang w:val="en-AU"/>
              </w:rPr>
              <w:br/>
            </w:r>
            <w:r w:rsidR="003E6F2D" w:rsidRPr="00524EEA">
              <w:rPr>
                <w:lang w:val="en-AU"/>
              </w:rPr>
              <w:br/>
              <w:t>(</w:t>
            </w:r>
            <w:r w:rsidRPr="00524EEA">
              <w:rPr>
                <w:lang w:val="en-AU"/>
              </w:rPr>
              <w:t>-</w:t>
            </w:r>
            <w:r w:rsidR="003E6F2D" w:rsidRPr="00524EEA">
              <w:rPr>
                <w:lang w:val="en-AU"/>
              </w:rPr>
              <w:t xml:space="preserve">0.8, </w:t>
            </w:r>
            <w:r w:rsidRPr="00524EEA">
              <w:rPr>
                <w:lang w:val="en-AU"/>
              </w:rPr>
              <w:t>-</w:t>
            </w:r>
            <w:r w:rsidR="003E6F2D" w:rsidRPr="00524EEA">
              <w:rPr>
                <w:lang w:val="en-AU"/>
              </w:rPr>
              <w:t>0.4)</w:t>
            </w:r>
          </w:p>
        </w:tc>
        <w:tc>
          <w:tcPr>
            <w:tcW w:w="2235" w:type="dxa"/>
            <w:shd w:val="clear" w:color="auto" w:fill="auto"/>
          </w:tcPr>
          <w:p w14:paraId="575F3849" w14:textId="77777777" w:rsidR="003E6F2D" w:rsidRPr="00524EEA" w:rsidRDefault="003E6F2D" w:rsidP="0056764E">
            <w:pPr>
              <w:pStyle w:val="A-TableText"/>
              <w:jc w:val="center"/>
              <w:rPr>
                <w:lang w:val="en-AU"/>
              </w:rPr>
            </w:pPr>
            <w:r w:rsidRPr="00524EEA">
              <w:rPr>
                <w:lang w:val="en-AU"/>
              </w:rPr>
              <w:br/>
            </w:r>
          </w:p>
        </w:tc>
      </w:tr>
      <w:tr w:rsidR="003E6F2D" w:rsidRPr="00524EEA" w14:paraId="23DB0006" w14:textId="77777777" w:rsidTr="003E6F2D">
        <w:trPr>
          <w:cantSplit/>
        </w:trPr>
        <w:tc>
          <w:tcPr>
            <w:tcW w:w="4644" w:type="dxa"/>
            <w:gridSpan w:val="2"/>
            <w:tcBorders>
              <w:bottom w:val="single" w:sz="4" w:space="0" w:color="auto"/>
            </w:tcBorders>
            <w:shd w:val="clear" w:color="auto" w:fill="auto"/>
          </w:tcPr>
          <w:p w14:paraId="2D22E390" w14:textId="77777777" w:rsidR="003E6F2D" w:rsidRPr="00524EEA" w:rsidRDefault="003E6F2D" w:rsidP="0056764E">
            <w:pPr>
              <w:pStyle w:val="A-TableText"/>
              <w:rPr>
                <w:lang w:val="en-AU"/>
              </w:rPr>
            </w:pPr>
            <w:r w:rsidRPr="00524EEA">
              <w:rPr>
                <w:lang w:val="en-AU"/>
              </w:rPr>
              <w:t xml:space="preserve">Difference from </w:t>
            </w:r>
            <w:proofErr w:type="spellStart"/>
            <w:r w:rsidRPr="00524EEA">
              <w:rPr>
                <w:lang w:val="en-AU"/>
              </w:rPr>
              <w:t>dapagliflozin+metformin</w:t>
            </w:r>
            <w:proofErr w:type="spellEnd"/>
            <w:r w:rsidRPr="00524EEA">
              <w:rPr>
                <w:lang w:val="en-AU"/>
              </w:rPr>
              <w:t xml:space="preserve"> </w:t>
            </w:r>
            <w:r w:rsidRPr="00524EEA">
              <w:rPr>
                <w:lang w:val="en-AU"/>
              </w:rPr>
              <w:br/>
              <w:t xml:space="preserve">(adjusted </w:t>
            </w:r>
            <w:proofErr w:type="spellStart"/>
            <w:r w:rsidRPr="00524EEA">
              <w:rPr>
                <w:lang w:val="en-AU"/>
              </w:rPr>
              <w:t>mean</w:t>
            </w:r>
            <w:r w:rsidRPr="00524EEA">
              <w:rPr>
                <w:vertAlign w:val="superscript"/>
                <w:lang w:val="en-AU"/>
              </w:rPr>
              <w:t>c</w:t>
            </w:r>
            <w:proofErr w:type="spellEnd"/>
            <w:r w:rsidRPr="00524EEA">
              <w:rPr>
                <w:lang w:val="en-AU"/>
              </w:rPr>
              <w:t>)</w:t>
            </w:r>
            <w:r w:rsidRPr="00524EEA">
              <w:rPr>
                <w:lang w:val="en-AU"/>
              </w:rPr>
              <w:br/>
              <w:t>(95% CI)</w:t>
            </w:r>
          </w:p>
        </w:tc>
        <w:tc>
          <w:tcPr>
            <w:tcW w:w="2127" w:type="dxa"/>
            <w:tcBorders>
              <w:bottom w:val="single" w:sz="4" w:space="0" w:color="auto"/>
            </w:tcBorders>
            <w:shd w:val="clear" w:color="auto" w:fill="auto"/>
          </w:tcPr>
          <w:p w14:paraId="2E80DF4F" w14:textId="77777777" w:rsidR="003E6F2D" w:rsidRPr="00524EEA" w:rsidRDefault="003E6F2D" w:rsidP="0056764E">
            <w:pPr>
              <w:pStyle w:val="A-TableText"/>
              <w:jc w:val="center"/>
              <w:rPr>
                <w:lang w:val="en-AU"/>
              </w:rPr>
            </w:pPr>
          </w:p>
        </w:tc>
        <w:tc>
          <w:tcPr>
            <w:tcW w:w="2235" w:type="dxa"/>
            <w:tcBorders>
              <w:bottom w:val="single" w:sz="4" w:space="0" w:color="auto"/>
            </w:tcBorders>
            <w:shd w:val="clear" w:color="auto" w:fill="auto"/>
          </w:tcPr>
          <w:p w14:paraId="2103A4EE" w14:textId="0A56FE6D" w:rsidR="003E6F2D" w:rsidRPr="00524EEA" w:rsidRDefault="00B633A6" w:rsidP="0056764E">
            <w:pPr>
              <w:pStyle w:val="A-TableText"/>
              <w:jc w:val="center"/>
              <w:rPr>
                <w:lang w:val="en-AU"/>
              </w:rPr>
            </w:pPr>
            <w:r w:rsidRPr="00524EEA">
              <w:rPr>
                <w:lang w:val="en-AU"/>
              </w:rPr>
              <w:t>-</w:t>
            </w:r>
            <w:r w:rsidR="003E6F2D" w:rsidRPr="00524EEA">
              <w:rPr>
                <w:lang w:val="en-AU"/>
              </w:rPr>
              <w:t>0.3</w:t>
            </w:r>
            <w:r w:rsidR="003E6F2D" w:rsidRPr="00524EEA">
              <w:rPr>
                <w:vertAlign w:val="superscript"/>
                <w:lang w:val="en-AU"/>
              </w:rPr>
              <w:t>e</w:t>
            </w:r>
            <w:r w:rsidR="003E6F2D" w:rsidRPr="00524EEA">
              <w:rPr>
                <w:lang w:val="en-AU"/>
              </w:rPr>
              <w:br/>
            </w:r>
            <w:r w:rsidR="003E6F2D" w:rsidRPr="00524EEA">
              <w:rPr>
                <w:lang w:val="en-AU"/>
              </w:rPr>
              <w:br/>
              <w:t>(</w:t>
            </w:r>
            <w:r w:rsidRPr="00524EEA">
              <w:rPr>
                <w:lang w:val="en-AU"/>
              </w:rPr>
              <w:t>-</w:t>
            </w:r>
            <w:r w:rsidR="003E6F2D" w:rsidRPr="00524EEA">
              <w:rPr>
                <w:lang w:val="en-AU"/>
              </w:rPr>
              <w:t xml:space="preserve">0.5, </w:t>
            </w:r>
            <w:r w:rsidRPr="00524EEA">
              <w:rPr>
                <w:lang w:val="en-AU"/>
              </w:rPr>
              <w:t>-</w:t>
            </w:r>
            <w:r w:rsidR="003E6F2D" w:rsidRPr="00524EEA">
              <w:rPr>
                <w:lang w:val="en-AU"/>
              </w:rPr>
              <w:t>0.0)</w:t>
            </w:r>
          </w:p>
        </w:tc>
      </w:tr>
      <w:tr w:rsidR="003E6F2D" w:rsidRPr="00524EEA" w14:paraId="4F2075C1" w14:textId="77777777" w:rsidTr="003E6F2D">
        <w:trPr>
          <w:cantSplit/>
        </w:trPr>
        <w:tc>
          <w:tcPr>
            <w:tcW w:w="9006" w:type="dxa"/>
            <w:gridSpan w:val="4"/>
            <w:tcBorders>
              <w:top w:val="single" w:sz="4" w:space="0" w:color="auto"/>
              <w:bottom w:val="single" w:sz="4" w:space="0" w:color="auto"/>
            </w:tcBorders>
            <w:shd w:val="clear" w:color="auto" w:fill="auto"/>
          </w:tcPr>
          <w:p w14:paraId="239CBD8C" w14:textId="77777777" w:rsidR="003E6F2D" w:rsidRPr="00524EEA" w:rsidRDefault="003E6F2D" w:rsidP="0056764E">
            <w:pPr>
              <w:pStyle w:val="A-TableHeader"/>
              <w:rPr>
                <w:lang w:val="en-AU"/>
              </w:rPr>
            </w:pPr>
            <w:r w:rsidRPr="00524EEA">
              <w:rPr>
                <w:lang w:val="en-AU"/>
              </w:rPr>
              <w:t>Subjects (%) achieving HbA1C &lt;7% (</w:t>
            </w:r>
            <w:proofErr w:type="spellStart"/>
            <w:r w:rsidRPr="00524EEA">
              <w:rPr>
                <w:lang w:val="en-AU"/>
              </w:rPr>
              <w:t>LOCF</w:t>
            </w:r>
            <w:r w:rsidRPr="00524EEA">
              <w:rPr>
                <w:vertAlign w:val="superscript"/>
                <w:lang w:val="en-AU"/>
              </w:rPr>
              <w:t>f</w:t>
            </w:r>
            <w:proofErr w:type="spellEnd"/>
            <w:r w:rsidRPr="00524EEA">
              <w:rPr>
                <w:lang w:val="en-AU"/>
              </w:rPr>
              <w:t>)</w:t>
            </w:r>
          </w:p>
        </w:tc>
      </w:tr>
      <w:tr w:rsidR="003E6F2D" w:rsidRPr="00524EEA" w14:paraId="631213A3" w14:textId="77777777" w:rsidTr="003E6F2D">
        <w:trPr>
          <w:cantSplit/>
        </w:trPr>
        <w:tc>
          <w:tcPr>
            <w:tcW w:w="2376" w:type="dxa"/>
            <w:tcBorders>
              <w:top w:val="single" w:sz="4" w:space="0" w:color="auto"/>
              <w:bottom w:val="single" w:sz="4" w:space="0" w:color="auto"/>
            </w:tcBorders>
            <w:shd w:val="clear" w:color="auto" w:fill="auto"/>
          </w:tcPr>
          <w:p w14:paraId="2B525B69" w14:textId="77777777" w:rsidR="003E6F2D" w:rsidRPr="00524EEA" w:rsidRDefault="003E6F2D" w:rsidP="0056764E">
            <w:pPr>
              <w:pStyle w:val="A-TableText"/>
              <w:rPr>
                <w:lang w:val="en-AU"/>
              </w:rPr>
            </w:pPr>
            <w:r w:rsidRPr="00524EEA">
              <w:rPr>
                <w:lang w:val="en-AU"/>
              </w:rPr>
              <w:t>Adjusted for baseline</w:t>
            </w:r>
          </w:p>
        </w:tc>
        <w:tc>
          <w:tcPr>
            <w:tcW w:w="2268" w:type="dxa"/>
            <w:tcBorders>
              <w:top w:val="single" w:sz="4" w:space="0" w:color="auto"/>
              <w:bottom w:val="single" w:sz="4" w:space="0" w:color="auto"/>
            </w:tcBorders>
            <w:shd w:val="clear" w:color="auto" w:fill="auto"/>
            <w:vAlign w:val="center"/>
          </w:tcPr>
          <w:p w14:paraId="11898D02" w14:textId="448A789C" w:rsidR="003E6F2D" w:rsidRPr="00524EEA" w:rsidRDefault="003E6F2D" w:rsidP="0056764E">
            <w:pPr>
              <w:pStyle w:val="A-TableText"/>
              <w:jc w:val="center"/>
              <w:rPr>
                <w:lang w:val="en-AU"/>
              </w:rPr>
            </w:pPr>
            <w:r w:rsidRPr="00524EEA">
              <w:rPr>
                <w:lang w:val="en-AU"/>
              </w:rPr>
              <w:t>41.4</w:t>
            </w:r>
          </w:p>
        </w:tc>
        <w:tc>
          <w:tcPr>
            <w:tcW w:w="2127" w:type="dxa"/>
            <w:tcBorders>
              <w:top w:val="single" w:sz="4" w:space="0" w:color="auto"/>
              <w:bottom w:val="single" w:sz="4" w:space="0" w:color="auto"/>
            </w:tcBorders>
            <w:shd w:val="clear" w:color="auto" w:fill="auto"/>
            <w:vAlign w:val="center"/>
          </w:tcPr>
          <w:p w14:paraId="64F3529A" w14:textId="0F41C6E6" w:rsidR="003E6F2D" w:rsidRPr="00524EEA" w:rsidRDefault="003E6F2D" w:rsidP="0056764E">
            <w:pPr>
              <w:pStyle w:val="A-TableText"/>
              <w:jc w:val="center"/>
              <w:rPr>
                <w:lang w:val="en-AU"/>
              </w:rPr>
            </w:pPr>
            <w:r w:rsidRPr="00524EEA">
              <w:rPr>
                <w:lang w:val="en-AU"/>
              </w:rPr>
              <w:t>18.3</w:t>
            </w:r>
          </w:p>
        </w:tc>
        <w:tc>
          <w:tcPr>
            <w:tcW w:w="2235" w:type="dxa"/>
            <w:tcBorders>
              <w:top w:val="single" w:sz="4" w:space="0" w:color="auto"/>
              <w:bottom w:val="single" w:sz="4" w:space="0" w:color="auto"/>
            </w:tcBorders>
            <w:shd w:val="clear" w:color="auto" w:fill="auto"/>
            <w:vAlign w:val="center"/>
          </w:tcPr>
          <w:p w14:paraId="65B4C5B8" w14:textId="6978314E" w:rsidR="003E6F2D" w:rsidRPr="00524EEA" w:rsidRDefault="003E6F2D" w:rsidP="0056764E">
            <w:pPr>
              <w:pStyle w:val="A-TableText"/>
              <w:jc w:val="center"/>
              <w:rPr>
                <w:lang w:val="en-AU"/>
              </w:rPr>
            </w:pPr>
            <w:r w:rsidRPr="00524EEA">
              <w:rPr>
                <w:lang w:val="en-AU"/>
              </w:rPr>
              <w:t>22.2</w:t>
            </w:r>
          </w:p>
        </w:tc>
      </w:tr>
      <w:tr w:rsidR="003E6F2D" w:rsidRPr="00524EEA" w14:paraId="4E67203D" w14:textId="77777777" w:rsidTr="008B581C">
        <w:trPr>
          <w:cantSplit/>
          <w:trHeight w:val="341"/>
        </w:trPr>
        <w:tc>
          <w:tcPr>
            <w:tcW w:w="9006" w:type="dxa"/>
            <w:gridSpan w:val="4"/>
            <w:tcBorders>
              <w:top w:val="single" w:sz="4" w:space="0" w:color="auto"/>
              <w:bottom w:val="single" w:sz="4" w:space="0" w:color="auto"/>
            </w:tcBorders>
            <w:shd w:val="clear" w:color="auto" w:fill="auto"/>
          </w:tcPr>
          <w:p w14:paraId="47882E5A" w14:textId="77777777" w:rsidR="003E6F2D" w:rsidRPr="00524EEA" w:rsidRDefault="003E6F2D" w:rsidP="0056764E">
            <w:pPr>
              <w:pStyle w:val="A-TableHeader"/>
              <w:rPr>
                <w:lang w:val="en-AU"/>
              </w:rPr>
            </w:pPr>
            <w:r w:rsidRPr="00524EEA">
              <w:rPr>
                <w:lang w:val="en-AU"/>
              </w:rPr>
              <w:t>Body weight (kg)</w:t>
            </w:r>
          </w:p>
        </w:tc>
      </w:tr>
      <w:tr w:rsidR="003E6F2D" w:rsidRPr="00524EEA" w14:paraId="3BF60C80" w14:textId="77777777" w:rsidTr="008B581C">
        <w:trPr>
          <w:cantSplit/>
        </w:trPr>
        <w:tc>
          <w:tcPr>
            <w:tcW w:w="2376" w:type="dxa"/>
            <w:tcBorders>
              <w:top w:val="single" w:sz="4" w:space="0" w:color="auto"/>
              <w:bottom w:val="single" w:sz="8" w:space="0" w:color="auto"/>
            </w:tcBorders>
            <w:shd w:val="clear" w:color="auto" w:fill="auto"/>
          </w:tcPr>
          <w:p w14:paraId="654CB36D" w14:textId="77777777" w:rsidR="003E6F2D" w:rsidRPr="00524EEA" w:rsidRDefault="003E6F2D" w:rsidP="0056764E">
            <w:pPr>
              <w:pStyle w:val="A-TableText"/>
              <w:rPr>
                <w:lang w:val="en-AU"/>
              </w:rPr>
            </w:pPr>
            <w:r w:rsidRPr="00524EEA">
              <w:rPr>
                <w:lang w:val="en-AU"/>
              </w:rPr>
              <w:t>Baseline (mean)</w:t>
            </w:r>
          </w:p>
          <w:p w14:paraId="4A8C52AF" w14:textId="77777777" w:rsidR="003E6F2D" w:rsidRPr="00524EEA" w:rsidRDefault="003E6F2D" w:rsidP="0056764E">
            <w:pPr>
              <w:pStyle w:val="A-TableText"/>
              <w:rPr>
                <w:lang w:val="en-AU"/>
              </w:rPr>
            </w:pPr>
            <w:r w:rsidRPr="00524EEA">
              <w:rPr>
                <w:lang w:val="en-AU"/>
              </w:rPr>
              <w:t xml:space="preserve">Change from </w:t>
            </w:r>
            <w:proofErr w:type="spellStart"/>
            <w:r w:rsidRPr="00524EEA">
              <w:rPr>
                <w:lang w:val="en-AU"/>
              </w:rPr>
              <w:t>Baseline</w:t>
            </w:r>
            <w:r w:rsidRPr="00524EEA">
              <w:rPr>
                <w:vertAlign w:val="superscript"/>
                <w:lang w:val="en-AU"/>
              </w:rPr>
              <w:t>c</w:t>
            </w:r>
            <w:proofErr w:type="spellEnd"/>
          </w:p>
          <w:p w14:paraId="044CE79C" w14:textId="77777777" w:rsidR="003E6F2D" w:rsidRPr="00524EEA" w:rsidRDefault="003E6F2D" w:rsidP="0056764E">
            <w:pPr>
              <w:pStyle w:val="A-TableText"/>
              <w:rPr>
                <w:lang w:val="en-AU"/>
              </w:rPr>
            </w:pPr>
            <w:r w:rsidRPr="00524EEA">
              <w:rPr>
                <w:lang w:val="en-AU"/>
              </w:rPr>
              <w:t>Difference from placebo +</w:t>
            </w:r>
            <w:proofErr w:type="spellStart"/>
            <w:r w:rsidRPr="00524EEA">
              <w:rPr>
                <w:lang w:val="en-AU"/>
              </w:rPr>
              <w:t>saxa+met</w:t>
            </w:r>
            <w:r w:rsidRPr="00524EEA">
              <w:rPr>
                <w:vertAlign w:val="superscript"/>
                <w:lang w:val="en-AU"/>
              </w:rPr>
              <w:t>c</w:t>
            </w:r>
            <w:proofErr w:type="spellEnd"/>
          </w:p>
          <w:p w14:paraId="155DEB98" w14:textId="77777777" w:rsidR="003E6F2D" w:rsidRPr="00524EEA" w:rsidRDefault="003E6F2D" w:rsidP="0056764E">
            <w:pPr>
              <w:pStyle w:val="A-TableText"/>
              <w:rPr>
                <w:lang w:val="en-AU"/>
              </w:rPr>
            </w:pPr>
            <w:r w:rsidRPr="00524EEA">
              <w:rPr>
                <w:lang w:val="en-AU"/>
              </w:rPr>
              <w:t xml:space="preserve">    (95% CI)</w:t>
            </w:r>
          </w:p>
          <w:p w14:paraId="4F23E83B" w14:textId="77777777" w:rsidR="003E6F2D" w:rsidRPr="00524EEA" w:rsidRDefault="003E6F2D" w:rsidP="0056764E">
            <w:pPr>
              <w:pStyle w:val="A-TableText"/>
              <w:rPr>
                <w:lang w:val="en-AU"/>
              </w:rPr>
            </w:pPr>
            <w:r w:rsidRPr="00524EEA">
              <w:rPr>
                <w:lang w:val="en-AU"/>
              </w:rPr>
              <w:t>Difference from placebo +</w:t>
            </w:r>
            <w:proofErr w:type="spellStart"/>
            <w:r w:rsidRPr="00524EEA">
              <w:rPr>
                <w:lang w:val="en-AU"/>
              </w:rPr>
              <w:t>dapa+met</w:t>
            </w:r>
            <w:r w:rsidRPr="00524EEA">
              <w:rPr>
                <w:vertAlign w:val="superscript"/>
                <w:lang w:val="en-AU"/>
              </w:rPr>
              <w:t>c</w:t>
            </w:r>
            <w:proofErr w:type="spellEnd"/>
          </w:p>
          <w:p w14:paraId="2F90FA3F" w14:textId="77777777" w:rsidR="003E6F2D" w:rsidRPr="00524EEA" w:rsidRDefault="003E6F2D" w:rsidP="0056764E">
            <w:pPr>
              <w:pStyle w:val="A-TableText"/>
              <w:rPr>
                <w:lang w:val="en-AU"/>
              </w:rPr>
            </w:pPr>
            <w:r w:rsidRPr="00524EEA">
              <w:rPr>
                <w:lang w:val="en-AU"/>
              </w:rPr>
              <w:t xml:space="preserve">    (95% CI)</w:t>
            </w:r>
          </w:p>
        </w:tc>
        <w:tc>
          <w:tcPr>
            <w:tcW w:w="2268" w:type="dxa"/>
            <w:tcBorders>
              <w:top w:val="single" w:sz="4" w:space="0" w:color="auto"/>
              <w:bottom w:val="single" w:sz="8" w:space="0" w:color="auto"/>
            </w:tcBorders>
            <w:shd w:val="clear" w:color="auto" w:fill="auto"/>
          </w:tcPr>
          <w:p w14:paraId="67DD226B" w14:textId="77777777" w:rsidR="003E6F2D" w:rsidRPr="00524EEA" w:rsidRDefault="003E6F2D" w:rsidP="0056764E">
            <w:pPr>
              <w:pStyle w:val="A-TableText"/>
              <w:jc w:val="center"/>
              <w:rPr>
                <w:lang w:val="en-AU"/>
              </w:rPr>
            </w:pPr>
            <w:r w:rsidRPr="00524EEA">
              <w:rPr>
                <w:lang w:val="en-AU"/>
              </w:rPr>
              <w:t>87.13</w:t>
            </w:r>
          </w:p>
          <w:p w14:paraId="297E536A" w14:textId="77777777" w:rsidR="003E6F2D" w:rsidRPr="00524EEA" w:rsidRDefault="003E6F2D" w:rsidP="0056764E">
            <w:pPr>
              <w:pStyle w:val="A-TableText"/>
              <w:jc w:val="center"/>
              <w:rPr>
                <w:lang w:val="en-AU"/>
              </w:rPr>
            </w:pPr>
            <w:r w:rsidRPr="00524EEA">
              <w:rPr>
                <w:lang w:val="en-AU"/>
              </w:rPr>
              <w:t>-2.05</w:t>
            </w:r>
          </w:p>
          <w:p w14:paraId="6E52DC9A" w14:textId="77777777" w:rsidR="003E6F2D" w:rsidRPr="00524EEA" w:rsidRDefault="003E6F2D" w:rsidP="0056764E">
            <w:pPr>
              <w:pStyle w:val="A-TableText"/>
              <w:jc w:val="center"/>
              <w:rPr>
                <w:lang w:val="en-AU"/>
              </w:rPr>
            </w:pPr>
            <w:r w:rsidRPr="00524EEA">
              <w:rPr>
                <w:lang w:val="en-AU"/>
              </w:rPr>
              <w:br/>
              <w:t>-2.05</w:t>
            </w:r>
          </w:p>
          <w:p w14:paraId="7BE5EAA4" w14:textId="77777777" w:rsidR="003E6F2D" w:rsidRPr="00524EEA" w:rsidRDefault="003E6F2D" w:rsidP="0056764E">
            <w:pPr>
              <w:pStyle w:val="A-TableText"/>
              <w:jc w:val="center"/>
              <w:rPr>
                <w:lang w:val="en-AU"/>
              </w:rPr>
            </w:pPr>
            <w:r w:rsidRPr="00524EEA">
              <w:rPr>
                <w:lang w:val="en-AU"/>
              </w:rPr>
              <w:t>(-2.73, -1.37)</w:t>
            </w:r>
          </w:p>
          <w:p w14:paraId="3E678898" w14:textId="77777777" w:rsidR="003E6F2D" w:rsidRPr="00524EEA" w:rsidRDefault="003E6F2D" w:rsidP="0056764E">
            <w:pPr>
              <w:pStyle w:val="A-TableText"/>
              <w:jc w:val="center"/>
              <w:rPr>
                <w:lang w:val="en-AU"/>
              </w:rPr>
            </w:pPr>
          </w:p>
          <w:p w14:paraId="24F0022B" w14:textId="77777777" w:rsidR="003E6F2D" w:rsidRPr="00524EEA" w:rsidRDefault="003E6F2D" w:rsidP="0056764E">
            <w:pPr>
              <w:pStyle w:val="A-TableText"/>
              <w:jc w:val="center"/>
              <w:rPr>
                <w:lang w:val="en-AU"/>
              </w:rPr>
            </w:pPr>
            <w:r w:rsidRPr="00524EEA">
              <w:rPr>
                <w:lang w:val="en-AU"/>
              </w:rPr>
              <w:t>-1.50</w:t>
            </w:r>
          </w:p>
          <w:p w14:paraId="268FE205" w14:textId="77777777" w:rsidR="003E6F2D" w:rsidRPr="00524EEA" w:rsidRDefault="003E6F2D" w:rsidP="0056764E">
            <w:pPr>
              <w:pStyle w:val="A-TableText"/>
              <w:jc w:val="center"/>
              <w:rPr>
                <w:lang w:val="en-AU"/>
              </w:rPr>
            </w:pPr>
            <w:r w:rsidRPr="00524EEA">
              <w:rPr>
                <w:lang w:val="en-AU"/>
              </w:rPr>
              <w:t>(-2.12, -0.89)</w:t>
            </w:r>
          </w:p>
        </w:tc>
        <w:tc>
          <w:tcPr>
            <w:tcW w:w="2127" w:type="dxa"/>
            <w:tcBorders>
              <w:top w:val="single" w:sz="4" w:space="0" w:color="auto"/>
              <w:bottom w:val="single" w:sz="8" w:space="0" w:color="auto"/>
            </w:tcBorders>
            <w:shd w:val="clear" w:color="auto" w:fill="auto"/>
          </w:tcPr>
          <w:p w14:paraId="78DEAEB5" w14:textId="77777777" w:rsidR="003E6F2D" w:rsidRPr="00524EEA" w:rsidRDefault="003E6F2D" w:rsidP="0056764E">
            <w:pPr>
              <w:pStyle w:val="A-TableText"/>
              <w:jc w:val="center"/>
              <w:rPr>
                <w:lang w:val="en-AU"/>
              </w:rPr>
            </w:pPr>
            <w:r w:rsidRPr="00524EEA">
              <w:rPr>
                <w:lang w:val="en-AU"/>
              </w:rPr>
              <w:t>87.98</w:t>
            </w:r>
          </w:p>
          <w:p w14:paraId="11E14E3E" w14:textId="77777777" w:rsidR="003E6F2D" w:rsidRPr="00524EEA" w:rsidRDefault="003E6F2D" w:rsidP="0056764E">
            <w:pPr>
              <w:pStyle w:val="A-TableText"/>
              <w:jc w:val="center"/>
              <w:rPr>
                <w:lang w:val="en-AU"/>
              </w:rPr>
            </w:pPr>
            <w:r w:rsidRPr="00524EEA">
              <w:rPr>
                <w:lang w:val="en-AU"/>
              </w:rPr>
              <w:t>0.00</w:t>
            </w:r>
          </w:p>
        </w:tc>
        <w:tc>
          <w:tcPr>
            <w:tcW w:w="2235" w:type="dxa"/>
            <w:tcBorders>
              <w:top w:val="single" w:sz="4" w:space="0" w:color="auto"/>
              <w:bottom w:val="single" w:sz="8" w:space="0" w:color="auto"/>
            </w:tcBorders>
            <w:shd w:val="clear" w:color="auto" w:fill="auto"/>
          </w:tcPr>
          <w:p w14:paraId="0B835700" w14:textId="77777777" w:rsidR="003E6F2D" w:rsidRPr="00524EEA" w:rsidRDefault="003E6F2D" w:rsidP="0056764E">
            <w:pPr>
              <w:pStyle w:val="A-TableText"/>
              <w:jc w:val="center"/>
              <w:rPr>
                <w:lang w:val="en-AU"/>
              </w:rPr>
            </w:pPr>
            <w:r w:rsidRPr="00524EEA">
              <w:rPr>
                <w:lang w:val="en-AU"/>
              </w:rPr>
              <w:t>86.25</w:t>
            </w:r>
          </w:p>
          <w:p w14:paraId="48AD5080" w14:textId="77777777" w:rsidR="003E6F2D" w:rsidRPr="00524EEA" w:rsidRDefault="003E6F2D" w:rsidP="0056764E">
            <w:pPr>
              <w:pStyle w:val="A-TableText"/>
              <w:jc w:val="center"/>
              <w:rPr>
                <w:lang w:val="en-AU"/>
              </w:rPr>
            </w:pPr>
            <w:r w:rsidRPr="00524EEA">
              <w:rPr>
                <w:lang w:val="en-AU"/>
              </w:rPr>
              <w:t>-2.39</w:t>
            </w:r>
          </w:p>
        </w:tc>
      </w:tr>
    </w:tbl>
    <w:p w14:paraId="694A67B5" w14:textId="466B4B2D" w:rsidR="003E6F2D" w:rsidRPr="00524EEA" w:rsidRDefault="003E6F2D" w:rsidP="001C4EEF">
      <w:pPr>
        <w:pStyle w:val="A-TableFootnoteText"/>
        <w:spacing w:before="20" w:after="20"/>
        <w:jc w:val="left"/>
      </w:pPr>
      <w:r w:rsidRPr="00524EEA">
        <w:rPr>
          <w:vertAlign w:val="superscript"/>
        </w:rPr>
        <w:t xml:space="preserve"># </w:t>
      </w:r>
      <w:r w:rsidRPr="00524EEA">
        <w:rPr>
          <w:vertAlign w:val="superscript"/>
        </w:rPr>
        <w:tab/>
      </w:r>
      <w:r w:rsidRPr="00524EEA">
        <w:t>XR = extended release</w:t>
      </w:r>
    </w:p>
    <w:p w14:paraId="66798975" w14:textId="298E88EB" w:rsidR="003E6F2D" w:rsidRPr="00524EEA" w:rsidRDefault="003E6F2D" w:rsidP="001C4EEF">
      <w:pPr>
        <w:pStyle w:val="A-TableFootnoteText"/>
        <w:spacing w:before="20" w:after="20"/>
        <w:jc w:val="left"/>
      </w:pPr>
      <w:r w:rsidRPr="00524EEA">
        <w:rPr>
          <w:vertAlign w:val="superscript"/>
        </w:rPr>
        <w:t>a</w:t>
      </w:r>
      <w:r w:rsidRPr="00524EEA">
        <w:tab/>
        <w:t>LRM = Longitudinal repeated measures (using values prior to rescue)</w:t>
      </w:r>
    </w:p>
    <w:p w14:paraId="5F9B2D43" w14:textId="5C276667" w:rsidR="003E6F2D" w:rsidRPr="00524EEA" w:rsidRDefault="003E6F2D" w:rsidP="001C4EEF">
      <w:pPr>
        <w:pStyle w:val="A-TableFootnoteText"/>
        <w:spacing w:before="20" w:after="20"/>
        <w:jc w:val="left"/>
      </w:pPr>
      <w:r w:rsidRPr="00524EEA">
        <w:rPr>
          <w:vertAlign w:val="superscript"/>
        </w:rPr>
        <w:t>b</w:t>
      </w:r>
      <w:r w:rsidRPr="00524EEA">
        <w:tab/>
        <w:t>Randomised and treated patients with baseline and at least 1 post-baseline efficacy measurement</w:t>
      </w:r>
    </w:p>
    <w:p w14:paraId="5F24426C" w14:textId="338FC3B8" w:rsidR="003E6F2D" w:rsidRPr="00524EEA" w:rsidRDefault="003E6F2D" w:rsidP="001C4EEF">
      <w:pPr>
        <w:pStyle w:val="A-TableFootnoteText"/>
        <w:spacing w:before="20" w:after="20"/>
        <w:jc w:val="left"/>
      </w:pPr>
      <w:r w:rsidRPr="00524EEA">
        <w:rPr>
          <w:vertAlign w:val="superscript"/>
        </w:rPr>
        <w:t>c</w:t>
      </w:r>
      <w:r w:rsidRPr="00524EEA">
        <w:tab/>
        <w:t>Least squares mean adjusted for baseline value</w:t>
      </w:r>
    </w:p>
    <w:p w14:paraId="0D151655" w14:textId="6E905EBF" w:rsidR="003E6F2D" w:rsidRPr="00524EEA" w:rsidRDefault="003E6F2D" w:rsidP="001C4EEF">
      <w:pPr>
        <w:pStyle w:val="A-TableFootnoteText"/>
        <w:spacing w:before="20" w:after="20"/>
        <w:jc w:val="left"/>
      </w:pPr>
      <w:r w:rsidRPr="00524EEA">
        <w:rPr>
          <w:vertAlign w:val="superscript"/>
        </w:rPr>
        <w:t>d</w:t>
      </w:r>
      <w:r w:rsidRPr="00524EEA">
        <w:tab/>
        <w:t>p-value &lt; 0.0001</w:t>
      </w:r>
    </w:p>
    <w:p w14:paraId="7D068056" w14:textId="77777777" w:rsidR="003E6F2D" w:rsidRPr="00524EEA" w:rsidRDefault="003E6F2D" w:rsidP="001C4EEF">
      <w:pPr>
        <w:pStyle w:val="A-TableFootnoteText"/>
        <w:spacing w:before="20" w:after="20"/>
        <w:jc w:val="left"/>
      </w:pPr>
      <w:r w:rsidRPr="00524EEA">
        <w:rPr>
          <w:vertAlign w:val="superscript"/>
        </w:rPr>
        <w:t>e</w:t>
      </w:r>
      <w:r w:rsidRPr="00524EEA">
        <w:tab/>
        <w:t>p-value=0.0166</w:t>
      </w:r>
    </w:p>
    <w:p w14:paraId="7D764BB0" w14:textId="77777777" w:rsidR="003E6F2D" w:rsidRPr="00524EEA" w:rsidRDefault="003E6F2D" w:rsidP="001C4EEF">
      <w:pPr>
        <w:pStyle w:val="A-TableFootnoteText"/>
        <w:spacing w:before="20" w:after="20"/>
        <w:jc w:val="left"/>
      </w:pPr>
      <w:r w:rsidRPr="00524EEA">
        <w:rPr>
          <w:vertAlign w:val="superscript"/>
        </w:rPr>
        <w:t xml:space="preserve">f </w:t>
      </w:r>
      <w:r w:rsidRPr="00524EEA">
        <w:tab/>
        <w:t xml:space="preserve">LOCF = Last Observation Carried Forward </w:t>
      </w:r>
    </w:p>
    <w:p w14:paraId="3E42A73C" w14:textId="6CD9CEBC" w:rsidR="003E6F2D" w:rsidRPr="00524EEA" w:rsidRDefault="003E6F2D" w:rsidP="004C3E58">
      <w:pPr>
        <w:spacing w:after="0" w:line="240" w:lineRule="auto"/>
      </w:pPr>
    </w:p>
    <w:p w14:paraId="47027A66" w14:textId="6CC4988E" w:rsidR="00411D82" w:rsidRPr="00524EEA" w:rsidRDefault="00411D82" w:rsidP="00D57799">
      <w:pPr>
        <w:pStyle w:val="Heading5nobookmark"/>
      </w:pPr>
      <w:r w:rsidRPr="00524EEA">
        <w:t xml:space="preserve">Concomitant Initiation of FORXIGA and Extended Release </w:t>
      </w:r>
      <w:proofErr w:type="spellStart"/>
      <w:r w:rsidRPr="00524EEA">
        <w:t>Exenatide</w:t>
      </w:r>
      <w:proofErr w:type="spellEnd"/>
      <w:r w:rsidRPr="00524EEA">
        <w:t xml:space="preserve"> in Patients Inadequately Controlled on Metformin</w:t>
      </w:r>
    </w:p>
    <w:p w14:paraId="451E7E2F" w14:textId="26BF0953" w:rsidR="00411D82" w:rsidRPr="00524EEA" w:rsidRDefault="00411D82" w:rsidP="00411D82">
      <w:r w:rsidRPr="00524EEA">
        <w:t xml:space="preserve">A total of </w:t>
      </w:r>
      <w:r w:rsidR="008C004C" w:rsidRPr="00524EEA">
        <w:t xml:space="preserve">694 </w:t>
      </w:r>
      <w:r w:rsidRPr="00524EEA">
        <w:t>adult patients with type 2 diabetes mellitus and inadequate glycaemic control (HbA1c ≥8.0 and ≤12.0%) on metformin alone (≥1,500 mg/day) participated in this 28</w:t>
      </w:r>
      <w:r w:rsidRPr="00524EEA">
        <w:noBreakHyphen/>
        <w:t>week randomised, double</w:t>
      </w:r>
      <w:r w:rsidRPr="00524EEA">
        <w:noBreakHyphen/>
        <w:t>blind, active</w:t>
      </w:r>
      <w:r w:rsidRPr="00524EEA">
        <w:noBreakHyphen/>
        <w:t xml:space="preserve">controlled trial to compare the concomitant initiation of FORXIGA 10 mg once daily and extended release </w:t>
      </w:r>
      <w:proofErr w:type="spellStart"/>
      <w:r w:rsidRPr="00524EEA">
        <w:t>exenatide</w:t>
      </w:r>
      <w:proofErr w:type="spellEnd"/>
      <w:r w:rsidRPr="00524EEA">
        <w:t xml:space="preserve"> 2 mg once weekly (GLP</w:t>
      </w:r>
      <w:r w:rsidRPr="00524EEA">
        <w:noBreakHyphen/>
        <w:t xml:space="preserve">1 receptor agonist) on a background of metformin versus extended release </w:t>
      </w:r>
      <w:proofErr w:type="spellStart"/>
      <w:r w:rsidRPr="00524EEA">
        <w:t>exenatide</w:t>
      </w:r>
      <w:proofErr w:type="spellEnd"/>
      <w:r w:rsidRPr="00524EEA">
        <w:t xml:space="preserve"> 2 mg once weekly alone and FORXIGA 10 mg once daily alone, when added to metformin. Following a 1</w:t>
      </w:r>
      <w:r w:rsidRPr="00524EEA">
        <w:noBreakHyphen/>
        <w:t>week placebo lead</w:t>
      </w:r>
      <w:r w:rsidRPr="00524EEA">
        <w:noBreakHyphen/>
        <w:t>in period, patients were randomised equally to one of three double</w:t>
      </w:r>
      <w:r w:rsidRPr="00524EEA">
        <w:noBreakHyphen/>
        <w:t xml:space="preserve">blind treatment groups to receive either FORXIGA 10 mg and extended release </w:t>
      </w:r>
      <w:proofErr w:type="spellStart"/>
      <w:r w:rsidRPr="00524EEA">
        <w:rPr>
          <w:bCs/>
        </w:rPr>
        <w:t>exenatide</w:t>
      </w:r>
      <w:proofErr w:type="spellEnd"/>
      <w:r w:rsidRPr="00524EEA">
        <w:rPr>
          <w:bCs/>
        </w:rPr>
        <w:t>, FORXIGA 10 mg and placebo or</w:t>
      </w:r>
      <w:r w:rsidRPr="00524EEA">
        <w:t xml:space="preserve"> extended release </w:t>
      </w:r>
      <w:proofErr w:type="spellStart"/>
      <w:r w:rsidRPr="00524EEA">
        <w:rPr>
          <w:bCs/>
        </w:rPr>
        <w:t>exenatide</w:t>
      </w:r>
      <w:proofErr w:type="spellEnd"/>
      <w:r w:rsidRPr="00524EEA">
        <w:rPr>
          <w:bCs/>
        </w:rPr>
        <w:t xml:space="preserve"> and placebo. During the treatment period, </w:t>
      </w:r>
      <w:r w:rsidRPr="00524EEA">
        <w:t>patients continued on the same type and dose of metformin as when they entered the study. At baseline, patients had a mean age of 54.2 years and a BMI of 32.73 kg/m</w:t>
      </w:r>
      <w:r w:rsidRPr="00524EEA">
        <w:rPr>
          <w:vertAlign w:val="superscript"/>
        </w:rPr>
        <w:t>2</w:t>
      </w:r>
      <w:r w:rsidRPr="00524EEA">
        <w:t>. Randomisation was stratified by HbA1c at baseline (&lt;9.0% or ≥9.0%)</w:t>
      </w:r>
      <w:r w:rsidRPr="00524EEA">
        <w:rPr>
          <w:lang w:eastAsia="en-GB"/>
        </w:rPr>
        <w:t xml:space="preserve"> and patients were regularly monitored every 4 weeks in this study.</w:t>
      </w:r>
    </w:p>
    <w:p w14:paraId="3DDBB6D4" w14:textId="14E50CC7" w:rsidR="00411D82" w:rsidRPr="00524EEA" w:rsidRDefault="00411D82" w:rsidP="00411D82">
      <w:r w:rsidRPr="00524EEA">
        <w:t>The primary endpoint was the change in HbA1c from baseline to Week 28 (</w:t>
      </w:r>
      <w:r w:rsidR="00926857" w:rsidRPr="00524EEA">
        <w:t xml:space="preserve">see </w:t>
      </w:r>
      <w:r w:rsidRPr="00524EEA">
        <w:t xml:space="preserve">Fig 5). Compared to FORXIGA 10 mg alone and to extended release </w:t>
      </w:r>
      <w:proofErr w:type="spellStart"/>
      <w:r w:rsidRPr="00524EEA">
        <w:rPr>
          <w:bCs/>
        </w:rPr>
        <w:t>exenatide</w:t>
      </w:r>
      <w:proofErr w:type="spellEnd"/>
      <w:r w:rsidRPr="00524EEA">
        <w:rPr>
          <w:bCs/>
        </w:rPr>
        <w:t xml:space="preserve"> alone, concomitant initiation of FORXIGA 10 mg and </w:t>
      </w:r>
      <w:r w:rsidRPr="00524EEA">
        <w:t>extended</w:t>
      </w:r>
      <w:r w:rsidRPr="00524EEA">
        <w:rPr>
          <w:bCs/>
        </w:rPr>
        <w:t xml:space="preserve"> release </w:t>
      </w:r>
      <w:proofErr w:type="spellStart"/>
      <w:r w:rsidRPr="00524EEA">
        <w:rPr>
          <w:bCs/>
        </w:rPr>
        <w:t>exenatide</w:t>
      </w:r>
      <w:proofErr w:type="spellEnd"/>
      <w:r w:rsidRPr="00524EEA">
        <w:rPr>
          <w:bCs/>
        </w:rPr>
        <w:t xml:space="preserve"> </w:t>
      </w:r>
      <w:r w:rsidRPr="00524EEA">
        <w:t>resulted in statistically significant reductions in HbA1c from baseline at Week 28 (Table 9).</w:t>
      </w:r>
    </w:p>
    <w:p w14:paraId="28CE4538" w14:textId="77777777" w:rsidR="00411D82" w:rsidRPr="00524EEA" w:rsidRDefault="00411D82" w:rsidP="00411D82">
      <w:pPr>
        <w:pStyle w:val="A-FigureTitle"/>
        <w:rPr>
          <w:lang w:val="en-AU"/>
        </w:rPr>
      </w:pPr>
      <w:r w:rsidRPr="00524EEA">
        <w:rPr>
          <w:lang w:val="en-AU"/>
        </w:rPr>
        <w:t>Figure 5.</w:t>
      </w:r>
      <w:r w:rsidRPr="00524EEA">
        <w:rPr>
          <w:lang w:val="en-AU"/>
        </w:rPr>
        <w:tab/>
        <w:t>Change in HbA1c over Time, LS Mean (SE) – 28-Week Treatment Period (Intent-to-Treat Analysis Set)</w:t>
      </w:r>
    </w:p>
    <w:p w14:paraId="0C42326A" w14:textId="77777777" w:rsidR="00411D82" w:rsidRPr="00524EEA" w:rsidRDefault="00411D82" w:rsidP="00411D82"/>
    <w:p w14:paraId="6294C168" w14:textId="75BE665A" w:rsidR="00411D82" w:rsidRPr="00524EEA" w:rsidRDefault="00411D82" w:rsidP="00411D82">
      <w:r w:rsidRPr="00524EEA">
        <w:rPr>
          <w:noProof/>
          <w:lang w:eastAsia="en-AU"/>
        </w:rPr>
        <w:drawing>
          <wp:inline distT="0" distB="0" distL="0" distR="0" wp14:anchorId="6D2BBA82" wp14:editId="419EF30E">
            <wp:extent cx="5780405" cy="23615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0405" cy="2361565"/>
                    </a:xfrm>
                    <a:prstGeom prst="rect">
                      <a:avLst/>
                    </a:prstGeom>
                    <a:noFill/>
                    <a:ln>
                      <a:noFill/>
                    </a:ln>
                  </pic:spPr>
                </pic:pic>
              </a:graphicData>
            </a:graphic>
          </wp:inline>
        </w:drawing>
      </w:r>
    </w:p>
    <w:p w14:paraId="7FCC95C2" w14:textId="77777777" w:rsidR="00411D82" w:rsidRPr="00524EEA" w:rsidRDefault="00411D82" w:rsidP="00AD096A">
      <w:pPr>
        <w:pStyle w:val="A-TableFootnoteText"/>
        <w:jc w:val="left"/>
      </w:pPr>
      <w:r w:rsidRPr="00524EEA">
        <w:t>CFB=change from baseline; EQW=</w:t>
      </w:r>
      <w:proofErr w:type="spellStart"/>
      <w:r w:rsidRPr="00524EEA">
        <w:t>exenatide</w:t>
      </w:r>
      <w:proofErr w:type="spellEnd"/>
      <w:r w:rsidRPr="00524EEA">
        <w:t xml:space="preserve"> 2 mg once weekly; </w:t>
      </w:r>
      <w:proofErr w:type="spellStart"/>
      <w:r w:rsidRPr="00524EEA">
        <w:t>Dapa</w:t>
      </w:r>
      <w:proofErr w:type="spellEnd"/>
      <w:r w:rsidRPr="00524EEA">
        <w:t>=</w:t>
      </w:r>
      <w:proofErr w:type="spellStart"/>
      <w:r w:rsidRPr="00524EEA">
        <w:t>dapagliflozin</w:t>
      </w:r>
      <w:proofErr w:type="spellEnd"/>
      <w:r w:rsidRPr="00524EEA">
        <w:t xml:space="preserve"> 10 mg once daily.</w:t>
      </w:r>
    </w:p>
    <w:p w14:paraId="669A31A7" w14:textId="77777777" w:rsidR="00411D82" w:rsidRPr="00524EEA" w:rsidRDefault="00411D82" w:rsidP="00AD096A">
      <w:pPr>
        <w:pStyle w:val="A-TableFootnoteText"/>
        <w:jc w:val="left"/>
      </w:pPr>
      <w:r w:rsidRPr="00524EEA">
        <w:t>Baseline is defined as Week 0.</w:t>
      </w:r>
    </w:p>
    <w:p w14:paraId="446FCF60" w14:textId="77777777" w:rsidR="00411D82" w:rsidRPr="00524EEA" w:rsidRDefault="00411D82" w:rsidP="00411D82"/>
    <w:p w14:paraId="7E54D24F" w14:textId="77777777" w:rsidR="004C3E58" w:rsidRPr="00524EEA" w:rsidRDefault="004C3E58">
      <w:pPr>
        <w:rPr>
          <w:rFonts w:eastAsia="Times New Roman" w:cs="Arial"/>
          <w:b/>
          <w:sz w:val="22"/>
          <w:szCs w:val="20"/>
        </w:rPr>
      </w:pPr>
      <w:r w:rsidRPr="00524EEA">
        <w:br w:type="page"/>
      </w:r>
    </w:p>
    <w:p w14:paraId="36D2069B" w14:textId="2311CBF4" w:rsidR="003501A4" w:rsidRPr="00524EEA" w:rsidRDefault="00411D82" w:rsidP="00AF7D0B">
      <w:pPr>
        <w:pStyle w:val="A-TableTitle"/>
        <w:rPr>
          <w:lang w:val="en-AU"/>
        </w:rPr>
      </w:pPr>
      <w:r w:rsidRPr="00524EEA">
        <w:rPr>
          <w:lang w:val="en-AU"/>
        </w:rPr>
        <w:t>Table 9.</w:t>
      </w:r>
      <w:r w:rsidRPr="00524EEA">
        <w:rPr>
          <w:lang w:val="en-AU"/>
        </w:rPr>
        <w:tab/>
        <w:t xml:space="preserve">Results of a 28-Week Active-Controlled Trial of FORXIGA 10 mg and Extended Release </w:t>
      </w:r>
      <w:proofErr w:type="spellStart"/>
      <w:r w:rsidRPr="00524EEA">
        <w:rPr>
          <w:lang w:val="en-AU"/>
        </w:rPr>
        <w:t>Exenatide</w:t>
      </w:r>
      <w:proofErr w:type="spellEnd"/>
      <w:r w:rsidRPr="00524EEA">
        <w:rPr>
          <w:lang w:val="en-AU"/>
        </w:rPr>
        <w:t xml:space="preserve"> </w:t>
      </w:r>
      <w:r w:rsidRPr="00AF7D0B">
        <w:rPr>
          <w:lang w:val="en-AU"/>
        </w:rPr>
        <w:t xml:space="preserve">Concomitant </w:t>
      </w:r>
      <w:r w:rsidRPr="00524EEA">
        <w:rPr>
          <w:lang w:val="en-AU"/>
        </w:rPr>
        <w:t>Add-On to Metformin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763"/>
        <w:gridCol w:w="1996"/>
        <w:gridCol w:w="2136"/>
        <w:gridCol w:w="2135"/>
      </w:tblGrid>
      <w:tr w:rsidR="00411D82" w:rsidRPr="00524EEA" w14:paraId="7D22BDC5" w14:textId="77777777" w:rsidTr="003501A4">
        <w:trPr>
          <w:trHeight w:val="70"/>
          <w:tblHeader/>
        </w:trPr>
        <w:tc>
          <w:tcPr>
            <w:tcW w:w="1530" w:type="pct"/>
            <w:tcBorders>
              <w:top w:val="single" w:sz="8" w:space="0" w:color="auto"/>
              <w:left w:val="nil"/>
              <w:bottom w:val="single" w:sz="4" w:space="0" w:color="auto"/>
              <w:right w:val="nil"/>
            </w:tcBorders>
            <w:vAlign w:val="bottom"/>
          </w:tcPr>
          <w:p w14:paraId="58CCCACA" w14:textId="77777777" w:rsidR="00411D82" w:rsidRPr="00524EEA" w:rsidRDefault="00411D82" w:rsidP="008902EC">
            <w:pPr>
              <w:pStyle w:val="A-TableHeader"/>
              <w:rPr>
                <w:lang w:val="en-AU"/>
              </w:rPr>
            </w:pPr>
            <w:r w:rsidRPr="00524EEA">
              <w:rPr>
                <w:lang w:val="en-AU"/>
              </w:rPr>
              <w:t>Efficacy Parameter</w:t>
            </w:r>
          </w:p>
        </w:tc>
        <w:tc>
          <w:tcPr>
            <w:tcW w:w="1105" w:type="pct"/>
            <w:tcBorders>
              <w:top w:val="single" w:sz="8" w:space="0" w:color="auto"/>
              <w:left w:val="nil"/>
              <w:bottom w:val="single" w:sz="4" w:space="0" w:color="auto"/>
              <w:right w:val="nil"/>
            </w:tcBorders>
            <w:vAlign w:val="center"/>
          </w:tcPr>
          <w:p w14:paraId="438C869E" w14:textId="77777777" w:rsidR="00411D82" w:rsidRPr="00524EEA" w:rsidRDefault="00411D82" w:rsidP="008902EC">
            <w:pPr>
              <w:pStyle w:val="A-TableHeader"/>
              <w:jc w:val="center"/>
              <w:rPr>
                <w:bCs/>
                <w:lang w:val="en-AU"/>
              </w:rPr>
            </w:pPr>
            <w:r w:rsidRPr="00524EEA">
              <w:rPr>
                <w:bCs/>
                <w:lang w:val="en-AU"/>
              </w:rPr>
              <w:t>FORXIGA 10 mg QD</w:t>
            </w:r>
          </w:p>
          <w:p w14:paraId="01153012" w14:textId="77777777" w:rsidR="00411D82" w:rsidRPr="00524EEA" w:rsidRDefault="00411D82" w:rsidP="008902EC">
            <w:pPr>
              <w:pStyle w:val="A-TableHeader"/>
              <w:jc w:val="center"/>
              <w:rPr>
                <w:bCs/>
                <w:lang w:val="en-AU"/>
              </w:rPr>
            </w:pPr>
            <w:r w:rsidRPr="00524EEA">
              <w:rPr>
                <w:bCs/>
                <w:lang w:val="en-AU"/>
              </w:rPr>
              <w:t>+</w:t>
            </w:r>
          </w:p>
          <w:p w14:paraId="24E1DFC2" w14:textId="77777777" w:rsidR="00411D82" w:rsidRPr="00524EEA" w:rsidRDefault="00411D82" w:rsidP="008902EC">
            <w:pPr>
              <w:pStyle w:val="A-TableHeader"/>
              <w:jc w:val="center"/>
              <w:rPr>
                <w:lang w:val="en-AU"/>
              </w:rPr>
            </w:pPr>
            <w:r w:rsidRPr="00524EEA">
              <w:rPr>
                <w:bCs/>
                <w:lang w:val="en-AU"/>
              </w:rPr>
              <w:t xml:space="preserve">Extended release </w:t>
            </w:r>
            <w:proofErr w:type="spellStart"/>
            <w:r w:rsidRPr="00524EEA">
              <w:rPr>
                <w:bCs/>
                <w:lang w:val="en-AU"/>
              </w:rPr>
              <w:t>exenatide</w:t>
            </w:r>
            <w:proofErr w:type="spellEnd"/>
            <w:r w:rsidRPr="00524EEA">
              <w:rPr>
                <w:bCs/>
                <w:lang w:val="en-AU"/>
              </w:rPr>
              <w:t xml:space="preserve"> 2 mg QW</w:t>
            </w:r>
          </w:p>
        </w:tc>
        <w:tc>
          <w:tcPr>
            <w:tcW w:w="1182" w:type="pct"/>
            <w:tcBorders>
              <w:top w:val="single" w:sz="8" w:space="0" w:color="auto"/>
              <w:left w:val="nil"/>
              <w:bottom w:val="single" w:sz="4" w:space="0" w:color="auto"/>
              <w:right w:val="nil"/>
            </w:tcBorders>
            <w:vAlign w:val="center"/>
          </w:tcPr>
          <w:p w14:paraId="0851D851" w14:textId="77777777" w:rsidR="00411D82" w:rsidRPr="00524EEA" w:rsidRDefault="00411D82" w:rsidP="008902EC">
            <w:pPr>
              <w:pStyle w:val="A-TableHeader"/>
              <w:jc w:val="center"/>
              <w:rPr>
                <w:lang w:val="en-AU"/>
              </w:rPr>
            </w:pPr>
            <w:r w:rsidRPr="00524EEA">
              <w:rPr>
                <w:lang w:val="en-AU"/>
              </w:rPr>
              <w:t>FORXIGA 10 mg QD</w:t>
            </w:r>
          </w:p>
          <w:p w14:paraId="46E45B4D" w14:textId="77777777" w:rsidR="00411D82" w:rsidRPr="00524EEA" w:rsidRDefault="00411D82" w:rsidP="008902EC">
            <w:pPr>
              <w:pStyle w:val="A-TableHeader"/>
              <w:jc w:val="center"/>
              <w:rPr>
                <w:lang w:val="en-AU"/>
              </w:rPr>
            </w:pPr>
            <w:r w:rsidRPr="00524EEA">
              <w:rPr>
                <w:lang w:val="en-AU"/>
              </w:rPr>
              <w:t>+</w:t>
            </w:r>
          </w:p>
          <w:p w14:paraId="418F8030" w14:textId="77777777" w:rsidR="00411D82" w:rsidRPr="00524EEA" w:rsidRDefault="00411D82" w:rsidP="008902EC">
            <w:pPr>
              <w:pStyle w:val="A-TableHeader"/>
              <w:jc w:val="center"/>
              <w:rPr>
                <w:lang w:val="en-AU"/>
              </w:rPr>
            </w:pPr>
            <w:r w:rsidRPr="00524EEA">
              <w:rPr>
                <w:lang w:val="en-AU"/>
              </w:rPr>
              <w:t>Placebo QW</w:t>
            </w:r>
          </w:p>
        </w:tc>
        <w:tc>
          <w:tcPr>
            <w:tcW w:w="1182" w:type="pct"/>
            <w:tcBorders>
              <w:top w:val="single" w:sz="8" w:space="0" w:color="auto"/>
              <w:left w:val="nil"/>
              <w:bottom w:val="single" w:sz="4" w:space="0" w:color="auto"/>
              <w:right w:val="nil"/>
            </w:tcBorders>
            <w:vAlign w:val="center"/>
          </w:tcPr>
          <w:p w14:paraId="3935801D" w14:textId="77777777" w:rsidR="00411D82" w:rsidRPr="00524EEA" w:rsidRDefault="00411D82" w:rsidP="008902EC">
            <w:pPr>
              <w:pStyle w:val="A-TableHeader"/>
              <w:jc w:val="center"/>
              <w:rPr>
                <w:lang w:val="en-AU"/>
              </w:rPr>
            </w:pPr>
            <w:r w:rsidRPr="00524EEA">
              <w:rPr>
                <w:lang w:val="en-AU"/>
              </w:rPr>
              <w:t xml:space="preserve">Extended release </w:t>
            </w:r>
            <w:proofErr w:type="spellStart"/>
            <w:r w:rsidRPr="00524EEA">
              <w:rPr>
                <w:lang w:val="en-AU"/>
              </w:rPr>
              <w:t>exenatide</w:t>
            </w:r>
            <w:proofErr w:type="spellEnd"/>
            <w:r w:rsidRPr="00524EEA">
              <w:rPr>
                <w:lang w:val="en-AU"/>
              </w:rPr>
              <w:t xml:space="preserve"> 2 mg QW</w:t>
            </w:r>
          </w:p>
          <w:p w14:paraId="5480A7BC" w14:textId="77777777" w:rsidR="00411D82" w:rsidRPr="00524EEA" w:rsidRDefault="00411D82" w:rsidP="008902EC">
            <w:pPr>
              <w:pStyle w:val="A-TableHeader"/>
              <w:jc w:val="center"/>
              <w:rPr>
                <w:lang w:val="en-AU"/>
              </w:rPr>
            </w:pPr>
            <w:r w:rsidRPr="00524EEA">
              <w:rPr>
                <w:lang w:val="en-AU"/>
              </w:rPr>
              <w:t>+</w:t>
            </w:r>
          </w:p>
          <w:p w14:paraId="66AFB0E9" w14:textId="77777777" w:rsidR="00411D82" w:rsidRPr="00524EEA" w:rsidRDefault="00411D82" w:rsidP="008902EC">
            <w:pPr>
              <w:pStyle w:val="A-TableHeader"/>
              <w:jc w:val="center"/>
              <w:rPr>
                <w:lang w:val="en-AU"/>
              </w:rPr>
            </w:pPr>
            <w:r w:rsidRPr="00524EEA">
              <w:rPr>
                <w:lang w:val="en-AU"/>
              </w:rPr>
              <w:t>Placebo QD</w:t>
            </w:r>
          </w:p>
        </w:tc>
      </w:tr>
      <w:tr w:rsidR="00411D82" w:rsidRPr="00524EEA" w14:paraId="7371249A" w14:textId="77777777" w:rsidTr="00A33C9A">
        <w:trPr>
          <w:trHeight w:val="197"/>
          <w:tblHeader/>
        </w:trPr>
        <w:tc>
          <w:tcPr>
            <w:tcW w:w="1530" w:type="pct"/>
            <w:tcBorders>
              <w:top w:val="single" w:sz="4" w:space="0" w:color="auto"/>
              <w:left w:val="nil"/>
              <w:bottom w:val="single" w:sz="4" w:space="0" w:color="auto"/>
              <w:right w:val="nil"/>
            </w:tcBorders>
            <w:vAlign w:val="center"/>
          </w:tcPr>
          <w:p w14:paraId="38D73AAF" w14:textId="77777777" w:rsidR="00411D82" w:rsidRPr="00524EEA" w:rsidRDefault="00411D82" w:rsidP="008902EC">
            <w:pPr>
              <w:pStyle w:val="A-TableHeader"/>
              <w:rPr>
                <w:lang w:val="en-AU"/>
              </w:rPr>
            </w:pPr>
            <w:r w:rsidRPr="00524EEA">
              <w:rPr>
                <w:lang w:val="en-AU"/>
              </w:rPr>
              <w:t>Intent-to-Treat population (N)</w:t>
            </w:r>
            <w:r w:rsidRPr="00524EEA">
              <w:rPr>
                <w:bCs/>
                <w:vertAlign w:val="superscript"/>
                <w:lang w:val="en-AU"/>
              </w:rPr>
              <w:t xml:space="preserve"> c</w:t>
            </w:r>
          </w:p>
        </w:tc>
        <w:tc>
          <w:tcPr>
            <w:tcW w:w="1105" w:type="pct"/>
            <w:tcBorders>
              <w:top w:val="single" w:sz="4" w:space="0" w:color="auto"/>
              <w:left w:val="nil"/>
              <w:bottom w:val="single" w:sz="4" w:space="0" w:color="auto"/>
              <w:right w:val="nil"/>
            </w:tcBorders>
            <w:vAlign w:val="center"/>
          </w:tcPr>
          <w:p w14:paraId="33F318D4" w14:textId="77777777" w:rsidR="00411D82" w:rsidRPr="00524EEA" w:rsidRDefault="00411D82" w:rsidP="008902EC">
            <w:pPr>
              <w:pStyle w:val="A-TableHeader"/>
              <w:jc w:val="center"/>
              <w:rPr>
                <w:lang w:val="en-AU"/>
              </w:rPr>
            </w:pPr>
            <w:r w:rsidRPr="00524EEA">
              <w:rPr>
                <w:lang w:val="en-AU"/>
              </w:rPr>
              <w:t>228</w:t>
            </w:r>
          </w:p>
        </w:tc>
        <w:tc>
          <w:tcPr>
            <w:tcW w:w="1182" w:type="pct"/>
            <w:tcBorders>
              <w:top w:val="single" w:sz="4" w:space="0" w:color="auto"/>
              <w:left w:val="nil"/>
              <w:bottom w:val="single" w:sz="4" w:space="0" w:color="auto"/>
              <w:right w:val="nil"/>
            </w:tcBorders>
            <w:vAlign w:val="center"/>
          </w:tcPr>
          <w:p w14:paraId="100C3AE9" w14:textId="77777777" w:rsidR="00411D82" w:rsidRPr="00524EEA" w:rsidRDefault="00411D82" w:rsidP="008902EC">
            <w:pPr>
              <w:pStyle w:val="A-TableHeader"/>
              <w:jc w:val="center"/>
              <w:rPr>
                <w:lang w:val="en-AU"/>
              </w:rPr>
            </w:pPr>
            <w:r w:rsidRPr="00524EEA">
              <w:rPr>
                <w:lang w:val="en-AU"/>
              </w:rPr>
              <w:t>230</w:t>
            </w:r>
          </w:p>
        </w:tc>
        <w:tc>
          <w:tcPr>
            <w:tcW w:w="1182" w:type="pct"/>
            <w:tcBorders>
              <w:top w:val="single" w:sz="4" w:space="0" w:color="auto"/>
              <w:left w:val="nil"/>
              <w:bottom w:val="single" w:sz="4" w:space="0" w:color="auto"/>
              <w:right w:val="nil"/>
            </w:tcBorders>
            <w:vAlign w:val="center"/>
          </w:tcPr>
          <w:p w14:paraId="403CB178" w14:textId="77777777" w:rsidR="00411D82" w:rsidRPr="00524EEA" w:rsidRDefault="00411D82" w:rsidP="008902EC">
            <w:pPr>
              <w:pStyle w:val="A-TableHeader"/>
              <w:jc w:val="center"/>
              <w:rPr>
                <w:lang w:val="en-AU"/>
              </w:rPr>
            </w:pPr>
            <w:r w:rsidRPr="00524EEA">
              <w:rPr>
                <w:lang w:val="en-AU"/>
              </w:rPr>
              <w:t>227</w:t>
            </w:r>
          </w:p>
        </w:tc>
      </w:tr>
      <w:tr w:rsidR="00411D82" w:rsidRPr="00524EEA" w14:paraId="59DF87EE" w14:textId="77777777" w:rsidTr="008902EC">
        <w:trPr>
          <w:trHeight w:val="70"/>
        </w:trPr>
        <w:tc>
          <w:tcPr>
            <w:tcW w:w="5000" w:type="pct"/>
            <w:gridSpan w:val="4"/>
            <w:tcBorders>
              <w:top w:val="single" w:sz="4" w:space="0" w:color="auto"/>
              <w:left w:val="nil"/>
              <w:bottom w:val="nil"/>
              <w:right w:val="nil"/>
            </w:tcBorders>
            <w:vAlign w:val="center"/>
          </w:tcPr>
          <w:p w14:paraId="56962A3F" w14:textId="77777777" w:rsidR="00411D82" w:rsidRPr="00524EEA" w:rsidRDefault="00411D82" w:rsidP="008902EC">
            <w:pPr>
              <w:pStyle w:val="A-TableHeader"/>
              <w:rPr>
                <w:lang w:val="en-AU"/>
              </w:rPr>
            </w:pPr>
            <w:r w:rsidRPr="00524EEA">
              <w:rPr>
                <w:lang w:val="en-AU"/>
              </w:rPr>
              <w:t>HbA1c (%)</w:t>
            </w:r>
          </w:p>
        </w:tc>
      </w:tr>
      <w:tr w:rsidR="00411D82" w:rsidRPr="00524EEA" w14:paraId="71CB9094" w14:textId="77777777" w:rsidTr="00A33C9A">
        <w:trPr>
          <w:trHeight w:val="70"/>
        </w:trPr>
        <w:tc>
          <w:tcPr>
            <w:tcW w:w="1530" w:type="pct"/>
            <w:tcBorders>
              <w:top w:val="nil"/>
              <w:left w:val="nil"/>
              <w:bottom w:val="nil"/>
              <w:right w:val="nil"/>
            </w:tcBorders>
            <w:vAlign w:val="center"/>
          </w:tcPr>
          <w:p w14:paraId="6F6E9584" w14:textId="77777777" w:rsidR="00411D82" w:rsidRPr="00524EEA" w:rsidRDefault="00411D82" w:rsidP="008902EC">
            <w:pPr>
              <w:pStyle w:val="A-TableText"/>
              <w:rPr>
                <w:lang w:val="en-AU"/>
              </w:rPr>
            </w:pPr>
            <w:r w:rsidRPr="00524EEA">
              <w:rPr>
                <w:lang w:val="en-AU"/>
              </w:rPr>
              <w:t>Baseline (mean)</w:t>
            </w:r>
            <w:r w:rsidRPr="00524EEA">
              <w:rPr>
                <w:vertAlign w:val="superscript"/>
                <w:lang w:val="en-AU"/>
              </w:rPr>
              <w:t>a</w:t>
            </w:r>
          </w:p>
        </w:tc>
        <w:tc>
          <w:tcPr>
            <w:tcW w:w="1105" w:type="pct"/>
            <w:tcBorders>
              <w:top w:val="nil"/>
              <w:left w:val="nil"/>
              <w:bottom w:val="nil"/>
              <w:right w:val="nil"/>
            </w:tcBorders>
            <w:vAlign w:val="center"/>
          </w:tcPr>
          <w:p w14:paraId="006AE3EA" w14:textId="77777777" w:rsidR="00411D82" w:rsidRPr="00524EEA" w:rsidRDefault="00411D82" w:rsidP="008902EC">
            <w:pPr>
              <w:pStyle w:val="A-TableText"/>
              <w:jc w:val="center"/>
              <w:rPr>
                <w:lang w:val="en-AU"/>
              </w:rPr>
            </w:pPr>
            <w:r w:rsidRPr="00524EEA">
              <w:rPr>
                <w:lang w:val="en-AU"/>
              </w:rPr>
              <w:t>9.29</w:t>
            </w:r>
          </w:p>
        </w:tc>
        <w:tc>
          <w:tcPr>
            <w:tcW w:w="1182" w:type="pct"/>
            <w:tcBorders>
              <w:top w:val="nil"/>
              <w:left w:val="nil"/>
              <w:bottom w:val="nil"/>
              <w:right w:val="nil"/>
            </w:tcBorders>
          </w:tcPr>
          <w:p w14:paraId="1FB63E55" w14:textId="77777777" w:rsidR="00411D82" w:rsidRPr="00524EEA" w:rsidRDefault="00411D82" w:rsidP="008902EC">
            <w:pPr>
              <w:pStyle w:val="A-TableText"/>
              <w:jc w:val="center"/>
              <w:rPr>
                <w:lang w:val="en-AU"/>
              </w:rPr>
            </w:pPr>
            <w:r w:rsidRPr="00524EEA">
              <w:rPr>
                <w:lang w:val="en-AU"/>
              </w:rPr>
              <w:t>9.25</w:t>
            </w:r>
          </w:p>
        </w:tc>
        <w:tc>
          <w:tcPr>
            <w:tcW w:w="1182" w:type="pct"/>
            <w:tcBorders>
              <w:top w:val="nil"/>
              <w:left w:val="nil"/>
              <w:bottom w:val="nil"/>
              <w:right w:val="nil"/>
            </w:tcBorders>
            <w:vAlign w:val="center"/>
          </w:tcPr>
          <w:p w14:paraId="2D8210CF" w14:textId="77777777" w:rsidR="00411D82" w:rsidRPr="00524EEA" w:rsidRDefault="00411D82" w:rsidP="008902EC">
            <w:pPr>
              <w:pStyle w:val="A-TableText"/>
              <w:jc w:val="center"/>
              <w:rPr>
                <w:lang w:val="en-AU"/>
              </w:rPr>
            </w:pPr>
            <w:r w:rsidRPr="00524EEA">
              <w:rPr>
                <w:lang w:val="en-AU"/>
              </w:rPr>
              <w:t>9.26</w:t>
            </w:r>
          </w:p>
        </w:tc>
      </w:tr>
      <w:tr w:rsidR="00411D82" w:rsidRPr="00524EEA" w14:paraId="198943F9" w14:textId="77777777" w:rsidTr="00A33C9A">
        <w:trPr>
          <w:trHeight w:val="70"/>
        </w:trPr>
        <w:tc>
          <w:tcPr>
            <w:tcW w:w="1530" w:type="pct"/>
            <w:tcBorders>
              <w:top w:val="nil"/>
              <w:left w:val="nil"/>
              <w:bottom w:val="nil"/>
              <w:right w:val="nil"/>
            </w:tcBorders>
            <w:vAlign w:val="center"/>
          </w:tcPr>
          <w:p w14:paraId="297668E1" w14:textId="77777777" w:rsidR="00411D82" w:rsidRPr="00524EEA" w:rsidRDefault="00411D82" w:rsidP="008902EC">
            <w:pPr>
              <w:pStyle w:val="A-TableText"/>
              <w:rPr>
                <w:lang w:val="en-AU"/>
              </w:rPr>
            </w:pPr>
            <w:r w:rsidRPr="00524EEA">
              <w:rPr>
                <w:lang w:val="en-AU"/>
              </w:rPr>
              <w:t>Change from baseline</w:t>
            </w:r>
          </w:p>
        </w:tc>
        <w:tc>
          <w:tcPr>
            <w:tcW w:w="1105" w:type="pct"/>
            <w:tcBorders>
              <w:top w:val="nil"/>
              <w:left w:val="nil"/>
              <w:bottom w:val="nil"/>
              <w:right w:val="nil"/>
            </w:tcBorders>
            <w:vAlign w:val="center"/>
          </w:tcPr>
          <w:p w14:paraId="3EA23935" w14:textId="77777777" w:rsidR="00411D82" w:rsidRPr="00524EEA" w:rsidRDefault="00411D82" w:rsidP="008902EC">
            <w:pPr>
              <w:pStyle w:val="A-TableText"/>
              <w:jc w:val="center"/>
              <w:rPr>
                <w:lang w:val="en-AU"/>
              </w:rPr>
            </w:pPr>
            <w:r w:rsidRPr="00524EEA">
              <w:rPr>
                <w:lang w:val="en-AU"/>
              </w:rPr>
              <w:noBreakHyphen/>
              <w:t>1.98</w:t>
            </w:r>
          </w:p>
        </w:tc>
        <w:tc>
          <w:tcPr>
            <w:tcW w:w="1182" w:type="pct"/>
            <w:tcBorders>
              <w:top w:val="nil"/>
              <w:left w:val="nil"/>
              <w:bottom w:val="nil"/>
              <w:right w:val="nil"/>
            </w:tcBorders>
            <w:vAlign w:val="center"/>
          </w:tcPr>
          <w:p w14:paraId="70798C4E" w14:textId="77777777" w:rsidR="00411D82" w:rsidRPr="00524EEA" w:rsidRDefault="00411D82" w:rsidP="008902EC">
            <w:pPr>
              <w:pStyle w:val="A-TableText"/>
              <w:jc w:val="center"/>
              <w:rPr>
                <w:lang w:val="en-AU"/>
              </w:rPr>
            </w:pPr>
            <w:r w:rsidRPr="00524EEA">
              <w:rPr>
                <w:lang w:val="en-AU"/>
              </w:rPr>
              <w:noBreakHyphen/>
              <w:t>1.39</w:t>
            </w:r>
          </w:p>
        </w:tc>
        <w:tc>
          <w:tcPr>
            <w:tcW w:w="1182" w:type="pct"/>
            <w:tcBorders>
              <w:top w:val="nil"/>
              <w:left w:val="nil"/>
              <w:bottom w:val="nil"/>
              <w:right w:val="nil"/>
            </w:tcBorders>
            <w:vAlign w:val="center"/>
          </w:tcPr>
          <w:p w14:paraId="02087551" w14:textId="77777777" w:rsidR="00411D82" w:rsidRPr="00524EEA" w:rsidRDefault="00411D82" w:rsidP="008902EC">
            <w:pPr>
              <w:pStyle w:val="A-TableText"/>
              <w:jc w:val="center"/>
              <w:rPr>
                <w:lang w:val="en-AU"/>
              </w:rPr>
            </w:pPr>
            <w:r w:rsidRPr="00524EEA">
              <w:rPr>
                <w:lang w:val="en-AU"/>
              </w:rPr>
              <w:noBreakHyphen/>
              <w:t>1.60</w:t>
            </w:r>
          </w:p>
        </w:tc>
      </w:tr>
      <w:tr w:rsidR="00411D82" w:rsidRPr="00524EEA" w14:paraId="0FFDF8A4" w14:textId="77777777" w:rsidTr="00A33C9A">
        <w:trPr>
          <w:trHeight w:val="70"/>
        </w:trPr>
        <w:tc>
          <w:tcPr>
            <w:tcW w:w="1530" w:type="pct"/>
            <w:tcBorders>
              <w:top w:val="nil"/>
              <w:left w:val="nil"/>
              <w:bottom w:val="nil"/>
              <w:right w:val="nil"/>
            </w:tcBorders>
            <w:vAlign w:val="center"/>
          </w:tcPr>
          <w:p w14:paraId="42016CFE" w14:textId="77777777" w:rsidR="00411D82" w:rsidRPr="00524EEA" w:rsidRDefault="00411D82" w:rsidP="008902EC">
            <w:pPr>
              <w:pStyle w:val="A-TableText"/>
              <w:rPr>
                <w:lang w:val="en-AU"/>
              </w:rPr>
            </w:pPr>
            <w:r w:rsidRPr="00524EEA">
              <w:rPr>
                <w:lang w:val="en-AU"/>
              </w:rPr>
              <w:t xml:space="preserve">Mean difference in change from baseline vs. </w:t>
            </w:r>
            <w:r w:rsidRPr="00524EEA">
              <w:rPr>
                <w:bCs/>
                <w:lang w:val="en-AU"/>
              </w:rPr>
              <w:t>FORXIGA</w:t>
            </w:r>
            <w:r w:rsidRPr="00524EEA">
              <w:rPr>
                <w:lang w:val="en-AU"/>
              </w:rPr>
              <w:t xml:space="preserve"> (95% CI)</w:t>
            </w:r>
          </w:p>
        </w:tc>
        <w:tc>
          <w:tcPr>
            <w:tcW w:w="1105" w:type="pct"/>
            <w:tcBorders>
              <w:top w:val="nil"/>
              <w:left w:val="nil"/>
              <w:bottom w:val="nil"/>
              <w:right w:val="nil"/>
            </w:tcBorders>
            <w:vAlign w:val="center"/>
          </w:tcPr>
          <w:p w14:paraId="4BBF2C55" w14:textId="77777777" w:rsidR="00411D82" w:rsidRPr="00524EEA" w:rsidRDefault="00411D82" w:rsidP="008902EC">
            <w:pPr>
              <w:pStyle w:val="A-TableText"/>
              <w:jc w:val="center"/>
              <w:rPr>
                <w:lang w:val="en-AU"/>
              </w:rPr>
            </w:pPr>
            <w:r w:rsidRPr="00524EEA">
              <w:rPr>
                <w:lang w:val="en-AU"/>
              </w:rPr>
              <w:noBreakHyphen/>
              <w:t>0.59*</w:t>
            </w:r>
          </w:p>
          <w:p w14:paraId="00148D7A" w14:textId="7BEF6130" w:rsidR="00411D82" w:rsidRPr="00524EEA" w:rsidRDefault="00797EDB" w:rsidP="008902EC">
            <w:pPr>
              <w:pStyle w:val="A-TableText"/>
              <w:jc w:val="center"/>
              <w:rPr>
                <w:lang w:val="en-AU"/>
              </w:rPr>
            </w:pPr>
            <w:r w:rsidRPr="00524EEA">
              <w:rPr>
                <w:lang w:val="en-AU"/>
              </w:rPr>
              <w:t>(</w:t>
            </w:r>
            <w:r w:rsidRPr="00524EEA">
              <w:rPr>
                <w:lang w:val="en-AU"/>
              </w:rPr>
              <w:noBreakHyphen/>
              <w:t>0.84</w:t>
            </w:r>
            <w:r w:rsidR="00411D82" w:rsidRPr="00524EEA">
              <w:rPr>
                <w:lang w:val="en-AU"/>
              </w:rPr>
              <w:t xml:space="preserve"> </w:t>
            </w:r>
            <w:r w:rsidR="00411D82" w:rsidRPr="00524EEA">
              <w:rPr>
                <w:lang w:val="en-AU"/>
              </w:rPr>
              <w:noBreakHyphen/>
              <w:t>0.34)</w:t>
            </w:r>
          </w:p>
        </w:tc>
        <w:tc>
          <w:tcPr>
            <w:tcW w:w="1182" w:type="pct"/>
            <w:tcBorders>
              <w:top w:val="nil"/>
              <w:left w:val="nil"/>
              <w:bottom w:val="nil"/>
              <w:right w:val="nil"/>
            </w:tcBorders>
            <w:vAlign w:val="center"/>
          </w:tcPr>
          <w:p w14:paraId="2F843792" w14:textId="77777777" w:rsidR="00411D82" w:rsidRPr="00524EEA" w:rsidRDefault="00411D82" w:rsidP="008902EC">
            <w:pPr>
              <w:pStyle w:val="A-TableText"/>
              <w:jc w:val="center"/>
              <w:rPr>
                <w:lang w:val="en-AU"/>
              </w:rPr>
            </w:pPr>
          </w:p>
        </w:tc>
        <w:tc>
          <w:tcPr>
            <w:tcW w:w="1182" w:type="pct"/>
            <w:tcBorders>
              <w:top w:val="nil"/>
              <w:left w:val="nil"/>
              <w:bottom w:val="nil"/>
              <w:right w:val="nil"/>
            </w:tcBorders>
            <w:vAlign w:val="center"/>
          </w:tcPr>
          <w:p w14:paraId="7E54A2FE" w14:textId="77777777" w:rsidR="00411D82" w:rsidRPr="00524EEA" w:rsidRDefault="00411D82" w:rsidP="008902EC">
            <w:pPr>
              <w:pStyle w:val="A-TableText"/>
              <w:jc w:val="center"/>
              <w:rPr>
                <w:lang w:val="en-AU"/>
              </w:rPr>
            </w:pPr>
          </w:p>
        </w:tc>
      </w:tr>
      <w:tr w:rsidR="00411D82" w:rsidRPr="00524EEA" w14:paraId="71D5EB59" w14:textId="77777777" w:rsidTr="00A33C9A">
        <w:trPr>
          <w:trHeight w:val="70"/>
        </w:trPr>
        <w:tc>
          <w:tcPr>
            <w:tcW w:w="1530" w:type="pct"/>
            <w:tcBorders>
              <w:top w:val="nil"/>
              <w:left w:val="nil"/>
              <w:bottom w:val="nil"/>
              <w:right w:val="nil"/>
            </w:tcBorders>
            <w:vAlign w:val="center"/>
          </w:tcPr>
          <w:p w14:paraId="1D38638D" w14:textId="77777777" w:rsidR="00411D82" w:rsidRPr="00524EEA" w:rsidRDefault="00411D82" w:rsidP="008902EC">
            <w:pPr>
              <w:pStyle w:val="A-TableText"/>
              <w:rPr>
                <w:lang w:val="en-AU"/>
              </w:rPr>
            </w:pPr>
            <w:r w:rsidRPr="00524EEA">
              <w:rPr>
                <w:lang w:val="en-AU"/>
              </w:rPr>
              <w:t xml:space="preserve">Mean difference in change from baseline vs. Extended release </w:t>
            </w:r>
            <w:proofErr w:type="spellStart"/>
            <w:r w:rsidRPr="00524EEA">
              <w:rPr>
                <w:bCs/>
                <w:lang w:val="en-AU"/>
              </w:rPr>
              <w:t>exenatide</w:t>
            </w:r>
            <w:proofErr w:type="spellEnd"/>
            <w:r w:rsidRPr="00524EEA">
              <w:rPr>
                <w:bCs/>
                <w:lang w:val="en-AU"/>
              </w:rPr>
              <w:t xml:space="preserve"> QW</w:t>
            </w:r>
            <w:r w:rsidRPr="00524EEA">
              <w:rPr>
                <w:lang w:val="en-AU"/>
              </w:rPr>
              <w:t xml:space="preserve"> (95% CI)</w:t>
            </w:r>
          </w:p>
        </w:tc>
        <w:tc>
          <w:tcPr>
            <w:tcW w:w="1105" w:type="pct"/>
            <w:tcBorders>
              <w:top w:val="nil"/>
              <w:left w:val="nil"/>
              <w:bottom w:val="nil"/>
              <w:right w:val="nil"/>
            </w:tcBorders>
            <w:vAlign w:val="center"/>
          </w:tcPr>
          <w:p w14:paraId="174FE600" w14:textId="77777777" w:rsidR="00411D82" w:rsidRPr="00524EEA" w:rsidRDefault="00411D82" w:rsidP="008902EC">
            <w:pPr>
              <w:pStyle w:val="A-TableText"/>
              <w:jc w:val="center"/>
              <w:rPr>
                <w:lang w:val="en-AU"/>
              </w:rPr>
            </w:pPr>
            <w:r w:rsidRPr="00524EEA">
              <w:rPr>
                <w:lang w:val="en-AU"/>
              </w:rPr>
              <w:noBreakHyphen/>
              <w:t>0.38**</w:t>
            </w:r>
          </w:p>
          <w:p w14:paraId="6F37564E" w14:textId="014CBAF2" w:rsidR="00411D82" w:rsidRPr="00524EEA" w:rsidRDefault="00797EDB" w:rsidP="008902EC">
            <w:pPr>
              <w:pStyle w:val="A-TableText"/>
              <w:jc w:val="center"/>
              <w:rPr>
                <w:lang w:val="en-AU"/>
              </w:rPr>
            </w:pPr>
            <w:r w:rsidRPr="00524EEA">
              <w:rPr>
                <w:lang w:val="en-AU"/>
              </w:rPr>
              <w:t>(</w:t>
            </w:r>
            <w:r w:rsidRPr="00524EEA">
              <w:rPr>
                <w:lang w:val="en-AU"/>
              </w:rPr>
              <w:noBreakHyphen/>
              <w:t xml:space="preserve">0.63 </w:t>
            </w:r>
            <w:r w:rsidRPr="00524EEA">
              <w:rPr>
                <w:lang w:val="en-AU"/>
              </w:rPr>
              <w:noBreakHyphen/>
              <w:t>0.13)</w:t>
            </w:r>
          </w:p>
        </w:tc>
        <w:tc>
          <w:tcPr>
            <w:tcW w:w="1182" w:type="pct"/>
            <w:tcBorders>
              <w:top w:val="nil"/>
              <w:left w:val="nil"/>
              <w:bottom w:val="nil"/>
              <w:right w:val="nil"/>
            </w:tcBorders>
            <w:vAlign w:val="center"/>
          </w:tcPr>
          <w:p w14:paraId="38F6D30A" w14:textId="77777777" w:rsidR="00411D82" w:rsidRPr="00524EEA" w:rsidRDefault="00411D82" w:rsidP="008902EC">
            <w:pPr>
              <w:pStyle w:val="A-TableText"/>
              <w:jc w:val="center"/>
              <w:rPr>
                <w:lang w:val="en-AU"/>
              </w:rPr>
            </w:pPr>
          </w:p>
        </w:tc>
        <w:tc>
          <w:tcPr>
            <w:tcW w:w="1182" w:type="pct"/>
            <w:tcBorders>
              <w:top w:val="nil"/>
              <w:left w:val="nil"/>
              <w:bottom w:val="nil"/>
              <w:right w:val="nil"/>
            </w:tcBorders>
            <w:vAlign w:val="center"/>
          </w:tcPr>
          <w:p w14:paraId="700B0544" w14:textId="77777777" w:rsidR="00411D82" w:rsidRPr="00524EEA" w:rsidRDefault="00411D82" w:rsidP="008902EC">
            <w:pPr>
              <w:pStyle w:val="A-TableText"/>
              <w:jc w:val="center"/>
              <w:rPr>
                <w:lang w:val="en-AU"/>
              </w:rPr>
            </w:pPr>
          </w:p>
        </w:tc>
      </w:tr>
      <w:tr w:rsidR="00411D82" w:rsidRPr="00524EEA" w14:paraId="0DE37865" w14:textId="77777777" w:rsidTr="00A33C9A">
        <w:trPr>
          <w:trHeight w:val="70"/>
        </w:trPr>
        <w:tc>
          <w:tcPr>
            <w:tcW w:w="1530" w:type="pct"/>
            <w:tcBorders>
              <w:top w:val="nil"/>
              <w:left w:val="nil"/>
              <w:bottom w:val="nil"/>
              <w:right w:val="nil"/>
            </w:tcBorders>
            <w:vAlign w:val="center"/>
          </w:tcPr>
          <w:p w14:paraId="36B2BA08" w14:textId="77777777" w:rsidR="00411D82" w:rsidRPr="00524EEA" w:rsidRDefault="00411D82" w:rsidP="008902EC">
            <w:pPr>
              <w:pStyle w:val="A-TableText"/>
              <w:rPr>
                <w:bCs/>
                <w:lang w:val="en-AU"/>
              </w:rPr>
            </w:pPr>
            <w:r w:rsidRPr="00524EEA">
              <w:rPr>
                <w:bCs/>
                <w:lang w:val="en-AU"/>
              </w:rPr>
              <w:t xml:space="preserve">Percent of patients achieving HbA1c </w:t>
            </w:r>
            <w:r w:rsidRPr="00524EEA">
              <w:rPr>
                <w:bCs/>
                <w:lang w:val="en-AU"/>
              </w:rPr>
              <w:sym w:font="Symbol" w:char="F03C"/>
            </w:r>
            <w:r w:rsidRPr="00524EEA">
              <w:rPr>
                <w:bCs/>
                <w:lang w:val="en-AU"/>
              </w:rPr>
              <w:t xml:space="preserve"> 7.0%</w:t>
            </w:r>
            <w:r w:rsidRPr="00524EEA">
              <w:rPr>
                <w:bCs/>
                <w:vertAlign w:val="superscript"/>
                <w:lang w:val="en-AU"/>
              </w:rPr>
              <w:t>b</w:t>
            </w:r>
          </w:p>
        </w:tc>
        <w:tc>
          <w:tcPr>
            <w:tcW w:w="1105" w:type="pct"/>
            <w:tcBorders>
              <w:top w:val="nil"/>
              <w:left w:val="nil"/>
              <w:bottom w:val="nil"/>
              <w:right w:val="nil"/>
            </w:tcBorders>
            <w:vAlign w:val="center"/>
          </w:tcPr>
          <w:p w14:paraId="019792C3" w14:textId="77777777" w:rsidR="00411D82" w:rsidRPr="00524EEA" w:rsidRDefault="00411D82" w:rsidP="008902EC">
            <w:pPr>
              <w:pStyle w:val="A-TableText"/>
              <w:jc w:val="center"/>
              <w:rPr>
                <w:lang w:val="en-AU"/>
              </w:rPr>
            </w:pPr>
            <w:r w:rsidRPr="00524EEA">
              <w:rPr>
                <w:lang w:val="en-AU"/>
              </w:rPr>
              <w:t>44.7%</w:t>
            </w:r>
          </w:p>
        </w:tc>
        <w:tc>
          <w:tcPr>
            <w:tcW w:w="1182" w:type="pct"/>
            <w:tcBorders>
              <w:top w:val="nil"/>
              <w:left w:val="nil"/>
              <w:bottom w:val="nil"/>
              <w:right w:val="nil"/>
            </w:tcBorders>
            <w:vAlign w:val="center"/>
          </w:tcPr>
          <w:p w14:paraId="2EE5EBC1" w14:textId="77777777" w:rsidR="00411D82" w:rsidRPr="00524EEA" w:rsidRDefault="00411D82" w:rsidP="008902EC">
            <w:pPr>
              <w:pStyle w:val="A-TableText"/>
              <w:jc w:val="center"/>
              <w:rPr>
                <w:lang w:val="en-AU"/>
              </w:rPr>
            </w:pPr>
            <w:r w:rsidRPr="00524EEA">
              <w:rPr>
                <w:lang w:val="en-AU"/>
              </w:rPr>
              <w:t>19.1%</w:t>
            </w:r>
          </w:p>
        </w:tc>
        <w:tc>
          <w:tcPr>
            <w:tcW w:w="1182" w:type="pct"/>
            <w:tcBorders>
              <w:top w:val="nil"/>
              <w:left w:val="nil"/>
              <w:bottom w:val="nil"/>
              <w:right w:val="nil"/>
            </w:tcBorders>
            <w:vAlign w:val="center"/>
          </w:tcPr>
          <w:p w14:paraId="45920555" w14:textId="77777777" w:rsidR="00411D82" w:rsidRPr="00524EEA" w:rsidRDefault="00411D82" w:rsidP="008902EC">
            <w:pPr>
              <w:pStyle w:val="A-TableText"/>
              <w:jc w:val="center"/>
              <w:rPr>
                <w:lang w:val="en-AU"/>
              </w:rPr>
            </w:pPr>
            <w:r w:rsidRPr="00524EEA">
              <w:rPr>
                <w:lang w:val="en-AU"/>
              </w:rPr>
              <w:t>26.9%</w:t>
            </w:r>
          </w:p>
        </w:tc>
      </w:tr>
      <w:tr w:rsidR="00411D82" w:rsidRPr="00524EEA" w14:paraId="59AED559" w14:textId="77777777" w:rsidTr="00A33C9A">
        <w:trPr>
          <w:trHeight w:val="70"/>
        </w:trPr>
        <w:tc>
          <w:tcPr>
            <w:tcW w:w="1530" w:type="pct"/>
            <w:tcBorders>
              <w:top w:val="nil"/>
              <w:left w:val="nil"/>
              <w:bottom w:val="nil"/>
              <w:right w:val="nil"/>
            </w:tcBorders>
            <w:vAlign w:val="center"/>
          </w:tcPr>
          <w:p w14:paraId="6A8E62B3" w14:textId="77777777" w:rsidR="00411D82" w:rsidRPr="00524EEA" w:rsidRDefault="00411D82" w:rsidP="008902EC">
            <w:pPr>
              <w:pStyle w:val="A-TableHeader"/>
              <w:rPr>
                <w:lang w:val="en-AU"/>
              </w:rPr>
            </w:pPr>
            <w:r w:rsidRPr="00524EEA">
              <w:rPr>
                <w:lang w:val="en-AU"/>
              </w:rPr>
              <w:t>Body weight (kg)</w:t>
            </w:r>
          </w:p>
        </w:tc>
        <w:tc>
          <w:tcPr>
            <w:tcW w:w="1105" w:type="pct"/>
            <w:tcBorders>
              <w:top w:val="nil"/>
              <w:left w:val="nil"/>
              <w:bottom w:val="nil"/>
              <w:right w:val="nil"/>
            </w:tcBorders>
            <w:vAlign w:val="center"/>
          </w:tcPr>
          <w:p w14:paraId="736D6D14" w14:textId="77777777" w:rsidR="00411D82" w:rsidRPr="00524EEA" w:rsidRDefault="00411D82" w:rsidP="008902EC">
            <w:pPr>
              <w:pStyle w:val="A-TableHeader"/>
              <w:jc w:val="center"/>
              <w:rPr>
                <w:lang w:val="en-AU"/>
              </w:rPr>
            </w:pPr>
          </w:p>
        </w:tc>
        <w:tc>
          <w:tcPr>
            <w:tcW w:w="1182" w:type="pct"/>
            <w:tcBorders>
              <w:top w:val="nil"/>
              <w:left w:val="nil"/>
              <w:bottom w:val="nil"/>
              <w:right w:val="nil"/>
            </w:tcBorders>
            <w:vAlign w:val="center"/>
          </w:tcPr>
          <w:p w14:paraId="47FE825D" w14:textId="77777777" w:rsidR="00411D82" w:rsidRPr="00524EEA" w:rsidRDefault="00411D82" w:rsidP="008902EC">
            <w:pPr>
              <w:pStyle w:val="A-TableHeader"/>
              <w:jc w:val="center"/>
              <w:rPr>
                <w:lang w:val="en-AU"/>
              </w:rPr>
            </w:pPr>
          </w:p>
        </w:tc>
        <w:tc>
          <w:tcPr>
            <w:tcW w:w="1182" w:type="pct"/>
            <w:tcBorders>
              <w:top w:val="nil"/>
              <w:left w:val="nil"/>
              <w:bottom w:val="nil"/>
              <w:right w:val="nil"/>
            </w:tcBorders>
            <w:vAlign w:val="center"/>
          </w:tcPr>
          <w:p w14:paraId="09DC0B6C" w14:textId="77777777" w:rsidR="00411D82" w:rsidRPr="00524EEA" w:rsidRDefault="00411D82" w:rsidP="008902EC">
            <w:pPr>
              <w:pStyle w:val="A-TableHeader"/>
              <w:jc w:val="center"/>
              <w:rPr>
                <w:lang w:val="en-AU"/>
              </w:rPr>
            </w:pPr>
          </w:p>
        </w:tc>
      </w:tr>
      <w:tr w:rsidR="00411D82" w:rsidRPr="00524EEA" w14:paraId="47CF72EF" w14:textId="77777777" w:rsidTr="00A33C9A">
        <w:trPr>
          <w:trHeight w:val="70"/>
        </w:trPr>
        <w:tc>
          <w:tcPr>
            <w:tcW w:w="1530" w:type="pct"/>
            <w:tcBorders>
              <w:top w:val="nil"/>
              <w:left w:val="nil"/>
              <w:bottom w:val="nil"/>
              <w:right w:val="nil"/>
            </w:tcBorders>
            <w:vAlign w:val="center"/>
          </w:tcPr>
          <w:p w14:paraId="233B8A21" w14:textId="77777777" w:rsidR="00411D82" w:rsidRPr="00524EEA" w:rsidRDefault="00411D82" w:rsidP="008902EC">
            <w:pPr>
              <w:pStyle w:val="A-TableText"/>
              <w:rPr>
                <w:lang w:val="en-AU"/>
              </w:rPr>
            </w:pPr>
            <w:r w:rsidRPr="00524EEA">
              <w:rPr>
                <w:lang w:val="en-AU"/>
              </w:rPr>
              <w:t>Baseline (mean)</w:t>
            </w:r>
            <w:r w:rsidRPr="00524EEA">
              <w:rPr>
                <w:vertAlign w:val="superscript"/>
                <w:lang w:val="en-AU"/>
              </w:rPr>
              <w:t xml:space="preserve"> a</w:t>
            </w:r>
          </w:p>
        </w:tc>
        <w:tc>
          <w:tcPr>
            <w:tcW w:w="1105" w:type="pct"/>
            <w:tcBorders>
              <w:top w:val="nil"/>
              <w:left w:val="nil"/>
              <w:bottom w:val="nil"/>
              <w:right w:val="nil"/>
            </w:tcBorders>
            <w:vAlign w:val="center"/>
          </w:tcPr>
          <w:p w14:paraId="3E2EE2D0" w14:textId="77777777" w:rsidR="00411D82" w:rsidRPr="00524EEA" w:rsidRDefault="00411D82" w:rsidP="008902EC">
            <w:pPr>
              <w:pStyle w:val="A-TableText"/>
              <w:jc w:val="center"/>
              <w:rPr>
                <w:lang w:val="en-AU"/>
              </w:rPr>
            </w:pPr>
            <w:r w:rsidRPr="00524EEA">
              <w:rPr>
                <w:lang w:val="en-AU"/>
              </w:rPr>
              <w:t>92.13</w:t>
            </w:r>
          </w:p>
        </w:tc>
        <w:tc>
          <w:tcPr>
            <w:tcW w:w="1182" w:type="pct"/>
            <w:tcBorders>
              <w:top w:val="nil"/>
              <w:left w:val="nil"/>
              <w:bottom w:val="nil"/>
              <w:right w:val="nil"/>
            </w:tcBorders>
          </w:tcPr>
          <w:p w14:paraId="27C022B3" w14:textId="77777777" w:rsidR="00411D82" w:rsidRPr="00524EEA" w:rsidRDefault="00411D82" w:rsidP="008902EC">
            <w:pPr>
              <w:pStyle w:val="A-TableText"/>
              <w:jc w:val="center"/>
              <w:rPr>
                <w:lang w:val="en-AU"/>
              </w:rPr>
            </w:pPr>
            <w:r w:rsidRPr="00524EEA">
              <w:rPr>
                <w:lang w:val="en-AU"/>
              </w:rPr>
              <w:t>90.87</w:t>
            </w:r>
          </w:p>
        </w:tc>
        <w:tc>
          <w:tcPr>
            <w:tcW w:w="1182" w:type="pct"/>
            <w:tcBorders>
              <w:top w:val="nil"/>
              <w:left w:val="nil"/>
              <w:bottom w:val="nil"/>
              <w:right w:val="nil"/>
            </w:tcBorders>
            <w:vAlign w:val="center"/>
          </w:tcPr>
          <w:p w14:paraId="10FFFE67" w14:textId="77777777" w:rsidR="00411D82" w:rsidRPr="00524EEA" w:rsidRDefault="00411D82" w:rsidP="008902EC">
            <w:pPr>
              <w:pStyle w:val="A-TableText"/>
              <w:jc w:val="center"/>
              <w:rPr>
                <w:lang w:val="en-AU"/>
              </w:rPr>
            </w:pPr>
            <w:r w:rsidRPr="00524EEA">
              <w:rPr>
                <w:lang w:val="en-AU"/>
              </w:rPr>
              <w:t>89.12</w:t>
            </w:r>
          </w:p>
        </w:tc>
      </w:tr>
      <w:tr w:rsidR="00411D82" w:rsidRPr="00524EEA" w14:paraId="6DDBAC5C" w14:textId="77777777" w:rsidTr="00A33C9A">
        <w:trPr>
          <w:trHeight w:val="70"/>
        </w:trPr>
        <w:tc>
          <w:tcPr>
            <w:tcW w:w="1530" w:type="pct"/>
            <w:tcBorders>
              <w:top w:val="nil"/>
              <w:left w:val="nil"/>
              <w:bottom w:val="nil"/>
              <w:right w:val="nil"/>
            </w:tcBorders>
            <w:vAlign w:val="center"/>
          </w:tcPr>
          <w:p w14:paraId="7C791988" w14:textId="77777777" w:rsidR="00411D82" w:rsidRPr="00524EEA" w:rsidRDefault="00411D82" w:rsidP="008902EC">
            <w:pPr>
              <w:pStyle w:val="A-TableText"/>
              <w:rPr>
                <w:lang w:val="en-AU"/>
              </w:rPr>
            </w:pPr>
            <w:r w:rsidRPr="00524EEA">
              <w:rPr>
                <w:lang w:val="en-AU"/>
              </w:rPr>
              <w:t>Change from baseline</w:t>
            </w:r>
          </w:p>
        </w:tc>
        <w:tc>
          <w:tcPr>
            <w:tcW w:w="1105" w:type="pct"/>
            <w:tcBorders>
              <w:top w:val="nil"/>
              <w:left w:val="nil"/>
              <w:bottom w:val="nil"/>
              <w:right w:val="nil"/>
            </w:tcBorders>
            <w:vAlign w:val="center"/>
          </w:tcPr>
          <w:p w14:paraId="4CD56706" w14:textId="77777777" w:rsidR="00411D82" w:rsidRPr="00524EEA" w:rsidRDefault="00411D82" w:rsidP="008902EC">
            <w:pPr>
              <w:pStyle w:val="A-TableText"/>
              <w:jc w:val="center"/>
              <w:rPr>
                <w:lang w:val="en-AU"/>
              </w:rPr>
            </w:pPr>
            <w:r w:rsidRPr="00524EEA">
              <w:rPr>
                <w:lang w:val="en-AU"/>
              </w:rPr>
              <w:noBreakHyphen/>
              <w:t>3.55</w:t>
            </w:r>
          </w:p>
        </w:tc>
        <w:tc>
          <w:tcPr>
            <w:tcW w:w="1182" w:type="pct"/>
            <w:tcBorders>
              <w:top w:val="nil"/>
              <w:left w:val="nil"/>
              <w:bottom w:val="nil"/>
              <w:right w:val="nil"/>
            </w:tcBorders>
            <w:vAlign w:val="center"/>
          </w:tcPr>
          <w:p w14:paraId="31DE2B52" w14:textId="77777777" w:rsidR="00411D82" w:rsidRPr="00524EEA" w:rsidRDefault="00411D82" w:rsidP="008902EC">
            <w:pPr>
              <w:pStyle w:val="A-TableText"/>
              <w:jc w:val="center"/>
              <w:rPr>
                <w:lang w:val="en-AU"/>
              </w:rPr>
            </w:pPr>
            <w:r w:rsidRPr="00524EEA">
              <w:rPr>
                <w:lang w:val="en-AU"/>
              </w:rPr>
              <w:noBreakHyphen/>
              <w:t>2.22</w:t>
            </w:r>
          </w:p>
        </w:tc>
        <w:tc>
          <w:tcPr>
            <w:tcW w:w="1182" w:type="pct"/>
            <w:tcBorders>
              <w:top w:val="nil"/>
              <w:left w:val="nil"/>
              <w:bottom w:val="nil"/>
              <w:right w:val="nil"/>
            </w:tcBorders>
            <w:vAlign w:val="center"/>
          </w:tcPr>
          <w:p w14:paraId="3330AFF9" w14:textId="77777777" w:rsidR="00411D82" w:rsidRPr="00524EEA" w:rsidRDefault="00411D82" w:rsidP="008902EC">
            <w:pPr>
              <w:pStyle w:val="A-TableText"/>
              <w:jc w:val="center"/>
              <w:rPr>
                <w:lang w:val="en-AU"/>
              </w:rPr>
            </w:pPr>
            <w:r w:rsidRPr="00524EEA">
              <w:rPr>
                <w:lang w:val="en-AU"/>
              </w:rPr>
              <w:noBreakHyphen/>
              <w:t>1.56</w:t>
            </w:r>
          </w:p>
        </w:tc>
      </w:tr>
      <w:tr w:rsidR="00411D82" w:rsidRPr="00524EEA" w14:paraId="3040A1C3" w14:textId="77777777" w:rsidTr="00A33C9A">
        <w:trPr>
          <w:trHeight w:val="70"/>
        </w:trPr>
        <w:tc>
          <w:tcPr>
            <w:tcW w:w="1530" w:type="pct"/>
            <w:tcBorders>
              <w:top w:val="nil"/>
              <w:left w:val="nil"/>
              <w:bottom w:val="nil"/>
              <w:right w:val="nil"/>
            </w:tcBorders>
            <w:vAlign w:val="center"/>
          </w:tcPr>
          <w:p w14:paraId="1F703B83" w14:textId="77777777" w:rsidR="00411D82" w:rsidRPr="00524EEA" w:rsidRDefault="00411D82" w:rsidP="008902EC">
            <w:pPr>
              <w:pStyle w:val="A-TableText"/>
              <w:rPr>
                <w:lang w:val="en-AU"/>
              </w:rPr>
            </w:pPr>
            <w:r w:rsidRPr="00524EEA">
              <w:rPr>
                <w:lang w:val="en-AU"/>
              </w:rPr>
              <w:t xml:space="preserve">Mean difference in change from baseline vs. </w:t>
            </w:r>
            <w:r w:rsidRPr="00524EEA">
              <w:rPr>
                <w:bCs/>
                <w:lang w:val="en-AU"/>
              </w:rPr>
              <w:t>FORXIGA</w:t>
            </w:r>
            <w:r w:rsidRPr="00524EEA">
              <w:rPr>
                <w:lang w:val="en-AU"/>
              </w:rPr>
              <w:t xml:space="preserve"> (95% CI)</w:t>
            </w:r>
          </w:p>
        </w:tc>
        <w:tc>
          <w:tcPr>
            <w:tcW w:w="1105" w:type="pct"/>
            <w:tcBorders>
              <w:top w:val="nil"/>
              <w:left w:val="nil"/>
              <w:bottom w:val="nil"/>
              <w:right w:val="nil"/>
            </w:tcBorders>
            <w:vAlign w:val="center"/>
          </w:tcPr>
          <w:p w14:paraId="2FA7CE42" w14:textId="77777777" w:rsidR="00411D82" w:rsidRPr="00524EEA" w:rsidRDefault="00411D82" w:rsidP="008902EC">
            <w:pPr>
              <w:pStyle w:val="A-TableText"/>
              <w:jc w:val="center"/>
              <w:rPr>
                <w:lang w:val="en-AU"/>
              </w:rPr>
            </w:pPr>
            <w:r w:rsidRPr="00524EEA">
              <w:rPr>
                <w:lang w:val="en-AU"/>
              </w:rPr>
              <w:noBreakHyphen/>
              <w:t>1.33**</w:t>
            </w:r>
          </w:p>
          <w:p w14:paraId="53A08042" w14:textId="367EF252" w:rsidR="00411D82" w:rsidRPr="00524EEA" w:rsidRDefault="00683E91" w:rsidP="008902EC">
            <w:pPr>
              <w:pStyle w:val="A-TableText"/>
              <w:jc w:val="center"/>
              <w:rPr>
                <w:lang w:val="en-AU"/>
              </w:rPr>
            </w:pPr>
            <w:r w:rsidRPr="00524EEA">
              <w:rPr>
                <w:lang w:val="en-AU"/>
              </w:rPr>
              <w:t>(</w:t>
            </w:r>
            <w:r w:rsidRPr="00524EEA">
              <w:rPr>
                <w:lang w:val="en-AU"/>
              </w:rPr>
              <w:noBreakHyphen/>
              <w:t>2.12</w:t>
            </w:r>
            <w:r w:rsidR="00411D82" w:rsidRPr="00524EEA">
              <w:rPr>
                <w:lang w:val="en-AU"/>
              </w:rPr>
              <w:t xml:space="preserve"> </w:t>
            </w:r>
            <w:r w:rsidR="00411D82" w:rsidRPr="00524EEA">
              <w:rPr>
                <w:lang w:val="en-AU"/>
              </w:rPr>
              <w:noBreakHyphen/>
              <w:t>0.55)</w:t>
            </w:r>
          </w:p>
        </w:tc>
        <w:tc>
          <w:tcPr>
            <w:tcW w:w="1182" w:type="pct"/>
            <w:tcBorders>
              <w:top w:val="nil"/>
              <w:left w:val="nil"/>
              <w:bottom w:val="nil"/>
              <w:right w:val="nil"/>
            </w:tcBorders>
            <w:vAlign w:val="center"/>
          </w:tcPr>
          <w:p w14:paraId="4F654C5A" w14:textId="77777777" w:rsidR="00411D82" w:rsidRPr="00524EEA" w:rsidRDefault="00411D82" w:rsidP="008902EC">
            <w:pPr>
              <w:pStyle w:val="A-TableText"/>
              <w:jc w:val="center"/>
              <w:rPr>
                <w:lang w:val="en-AU"/>
              </w:rPr>
            </w:pPr>
          </w:p>
        </w:tc>
        <w:tc>
          <w:tcPr>
            <w:tcW w:w="1182" w:type="pct"/>
            <w:tcBorders>
              <w:top w:val="nil"/>
              <w:left w:val="nil"/>
              <w:bottom w:val="nil"/>
              <w:right w:val="nil"/>
            </w:tcBorders>
            <w:vAlign w:val="center"/>
          </w:tcPr>
          <w:p w14:paraId="7C2EF381" w14:textId="77777777" w:rsidR="00411D82" w:rsidRPr="00524EEA" w:rsidRDefault="00411D82" w:rsidP="008902EC">
            <w:pPr>
              <w:pStyle w:val="A-TableText"/>
              <w:jc w:val="center"/>
              <w:rPr>
                <w:lang w:val="en-AU"/>
              </w:rPr>
            </w:pPr>
          </w:p>
        </w:tc>
      </w:tr>
      <w:tr w:rsidR="00411D82" w:rsidRPr="00524EEA" w14:paraId="429ACE71" w14:textId="77777777" w:rsidTr="00A33C9A">
        <w:trPr>
          <w:trHeight w:val="70"/>
        </w:trPr>
        <w:tc>
          <w:tcPr>
            <w:tcW w:w="1530" w:type="pct"/>
            <w:tcBorders>
              <w:top w:val="nil"/>
              <w:left w:val="nil"/>
              <w:bottom w:val="nil"/>
              <w:right w:val="nil"/>
            </w:tcBorders>
            <w:vAlign w:val="center"/>
          </w:tcPr>
          <w:p w14:paraId="3A8A8018" w14:textId="77777777" w:rsidR="00411D82" w:rsidRPr="00524EEA" w:rsidRDefault="00411D82" w:rsidP="008902EC">
            <w:pPr>
              <w:pStyle w:val="A-TableText"/>
              <w:rPr>
                <w:lang w:val="en-AU"/>
              </w:rPr>
            </w:pPr>
            <w:r w:rsidRPr="00524EEA">
              <w:rPr>
                <w:lang w:val="en-AU"/>
              </w:rPr>
              <w:t xml:space="preserve">Mean difference in change from baseline vs. Extended release </w:t>
            </w:r>
            <w:proofErr w:type="spellStart"/>
            <w:r w:rsidRPr="00524EEA">
              <w:rPr>
                <w:bCs/>
                <w:lang w:val="en-AU"/>
              </w:rPr>
              <w:t>exenatide</w:t>
            </w:r>
            <w:proofErr w:type="spellEnd"/>
            <w:r w:rsidRPr="00524EEA">
              <w:rPr>
                <w:lang w:val="en-AU"/>
              </w:rPr>
              <w:t xml:space="preserve"> (95% CI)</w:t>
            </w:r>
          </w:p>
        </w:tc>
        <w:tc>
          <w:tcPr>
            <w:tcW w:w="1105" w:type="pct"/>
            <w:tcBorders>
              <w:top w:val="nil"/>
              <w:left w:val="nil"/>
              <w:bottom w:val="nil"/>
              <w:right w:val="nil"/>
            </w:tcBorders>
            <w:vAlign w:val="center"/>
          </w:tcPr>
          <w:p w14:paraId="6E60F2C8" w14:textId="77777777" w:rsidR="00411D82" w:rsidRPr="00524EEA" w:rsidRDefault="00411D82" w:rsidP="008902EC">
            <w:pPr>
              <w:pStyle w:val="A-TableText"/>
              <w:jc w:val="center"/>
              <w:rPr>
                <w:lang w:val="en-AU"/>
              </w:rPr>
            </w:pPr>
            <w:r w:rsidRPr="00524EEA">
              <w:rPr>
                <w:lang w:val="en-AU"/>
              </w:rPr>
              <w:noBreakHyphen/>
              <w:t>2.00*</w:t>
            </w:r>
          </w:p>
          <w:p w14:paraId="184EC93C" w14:textId="3AEC47BB" w:rsidR="00411D82" w:rsidRPr="00524EEA" w:rsidRDefault="00411D82" w:rsidP="008902EC">
            <w:pPr>
              <w:pStyle w:val="A-TableText"/>
              <w:jc w:val="center"/>
              <w:rPr>
                <w:lang w:val="en-AU"/>
              </w:rPr>
            </w:pPr>
            <w:r w:rsidRPr="00524EEA">
              <w:rPr>
                <w:lang w:val="en-AU"/>
              </w:rPr>
              <w:t>(</w:t>
            </w:r>
            <w:r w:rsidRPr="00524EEA">
              <w:rPr>
                <w:lang w:val="en-AU"/>
              </w:rPr>
              <w:noBreakHyphen/>
              <w:t>2.79</w:t>
            </w:r>
            <w:r w:rsidRPr="00524EEA">
              <w:rPr>
                <w:lang w:val="en-AU"/>
              </w:rPr>
              <w:noBreakHyphen/>
              <w:t>1.20)</w:t>
            </w:r>
          </w:p>
        </w:tc>
        <w:tc>
          <w:tcPr>
            <w:tcW w:w="1182" w:type="pct"/>
            <w:tcBorders>
              <w:top w:val="nil"/>
              <w:left w:val="nil"/>
              <w:bottom w:val="nil"/>
              <w:right w:val="nil"/>
            </w:tcBorders>
            <w:vAlign w:val="center"/>
          </w:tcPr>
          <w:p w14:paraId="218ACFE6" w14:textId="77777777" w:rsidR="00411D82" w:rsidRPr="00524EEA" w:rsidRDefault="00411D82" w:rsidP="008902EC">
            <w:pPr>
              <w:pStyle w:val="A-TableText"/>
              <w:jc w:val="center"/>
              <w:rPr>
                <w:lang w:val="en-AU"/>
              </w:rPr>
            </w:pPr>
          </w:p>
        </w:tc>
        <w:tc>
          <w:tcPr>
            <w:tcW w:w="1182" w:type="pct"/>
            <w:tcBorders>
              <w:top w:val="nil"/>
              <w:left w:val="nil"/>
              <w:bottom w:val="nil"/>
              <w:right w:val="nil"/>
            </w:tcBorders>
            <w:vAlign w:val="center"/>
          </w:tcPr>
          <w:p w14:paraId="655680DF" w14:textId="77777777" w:rsidR="00411D82" w:rsidRPr="00524EEA" w:rsidRDefault="00411D82" w:rsidP="008902EC">
            <w:pPr>
              <w:pStyle w:val="A-TableText"/>
              <w:jc w:val="center"/>
              <w:rPr>
                <w:lang w:val="en-AU"/>
              </w:rPr>
            </w:pPr>
          </w:p>
        </w:tc>
      </w:tr>
      <w:tr w:rsidR="00411D82" w:rsidRPr="00524EEA" w14:paraId="42156541" w14:textId="77777777" w:rsidTr="008902EC">
        <w:trPr>
          <w:trHeight w:val="70"/>
        </w:trPr>
        <w:tc>
          <w:tcPr>
            <w:tcW w:w="5000" w:type="pct"/>
            <w:gridSpan w:val="4"/>
            <w:tcBorders>
              <w:top w:val="nil"/>
              <w:left w:val="nil"/>
              <w:bottom w:val="nil"/>
              <w:right w:val="nil"/>
            </w:tcBorders>
            <w:vAlign w:val="center"/>
          </w:tcPr>
          <w:p w14:paraId="5DE555B2" w14:textId="77777777" w:rsidR="00411D82" w:rsidRPr="00524EEA" w:rsidRDefault="00411D82" w:rsidP="008902EC">
            <w:pPr>
              <w:pStyle w:val="A-TableHeader"/>
              <w:rPr>
                <w:lang w:val="en-AU"/>
              </w:rPr>
            </w:pPr>
            <w:r w:rsidRPr="00524EEA">
              <w:rPr>
                <w:lang w:val="en-AU"/>
              </w:rPr>
              <w:t>FPG (</w:t>
            </w:r>
            <w:proofErr w:type="spellStart"/>
            <w:r w:rsidRPr="00524EEA">
              <w:rPr>
                <w:lang w:val="en-AU"/>
              </w:rPr>
              <w:t>mmol</w:t>
            </w:r>
            <w:proofErr w:type="spellEnd"/>
            <w:r w:rsidRPr="00524EEA">
              <w:rPr>
                <w:lang w:val="en-AU"/>
              </w:rPr>
              <w:t>/L)</w:t>
            </w:r>
          </w:p>
        </w:tc>
      </w:tr>
      <w:tr w:rsidR="00411D82" w:rsidRPr="00524EEA" w14:paraId="61E1AC3C" w14:textId="77777777" w:rsidTr="00A33C9A">
        <w:trPr>
          <w:trHeight w:val="70"/>
        </w:trPr>
        <w:tc>
          <w:tcPr>
            <w:tcW w:w="1530" w:type="pct"/>
            <w:tcBorders>
              <w:top w:val="nil"/>
              <w:left w:val="nil"/>
              <w:bottom w:val="nil"/>
              <w:right w:val="nil"/>
            </w:tcBorders>
            <w:vAlign w:val="center"/>
          </w:tcPr>
          <w:p w14:paraId="49DA556A" w14:textId="77777777" w:rsidR="00411D82" w:rsidRPr="00524EEA" w:rsidRDefault="00411D82" w:rsidP="008902EC">
            <w:pPr>
              <w:pStyle w:val="A-TableText"/>
              <w:rPr>
                <w:lang w:val="en-AU"/>
              </w:rPr>
            </w:pPr>
            <w:r w:rsidRPr="00524EEA">
              <w:rPr>
                <w:lang w:val="en-AU"/>
              </w:rPr>
              <w:t>Baseline (mean)</w:t>
            </w:r>
            <w:r w:rsidRPr="00524EEA">
              <w:rPr>
                <w:vertAlign w:val="superscript"/>
                <w:lang w:val="en-AU"/>
              </w:rPr>
              <w:t>a</w:t>
            </w:r>
          </w:p>
        </w:tc>
        <w:tc>
          <w:tcPr>
            <w:tcW w:w="1105" w:type="pct"/>
            <w:tcBorders>
              <w:top w:val="nil"/>
              <w:left w:val="nil"/>
              <w:bottom w:val="nil"/>
              <w:right w:val="nil"/>
            </w:tcBorders>
            <w:vAlign w:val="center"/>
          </w:tcPr>
          <w:p w14:paraId="580BA570" w14:textId="77777777" w:rsidR="00411D82" w:rsidRPr="00524EEA" w:rsidRDefault="00411D82" w:rsidP="008902EC">
            <w:pPr>
              <w:pStyle w:val="A-TableText"/>
              <w:jc w:val="center"/>
              <w:rPr>
                <w:bCs/>
                <w:lang w:val="en-AU"/>
              </w:rPr>
            </w:pPr>
            <w:r w:rsidRPr="00524EEA">
              <w:rPr>
                <w:bCs/>
                <w:lang w:val="en-AU"/>
              </w:rPr>
              <w:t>10.9</w:t>
            </w:r>
          </w:p>
        </w:tc>
        <w:tc>
          <w:tcPr>
            <w:tcW w:w="1182" w:type="pct"/>
            <w:tcBorders>
              <w:top w:val="nil"/>
              <w:left w:val="nil"/>
              <w:bottom w:val="nil"/>
              <w:right w:val="nil"/>
            </w:tcBorders>
          </w:tcPr>
          <w:p w14:paraId="51D6A309" w14:textId="77777777" w:rsidR="00411D82" w:rsidRPr="00524EEA" w:rsidRDefault="00411D82" w:rsidP="008902EC">
            <w:pPr>
              <w:pStyle w:val="A-TableText"/>
              <w:jc w:val="center"/>
              <w:rPr>
                <w:bCs/>
                <w:lang w:val="en-AU"/>
              </w:rPr>
            </w:pPr>
            <w:r w:rsidRPr="00524EEA">
              <w:rPr>
                <w:bCs/>
                <w:lang w:val="en-AU"/>
              </w:rPr>
              <w:t>10.5</w:t>
            </w:r>
          </w:p>
        </w:tc>
        <w:tc>
          <w:tcPr>
            <w:tcW w:w="1182" w:type="pct"/>
            <w:tcBorders>
              <w:top w:val="nil"/>
              <w:left w:val="nil"/>
              <w:bottom w:val="nil"/>
              <w:right w:val="nil"/>
            </w:tcBorders>
            <w:vAlign w:val="center"/>
          </w:tcPr>
          <w:p w14:paraId="323978F2" w14:textId="77777777" w:rsidR="00411D82" w:rsidRPr="00524EEA" w:rsidRDefault="00411D82" w:rsidP="008902EC">
            <w:pPr>
              <w:pStyle w:val="A-TableText"/>
              <w:jc w:val="center"/>
              <w:rPr>
                <w:bCs/>
                <w:lang w:val="en-AU"/>
              </w:rPr>
            </w:pPr>
            <w:r w:rsidRPr="00524EEA">
              <w:rPr>
                <w:bCs/>
                <w:lang w:val="en-AU"/>
              </w:rPr>
              <w:t>10.5</w:t>
            </w:r>
          </w:p>
        </w:tc>
      </w:tr>
      <w:tr w:rsidR="00411D82" w:rsidRPr="00524EEA" w14:paraId="5C40A36F" w14:textId="77777777" w:rsidTr="00A33C9A">
        <w:trPr>
          <w:trHeight w:val="70"/>
        </w:trPr>
        <w:tc>
          <w:tcPr>
            <w:tcW w:w="1530" w:type="pct"/>
            <w:tcBorders>
              <w:top w:val="nil"/>
              <w:left w:val="nil"/>
              <w:bottom w:val="nil"/>
              <w:right w:val="nil"/>
            </w:tcBorders>
            <w:vAlign w:val="center"/>
          </w:tcPr>
          <w:p w14:paraId="29996F36" w14:textId="77777777" w:rsidR="00411D82" w:rsidRPr="00524EEA" w:rsidRDefault="00411D82" w:rsidP="008902EC">
            <w:pPr>
              <w:pStyle w:val="A-TableText"/>
              <w:rPr>
                <w:lang w:val="en-AU"/>
              </w:rPr>
            </w:pPr>
            <w:r w:rsidRPr="00524EEA">
              <w:rPr>
                <w:lang w:val="en-AU"/>
              </w:rPr>
              <w:t>Change from baseline</w:t>
            </w:r>
          </w:p>
        </w:tc>
        <w:tc>
          <w:tcPr>
            <w:tcW w:w="1105" w:type="pct"/>
            <w:tcBorders>
              <w:top w:val="nil"/>
              <w:left w:val="nil"/>
              <w:bottom w:val="nil"/>
              <w:right w:val="nil"/>
            </w:tcBorders>
            <w:vAlign w:val="center"/>
          </w:tcPr>
          <w:p w14:paraId="7E4C364B" w14:textId="77777777" w:rsidR="00411D82" w:rsidRPr="00524EEA" w:rsidRDefault="00411D82" w:rsidP="008902EC">
            <w:pPr>
              <w:pStyle w:val="A-TableText"/>
              <w:jc w:val="center"/>
              <w:rPr>
                <w:bCs/>
                <w:lang w:val="en-AU"/>
              </w:rPr>
            </w:pPr>
            <w:r w:rsidRPr="00524EEA">
              <w:rPr>
                <w:bCs/>
                <w:lang w:val="en-AU"/>
              </w:rPr>
              <w:noBreakHyphen/>
            </w:r>
            <w:r w:rsidRPr="00524EEA">
              <w:rPr>
                <w:lang w:val="en-AU"/>
              </w:rPr>
              <w:t>3.7</w:t>
            </w:r>
          </w:p>
        </w:tc>
        <w:tc>
          <w:tcPr>
            <w:tcW w:w="1182" w:type="pct"/>
            <w:tcBorders>
              <w:top w:val="nil"/>
              <w:left w:val="nil"/>
              <w:bottom w:val="nil"/>
              <w:right w:val="nil"/>
            </w:tcBorders>
          </w:tcPr>
          <w:p w14:paraId="4CCBC69E" w14:textId="77777777" w:rsidR="00411D82" w:rsidRPr="00524EEA" w:rsidRDefault="00411D82" w:rsidP="008902EC">
            <w:pPr>
              <w:pStyle w:val="A-TableText"/>
              <w:jc w:val="center"/>
              <w:rPr>
                <w:bCs/>
                <w:lang w:val="en-AU"/>
              </w:rPr>
            </w:pPr>
            <w:r w:rsidRPr="00524EEA">
              <w:rPr>
                <w:bCs/>
                <w:lang w:val="en-AU"/>
              </w:rPr>
              <w:noBreakHyphen/>
              <w:t>2.7</w:t>
            </w:r>
          </w:p>
        </w:tc>
        <w:tc>
          <w:tcPr>
            <w:tcW w:w="1182" w:type="pct"/>
            <w:tcBorders>
              <w:top w:val="nil"/>
              <w:left w:val="nil"/>
              <w:bottom w:val="nil"/>
              <w:right w:val="nil"/>
            </w:tcBorders>
            <w:vAlign w:val="center"/>
          </w:tcPr>
          <w:p w14:paraId="408F807A" w14:textId="77777777" w:rsidR="00411D82" w:rsidRPr="00524EEA" w:rsidRDefault="00411D82" w:rsidP="008902EC">
            <w:pPr>
              <w:pStyle w:val="A-TableText"/>
              <w:jc w:val="center"/>
              <w:rPr>
                <w:bCs/>
                <w:lang w:val="en-AU"/>
              </w:rPr>
            </w:pPr>
            <w:r w:rsidRPr="00524EEA">
              <w:rPr>
                <w:bCs/>
                <w:lang w:val="en-AU"/>
              </w:rPr>
              <w:noBreakHyphen/>
            </w:r>
            <w:r w:rsidRPr="00524EEA">
              <w:rPr>
                <w:lang w:val="en-AU"/>
              </w:rPr>
              <w:t>2.5</w:t>
            </w:r>
          </w:p>
        </w:tc>
      </w:tr>
      <w:tr w:rsidR="00411D82" w:rsidRPr="00524EEA" w14:paraId="4991F0E0" w14:textId="77777777" w:rsidTr="00A33C9A">
        <w:trPr>
          <w:trHeight w:val="70"/>
        </w:trPr>
        <w:tc>
          <w:tcPr>
            <w:tcW w:w="1530" w:type="pct"/>
            <w:tcBorders>
              <w:top w:val="nil"/>
              <w:left w:val="nil"/>
              <w:bottom w:val="nil"/>
              <w:right w:val="nil"/>
            </w:tcBorders>
            <w:vAlign w:val="center"/>
          </w:tcPr>
          <w:p w14:paraId="36CAAE5E" w14:textId="77777777" w:rsidR="00411D82" w:rsidRPr="00524EEA" w:rsidRDefault="00411D82" w:rsidP="008902EC">
            <w:pPr>
              <w:pStyle w:val="A-TableText"/>
              <w:rPr>
                <w:lang w:val="en-AU"/>
              </w:rPr>
            </w:pPr>
            <w:r w:rsidRPr="00524EEA">
              <w:rPr>
                <w:lang w:val="en-AU"/>
              </w:rPr>
              <w:t>Mean difference in change from baseline vs. FORXIGA (95% CI)</w:t>
            </w:r>
          </w:p>
        </w:tc>
        <w:tc>
          <w:tcPr>
            <w:tcW w:w="1105" w:type="pct"/>
            <w:tcBorders>
              <w:top w:val="nil"/>
              <w:left w:val="nil"/>
              <w:bottom w:val="nil"/>
              <w:right w:val="nil"/>
            </w:tcBorders>
            <w:vAlign w:val="center"/>
          </w:tcPr>
          <w:p w14:paraId="18902C36" w14:textId="77777777" w:rsidR="00411D82" w:rsidRPr="00524EEA" w:rsidRDefault="00411D82" w:rsidP="008902EC">
            <w:pPr>
              <w:pStyle w:val="A-TableText"/>
              <w:jc w:val="center"/>
              <w:rPr>
                <w:lang w:val="en-AU"/>
              </w:rPr>
            </w:pPr>
            <w:r w:rsidRPr="00524EEA">
              <w:rPr>
                <w:lang w:val="en-AU"/>
              </w:rPr>
              <w:noBreakHyphen/>
              <w:t>0.92*</w:t>
            </w:r>
          </w:p>
          <w:p w14:paraId="6DFCC1D8" w14:textId="196E71A1" w:rsidR="00411D82" w:rsidRPr="00524EEA" w:rsidRDefault="00411D82" w:rsidP="008902EC">
            <w:pPr>
              <w:pStyle w:val="A-TableText"/>
              <w:jc w:val="center"/>
              <w:rPr>
                <w:bCs/>
                <w:lang w:val="en-AU"/>
              </w:rPr>
            </w:pPr>
            <w:r w:rsidRPr="00524EEA">
              <w:rPr>
                <w:lang w:val="en-AU"/>
              </w:rPr>
              <w:t>(</w:t>
            </w:r>
            <w:r w:rsidRPr="00524EEA">
              <w:rPr>
                <w:lang w:val="en-AU"/>
              </w:rPr>
              <w:noBreakHyphen/>
              <w:t xml:space="preserve">1.36 </w:t>
            </w:r>
            <w:r w:rsidRPr="00524EEA">
              <w:rPr>
                <w:lang w:val="en-AU"/>
              </w:rPr>
              <w:noBreakHyphen/>
              <w:t>0.49)</w:t>
            </w:r>
          </w:p>
        </w:tc>
        <w:tc>
          <w:tcPr>
            <w:tcW w:w="1182" w:type="pct"/>
            <w:tcBorders>
              <w:top w:val="nil"/>
              <w:left w:val="nil"/>
              <w:bottom w:val="nil"/>
              <w:right w:val="nil"/>
            </w:tcBorders>
          </w:tcPr>
          <w:p w14:paraId="14A57E72" w14:textId="77777777" w:rsidR="00411D82" w:rsidRPr="00524EEA" w:rsidRDefault="00411D82" w:rsidP="008902EC">
            <w:pPr>
              <w:pStyle w:val="A-TableText"/>
              <w:jc w:val="center"/>
              <w:rPr>
                <w:bCs/>
                <w:lang w:val="en-AU"/>
              </w:rPr>
            </w:pPr>
          </w:p>
        </w:tc>
        <w:tc>
          <w:tcPr>
            <w:tcW w:w="1182" w:type="pct"/>
            <w:tcBorders>
              <w:top w:val="nil"/>
              <w:left w:val="nil"/>
              <w:bottom w:val="nil"/>
              <w:right w:val="nil"/>
            </w:tcBorders>
            <w:vAlign w:val="center"/>
          </w:tcPr>
          <w:p w14:paraId="2BF0A25F" w14:textId="77777777" w:rsidR="00411D82" w:rsidRPr="00524EEA" w:rsidRDefault="00411D82" w:rsidP="008902EC">
            <w:pPr>
              <w:pStyle w:val="A-TableText"/>
              <w:jc w:val="center"/>
              <w:rPr>
                <w:bCs/>
                <w:lang w:val="en-AU"/>
              </w:rPr>
            </w:pPr>
          </w:p>
        </w:tc>
      </w:tr>
      <w:tr w:rsidR="00411D82" w:rsidRPr="00524EEA" w14:paraId="50F64C01" w14:textId="77777777" w:rsidTr="00A33C9A">
        <w:trPr>
          <w:trHeight w:val="70"/>
        </w:trPr>
        <w:tc>
          <w:tcPr>
            <w:tcW w:w="1530" w:type="pct"/>
            <w:tcBorders>
              <w:top w:val="nil"/>
              <w:left w:val="nil"/>
              <w:bottom w:val="nil"/>
              <w:right w:val="nil"/>
            </w:tcBorders>
            <w:vAlign w:val="center"/>
          </w:tcPr>
          <w:p w14:paraId="7ED29D75" w14:textId="77777777" w:rsidR="00411D82" w:rsidRPr="00524EEA" w:rsidRDefault="00411D82" w:rsidP="008902EC">
            <w:pPr>
              <w:pStyle w:val="A-TableText"/>
              <w:rPr>
                <w:lang w:val="en-AU"/>
              </w:rPr>
            </w:pPr>
            <w:r w:rsidRPr="00524EEA">
              <w:rPr>
                <w:lang w:val="en-AU"/>
              </w:rPr>
              <w:t xml:space="preserve">Mean difference in change from baseline vs. Extended release </w:t>
            </w:r>
            <w:proofErr w:type="spellStart"/>
            <w:r w:rsidRPr="00524EEA">
              <w:rPr>
                <w:bCs/>
                <w:lang w:val="en-AU"/>
              </w:rPr>
              <w:t>exenatide</w:t>
            </w:r>
            <w:proofErr w:type="spellEnd"/>
            <w:r w:rsidRPr="00524EEA">
              <w:rPr>
                <w:lang w:val="en-AU"/>
              </w:rPr>
              <w:t xml:space="preserve"> (95% CI)</w:t>
            </w:r>
          </w:p>
        </w:tc>
        <w:tc>
          <w:tcPr>
            <w:tcW w:w="1105" w:type="pct"/>
            <w:tcBorders>
              <w:top w:val="nil"/>
              <w:left w:val="nil"/>
              <w:bottom w:val="nil"/>
              <w:right w:val="nil"/>
            </w:tcBorders>
            <w:vAlign w:val="center"/>
          </w:tcPr>
          <w:p w14:paraId="70EF9AC5" w14:textId="77777777" w:rsidR="00411D82" w:rsidRPr="00524EEA" w:rsidRDefault="00411D82" w:rsidP="008902EC">
            <w:pPr>
              <w:pStyle w:val="A-TableText"/>
              <w:jc w:val="center"/>
              <w:rPr>
                <w:lang w:val="en-AU"/>
              </w:rPr>
            </w:pPr>
            <w:r w:rsidRPr="00524EEA">
              <w:rPr>
                <w:lang w:val="en-AU"/>
              </w:rPr>
              <w:noBreakHyphen/>
              <w:t>1.12*</w:t>
            </w:r>
          </w:p>
          <w:p w14:paraId="33116EC7" w14:textId="74AF56B7" w:rsidR="00411D82" w:rsidRPr="00524EEA" w:rsidRDefault="00411D82" w:rsidP="008902EC">
            <w:pPr>
              <w:pStyle w:val="A-TableText"/>
              <w:jc w:val="center"/>
              <w:rPr>
                <w:bCs/>
                <w:lang w:val="en-AU"/>
              </w:rPr>
            </w:pPr>
            <w:r w:rsidRPr="00524EEA">
              <w:rPr>
                <w:lang w:val="en-AU"/>
              </w:rPr>
              <w:t>(</w:t>
            </w:r>
            <w:r w:rsidRPr="00524EEA">
              <w:rPr>
                <w:lang w:val="en-AU"/>
              </w:rPr>
              <w:noBreakHyphen/>
              <w:t>1.55</w:t>
            </w:r>
            <w:r w:rsidRPr="00524EEA">
              <w:rPr>
                <w:lang w:val="en-AU"/>
              </w:rPr>
              <w:noBreakHyphen/>
              <w:t>0.68)</w:t>
            </w:r>
          </w:p>
        </w:tc>
        <w:tc>
          <w:tcPr>
            <w:tcW w:w="1182" w:type="pct"/>
            <w:tcBorders>
              <w:top w:val="nil"/>
              <w:left w:val="nil"/>
              <w:bottom w:val="nil"/>
              <w:right w:val="nil"/>
            </w:tcBorders>
          </w:tcPr>
          <w:p w14:paraId="3ED3A1D5" w14:textId="77777777" w:rsidR="00411D82" w:rsidRPr="00524EEA" w:rsidRDefault="00411D82" w:rsidP="008902EC">
            <w:pPr>
              <w:pStyle w:val="A-TableText"/>
              <w:jc w:val="center"/>
              <w:rPr>
                <w:bCs/>
                <w:lang w:val="en-AU"/>
              </w:rPr>
            </w:pPr>
          </w:p>
        </w:tc>
        <w:tc>
          <w:tcPr>
            <w:tcW w:w="1182" w:type="pct"/>
            <w:tcBorders>
              <w:top w:val="nil"/>
              <w:left w:val="nil"/>
              <w:bottom w:val="nil"/>
              <w:right w:val="nil"/>
            </w:tcBorders>
            <w:vAlign w:val="center"/>
          </w:tcPr>
          <w:p w14:paraId="57F4448A" w14:textId="77777777" w:rsidR="00411D82" w:rsidRPr="00524EEA" w:rsidRDefault="00411D82" w:rsidP="008902EC">
            <w:pPr>
              <w:pStyle w:val="A-TableText"/>
              <w:jc w:val="center"/>
              <w:rPr>
                <w:bCs/>
                <w:lang w:val="en-AU"/>
              </w:rPr>
            </w:pPr>
          </w:p>
        </w:tc>
      </w:tr>
      <w:tr w:rsidR="00411D82" w:rsidRPr="00524EEA" w14:paraId="7C13FCFA" w14:textId="77777777" w:rsidTr="008902EC">
        <w:trPr>
          <w:trHeight w:val="70"/>
        </w:trPr>
        <w:tc>
          <w:tcPr>
            <w:tcW w:w="5000" w:type="pct"/>
            <w:gridSpan w:val="4"/>
            <w:tcBorders>
              <w:top w:val="nil"/>
              <w:left w:val="nil"/>
              <w:bottom w:val="nil"/>
              <w:right w:val="nil"/>
            </w:tcBorders>
            <w:vAlign w:val="center"/>
          </w:tcPr>
          <w:p w14:paraId="13CEB575" w14:textId="77777777" w:rsidR="00411D82" w:rsidRPr="00524EEA" w:rsidRDefault="00411D82" w:rsidP="008902EC">
            <w:pPr>
              <w:pStyle w:val="A-TableHeader"/>
              <w:rPr>
                <w:bCs/>
                <w:lang w:val="en-AU"/>
              </w:rPr>
            </w:pPr>
            <w:r w:rsidRPr="00524EEA">
              <w:rPr>
                <w:lang w:val="en-AU"/>
              </w:rPr>
              <w:t>2-hour PPG (</w:t>
            </w:r>
            <w:proofErr w:type="spellStart"/>
            <w:r w:rsidRPr="00524EEA">
              <w:rPr>
                <w:lang w:val="en-AU"/>
              </w:rPr>
              <w:t>mmol</w:t>
            </w:r>
            <w:proofErr w:type="spellEnd"/>
            <w:r w:rsidRPr="00524EEA">
              <w:rPr>
                <w:lang w:val="en-AU"/>
              </w:rPr>
              <w:t>/L)</w:t>
            </w:r>
          </w:p>
        </w:tc>
      </w:tr>
      <w:tr w:rsidR="00411D82" w:rsidRPr="00524EEA" w14:paraId="1DD81DC9" w14:textId="77777777" w:rsidTr="00A33C9A">
        <w:trPr>
          <w:trHeight w:val="70"/>
        </w:trPr>
        <w:tc>
          <w:tcPr>
            <w:tcW w:w="1530" w:type="pct"/>
            <w:tcBorders>
              <w:top w:val="nil"/>
              <w:left w:val="nil"/>
              <w:bottom w:val="nil"/>
              <w:right w:val="nil"/>
            </w:tcBorders>
            <w:vAlign w:val="center"/>
          </w:tcPr>
          <w:p w14:paraId="25DCFADB" w14:textId="77777777" w:rsidR="00411D82" w:rsidRPr="00524EEA" w:rsidRDefault="00411D82" w:rsidP="008902EC">
            <w:pPr>
              <w:pStyle w:val="A-TableText"/>
              <w:rPr>
                <w:lang w:val="en-AU"/>
              </w:rPr>
            </w:pPr>
            <w:r w:rsidRPr="00524EEA">
              <w:rPr>
                <w:lang w:val="en-AU"/>
              </w:rPr>
              <w:t>Standard meal test population (n)</w:t>
            </w:r>
          </w:p>
        </w:tc>
        <w:tc>
          <w:tcPr>
            <w:tcW w:w="1105" w:type="pct"/>
            <w:tcBorders>
              <w:top w:val="nil"/>
              <w:left w:val="nil"/>
              <w:bottom w:val="nil"/>
              <w:right w:val="nil"/>
            </w:tcBorders>
            <w:vAlign w:val="center"/>
          </w:tcPr>
          <w:p w14:paraId="29907D19" w14:textId="77777777" w:rsidR="00411D82" w:rsidRPr="00524EEA" w:rsidRDefault="00411D82" w:rsidP="008902EC">
            <w:pPr>
              <w:pStyle w:val="A-TableText"/>
              <w:jc w:val="center"/>
              <w:rPr>
                <w:bCs/>
                <w:lang w:val="en-AU"/>
              </w:rPr>
            </w:pPr>
            <w:r w:rsidRPr="00524EEA">
              <w:rPr>
                <w:bCs/>
                <w:lang w:val="en-AU"/>
              </w:rPr>
              <w:t>198</w:t>
            </w:r>
          </w:p>
        </w:tc>
        <w:tc>
          <w:tcPr>
            <w:tcW w:w="1182" w:type="pct"/>
            <w:tcBorders>
              <w:top w:val="nil"/>
              <w:left w:val="nil"/>
              <w:bottom w:val="nil"/>
              <w:right w:val="nil"/>
            </w:tcBorders>
            <w:vAlign w:val="center"/>
          </w:tcPr>
          <w:p w14:paraId="271C043F" w14:textId="77777777" w:rsidR="00411D82" w:rsidRPr="00524EEA" w:rsidRDefault="00411D82" w:rsidP="008902EC">
            <w:pPr>
              <w:pStyle w:val="A-TableText"/>
              <w:jc w:val="center"/>
              <w:rPr>
                <w:bCs/>
                <w:lang w:val="en-AU"/>
              </w:rPr>
            </w:pPr>
            <w:r w:rsidRPr="00524EEA">
              <w:rPr>
                <w:bCs/>
                <w:lang w:val="en-AU"/>
              </w:rPr>
              <w:t>199</w:t>
            </w:r>
          </w:p>
        </w:tc>
        <w:tc>
          <w:tcPr>
            <w:tcW w:w="1182" w:type="pct"/>
            <w:tcBorders>
              <w:top w:val="nil"/>
              <w:left w:val="nil"/>
              <w:bottom w:val="nil"/>
              <w:right w:val="nil"/>
            </w:tcBorders>
            <w:vAlign w:val="center"/>
          </w:tcPr>
          <w:p w14:paraId="78DBA865" w14:textId="77777777" w:rsidR="00411D82" w:rsidRPr="00524EEA" w:rsidRDefault="00411D82" w:rsidP="008902EC">
            <w:pPr>
              <w:pStyle w:val="A-TableText"/>
              <w:jc w:val="center"/>
              <w:rPr>
                <w:bCs/>
                <w:lang w:val="en-AU"/>
              </w:rPr>
            </w:pPr>
            <w:r w:rsidRPr="00524EEA">
              <w:rPr>
                <w:bCs/>
                <w:lang w:val="en-AU"/>
              </w:rPr>
              <w:t>188</w:t>
            </w:r>
          </w:p>
        </w:tc>
      </w:tr>
      <w:tr w:rsidR="00411D82" w:rsidRPr="00524EEA" w14:paraId="0CBCFA41" w14:textId="77777777" w:rsidTr="00A33C9A">
        <w:trPr>
          <w:trHeight w:val="70"/>
        </w:trPr>
        <w:tc>
          <w:tcPr>
            <w:tcW w:w="1530" w:type="pct"/>
            <w:tcBorders>
              <w:top w:val="nil"/>
              <w:left w:val="nil"/>
              <w:bottom w:val="nil"/>
              <w:right w:val="nil"/>
            </w:tcBorders>
            <w:vAlign w:val="center"/>
          </w:tcPr>
          <w:p w14:paraId="06FB5B80" w14:textId="77777777" w:rsidR="00411D82" w:rsidRPr="00524EEA" w:rsidRDefault="00411D82" w:rsidP="008902EC">
            <w:pPr>
              <w:pStyle w:val="A-TableText"/>
              <w:rPr>
                <w:lang w:val="en-AU"/>
              </w:rPr>
            </w:pPr>
            <w:r w:rsidRPr="00524EEA">
              <w:rPr>
                <w:lang w:val="en-AU"/>
              </w:rPr>
              <w:t>Baseline (mean)</w:t>
            </w:r>
            <w:r w:rsidRPr="00524EEA">
              <w:rPr>
                <w:vertAlign w:val="superscript"/>
                <w:lang w:val="en-AU"/>
              </w:rPr>
              <w:t xml:space="preserve"> a</w:t>
            </w:r>
          </w:p>
        </w:tc>
        <w:tc>
          <w:tcPr>
            <w:tcW w:w="1105" w:type="pct"/>
            <w:tcBorders>
              <w:top w:val="nil"/>
              <w:left w:val="nil"/>
              <w:bottom w:val="nil"/>
              <w:right w:val="nil"/>
            </w:tcBorders>
            <w:vAlign w:val="center"/>
          </w:tcPr>
          <w:p w14:paraId="73F1E8CE" w14:textId="77777777" w:rsidR="00411D82" w:rsidRPr="00524EEA" w:rsidRDefault="00411D82" w:rsidP="008902EC">
            <w:pPr>
              <w:pStyle w:val="A-TableText"/>
              <w:jc w:val="center"/>
              <w:rPr>
                <w:bCs/>
                <w:lang w:val="en-AU"/>
              </w:rPr>
            </w:pPr>
            <w:r w:rsidRPr="00524EEA">
              <w:rPr>
                <w:bCs/>
                <w:lang w:val="en-AU"/>
              </w:rPr>
              <w:t>14.9</w:t>
            </w:r>
          </w:p>
        </w:tc>
        <w:tc>
          <w:tcPr>
            <w:tcW w:w="1182" w:type="pct"/>
            <w:tcBorders>
              <w:top w:val="nil"/>
              <w:left w:val="nil"/>
              <w:bottom w:val="nil"/>
              <w:right w:val="nil"/>
            </w:tcBorders>
          </w:tcPr>
          <w:p w14:paraId="227D2697" w14:textId="77777777" w:rsidR="00411D82" w:rsidRPr="00524EEA" w:rsidRDefault="00411D82" w:rsidP="008902EC">
            <w:pPr>
              <w:pStyle w:val="A-TableText"/>
              <w:jc w:val="center"/>
              <w:rPr>
                <w:bCs/>
                <w:lang w:val="en-AU"/>
              </w:rPr>
            </w:pPr>
            <w:r w:rsidRPr="00524EEA">
              <w:rPr>
                <w:bCs/>
                <w:lang w:val="en-AU"/>
              </w:rPr>
              <w:t>14.5</w:t>
            </w:r>
          </w:p>
        </w:tc>
        <w:tc>
          <w:tcPr>
            <w:tcW w:w="1182" w:type="pct"/>
            <w:tcBorders>
              <w:top w:val="nil"/>
              <w:left w:val="nil"/>
              <w:bottom w:val="nil"/>
              <w:right w:val="nil"/>
            </w:tcBorders>
            <w:vAlign w:val="center"/>
          </w:tcPr>
          <w:p w14:paraId="363E3D28" w14:textId="77777777" w:rsidR="00411D82" w:rsidRPr="00524EEA" w:rsidRDefault="00411D82" w:rsidP="008902EC">
            <w:pPr>
              <w:pStyle w:val="A-TableText"/>
              <w:jc w:val="center"/>
              <w:rPr>
                <w:bCs/>
                <w:lang w:val="en-AU"/>
              </w:rPr>
            </w:pPr>
            <w:r w:rsidRPr="00524EEA">
              <w:rPr>
                <w:bCs/>
                <w:lang w:val="en-AU"/>
              </w:rPr>
              <w:t>14.8</w:t>
            </w:r>
          </w:p>
        </w:tc>
      </w:tr>
      <w:tr w:rsidR="00411D82" w:rsidRPr="00524EEA" w14:paraId="24F729D8" w14:textId="77777777" w:rsidTr="00A33C9A">
        <w:trPr>
          <w:trHeight w:val="70"/>
        </w:trPr>
        <w:tc>
          <w:tcPr>
            <w:tcW w:w="1530" w:type="pct"/>
            <w:tcBorders>
              <w:top w:val="nil"/>
              <w:left w:val="nil"/>
              <w:bottom w:val="nil"/>
              <w:right w:val="nil"/>
            </w:tcBorders>
            <w:vAlign w:val="center"/>
          </w:tcPr>
          <w:p w14:paraId="48D95778" w14:textId="77777777" w:rsidR="00411D82" w:rsidRPr="00524EEA" w:rsidRDefault="00411D82" w:rsidP="008902EC">
            <w:pPr>
              <w:pStyle w:val="A-TableText"/>
              <w:rPr>
                <w:lang w:val="en-AU"/>
              </w:rPr>
            </w:pPr>
            <w:r w:rsidRPr="00524EEA">
              <w:rPr>
                <w:lang w:val="en-AU"/>
              </w:rPr>
              <w:t>Change from baseline</w:t>
            </w:r>
          </w:p>
        </w:tc>
        <w:tc>
          <w:tcPr>
            <w:tcW w:w="1105" w:type="pct"/>
            <w:tcBorders>
              <w:top w:val="nil"/>
              <w:left w:val="nil"/>
              <w:bottom w:val="nil"/>
              <w:right w:val="nil"/>
            </w:tcBorders>
            <w:vAlign w:val="center"/>
          </w:tcPr>
          <w:p w14:paraId="54FD77DA" w14:textId="77777777" w:rsidR="00411D82" w:rsidRPr="00524EEA" w:rsidRDefault="00411D82" w:rsidP="008902EC">
            <w:pPr>
              <w:pStyle w:val="A-TableText"/>
              <w:jc w:val="center"/>
              <w:rPr>
                <w:bCs/>
                <w:lang w:val="en-AU"/>
              </w:rPr>
            </w:pPr>
            <w:r w:rsidRPr="00524EEA">
              <w:rPr>
                <w:bCs/>
                <w:lang w:val="en-AU"/>
              </w:rPr>
              <w:noBreakHyphen/>
              <w:t>4.9</w:t>
            </w:r>
          </w:p>
        </w:tc>
        <w:tc>
          <w:tcPr>
            <w:tcW w:w="1182" w:type="pct"/>
            <w:tcBorders>
              <w:top w:val="nil"/>
              <w:left w:val="nil"/>
              <w:bottom w:val="nil"/>
              <w:right w:val="nil"/>
            </w:tcBorders>
          </w:tcPr>
          <w:p w14:paraId="1AEBB732" w14:textId="77777777" w:rsidR="00411D82" w:rsidRPr="00524EEA" w:rsidRDefault="00411D82" w:rsidP="008902EC">
            <w:pPr>
              <w:pStyle w:val="A-TableText"/>
              <w:jc w:val="center"/>
              <w:rPr>
                <w:bCs/>
                <w:lang w:val="en-AU"/>
              </w:rPr>
            </w:pPr>
            <w:r w:rsidRPr="00524EEA">
              <w:rPr>
                <w:bCs/>
                <w:lang w:val="en-AU"/>
              </w:rPr>
              <w:noBreakHyphen/>
              <w:t>3.4</w:t>
            </w:r>
          </w:p>
        </w:tc>
        <w:tc>
          <w:tcPr>
            <w:tcW w:w="1182" w:type="pct"/>
            <w:tcBorders>
              <w:top w:val="nil"/>
              <w:left w:val="nil"/>
              <w:bottom w:val="nil"/>
              <w:right w:val="nil"/>
            </w:tcBorders>
            <w:vAlign w:val="center"/>
          </w:tcPr>
          <w:p w14:paraId="5FDFBA33" w14:textId="77777777" w:rsidR="00411D82" w:rsidRPr="00524EEA" w:rsidRDefault="00411D82" w:rsidP="008902EC">
            <w:pPr>
              <w:pStyle w:val="A-TableText"/>
              <w:jc w:val="center"/>
              <w:rPr>
                <w:bCs/>
                <w:lang w:val="en-AU"/>
              </w:rPr>
            </w:pPr>
            <w:r w:rsidRPr="00524EEA">
              <w:rPr>
                <w:bCs/>
                <w:lang w:val="en-AU"/>
              </w:rPr>
              <w:noBreakHyphen/>
              <w:t>3.3</w:t>
            </w:r>
          </w:p>
        </w:tc>
      </w:tr>
      <w:tr w:rsidR="00411D82" w:rsidRPr="00524EEA" w14:paraId="65A535F0" w14:textId="77777777" w:rsidTr="00A33C9A">
        <w:trPr>
          <w:trHeight w:val="70"/>
        </w:trPr>
        <w:tc>
          <w:tcPr>
            <w:tcW w:w="1530" w:type="pct"/>
            <w:tcBorders>
              <w:top w:val="nil"/>
              <w:left w:val="nil"/>
              <w:bottom w:val="nil"/>
              <w:right w:val="nil"/>
            </w:tcBorders>
            <w:vAlign w:val="center"/>
          </w:tcPr>
          <w:p w14:paraId="390D0BDA" w14:textId="77777777" w:rsidR="00411D82" w:rsidRPr="00524EEA" w:rsidRDefault="00411D82" w:rsidP="008902EC">
            <w:pPr>
              <w:pStyle w:val="A-TableText"/>
              <w:rPr>
                <w:lang w:val="en-AU"/>
              </w:rPr>
            </w:pPr>
            <w:r w:rsidRPr="00524EEA" w:rsidDel="0078117C">
              <w:rPr>
                <w:lang w:val="en-AU"/>
              </w:rPr>
              <w:t xml:space="preserve">Mean difference </w:t>
            </w:r>
            <w:r w:rsidRPr="00524EEA">
              <w:rPr>
                <w:lang w:val="en-AU"/>
              </w:rPr>
              <w:t xml:space="preserve">in </w:t>
            </w:r>
            <w:r w:rsidRPr="00524EEA" w:rsidDel="0078117C">
              <w:rPr>
                <w:lang w:val="en-AU"/>
              </w:rPr>
              <w:t xml:space="preserve">change from baseline vs. </w:t>
            </w:r>
            <w:r w:rsidRPr="00524EEA" w:rsidDel="0078117C">
              <w:rPr>
                <w:bCs/>
                <w:lang w:val="en-AU"/>
              </w:rPr>
              <w:t>FORXIGA</w:t>
            </w:r>
            <w:r w:rsidRPr="00524EEA" w:rsidDel="0078117C">
              <w:rPr>
                <w:lang w:val="en-AU"/>
              </w:rPr>
              <w:t xml:space="preserve"> (95% CI)</w:t>
            </w:r>
          </w:p>
        </w:tc>
        <w:tc>
          <w:tcPr>
            <w:tcW w:w="1105" w:type="pct"/>
            <w:tcBorders>
              <w:top w:val="nil"/>
              <w:left w:val="nil"/>
              <w:bottom w:val="nil"/>
              <w:right w:val="nil"/>
            </w:tcBorders>
            <w:vAlign w:val="center"/>
          </w:tcPr>
          <w:p w14:paraId="448C6F81" w14:textId="77777777" w:rsidR="00411D82" w:rsidRPr="00524EEA" w:rsidDel="0078117C" w:rsidRDefault="00411D82" w:rsidP="008902EC">
            <w:pPr>
              <w:pStyle w:val="A-TableText"/>
              <w:jc w:val="center"/>
              <w:rPr>
                <w:lang w:val="en-AU"/>
              </w:rPr>
            </w:pPr>
            <w:r w:rsidRPr="00524EEA">
              <w:rPr>
                <w:lang w:val="en-AU"/>
              </w:rPr>
              <w:noBreakHyphen/>
              <w:t>1.49*</w:t>
            </w:r>
          </w:p>
          <w:p w14:paraId="5A9E8260" w14:textId="08D9A25B" w:rsidR="00411D82" w:rsidRPr="00524EEA" w:rsidRDefault="00411D82" w:rsidP="008902EC">
            <w:pPr>
              <w:pStyle w:val="A-TableText"/>
              <w:jc w:val="center"/>
              <w:rPr>
                <w:bCs/>
                <w:lang w:val="en-AU"/>
              </w:rPr>
            </w:pPr>
            <w:r w:rsidRPr="00524EEA" w:rsidDel="0078117C">
              <w:rPr>
                <w:lang w:val="en-AU"/>
              </w:rPr>
              <w:t>(</w:t>
            </w:r>
            <w:r w:rsidRPr="00524EEA">
              <w:rPr>
                <w:lang w:val="en-AU"/>
              </w:rPr>
              <w:noBreakHyphen/>
              <w:t>2.04</w:t>
            </w:r>
            <w:r w:rsidRPr="00524EEA">
              <w:rPr>
                <w:lang w:val="en-AU"/>
              </w:rPr>
              <w:noBreakHyphen/>
              <w:t>0.93</w:t>
            </w:r>
            <w:r w:rsidRPr="00524EEA" w:rsidDel="0078117C">
              <w:rPr>
                <w:lang w:val="en-AU"/>
              </w:rPr>
              <w:t>)</w:t>
            </w:r>
          </w:p>
        </w:tc>
        <w:tc>
          <w:tcPr>
            <w:tcW w:w="1182" w:type="pct"/>
            <w:tcBorders>
              <w:top w:val="nil"/>
              <w:left w:val="nil"/>
              <w:bottom w:val="nil"/>
              <w:right w:val="nil"/>
            </w:tcBorders>
          </w:tcPr>
          <w:p w14:paraId="0DFC86E7" w14:textId="77777777" w:rsidR="00411D82" w:rsidRPr="00524EEA" w:rsidRDefault="00411D82" w:rsidP="008902EC">
            <w:pPr>
              <w:pStyle w:val="A-TableText"/>
              <w:jc w:val="center"/>
              <w:rPr>
                <w:bCs/>
                <w:lang w:val="en-AU"/>
              </w:rPr>
            </w:pPr>
          </w:p>
        </w:tc>
        <w:tc>
          <w:tcPr>
            <w:tcW w:w="1182" w:type="pct"/>
            <w:tcBorders>
              <w:top w:val="nil"/>
              <w:left w:val="nil"/>
              <w:bottom w:val="nil"/>
              <w:right w:val="nil"/>
            </w:tcBorders>
            <w:vAlign w:val="center"/>
          </w:tcPr>
          <w:p w14:paraId="2BD00038" w14:textId="77777777" w:rsidR="00411D82" w:rsidRPr="00524EEA" w:rsidRDefault="00411D82" w:rsidP="008902EC">
            <w:pPr>
              <w:pStyle w:val="A-TableText"/>
              <w:jc w:val="center"/>
              <w:rPr>
                <w:bCs/>
                <w:lang w:val="en-AU"/>
              </w:rPr>
            </w:pPr>
          </w:p>
        </w:tc>
      </w:tr>
      <w:tr w:rsidR="00411D82" w:rsidRPr="00524EEA" w14:paraId="3AFF99B7" w14:textId="77777777" w:rsidTr="00A33C9A">
        <w:trPr>
          <w:trHeight w:val="70"/>
        </w:trPr>
        <w:tc>
          <w:tcPr>
            <w:tcW w:w="1530" w:type="pct"/>
            <w:tcBorders>
              <w:top w:val="nil"/>
              <w:left w:val="nil"/>
              <w:bottom w:val="nil"/>
              <w:right w:val="nil"/>
            </w:tcBorders>
            <w:vAlign w:val="center"/>
          </w:tcPr>
          <w:p w14:paraId="0E1330FA" w14:textId="77777777" w:rsidR="00411D82" w:rsidRPr="00524EEA" w:rsidRDefault="00411D82" w:rsidP="008902EC">
            <w:pPr>
              <w:pStyle w:val="A-TableText"/>
              <w:rPr>
                <w:lang w:val="en-AU"/>
              </w:rPr>
            </w:pPr>
            <w:r w:rsidRPr="00524EEA">
              <w:rPr>
                <w:lang w:val="en-AU"/>
              </w:rPr>
              <w:t xml:space="preserve">Mean difference in change from baseline vs. Extended release </w:t>
            </w:r>
            <w:proofErr w:type="spellStart"/>
            <w:r w:rsidRPr="00524EEA">
              <w:rPr>
                <w:lang w:val="en-AU"/>
              </w:rPr>
              <w:t>e</w:t>
            </w:r>
            <w:r w:rsidRPr="00524EEA">
              <w:rPr>
                <w:bCs/>
                <w:lang w:val="en-AU"/>
              </w:rPr>
              <w:t>xenatide</w:t>
            </w:r>
            <w:proofErr w:type="spellEnd"/>
            <w:r w:rsidRPr="00524EEA">
              <w:rPr>
                <w:lang w:val="en-AU"/>
              </w:rPr>
              <w:t xml:space="preserve"> (95% CI)</w:t>
            </w:r>
          </w:p>
        </w:tc>
        <w:tc>
          <w:tcPr>
            <w:tcW w:w="1105" w:type="pct"/>
            <w:tcBorders>
              <w:top w:val="nil"/>
              <w:left w:val="nil"/>
              <w:bottom w:val="nil"/>
              <w:right w:val="nil"/>
            </w:tcBorders>
            <w:vAlign w:val="center"/>
          </w:tcPr>
          <w:p w14:paraId="114A92CE" w14:textId="77777777" w:rsidR="00411D82" w:rsidRPr="00524EEA" w:rsidRDefault="00411D82" w:rsidP="008902EC">
            <w:pPr>
              <w:pStyle w:val="A-TableText"/>
              <w:jc w:val="center"/>
              <w:rPr>
                <w:lang w:val="en-AU"/>
              </w:rPr>
            </w:pPr>
            <w:r w:rsidRPr="00524EEA">
              <w:rPr>
                <w:lang w:val="en-AU"/>
              </w:rPr>
              <w:noBreakHyphen/>
              <w:t>1.54*</w:t>
            </w:r>
          </w:p>
          <w:p w14:paraId="74EEB436" w14:textId="5AB61D2A" w:rsidR="00411D82" w:rsidRPr="00524EEA" w:rsidRDefault="00411D82" w:rsidP="008902EC">
            <w:pPr>
              <w:pStyle w:val="A-TableText"/>
              <w:jc w:val="center"/>
              <w:rPr>
                <w:bCs/>
                <w:lang w:val="en-AU"/>
              </w:rPr>
            </w:pPr>
            <w:r w:rsidRPr="00524EEA">
              <w:rPr>
                <w:lang w:val="en-AU"/>
              </w:rPr>
              <w:t>(</w:t>
            </w:r>
            <w:r w:rsidRPr="00524EEA">
              <w:rPr>
                <w:lang w:val="en-AU"/>
              </w:rPr>
              <w:noBreakHyphen/>
              <w:t xml:space="preserve">2.10 </w:t>
            </w:r>
            <w:r w:rsidRPr="00524EEA">
              <w:rPr>
                <w:lang w:val="en-AU"/>
              </w:rPr>
              <w:noBreakHyphen/>
              <w:t>0.98)</w:t>
            </w:r>
          </w:p>
        </w:tc>
        <w:tc>
          <w:tcPr>
            <w:tcW w:w="1182" w:type="pct"/>
            <w:tcBorders>
              <w:top w:val="nil"/>
              <w:left w:val="nil"/>
              <w:bottom w:val="nil"/>
              <w:right w:val="nil"/>
            </w:tcBorders>
          </w:tcPr>
          <w:p w14:paraId="0484717C" w14:textId="77777777" w:rsidR="00411D82" w:rsidRPr="00524EEA" w:rsidRDefault="00411D82" w:rsidP="008902EC">
            <w:pPr>
              <w:pStyle w:val="A-TableText"/>
              <w:jc w:val="center"/>
              <w:rPr>
                <w:bCs/>
                <w:lang w:val="en-AU"/>
              </w:rPr>
            </w:pPr>
          </w:p>
        </w:tc>
        <w:tc>
          <w:tcPr>
            <w:tcW w:w="1182" w:type="pct"/>
            <w:tcBorders>
              <w:top w:val="nil"/>
              <w:left w:val="nil"/>
              <w:bottom w:val="nil"/>
              <w:right w:val="nil"/>
            </w:tcBorders>
            <w:vAlign w:val="center"/>
          </w:tcPr>
          <w:p w14:paraId="68024AE1" w14:textId="77777777" w:rsidR="00411D82" w:rsidRPr="00524EEA" w:rsidRDefault="00411D82" w:rsidP="008902EC">
            <w:pPr>
              <w:pStyle w:val="A-TableText"/>
              <w:jc w:val="center"/>
              <w:rPr>
                <w:bCs/>
                <w:lang w:val="en-AU"/>
              </w:rPr>
            </w:pPr>
          </w:p>
        </w:tc>
      </w:tr>
      <w:tr w:rsidR="00411D82" w:rsidRPr="00524EEA" w14:paraId="22271A6D" w14:textId="77777777" w:rsidTr="008902EC">
        <w:trPr>
          <w:gridAfter w:val="1"/>
          <w:wAfter w:w="1182" w:type="pct"/>
          <w:trHeight w:val="70"/>
        </w:trPr>
        <w:tc>
          <w:tcPr>
            <w:tcW w:w="3818" w:type="pct"/>
            <w:gridSpan w:val="3"/>
            <w:tcBorders>
              <w:top w:val="nil"/>
              <w:left w:val="nil"/>
              <w:bottom w:val="nil"/>
              <w:right w:val="nil"/>
            </w:tcBorders>
            <w:vAlign w:val="center"/>
          </w:tcPr>
          <w:p w14:paraId="7AB8E49B" w14:textId="77777777" w:rsidR="00411D82" w:rsidRPr="00524EEA" w:rsidRDefault="00411D82" w:rsidP="008902EC">
            <w:pPr>
              <w:pStyle w:val="A-TableHeader"/>
              <w:rPr>
                <w:lang w:val="en-AU"/>
              </w:rPr>
            </w:pPr>
            <w:r w:rsidRPr="00524EEA">
              <w:rPr>
                <w:lang w:val="en-AU"/>
              </w:rPr>
              <w:t>Seated systolic blood pressure (mmHg)</w:t>
            </w:r>
          </w:p>
        </w:tc>
      </w:tr>
      <w:tr w:rsidR="00411D82" w:rsidRPr="00524EEA" w14:paraId="4EFBD525" w14:textId="77777777" w:rsidTr="00A33C9A">
        <w:trPr>
          <w:trHeight w:val="70"/>
        </w:trPr>
        <w:tc>
          <w:tcPr>
            <w:tcW w:w="1530" w:type="pct"/>
            <w:tcBorders>
              <w:top w:val="nil"/>
              <w:left w:val="nil"/>
              <w:bottom w:val="nil"/>
              <w:right w:val="nil"/>
            </w:tcBorders>
            <w:vAlign w:val="center"/>
          </w:tcPr>
          <w:p w14:paraId="512D94D9" w14:textId="77777777" w:rsidR="00411D82" w:rsidRPr="00524EEA" w:rsidRDefault="00411D82" w:rsidP="008902EC">
            <w:pPr>
              <w:pStyle w:val="A-TableText"/>
              <w:rPr>
                <w:lang w:val="en-AU"/>
              </w:rPr>
            </w:pPr>
            <w:r w:rsidRPr="00524EEA">
              <w:rPr>
                <w:lang w:val="en-AU"/>
              </w:rPr>
              <w:t>Baseline (mean)</w:t>
            </w:r>
            <w:r w:rsidRPr="00524EEA">
              <w:rPr>
                <w:vertAlign w:val="superscript"/>
                <w:lang w:val="en-AU"/>
              </w:rPr>
              <w:t xml:space="preserve"> a</w:t>
            </w:r>
          </w:p>
        </w:tc>
        <w:tc>
          <w:tcPr>
            <w:tcW w:w="1105" w:type="pct"/>
            <w:tcBorders>
              <w:top w:val="nil"/>
              <w:left w:val="nil"/>
              <w:bottom w:val="nil"/>
              <w:right w:val="nil"/>
            </w:tcBorders>
            <w:vAlign w:val="center"/>
          </w:tcPr>
          <w:p w14:paraId="5CB42D16" w14:textId="77777777" w:rsidR="00411D82" w:rsidRPr="00524EEA" w:rsidRDefault="00411D82" w:rsidP="008902EC">
            <w:pPr>
              <w:pStyle w:val="A-TableText"/>
              <w:jc w:val="center"/>
              <w:rPr>
                <w:bCs/>
                <w:lang w:val="en-AU"/>
              </w:rPr>
            </w:pPr>
            <w:r w:rsidRPr="00524EEA">
              <w:rPr>
                <w:bCs/>
                <w:lang w:val="en-AU"/>
              </w:rPr>
              <w:t>130.7</w:t>
            </w:r>
          </w:p>
        </w:tc>
        <w:tc>
          <w:tcPr>
            <w:tcW w:w="1182" w:type="pct"/>
            <w:tcBorders>
              <w:top w:val="nil"/>
              <w:left w:val="nil"/>
              <w:bottom w:val="nil"/>
              <w:right w:val="nil"/>
            </w:tcBorders>
          </w:tcPr>
          <w:p w14:paraId="0732802F" w14:textId="77777777" w:rsidR="00411D82" w:rsidRPr="00524EEA" w:rsidRDefault="00411D82" w:rsidP="008902EC">
            <w:pPr>
              <w:pStyle w:val="A-TableText"/>
              <w:jc w:val="center"/>
              <w:rPr>
                <w:bCs/>
                <w:lang w:val="en-AU"/>
              </w:rPr>
            </w:pPr>
            <w:r w:rsidRPr="00524EEA">
              <w:rPr>
                <w:bCs/>
                <w:lang w:val="en-AU"/>
              </w:rPr>
              <w:t>129.5</w:t>
            </w:r>
          </w:p>
        </w:tc>
        <w:tc>
          <w:tcPr>
            <w:tcW w:w="1182" w:type="pct"/>
            <w:tcBorders>
              <w:top w:val="nil"/>
              <w:left w:val="nil"/>
              <w:bottom w:val="nil"/>
              <w:right w:val="nil"/>
            </w:tcBorders>
            <w:vAlign w:val="center"/>
          </w:tcPr>
          <w:p w14:paraId="376C40B9" w14:textId="77777777" w:rsidR="00411D82" w:rsidRPr="00524EEA" w:rsidRDefault="00411D82" w:rsidP="008902EC">
            <w:pPr>
              <w:pStyle w:val="A-TableText"/>
              <w:jc w:val="center"/>
              <w:rPr>
                <w:bCs/>
                <w:lang w:val="en-AU"/>
              </w:rPr>
            </w:pPr>
            <w:r w:rsidRPr="00524EEA">
              <w:rPr>
                <w:bCs/>
                <w:lang w:val="en-AU"/>
              </w:rPr>
              <w:t>129.3</w:t>
            </w:r>
          </w:p>
        </w:tc>
      </w:tr>
      <w:tr w:rsidR="00411D82" w:rsidRPr="00524EEA" w14:paraId="54D27891" w14:textId="77777777" w:rsidTr="00A33C9A">
        <w:trPr>
          <w:trHeight w:val="70"/>
        </w:trPr>
        <w:tc>
          <w:tcPr>
            <w:tcW w:w="1530" w:type="pct"/>
            <w:tcBorders>
              <w:top w:val="nil"/>
              <w:left w:val="nil"/>
              <w:bottom w:val="nil"/>
              <w:right w:val="nil"/>
            </w:tcBorders>
            <w:vAlign w:val="center"/>
          </w:tcPr>
          <w:p w14:paraId="2E2CC169" w14:textId="77777777" w:rsidR="00411D82" w:rsidRPr="00524EEA" w:rsidRDefault="00411D82" w:rsidP="008902EC">
            <w:pPr>
              <w:pStyle w:val="A-TableText"/>
              <w:rPr>
                <w:lang w:val="en-AU"/>
              </w:rPr>
            </w:pPr>
            <w:r w:rsidRPr="00524EEA">
              <w:rPr>
                <w:lang w:val="en-AU"/>
              </w:rPr>
              <w:t>Change from baseline</w:t>
            </w:r>
          </w:p>
        </w:tc>
        <w:tc>
          <w:tcPr>
            <w:tcW w:w="1105" w:type="pct"/>
            <w:tcBorders>
              <w:top w:val="nil"/>
              <w:left w:val="nil"/>
              <w:bottom w:val="nil"/>
              <w:right w:val="nil"/>
            </w:tcBorders>
            <w:vAlign w:val="center"/>
          </w:tcPr>
          <w:p w14:paraId="0604B23D" w14:textId="77777777" w:rsidR="00411D82" w:rsidRPr="00524EEA" w:rsidRDefault="00411D82" w:rsidP="008902EC">
            <w:pPr>
              <w:pStyle w:val="A-TableText"/>
              <w:jc w:val="center"/>
              <w:rPr>
                <w:bCs/>
                <w:lang w:val="en-AU"/>
              </w:rPr>
            </w:pPr>
            <w:r w:rsidRPr="00524EEA">
              <w:rPr>
                <w:bCs/>
                <w:lang w:val="en-AU"/>
              </w:rPr>
              <w:noBreakHyphen/>
              <w:t>4.3</w:t>
            </w:r>
          </w:p>
        </w:tc>
        <w:tc>
          <w:tcPr>
            <w:tcW w:w="1182" w:type="pct"/>
            <w:tcBorders>
              <w:top w:val="nil"/>
              <w:left w:val="nil"/>
              <w:bottom w:val="nil"/>
              <w:right w:val="nil"/>
            </w:tcBorders>
          </w:tcPr>
          <w:p w14:paraId="7D368082" w14:textId="77777777" w:rsidR="00411D82" w:rsidRPr="00524EEA" w:rsidRDefault="00411D82" w:rsidP="008902EC">
            <w:pPr>
              <w:pStyle w:val="A-TableText"/>
              <w:jc w:val="center"/>
              <w:rPr>
                <w:bCs/>
                <w:lang w:val="en-AU"/>
              </w:rPr>
            </w:pPr>
            <w:r w:rsidRPr="00524EEA">
              <w:rPr>
                <w:bCs/>
                <w:lang w:val="en-AU"/>
              </w:rPr>
              <w:noBreakHyphen/>
              <w:t>1.8</w:t>
            </w:r>
          </w:p>
        </w:tc>
        <w:tc>
          <w:tcPr>
            <w:tcW w:w="1182" w:type="pct"/>
            <w:tcBorders>
              <w:top w:val="nil"/>
              <w:left w:val="nil"/>
              <w:bottom w:val="nil"/>
              <w:right w:val="nil"/>
            </w:tcBorders>
            <w:vAlign w:val="center"/>
          </w:tcPr>
          <w:p w14:paraId="2EECFDD4" w14:textId="77777777" w:rsidR="00411D82" w:rsidRPr="00524EEA" w:rsidRDefault="00411D82" w:rsidP="008902EC">
            <w:pPr>
              <w:pStyle w:val="A-TableText"/>
              <w:jc w:val="center"/>
              <w:rPr>
                <w:bCs/>
                <w:lang w:val="en-AU"/>
              </w:rPr>
            </w:pPr>
            <w:r w:rsidRPr="00524EEA">
              <w:rPr>
                <w:bCs/>
                <w:lang w:val="en-AU"/>
              </w:rPr>
              <w:noBreakHyphen/>
              <w:t>1.2</w:t>
            </w:r>
          </w:p>
        </w:tc>
      </w:tr>
      <w:tr w:rsidR="00411D82" w:rsidRPr="00524EEA" w14:paraId="07021D20" w14:textId="77777777" w:rsidTr="003501A4">
        <w:trPr>
          <w:trHeight w:val="70"/>
        </w:trPr>
        <w:tc>
          <w:tcPr>
            <w:tcW w:w="1530" w:type="pct"/>
            <w:tcBorders>
              <w:top w:val="nil"/>
              <w:left w:val="nil"/>
              <w:bottom w:val="nil"/>
              <w:right w:val="nil"/>
            </w:tcBorders>
            <w:vAlign w:val="center"/>
          </w:tcPr>
          <w:p w14:paraId="2968489D" w14:textId="77777777" w:rsidR="00411D82" w:rsidRPr="00524EEA" w:rsidRDefault="00411D82" w:rsidP="008902EC">
            <w:pPr>
              <w:pStyle w:val="A-TableText"/>
              <w:rPr>
                <w:lang w:val="en-AU"/>
              </w:rPr>
            </w:pPr>
            <w:r w:rsidRPr="00524EEA" w:rsidDel="00C77E06">
              <w:rPr>
                <w:lang w:val="en-AU"/>
              </w:rPr>
              <w:t xml:space="preserve">Mean difference </w:t>
            </w:r>
            <w:r w:rsidRPr="00524EEA">
              <w:rPr>
                <w:lang w:val="en-AU"/>
              </w:rPr>
              <w:t xml:space="preserve">in </w:t>
            </w:r>
            <w:r w:rsidRPr="00524EEA" w:rsidDel="00C77E06">
              <w:rPr>
                <w:lang w:val="en-AU"/>
              </w:rPr>
              <w:t xml:space="preserve">change from baseline vs. </w:t>
            </w:r>
            <w:r w:rsidRPr="00524EEA" w:rsidDel="00C77E06">
              <w:rPr>
                <w:bCs/>
                <w:lang w:val="en-AU"/>
              </w:rPr>
              <w:t>FORXIGA</w:t>
            </w:r>
            <w:r w:rsidRPr="00524EEA" w:rsidDel="00C77E06">
              <w:rPr>
                <w:lang w:val="en-AU"/>
              </w:rPr>
              <w:t xml:space="preserve"> (95% CI)</w:t>
            </w:r>
          </w:p>
        </w:tc>
        <w:tc>
          <w:tcPr>
            <w:tcW w:w="1105" w:type="pct"/>
            <w:tcBorders>
              <w:top w:val="nil"/>
              <w:left w:val="nil"/>
              <w:bottom w:val="nil"/>
              <w:right w:val="nil"/>
            </w:tcBorders>
            <w:vAlign w:val="center"/>
          </w:tcPr>
          <w:p w14:paraId="20B68521" w14:textId="77777777" w:rsidR="00411D82" w:rsidRPr="00524EEA" w:rsidDel="00C77E06" w:rsidRDefault="00411D82" w:rsidP="008902EC">
            <w:pPr>
              <w:pStyle w:val="A-TableText"/>
              <w:jc w:val="center"/>
              <w:rPr>
                <w:lang w:val="en-AU"/>
              </w:rPr>
            </w:pPr>
            <w:r w:rsidRPr="00524EEA">
              <w:rPr>
                <w:lang w:val="en-AU"/>
              </w:rPr>
              <w:noBreakHyphen/>
            </w:r>
            <w:r w:rsidRPr="00524EEA" w:rsidDel="00C77E06">
              <w:rPr>
                <w:lang w:val="en-AU"/>
              </w:rPr>
              <w:t>2.4</w:t>
            </w:r>
            <w:r w:rsidRPr="00524EEA">
              <w:rPr>
                <w:vertAlign w:val="superscript"/>
                <w:lang w:val="en-AU"/>
              </w:rPr>
              <w:sym w:font="Symbol" w:char="F023"/>
            </w:r>
          </w:p>
          <w:p w14:paraId="151E1184" w14:textId="3A99238F" w:rsidR="00411D82" w:rsidRPr="00524EEA" w:rsidRDefault="00411D82" w:rsidP="008902EC">
            <w:pPr>
              <w:pStyle w:val="A-TableText"/>
              <w:jc w:val="center"/>
              <w:rPr>
                <w:bCs/>
                <w:lang w:val="en-AU"/>
              </w:rPr>
            </w:pPr>
            <w:r w:rsidRPr="00524EEA" w:rsidDel="00C77E06">
              <w:rPr>
                <w:lang w:val="en-AU"/>
              </w:rPr>
              <w:t>(</w:t>
            </w:r>
            <w:r w:rsidRPr="00524EEA">
              <w:rPr>
                <w:lang w:val="en-AU"/>
              </w:rPr>
              <w:noBreakHyphen/>
            </w:r>
            <w:r w:rsidRPr="00524EEA" w:rsidDel="00C77E06">
              <w:rPr>
                <w:lang w:val="en-AU"/>
              </w:rPr>
              <w:t xml:space="preserve">4.5 </w:t>
            </w:r>
            <w:r w:rsidRPr="00524EEA">
              <w:rPr>
                <w:lang w:val="en-AU"/>
              </w:rPr>
              <w:noBreakHyphen/>
            </w:r>
            <w:r w:rsidRPr="00524EEA" w:rsidDel="00C77E06">
              <w:rPr>
                <w:lang w:val="en-AU"/>
              </w:rPr>
              <w:t>0.</w:t>
            </w:r>
            <w:r w:rsidRPr="00524EEA">
              <w:rPr>
                <w:lang w:val="en-AU"/>
              </w:rPr>
              <w:t>4</w:t>
            </w:r>
            <w:r w:rsidRPr="00524EEA" w:rsidDel="00C77E06">
              <w:rPr>
                <w:lang w:val="en-AU"/>
              </w:rPr>
              <w:t>)</w:t>
            </w:r>
          </w:p>
        </w:tc>
        <w:tc>
          <w:tcPr>
            <w:tcW w:w="1182" w:type="pct"/>
            <w:tcBorders>
              <w:top w:val="nil"/>
              <w:left w:val="nil"/>
              <w:bottom w:val="nil"/>
              <w:right w:val="nil"/>
            </w:tcBorders>
          </w:tcPr>
          <w:p w14:paraId="3D92B637" w14:textId="77777777" w:rsidR="00411D82" w:rsidRPr="00524EEA" w:rsidRDefault="00411D82" w:rsidP="008902EC">
            <w:pPr>
              <w:pStyle w:val="A-TableText"/>
              <w:jc w:val="center"/>
              <w:rPr>
                <w:bCs/>
                <w:lang w:val="en-AU"/>
              </w:rPr>
            </w:pPr>
          </w:p>
        </w:tc>
        <w:tc>
          <w:tcPr>
            <w:tcW w:w="1182" w:type="pct"/>
            <w:tcBorders>
              <w:top w:val="nil"/>
              <w:left w:val="nil"/>
              <w:bottom w:val="nil"/>
              <w:right w:val="nil"/>
            </w:tcBorders>
            <w:vAlign w:val="center"/>
          </w:tcPr>
          <w:p w14:paraId="40653DD6" w14:textId="77777777" w:rsidR="00411D82" w:rsidRPr="00524EEA" w:rsidRDefault="00411D82" w:rsidP="008902EC">
            <w:pPr>
              <w:pStyle w:val="A-TableText"/>
              <w:jc w:val="center"/>
              <w:rPr>
                <w:bCs/>
                <w:lang w:val="en-AU"/>
              </w:rPr>
            </w:pPr>
          </w:p>
        </w:tc>
      </w:tr>
      <w:tr w:rsidR="00411D82" w:rsidRPr="00524EEA" w14:paraId="4BB2FCAF" w14:textId="77777777" w:rsidTr="003501A4">
        <w:trPr>
          <w:trHeight w:val="70"/>
        </w:trPr>
        <w:tc>
          <w:tcPr>
            <w:tcW w:w="1530" w:type="pct"/>
            <w:tcBorders>
              <w:top w:val="nil"/>
              <w:left w:val="nil"/>
              <w:bottom w:val="single" w:sz="8" w:space="0" w:color="auto"/>
              <w:right w:val="nil"/>
            </w:tcBorders>
            <w:vAlign w:val="center"/>
          </w:tcPr>
          <w:p w14:paraId="77241B0E" w14:textId="77777777" w:rsidR="00411D82" w:rsidRPr="00524EEA" w:rsidRDefault="00411D82" w:rsidP="008902EC">
            <w:pPr>
              <w:pStyle w:val="A-TableText"/>
              <w:rPr>
                <w:lang w:val="en-AU"/>
              </w:rPr>
            </w:pPr>
            <w:r w:rsidRPr="00524EEA">
              <w:rPr>
                <w:lang w:val="en-AU"/>
              </w:rPr>
              <w:t xml:space="preserve">Mean difference in change from baseline vs. Extended release </w:t>
            </w:r>
            <w:proofErr w:type="spellStart"/>
            <w:r w:rsidRPr="00524EEA">
              <w:rPr>
                <w:lang w:val="en-AU"/>
              </w:rPr>
              <w:t>e</w:t>
            </w:r>
            <w:r w:rsidRPr="00524EEA">
              <w:rPr>
                <w:bCs/>
                <w:lang w:val="en-AU"/>
              </w:rPr>
              <w:t>xenatide</w:t>
            </w:r>
            <w:proofErr w:type="spellEnd"/>
            <w:r w:rsidRPr="00524EEA">
              <w:rPr>
                <w:bCs/>
                <w:lang w:val="en-AU"/>
              </w:rPr>
              <w:t xml:space="preserve"> </w:t>
            </w:r>
            <w:r w:rsidRPr="00524EEA">
              <w:rPr>
                <w:lang w:val="en-AU"/>
              </w:rPr>
              <w:t>(95% CI)</w:t>
            </w:r>
          </w:p>
        </w:tc>
        <w:tc>
          <w:tcPr>
            <w:tcW w:w="1105" w:type="pct"/>
            <w:tcBorders>
              <w:top w:val="nil"/>
              <w:left w:val="nil"/>
              <w:bottom w:val="single" w:sz="8" w:space="0" w:color="auto"/>
              <w:right w:val="nil"/>
            </w:tcBorders>
            <w:vAlign w:val="center"/>
          </w:tcPr>
          <w:p w14:paraId="3F2EDE66" w14:textId="77777777" w:rsidR="00411D82" w:rsidRPr="00524EEA" w:rsidRDefault="00411D82" w:rsidP="008902EC">
            <w:pPr>
              <w:pStyle w:val="A-TableText"/>
              <w:jc w:val="center"/>
              <w:rPr>
                <w:lang w:val="en-AU"/>
              </w:rPr>
            </w:pPr>
            <w:r w:rsidRPr="00524EEA">
              <w:rPr>
                <w:lang w:val="en-AU"/>
              </w:rPr>
              <w:noBreakHyphen/>
              <w:t>3.0**</w:t>
            </w:r>
          </w:p>
          <w:p w14:paraId="0416C1B4" w14:textId="527038D6" w:rsidR="00411D82" w:rsidRPr="00524EEA" w:rsidRDefault="00411D82" w:rsidP="008902EC">
            <w:pPr>
              <w:pStyle w:val="A-TableText"/>
              <w:jc w:val="center"/>
              <w:rPr>
                <w:bCs/>
                <w:lang w:val="en-AU"/>
              </w:rPr>
            </w:pPr>
            <w:r w:rsidRPr="00524EEA">
              <w:rPr>
                <w:lang w:val="en-AU"/>
              </w:rPr>
              <w:t>(</w:t>
            </w:r>
            <w:r w:rsidRPr="00524EEA">
              <w:rPr>
                <w:lang w:val="en-AU"/>
              </w:rPr>
              <w:noBreakHyphen/>
              <w:t>5.2</w:t>
            </w:r>
            <w:r w:rsidRPr="00524EEA">
              <w:rPr>
                <w:lang w:val="en-AU"/>
              </w:rPr>
              <w:noBreakHyphen/>
              <w:t>0.9)</w:t>
            </w:r>
          </w:p>
        </w:tc>
        <w:tc>
          <w:tcPr>
            <w:tcW w:w="1182" w:type="pct"/>
            <w:tcBorders>
              <w:top w:val="nil"/>
              <w:left w:val="nil"/>
              <w:bottom w:val="single" w:sz="8" w:space="0" w:color="auto"/>
              <w:right w:val="nil"/>
            </w:tcBorders>
          </w:tcPr>
          <w:p w14:paraId="7811D747" w14:textId="77777777" w:rsidR="00411D82" w:rsidRPr="00524EEA" w:rsidRDefault="00411D82" w:rsidP="008902EC">
            <w:pPr>
              <w:pStyle w:val="A-TableText"/>
              <w:jc w:val="center"/>
              <w:rPr>
                <w:bCs/>
                <w:lang w:val="en-AU"/>
              </w:rPr>
            </w:pPr>
          </w:p>
        </w:tc>
        <w:tc>
          <w:tcPr>
            <w:tcW w:w="1182" w:type="pct"/>
            <w:tcBorders>
              <w:top w:val="nil"/>
              <w:left w:val="nil"/>
              <w:bottom w:val="single" w:sz="8" w:space="0" w:color="auto"/>
              <w:right w:val="nil"/>
            </w:tcBorders>
            <w:vAlign w:val="center"/>
          </w:tcPr>
          <w:p w14:paraId="5F7CA42B" w14:textId="77777777" w:rsidR="00411D82" w:rsidRPr="00524EEA" w:rsidRDefault="00411D82" w:rsidP="008902EC">
            <w:pPr>
              <w:pStyle w:val="A-TableText"/>
              <w:jc w:val="center"/>
              <w:rPr>
                <w:bCs/>
                <w:lang w:val="en-AU"/>
              </w:rPr>
            </w:pPr>
          </w:p>
        </w:tc>
      </w:tr>
    </w:tbl>
    <w:p w14:paraId="2C94911A" w14:textId="77777777" w:rsidR="00411D82" w:rsidRPr="00524EEA" w:rsidRDefault="00411D82" w:rsidP="00AD096A">
      <w:pPr>
        <w:pStyle w:val="A-TableFootnoteText"/>
        <w:jc w:val="left"/>
      </w:pPr>
      <w:r w:rsidRPr="00524EEA">
        <w:t>QD=once daily, QW=once weekly, N=number of patients in treatment group, CI=confidence interval, FPG= fasting plasma glucose, PPG=postprandial plasma glucose</w:t>
      </w:r>
    </w:p>
    <w:p w14:paraId="5A8F6FE1" w14:textId="1147EFA2" w:rsidR="00411D82" w:rsidRPr="00524EEA" w:rsidRDefault="00411D82" w:rsidP="00AD096A">
      <w:pPr>
        <w:pStyle w:val="A-TableFootnoteText"/>
        <w:jc w:val="left"/>
      </w:pPr>
      <w:proofErr w:type="spellStart"/>
      <w:r w:rsidRPr="00524EEA">
        <w:rPr>
          <w:vertAlign w:val="superscript"/>
        </w:rPr>
        <w:t>a</w:t>
      </w:r>
      <w:proofErr w:type="spellEnd"/>
      <w:r w:rsidRPr="00524EEA">
        <w:t xml:space="preserve"> Adjusted least squares means (LS Means) and treatment group difference(s) in the change from baseline values at Week 28 are </w:t>
      </w:r>
      <w:r w:rsidR="00D57799" w:rsidRPr="00524EEA">
        <w:t>modelled</w:t>
      </w:r>
      <w:r w:rsidRPr="00524EEA">
        <w:t xml:space="preserve"> using a mixed model with repeated measures (MMRM) including treatment, region, baseline HbA1c stratum (&lt;9.0% or ≥9.0%), week, and treatment by week interaction as fixed factors, and baseline value as a covariate.</w:t>
      </w:r>
    </w:p>
    <w:p w14:paraId="380D51F1" w14:textId="72C9CFF6" w:rsidR="00411D82" w:rsidRPr="00524EEA" w:rsidRDefault="00411D82" w:rsidP="00AD096A">
      <w:pPr>
        <w:pStyle w:val="A-TableFootnoteText"/>
        <w:jc w:val="left"/>
      </w:pPr>
      <w:r w:rsidRPr="00524EEA">
        <w:rPr>
          <w:vertAlign w:val="superscript"/>
        </w:rPr>
        <w:t>b</w:t>
      </w:r>
      <w:r w:rsidRPr="00524EEA">
        <w:t xml:space="preserve"> Categories are derived from continuous measurements. All patients with missing endpoint data are imputed as non-responders. Treatment comparison is based on Cochran-Mantel-</w:t>
      </w:r>
      <w:proofErr w:type="spellStart"/>
      <w:r w:rsidRPr="00524EEA">
        <w:t>Haenszel</w:t>
      </w:r>
      <w:proofErr w:type="spellEnd"/>
      <w:r w:rsidRPr="00524EEA">
        <w:t xml:space="preserve"> (CMH) test stratified by baseline HbA1c (&lt;9.0% or ≥9.0%). P-values are from the </w:t>
      </w:r>
      <w:r w:rsidR="00B73004" w:rsidRPr="00524EEA">
        <w:t>general association statistics.</w:t>
      </w:r>
    </w:p>
    <w:p w14:paraId="720D6AC2" w14:textId="77777777" w:rsidR="00411D82" w:rsidRPr="00524EEA" w:rsidRDefault="00411D82" w:rsidP="00AD096A">
      <w:pPr>
        <w:pStyle w:val="A-TableFootnoteText"/>
        <w:jc w:val="left"/>
      </w:pPr>
      <w:r w:rsidRPr="00524EEA">
        <w:rPr>
          <w:vertAlign w:val="superscript"/>
        </w:rPr>
        <w:t>c</w:t>
      </w:r>
      <w:r w:rsidRPr="00524EEA">
        <w:t xml:space="preserve"> Patients who received at least 1 dose of study medication and had at least 1 post-baseline HbA1c assessment.</w:t>
      </w:r>
    </w:p>
    <w:p w14:paraId="07C57703" w14:textId="2D5426E9" w:rsidR="00411D82" w:rsidRPr="00524EEA" w:rsidRDefault="00411D82" w:rsidP="00AD096A">
      <w:pPr>
        <w:pStyle w:val="A-TableFootnoteText"/>
        <w:jc w:val="left"/>
      </w:pPr>
      <w:r w:rsidRPr="00524EEA">
        <w:t>*</w:t>
      </w:r>
      <w:r w:rsidR="00C82A1D" w:rsidRPr="00524EEA">
        <w:t xml:space="preserve"> </w:t>
      </w:r>
      <w:r w:rsidRPr="00524EEA">
        <w:t xml:space="preserve">p &lt; 0.001, **p &lt; 0.01, </w:t>
      </w:r>
      <w:r w:rsidRPr="00524EEA">
        <w:rPr>
          <w:vertAlign w:val="superscript"/>
        </w:rPr>
        <w:sym w:font="Symbol" w:char="F023"/>
      </w:r>
      <w:r w:rsidRPr="00524EEA">
        <w:t xml:space="preserve">p &lt; 0.05. </w:t>
      </w:r>
    </w:p>
    <w:p w14:paraId="3D735C2C" w14:textId="77777777" w:rsidR="00411D82" w:rsidRPr="00524EEA" w:rsidRDefault="00411D82" w:rsidP="00AD096A">
      <w:pPr>
        <w:pStyle w:val="A-TableFootnoteText"/>
        <w:jc w:val="left"/>
      </w:pPr>
      <w:r w:rsidRPr="00524EEA">
        <w:t>P</w:t>
      </w:r>
      <w:r w:rsidRPr="00524EEA">
        <w:noBreakHyphen/>
        <w:t>values are all adjusted p</w:t>
      </w:r>
      <w:r w:rsidRPr="00524EEA">
        <w:noBreakHyphen/>
        <w:t>values for multiplicity.</w:t>
      </w:r>
    </w:p>
    <w:p w14:paraId="0DA3D2AA" w14:textId="77777777" w:rsidR="00411D82" w:rsidRPr="00524EEA" w:rsidRDefault="00411D82" w:rsidP="00AD096A">
      <w:pPr>
        <w:pStyle w:val="A-TableFootnoteText"/>
        <w:jc w:val="left"/>
      </w:pPr>
      <w:r w:rsidRPr="00524EEA">
        <w:t>Analyses exclude measurements post rescue therapy and post premature discontinuation of study medication discontinuation, except for systolic blood pressure analysis, which includes measurements post rescue therapy but excludes data post premature discontinuation of study medication discontinuation.</w:t>
      </w:r>
    </w:p>
    <w:p w14:paraId="6265695F" w14:textId="77777777" w:rsidR="008B581C" w:rsidRPr="00524EEA" w:rsidRDefault="008B581C" w:rsidP="00AF7D0B">
      <w:pPr>
        <w:pStyle w:val="NOrmalBold"/>
        <w:spacing w:after="0" w:line="240" w:lineRule="auto"/>
      </w:pPr>
    </w:p>
    <w:p w14:paraId="100CA248" w14:textId="7735B4C9" w:rsidR="003E6F2D" w:rsidRPr="00524EEA" w:rsidRDefault="003E6F2D" w:rsidP="00E827FA">
      <w:pPr>
        <w:pStyle w:val="NOrmalBold"/>
      </w:pPr>
      <w:r w:rsidRPr="00524EEA">
        <w:t>Fasting plasma glucose</w:t>
      </w:r>
    </w:p>
    <w:p w14:paraId="4FBA6412" w14:textId="0CCB5F1B" w:rsidR="003E6F2D" w:rsidRPr="00524EEA" w:rsidRDefault="003E6F2D" w:rsidP="003E6F2D">
      <w:r w:rsidRPr="00524EEA">
        <w:t>Treatment with FORXIGA 10 mg as a monotherapy or as an add</w:t>
      </w:r>
      <w:r w:rsidRPr="00524EEA">
        <w:noBreakHyphen/>
        <w:t xml:space="preserve">on to either metformin, glimepiride, metformin and a sulfonylurea, </w:t>
      </w:r>
      <w:proofErr w:type="spellStart"/>
      <w:r w:rsidRPr="00524EEA">
        <w:t>sitagliptin</w:t>
      </w:r>
      <w:proofErr w:type="spellEnd"/>
      <w:r w:rsidRPr="00524EEA">
        <w:t xml:space="preserve"> (with or without metformin) or insulin resulted in statistically significant reductions in fasting plasma glucose</w:t>
      </w:r>
      <w:r w:rsidR="00F85751" w:rsidRPr="00524EEA">
        <w:t xml:space="preserve"> </w:t>
      </w:r>
      <w:r w:rsidRPr="00524EEA">
        <w:t>(</w:t>
      </w:r>
      <w:r w:rsidRPr="00524EEA">
        <w:noBreakHyphen/>
        <w:t>1.90 to </w:t>
      </w:r>
      <w:r w:rsidRPr="00524EEA">
        <w:noBreakHyphen/>
        <w:t>1.20 </w:t>
      </w:r>
      <w:proofErr w:type="spellStart"/>
      <w:r w:rsidRPr="00524EEA">
        <w:t>mmol</w:t>
      </w:r>
      <w:proofErr w:type="spellEnd"/>
      <w:r w:rsidRPr="00524EEA">
        <w:t>/L) compared to placebo (</w:t>
      </w:r>
      <w:r w:rsidRPr="00524EEA">
        <w:noBreakHyphen/>
        <w:t>0.33 to 0.21 </w:t>
      </w:r>
      <w:proofErr w:type="spellStart"/>
      <w:r w:rsidRPr="00524EEA">
        <w:t>mmol</w:t>
      </w:r>
      <w:proofErr w:type="spellEnd"/>
      <w:r w:rsidRPr="00524EEA">
        <w:t xml:space="preserve">/L) at 24 weeks.  This effect was observed at Week 1 of treatment and maintained in studies extended through Week 104.  </w:t>
      </w:r>
    </w:p>
    <w:p w14:paraId="46063540" w14:textId="77777777" w:rsidR="008B581C" w:rsidRPr="00524EEA" w:rsidRDefault="008B581C">
      <w:pPr>
        <w:rPr>
          <w:b/>
        </w:rPr>
      </w:pPr>
      <w:r w:rsidRPr="00524EEA">
        <w:br w:type="page"/>
      </w:r>
    </w:p>
    <w:p w14:paraId="3C9DDE0E" w14:textId="6B44B5FA" w:rsidR="003E6F2D" w:rsidRPr="00524EEA" w:rsidRDefault="003E6F2D" w:rsidP="00E827FA">
      <w:pPr>
        <w:pStyle w:val="NOrmalBold"/>
      </w:pPr>
      <w:r w:rsidRPr="00524EEA">
        <w:t>Post</w:t>
      </w:r>
      <w:r w:rsidRPr="00524EEA">
        <w:noBreakHyphen/>
        <w:t>prandial glucose</w:t>
      </w:r>
    </w:p>
    <w:p w14:paraId="0F5C9EEC" w14:textId="77777777" w:rsidR="003E6F2D" w:rsidRPr="00524EEA" w:rsidRDefault="003E6F2D" w:rsidP="003E6F2D">
      <w:r w:rsidRPr="00524EEA">
        <w:t>Treatment with FORXIGA 10 mg as an add</w:t>
      </w:r>
      <w:r w:rsidRPr="00524EEA">
        <w:noBreakHyphen/>
        <w:t>on to glimepiride resulted in statistically significant reductions in 2</w:t>
      </w:r>
      <w:r w:rsidRPr="00524EEA">
        <w:noBreakHyphen/>
        <w:t>hour post</w:t>
      </w:r>
      <w:r w:rsidRPr="00524EEA">
        <w:noBreakHyphen/>
        <w:t>prandial glucose at 24 weeks that were maintained up to Week 48.</w:t>
      </w:r>
    </w:p>
    <w:p w14:paraId="6F49836C" w14:textId="77777777" w:rsidR="003E6F2D" w:rsidRPr="00524EEA" w:rsidRDefault="003E6F2D" w:rsidP="003E6F2D">
      <w:r w:rsidRPr="00524EEA">
        <w:t>Treatment with FORXIGA 10 mg as an add</w:t>
      </w:r>
      <w:r w:rsidRPr="00524EEA">
        <w:noBreakHyphen/>
        <w:t xml:space="preserve">on to </w:t>
      </w:r>
      <w:proofErr w:type="spellStart"/>
      <w:r w:rsidRPr="00524EEA">
        <w:t>sitagliptin</w:t>
      </w:r>
      <w:proofErr w:type="spellEnd"/>
      <w:r w:rsidRPr="00524EEA">
        <w:t xml:space="preserve"> (with or without metformin) resulted in reductions in 2</w:t>
      </w:r>
      <w:r w:rsidRPr="00524EEA">
        <w:noBreakHyphen/>
        <w:t>hour post</w:t>
      </w:r>
      <w:r w:rsidRPr="00524EEA">
        <w:noBreakHyphen/>
        <w:t>prandial glucose at 24 weeks that were maintained up to Week 48.</w:t>
      </w:r>
    </w:p>
    <w:p w14:paraId="7243AF35" w14:textId="77777777" w:rsidR="003E6F2D" w:rsidRPr="00524EEA" w:rsidRDefault="003E6F2D" w:rsidP="00E827FA">
      <w:pPr>
        <w:pStyle w:val="NOrmalBold"/>
      </w:pPr>
      <w:r w:rsidRPr="00524EEA">
        <w:t>Body weight</w:t>
      </w:r>
    </w:p>
    <w:p w14:paraId="29A57087" w14:textId="472F72E7" w:rsidR="003E6F2D" w:rsidRPr="00524EEA" w:rsidRDefault="003E6F2D" w:rsidP="003E6F2D">
      <w:r w:rsidRPr="00524EEA">
        <w:t>FORXIGA 10 mg as an add</w:t>
      </w:r>
      <w:r w:rsidRPr="00524EEA">
        <w:noBreakHyphen/>
        <w:t xml:space="preserve">on to metformin, glimepiride, metformin and a sulfonylurea,  </w:t>
      </w:r>
      <w:proofErr w:type="spellStart"/>
      <w:r w:rsidRPr="00524EEA">
        <w:t>sitagliptin</w:t>
      </w:r>
      <w:proofErr w:type="spellEnd"/>
      <w:r w:rsidRPr="00524EEA">
        <w:t xml:space="preserve"> (with or without metformin) or insulin resulted in statistically significant body weight reduction at 24 weeks (p &lt;0.0001, Tables </w:t>
      </w:r>
      <w:r w:rsidR="00E30DAB" w:rsidRPr="00524EEA">
        <w:t>5</w:t>
      </w:r>
      <w:r w:rsidRPr="00524EEA">
        <w:t xml:space="preserve">, </w:t>
      </w:r>
      <w:r w:rsidR="00E30DAB" w:rsidRPr="00524EEA">
        <w:t>6</w:t>
      </w:r>
      <w:r w:rsidRPr="00524EEA">
        <w:t xml:space="preserve"> and </w:t>
      </w:r>
      <w:r w:rsidR="00E30DAB" w:rsidRPr="00524EEA">
        <w:t>7</w:t>
      </w:r>
      <w:r w:rsidRPr="00524EEA">
        <w:t>) with placebo-corrected reductions of 1.97 kg (2.43%), 1.54 kg (2.07%), 2.07 kg (2.25%), 1.89 kg (2.18%) and 1.68 kg (1.83%), respectively . These effects were sustained in longer</w:t>
      </w:r>
      <w:r w:rsidRPr="00524EEA">
        <w:noBreakHyphen/>
        <w:t>term trials (see Fig 6 for add-on to insulin). At 48 weeks, the difference for FORXIGA as add</w:t>
      </w:r>
      <w:r w:rsidRPr="00524EEA">
        <w:noBreakHyphen/>
        <w:t xml:space="preserve">on to </w:t>
      </w:r>
      <w:proofErr w:type="spellStart"/>
      <w:r w:rsidRPr="00524EEA">
        <w:t>sitagliptin</w:t>
      </w:r>
      <w:proofErr w:type="spellEnd"/>
      <w:r w:rsidRPr="00524EEA">
        <w:t xml:space="preserve"> (with or without metformin) compared with placebo was </w:t>
      </w:r>
      <w:r w:rsidRPr="00524EEA">
        <w:noBreakHyphen/>
        <w:t>2.22 kg.  At 102 weeks, the difference for FORXIGA as add</w:t>
      </w:r>
      <w:r w:rsidRPr="00524EEA">
        <w:noBreakHyphen/>
        <w:t>on to metformin compared with placebo, or as add</w:t>
      </w:r>
      <w:r w:rsidRPr="00524EEA">
        <w:noBreakHyphen/>
        <w:t xml:space="preserve">on to insulin (at 104 weeks) compared with placebo was </w:t>
      </w:r>
      <w:r w:rsidRPr="00524EEA">
        <w:noBreakHyphen/>
        <w:t xml:space="preserve">2.14 and </w:t>
      </w:r>
      <w:r w:rsidRPr="00524EEA">
        <w:noBreakHyphen/>
        <w:t>2.88 kg, respectively.</w:t>
      </w:r>
    </w:p>
    <w:p w14:paraId="4ADAB0A7" w14:textId="1A2BE8F6" w:rsidR="003E6F2D" w:rsidRPr="00524EEA" w:rsidRDefault="003E6F2D" w:rsidP="003E6F2D">
      <w:r w:rsidRPr="00524EEA">
        <w:t>As an add</w:t>
      </w:r>
      <w:r w:rsidRPr="00524EEA">
        <w:noBreakHyphen/>
        <w:t>on therapy to metformin in an active</w:t>
      </w:r>
      <w:r w:rsidRPr="00524EEA">
        <w:noBreakHyphen/>
        <w:t>controlled non</w:t>
      </w:r>
      <w:r w:rsidRPr="00524EEA">
        <w:noBreakHyphen/>
        <w:t xml:space="preserve">inferiority study, FORXIGA resulted in a statistically significant body weight reduction compared with glipizide of </w:t>
      </w:r>
      <w:r w:rsidRPr="00524EEA">
        <w:noBreakHyphen/>
        <w:t xml:space="preserve">4.65 kg at 52 weeks (p &lt;0.0001, </w:t>
      </w:r>
      <w:r w:rsidR="00715483" w:rsidRPr="00524EEA">
        <w:t>Table 4</w:t>
      </w:r>
      <w:r w:rsidRPr="00524EEA">
        <w:t>) that was sustained at 104 and 208 weeks (</w:t>
      </w:r>
      <w:r w:rsidRPr="00524EEA">
        <w:noBreakHyphen/>
        <w:t>5.06 kg and 4.38 kg respectively) (see Fig 7).</w:t>
      </w:r>
    </w:p>
    <w:p w14:paraId="42B7C6B1" w14:textId="5DA18F36" w:rsidR="003E6F2D" w:rsidRPr="00524EEA" w:rsidRDefault="003E6F2D" w:rsidP="003E6F2D">
      <w:r w:rsidRPr="00524EEA">
        <w:t xml:space="preserve">The adjusted mean change from baseline in body weight at Week-24 when FORXIGA 10 mg and </w:t>
      </w:r>
      <w:proofErr w:type="spellStart"/>
      <w:r w:rsidRPr="00524EEA">
        <w:t>saxagliptin</w:t>
      </w:r>
      <w:proofErr w:type="spellEnd"/>
      <w:r w:rsidRPr="00524EEA">
        <w:t xml:space="preserve"> were added concomitantly to metformin was </w:t>
      </w:r>
      <w:r w:rsidRPr="00524EEA">
        <w:noBreakHyphen/>
        <w:t xml:space="preserve">2.05 kg (-2.27%) in the </w:t>
      </w:r>
      <w:proofErr w:type="spellStart"/>
      <w:r w:rsidRPr="00524EEA">
        <w:t>saxagliptin</w:t>
      </w:r>
      <w:proofErr w:type="spellEnd"/>
      <w:r w:rsidRPr="00524EEA">
        <w:t xml:space="preserve">  plus </w:t>
      </w:r>
      <w:proofErr w:type="spellStart"/>
      <w:r w:rsidRPr="00524EEA">
        <w:t>dapagliflozin</w:t>
      </w:r>
      <w:proofErr w:type="spellEnd"/>
      <w:r w:rsidRPr="00524EEA">
        <w:t xml:space="preserve"> plus metformin group and −2.39 kg (-2.67%) in the </w:t>
      </w:r>
      <w:proofErr w:type="spellStart"/>
      <w:r w:rsidRPr="00524EEA">
        <w:t>dapagliflozin</w:t>
      </w:r>
      <w:proofErr w:type="spellEnd"/>
      <w:r w:rsidRPr="00524EEA">
        <w:t xml:space="preserve"> plus metformin group, while the </w:t>
      </w:r>
      <w:proofErr w:type="spellStart"/>
      <w:r w:rsidRPr="00524EEA">
        <w:t>saxagliptin</w:t>
      </w:r>
      <w:proofErr w:type="spellEnd"/>
      <w:r w:rsidRPr="00524EEA">
        <w:t xml:space="preserve"> plus metformin group had no change (0.00) (See also </w:t>
      </w:r>
      <w:r w:rsidR="00715483" w:rsidRPr="00524EEA">
        <w:t>Table 8</w:t>
      </w:r>
      <w:r w:rsidRPr="00524EEA">
        <w:t xml:space="preserve">).  At Week 24 in the FORXIGA 10 mg as add-on to </w:t>
      </w:r>
      <w:proofErr w:type="spellStart"/>
      <w:r w:rsidRPr="00524EEA">
        <w:t>saxagliptin</w:t>
      </w:r>
      <w:proofErr w:type="spellEnd"/>
      <w:r w:rsidRPr="00524EEA">
        <w:t xml:space="preserve"> with metformin study, change from baseline in body weight was -1.91 kg </w:t>
      </w:r>
      <w:r w:rsidR="00390D7B" w:rsidRPr="00524EEA">
        <w:br/>
      </w:r>
      <w:r w:rsidRPr="00524EEA">
        <w:t xml:space="preserve">(-2.23%) in the FORXIGA 10 mg plus </w:t>
      </w:r>
      <w:proofErr w:type="spellStart"/>
      <w:r w:rsidRPr="00524EEA">
        <w:t>saxagliptin</w:t>
      </w:r>
      <w:proofErr w:type="spellEnd"/>
      <w:r w:rsidRPr="00524EEA">
        <w:t xml:space="preserve"> plus metformin group (see </w:t>
      </w:r>
      <w:r w:rsidR="00715483" w:rsidRPr="00524EEA">
        <w:t>Table 5</w:t>
      </w:r>
      <w:r w:rsidRPr="00524EEA">
        <w:t>).</w:t>
      </w:r>
    </w:p>
    <w:p w14:paraId="1F4E4DD8" w14:textId="77777777" w:rsidR="003E6F2D" w:rsidRPr="00524EEA" w:rsidRDefault="003E6F2D" w:rsidP="003E6F2D"/>
    <w:p w14:paraId="1A0D0D45" w14:textId="7797B59D" w:rsidR="003E6F2D" w:rsidRPr="00524EEA" w:rsidRDefault="00290D42" w:rsidP="00290D42">
      <w:pPr>
        <w:pStyle w:val="A-FigureTitle"/>
        <w:rPr>
          <w:lang w:val="en-AU"/>
        </w:rPr>
      </w:pPr>
      <w:r w:rsidRPr="00524EEA">
        <w:rPr>
          <w:lang w:val="en-AU"/>
        </w:rPr>
        <w:t>Figure 6.</w:t>
      </w:r>
      <w:r w:rsidR="003E6F2D" w:rsidRPr="00524EEA">
        <w:rPr>
          <w:lang w:val="en-AU"/>
        </w:rPr>
        <w:tab/>
        <w:t>Total Body Weight (kg) Adjusted Mean Change from Baseline Over Time in a Placebo-controlled Study of FORXIGA in Combination with Insulin with or without up to 2 Oral Anti-diabetic Therapies Short-term and Long-term Treatment Period Including Data After Insulin Up-titration</w:t>
      </w:r>
    </w:p>
    <w:p w14:paraId="01C2D395" w14:textId="6814FD28" w:rsidR="003E6F2D" w:rsidRPr="00524EEA" w:rsidRDefault="003E6F2D" w:rsidP="003E6F2D">
      <w:r w:rsidRPr="00524EEA">
        <w:rPr>
          <w:noProof/>
          <w:lang w:eastAsia="en-AU"/>
        </w:rPr>
        <w:drawing>
          <wp:inline distT="0" distB="0" distL="0" distR="0" wp14:anchorId="3483DBA3" wp14:editId="67ACB7D3">
            <wp:extent cx="5860415" cy="4429125"/>
            <wp:effectExtent l="0" t="0" r="698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l="7552" b="22021"/>
                    <a:stretch>
                      <a:fillRect/>
                    </a:stretch>
                  </pic:blipFill>
                  <pic:spPr bwMode="auto">
                    <a:xfrm>
                      <a:off x="0" y="0"/>
                      <a:ext cx="5860415" cy="4429125"/>
                    </a:xfrm>
                    <a:prstGeom prst="rect">
                      <a:avLst/>
                    </a:prstGeom>
                    <a:noFill/>
                    <a:ln>
                      <a:noFill/>
                    </a:ln>
                  </pic:spPr>
                </pic:pic>
              </a:graphicData>
            </a:graphic>
          </wp:inline>
        </w:drawing>
      </w:r>
    </w:p>
    <w:p w14:paraId="2A3BA17E" w14:textId="738CD8AF" w:rsidR="003E6F2D" w:rsidRPr="00524EEA" w:rsidRDefault="00F57017" w:rsidP="001C4EEF">
      <w:pPr>
        <w:pStyle w:val="A-TableFootnoteText"/>
      </w:pPr>
      <w:r w:rsidRPr="00524EEA">
        <w:tab/>
      </w:r>
      <w:r w:rsidR="003E6F2D" w:rsidRPr="00524EEA">
        <w:t>Error bars represent 95% confidence intervals for the adjusted mean change from baseline</w:t>
      </w:r>
    </w:p>
    <w:tbl>
      <w:tblPr>
        <w:tblW w:w="9981" w:type="dxa"/>
        <w:jc w:val="center"/>
        <w:tblLook w:val="01E0" w:firstRow="1" w:lastRow="1" w:firstColumn="1" w:lastColumn="1" w:noHBand="0" w:noVBand="0"/>
      </w:tblPr>
      <w:tblGrid>
        <w:gridCol w:w="9981"/>
      </w:tblGrid>
      <w:tr w:rsidR="003E6F2D" w:rsidRPr="00524EEA" w14:paraId="791BC7B5" w14:textId="77777777" w:rsidTr="003E6F2D">
        <w:trPr>
          <w:jc w:val="center"/>
        </w:trPr>
        <w:tc>
          <w:tcPr>
            <w:tcW w:w="9981" w:type="dxa"/>
          </w:tcPr>
          <w:p w14:paraId="4CAF389D" w14:textId="608B2814" w:rsidR="003E6F2D" w:rsidRPr="00524EEA" w:rsidRDefault="00715483" w:rsidP="00290D42">
            <w:pPr>
              <w:pStyle w:val="A-FigureTitle"/>
              <w:rPr>
                <w:lang w:val="en-AU"/>
              </w:rPr>
            </w:pPr>
            <w:r w:rsidRPr="00524EEA">
              <w:rPr>
                <w:lang w:val="en-AU"/>
              </w:rPr>
              <w:t>Figure 7.</w:t>
            </w:r>
            <w:r w:rsidR="003E6F2D" w:rsidRPr="00524EEA">
              <w:rPr>
                <w:lang w:val="en-AU"/>
              </w:rPr>
              <w:tab/>
              <w:t>Adjusted Mean Change from Baseline Over Time in Body Weight (kg) in a 208-Week Active-Controlled Study Comparing FORXIGA to Glipizide as Add-on to Metformin (Longitudinal Repeated Measures Analysis, Excluding Data after Rescue)</w:t>
            </w:r>
          </w:p>
        </w:tc>
      </w:tr>
      <w:tr w:rsidR="003E6F2D" w:rsidRPr="00524EEA" w14:paraId="7DABFB19" w14:textId="77777777" w:rsidTr="003E6F2D">
        <w:trPr>
          <w:jc w:val="center"/>
        </w:trPr>
        <w:tc>
          <w:tcPr>
            <w:tcW w:w="9981" w:type="dxa"/>
          </w:tcPr>
          <w:p w14:paraId="39C96171" w14:textId="6684ADB2" w:rsidR="008F5CC8" w:rsidRPr="00524EEA" w:rsidRDefault="003E6F2D">
            <w:r w:rsidRPr="00524EEA">
              <w:rPr>
                <w:noProof/>
                <w:lang w:eastAsia="en-AU"/>
              </w:rPr>
              <w:drawing>
                <wp:inline distT="0" distB="0" distL="0" distR="0" wp14:anchorId="418DBAEE" wp14:editId="147887F4">
                  <wp:extent cx="5828030" cy="5597525"/>
                  <wp:effectExtent l="0" t="0" r="1270" b="3175"/>
                  <wp:docPr id="3" name="Picture 3"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8030" cy="5597525"/>
                          </a:xfrm>
                          <a:prstGeom prst="rect">
                            <a:avLst/>
                          </a:prstGeom>
                          <a:noFill/>
                          <a:ln>
                            <a:noFill/>
                          </a:ln>
                        </pic:spPr>
                      </pic:pic>
                    </a:graphicData>
                  </a:graphic>
                </wp:inline>
              </w:drawing>
            </w:r>
          </w:p>
        </w:tc>
      </w:tr>
    </w:tbl>
    <w:p w14:paraId="153A3D0E" w14:textId="26101AA8" w:rsidR="00933A75" w:rsidRPr="00524EEA" w:rsidRDefault="00933A75" w:rsidP="00C07BC4">
      <w:pPr>
        <w:pStyle w:val="Heading4nobookmark"/>
      </w:pPr>
      <w:r w:rsidRPr="00524EEA">
        <w:t>Cardiovascular outcomes</w:t>
      </w:r>
    </w:p>
    <w:p w14:paraId="6C63F338" w14:textId="699098AE" w:rsidR="00A163D4" w:rsidRPr="00524EEA" w:rsidRDefault="00A163D4" w:rsidP="00A163D4">
      <w:pPr>
        <w:rPr>
          <w:lang w:val="en-US"/>
        </w:rPr>
      </w:pPr>
      <w:proofErr w:type="spellStart"/>
      <w:r w:rsidRPr="00524EEA">
        <w:rPr>
          <w:lang w:val="en-US"/>
        </w:rPr>
        <w:t>Dapagliflozin</w:t>
      </w:r>
      <w:proofErr w:type="spellEnd"/>
      <w:r w:rsidRPr="00524EEA">
        <w:rPr>
          <w:lang w:val="en-US"/>
        </w:rPr>
        <w:t xml:space="preserve"> Effect on Cardiovascular Events (DECLARE) was an international, multicenter, randomized, double-blind, placebo-controlled clinical study conducted to determine the effect of FORXIGA compared with placebo on cardiovascular (CV) and renal outcomes when added to current background therapy. All patients </w:t>
      </w:r>
      <w:bookmarkStart w:id="74" w:name="_Hlk516553379"/>
      <w:r w:rsidRPr="00524EEA">
        <w:rPr>
          <w:lang w:val="en-US"/>
        </w:rPr>
        <w:t>had type 2 diabetes mellitus and either at least two additional CV risk factors (age </w:t>
      </w:r>
      <w:r w:rsidRPr="00524EEA">
        <w:rPr>
          <w:rFonts w:ascii="Calibri" w:hAnsi="Calibri" w:cs="Calibri"/>
          <w:lang w:val="en-US"/>
        </w:rPr>
        <w:t>≥</w:t>
      </w:r>
      <w:r w:rsidRPr="00524EEA">
        <w:rPr>
          <w:lang w:val="en-US"/>
        </w:rPr>
        <w:t xml:space="preserve">55 years in men or </w:t>
      </w:r>
      <w:r w:rsidRPr="00524EEA">
        <w:rPr>
          <w:rFonts w:ascii="Calibri" w:hAnsi="Calibri" w:cs="Calibri"/>
          <w:lang w:val="en-US"/>
        </w:rPr>
        <w:t>≥</w:t>
      </w:r>
      <w:r w:rsidRPr="00524EEA">
        <w:rPr>
          <w:lang w:val="en-US"/>
        </w:rPr>
        <w:t xml:space="preserve">60 years in women and one or more of dyslipidemia, hypertension or current tobacco use) without having had a CV event at baseline (primary prevention) or established CV disease (secondary prevention). </w:t>
      </w:r>
    </w:p>
    <w:bookmarkEnd w:id="74"/>
    <w:p w14:paraId="51768BA0" w14:textId="77777777" w:rsidR="00A163D4" w:rsidRPr="00524EEA" w:rsidRDefault="00A163D4" w:rsidP="00A163D4">
      <w:pPr>
        <w:rPr>
          <w:lang w:val="en-US"/>
        </w:rPr>
      </w:pPr>
      <w:r w:rsidRPr="00524EEA">
        <w:rPr>
          <w:lang w:val="en-US"/>
        </w:rPr>
        <w:t>Of 17160 randomized patients, 6974 (40.6%) had established CV disease and 10186 (59.4%) did not have established CV disease. 8582 patients were randomized to FORXIGA 10 mg and 8578 to placebo and were followed for a median of 4.2 years.</w:t>
      </w:r>
    </w:p>
    <w:p w14:paraId="4BD762B3" w14:textId="77777777" w:rsidR="00A163D4" w:rsidRPr="00524EEA" w:rsidRDefault="00A163D4" w:rsidP="00A163D4">
      <w:pPr>
        <w:rPr>
          <w:lang w:val="en-US"/>
        </w:rPr>
      </w:pPr>
      <w:r w:rsidRPr="00524EEA">
        <w:rPr>
          <w:lang w:val="en-US"/>
        </w:rPr>
        <w:t>The mean age of the study population was 63.9 years, 37.4% were female, 79.6% were White, 3.5% Black or African-American and 13.4% Asian. In total, 22.4% had had diabetes for ≤5 years, mean duration of diabetes was 11.9 years.</w:t>
      </w:r>
      <w:bookmarkStart w:id="75" w:name="_Hlk526869084"/>
      <w:r w:rsidRPr="00524EEA">
        <w:rPr>
          <w:lang w:val="en-US"/>
        </w:rPr>
        <w:t xml:space="preserve"> Mean HbA1c was 8.3% and mean BMI was 32.1 kg/m</w:t>
      </w:r>
      <w:r w:rsidRPr="00524EEA">
        <w:rPr>
          <w:vertAlign w:val="superscript"/>
          <w:lang w:val="en-US"/>
        </w:rPr>
        <w:t>2</w:t>
      </w:r>
      <w:r w:rsidRPr="00524EEA">
        <w:rPr>
          <w:lang w:val="en-US"/>
        </w:rPr>
        <w:t xml:space="preserve">. </w:t>
      </w:r>
    </w:p>
    <w:p w14:paraId="20F2443F" w14:textId="77777777" w:rsidR="00A163D4" w:rsidRPr="00524EEA" w:rsidRDefault="00A163D4" w:rsidP="00A163D4">
      <w:pPr>
        <w:rPr>
          <w:lang w:val="en-US"/>
        </w:rPr>
      </w:pPr>
      <w:r w:rsidRPr="00524EEA">
        <w:rPr>
          <w:lang w:val="en-US"/>
        </w:rPr>
        <w:t xml:space="preserve">At baseline, 10.0% of patients had a history of heart failure. Mean </w:t>
      </w:r>
      <w:proofErr w:type="spellStart"/>
      <w:r w:rsidRPr="00524EEA">
        <w:rPr>
          <w:lang w:val="en-US"/>
        </w:rPr>
        <w:t>eGFR</w:t>
      </w:r>
      <w:proofErr w:type="spellEnd"/>
      <w:r w:rsidRPr="00524EEA">
        <w:rPr>
          <w:lang w:val="en-US"/>
        </w:rPr>
        <w:t xml:space="preserve"> was 85.2 mL/min/1.73 m</w:t>
      </w:r>
      <w:r w:rsidRPr="00524EEA">
        <w:rPr>
          <w:vertAlign w:val="superscript"/>
          <w:lang w:val="en-US"/>
        </w:rPr>
        <w:t>2</w:t>
      </w:r>
      <w:r w:rsidRPr="00524EEA">
        <w:rPr>
          <w:lang w:val="en-US"/>
        </w:rPr>
        <w:t xml:space="preserve">, 7.4% of patients had </w:t>
      </w:r>
      <w:proofErr w:type="spellStart"/>
      <w:r w:rsidRPr="00524EEA">
        <w:rPr>
          <w:lang w:val="en-US"/>
        </w:rPr>
        <w:t>eGFR</w:t>
      </w:r>
      <w:proofErr w:type="spellEnd"/>
      <w:r w:rsidRPr="00524EEA">
        <w:rPr>
          <w:lang w:val="en-US"/>
        </w:rPr>
        <w:t xml:space="preserve"> &lt;60mL/min/1.73 m</w:t>
      </w:r>
      <w:r w:rsidRPr="00524EEA">
        <w:rPr>
          <w:vertAlign w:val="superscript"/>
          <w:lang w:val="en-US"/>
        </w:rPr>
        <w:t>2</w:t>
      </w:r>
      <w:r w:rsidRPr="00524EEA">
        <w:rPr>
          <w:lang w:val="en-US"/>
        </w:rPr>
        <w:t xml:space="preserve"> and 30.3% of patients had micro- or </w:t>
      </w:r>
      <w:proofErr w:type="spellStart"/>
      <w:r w:rsidRPr="00524EEA">
        <w:rPr>
          <w:lang w:val="en-US"/>
        </w:rPr>
        <w:t>macroalbuminuria</w:t>
      </w:r>
      <w:proofErr w:type="spellEnd"/>
      <w:r w:rsidRPr="00524EEA">
        <w:rPr>
          <w:lang w:val="en-US"/>
        </w:rPr>
        <w:t xml:space="preserve"> (urine albumin to creatinine ration [UACR] ≥30 to ≤300 mg/g or &gt;300 mg/g, respectively).</w:t>
      </w:r>
    </w:p>
    <w:bookmarkEnd w:id="75"/>
    <w:p w14:paraId="0930E8DA" w14:textId="77777777" w:rsidR="00A163D4" w:rsidRPr="00524EEA" w:rsidRDefault="00A163D4" w:rsidP="00A163D4">
      <w:pPr>
        <w:rPr>
          <w:lang w:val="en-US"/>
        </w:rPr>
      </w:pPr>
      <w:r w:rsidRPr="00524EEA">
        <w:rPr>
          <w:lang w:val="en-US"/>
        </w:rPr>
        <w:t>Most patients (98.1%) used one or more diabetic medications at baseline, 82.0% of the patients were being treated with metformin, 40.9% with insulin, 42.7% with a sulfonylurea, 16.8% with a DPP4 inhibitor, and 4.4% with a GLP-1 agonist.</w:t>
      </w:r>
    </w:p>
    <w:p w14:paraId="34619D02" w14:textId="77777777" w:rsidR="00A163D4" w:rsidRPr="00524EEA" w:rsidRDefault="00A163D4" w:rsidP="00A163D4">
      <w:pPr>
        <w:rPr>
          <w:lang w:val="en-US"/>
        </w:rPr>
      </w:pPr>
      <w:r w:rsidRPr="00524EEA">
        <w:rPr>
          <w:lang w:val="en-US"/>
        </w:rPr>
        <w:t xml:space="preserve">Approximately 81.3% of patients were treated with an </w:t>
      </w:r>
      <w:bookmarkStart w:id="76" w:name="_Hlk528664959"/>
      <w:r w:rsidRPr="00524EEA">
        <w:rPr>
          <w:lang w:val="en-US"/>
        </w:rPr>
        <w:t>angiotensin-converting enzyme inhibitor</w:t>
      </w:r>
      <w:bookmarkEnd w:id="76"/>
      <w:r w:rsidRPr="00524EEA">
        <w:rPr>
          <w:lang w:val="en-US"/>
        </w:rPr>
        <w:t xml:space="preserve"> (</w:t>
      </w:r>
      <w:proofErr w:type="spellStart"/>
      <w:r w:rsidRPr="00524EEA">
        <w:rPr>
          <w:lang w:val="en-US"/>
        </w:rPr>
        <w:t>ACEi</w:t>
      </w:r>
      <w:proofErr w:type="spellEnd"/>
      <w:r w:rsidRPr="00524EEA">
        <w:rPr>
          <w:lang w:val="en-US"/>
        </w:rPr>
        <w:t>) or an angiotensin receptor blocker (ARB), 75.0% with statins, 61.1% with antiplatelet therapy, 55.5% with acetylsalicylic acid, 52.6% with beta-blockers, 34.9% with calcium channel blockers, 22.0% with thiazide diuretics and 10.5% with loop diuretics.</w:t>
      </w:r>
    </w:p>
    <w:p w14:paraId="1FD116D7" w14:textId="22592CEB" w:rsidR="00A163D4" w:rsidRPr="00524EEA" w:rsidRDefault="00A163D4" w:rsidP="00A163D4">
      <w:pPr>
        <w:rPr>
          <w:lang w:val="en-US"/>
        </w:rPr>
      </w:pPr>
      <w:r w:rsidRPr="00524EEA">
        <w:rPr>
          <w:lang w:val="en-US"/>
        </w:rPr>
        <w:t>Results on primary and secondary endpoints are displayed in Figure</w:t>
      </w:r>
      <w:r w:rsidR="00661CD7" w:rsidRPr="00524EEA">
        <w:rPr>
          <w:lang w:val="en-US"/>
        </w:rPr>
        <w:t xml:space="preserve"> </w:t>
      </w:r>
      <w:r w:rsidRPr="00524EEA">
        <w:rPr>
          <w:lang w:val="en-US"/>
        </w:rPr>
        <w:t>8</w:t>
      </w:r>
      <w:r w:rsidR="00C03F13" w:rsidRPr="00524EEA">
        <w:rPr>
          <w:lang w:val="en-US"/>
        </w:rPr>
        <w:t>.</w:t>
      </w:r>
    </w:p>
    <w:p w14:paraId="005D0BE2" w14:textId="744FC7D1" w:rsidR="00A163D4" w:rsidRPr="00524EEA" w:rsidRDefault="00A163D4" w:rsidP="00A163D4">
      <w:pPr>
        <w:pStyle w:val="FigureTitle"/>
      </w:pPr>
      <w:r w:rsidRPr="00524EEA">
        <w:t>Figure </w:t>
      </w:r>
      <w:r w:rsidRPr="00524EEA">
        <w:rPr>
          <w:noProof/>
        </w:rPr>
        <w:t>8</w:t>
      </w:r>
      <w:r w:rsidRPr="00524EEA">
        <w:tab/>
        <w:t>Treatment effects for the primary composite endpoints and their components, and the secondary endpoints and components</w:t>
      </w:r>
    </w:p>
    <w:p w14:paraId="33B18C58" w14:textId="77777777" w:rsidR="003501A4" w:rsidRPr="00524EEA" w:rsidRDefault="003501A4" w:rsidP="003501A4">
      <w:pPr>
        <w:rPr>
          <w:lang w:val="en-GB"/>
        </w:rPr>
      </w:pPr>
    </w:p>
    <w:p w14:paraId="0C9D86EA" w14:textId="609AB9BC" w:rsidR="00A163D4" w:rsidRPr="00524EEA" w:rsidRDefault="00A163D4" w:rsidP="00A163D4">
      <w:pPr>
        <w:pStyle w:val="Figure"/>
        <w:spacing w:after="0"/>
        <w:rPr>
          <w:lang w:val="en-US"/>
        </w:rPr>
      </w:pPr>
      <w:r w:rsidRPr="00524EEA">
        <w:rPr>
          <w:noProof/>
          <w:lang w:val="en-AU" w:eastAsia="en-AU"/>
        </w:rPr>
        <w:drawing>
          <wp:inline distT="0" distB="0" distL="0" distR="0" wp14:anchorId="73A5608B" wp14:editId="3F2A9B75">
            <wp:extent cx="5731510" cy="313118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3131185"/>
                    </a:xfrm>
                    <a:prstGeom prst="rect">
                      <a:avLst/>
                    </a:prstGeom>
                    <a:noFill/>
                    <a:ln>
                      <a:noFill/>
                    </a:ln>
                  </pic:spPr>
                </pic:pic>
              </a:graphicData>
            </a:graphic>
          </wp:inline>
        </w:drawing>
      </w:r>
    </w:p>
    <w:p w14:paraId="5E9D56A4" w14:textId="52DB7233" w:rsidR="00A163D4" w:rsidRPr="00524EEA" w:rsidRDefault="00A163D4" w:rsidP="00020AD4">
      <w:pPr>
        <w:pStyle w:val="TableFootnoteInfo"/>
        <w:rPr>
          <w:lang w:val="en-US"/>
        </w:rPr>
      </w:pPr>
      <w:r w:rsidRPr="00524EEA">
        <w:rPr>
          <w:lang w:val="en-US"/>
        </w:rPr>
        <w:t>p-values are two-sided p-values for primary endpoints and nominal p-values for secondary endpoints and single components. Time to first event was analyzed in a Cox proportional hazards model. The number of first events for the single components are the actual number of first events for each component and does not add up to the number of events in the composite endpoint.</w:t>
      </w:r>
      <w:r w:rsidRPr="00524EEA">
        <w:rPr>
          <w:lang w:val="en-US"/>
        </w:rPr>
        <w:br/>
        <w:t xml:space="preserve">Renal composite endpoint is defined as sustained confirmed ≥40% decrease in </w:t>
      </w:r>
      <w:proofErr w:type="spellStart"/>
      <w:r w:rsidRPr="00524EEA">
        <w:rPr>
          <w:lang w:val="en-US"/>
        </w:rPr>
        <w:t>eGFR</w:t>
      </w:r>
      <w:proofErr w:type="spellEnd"/>
      <w:r w:rsidRPr="00524EEA">
        <w:rPr>
          <w:lang w:val="en-US"/>
        </w:rPr>
        <w:t xml:space="preserve"> to </w:t>
      </w:r>
      <w:proofErr w:type="spellStart"/>
      <w:r w:rsidRPr="00524EEA">
        <w:rPr>
          <w:lang w:val="en-US"/>
        </w:rPr>
        <w:t>eGFR</w:t>
      </w:r>
      <w:proofErr w:type="spellEnd"/>
      <w:r w:rsidRPr="00524EEA">
        <w:rPr>
          <w:lang w:val="en-US"/>
        </w:rPr>
        <w:t xml:space="preserve"> &lt;60 mL/min/1.73m</w:t>
      </w:r>
      <w:r w:rsidRPr="00524EEA">
        <w:rPr>
          <w:vertAlign w:val="superscript"/>
          <w:lang w:val="en-US"/>
        </w:rPr>
        <w:t>2</w:t>
      </w:r>
      <w:r w:rsidRPr="00524EEA">
        <w:rPr>
          <w:lang w:val="en-US"/>
        </w:rPr>
        <w:t xml:space="preserve"> and/or ESRD (dialysis ≥90 days or kidney transplantation, sustained confirmed </w:t>
      </w:r>
      <w:proofErr w:type="spellStart"/>
      <w:r w:rsidRPr="00524EEA">
        <w:rPr>
          <w:lang w:val="en-US"/>
        </w:rPr>
        <w:t>eGFR</w:t>
      </w:r>
      <w:proofErr w:type="spellEnd"/>
      <w:r w:rsidRPr="00524EEA">
        <w:rPr>
          <w:lang w:val="en-US"/>
        </w:rPr>
        <w:t xml:space="preserve"> &lt;15 mL/min/1.73m</w:t>
      </w:r>
      <w:r w:rsidRPr="00524EEA">
        <w:rPr>
          <w:vertAlign w:val="superscript"/>
          <w:lang w:val="en-US"/>
        </w:rPr>
        <w:t>2</w:t>
      </w:r>
      <w:r w:rsidRPr="00524EEA">
        <w:rPr>
          <w:lang w:val="en-US"/>
        </w:rPr>
        <w:t>) and/or renal or CV death.</w:t>
      </w:r>
      <w:r w:rsidRPr="00524EEA">
        <w:rPr>
          <w:lang w:val="en-US"/>
        </w:rPr>
        <w:br/>
        <w:t>CI=confidence interval.</w:t>
      </w:r>
    </w:p>
    <w:p w14:paraId="66B76C70" w14:textId="73237DE0" w:rsidR="00A163D4" w:rsidRPr="00524EEA" w:rsidRDefault="007C7A0C" w:rsidP="00A163D4">
      <w:pPr>
        <w:rPr>
          <w:i/>
          <w:u w:val="single"/>
          <w:lang w:val="en-US"/>
        </w:rPr>
      </w:pPr>
      <w:bookmarkStart w:id="77" w:name="_Hlk526869993"/>
      <w:r w:rsidRPr="00524EEA">
        <w:rPr>
          <w:i/>
          <w:u w:val="single"/>
          <w:lang w:val="en-US"/>
        </w:rPr>
        <w:t>Hospitalization for h</w:t>
      </w:r>
      <w:r w:rsidR="00A163D4" w:rsidRPr="00524EEA">
        <w:rPr>
          <w:i/>
          <w:u w:val="single"/>
          <w:lang w:val="en-US"/>
        </w:rPr>
        <w:t>eart failure or cardiovascular death</w:t>
      </w:r>
    </w:p>
    <w:p w14:paraId="25C7E4E6" w14:textId="3449B2FB" w:rsidR="00A163D4" w:rsidRPr="00524EEA" w:rsidRDefault="00A163D4" w:rsidP="00A163D4">
      <w:pPr>
        <w:rPr>
          <w:lang w:val="en-US"/>
        </w:rPr>
      </w:pPr>
      <w:r w:rsidRPr="00524EEA">
        <w:rPr>
          <w:lang w:val="en-US"/>
        </w:rPr>
        <w:t>FORXIGA 10 mg was superior to placebo in preventing the primary composite endpoint of hospitalization for heart failure or CV death (HR 0.83 [95% CI 0.73, 0.95]; p=0.005) (Figure </w:t>
      </w:r>
      <w:r w:rsidR="006070E7" w:rsidRPr="00524EEA">
        <w:rPr>
          <w:lang w:val="en-US"/>
        </w:rPr>
        <w:t>9</w:t>
      </w:r>
      <w:r w:rsidRPr="00524EEA">
        <w:rPr>
          <w:lang w:val="en-US"/>
        </w:rPr>
        <w:t>).</w:t>
      </w:r>
    </w:p>
    <w:p w14:paraId="00A507BA" w14:textId="77777777" w:rsidR="00A163D4" w:rsidRPr="00524EEA" w:rsidRDefault="00A163D4" w:rsidP="00A163D4">
      <w:pPr>
        <w:rPr>
          <w:lang w:val="en-US"/>
        </w:rPr>
      </w:pPr>
      <w:bookmarkStart w:id="78" w:name="_Hlk528676572"/>
      <w:r w:rsidRPr="00524EEA">
        <w:rPr>
          <w:lang w:val="en-US"/>
        </w:rPr>
        <w:t>Exploratory analyses of the single components suggest that the difference in treatment effect was driven by hospitalization for heart failure (HR 0.73 [95% CI 0.61, 0.88]) (Figure 8), with no clear difference in CV death (HR 0.98 [95% CI 0.82 to 1.17]).</w:t>
      </w:r>
    </w:p>
    <w:bookmarkEnd w:id="77"/>
    <w:bookmarkEnd w:id="78"/>
    <w:p w14:paraId="0E89AD7A" w14:textId="7177386D" w:rsidR="00A163D4" w:rsidRPr="00524EEA" w:rsidRDefault="00A163D4" w:rsidP="00A163D4">
      <w:pPr>
        <w:pStyle w:val="FigureTitle"/>
        <w:rPr>
          <w:lang w:val="en-US"/>
        </w:rPr>
      </w:pPr>
      <w:r w:rsidRPr="00524EEA">
        <w:t>Figure </w:t>
      </w:r>
      <w:r w:rsidR="006070E7" w:rsidRPr="00524EEA">
        <w:rPr>
          <w:noProof/>
        </w:rPr>
        <w:t>9</w:t>
      </w:r>
      <w:r w:rsidRPr="00524EEA">
        <w:tab/>
        <w:t>Time to first occurrence of hospitalization for heart failure or cardiovascular death</w:t>
      </w:r>
    </w:p>
    <w:p w14:paraId="52D0D9BE" w14:textId="002B1FBC" w:rsidR="00A163D4" w:rsidRPr="00524EEA" w:rsidRDefault="00A163D4" w:rsidP="00A163D4">
      <w:pPr>
        <w:pStyle w:val="Figure"/>
        <w:spacing w:after="0"/>
        <w:rPr>
          <w:lang w:val="en-US"/>
        </w:rPr>
      </w:pPr>
      <w:r w:rsidRPr="00524EEA">
        <w:rPr>
          <w:noProof/>
          <w:lang w:val="en-AU" w:eastAsia="en-AU"/>
        </w:rPr>
        <w:drawing>
          <wp:inline distT="0" distB="0" distL="0" distR="0" wp14:anchorId="3D000008" wp14:editId="0B02A972">
            <wp:extent cx="5731510" cy="372237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3722370"/>
                    </a:xfrm>
                    <a:prstGeom prst="rect">
                      <a:avLst/>
                    </a:prstGeom>
                    <a:noFill/>
                    <a:ln>
                      <a:noFill/>
                    </a:ln>
                  </pic:spPr>
                </pic:pic>
              </a:graphicData>
            </a:graphic>
          </wp:inline>
        </w:drawing>
      </w:r>
    </w:p>
    <w:p w14:paraId="313E1F3F" w14:textId="77777777" w:rsidR="00A163D4" w:rsidRPr="00524EEA" w:rsidRDefault="00A163D4" w:rsidP="00A163D4">
      <w:pPr>
        <w:pStyle w:val="TableFootnoteInfo"/>
        <w:keepLines w:val="0"/>
      </w:pPr>
      <w:r w:rsidRPr="00524EEA">
        <w:rPr>
          <w:lang w:val="en-US"/>
        </w:rPr>
        <w:t>Patients</w:t>
      </w:r>
      <w:r w:rsidRPr="00524EEA">
        <w:t xml:space="preserve"> at risk is the number of patients at risk at the beginning of the period.</w:t>
      </w:r>
    </w:p>
    <w:p w14:paraId="661526E6" w14:textId="548238DE" w:rsidR="00880510" w:rsidRPr="00524EEA" w:rsidRDefault="00A163D4" w:rsidP="00880510">
      <w:pPr>
        <w:pStyle w:val="TableFootnoteInfo"/>
        <w:keepLines w:val="0"/>
      </w:pPr>
      <w:r w:rsidRPr="00524EEA">
        <w:t>CI Confidence interval, HR Hazard ratio.</w:t>
      </w:r>
    </w:p>
    <w:p w14:paraId="1C0C6701" w14:textId="77777777" w:rsidR="00880510" w:rsidRPr="00524EEA" w:rsidRDefault="00880510" w:rsidP="00A163D4">
      <w:pPr>
        <w:rPr>
          <w:i/>
          <w:u w:val="single"/>
          <w:lang w:val="en-US"/>
        </w:rPr>
      </w:pPr>
    </w:p>
    <w:p w14:paraId="1767A39A" w14:textId="22CC8B65" w:rsidR="00A163D4" w:rsidRPr="00524EEA" w:rsidRDefault="00A163D4" w:rsidP="00A163D4">
      <w:pPr>
        <w:rPr>
          <w:i/>
          <w:u w:val="single"/>
          <w:lang w:val="en-US"/>
        </w:rPr>
      </w:pPr>
      <w:r w:rsidRPr="00524EEA">
        <w:rPr>
          <w:i/>
          <w:u w:val="single"/>
          <w:lang w:val="en-US"/>
        </w:rPr>
        <w:t>Major adverse cardiovascular events</w:t>
      </w:r>
    </w:p>
    <w:p w14:paraId="7DFC05B0" w14:textId="77777777" w:rsidR="00A163D4" w:rsidRPr="00524EEA" w:rsidRDefault="00A163D4" w:rsidP="00A163D4">
      <w:pPr>
        <w:rPr>
          <w:lang w:val="en-US"/>
        </w:rPr>
      </w:pPr>
      <w:r w:rsidRPr="00524EEA">
        <w:rPr>
          <w:lang w:val="en-US"/>
        </w:rPr>
        <w:t xml:space="preserve">FORXIGA demonstrated cardiovascular safety (tested as non-inferiority versus placebo for the composite of CV death, myocardial infarction or ischemic stroke [MACE]; one-sided p &lt;0.001). </w:t>
      </w:r>
    </w:p>
    <w:p w14:paraId="02C72B25" w14:textId="77777777" w:rsidR="00A163D4" w:rsidRPr="00524EEA" w:rsidRDefault="00A163D4" w:rsidP="00A163D4">
      <w:pPr>
        <w:rPr>
          <w:i/>
          <w:u w:val="single"/>
          <w:lang w:val="en-US"/>
        </w:rPr>
      </w:pPr>
      <w:r w:rsidRPr="00524EEA">
        <w:rPr>
          <w:i/>
          <w:u w:val="single"/>
          <w:lang w:val="en-US"/>
        </w:rPr>
        <w:t>Nephropathy</w:t>
      </w:r>
      <w:r w:rsidRPr="00524EEA">
        <w:rPr>
          <w:rStyle w:val="CommentReference"/>
          <w:rFonts w:ascii="Calibri" w:eastAsia="Calibri" w:hAnsi="Calibri"/>
          <w:i/>
          <w:u w:val="single"/>
          <w:lang w:val="en-US"/>
        </w:rPr>
        <w:t xml:space="preserve"> </w:t>
      </w:r>
    </w:p>
    <w:p w14:paraId="30F80E54" w14:textId="77777777" w:rsidR="006F2F72" w:rsidRPr="00524EEA" w:rsidRDefault="006F2F72" w:rsidP="006F2F72">
      <w:pPr>
        <w:rPr>
          <w:lang w:val="en-US"/>
        </w:rPr>
      </w:pPr>
      <w:r w:rsidRPr="00524EEA">
        <w:rPr>
          <w:bCs/>
          <w:iCs/>
        </w:rPr>
        <w:t xml:space="preserve">The composite of confirmed sustained </w:t>
      </w:r>
      <w:proofErr w:type="spellStart"/>
      <w:r w:rsidRPr="00524EEA">
        <w:rPr>
          <w:bCs/>
          <w:iCs/>
        </w:rPr>
        <w:t>eGFR</w:t>
      </w:r>
      <w:proofErr w:type="spellEnd"/>
      <w:r w:rsidRPr="00524EEA">
        <w:rPr>
          <w:bCs/>
          <w:iCs/>
        </w:rPr>
        <w:t xml:space="preserve"> decrease, ESRD, renal or CV death was a secondary variable in the DECLARE study. Because c</w:t>
      </w:r>
      <w:r w:rsidRPr="00524EEA">
        <w:t>onfirmatory testing stopped before the secondary variables were assessed, the analyses of the secondary variables should be considered exploratory.</w:t>
      </w:r>
    </w:p>
    <w:p w14:paraId="2DCED740" w14:textId="3F8C8ECD" w:rsidR="00A163D4" w:rsidRPr="00524EEA" w:rsidRDefault="00A163D4" w:rsidP="00A163D4">
      <w:pPr>
        <w:rPr>
          <w:lang w:val="en-US"/>
        </w:rPr>
      </w:pPr>
      <w:r w:rsidRPr="00524EEA">
        <w:rPr>
          <w:lang w:val="en-US"/>
        </w:rPr>
        <w:t xml:space="preserve">FORXIGA reduced the incidence of events of the composite of confirmed sustained </w:t>
      </w:r>
      <w:proofErr w:type="spellStart"/>
      <w:r w:rsidRPr="00524EEA">
        <w:rPr>
          <w:lang w:val="en-US"/>
        </w:rPr>
        <w:t>eGFR</w:t>
      </w:r>
      <w:proofErr w:type="spellEnd"/>
      <w:r w:rsidRPr="00524EEA">
        <w:rPr>
          <w:lang w:val="en-US"/>
        </w:rPr>
        <w:t xml:space="preserve"> decrease, ESRD, renal or CV death (HR 0.76 [95% CI 0.67, 0.87], Figure </w:t>
      </w:r>
      <w:r w:rsidR="006070E7" w:rsidRPr="00524EEA">
        <w:rPr>
          <w:lang w:val="en-US"/>
        </w:rPr>
        <w:t>10</w:t>
      </w:r>
      <w:r w:rsidRPr="00524EEA">
        <w:rPr>
          <w:lang w:val="en-US"/>
        </w:rPr>
        <w:t xml:space="preserve">). The difference between groups was driven by reductions in events of the renal components; sustained </w:t>
      </w:r>
      <w:proofErr w:type="spellStart"/>
      <w:r w:rsidRPr="00524EEA">
        <w:rPr>
          <w:lang w:val="en-US"/>
        </w:rPr>
        <w:t>eGFR</w:t>
      </w:r>
      <w:proofErr w:type="spellEnd"/>
      <w:r w:rsidRPr="00524EEA">
        <w:rPr>
          <w:lang w:val="en-US"/>
        </w:rPr>
        <w:t xml:space="preserve"> decrease, ESRD and renal death (Figure 8), and was observed both in patients with and without CV disease</w:t>
      </w:r>
      <w:r w:rsidR="00C96F95" w:rsidRPr="00524EEA">
        <w:rPr>
          <w:lang w:val="en-US"/>
        </w:rPr>
        <w:t>.</w:t>
      </w:r>
      <w:r w:rsidRPr="00524EEA">
        <w:rPr>
          <w:lang w:val="en-US"/>
        </w:rPr>
        <w:t xml:space="preserve"> </w:t>
      </w:r>
    </w:p>
    <w:p w14:paraId="73247D8D" w14:textId="5627B3A7" w:rsidR="00A163D4" w:rsidRPr="00AF7D0B" w:rsidRDefault="00A163D4" w:rsidP="00AF7D0B">
      <w:pPr>
        <w:pStyle w:val="FigureTitle"/>
      </w:pPr>
      <w:r w:rsidRPr="00AF7D0B">
        <w:t>Figure </w:t>
      </w:r>
      <w:r w:rsidR="006070E7" w:rsidRPr="00AF7D0B">
        <w:t>10</w:t>
      </w:r>
      <w:r w:rsidRPr="00524EEA">
        <w:tab/>
      </w:r>
      <w:r w:rsidRPr="00AF7D0B">
        <w:t xml:space="preserve">Time to first occurrence of sustained </w:t>
      </w:r>
      <w:proofErr w:type="spellStart"/>
      <w:r w:rsidRPr="00AF7D0B">
        <w:t>eGFR</w:t>
      </w:r>
      <w:proofErr w:type="spellEnd"/>
      <w:r w:rsidRPr="00AF7D0B">
        <w:t xml:space="preserve"> decrease, ESRD, renal or CV death</w:t>
      </w:r>
    </w:p>
    <w:p w14:paraId="59F1901E" w14:textId="324D75BC" w:rsidR="00A163D4" w:rsidRPr="00524EEA" w:rsidRDefault="00A163D4" w:rsidP="00A163D4">
      <w:pPr>
        <w:pStyle w:val="Figure"/>
        <w:spacing w:after="0"/>
        <w:rPr>
          <w:lang w:val="en-US"/>
        </w:rPr>
      </w:pPr>
      <w:r w:rsidRPr="00524EEA">
        <w:rPr>
          <w:noProof/>
          <w:lang w:val="en-AU" w:eastAsia="en-AU"/>
        </w:rPr>
        <w:drawing>
          <wp:inline distT="0" distB="0" distL="0" distR="0" wp14:anchorId="440DF687" wp14:editId="4CFD73BA">
            <wp:extent cx="5731510" cy="370078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3700780"/>
                    </a:xfrm>
                    <a:prstGeom prst="rect">
                      <a:avLst/>
                    </a:prstGeom>
                    <a:noFill/>
                    <a:ln>
                      <a:noFill/>
                    </a:ln>
                  </pic:spPr>
                </pic:pic>
              </a:graphicData>
            </a:graphic>
          </wp:inline>
        </w:drawing>
      </w:r>
    </w:p>
    <w:p w14:paraId="2332BF85" w14:textId="77777777" w:rsidR="00A163D4" w:rsidRPr="00524EEA" w:rsidRDefault="00A163D4" w:rsidP="00A163D4">
      <w:pPr>
        <w:pStyle w:val="TableFootnoteInfo"/>
        <w:keepLines w:val="0"/>
      </w:pPr>
      <w:r w:rsidRPr="00524EEA">
        <w:rPr>
          <w:lang w:val="en-US"/>
        </w:rPr>
        <w:t>Patients</w:t>
      </w:r>
      <w:r w:rsidRPr="00524EEA">
        <w:t xml:space="preserve"> at risk is the number of patients at risk at the beginning of the period. </w:t>
      </w:r>
    </w:p>
    <w:p w14:paraId="6CEA0504" w14:textId="77777777" w:rsidR="00A163D4" w:rsidRPr="00524EEA" w:rsidRDefault="00A163D4" w:rsidP="00A163D4">
      <w:pPr>
        <w:pStyle w:val="TableFootnoteInfo"/>
        <w:keepLines w:val="0"/>
      </w:pPr>
      <w:r w:rsidRPr="00524EEA">
        <w:t xml:space="preserve">Renal composite endpoint defined as sustained confirmed </w:t>
      </w:r>
      <w:proofErr w:type="spellStart"/>
      <w:r w:rsidRPr="00524EEA">
        <w:t>eGFR</w:t>
      </w:r>
      <w:proofErr w:type="spellEnd"/>
      <w:r w:rsidRPr="00524EEA">
        <w:t xml:space="preserve"> decrease ≥40% to </w:t>
      </w:r>
      <w:proofErr w:type="spellStart"/>
      <w:r w:rsidRPr="00524EEA">
        <w:t>eGFR</w:t>
      </w:r>
      <w:proofErr w:type="spellEnd"/>
      <w:r w:rsidRPr="00524EEA">
        <w:t xml:space="preserve"> &lt;60 mL/min/1.73m</w:t>
      </w:r>
      <w:r w:rsidRPr="00524EEA">
        <w:rPr>
          <w:vertAlign w:val="superscript"/>
        </w:rPr>
        <w:t xml:space="preserve">2 </w:t>
      </w:r>
      <w:r w:rsidRPr="00524EEA">
        <w:t xml:space="preserve"> and/or ESRD and/or renal or CV death.</w:t>
      </w:r>
    </w:p>
    <w:p w14:paraId="68CF5107" w14:textId="77777777" w:rsidR="00A163D4" w:rsidRPr="00524EEA" w:rsidRDefault="00A163D4" w:rsidP="00A163D4">
      <w:pPr>
        <w:pStyle w:val="TableFootnoteInfo"/>
        <w:keepLines w:val="0"/>
      </w:pPr>
      <w:r w:rsidRPr="00524EEA">
        <w:t>CI Confidence interval; HR Hazard ratio.</w:t>
      </w:r>
    </w:p>
    <w:p w14:paraId="74646D01" w14:textId="77777777" w:rsidR="00A163D4" w:rsidRPr="00524EEA" w:rsidRDefault="00A163D4" w:rsidP="00A163D4">
      <w:pPr>
        <w:pStyle w:val="Paragraph"/>
        <w:rPr>
          <w:lang w:val="en-US"/>
        </w:rPr>
      </w:pPr>
    </w:p>
    <w:p w14:paraId="4BB6BC0B" w14:textId="24955795" w:rsidR="00A163D4" w:rsidRPr="00524EEA" w:rsidRDefault="00A163D4" w:rsidP="00A163D4">
      <w:pPr>
        <w:rPr>
          <w:lang w:val="en-US"/>
        </w:rPr>
      </w:pPr>
      <w:r w:rsidRPr="00524EEA">
        <w:rPr>
          <w:lang w:val="en-US"/>
        </w:rPr>
        <w:t xml:space="preserve">When evaluating the renal components, there were 127 and 238 events of new or worsening nephropathy (sustained </w:t>
      </w:r>
      <w:proofErr w:type="spellStart"/>
      <w:r w:rsidRPr="00524EEA">
        <w:rPr>
          <w:lang w:val="en-US"/>
        </w:rPr>
        <w:t>eGFR</w:t>
      </w:r>
      <w:proofErr w:type="spellEnd"/>
      <w:r w:rsidRPr="00524EEA">
        <w:rPr>
          <w:lang w:val="en-US"/>
        </w:rPr>
        <w:t xml:space="preserve"> decrease, ESRD or renal death) in patients in the FORXIGA and placebo groups, respectively. The HR for time to nephropathy was</w:t>
      </w:r>
      <w:r w:rsidR="00F57017" w:rsidRPr="00524EEA">
        <w:rPr>
          <w:lang w:val="en-US"/>
        </w:rPr>
        <w:t xml:space="preserve"> </w:t>
      </w:r>
      <w:r w:rsidRPr="00524EEA">
        <w:rPr>
          <w:lang w:val="en-US"/>
        </w:rPr>
        <w:t>0.53 (95% CI 0.43, 0.66) for FORXIGA versus placebo.</w:t>
      </w:r>
    </w:p>
    <w:p w14:paraId="3C58D56D" w14:textId="77777777" w:rsidR="00A163D4" w:rsidRPr="00524EEA" w:rsidRDefault="00A163D4" w:rsidP="00A163D4">
      <w:pPr>
        <w:rPr>
          <w:lang w:val="en-US"/>
        </w:rPr>
      </w:pPr>
      <w:r w:rsidRPr="00524EEA">
        <w:rPr>
          <w:lang w:val="en-US"/>
        </w:rPr>
        <w:t>Beneficial effects of FORXIGA on renal outcomes were also observed for albuminuria, e.g.,</w:t>
      </w:r>
    </w:p>
    <w:p w14:paraId="370091DC" w14:textId="4C323F9B" w:rsidR="00A163D4" w:rsidRPr="00524EEA" w:rsidRDefault="00A163D4" w:rsidP="00A163D4">
      <w:pPr>
        <w:pStyle w:val="ListParagraph"/>
        <w:numPr>
          <w:ilvl w:val="0"/>
          <w:numId w:val="24"/>
        </w:numPr>
      </w:pPr>
      <w:r w:rsidRPr="00524EEA">
        <w:t>In patients without pre-existing albuminuria, FORXIGA reduced the incidence of sustained albuminuria (UACR &gt;30 mg/g) compared with placebo (HR 0.79 [95% CI 0.72, 0.87]).</w:t>
      </w:r>
    </w:p>
    <w:p w14:paraId="2BE887E7" w14:textId="3EB3533C" w:rsidR="00A163D4" w:rsidRPr="00524EEA" w:rsidRDefault="00A163D4" w:rsidP="00A163D4">
      <w:pPr>
        <w:pStyle w:val="ListParagraph"/>
        <w:numPr>
          <w:ilvl w:val="0"/>
          <w:numId w:val="24"/>
        </w:numPr>
      </w:pPr>
      <w:r w:rsidRPr="00524EEA">
        <w:t>In patients without pre-existing macroalbuminuria, new onset of macroalbuminuria (UACR &gt;300 mg/g) was reduced in the FORXIGA group compared with the placebo group (HR 0.54 [95% CI 0.45, 0.65]).</w:t>
      </w:r>
    </w:p>
    <w:p w14:paraId="12B280BD" w14:textId="008CFEA4" w:rsidR="00A163D4" w:rsidRPr="00524EEA" w:rsidRDefault="00A163D4" w:rsidP="00A163D4">
      <w:pPr>
        <w:pStyle w:val="ListParagraph"/>
        <w:numPr>
          <w:ilvl w:val="0"/>
          <w:numId w:val="24"/>
        </w:numPr>
      </w:pPr>
      <w:r w:rsidRPr="00524EEA">
        <w:t>In patients with pre-existing macroalbuminuria, regression of macroalbuminuria was greater in the FORXIGA group compared with the placebo group (HR 1.82 [95% CI 1.51, 2.20]).</w:t>
      </w:r>
    </w:p>
    <w:p w14:paraId="2429A907" w14:textId="2674191A" w:rsidR="00933A75" w:rsidRPr="00524EEA" w:rsidRDefault="00A163D4" w:rsidP="00933A75">
      <w:r w:rsidRPr="00524EEA">
        <w:t>The treatment benefit of FORXIGA over placebo was observed both in patients with and without existing renal impairment.</w:t>
      </w:r>
    </w:p>
    <w:p w14:paraId="01158009" w14:textId="47DD70B9" w:rsidR="00F77BCB" w:rsidRPr="00524EEA" w:rsidRDefault="003E6F2D" w:rsidP="00C07BC4">
      <w:pPr>
        <w:pStyle w:val="Heading4nobookmark"/>
      </w:pPr>
      <w:r w:rsidRPr="00524EEA">
        <w:t>Supportive Studies</w:t>
      </w:r>
    </w:p>
    <w:p w14:paraId="20B7887D" w14:textId="3C1184E3" w:rsidR="003E6F2D" w:rsidRPr="00524EEA" w:rsidRDefault="003E6F2D" w:rsidP="00C07BC4">
      <w:pPr>
        <w:pStyle w:val="Heading5nobookmark"/>
      </w:pPr>
      <w:r w:rsidRPr="00524EEA">
        <w:t xml:space="preserve">Dual Energy X-ray Absorptiometry in </w:t>
      </w:r>
      <w:r w:rsidR="001121E6" w:rsidRPr="00524EEA">
        <w:t xml:space="preserve">Patients with </w:t>
      </w:r>
      <w:r w:rsidR="005013CD" w:rsidRPr="00524EEA">
        <w:t>Diabetes</w:t>
      </w:r>
    </w:p>
    <w:p w14:paraId="3BFBD6F6" w14:textId="65330450" w:rsidR="003E6F2D" w:rsidRPr="00524EEA" w:rsidRDefault="003E6F2D" w:rsidP="003E6F2D">
      <w:pPr>
        <w:rPr>
          <w:iCs/>
        </w:rPr>
      </w:pPr>
      <w:r w:rsidRPr="00524EEA">
        <w:t xml:space="preserve">Due to the mechanism of action of FORXIGA a study was done to evaluate body composition and bone mineral density.  FORXIGA 10 mg added on to metformin in 182 patients with type 2 diabetes over a 24 week period provided significant improvements compared with placebo plus metformin, respectively, in body weight (mean change from baseline: -2.96 kg v. -0.88 kg); waist circumference (mean change from baseline: -2.51 cm </w:t>
      </w:r>
      <w:r w:rsidR="00390D7B" w:rsidRPr="00524EEA">
        <w:br/>
      </w:r>
      <w:r w:rsidRPr="00524EEA">
        <w:t xml:space="preserve">v. -0.99 cm), and body fat mass as measured by DXA (mean change from baseline -2.22 kg </w:t>
      </w:r>
      <w:r w:rsidR="00390D7B" w:rsidRPr="00524EEA">
        <w:br/>
      </w:r>
      <w:r w:rsidRPr="00524EEA">
        <w:t>v. -0.74 kg) rather than lean tissue or fluid loss.  FORXIGA plus metformin treatment showed a numerical decrease in visceral adipose tissue compared with placebo plus metformin treatment (change from baseline -322.6 cm</w:t>
      </w:r>
      <w:r w:rsidRPr="00524EEA">
        <w:rPr>
          <w:vertAlign w:val="superscript"/>
        </w:rPr>
        <w:t>3</w:t>
      </w:r>
      <w:r w:rsidRPr="00524EEA">
        <w:t xml:space="preserve"> vs. -8.7 cm</w:t>
      </w:r>
      <w:r w:rsidRPr="00524EEA">
        <w:rPr>
          <w:vertAlign w:val="superscript"/>
        </w:rPr>
        <w:t>3</w:t>
      </w:r>
      <w:r w:rsidRPr="00524EEA">
        <w:t xml:space="preserve">) in an MRI </w:t>
      </w:r>
      <w:proofErr w:type="spellStart"/>
      <w:r w:rsidRPr="00524EEA">
        <w:t>substudy</w:t>
      </w:r>
      <w:proofErr w:type="spellEnd"/>
      <w:r w:rsidRPr="00524EEA">
        <w:t xml:space="preserve">. </w:t>
      </w:r>
      <w:r w:rsidRPr="00524EEA">
        <w:rPr>
          <w:iCs/>
        </w:rPr>
        <w:t xml:space="preserve">In an ongoing extension of this study to week 50, there was no important change in bone mineral density for the lumbar spine, femoral neck or total hip seen in either treatment group (mean change from baseline for all anatomical regions &lt;0.5%, </w:t>
      </w:r>
      <w:r w:rsidRPr="00524EEA">
        <w:t xml:space="preserve">7/89 </w:t>
      </w:r>
      <w:proofErr w:type="spellStart"/>
      <w:r w:rsidRPr="00524EEA">
        <w:t>dapagliflozin</w:t>
      </w:r>
      <w:proofErr w:type="spellEnd"/>
      <w:r w:rsidRPr="00524EEA">
        <w:t xml:space="preserve"> and 4/91 comparator subjects showed a decrease of 5% or more</w:t>
      </w:r>
      <w:r w:rsidRPr="00524EEA">
        <w:rPr>
          <w:iCs/>
        </w:rPr>
        <w:t>). These effects were sustained in a further extension of the study to 102 weeks</w:t>
      </w:r>
      <w:r w:rsidRPr="00524EEA">
        <w:t xml:space="preserve"> w</w:t>
      </w:r>
      <w:r w:rsidRPr="00524EEA">
        <w:rPr>
          <w:iCs/>
        </w:rPr>
        <w:t>here no important changes in BMD for the lumbar spine, femoral neck or total hip in either treatment group were observed.</w:t>
      </w:r>
    </w:p>
    <w:p w14:paraId="3A9A266D" w14:textId="77777777" w:rsidR="0032751B" w:rsidRPr="00524EEA" w:rsidRDefault="0032751B" w:rsidP="0032751B">
      <w:pPr>
        <w:pStyle w:val="Heading3"/>
      </w:pPr>
      <w:r w:rsidRPr="00524EEA">
        <w:t>Clinical trial – Heart failure</w:t>
      </w:r>
    </w:p>
    <w:p w14:paraId="46C0FA4A" w14:textId="77777777" w:rsidR="0032751B" w:rsidRPr="00524EEA" w:rsidRDefault="0032751B" w:rsidP="0032751B">
      <w:pPr>
        <w:pStyle w:val="Heading4"/>
      </w:pPr>
      <w:r w:rsidRPr="00524EEA">
        <w:t>Clinical efficacy</w:t>
      </w:r>
    </w:p>
    <w:p w14:paraId="744EC8CA" w14:textId="77777777" w:rsidR="0032751B" w:rsidRPr="00524EEA" w:rsidRDefault="0032751B" w:rsidP="0032751B">
      <w:pPr>
        <w:autoSpaceDE w:val="0"/>
        <w:autoSpaceDN w:val="0"/>
        <w:adjustRightInd w:val="0"/>
        <w:spacing w:after="0" w:line="240" w:lineRule="auto"/>
        <w:rPr>
          <w:rFonts w:ascii="TimesNewRoman,BoldItalic" w:hAnsi="TimesNewRoman,BoldItalic" w:cs="TimesNewRoman,BoldItalic"/>
          <w:b/>
          <w:bCs/>
          <w:i/>
          <w:iCs/>
          <w:color w:val="B6082E"/>
          <w:sz w:val="18"/>
          <w:szCs w:val="18"/>
        </w:rPr>
      </w:pPr>
    </w:p>
    <w:p w14:paraId="0D79DA68" w14:textId="77777777" w:rsidR="0032751B" w:rsidRPr="00524EEA" w:rsidRDefault="0032751B" w:rsidP="0032751B">
      <w:proofErr w:type="spellStart"/>
      <w:r w:rsidRPr="00524EEA">
        <w:t>Dapagliflozin</w:t>
      </w:r>
      <w:proofErr w:type="spellEnd"/>
      <w:r w:rsidRPr="00524EEA">
        <w:t xml:space="preserve"> And Prevention of Adverse outcomes in Heart Failure (DAPA-HF) was an international, multicentre, randomized, double-blind, placebo-controlled study in patients with heart failure (New York Heart Association [NYHA] functional class II-IV) with reduced ejection fraction (left ventricular ejection fraction [LVEF] ≤40%) to determine the effect of FORXIGA compared with placebo, when added to background standard of care therapy, on the incidence of CV death and worsening heart failure.</w:t>
      </w:r>
    </w:p>
    <w:p w14:paraId="16BC8659" w14:textId="77777777" w:rsidR="0032751B" w:rsidRPr="00524EEA" w:rsidRDefault="0032751B" w:rsidP="0032751B">
      <w:r w:rsidRPr="00524EEA">
        <w:t>Of 4744 patients, 2373 were randomized to FORXIGA 10 mg and 2371 to placebo and followed for a median of 18 months. The mean age of the study population was 66 years, 77% were male, 70% White, 5% Black or African-American and 24% Asian.</w:t>
      </w:r>
    </w:p>
    <w:p w14:paraId="597AD182" w14:textId="77777777" w:rsidR="0032751B" w:rsidRPr="00524EEA" w:rsidRDefault="0032751B" w:rsidP="0032751B">
      <w:r w:rsidRPr="00524EEA">
        <w:t>At baseline, 67.5% patients were classified as NYHA class II, 31.6% class III and 0.9% class IV, median LVEF was 32%, 42% of the patients in each treatment group had a history of type 2 diabetes mellitus, and an additional 3% of the patients in each group were classified as having type 2 diabetes mellitus based on a HbA1c ≥6.5% at both enrolment and randomisation.</w:t>
      </w:r>
    </w:p>
    <w:p w14:paraId="57C44583" w14:textId="77777777" w:rsidR="0032751B" w:rsidRPr="00524EEA" w:rsidRDefault="0032751B" w:rsidP="0032751B">
      <w:r w:rsidRPr="00524EEA">
        <w:t xml:space="preserve">Patients were on standard of care therapy; 94% of patients were treated with </w:t>
      </w:r>
      <w:proofErr w:type="spellStart"/>
      <w:r w:rsidRPr="00524EEA">
        <w:t>ACEi</w:t>
      </w:r>
      <w:proofErr w:type="spellEnd"/>
      <w:r w:rsidRPr="00524EEA">
        <w:t>, ARB, or angiotensin receptor-</w:t>
      </w:r>
      <w:proofErr w:type="spellStart"/>
      <w:r w:rsidRPr="00524EEA">
        <w:t>neprilysin</w:t>
      </w:r>
      <w:proofErr w:type="spellEnd"/>
      <w:r w:rsidRPr="00524EEA">
        <w:t xml:space="preserve"> inhibitor (ARNI, 11%), 96% with beta-blocker, 71% with mineralocorticoid receptor antagonist (MRA), 93% with diuretic and 26% had an implantable device.</w:t>
      </w:r>
    </w:p>
    <w:p w14:paraId="1FAB91E7" w14:textId="77777777" w:rsidR="0032751B" w:rsidRPr="00524EEA" w:rsidRDefault="0032751B" w:rsidP="0032751B">
      <w:r w:rsidRPr="00524EEA">
        <w:t xml:space="preserve">Patients with </w:t>
      </w:r>
      <w:proofErr w:type="spellStart"/>
      <w:r w:rsidRPr="00524EEA">
        <w:t>eGFR</w:t>
      </w:r>
      <w:proofErr w:type="spellEnd"/>
      <w:r w:rsidRPr="00524EEA">
        <w:t xml:space="preserve"> ≥30 mL/min/1.73 m</w:t>
      </w:r>
      <w:r w:rsidRPr="00524EEA">
        <w:rPr>
          <w:vertAlign w:val="superscript"/>
        </w:rPr>
        <w:t>2</w:t>
      </w:r>
      <w:r w:rsidRPr="00524EEA">
        <w:t xml:space="preserve"> at enrolment were included in the study. The mean </w:t>
      </w:r>
      <w:proofErr w:type="spellStart"/>
      <w:r w:rsidRPr="00524EEA">
        <w:t>eGFR</w:t>
      </w:r>
      <w:proofErr w:type="spellEnd"/>
      <w:r w:rsidRPr="00524EEA">
        <w:t xml:space="preserve"> was 66 mL/min/1.73 m</w:t>
      </w:r>
      <w:r w:rsidRPr="00524EEA">
        <w:rPr>
          <w:vertAlign w:val="superscript"/>
        </w:rPr>
        <w:t>2</w:t>
      </w:r>
      <w:r w:rsidRPr="00524EEA">
        <w:t xml:space="preserve">, 41% of patients had </w:t>
      </w:r>
      <w:proofErr w:type="spellStart"/>
      <w:r w:rsidRPr="00524EEA">
        <w:t>eGFR</w:t>
      </w:r>
      <w:proofErr w:type="spellEnd"/>
      <w:r w:rsidRPr="00524EEA">
        <w:t xml:space="preserve"> &lt;60mL/min/1.73 m</w:t>
      </w:r>
      <w:r w:rsidRPr="00524EEA">
        <w:rPr>
          <w:vertAlign w:val="superscript"/>
        </w:rPr>
        <w:t>2</w:t>
      </w:r>
      <w:r w:rsidRPr="00524EEA">
        <w:t xml:space="preserve"> and 15% had </w:t>
      </w:r>
      <w:proofErr w:type="spellStart"/>
      <w:r w:rsidRPr="00524EEA">
        <w:t>eGFR</w:t>
      </w:r>
      <w:proofErr w:type="spellEnd"/>
      <w:r w:rsidRPr="00524EEA">
        <w:t xml:space="preserve"> &lt;45 mL/min/1.73 m</w:t>
      </w:r>
      <w:r w:rsidRPr="00524EEA">
        <w:rPr>
          <w:vertAlign w:val="superscript"/>
        </w:rPr>
        <w:t>2</w:t>
      </w:r>
      <w:r w:rsidRPr="00524EEA">
        <w:t>.</w:t>
      </w:r>
    </w:p>
    <w:p w14:paraId="14090032" w14:textId="77777777" w:rsidR="0032751B" w:rsidRPr="00524EEA" w:rsidRDefault="0032751B" w:rsidP="0032751B">
      <w:r w:rsidRPr="00524EEA">
        <w:t>The DAPA-HF outcomes study compared FORXIGA versus placebo in a population representative of that found in clinical practice. The overall study objective was to determine whether FORXIGA prevents cardiovascular death and worsening heart failure, and if FORXIGA improves heart failure symptoms.</w:t>
      </w:r>
    </w:p>
    <w:p w14:paraId="38593743" w14:textId="77777777" w:rsidR="0032751B" w:rsidRPr="00524EEA" w:rsidRDefault="0032751B" w:rsidP="0032751B">
      <w:pPr>
        <w:pStyle w:val="Heading5"/>
      </w:pPr>
      <w:r w:rsidRPr="00524EEA">
        <w:t>Cardiovascular death and worsening heart failure</w:t>
      </w:r>
    </w:p>
    <w:p w14:paraId="51A9C88D" w14:textId="77777777" w:rsidR="0032751B" w:rsidRPr="00524EEA" w:rsidRDefault="0032751B" w:rsidP="0032751B">
      <w:r w:rsidRPr="00524EEA">
        <w:t>FORXIGA 10 mg was superior to placebo in preventing CV death and worsening heart failure, with consistent treatment effect on primary and secondary endpoints.</w:t>
      </w:r>
    </w:p>
    <w:p w14:paraId="797FA070" w14:textId="5C66E16D" w:rsidR="0032751B" w:rsidRPr="00524EEA" w:rsidRDefault="0032751B" w:rsidP="0032751B">
      <w:r w:rsidRPr="00524EEA">
        <w:t xml:space="preserve">FORXIGA reduced the incidence of the primary composite endpoint of CV death, hospitalization for heart failure or urgent heart failure visit (HR 0.74 [95% CI 0.65, 0.85]; p&lt;0.0001). The number needed to treat per year was 26 (95% CI 18, 46). The FORXIGA and placebo event curves separated early and continued to diverge over the study period (Figure </w:t>
      </w:r>
      <w:r w:rsidR="00395B85">
        <w:t>11</w:t>
      </w:r>
      <w:r w:rsidRPr="00524EEA">
        <w:t>).</w:t>
      </w:r>
    </w:p>
    <w:p w14:paraId="303AD303" w14:textId="51E6ECEC" w:rsidR="0032751B" w:rsidRPr="00AF7D0B" w:rsidRDefault="0032751B" w:rsidP="00AF7D0B">
      <w:pPr>
        <w:pStyle w:val="FigureTitle"/>
      </w:pPr>
      <w:r w:rsidRPr="00AF7D0B">
        <w:t xml:space="preserve">Figure </w:t>
      </w:r>
      <w:r w:rsidR="00AF7D0B">
        <w:t>11</w:t>
      </w:r>
      <w:r w:rsidRPr="00AF7D0B">
        <w:tab/>
        <w:t>Time to first occurrence of the composite hospitalization of cardiovascular</w:t>
      </w:r>
      <w:r w:rsidR="00AF7D0B">
        <w:t xml:space="preserve"> </w:t>
      </w:r>
      <w:r w:rsidRPr="00AF7D0B">
        <w:t>death, hospitalization for heart failure or urgent heart failure visit</w:t>
      </w:r>
    </w:p>
    <w:p w14:paraId="1FD3D3B0" w14:textId="625BD46E" w:rsidR="0032751B" w:rsidRPr="00524EEA" w:rsidRDefault="0032751B" w:rsidP="00D57799">
      <w:pPr>
        <w:autoSpaceDE w:val="0"/>
        <w:autoSpaceDN w:val="0"/>
        <w:adjustRightInd w:val="0"/>
        <w:spacing w:after="0" w:line="240" w:lineRule="auto"/>
        <w:jc w:val="center"/>
        <w:rPr>
          <w:rFonts w:ascii="TimesNewRoman" w:hAnsi="TimesNewRoman" w:cs="TimesNewRoman"/>
          <w:color w:val="B6082E"/>
          <w:sz w:val="14"/>
          <w:szCs w:val="14"/>
        </w:rPr>
      </w:pPr>
      <w:r w:rsidRPr="00524EEA">
        <w:rPr>
          <w:noProof/>
          <w:lang w:eastAsia="en-AU"/>
        </w:rPr>
        <w:drawing>
          <wp:inline distT="0" distB="0" distL="0" distR="0" wp14:anchorId="2AC5A671" wp14:editId="58DE526B">
            <wp:extent cx="4212959" cy="3171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65176" cy="3210932"/>
                    </a:xfrm>
                    <a:prstGeom prst="rect">
                      <a:avLst/>
                    </a:prstGeom>
                  </pic:spPr>
                </pic:pic>
              </a:graphicData>
            </a:graphic>
          </wp:inline>
        </w:drawing>
      </w:r>
    </w:p>
    <w:p w14:paraId="77F1767F" w14:textId="77777777" w:rsidR="0032751B" w:rsidRPr="00524EEA" w:rsidRDefault="0032751B" w:rsidP="0032751B">
      <w:pPr>
        <w:autoSpaceDE w:val="0"/>
        <w:autoSpaceDN w:val="0"/>
        <w:adjustRightInd w:val="0"/>
        <w:spacing w:after="0" w:line="240" w:lineRule="auto"/>
        <w:rPr>
          <w:rFonts w:ascii="TimesNewRoman" w:hAnsi="TimesNewRoman" w:cs="TimesNewRoman"/>
          <w:color w:val="B6082E"/>
          <w:sz w:val="14"/>
          <w:szCs w:val="14"/>
        </w:rPr>
      </w:pPr>
    </w:p>
    <w:p w14:paraId="1C6CD6BD"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lang w:val="en-GB"/>
        </w:rPr>
        <w:t>An urgent heart failure visit was defined as an urgent, unplanned, assessment by a physician, e.g. in an Emergency Department, and requiring treatment for worsening heart failure (other than just an increase in oral diuretics).</w:t>
      </w:r>
      <w:r w:rsidRPr="00524EEA">
        <w:rPr>
          <w:rFonts w:eastAsia="Times New Roman" w:cs="Times New Roman"/>
          <w:sz w:val="18"/>
          <w:szCs w:val="20"/>
          <w:lang w:val="en-GB"/>
        </w:rPr>
        <w:br/>
        <w:t>Patients at risk is the number of patients at risk at the beginning of the period.</w:t>
      </w:r>
    </w:p>
    <w:p w14:paraId="5955653B" w14:textId="77777777" w:rsidR="00D57799" w:rsidRPr="00524EEA" w:rsidRDefault="00D57799" w:rsidP="0032751B"/>
    <w:p w14:paraId="67E186C5" w14:textId="3F9298A8" w:rsidR="0032751B" w:rsidRPr="00524EEA" w:rsidRDefault="0032751B" w:rsidP="0032751B">
      <w:pPr>
        <w:rPr>
          <w:b/>
        </w:rPr>
      </w:pPr>
      <w:r w:rsidRPr="00524EEA">
        <w:t xml:space="preserve">All three components of the primary composite endpoint individually contributed to the treatment effect (Figure </w:t>
      </w:r>
      <w:r w:rsidR="00395B85">
        <w:t>12</w:t>
      </w:r>
      <w:r w:rsidRPr="00524EEA">
        <w:t>). There were few urgent heart failure visits. FORXIGA also reduced the incidence of cardiovascular death or hospitalization for heart failure (HR 0.75 [95% CI 0.65, 0.85], p &lt; 0.0001).</w:t>
      </w:r>
    </w:p>
    <w:p w14:paraId="579D16FB" w14:textId="17DAC0E2" w:rsidR="0032751B" w:rsidRPr="00AF7D0B" w:rsidRDefault="0032751B" w:rsidP="00AF7D0B">
      <w:pPr>
        <w:pStyle w:val="FigureTitle"/>
      </w:pPr>
      <w:r w:rsidRPr="00AF7D0B">
        <w:t xml:space="preserve">Figure </w:t>
      </w:r>
      <w:r w:rsidR="00AF7D0B">
        <w:t>12</w:t>
      </w:r>
      <w:r w:rsidRPr="00AF7D0B">
        <w:tab/>
        <w:t>Treatment effects for the primary composite endpoint, its components</w:t>
      </w:r>
      <w:r w:rsidR="00AF7D0B">
        <w:t xml:space="preserve"> </w:t>
      </w:r>
      <w:r w:rsidRPr="00AF7D0B">
        <w:t>and all-cause mortality</w:t>
      </w:r>
    </w:p>
    <w:p w14:paraId="40878309" w14:textId="77777777" w:rsidR="0032751B" w:rsidRPr="00524EEA" w:rsidRDefault="0032751B" w:rsidP="0032751B">
      <w:pPr>
        <w:autoSpaceDE w:val="0"/>
        <w:autoSpaceDN w:val="0"/>
        <w:adjustRightInd w:val="0"/>
        <w:spacing w:after="0" w:line="240" w:lineRule="auto"/>
        <w:rPr>
          <w:rFonts w:ascii="TimesNewRoman" w:hAnsi="TimesNewRoman" w:cs="TimesNewRoman"/>
          <w:color w:val="B6082E"/>
          <w:sz w:val="16"/>
          <w:szCs w:val="16"/>
        </w:rPr>
      </w:pPr>
      <w:r w:rsidRPr="00524EEA">
        <w:rPr>
          <w:noProof/>
          <w:lang w:eastAsia="en-AU"/>
        </w:rPr>
        <w:drawing>
          <wp:inline distT="0" distB="0" distL="0" distR="0" wp14:anchorId="381B20C8" wp14:editId="03C56A68">
            <wp:extent cx="5575465" cy="4214647"/>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96007" cy="4230176"/>
                    </a:xfrm>
                    <a:prstGeom prst="rect">
                      <a:avLst/>
                    </a:prstGeom>
                  </pic:spPr>
                </pic:pic>
              </a:graphicData>
            </a:graphic>
          </wp:inline>
        </w:drawing>
      </w:r>
    </w:p>
    <w:p w14:paraId="29BAC0AB" w14:textId="77777777" w:rsidR="0032751B" w:rsidRPr="00524EEA" w:rsidRDefault="0032751B" w:rsidP="0032751B">
      <w:pPr>
        <w:autoSpaceDE w:val="0"/>
        <w:autoSpaceDN w:val="0"/>
        <w:adjustRightInd w:val="0"/>
        <w:spacing w:after="0" w:line="240" w:lineRule="auto"/>
        <w:rPr>
          <w:rFonts w:ascii="TimesNewRoman" w:hAnsi="TimesNewRoman" w:cs="TimesNewRoman"/>
          <w:color w:val="B6082E"/>
          <w:sz w:val="16"/>
          <w:szCs w:val="16"/>
        </w:rPr>
      </w:pPr>
    </w:p>
    <w:p w14:paraId="7C7E3623"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lang w:val="en-GB"/>
        </w:rPr>
        <w:t>An urgent heart failure visit was defined as an urgent, unplanned, assessment by a physician, e.g. in an Emergency Department, and requiring treatment for worsening heart failure (other than just an increase in oral diuretics).</w:t>
      </w:r>
    </w:p>
    <w:p w14:paraId="10EFCAA3"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lang w:val="en-GB"/>
        </w:rPr>
        <w:t>The number of first events for the single components are the actual number of first events for each component and does not add up to the number of events in the composite endpoint.</w:t>
      </w:r>
    </w:p>
    <w:p w14:paraId="5A3D94AC"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lang w:val="en-GB"/>
        </w:rPr>
        <w:t>Event rates are presented as the number of subjects with event per 100 patient years of follow-up.</w:t>
      </w:r>
    </w:p>
    <w:p w14:paraId="077D72F0"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lang w:val="en-GB"/>
        </w:rPr>
        <w:t>p-values for single components and all-cause mortality are nominal.</w:t>
      </w:r>
    </w:p>
    <w:p w14:paraId="72AF1C9A" w14:textId="77777777" w:rsidR="0032751B" w:rsidRPr="00524EEA" w:rsidRDefault="0032751B" w:rsidP="0032751B">
      <w:pPr>
        <w:autoSpaceDE w:val="0"/>
        <w:autoSpaceDN w:val="0"/>
        <w:adjustRightInd w:val="0"/>
        <w:spacing w:after="0" w:line="240" w:lineRule="auto"/>
        <w:rPr>
          <w:rFonts w:ascii="TimesNewRoman" w:hAnsi="TimesNewRoman" w:cs="TimesNewRoman"/>
          <w:color w:val="B6082E"/>
          <w:sz w:val="14"/>
          <w:szCs w:val="14"/>
        </w:rPr>
      </w:pPr>
    </w:p>
    <w:p w14:paraId="42E941B9" w14:textId="77777777" w:rsidR="0032751B" w:rsidRPr="00524EEA" w:rsidRDefault="0032751B" w:rsidP="0032751B">
      <w:pPr>
        <w:autoSpaceDE w:val="0"/>
        <w:autoSpaceDN w:val="0"/>
        <w:adjustRightInd w:val="0"/>
        <w:spacing w:after="0" w:line="240" w:lineRule="auto"/>
        <w:jc w:val="both"/>
      </w:pPr>
      <w:r w:rsidRPr="00524EEA">
        <w:t>FORXIGA also reduced the total number of events of hospitalizations for heart failure (first</w:t>
      </w:r>
    </w:p>
    <w:p w14:paraId="098B20C4" w14:textId="77777777" w:rsidR="0032751B" w:rsidRPr="00524EEA" w:rsidRDefault="0032751B" w:rsidP="0032751B">
      <w:pPr>
        <w:autoSpaceDE w:val="0"/>
        <w:autoSpaceDN w:val="0"/>
        <w:adjustRightInd w:val="0"/>
        <w:spacing w:after="0" w:line="240" w:lineRule="auto"/>
        <w:jc w:val="both"/>
      </w:pPr>
      <w:r w:rsidRPr="00524EEA">
        <w:t>and recurrent) and cardiovascular death; there were 567 events in the FORXIGA group versus 742 events in the placebo group (Rate Ratio 0.75 [95% CI 0.65, 0.88]; p=0.0002).</w:t>
      </w:r>
    </w:p>
    <w:p w14:paraId="3974A86A" w14:textId="77777777" w:rsidR="0032751B" w:rsidRPr="00524EEA" w:rsidRDefault="0032751B" w:rsidP="0032751B">
      <w:pPr>
        <w:autoSpaceDE w:val="0"/>
        <w:autoSpaceDN w:val="0"/>
        <w:adjustRightInd w:val="0"/>
        <w:spacing w:after="0" w:line="240" w:lineRule="auto"/>
        <w:jc w:val="both"/>
      </w:pPr>
    </w:p>
    <w:p w14:paraId="4B6DC09A" w14:textId="77777777" w:rsidR="0032751B" w:rsidRPr="00524EEA" w:rsidRDefault="0032751B" w:rsidP="0032751B">
      <w:pPr>
        <w:autoSpaceDE w:val="0"/>
        <w:autoSpaceDN w:val="0"/>
        <w:adjustRightInd w:val="0"/>
        <w:spacing w:after="0" w:line="240" w:lineRule="auto"/>
        <w:jc w:val="both"/>
      </w:pPr>
      <w:r w:rsidRPr="00524EEA">
        <w:t>The treatment benefit of FORXIGA was observed in heart failure patients both with type 2</w:t>
      </w:r>
    </w:p>
    <w:p w14:paraId="4C82A278" w14:textId="29985E29" w:rsidR="0032751B" w:rsidRPr="00524EEA" w:rsidRDefault="0032751B" w:rsidP="0032751B">
      <w:pPr>
        <w:autoSpaceDE w:val="0"/>
        <w:autoSpaceDN w:val="0"/>
        <w:adjustRightInd w:val="0"/>
        <w:spacing w:after="0" w:line="240" w:lineRule="auto"/>
        <w:jc w:val="both"/>
      </w:pPr>
      <w:r w:rsidRPr="00524EEA">
        <w:t>diabetes mellitus and without diabetes (Figure 1</w:t>
      </w:r>
      <w:r w:rsidR="00395B85">
        <w:t>3</w:t>
      </w:r>
      <w:r w:rsidRPr="00524EEA">
        <w:t>).</w:t>
      </w:r>
    </w:p>
    <w:p w14:paraId="4A9FBD38" w14:textId="77777777" w:rsidR="0032751B" w:rsidRPr="00524EEA" w:rsidRDefault="0032751B" w:rsidP="0032751B">
      <w:pPr>
        <w:autoSpaceDE w:val="0"/>
        <w:autoSpaceDN w:val="0"/>
        <w:adjustRightInd w:val="0"/>
        <w:spacing w:after="0" w:line="240" w:lineRule="auto"/>
        <w:rPr>
          <w:b/>
        </w:rPr>
      </w:pPr>
    </w:p>
    <w:p w14:paraId="6D2AEF33" w14:textId="77777777" w:rsidR="0032751B" w:rsidRPr="00524EEA" w:rsidRDefault="0032751B" w:rsidP="0032751B">
      <w:pPr>
        <w:rPr>
          <w:b/>
        </w:rPr>
      </w:pPr>
      <w:r w:rsidRPr="00524EEA">
        <w:rPr>
          <w:b/>
        </w:rPr>
        <w:br w:type="page"/>
      </w:r>
    </w:p>
    <w:p w14:paraId="232759E9" w14:textId="62CAFFEE" w:rsidR="0032751B" w:rsidRPr="00AF7D0B" w:rsidRDefault="0032751B" w:rsidP="00AF7D0B">
      <w:pPr>
        <w:pStyle w:val="FigureTitle"/>
      </w:pPr>
      <w:r w:rsidRPr="00AF7D0B">
        <w:t>Figure 1</w:t>
      </w:r>
      <w:r w:rsidR="00AF7D0B">
        <w:t>3</w:t>
      </w:r>
      <w:r w:rsidRPr="00AF7D0B">
        <w:tab/>
        <w:t>Treatment effects in all patients, in patients with type 2 diabetes mellitus and in patients without diabetes</w:t>
      </w:r>
    </w:p>
    <w:p w14:paraId="37B10627" w14:textId="77777777" w:rsidR="0032751B" w:rsidRPr="00524EEA" w:rsidRDefault="0032751B" w:rsidP="0032751B">
      <w:r w:rsidRPr="00524EEA">
        <w:rPr>
          <w:noProof/>
          <w:lang w:eastAsia="en-AU"/>
        </w:rPr>
        <w:drawing>
          <wp:inline distT="0" distB="0" distL="0" distR="0" wp14:anchorId="478FD1C7" wp14:editId="736F8965">
            <wp:extent cx="5622966" cy="61014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44016" cy="6124250"/>
                    </a:xfrm>
                    <a:prstGeom prst="rect">
                      <a:avLst/>
                    </a:prstGeom>
                  </pic:spPr>
                </pic:pic>
              </a:graphicData>
            </a:graphic>
          </wp:inline>
        </w:drawing>
      </w:r>
    </w:p>
    <w:p w14:paraId="1D45DD16"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lang w:val="en-GB"/>
        </w:rPr>
        <w:t>An urgent heart failure visit was defined as an urgent, unplanned, assessment by a physician, e.g. in an Emergency Department, and requiring treatment for worsening heart failure (other than just an increase in oral diuretics).</w:t>
      </w:r>
    </w:p>
    <w:p w14:paraId="1C3F6372" w14:textId="04B98216"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lang w:val="en-GB"/>
        </w:rPr>
        <w:t>For the composite of recurrent hospitalizations for heart failure and cardiovascular death, r</w:t>
      </w:r>
      <w:r w:rsidR="00242679" w:rsidRPr="00524EEA">
        <w:rPr>
          <w:rFonts w:eastAsia="Times New Roman" w:cs="Times New Roman"/>
          <w:sz w:val="18"/>
          <w:szCs w:val="20"/>
          <w:lang w:val="en-GB"/>
        </w:rPr>
        <w:t>ate</w:t>
      </w:r>
      <w:r w:rsidRPr="00524EEA">
        <w:rPr>
          <w:rFonts w:eastAsia="Times New Roman" w:cs="Times New Roman"/>
          <w:sz w:val="18"/>
          <w:szCs w:val="20"/>
          <w:lang w:val="en-GB"/>
        </w:rPr>
        <w:t xml:space="preserve"> ratios are presented rather than hazard ratios and the numbers of events are shown rather than subjects with event.</w:t>
      </w:r>
    </w:p>
    <w:p w14:paraId="46D6C6B5"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lang w:val="en-GB"/>
        </w:rPr>
        <w:t>The number of first events for the single components are the actual number of first events for each component and does not add up to the number of events in the composite endpoint.</w:t>
      </w:r>
    </w:p>
    <w:p w14:paraId="3891F3BB"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lang w:val="en-GB"/>
        </w:rPr>
        <w:t>Event rates are presented as the number of subjects with event per 100 patient years of follow-up, or, for the composite of</w:t>
      </w:r>
    </w:p>
    <w:p w14:paraId="52402EF0"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lang w:val="en-GB"/>
        </w:rPr>
        <w:t>recurrent heart failure hospitalizations and CV death, as the average number of events per 100 patient years.</w:t>
      </w:r>
    </w:p>
    <w:p w14:paraId="03559D82"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lang w:val="en-GB"/>
        </w:rPr>
        <w:t>p-values for components of the primary composite endpoint and for all-cause mortality are nominal.</w:t>
      </w:r>
    </w:p>
    <w:p w14:paraId="0688426C" w14:textId="77777777" w:rsidR="0032751B" w:rsidRPr="00524EEA" w:rsidRDefault="0032751B" w:rsidP="0032751B">
      <w:pPr>
        <w:autoSpaceDE w:val="0"/>
        <w:autoSpaceDN w:val="0"/>
        <w:adjustRightInd w:val="0"/>
        <w:spacing w:after="0" w:line="240" w:lineRule="auto"/>
      </w:pPr>
    </w:p>
    <w:p w14:paraId="3468D392" w14:textId="77777777" w:rsidR="0032751B" w:rsidRPr="00524EEA" w:rsidRDefault="0032751B" w:rsidP="0032751B">
      <w:r w:rsidRPr="00524EEA">
        <w:br w:type="page"/>
      </w:r>
    </w:p>
    <w:p w14:paraId="34895391" w14:textId="77777777" w:rsidR="0032751B" w:rsidRPr="00524EEA" w:rsidRDefault="0032751B" w:rsidP="0032751B">
      <w:pPr>
        <w:autoSpaceDE w:val="0"/>
        <w:autoSpaceDN w:val="0"/>
        <w:adjustRightInd w:val="0"/>
        <w:spacing w:after="0" w:line="240" w:lineRule="auto"/>
      </w:pPr>
      <w:r w:rsidRPr="00524EEA">
        <w:t>The treatment benefit of FORXIGA over placebo on the primary endpoint was also consistent</w:t>
      </w:r>
    </w:p>
    <w:p w14:paraId="1357BF1D" w14:textId="065E84ED" w:rsidR="0032751B" w:rsidRPr="00524EEA" w:rsidRDefault="0032751B" w:rsidP="0032751B">
      <w:r w:rsidRPr="00524EEA">
        <w:t>across other key subgroups (Figure 1</w:t>
      </w:r>
      <w:r w:rsidR="00395B85">
        <w:t>4</w:t>
      </w:r>
      <w:r w:rsidRPr="00524EEA">
        <w:t>).</w:t>
      </w:r>
    </w:p>
    <w:p w14:paraId="284B826B" w14:textId="1C8E2F6D" w:rsidR="0032751B" w:rsidRPr="00AF7D0B" w:rsidRDefault="0032751B" w:rsidP="00AF7D0B">
      <w:pPr>
        <w:pStyle w:val="FigureTitle"/>
      </w:pPr>
      <w:r w:rsidRPr="00AF7D0B">
        <w:t>Figure 1</w:t>
      </w:r>
      <w:r w:rsidR="00AF7D0B">
        <w:t>4</w:t>
      </w:r>
      <w:r w:rsidRPr="00AF7D0B">
        <w:tab/>
        <w:t>Treatment effects for the primary composite endpoint by sub-groups</w:t>
      </w:r>
    </w:p>
    <w:p w14:paraId="73D71643" w14:textId="77777777" w:rsidR="0032751B" w:rsidRPr="00524EEA" w:rsidRDefault="0032751B" w:rsidP="0032751B">
      <w:r w:rsidRPr="00524EEA">
        <w:rPr>
          <w:noProof/>
          <w:lang w:eastAsia="en-AU"/>
        </w:rPr>
        <w:drawing>
          <wp:inline distT="0" distB="0" distL="0" distR="0" wp14:anchorId="18F6DA2F" wp14:editId="511D0587">
            <wp:extent cx="5162550" cy="59150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162550" cy="5915025"/>
                    </a:xfrm>
                    <a:prstGeom prst="rect">
                      <a:avLst/>
                    </a:prstGeom>
                  </pic:spPr>
                </pic:pic>
              </a:graphicData>
            </a:graphic>
          </wp:inline>
        </w:drawing>
      </w:r>
    </w:p>
    <w:p w14:paraId="1D7E0EEA"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vertAlign w:val="superscript"/>
          <w:lang w:val="en-GB"/>
        </w:rPr>
        <w:t>a</w:t>
      </w:r>
      <w:r w:rsidRPr="00524EEA">
        <w:rPr>
          <w:rFonts w:eastAsia="Times New Roman" w:cs="Times New Roman"/>
          <w:sz w:val="18"/>
          <w:szCs w:val="20"/>
          <w:lang w:val="en-GB"/>
        </w:rPr>
        <w:t xml:space="preserve"> Hazard ratio estimates are not presented for subgroups with less than 15 events in total, both arms combined.</w:t>
      </w:r>
      <w:r w:rsidRPr="00524EEA">
        <w:rPr>
          <w:rFonts w:eastAsia="Times New Roman" w:cs="Times New Roman"/>
          <w:sz w:val="18"/>
          <w:szCs w:val="20"/>
          <w:lang w:val="en-GB"/>
        </w:rPr>
        <w:br/>
        <w:t>n/N# Number of subjects with event/number of subjects in the subgroup.</w:t>
      </w:r>
      <w:r w:rsidRPr="00524EEA">
        <w:rPr>
          <w:rFonts w:eastAsia="Times New Roman" w:cs="Times New Roman"/>
          <w:sz w:val="18"/>
          <w:szCs w:val="20"/>
          <w:lang w:val="en-GB"/>
        </w:rPr>
        <w:br/>
        <w:t>NT-</w:t>
      </w:r>
      <w:proofErr w:type="spellStart"/>
      <w:r w:rsidRPr="00524EEA">
        <w:rPr>
          <w:rFonts w:eastAsia="Times New Roman" w:cs="Times New Roman"/>
          <w:sz w:val="18"/>
          <w:szCs w:val="20"/>
          <w:lang w:val="en-GB"/>
        </w:rPr>
        <w:t>proBNP</w:t>
      </w:r>
      <w:proofErr w:type="spellEnd"/>
      <w:r w:rsidRPr="00524EEA">
        <w:rPr>
          <w:rFonts w:eastAsia="Times New Roman" w:cs="Times New Roman"/>
          <w:sz w:val="18"/>
          <w:szCs w:val="20"/>
          <w:lang w:val="en-GB"/>
        </w:rPr>
        <w:t xml:space="preserve"> = N-terminal pro b-type natriuretic peptide. HF = Heart failure</w:t>
      </w:r>
    </w:p>
    <w:p w14:paraId="080EE32E" w14:textId="77777777" w:rsidR="0032751B" w:rsidRPr="00524EEA" w:rsidRDefault="0032751B" w:rsidP="0032751B">
      <w:pPr>
        <w:autoSpaceDE w:val="0"/>
        <w:autoSpaceDN w:val="0"/>
        <w:adjustRightInd w:val="0"/>
        <w:spacing w:after="0" w:line="240" w:lineRule="auto"/>
        <w:rPr>
          <w:sz w:val="16"/>
          <w:szCs w:val="16"/>
        </w:rPr>
      </w:pPr>
    </w:p>
    <w:p w14:paraId="3E2E09B8" w14:textId="77777777" w:rsidR="0032751B" w:rsidRPr="00524EEA" w:rsidRDefault="0032751B" w:rsidP="0032751B">
      <w:pPr>
        <w:pStyle w:val="Heading5"/>
      </w:pPr>
      <w:r w:rsidRPr="00524EEA">
        <w:t>Patient reported outcome – heart failure symptoms</w:t>
      </w:r>
    </w:p>
    <w:p w14:paraId="07379F8E" w14:textId="77777777" w:rsidR="0032751B" w:rsidRPr="00524EEA" w:rsidRDefault="0032751B" w:rsidP="0032751B">
      <w:r w:rsidRPr="00524EEA">
        <w:t>The treatment effect of FORXIGA on heart failure symptoms was assessed by the Total Symptom Score of the Kansas City Cardiomyopathy Questionnaire (KCCQ-TSS), which quantifies heart failure symptom frequency and severity, including fatigue, peripheral oedema, dyspnoea and orthopnoea. The score ranges from 0 to 100, with higher scores representing better health status.</w:t>
      </w:r>
    </w:p>
    <w:p w14:paraId="7BF0B78A" w14:textId="77777777" w:rsidR="0032751B" w:rsidRPr="00524EEA" w:rsidRDefault="0032751B" w:rsidP="0032751B">
      <w:r w:rsidRPr="00524EEA">
        <w:t>Treatment with FORXIGA resulted in a statistically significant and clinically meaningful benefit over placebo in heart failure symptoms, as measured by change from baseline to Month 8 in the KCCQ-TSS, (Win Ratio 1.18 [95% CI 1.11, 1.26]; p&lt;0.0001). Both symptom frequency and symptom burden contributed to the results. Benefit was seen both in improving heart failure symptoms and in preventing deterioration of heart failure symptoms.</w:t>
      </w:r>
    </w:p>
    <w:p w14:paraId="5CBE28BC" w14:textId="15411C93" w:rsidR="0032751B" w:rsidRPr="00524EEA" w:rsidRDefault="0032751B" w:rsidP="0032751B">
      <w:r w:rsidRPr="00524EEA">
        <w:t xml:space="preserve">In responder analyses, the proportion of patients with a clinically meaningful improvement on the KCCQ-TSS from baseline at 8 months, defined as 5 points or more, was higher for the </w:t>
      </w:r>
      <w:proofErr w:type="spellStart"/>
      <w:r w:rsidRPr="00524EEA">
        <w:t>dapagliflozin</w:t>
      </w:r>
      <w:proofErr w:type="spellEnd"/>
      <w:r w:rsidRPr="00524EEA">
        <w:t xml:space="preserve"> treatment group compared with placebo. The proportion of patients with a clinically meaningful deterioration, defined as 5 points or more, was lower for the </w:t>
      </w:r>
      <w:proofErr w:type="spellStart"/>
      <w:r w:rsidRPr="00524EEA">
        <w:t>dapagliflozin</w:t>
      </w:r>
      <w:proofErr w:type="spellEnd"/>
      <w:r w:rsidRPr="00524EEA">
        <w:t xml:space="preserve"> treatment group compared to placebo. The benefits observed with </w:t>
      </w:r>
      <w:proofErr w:type="spellStart"/>
      <w:r w:rsidRPr="00524EEA">
        <w:t>dapagliflozin</w:t>
      </w:r>
      <w:proofErr w:type="spellEnd"/>
      <w:r w:rsidRPr="00524EEA">
        <w:t xml:space="preserve"> remained when applying more conservative cut-offs for larger clinically meaningful change (Table 1</w:t>
      </w:r>
      <w:r w:rsidR="00A473A3" w:rsidRPr="00524EEA">
        <w:t>0</w:t>
      </w:r>
      <w:r w:rsidRPr="00524EEA">
        <w:t>).</w:t>
      </w:r>
    </w:p>
    <w:p w14:paraId="062D9B07" w14:textId="7DF1F69C" w:rsidR="0032751B" w:rsidRPr="00AF7D0B" w:rsidRDefault="0032751B" w:rsidP="00AF7D0B">
      <w:pPr>
        <w:pStyle w:val="A-TableTitle"/>
        <w:rPr>
          <w:lang w:val="en-AU"/>
        </w:rPr>
      </w:pPr>
      <w:r w:rsidRPr="00AF7D0B">
        <w:rPr>
          <w:lang w:val="en-AU"/>
        </w:rPr>
        <w:t>Table 1</w:t>
      </w:r>
      <w:r w:rsidR="00A473A3" w:rsidRPr="00AF7D0B">
        <w:rPr>
          <w:lang w:val="en-AU"/>
        </w:rPr>
        <w:t>0</w:t>
      </w:r>
      <w:r w:rsidRPr="00AF7D0B">
        <w:rPr>
          <w:lang w:val="en-AU"/>
        </w:rPr>
        <w:tab/>
        <w:t>Number and percent of patients with clinically meaningful improvement and deterioration on the KCCQ-TSS at 8 months</w:t>
      </w:r>
    </w:p>
    <w:tbl>
      <w:tblPr>
        <w:tblStyle w:val="TableGrid"/>
        <w:tblW w:w="9129" w:type="dxa"/>
        <w:tblBorders>
          <w:top w:val="single" w:sz="8" w:space="0" w:color="auto"/>
          <w:left w:val="none" w:sz="0" w:space="0" w:color="auto"/>
          <w:bottom w:val="single" w:sz="8"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3820"/>
        <w:gridCol w:w="1361"/>
        <w:gridCol w:w="1416"/>
        <w:gridCol w:w="1516"/>
        <w:gridCol w:w="1016"/>
      </w:tblGrid>
      <w:tr w:rsidR="0032751B" w:rsidRPr="00524EEA" w14:paraId="63859D3F" w14:textId="77777777" w:rsidTr="003D3D3A">
        <w:tc>
          <w:tcPr>
            <w:tcW w:w="3820" w:type="dxa"/>
          </w:tcPr>
          <w:p w14:paraId="1EA11025" w14:textId="77777777" w:rsidR="0032751B" w:rsidRPr="00524EEA" w:rsidRDefault="0032751B" w:rsidP="003D3D3A">
            <w:pPr>
              <w:spacing w:before="20" w:after="20"/>
              <w:rPr>
                <w:rFonts w:cs="Times New Roman"/>
                <w:b/>
                <w:sz w:val="20"/>
                <w:szCs w:val="20"/>
              </w:rPr>
            </w:pPr>
            <w:r w:rsidRPr="00524EEA">
              <w:rPr>
                <w:rFonts w:cs="Times New Roman"/>
                <w:b/>
                <w:sz w:val="20"/>
                <w:szCs w:val="20"/>
              </w:rPr>
              <w:t>Change from baseline at</w:t>
            </w:r>
          </w:p>
          <w:p w14:paraId="23F5228D" w14:textId="77777777" w:rsidR="0032751B" w:rsidRPr="00524EEA" w:rsidRDefault="0032751B" w:rsidP="003D3D3A">
            <w:pPr>
              <w:spacing w:before="20" w:after="20"/>
              <w:rPr>
                <w:rFonts w:cs="Times New Roman"/>
                <w:b/>
                <w:sz w:val="20"/>
                <w:szCs w:val="20"/>
              </w:rPr>
            </w:pPr>
            <w:r w:rsidRPr="00524EEA">
              <w:rPr>
                <w:rFonts w:cs="Times New Roman"/>
                <w:b/>
                <w:sz w:val="20"/>
                <w:szCs w:val="20"/>
              </w:rPr>
              <w:t>8 months:</w:t>
            </w:r>
          </w:p>
        </w:tc>
        <w:tc>
          <w:tcPr>
            <w:tcW w:w="1361" w:type="dxa"/>
          </w:tcPr>
          <w:p w14:paraId="0E3B3D2A" w14:textId="77777777" w:rsidR="0032751B" w:rsidRPr="00524EEA" w:rsidRDefault="0032751B" w:rsidP="003D3D3A">
            <w:pPr>
              <w:spacing w:before="20" w:after="20"/>
              <w:jc w:val="center"/>
              <w:rPr>
                <w:rFonts w:cs="Times New Roman"/>
                <w:b/>
                <w:sz w:val="20"/>
                <w:szCs w:val="20"/>
              </w:rPr>
            </w:pPr>
            <w:proofErr w:type="spellStart"/>
            <w:r w:rsidRPr="00524EEA">
              <w:rPr>
                <w:rFonts w:cs="Times New Roman"/>
                <w:b/>
                <w:sz w:val="20"/>
                <w:szCs w:val="20"/>
              </w:rPr>
              <w:t>Dapagliflozin</w:t>
            </w:r>
            <w:proofErr w:type="spellEnd"/>
          </w:p>
          <w:p w14:paraId="11A621BE" w14:textId="77777777" w:rsidR="0032751B" w:rsidRPr="00524EEA" w:rsidRDefault="0032751B" w:rsidP="003D3D3A">
            <w:pPr>
              <w:spacing w:before="20" w:after="20"/>
              <w:jc w:val="center"/>
              <w:rPr>
                <w:rFonts w:cs="Times New Roman"/>
                <w:b/>
                <w:sz w:val="20"/>
                <w:szCs w:val="20"/>
              </w:rPr>
            </w:pPr>
            <w:r w:rsidRPr="00524EEA">
              <w:rPr>
                <w:rFonts w:cs="Times New Roman"/>
                <w:b/>
                <w:sz w:val="20"/>
                <w:szCs w:val="20"/>
              </w:rPr>
              <w:t>10 mg</w:t>
            </w:r>
          </w:p>
          <w:p w14:paraId="2D693351" w14:textId="77777777" w:rsidR="0032751B" w:rsidRPr="00524EEA" w:rsidRDefault="0032751B" w:rsidP="003D3D3A">
            <w:pPr>
              <w:spacing w:before="20" w:after="20"/>
              <w:jc w:val="center"/>
              <w:rPr>
                <w:rFonts w:cs="Times New Roman"/>
                <w:b/>
                <w:sz w:val="20"/>
                <w:szCs w:val="20"/>
              </w:rPr>
            </w:pPr>
            <w:proofErr w:type="spellStart"/>
            <w:r w:rsidRPr="00524EEA">
              <w:rPr>
                <w:rFonts w:cs="Times New Roman"/>
                <w:b/>
                <w:sz w:val="20"/>
                <w:szCs w:val="20"/>
              </w:rPr>
              <w:t>n</w:t>
            </w:r>
            <w:r w:rsidRPr="00524EEA">
              <w:rPr>
                <w:rFonts w:cs="Times New Roman"/>
                <w:b/>
                <w:sz w:val="20"/>
                <w:szCs w:val="20"/>
                <w:vertAlign w:val="superscript"/>
              </w:rPr>
              <w:t>a</w:t>
            </w:r>
            <w:proofErr w:type="spellEnd"/>
            <w:r w:rsidRPr="00524EEA">
              <w:rPr>
                <w:rFonts w:cs="Times New Roman"/>
                <w:b/>
                <w:sz w:val="20"/>
                <w:szCs w:val="20"/>
              </w:rPr>
              <w:t>=2086</w:t>
            </w:r>
          </w:p>
        </w:tc>
        <w:tc>
          <w:tcPr>
            <w:tcW w:w="1416" w:type="dxa"/>
          </w:tcPr>
          <w:p w14:paraId="37E2743B" w14:textId="77777777" w:rsidR="0032751B" w:rsidRPr="00524EEA" w:rsidRDefault="0032751B" w:rsidP="003D3D3A">
            <w:pPr>
              <w:spacing w:before="20" w:after="20"/>
              <w:jc w:val="center"/>
              <w:rPr>
                <w:rFonts w:cs="Times New Roman"/>
                <w:b/>
                <w:sz w:val="20"/>
                <w:szCs w:val="20"/>
              </w:rPr>
            </w:pPr>
            <w:r w:rsidRPr="00524EEA">
              <w:rPr>
                <w:rFonts w:cs="Times New Roman"/>
                <w:b/>
                <w:sz w:val="20"/>
                <w:szCs w:val="20"/>
              </w:rPr>
              <w:t>Placebo</w:t>
            </w:r>
          </w:p>
          <w:p w14:paraId="0591D20E" w14:textId="77777777" w:rsidR="0032751B" w:rsidRPr="00524EEA" w:rsidRDefault="0032751B" w:rsidP="003D3D3A">
            <w:pPr>
              <w:spacing w:before="20" w:after="20"/>
              <w:jc w:val="center"/>
              <w:rPr>
                <w:rFonts w:cs="Times New Roman"/>
                <w:b/>
                <w:sz w:val="20"/>
                <w:szCs w:val="20"/>
              </w:rPr>
            </w:pPr>
            <w:proofErr w:type="spellStart"/>
            <w:r w:rsidRPr="00524EEA">
              <w:rPr>
                <w:rFonts w:cs="Times New Roman"/>
                <w:b/>
                <w:sz w:val="20"/>
                <w:szCs w:val="20"/>
              </w:rPr>
              <w:t>n</w:t>
            </w:r>
            <w:r w:rsidRPr="00524EEA">
              <w:rPr>
                <w:rFonts w:cs="Times New Roman"/>
                <w:b/>
                <w:sz w:val="20"/>
                <w:szCs w:val="20"/>
                <w:vertAlign w:val="superscript"/>
              </w:rPr>
              <w:t>a</w:t>
            </w:r>
            <w:proofErr w:type="spellEnd"/>
            <w:r w:rsidRPr="00524EEA">
              <w:rPr>
                <w:rFonts w:cs="Times New Roman"/>
                <w:b/>
                <w:sz w:val="20"/>
                <w:szCs w:val="20"/>
              </w:rPr>
              <w:t>=2062</w:t>
            </w:r>
          </w:p>
        </w:tc>
        <w:tc>
          <w:tcPr>
            <w:tcW w:w="1516" w:type="dxa"/>
          </w:tcPr>
          <w:p w14:paraId="463415AA" w14:textId="77777777" w:rsidR="0032751B" w:rsidRPr="00524EEA" w:rsidRDefault="0032751B" w:rsidP="003D3D3A">
            <w:pPr>
              <w:spacing w:before="20" w:after="20"/>
              <w:rPr>
                <w:rFonts w:cs="Times New Roman"/>
                <w:sz w:val="20"/>
                <w:szCs w:val="20"/>
              </w:rPr>
            </w:pPr>
          </w:p>
        </w:tc>
        <w:tc>
          <w:tcPr>
            <w:tcW w:w="1016" w:type="dxa"/>
          </w:tcPr>
          <w:p w14:paraId="572FE589" w14:textId="77777777" w:rsidR="0032751B" w:rsidRPr="00524EEA" w:rsidRDefault="0032751B" w:rsidP="003D3D3A">
            <w:pPr>
              <w:spacing w:before="20" w:after="20"/>
              <w:rPr>
                <w:rFonts w:cs="Times New Roman"/>
                <w:sz w:val="20"/>
                <w:szCs w:val="20"/>
              </w:rPr>
            </w:pPr>
          </w:p>
        </w:tc>
      </w:tr>
      <w:tr w:rsidR="0032751B" w:rsidRPr="00524EEA" w14:paraId="7A756EA6" w14:textId="77777777" w:rsidTr="003D3D3A">
        <w:tc>
          <w:tcPr>
            <w:tcW w:w="3820" w:type="dxa"/>
          </w:tcPr>
          <w:p w14:paraId="17EE69FB" w14:textId="77777777" w:rsidR="0032751B" w:rsidRPr="00524EEA" w:rsidRDefault="0032751B" w:rsidP="003D3D3A">
            <w:pPr>
              <w:spacing w:before="20" w:after="20"/>
              <w:rPr>
                <w:rFonts w:cs="Times New Roman"/>
                <w:b/>
                <w:sz w:val="20"/>
                <w:szCs w:val="20"/>
              </w:rPr>
            </w:pPr>
            <w:r w:rsidRPr="00524EEA">
              <w:rPr>
                <w:rFonts w:cs="Times New Roman"/>
                <w:b/>
                <w:i/>
                <w:iCs/>
                <w:sz w:val="20"/>
                <w:szCs w:val="20"/>
              </w:rPr>
              <w:t>Improvement</w:t>
            </w:r>
          </w:p>
        </w:tc>
        <w:tc>
          <w:tcPr>
            <w:tcW w:w="1361" w:type="dxa"/>
          </w:tcPr>
          <w:p w14:paraId="306491D5" w14:textId="77777777" w:rsidR="0032751B" w:rsidRPr="00524EEA" w:rsidRDefault="0032751B" w:rsidP="003D3D3A">
            <w:pPr>
              <w:spacing w:before="20" w:after="20"/>
              <w:jc w:val="center"/>
              <w:rPr>
                <w:rFonts w:cs="Times New Roman"/>
                <w:b/>
                <w:sz w:val="20"/>
                <w:szCs w:val="20"/>
              </w:rPr>
            </w:pPr>
            <w:r w:rsidRPr="00524EEA">
              <w:rPr>
                <w:rFonts w:cs="Times New Roman"/>
                <w:b/>
                <w:sz w:val="20"/>
                <w:szCs w:val="20"/>
              </w:rPr>
              <w:t>n (%)</w:t>
            </w:r>
          </w:p>
          <w:p w14:paraId="1D3B7571" w14:textId="77777777" w:rsidR="0032751B" w:rsidRPr="00524EEA" w:rsidRDefault="0032751B" w:rsidP="003D3D3A">
            <w:pPr>
              <w:spacing w:before="20" w:after="20"/>
              <w:jc w:val="center"/>
              <w:rPr>
                <w:rFonts w:cs="Times New Roman"/>
                <w:b/>
                <w:sz w:val="20"/>
                <w:szCs w:val="20"/>
              </w:rPr>
            </w:pPr>
            <w:proofErr w:type="spellStart"/>
            <w:r w:rsidRPr="00524EEA">
              <w:rPr>
                <w:rFonts w:cs="Times New Roman"/>
                <w:b/>
                <w:sz w:val="20"/>
                <w:szCs w:val="20"/>
              </w:rPr>
              <w:t>improved</w:t>
            </w:r>
            <w:r w:rsidRPr="00524EEA">
              <w:rPr>
                <w:rFonts w:cs="Times New Roman"/>
                <w:b/>
                <w:sz w:val="20"/>
                <w:szCs w:val="20"/>
                <w:vertAlign w:val="superscript"/>
              </w:rPr>
              <w:t>b</w:t>
            </w:r>
            <w:proofErr w:type="spellEnd"/>
          </w:p>
        </w:tc>
        <w:tc>
          <w:tcPr>
            <w:tcW w:w="1416" w:type="dxa"/>
          </w:tcPr>
          <w:p w14:paraId="0D153A75" w14:textId="77777777" w:rsidR="0032751B" w:rsidRPr="00524EEA" w:rsidRDefault="0032751B" w:rsidP="003D3D3A">
            <w:pPr>
              <w:spacing w:before="20" w:after="20"/>
              <w:jc w:val="center"/>
              <w:rPr>
                <w:rFonts w:cs="Times New Roman"/>
                <w:b/>
                <w:sz w:val="20"/>
                <w:szCs w:val="20"/>
              </w:rPr>
            </w:pPr>
            <w:r w:rsidRPr="00524EEA">
              <w:rPr>
                <w:rFonts w:cs="Times New Roman"/>
                <w:b/>
                <w:sz w:val="20"/>
                <w:szCs w:val="20"/>
              </w:rPr>
              <w:t>n (%)</w:t>
            </w:r>
          </w:p>
          <w:p w14:paraId="02705C25" w14:textId="77777777" w:rsidR="0032751B" w:rsidRPr="00524EEA" w:rsidRDefault="0032751B" w:rsidP="003D3D3A">
            <w:pPr>
              <w:spacing w:before="20" w:after="20"/>
              <w:jc w:val="center"/>
              <w:rPr>
                <w:rFonts w:cs="Times New Roman"/>
                <w:b/>
                <w:sz w:val="20"/>
                <w:szCs w:val="20"/>
              </w:rPr>
            </w:pPr>
            <w:proofErr w:type="spellStart"/>
            <w:r w:rsidRPr="00524EEA">
              <w:rPr>
                <w:rFonts w:cs="Times New Roman"/>
                <w:b/>
                <w:sz w:val="20"/>
                <w:szCs w:val="20"/>
              </w:rPr>
              <w:t>improved</w:t>
            </w:r>
            <w:r w:rsidRPr="00524EEA">
              <w:rPr>
                <w:rFonts w:cs="Times New Roman"/>
                <w:b/>
                <w:sz w:val="20"/>
                <w:szCs w:val="20"/>
                <w:vertAlign w:val="superscript"/>
              </w:rPr>
              <w:t>b</w:t>
            </w:r>
            <w:proofErr w:type="spellEnd"/>
          </w:p>
        </w:tc>
        <w:tc>
          <w:tcPr>
            <w:tcW w:w="1516" w:type="dxa"/>
          </w:tcPr>
          <w:p w14:paraId="2B8BAF6A" w14:textId="77777777" w:rsidR="0032751B" w:rsidRPr="00524EEA" w:rsidRDefault="0032751B" w:rsidP="003D3D3A">
            <w:pPr>
              <w:spacing w:before="20" w:after="20"/>
              <w:jc w:val="center"/>
              <w:rPr>
                <w:rFonts w:cs="Times New Roman"/>
                <w:b/>
                <w:sz w:val="20"/>
                <w:szCs w:val="20"/>
              </w:rPr>
            </w:pPr>
            <w:r w:rsidRPr="00524EEA">
              <w:rPr>
                <w:rFonts w:cs="Times New Roman"/>
                <w:b/>
                <w:sz w:val="20"/>
                <w:szCs w:val="20"/>
              </w:rPr>
              <w:t xml:space="preserve">Odds </w:t>
            </w:r>
            <w:proofErr w:type="spellStart"/>
            <w:r w:rsidRPr="00524EEA">
              <w:rPr>
                <w:rFonts w:cs="Times New Roman"/>
                <w:b/>
                <w:sz w:val="20"/>
                <w:szCs w:val="20"/>
              </w:rPr>
              <w:t>ratio</w:t>
            </w:r>
            <w:r w:rsidRPr="00524EEA">
              <w:rPr>
                <w:rFonts w:cs="Times New Roman"/>
                <w:b/>
                <w:sz w:val="20"/>
                <w:szCs w:val="20"/>
                <w:vertAlign w:val="superscript"/>
              </w:rPr>
              <w:t>c</w:t>
            </w:r>
            <w:proofErr w:type="spellEnd"/>
          </w:p>
          <w:p w14:paraId="28D5434A" w14:textId="77777777" w:rsidR="0032751B" w:rsidRPr="00524EEA" w:rsidRDefault="0032751B" w:rsidP="003D3D3A">
            <w:pPr>
              <w:spacing w:before="20" w:after="20"/>
              <w:jc w:val="center"/>
              <w:rPr>
                <w:rFonts w:cs="Times New Roman"/>
                <w:b/>
                <w:sz w:val="20"/>
                <w:szCs w:val="20"/>
              </w:rPr>
            </w:pPr>
            <w:r w:rsidRPr="00524EEA">
              <w:rPr>
                <w:rFonts w:cs="Times New Roman"/>
                <w:b/>
                <w:sz w:val="20"/>
                <w:szCs w:val="20"/>
              </w:rPr>
              <w:t>(95% CI)</w:t>
            </w:r>
          </w:p>
        </w:tc>
        <w:tc>
          <w:tcPr>
            <w:tcW w:w="1016" w:type="dxa"/>
          </w:tcPr>
          <w:p w14:paraId="188326D5" w14:textId="77777777" w:rsidR="0032751B" w:rsidRPr="00524EEA" w:rsidRDefault="0032751B" w:rsidP="003D3D3A">
            <w:pPr>
              <w:spacing w:before="20" w:after="20"/>
              <w:jc w:val="center"/>
              <w:rPr>
                <w:rFonts w:cs="Times New Roman"/>
                <w:b/>
                <w:sz w:val="20"/>
                <w:szCs w:val="20"/>
              </w:rPr>
            </w:pPr>
            <w:r w:rsidRPr="00524EEA">
              <w:rPr>
                <w:rFonts w:cs="Times New Roman"/>
                <w:b/>
                <w:sz w:val="20"/>
                <w:szCs w:val="20"/>
              </w:rPr>
              <w:t>p-</w:t>
            </w:r>
            <w:proofErr w:type="spellStart"/>
            <w:r w:rsidRPr="00524EEA">
              <w:rPr>
                <w:rFonts w:cs="Times New Roman"/>
                <w:b/>
                <w:sz w:val="20"/>
                <w:szCs w:val="20"/>
              </w:rPr>
              <w:t>value</w:t>
            </w:r>
            <w:r w:rsidRPr="00524EEA">
              <w:rPr>
                <w:rFonts w:cs="Times New Roman"/>
                <w:b/>
                <w:sz w:val="20"/>
                <w:szCs w:val="20"/>
                <w:vertAlign w:val="superscript"/>
              </w:rPr>
              <w:t>f</w:t>
            </w:r>
            <w:proofErr w:type="spellEnd"/>
          </w:p>
        </w:tc>
      </w:tr>
      <w:tr w:rsidR="0032751B" w:rsidRPr="00524EEA" w14:paraId="7B5F68C5" w14:textId="77777777" w:rsidTr="003D3D3A">
        <w:tc>
          <w:tcPr>
            <w:tcW w:w="3820" w:type="dxa"/>
          </w:tcPr>
          <w:p w14:paraId="0622DC21" w14:textId="77777777" w:rsidR="0032751B" w:rsidRPr="00524EEA" w:rsidRDefault="0032751B" w:rsidP="003D3D3A">
            <w:pPr>
              <w:spacing w:before="20" w:after="20"/>
              <w:rPr>
                <w:rFonts w:cs="Times New Roman"/>
                <w:sz w:val="20"/>
                <w:szCs w:val="20"/>
              </w:rPr>
            </w:pPr>
            <w:r w:rsidRPr="00524EEA">
              <w:rPr>
                <w:rFonts w:cs="Times New Roman"/>
                <w:sz w:val="20"/>
                <w:szCs w:val="20"/>
              </w:rPr>
              <w:t>≥ 5 points (small improvement)</w:t>
            </w:r>
          </w:p>
        </w:tc>
        <w:tc>
          <w:tcPr>
            <w:tcW w:w="1361" w:type="dxa"/>
          </w:tcPr>
          <w:p w14:paraId="0263A15A"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1198 (57.4)</w:t>
            </w:r>
          </w:p>
        </w:tc>
        <w:tc>
          <w:tcPr>
            <w:tcW w:w="1416" w:type="dxa"/>
          </w:tcPr>
          <w:p w14:paraId="4331B87C"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1030 (50.0)</w:t>
            </w:r>
          </w:p>
        </w:tc>
        <w:tc>
          <w:tcPr>
            <w:tcW w:w="1516" w:type="dxa"/>
          </w:tcPr>
          <w:p w14:paraId="657F4F21"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1.14</w:t>
            </w:r>
          </w:p>
          <w:p w14:paraId="600B8CEA"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(1.07,1.22)</w:t>
            </w:r>
          </w:p>
        </w:tc>
        <w:tc>
          <w:tcPr>
            <w:tcW w:w="1016" w:type="dxa"/>
          </w:tcPr>
          <w:p w14:paraId="3629C460"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&lt;0.0001</w:t>
            </w:r>
          </w:p>
        </w:tc>
      </w:tr>
      <w:tr w:rsidR="0032751B" w:rsidRPr="00524EEA" w14:paraId="70D5B575" w14:textId="77777777" w:rsidTr="003D3D3A">
        <w:tc>
          <w:tcPr>
            <w:tcW w:w="3820" w:type="dxa"/>
          </w:tcPr>
          <w:p w14:paraId="16433BDD" w14:textId="77777777" w:rsidR="0032751B" w:rsidRPr="00524EEA" w:rsidRDefault="0032751B" w:rsidP="003D3D3A">
            <w:pPr>
              <w:spacing w:before="20" w:after="20"/>
              <w:rPr>
                <w:rFonts w:cs="Times New Roman"/>
                <w:sz w:val="20"/>
                <w:szCs w:val="20"/>
              </w:rPr>
            </w:pPr>
            <w:r w:rsidRPr="00524EEA">
              <w:rPr>
                <w:rFonts w:cs="Times New Roman"/>
                <w:sz w:val="20"/>
                <w:szCs w:val="20"/>
              </w:rPr>
              <w:t>≥ 10 points (moderate to large improvement)</w:t>
            </w:r>
          </w:p>
        </w:tc>
        <w:tc>
          <w:tcPr>
            <w:tcW w:w="1361" w:type="dxa"/>
          </w:tcPr>
          <w:p w14:paraId="2C5C4F26"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1124 (53.9)</w:t>
            </w:r>
          </w:p>
        </w:tc>
        <w:tc>
          <w:tcPr>
            <w:tcW w:w="1416" w:type="dxa"/>
          </w:tcPr>
          <w:p w14:paraId="6C5531AE"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968 (46.9)</w:t>
            </w:r>
          </w:p>
        </w:tc>
        <w:tc>
          <w:tcPr>
            <w:tcW w:w="1516" w:type="dxa"/>
          </w:tcPr>
          <w:p w14:paraId="1B5FC7FD"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1.15</w:t>
            </w:r>
          </w:p>
          <w:p w14:paraId="4487FE6A"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(1.08, 1.22)</w:t>
            </w:r>
          </w:p>
        </w:tc>
        <w:tc>
          <w:tcPr>
            <w:tcW w:w="1016" w:type="dxa"/>
          </w:tcPr>
          <w:p w14:paraId="3038099E"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&lt;0.0001</w:t>
            </w:r>
          </w:p>
        </w:tc>
      </w:tr>
      <w:tr w:rsidR="0032751B" w:rsidRPr="00524EEA" w14:paraId="672FEE99" w14:textId="77777777" w:rsidTr="003D3D3A">
        <w:tc>
          <w:tcPr>
            <w:tcW w:w="3820" w:type="dxa"/>
          </w:tcPr>
          <w:p w14:paraId="519F3925" w14:textId="77777777" w:rsidR="0032751B" w:rsidRPr="00524EEA" w:rsidRDefault="0032751B" w:rsidP="003D3D3A">
            <w:pPr>
              <w:spacing w:before="20" w:after="20"/>
              <w:rPr>
                <w:rFonts w:cs="Times New Roman"/>
                <w:sz w:val="20"/>
                <w:szCs w:val="20"/>
              </w:rPr>
            </w:pPr>
            <w:r w:rsidRPr="00524EEA">
              <w:rPr>
                <w:rFonts w:cs="Times New Roman"/>
                <w:sz w:val="20"/>
                <w:szCs w:val="20"/>
              </w:rPr>
              <w:t>≥ 15 points (large improvement)</w:t>
            </w:r>
          </w:p>
        </w:tc>
        <w:tc>
          <w:tcPr>
            <w:tcW w:w="1361" w:type="dxa"/>
          </w:tcPr>
          <w:p w14:paraId="64603328"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1120 (53.7)</w:t>
            </w:r>
          </w:p>
        </w:tc>
        <w:tc>
          <w:tcPr>
            <w:tcW w:w="1416" w:type="dxa"/>
          </w:tcPr>
          <w:p w14:paraId="599762E4"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984 (47.7)</w:t>
            </w:r>
          </w:p>
        </w:tc>
        <w:tc>
          <w:tcPr>
            <w:tcW w:w="1516" w:type="dxa"/>
          </w:tcPr>
          <w:p w14:paraId="1FB9AB1C"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1.14</w:t>
            </w:r>
          </w:p>
          <w:p w14:paraId="30E60253"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(1.07,1.22)</w:t>
            </w:r>
          </w:p>
        </w:tc>
        <w:tc>
          <w:tcPr>
            <w:tcW w:w="1016" w:type="dxa"/>
          </w:tcPr>
          <w:p w14:paraId="02F409FD"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&lt;0.0001</w:t>
            </w:r>
          </w:p>
        </w:tc>
      </w:tr>
      <w:tr w:rsidR="0032751B" w:rsidRPr="00524EEA" w14:paraId="6730F7A4" w14:textId="77777777" w:rsidTr="003D3D3A">
        <w:tc>
          <w:tcPr>
            <w:tcW w:w="3820" w:type="dxa"/>
          </w:tcPr>
          <w:p w14:paraId="34E14C8F" w14:textId="77777777" w:rsidR="0032751B" w:rsidRPr="00524EEA" w:rsidRDefault="0032751B" w:rsidP="003D3D3A">
            <w:pPr>
              <w:spacing w:before="20" w:after="20"/>
              <w:rPr>
                <w:rFonts w:cs="Times New Roman"/>
                <w:b/>
                <w:sz w:val="20"/>
                <w:szCs w:val="20"/>
              </w:rPr>
            </w:pPr>
            <w:r w:rsidRPr="00524EEA">
              <w:rPr>
                <w:rFonts w:cs="Times New Roman"/>
                <w:b/>
                <w:i/>
                <w:iCs/>
                <w:sz w:val="20"/>
                <w:szCs w:val="20"/>
              </w:rPr>
              <w:t>Deterioration</w:t>
            </w:r>
          </w:p>
        </w:tc>
        <w:tc>
          <w:tcPr>
            <w:tcW w:w="1361" w:type="dxa"/>
          </w:tcPr>
          <w:p w14:paraId="4242E6C9" w14:textId="77777777" w:rsidR="0032751B" w:rsidRPr="00524EEA" w:rsidRDefault="0032751B" w:rsidP="003D3D3A">
            <w:pPr>
              <w:spacing w:before="20" w:after="20"/>
              <w:jc w:val="center"/>
              <w:rPr>
                <w:rFonts w:cs="Times New Roman"/>
                <w:b/>
                <w:sz w:val="20"/>
                <w:szCs w:val="20"/>
              </w:rPr>
            </w:pPr>
            <w:r w:rsidRPr="00524EEA">
              <w:rPr>
                <w:rFonts w:cs="Times New Roman"/>
                <w:b/>
                <w:sz w:val="20"/>
                <w:szCs w:val="20"/>
              </w:rPr>
              <w:t>n (%)</w:t>
            </w:r>
          </w:p>
          <w:p w14:paraId="1B9C88E2" w14:textId="77777777" w:rsidR="0032751B" w:rsidRPr="00524EEA" w:rsidRDefault="0032751B" w:rsidP="003D3D3A">
            <w:pPr>
              <w:spacing w:before="20" w:after="20"/>
              <w:jc w:val="center"/>
              <w:rPr>
                <w:rFonts w:cs="Times New Roman"/>
                <w:b/>
                <w:sz w:val="20"/>
                <w:szCs w:val="20"/>
              </w:rPr>
            </w:pPr>
            <w:proofErr w:type="spellStart"/>
            <w:r w:rsidRPr="00524EEA">
              <w:rPr>
                <w:rFonts w:cs="Times New Roman"/>
                <w:b/>
                <w:sz w:val="20"/>
                <w:szCs w:val="20"/>
              </w:rPr>
              <w:t>deteriorated</w:t>
            </w:r>
            <w:r w:rsidRPr="00524EEA">
              <w:rPr>
                <w:rFonts w:cs="Times New Roman"/>
                <w:b/>
                <w:sz w:val="20"/>
                <w:szCs w:val="20"/>
                <w:vertAlign w:val="superscript"/>
              </w:rPr>
              <w:t>d</w:t>
            </w:r>
            <w:proofErr w:type="spellEnd"/>
          </w:p>
        </w:tc>
        <w:tc>
          <w:tcPr>
            <w:tcW w:w="1416" w:type="dxa"/>
          </w:tcPr>
          <w:p w14:paraId="5F3C141A" w14:textId="77777777" w:rsidR="0032751B" w:rsidRPr="00524EEA" w:rsidRDefault="0032751B" w:rsidP="003D3D3A">
            <w:pPr>
              <w:spacing w:before="20" w:after="20"/>
              <w:jc w:val="center"/>
              <w:rPr>
                <w:rFonts w:cs="Times New Roman"/>
                <w:b/>
                <w:sz w:val="20"/>
                <w:szCs w:val="20"/>
              </w:rPr>
            </w:pPr>
            <w:r w:rsidRPr="00524EEA">
              <w:rPr>
                <w:rFonts w:cs="Times New Roman"/>
                <w:b/>
                <w:sz w:val="20"/>
                <w:szCs w:val="20"/>
              </w:rPr>
              <w:t>n (%)</w:t>
            </w:r>
          </w:p>
          <w:p w14:paraId="1EDC06A9" w14:textId="77777777" w:rsidR="0032751B" w:rsidRPr="00524EEA" w:rsidRDefault="0032751B" w:rsidP="003D3D3A">
            <w:pPr>
              <w:spacing w:before="20" w:after="20"/>
              <w:jc w:val="center"/>
              <w:rPr>
                <w:rFonts w:cs="Times New Roman"/>
                <w:b/>
                <w:sz w:val="20"/>
                <w:szCs w:val="20"/>
              </w:rPr>
            </w:pPr>
            <w:proofErr w:type="spellStart"/>
            <w:r w:rsidRPr="00524EEA">
              <w:rPr>
                <w:rFonts w:cs="Times New Roman"/>
                <w:b/>
                <w:sz w:val="20"/>
                <w:szCs w:val="20"/>
              </w:rPr>
              <w:t>deteriorated</w:t>
            </w:r>
            <w:r w:rsidRPr="00524EEA">
              <w:rPr>
                <w:rFonts w:cs="Times New Roman"/>
                <w:b/>
                <w:sz w:val="20"/>
                <w:szCs w:val="20"/>
                <w:vertAlign w:val="superscript"/>
              </w:rPr>
              <w:t>d</w:t>
            </w:r>
            <w:proofErr w:type="spellEnd"/>
          </w:p>
        </w:tc>
        <w:tc>
          <w:tcPr>
            <w:tcW w:w="1516" w:type="dxa"/>
          </w:tcPr>
          <w:p w14:paraId="79F8335E" w14:textId="77777777" w:rsidR="0032751B" w:rsidRPr="00524EEA" w:rsidRDefault="0032751B" w:rsidP="003D3D3A">
            <w:pPr>
              <w:spacing w:before="20" w:after="20"/>
              <w:jc w:val="center"/>
              <w:rPr>
                <w:rFonts w:cs="Times New Roman"/>
                <w:b/>
                <w:sz w:val="20"/>
                <w:szCs w:val="20"/>
              </w:rPr>
            </w:pPr>
            <w:r w:rsidRPr="00524EEA">
              <w:rPr>
                <w:rFonts w:cs="Times New Roman"/>
                <w:b/>
                <w:sz w:val="20"/>
                <w:szCs w:val="20"/>
              </w:rPr>
              <w:t xml:space="preserve">Odds </w:t>
            </w:r>
            <w:proofErr w:type="spellStart"/>
            <w:r w:rsidRPr="00524EEA">
              <w:rPr>
                <w:rFonts w:cs="Times New Roman"/>
                <w:b/>
                <w:sz w:val="20"/>
                <w:szCs w:val="20"/>
              </w:rPr>
              <w:t>ratio</w:t>
            </w:r>
            <w:r w:rsidRPr="00524EEA">
              <w:rPr>
                <w:rFonts w:cs="Times New Roman"/>
                <w:b/>
                <w:sz w:val="20"/>
                <w:szCs w:val="20"/>
                <w:vertAlign w:val="superscript"/>
              </w:rPr>
              <w:t>e</w:t>
            </w:r>
            <w:proofErr w:type="spellEnd"/>
          </w:p>
          <w:p w14:paraId="41D7A345" w14:textId="77777777" w:rsidR="0032751B" w:rsidRPr="00524EEA" w:rsidRDefault="0032751B" w:rsidP="003D3D3A">
            <w:pPr>
              <w:spacing w:before="20" w:after="20"/>
              <w:jc w:val="center"/>
              <w:rPr>
                <w:rFonts w:cs="Times New Roman"/>
                <w:b/>
                <w:sz w:val="20"/>
                <w:szCs w:val="20"/>
              </w:rPr>
            </w:pPr>
            <w:r w:rsidRPr="00524EEA">
              <w:rPr>
                <w:rFonts w:cs="Times New Roman"/>
                <w:b/>
                <w:sz w:val="20"/>
                <w:szCs w:val="20"/>
              </w:rPr>
              <w:t>(95% CI)</w:t>
            </w:r>
          </w:p>
        </w:tc>
        <w:tc>
          <w:tcPr>
            <w:tcW w:w="1016" w:type="dxa"/>
          </w:tcPr>
          <w:p w14:paraId="089F6D4E" w14:textId="77777777" w:rsidR="0032751B" w:rsidRPr="00524EEA" w:rsidRDefault="0032751B" w:rsidP="003D3D3A">
            <w:pPr>
              <w:spacing w:before="20" w:after="20"/>
              <w:jc w:val="center"/>
              <w:rPr>
                <w:rFonts w:cs="Times New Roman"/>
                <w:b/>
                <w:sz w:val="20"/>
                <w:szCs w:val="20"/>
              </w:rPr>
            </w:pPr>
            <w:r w:rsidRPr="00524EEA">
              <w:rPr>
                <w:rFonts w:cs="Times New Roman"/>
                <w:b/>
                <w:sz w:val="20"/>
                <w:szCs w:val="20"/>
              </w:rPr>
              <w:t>p-</w:t>
            </w:r>
            <w:proofErr w:type="spellStart"/>
            <w:r w:rsidRPr="00524EEA">
              <w:rPr>
                <w:rFonts w:cs="Times New Roman"/>
                <w:b/>
                <w:sz w:val="20"/>
                <w:szCs w:val="20"/>
              </w:rPr>
              <w:t>value</w:t>
            </w:r>
            <w:r w:rsidRPr="00524EEA">
              <w:rPr>
                <w:rFonts w:cs="Times New Roman"/>
                <w:b/>
                <w:sz w:val="20"/>
                <w:szCs w:val="20"/>
                <w:vertAlign w:val="superscript"/>
              </w:rPr>
              <w:t>f</w:t>
            </w:r>
            <w:proofErr w:type="spellEnd"/>
          </w:p>
        </w:tc>
      </w:tr>
      <w:tr w:rsidR="0032751B" w:rsidRPr="00524EEA" w14:paraId="6F0BCEFA" w14:textId="77777777" w:rsidTr="003D3D3A">
        <w:tc>
          <w:tcPr>
            <w:tcW w:w="3820" w:type="dxa"/>
          </w:tcPr>
          <w:p w14:paraId="5C993228" w14:textId="77777777" w:rsidR="0032751B" w:rsidRPr="00524EEA" w:rsidRDefault="0032751B" w:rsidP="003D3D3A">
            <w:pPr>
              <w:spacing w:before="20" w:after="20"/>
              <w:rPr>
                <w:rFonts w:cs="Times New Roman"/>
                <w:i/>
                <w:iCs/>
                <w:sz w:val="20"/>
                <w:szCs w:val="20"/>
              </w:rPr>
            </w:pPr>
            <w:r w:rsidRPr="00524EEA">
              <w:rPr>
                <w:rFonts w:cs="Times New Roman"/>
                <w:sz w:val="20"/>
                <w:szCs w:val="20"/>
              </w:rPr>
              <w:t>≥ 5 points (small deterioration)</w:t>
            </w:r>
          </w:p>
        </w:tc>
        <w:tc>
          <w:tcPr>
            <w:tcW w:w="1361" w:type="dxa"/>
          </w:tcPr>
          <w:p w14:paraId="7C2611BA"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524 (25.1)</w:t>
            </w:r>
          </w:p>
        </w:tc>
        <w:tc>
          <w:tcPr>
            <w:tcW w:w="1416" w:type="dxa"/>
          </w:tcPr>
          <w:p w14:paraId="5B830DAC"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682 (33.1)</w:t>
            </w:r>
          </w:p>
        </w:tc>
        <w:tc>
          <w:tcPr>
            <w:tcW w:w="1516" w:type="dxa"/>
          </w:tcPr>
          <w:p w14:paraId="4DB05820"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0.84</w:t>
            </w:r>
          </w:p>
          <w:p w14:paraId="013198E6"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(0.78, 0.90)</w:t>
            </w:r>
          </w:p>
        </w:tc>
        <w:tc>
          <w:tcPr>
            <w:tcW w:w="1016" w:type="dxa"/>
          </w:tcPr>
          <w:p w14:paraId="66C357CA" w14:textId="77777777" w:rsidR="0032751B" w:rsidRPr="00524EEA" w:rsidRDefault="0032751B" w:rsidP="003D3D3A">
            <w:pPr>
              <w:spacing w:before="20" w:after="20"/>
              <w:jc w:val="center"/>
              <w:rPr>
                <w:rFonts w:cs="Times New Roman"/>
                <w:sz w:val="20"/>
                <w:szCs w:val="20"/>
              </w:rPr>
            </w:pPr>
            <w:r w:rsidRPr="00524EEA">
              <w:rPr>
                <w:rFonts w:cs="Times New Roman"/>
                <w:sz w:val="20"/>
                <w:szCs w:val="20"/>
              </w:rPr>
              <w:t>&lt;0.0001</w:t>
            </w:r>
          </w:p>
        </w:tc>
      </w:tr>
    </w:tbl>
    <w:p w14:paraId="33103605" w14:textId="77777777" w:rsidR="0032751B" w:rsidRPr="00524EEA" w:rsidRDefault="0032751B" w:rsidP="0032751B">
      <w:pPr>
        <w:autoSpaceDE w:val="0"/>
        <w:autoSpaceDN w:val="0"/>
        <w:adjustRightInd w:val="0"/>
        <w:spacing w:before="20" w:after="20" w:line="240" w:lineRule="auto"/>
        <w:rPr>
          <w:rFonts w:ascii="TimesNewRoman" w:hAnsi="TimesNewRoman" w:cs="TimesNewRoman"/>
          <w:color w:val="B6082E"/>
          <w:sz w:val="9"/>
          <w:szCs w:val="9"/>
        </w:rPr>
      </w:pPr>
    </w:p>
    <w:p w14:paraId="0FF5388F"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vertAlign w:val="superscript"/>
          <w:lang w:val="en-GB"/>
        </w:rPr>
        <w:t>a</w:t>
      </w:r>
      <w:r w:rsidRPr="00524EEA">
        <w:rPr>
          <w:rFonts w:eastAsia="Times New Roman" w:cs="Times New Roman"/>
          <w:sz w:val="18"/>
          <w:szCs w:val="20"/>
          <w:lang w:val="en-GB"/>
        </w:rPr>
        <w:t xml:space="preserve"> Number of patients with an observed KCCQ-TSS or who died prior to 8 months</w:t>
      </w:r>
    </w:p>
    <w:p w14:paraId="4D877827"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vertAlign w:val="superscript"/>
          <w:lang w:val="en-GB"/>
        </w:rPr>
        <w:t>b</w:t>
      </w:r>
      <w:r w:rsidRPr="00524EEA">
        <w:rPr>
          <w:rFonts w:eastAsia="Times New Roman" w:cs="Times New Roman"/>
          <w:sz w:val="18"/>
          <w:szCs w:val="20"/>
          <w:lang w:val="en-GB"/>
        </w:rPr>
        <w:t xml:space="preserve"> Number of patients who had an observed improvement of at least 5, 10 or 15 points from baseline. Patients who died prior to the given </w:t>
      </w:r>
      <w:proofErr w:type="spellStart"/>
      <w:r w:rsidRPr="00524EEA">
        <w:rPr>
          <w:rFonts w:eastAsia="Times New Roman" w:cs="Times New Roman"/>
          <w:sz w:val="18"/>
          <w:szCs w:val="20"/>
          <w:lang w:val="en-GB"/>
        </w:rPr>
        <w:t>timepoint</w:t>
      </w:r>
      <w:proofErr w:type="spellEnd"/>
      <w:r w:rsidRPr="00524EEA">
        <w:rPr>
          <w:rFonts w:eastAsia="Times New Roman" w:cs="Times New Roman"/>
          <w:sz w:val="18"/>
          <w:szCs w:val="20"/>
          <w:lang w:val="en-GB"/>
        </w:rPr>
        <w:t xml:space="preserve"> are counted as not improved. Patients with a KCCQ-TSS at baseline which was too high for them to experience an improvement were defined as improved if they remained there at 8 months.</w:t>
      </w:r>
    </w:p>
    <w:p w14:paraId="61193E77"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vertAlign w:val="superscript"/>
          <w:lang w:val="en-GB"/>
        </w:rPr>
        <w:t>c</w:t>
      </w:r>
      <w:r w:rsidRPr="00524EEA">
        <w:rPr>
          <w:rFonts w:eastAsia="Times New Roman" w:cs="Times New Roman"/>
          <w:sz w:val="18"/>
          <w:szCs w:val="20"/>
          <w:lang w:val="en-GB"/>
        </w:rPr>
        <w:t xml:space="preserve"> For improvement, an odds ratio &gt; 1 favours </w:t>
      </w:r>
      <w:proofErr w:type="spellStart"/>
      <w:r w:rsidRPr="00524EEA">
        <w:rPr>
          <w:rFonts w:eastAsia="Times New Roman" w:cs="Times New Roman"/>
          <w:sz w:val="18"/>
          <w:szCs w:val="20"/>
          <w:lang w:val="en-GB"/>
        </w:rPr>
        <w:t>dapagliflozin</w:t>
      </w:r>
      <w:proofErr w:type="spellEnd"/>
      <w:r w:rsidRPr="00524EEA">
        <w:rPr>
          <w:rFonts w:eastAsia="Times New Roman" w:cs="Times New Roman"/>
          <w:sz w:val="18"/>
          <w:szCs w:val="20"/>
          <w:lang w:val="en-GB"/>
        </w:rPr>
        <w:t xml:space="preserve"> 10 mg.</w:t>
      </w:r>
    </w:p>
    <w:p w14:paraId="207E5451"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vertAlign w:val="superscript"/>
          <w:lang w:val="en-GB"/>
        </w:rPr>
        <w:t>d</w:t>
      </w:r>
      <w:r w:rsidRPr="00524EEA">
        <w:rPr>
          <w:rFonts w:eastAsia="Times New Roman" w:cs="Times New Roman"/>
          <w:sz w:val="18"/>
          <w:szCs w:val="20"/>
          <w:lang w:val="en-GB"/>
        </w:rPr>
        <w:t xml:space="preserve"> Number of patients who had an observed deterioration of at least 5 or 10 points from baseline. Patients who died prior to the given </w:t>
      </w:r>
      <w:proofErr w:type="spellStart"/>
      <w:r w:rsidRPr="00524EEA">
        <w:rPr>
          <w:rFonts w:eastAsia="Times New Roman" w:cs="Times New Roman"/>
          <w:sz w:val="18"/>
          <w:szCs w:val="20"/>
          <w:lang w:val="en-GB"/>
        </w:rPr>
        <w:t>timepoint</w:t>
      </w:r>
      <w:proofErr w:type="spellEnd"/>
      <w:r w:rsidRPr="00524EEA">
        <w:rPr>
          <w:rFonts w:eastAsia="Times New Roman" w:cs="Times New Roman"/>
          <w:sz w:val="18"/>
          <w:szCs w:val="20"/>
          <w:lang w:val="en-GB"/>
        </w:rPr>
        <w:t xml:space="preserve"> are counted as deteriorated. Patients with a KCCQ-TSS at baseline which was too low for them to experience a deterioration were defined as deteriorated if they remained there at 8 months.</w:t>
      </w:r>
    </w:p>
    <w:p w14:paraId="29756F49"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vertAlign w:val="superscript"/>
          <w:lang w:val="en-GB"/>
        </w:rPr>
        <w:t xml:space="preserve">e </w:t>
      </w:r>
      <w:r w:rsidRPr="00524EEA">
        <w:rPr>
          <w:rFonts w:eastAsia="Times New Roman" w:cs="Times New Roman"/>
          <w:sz w:val="18"/>
          <w:szCs w:val="20"/>
          <w:lang w:val="en-GB"/>
        </w:rPr>
        <w:t xml:space="preserve">For deterioration, an odds ratio &lt; 1 favours </w:t>
      </w:r>
      <w:proofErr w:type="spellStart"/>
      <w:r w:rsidRPr="00524EEA">
        <w:rPr>
          <w:rFonts w:eastAsia="Times New Roman" w:cs="Times New Roman"/>
          <w:sz w:val="18"/>
          <w:szCs w:val="20"/>
          <w:lang w:val="en-GB"/>
        </w:rPr>
        <w:t>dapagliflozin</w:t>
      </w:r>
      <w:proofErr w:type="spellEnd"/>
      <w:r w:rsidRPr="00524EEA">
        <w:rPr>
          <w:rFonts w:eastAsia="Times New Roman" w:cs="Times New Roman"/>
          <w:sz w:val="18"/>
          <w:szCs w:val="20"/>
          <w:lang w:val="en-GB"/>
        </w:rPr>
        <w:t xml:space="preserve"> 10 mg.</w:t>
      </w:r>
    </w:p>
    <w:p w14:paraId="193AFE6A"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r w:rsidRPr="00524EEA">
        <w:rPr>
          <w:rFonts w:eastAsia="Times New Roman" w:cs="Times New Roman"/>
          <w:sz w:val="18"/>
          <w:szCs w:val="20"/>
          <w:vertAlign w:val="superscript"/>
          <w:lang w:val="en-GB"/>
        </w:rPr>
        <w:t xml:space="preserve">f </w:t>
      </w:r>
      <w:r w:rsidRPr="00524EEA">
        <w:rPr>
          <w:rFonts w:eastAsia="Times New Roman" w:cs="Times New Roman"/>
          <w:sz w:val="18"/>
          <w:szCs w:val="20"/>
          <w:lang w:val="en-GB"/>
        </w:rPr>
        <w:t>p-values are nominal.</w:t>
      </w:r>
    </w:p>
    <w:p w14:paraId="073EF982" w14:textId="77777777" w:rsidR="0032751B" w:rsidRPr="00524EEA" w:rsidRDefault="0032751B" w:rsidP="0032751B">
      <w:pPr>
        <w:autoSpaceDE w:val="0"/>
        <w:autoSpaceDN w:val="0"/>
        <w:adjustRightInd w:val="0"/>
        <w:spacing w:after="0" w:line="240" w:lineRule="auto"/>
        <w:rPr>
          <w:rFonts w:eastAsia="Times New Roman" w:cs="Times New Roman"/>
          <w:sz w:val="18"/>
          <w:szCs w:val="20"/>
          <w:lang w:val="en-GB"/>
        </w:rPr>
      </w:pPr>
    </w:p>
    <w:p w14:paraId="15F6B144" w14:textId="77777777" w:rsidR="0032751B" w:rsidRPr="00524EEA" w:rsidRDefault="0032751B" w:rsidP="0032751B">
      <w:pPr>
        <w:pStyle w:val="Heading5"/>
      </w:pPr>
      <w:r w:rsidRPr="00524EEA">
        <w:t>Nephropathy</w:t>
      </w:r>
    </w:p>
    <w:p w14:paraId="33FB4AA8" w14:textId="77777777" w:rsidR="0032751B" w:rsidRPr="00524EEA" w:rsidRDefault="0032751B" w:rsidP="0032751B">
      <w:r w:rsidRPr="00524EEA">
        <w:t xml:space="preserve">There were 28 and 39 events of the composite of confirmed sustained ≥ 50% </w:t>
      </w:r>
      <w:proofErr w:type="spellStart"/>
      <w:r w:rsidRPr="00524EEA">
        <w:t>eGFR</w:t>
      </w:r>
      <w:proofErr w:type="spellEnd"/>
      <w:r w:rsidRPr="00524EEA">
        <w:t xml:space="preserve"> decrease, ESRD, or renal death in patients in the FORXIGA and placebo groups, respectively, (HR 0.71 [95% CI 0.44, 1.16]).</w:t>
      </w:r>
    </w:p>
    <w:p w14:paraId="4A6BD769" w14:textId="6579B661" w:rsidR="0032751B" w:rsidRPr="00524EEA" w:rsidRDefault="0032751B" w:rsidP="0032751B">
      <w:pPr>
        <w:pStyle w:val="Heading5"/>
      </w:pPr>
      <w:r w:rsidRPr="00524EEA">
        <w:t>All-cause mortality</w:t>
      </w:r>
    </w:p>
    <w:p w14:paraId="2633C2D2" w14:textId="31B3AB3C" w:rsidR="0032751B" w:rsidRPr="00524EEA" w:rsidRDefault="0032751B" w:rsidP="0032751B">
      <w:r w:rsidRPr="00524EEA">
        <w:t xml:space="preserve">The incidence of all-cause mortality was lower in the FORXIGA treatment group compared with placebo (HR 0.83; 95% CI [0.71, 0.97], Figure </w:t>
      </w:r>
      <w:r w:rsidR="00272D58">
        <w:t>12</w:t>
      </w:r>
      <w:r w:rsidRPr="00524EEA">
        <w:t>).</w:t>
      </w:r>
    </w:p>
    <w:p w14:paraId="6BDC2CFC" w14:textId="77777777" w:rsidR="007D0554" w:rsidRPr="00524EEA" w:rsidRDefault="007D0554" w:rsidP="00C07BC4">
      <w:pPr>
        <w:pStyle w:val="Heading4nobookmark"/>
      </w:pPr>
      <w:r w:rsidRPr="00524EEA">
        <w:t>Special Populations</w:t>
      </w:r>
    </w:p>
    <w:p w14:paraId="78B6B6C1" w14:textId="16D1960A" w:rsidR="007D0554" w:rsidRPr="00524EEA" w:rsidDel="007561D9" w:rsidRDefault="007D0554" w:rsidP="00C07BC4">
      <w:pPr>
        <w:pStyle w:val="Heading5nobookmark"/>
      </w:pPr>
      <w:r w:rsidRPr="00524EEA" w:rsidDel="007561D9">
        <w:t xml:space="preserve">Patients with </w:t>
      </w:r>
      <w:r w:rsidRPr="00524EEA">
        <w:t>m</w:t>
      </w:r>
      <w:r w:rsidRPr="00524EEA" w:rsidDel="007561D9">
        <w:t xml:space="preserve">ild </w:t>
      </w:r>
      <w:r w:rsidRPr="00524EEA">
        <w:t>r</w:t>
      </w:r>
      <w:r w:rsidRPr="00524EEA" w:rsidDel="007561D9">
        <w:t xml:space="preserve">enal </w:t>
      </w:r>
      <w:r w:rsidRPr="00524EEA">
        <w:t>i</w:t>
      </w:r>
      <w:r w:rsidRPr="00524EEA" w:rsidDel="007561D9">
        <w:t>mpairment (</w:t>
      </w:r>
      <w:proofErr w:type="spellStart"/>
      <w:r w:rsidRPr="00524EEA" w:rsidDel="007561D9">
        <w:t>eGFR</w:t>
      </w:r>
      <w:proofErr w:type="spellEnd"/>
      <w:r w:rsidRPr="00524EEA" w:rsidDel="007561D9">
        <w:t xml:space="preserve"> </w:t>
      </w:r>
      <w:r w:rsidRPr="00524EEA" w:rsidDel="007561D9">
        <w:sym w:font="Symbol" w:char="F0B3"/>
      </w:r>
      <w:r w:rsidRPr="00524EEA" w:rsidDel="007561D9">
        <w:t>60 to &lt;90 mL/min/1.73 m</w:t>
      </w:r>
      <w:r w:rsidRPr="00524EEA" w:rsidDel="007561D9">
        <w:rPr>
          <w:vertAlign w:val="superscript"/>
        </w:rPr>
        <w:t>2</w:t>
      </w:r>
      <w:r w:rsidRPr="00524EEA" w:rsidDel="007561D9">
        <w:t>)</w:t>
      </w:r>
    </w:p>
    <w:p w14:paraId="3ACB740C" w14:textId="1DA7B35C" w:rsidR="00777EAB" w:rsidRPr="00524EEA" w:rsidRDefault="007D0554" w:rsidP="007D0554">
      <w:r w:rsidRPr="00524EEA">
        <w:t xml:space="preserve">In the clinical trial program more than 3000 patients with mild renal impairment were treated with </w:t>
      </w:r>
      <w:proofErr w:type="spellStart"/>
      <w:r w:rsidRPr="00524EEA">
        <w:t>dapagliflozin</w:t>
      </w:r>
      <w:proofErr w:type="spellEnd"/>
      <w:r w:rsidRPr="00524EEA">
        <w:t>. Efficacy was assessed in a pooled analysis across 9 clinical studies consisting of 2226 patients with mild renal impairment. The mean change from baseline in HbA1c and the placebo-corrected mean HbA1c change at 24 weeks was -1.03% and -0.54%, respectively for FORXIGA 10 mg (n=562).  The safety profile in patients with mild renal impairment is similar to that in the overall population.</w:t>
      </w:r>
    </w:p>
    <w:p w14:paraId="0A8AA10E" w14:textId="170B5B50" w:rsidR="007D0554" w:rsidRPr="00524EEA" w:rsidRDefault="007D0554" w:rsidP="00C07BC4">
      <w:pPr>
        <w:pStyle w:val="Heading5nobookmark"/>
      </w:pPr>
      <w:r w:rsidRPr="00524EEA" w:rsidDel="007561D9">
        <w:t xml:space="preserve">Patients with </w:t>
      </w:r>
      <w:r w:rsidRPr="00524EEA">
        <w:t>m</w:t>
      </w:r>
      <w:r w:rsidRPr="00524EEA" w:rsidDel="007561D9">
        <w:t xml:space="preserve">oderate </w:t>
      </w:r>
      <w:r w:rsidRPr="00524EEA">
        <w:t>r</w:t>
      </w:r>
      <w:r w:rsidRPr="00524EEA" w:rsidDel="007561D9">
        <w:t xml:space="preserve">enal </w:t>
      </w:r>
      <w:r w:rsidRPr="00524EEA">
        <w:t>i</w:t>
      </w:r>
      <w:r w:rsidRPr="00524EEA" w:rsidDel="007561D9">
        <w:t>mpairment (</w:t>
      </w:r>
      <w:proofErr w:type="spellStart"/>
      <w:r w:rsidR="001C2C17" w:rsidRPr="00524EEA" w:rsidDel="007561D9">
        <w:t>eGFR</w:t>
      </w:r>
      <w:proofErr w:type="spellEnd"/>
      <w:r w:rsidR="001C2C17" w:rsidRPr="00524EEA" w:rsidDel="007561D9">
        <w:t xml:space="preserve"> </w:t>
      </w:r>
      <w:r w:rsidR="001C2C17" w:rsidRPr="00524EEA" w:rsidDel="007561D9">
        <w:sym w:font="Symbol" w:char="F0B3"/>
      </w:r>
      <w:r w:rsidR="001C2C17" w:rsidRPr="00524EEA" w:rsidDel="007561D9">
        <w:t>30 to &lt;60 mL/min/1.73 m</w:t>
      </w:r>
      <w:r w:rsidR="001C2C17" w:rsidRPr="00524EEA" w:rsidDel="007561D9">
        <w:rPr>
          <w:vertAlign w:val="superscript"/>
        </w:rPr>
        <w:t>2</w:t>
      </w:r>
      <w:r w:rsidRPr="00524EEA" w:rsidDel="007561D9">
        <w:t>)</w:t>
      </w:r>
    </w:p>
    <w:p w14:paraId="035159D3" w14:textId="0175C232" w:rsidR="007D0554" w:rsidRPr="00524EEA" w:rsidRDefault="007D0554" w:rsidP="007D0554">
      <w:pPr>
        <w:rPr>
          <w:rStyle w:val="BMSSubscript"/>
          <w:sz w:val="24"/>
          <w:szCs w:val="24"/>
          <w:vertAlign w:val="baseline"/>
        </w:rPr>
      </w:pPr>
      <w:bookmarkStart w:id="79" w:name="_Hlk510001461"/>
      <w:r w:rsidRPr="00524EEA">
        <w:rPr>
          <w:rStyle w:val="BMSSubscript"/>
          <w:sz w:val="24"/>
          <w:szCs w:val="24"/>
          <w:vertAlign w:val="baseline"/>
        </w:rPr>
        <w:t>The efficacy and safety of FORXIGA was evaluated in two dedicated studies of patients with moderate renal impairment.</w:t>
      </w:r>
    </w:p>
    <w:bookmarkEnd w:id="79"/>
    <w:p w14:paraId="62EFAEEB" w14:textId="468EBC40" w:rsidR="007D0554" w:rsidRPr="00524EEA" w:rsidRDefault="007D0554" w:rsidP="007D0554">
      <w:pPr>
        <w:rPr>
          <w:rStyle w:val="BMSSubscript"/>
          <w:sz w:val="24"/>
          <w:szCs w:val="24"/>
          <w:vertAlign w:val="baseline"/>
        </w:rPr>
      </w:pPr>
      <w:r w:rsidRPr="00524EEA">
        <w:rPr>
          <w:rStyle w:val="BMSSubscript"/>
          <w:sz w:val="24"/>
          <w:szCs w:val="24"/>
          <w:vertAlign w:val="baseline"/>
        </w:rPr>
        <w:t xml:space="preserve">In a randomized, double blind, placebo-controlled trial a total of 321 adult patients with type 2 diabetes mellitus and </w:t>
      </w:r>
      <w:proofErr w:type="spellStart"/>
      <w:r w:rsidRPr="00524EEA">
        <w:rPr>
          <w:rStyle w:val="BMSSubscript"/>
          <w:sz w:val="24"/>
          <w:szCs w:val="24"/>
          <w:vertAlign w:val="baseline"/>
        </w:rPr>
        <w:t>eGFR</w:t>
      </w:r>
      <w:proofErr w:type="spellEnd"/>
      <w:r w:rsidRPr="00524EEA">
        <w:rPr>
          <w:rStyle w:val="BMSSubscript"/>
          <w:sz w:val="24"/>
          <w:szCs w:val="24"/>
          <w:vertAlign w:val="baseline"/>
        </w:rPr>
        <w:t xml:space="preserve"> ≥45 to &lt;60 mL/min/1.73 m</w:t>
      </w:r>
      <w:r w:rsidRPr="008612D1">
        <w:rPr>
          <w:rStyle w:val="BMSSubscript"/>
          <w:sz w:val="24"/>
          <w:szCs w:val="24"/>
          <w:vertAlign w:val="superscript"/>
        </w:rPr>
        <w:t>2</w:t>
      </w:r>
      <w:r w:rsidRPr="00524EEA">
        <w:rPr>
          <w:rStyle w:val="BMSSubscript"/>
          <w:sz w:val="24"/>
          <w:szCs w:val="24"/>
          <w:vertAlign w:val="baseline"/>
        </w:rPr>
        <w:t xml:space="preserve"> (moderate renal impairment subgroup Chronic Kidney Disease [CKD] 3A), with inadequate glycaemic control on current treatment regimen, were treated with FORXIGA 10 mg or placebo. At Week 24, FORXIGA 10 mg (n=159) provided significant improvements in HbA1c, FPG, Body Weight and SBP compared with placebo (n=161) (Table </w:t>
      </w:r>
      <w:r w:rsidR="00A473A3" w:rsidRPr="00524EEA">
        <w:rPr>
          <w:rStyle w:val="BMSSubscript"/>
          <w:sz w:val="24"/>
          <w:szCs w:val="24"/>
          <w:vertAlign w:val="baseline"/>
        </w:rPr>
        <w:t>11</w:t>
      </w:r>
      <w:r w:rsidRPr="00524EEA">
        <w:rPr>
          <w:rStyle w:val="BMSSubscript"/>
          <w:sz w:val="24"/>
          <w:szCs w:val="24"/>
          <w:vertAlign w:val="baseline"/>
        </w:rPr>
        <w:t xml:space="preserve">). The mean change from baseline in HbA1c and the placebo-corrected mean HbA1c change was −0.37% and −0.34%, respectively. The mean change from baseline in FPG and the placebo-corrected mean FPG was -1.19 </w:t>
      </w:r>
      <w:proofErr w:type="spellStart"/>
      <w:r w:rsidRPr="00524EEA">
        <w:rPr>
          <w:rStyle w:val="BMSSubscript"/>
          <w:sz w:val="24"/>
          <w:szCs w:val="24"/>
          <w:vertAlign w:val="baseline"/>
        </w:rPr>
        <w:t>mmol</w:t>
      </w:r>
      <w:proofErr w:type="spellEnd"/>
      <w:r w:rsidRPr="00524EEA">
        <w:rPr>
          <w:rStyle w:val="BMSSubscript"/>
          <w:sz w:val="24"/>
          <w:szCs w:val="24"/>
          <w:vertAlign w:val="baseline"/>
        </w:rPr>
        <w:t xml:space="preserve">/L and     -0.92 </w:t>
      </w:r>
      <w:proofErr w:type="spellStart"/>
      <w:r w:rsidRPr="00524EEA">
        <w:rPr>
          <w:rStyle w:val="BMSSubscript"/>
          <w:sz w:val="24"/>
          <w:szCs w:val="24"/>
          <w:vertAlign w:val="baseline"/>
        </w:rPr>
        <w:t>mmol</w:t>
      </w:r>
      <w:proofErr w:type="spellEnd"/>
      <w:r w:rsidRPr="00524EEA">
        <w:rPr>
          <w:rStyle w:val="BMSSubscript"/>
          <w:sz w:val="24"/>
          <w:szCs w:val="24"/>
          <w:vertAlign w:val="baseline"/>
        </w:rPr>
        <w:t>/L, respectively. The mean body weight reduction (percentage) and the placebo-corrected mean body weight reduction was -3.42% and -1.43 %, respectively. The mean reduction in seated systolic blood pressure (SBP) and the placebo-corrected mean reduction in SBP was -4.8 mmHg and -3.1 mmHg, respectively.</w:t>
      </w:r>
      <w:r w:rsidRPr="00524EEA">
        <w:rPr>
          <w:rStyle w:val="BMSSubscript"/>
          <w:szCs w:val="24"/>
          <w:vertAlign w:val="baseline"/>
        </w:rPr>
        <w:t xml:space="preserve"> </w:t>
      </w:r>
    </w:p>
    <w:p w14:paraId="2C32D10B" w14:textId="3AD685F8" w:rsidR="002B4DA5" w:rsidRPr="00AF7D0B" w:rsidDel="007561D9" w:rsidRDefault="007D0554" w:rsidP="00AF7D0B">
      <w:pPr>
        <w:pStyle w:val="A-TableTitle"/>
        <w:rPr>
          <w:lang w:val="en-AU"/>
        </w:rPr>
      </w:pPr>
      <w:r w:rsidRPr="00524EEA">
        <w:rPr>
          <w:lang w:val="en-AU"/>
        </w:rPr>
        <w:t xml:space="preserve">Table </w:t>
      </w:r>
      <w:r w:rsidR="00A473A3" w:rsidRPr="00524EEA">
        <w:rPr>
          <w:lang w:val="en-AU"/>
        </w:rPr>
        <w:t>11</w:t>
      </w:r>
      <w:r w:rsidRPr="00524EEA">
        <w:rPr>
          <w:lang w:val="en-AU"/>
        </w:rPr>
        <w:t>:</w:t>
      </w:r>
      <w:r w:rsidRPr="00524EEA">
        <w:rPr>
          <w:lang w:val="en-AU"/>
        </w:rPr>
        <w:tab/>
        <w:t>Results at Week 24 in a Placebo-Controlled Study of FORXIGA Treatment in</w:t>
      </w:r>
      <w:r w:rsidRPr="00524EEA" w:rsidDel="006208AC">
        <w:rPr>
          <w:lang w:val="en-AU"/>
        </w:rPr>
        <w:t xml:space="preserve"> </w:t>
      </w:r>
      <w:r w:rsidRPr="00524EEA">
        <w:rPr>
          <w:lang w:val="en-AU"/>
        </w:rPr>
        <w:t>D</w:t>
      </w:r>
      <w:r w:rsidRPr="00524EEA" w:rsidDel="006208AC">
        <w:rPr>
          <w:lang w:val="en-AU"/>
        </w:rPr>
        <w:t xml:space="preserve">iabetic </w:t>
      </w:r>
      <w:r w:rsidRPr="00524EEA">
        <w:rPr>
          <w:lang w:val="en-AU"/>
        </w:rPr>
        <w:t>P</w:t>
      </w:r>
      <w:r w:rsidRPr="00524EEA" w:rsidDel="006208AC">
        <w:rPr>
          <w:lang w:val="en-AU"/>
        </w:rPr>
        <w:t xml:space="preserve">atients with </w:t>
      </w:r>
      <w:r w:rsidRPr="00524EEA">
        <w:rPr>
          <w:lang w:val="en-AU"/>
        </w:rPr>
        <w:t>M</w:t>
      </w:r>
      <w:r w:rsidRPr="00524EEA" w:rsidDel="006208AC">
        <w:rPr>
          <w:lang w:val="en-AU"/>
        </w:rPr>
        <w:t xml:space="preserve">oderate </w:t>
      </w:r>
      <w:r w:rsidRPr="00524EEA">
        <w:rPr>
          <w:lang w:val="en-AU"/>
        </w:rPr>
        <w:t>R</w:t>
      </w:r>
      <w:r w:rsidRPr="00524EEA" w:rsidDel="006208AC">
        <w:rPr>
          <w:lang w:val="en-AU"/>
        </w:rPr>
        <w:t xml:space="preserve">enal </w:t>
      </w:r>
      <w:r w:rsidRPr="00524EEA">
        <w:rPr>
          <w:lang w:val="en-AU"/>
        </w:rPr>
        <w:t>I</w:t>
      </w:r>
      <w:r w:rsidRPr="00524EEA" w:rsidDel="006208AC">
        <w:rPr>
          <w:lang w:val="en-AU"/>
        </w:rPr>
        <w:t>mpairment</w:t>
      </w:r>
      <w:r w:rsidRPr="00524EEA">
        <w:rPr>
          <w:lang w:val="en-AU"/>
        </w:rPr>
        <w:t xml:space="preserve"> (Class 3A, </w:t>
      </w:r>
      <w:proofErr w:type="spellStart"/>
      <w:r w:rsidRPr="00524EEA">
        <w:rPr>
          <w:lang w:val="en-AU"/>
        </w:rPr>
        <w:t>eGFR</w:t>
      </w:r>
      <w:proofErr w:type="spellEnd"/>
      <w:r w:rsidRPr="00524EEA">
        <w:rPr>
          <w:lang w:val="en-AU"/>
        </w:rPr>
        <w:t xml:space="preserve"> </w:t>
      </w:r>
      <w:r w:rsidRPr="00524EEA" w:rsidDel="006208AC">
        <w:rPr>
          <w:lang w:val="en-AU"/>
        </w:rPr>
        <w:sym w:font="Symbol" w:char="F0B3"/>
      </w:r>
      <w:r w:rsidRPr="00524EEA" w:rsidDel="006208AC">
        <w:rPr>
          <w:lang w:val="en-AU"/>
        </w:rPr>
        <w:t>45 to &lt;60 mL/min/1.73 m</w:t>
      </w:r>
      <w:r w:rsidRPr="00AF7D0B" w:rsidDel="006208AC">
        <w:rPr>
          <w:vertAlign w:val="superscript"/>
          <w:lang w:val="en-AU"/>
        </w:rPr>
        <w:t>2</w:t>
      </w:r>
      <w:r w:rsidRPr="00524EEA">
        <w:rPr>
          <w:lang w:val="en-AU"/>
        </w:rPr>
        <w:t>)</w:t>
      </w:r>
    </w:p>
    <w:tbl>
      <w:tblPr>
        <w:tblW w:w="9076" w:type="dxa"/>
        <w:jc w:val="center"/>
        <w:tblLayout w:type="fixed"/>
        <w:tblLook w:val="0000" w:firstRow="0" w:lastRow="0" w:firstColumn="0" w:lastColumn="0" w:noHBand="0" w:noVBand="0"/>
      </w:tblPr>
      <w:tblGrid>
        <w:gridCol w:w="5308"/>
        <w:gridCol w:w="2098"/>
        <w:gridCol w:w="1670"/>
      </w:tblGrid>
      <w:tr w:rsidR="007D0554" w:rsidRPr="00524EEA" w14:paraId="4B734713" w14:textId="77777777" w:rsidTr="00156200">
        <w:trPr>
          <w:cantSplit/>
          <w:tblHeader/>
          <w:jc w:val="center"/>
        </w:trPr>
        <w:tc>
          <w:tcPr>
            <w:tcW w:w="2924" w:type="pct"/>
            <w:tcBorders>
              <w:top w:val="single" w:sz="8" w:space="0" w:color="auto"/>
              <w:bottom w:val="single" w:sz="8" w:space="0" w:color="auto"/>
            </w:tcBorders>
            <w:shd w:val="clear" w:color="auto" w:fill="auto"/>
          </w:tcPr>
          <w:p w14:paraId="159C3E6B" w14:textId="77777777" w:rsidR="007D0554" w:rsidRPr="00524EEA" w:rsidRDefault="007D0554" w:rsidP="00D70E96">
            <w:pPr>
              <w:pStyle w:val="A-TableHeader"/>
            </w:pPr>
            <w:r w:rsidRPr="00524EEA">
              <w:t>Efficacy Parameter</w:t>
            </w:r>
          </w:p>
        </w:tc>
        <w:tc>
          <w:tcPr>
            <w:tcW w:w="1156" w:type="pct"/>
            <w:tcBorders>
              <w:top w:val="single" w:sz="8" w:space="0" w:color="auto"/>
              <w:bottom w:val="single" w:sz="8" w:space="0" w:color="auto"/>
            </w:tcBorders>
            <w:shd w:val="clear" w:color="auto" w:fill="auto"/>
          </w:tcPr>
          <w:p w14:paraId="261354A2" w14:textId="77777777" w:rsidR="007D0554" w:rsidRPr="00524EEA" w:rsidRDefault="007D0554" w:rsidP="00D70E96">
            <w:pPr>
              <w:pStyle w:val="A-TableHeader"/>
              <w:jc w:val="center"/>
            </w:pPr>
            <w:r w:rsidRPr="00524EEA">
              <w:t>FORXIGA</w:t>
            </w:r>
            <w:r w:rsidRPr="00524EEA">
              <w:br/>
              <w:t>10 mg</w:t>
            </w:r>
            <w:r w:rsidRPr="00524EEA">
              <w:br/>
              <w:t>N=159</w:t>
            </w:r>
          </w:p>
        </w:tc>
        <w:tc>
          <w:tcPr>
            <w:tcW w:w="920" w:type="pct"/>
            <w:tcBorders>
              <w:top w:val="single" w:sz="8" w:space="0" w:color="auto"/>
              <w:bottom w:val="single" w:sz="8" w:space="0" w:color="auto"/>
            </w:tcBorders>
            <w:shd w:val="clear" w:color="auto" w:fill="auto"/>
          </w:tcPr>
          <w:p w14:paraId="4EA28273" w14:textId="77777777" w:rsidR="007D0554" w:rsidRPr="00524EEA" w:rsidRDefault="007D0554" w:rsidP="00D70E96">
            <w:pPr>
              <w:pStyle w:val="A-TableHeader"/>
              <w:jc w:val="center"/>
            </w:pPr>
            <w:r w:rsidRPr="00524EEA">
              <w:t>Placebo</w:t>
            </w:r>
            <w:r w:rsidRPr="00524EEA">
              <w:br/>
            </w:r>
            <w:r w:rsidRPr="00524EEA">
              <w:br/>
              <w:t>N=161</w:t>
            </w:r>
          </w:p>
        </w:tc>
      </w:tr>
      <w:tr w:rsidR="007D0554" w:rsidRPr="00524EEA" w14:paraId="3DA0F8A0" w14:textId="77777777" w:rsidTr="00156200">
        <w:trPr>
          <w:cantSplit/>
          <w:jc w:val="center"/>
        </w:trPr>
        <w:tc>
          <w:tcPr>
            <w:tcW w:w="2924" w:type="pct"/>
            <w:tcBorders>
              <w:top w:val="single" w:sz="8" w:space="0" w:color="auto"/>
            </w:tcBorders>
            <w:shd w:val="clear" w:color="auto" w:fill="auto"/>
          </w:tcPr>
          <w:p w14:paraId="207A80D1" w14:textId="77777777" w:rsidR="007D0554" w:rsidRPr="00524EEA" w:rsidRDefault="007D0554" w:rsidP="00D70E96">
            <w:pPr>
              <w:pStyle w:val="A-TableText"/>
              <w:rPr>
                <w:b/>
              </w:rPr>
            </w:pPr>
            <w:r w:rsidRPr="00524EEA">
              <w:rPr>
                <w:b/>
              </w:rPr>
              <w:t>HbA1c (%)</w:t>
            </w:r>
          </w:p>
        </w:tc>
        <w:tc>
          <w:tcPr>
            <w:tcW w:w="1156" w:type="pct"/>
            <w:tcBorders>
              <w:top w:val="single" w:sz="8" w:space="0" w:color="auto"/>
            </w:tcBorders>
            <w:shd w:val="clear" w:color="auto" w:fill="auto"/>
          </w:tcPr>
          <w:p w14:paraId="16AC8E65" w14:textId="77777777" w:rsidR="007D0554" w:rsidRPr="00524EEA" w:rsidRDefault="007D0554" w:rsidP="00D70E96">
            <w:pPr>
              <w:pStyle w:val="A-TableText"/>
              <w:jc w:val="center"/>
            </w:pPr>
          </w:p>
        </w:tc>
        <w:tc>
          <w:tcPr>
            <w:tcW w:w="920" w:type="pct"/>
            <w:tcBorders>
              <w:top w:val="single" w:sz="8" w:space="0" w:color="auto"/>
            </w:tcBorders>
            <w:shd w:val="clear" w:color="auto" w:fill="auto"/>
          </w:tcPr>
          <w:p w14:paraId="74DF8291" w14:textId="77777777" w:rsidR="007D0554" w:rsidRPr="00524EEA" w:rsidRDefault="007D0554" w:rsidP="00D70E96">
            <w:pPr>
              <w:pStyle w:val="A-TableText"/>
              <w:jc w:val="center"/>
            </w:pPr>
          </w:p>
        </w:tc>
      </w:tr>
      <w:tr w:rsidR="007D0554" w:rsidRPr="00524EEA" w14:paraId="2699220B" w14:textId="77777777" w:rsidTr="00220DDA">
        <w:trPr>
          <w:cantSplit/>
          <w:jc w:val="center"/>
        </w:trPr>
        <w:tc>
          <w:tcPr>
            <w:tcW w:w="2924" w:type="pct"/>
            <w:shd w:val="clear" w:color="auto" w:fill="auto"/>
          </w:tcPr>
          <w:p w14:paraId="636EE704" w14:textId="77777777" w:rsidR="007D0554" w:rsidRPr="00524EEA" w:rsidRDefault="007D0554" w:rsidP="00D70E96">
            <w:pPr>
              <w:pStyle w:val="A-TableText"/>
            </w:pPr>
            <w:r w:rsidRPr="00524EEA">
              <w:t>Baseline (mean)</w:t>
            </w:r>
          </w:p>
        </w:tc>
        <w:tc>
          <w:tcPr>
            <w:tcW w:w="1156" w:type="pct"/>
            <w:shd w:val="clear" w:color="auto" w:fill="auto"/>
          </w:tcPr>
          <w:p w14:paraId="30A17CF0" w14:textId="77777777" w:rsidR="007D0554" w:rsidRPr="00524EEA" w:rsidRDefault="007D0554" w:rsidP="00D70E96">
            <w:pPr>
              <w:pStyle w:val="A-TableText"/>
              <w:jc w:val="center"/>
            </w:pPr>
            <w:r w:rsidRPr="00524EEA">
              <w:t>8.35</w:t>
            </w:r>
          </w:p>
        </w:tc>
        <w:tc>
          <w:tcPr>
            <w:tcW w:w="920" w:type="pct"/>
            <w:shd w:val="clear" w:color="auto" w:fill="auto"/>
          </w:tcPr>
          <w:p w14:paraId="3E42E006" w14:textId="77777777" w:rsidR="007D0554" w:rsidRPr="00524EEA" w:rsidRDefault="007D0554" w:rsidP="00D70E96">
            <w:pPr>
              <w:pStyle w:val="A-TableText"/>
              <w:jc w:val="center"/>
            </w:pPr>
            <w:r w:rsidRPr="00524EEA">
              <w:t>8.03</w:t>
            </w:r>
          </w:p>
        </w:tc>
      </w:tr>
      <w:tr w:rsidR="007D0554" w:rsidRPr="00524EEA" w14:paraId="6D502CBE" w14:textId="77777777" w:rsidTr="00220DDA">
        <w:trPr>
          <w:cantSplit/>
          <w:jc w:val="center"/>
        </w:trPr>
        <w:tc>
          <w:tcPr>
            <w:tcW w:w="2924" w:type="pct"/>
            <w:shd w:val="clear" w:color="auto" w:fill="auto"/>
          </w:tcPr>
          <w:p w14:paraId="5BBBCDFF" w14:textId="77777777" w:rsidR="007D0554" w:rsidRPr="00524EEA" w:rsidRDefault="007D0554" w:rsidP="00D70E96">
            <w:pPr>
              <w:pStyle w:val="A-TableText"/>
            </w:pPr>
            <w:r w:rsidRPr="00524EEA">
              <w:t>Change from baseline (adjusted mean</w:t>
            </w:r>
            <w:r w:rsidRPr="00524EEA">
              <w:rPr>
                <w:rStyle w:val="BMSTableNote"/>
                <w:szCs w:val="24"/>
              </w:rPr>
              <w:t>*</w:t>
            </w:r>
            <w:r w:rsidRPr="00524EEA">
              <w:t>)</w:t>
            </w:r>
          </w:p>
        </w:tc>
        <w:tc>
          <w:tcPr>
            <w:tcW w:w="1156" w:type="pct"/>
            <w:shd w:val="clear" w:color="auto" w:fill="auto"/>
          </w:tcPr>
          <w:p w14:paraId="4EDA8CD9" w14:textId="54535093" w:rsidR="007D0554" w:rsidRPr="00524EEA" w:rsidRDefault="007D0554" w:rsidP="00D70E96">
            <w:pPr>
              <w:pStyle w:val="A-TableText"/>
              <w:jc w:val="center"/>
            </w:pPr>
            <w:r w:rsidRPr="00524EEA">
              <w:t>-0.37</w:t>
            </w:r>
          </w:p>
        </w:tc>
        <w:tc>
          <w:tcPr>
            <w:tcW w:w="920" w:type="pct"/>
            <w:shd w:val="clear" w:color="auto" w:fill="auto"/>
          </w:tcPr>
          <w:p w14:paraId="315A392C" w14:textId="77777777" w:rsidR="007D0554" w:rsidRPr="00524EEA" w:rsidRDefault="007D0554" w:rsidP="00D70E96">
            <w:pPr>
              <w:pStyle w:val="A-TableText"/>
              <w:jc w:val="center"/>
            </w:pPr>
            <w:r w:rsidRPr="00524EEA">
              <w:t>-0.03</w:t>
            </w:r>
          </w:p>
        </w:tc>
      </w:tr>
      <w:tr w:rsidR="007D0554" w:rsidRPr="00524EEA" w14:paraId="3E57D03B" w14:textId="77777777" w:rsidTr="00220DDA">
        <w:trPr>
          <w:cantSplit/>
          <w:jc w:val="center"/>
        </w:trPr>
        <w:tc>
          <w:tcPr>
            <w:tcW w:w="2924" w:type="pct"/>
            <w:shd w:val="clear" w:color="auto" w:fill="auto"/>
          </w:tcPr>
          <w:p w14:paraId="37D1541C" w14:textId="77777777" w:rsidR="007D0554" w:rsidRPr="00524EEA" w:rsidRDefault="007D0554" w:rsidP="00D70E96">
            <w:pPr>
              <w:pStyle w:val="A-TableText"/>
            </w:pPr>
            <w:r w:rsidRPr="00524EEA">
              <w:t>Difference from placebo (adjusted mean</w:t>
            </w:r>
            <w:r w:rsidRPr="00524EEA">
              <w:rPr>
                <w:rStyle w:val="BMSTableNote"/>
                <w:szCs w:val="24"/>
              </w:rPr>
              <w:t>*</w:t>
            </w:r>
            <w:r w:rsidRPr="00524EEA">
              <w:t xml:space="preserve">) </w:t>
            </w:r>
            <w:r w:rsidRPr="00524EEA">
              <w:br/>
              <w:t>(95% CI)</w:t>
            </w:r>
          </w:p>
        </w:tc>
        <w:tc>
          <w:tcPr>
            <w:tcW w:w="1156" w:type="pct"/>
            <w:shd w:val="clear" w:color="auto" w:fill="auto"/>
          </w:tcPr>
          <w:p w14:paraId="74947CFA" w14:textId="77777777" w:rsidR="007D0554" w:rsidRPr="00524EEA" w:rsidRDefault="007D0554" w:rsidP="00D70E96">
            <w:pPr>
              <w:pStyle w:val="A-TableText"/>
              <w:jc w:val="center"/>
            </w:pPr>
            <w:r w:rsidRPr="00524EEA">
              <w:t>-0.34</w:t>
            </w:r>
            <w:r w:rsidRPr="00524EEA">
              <w:rPr>
                <w:rStyle w:val="BMSTableNote"/>
              </w:rPr>
              <w:t>§</w:t>
            </w:r>
          </w:p>
          <w:p w14:paraId="7F8B759B" w14:textId="77777777" w:rsidR="007D0554" w:rsidRPr="00524EEA" w:rsidRDefault="007D0554" w:rsidP="00D70E96">
            <w:pPr>
              <w:pStyle w:val="A-TableText"/>
              <w:jc w:val="center"/>
            </w:pPr>
            <w:r w:rsidRPr="00524EEA">
              <w:t>(-0.53, -0.15)</w:t>
            </w:r>
          </w:p>
        </w:tc>
        <w:tc>
          <w:tcPr>
            <w:tcW w:w="920" w:type="pct"/>
            <w:shd w:val="clear" w:color="auto" w:fill="auto"/>
          </w:tcPr>
          <w:p w14:paraId="242BC601" w14:textId="77777777" w:rsidR="007D0554" w:rsidRPr="00524EEA" w:rsidRDefault="007D0554" w:rsidP="00D70E96">
            <w:pPr>
              <w:pStyle w:val="A-TableText"/>
              <w:jc w:val="center"/>
            </w:pPr>
          </w:p>
        </w:tc>
      </w:tr>
      <w:tr w:rsidR="007D0554" w:rsidRPr="00524EEA" w14:paraId="4C242F8D" w14:textId="77777777" w:rsidTr="00220DDA">
        <w:trPr>
          <w:cantSplit/>
          <w:jc w:val="center"/>
        </w:trPr>
        <w:tc>
          <w:tcPr>
            <w:tcW w:w="2924" w:type="pct"/>
            <w:shd w:val="clear" w:color="auto" w:fill="auto"/>
          </w:tcPr>
          <w:p w14:paraId="49DC464B" w14:textId="77777777" w:rsidR="007D0554" w:rsidRPr="00524EEA" w:rsidRDefault="007D0554" w:rsidP="00D70E96">
            <w:pPr>
              <w:pStyle w:val="A-TableText"/>
              <w:rPr>
                <w:b/>
              </w:rPr>
            </w:pPr>
            <w:r w:rsidRPr="00524EEA">
              <w:rPr>
                <w:b/>
              </w:rPr>
              <w:t>FPG (</w:t>
            </w:r>
            <w:proofErr w:type="spellStart"/>
            <w:r w:rsidRPr="00524EEA">
              <w:rPr>
                <w:b/>
              </w:rPr>
              <w:t>mmol</w:t>
            </w:r>
            <w:proofErr w:type="spellEnd"/>
            <w:r w:rsidRPr="00524EEA">
              <w:rPr>
                <w:b/>
              </w:rPr>
              <w:t>/L)</w:t>
            </w:r>
          </w:p>
        </w:tc>
        <w:tc>
          <w:tcPr>
            <w:tcW w:w="1156" w:type="pct"/>
            <w:shd w:val="clear" w:color="auto" w:fill="auto"/>
          </w:tcPr>
          <w:p w14:paraId="22818370" w14:textId="77777777" w:rsidR="007D0554" w:rsidRPr="00524EEA" w:rsidRDefault="007D0554" w:rsidP="00D70E96">
            <w:pPr>
              <w:pStyle w:val="A-TableText"/>
              <w:jc w:val="center"/>
            </w:pPr>
          </w:p>
        </w:tc>
        <w:tc>
          <w:tcPr>
            <w:tcW w:w="920" w:type="pct"/>
            <w:shd w:val="clear" w:color="auto" w:fill="auto"/>
          </w:tcPr>
          <w:p w14:paraId="5D9C3182" w14:textId="77777777" w:rsidR="007D0554" w:rsidRPr="00524EEA" w:rsidRDefault="007D0554" w:rsidP="00D70E96">
            <w:pPr>
              <w:pStyle w:val="A-TableText"/>
              <w:jc w:val="center"/>
            </w:pPr>
          </w:p>
        </w:tc>
      </w:tr>
      <w:tr w:rsidR="007D0554" w:rsidRPr="00524EEA" w14:paraId="5F4063FF" w14:textId="77777777" w:rsidTr="00220DDA">
        <w:trPr>
          <w:cantSplit/>
          <w:jc w:val="center"/>
        </w:trPr>
        <w:tc>
          <w:tcPr>
            <w:tcW w:w="2924" w:type="pct"/>
            <w:shd w:val="clear" w:color="auto" w:fill="auto"/>
          </w:tcPr>
          <w:p w14:paraId="23412092" w14:textId="77777777" w:rsidR="007D0554" w:rsidRPr="00524EEA" w:rsidRDefault="007D0554" w:rsidP="00D70E96">
            <w:pPr>
              <w:pStyle w:val="A-TableText"/>
            </w:pPr>
            <w:r w:rsidRPr="00524EEA">
              <w:t>Baseline (mean)</w:t>
            </w:r>
          </w:p>
        </w:tc>
        <w:tc>
          <w:tcPr>
            <w:tcW w:w="1156" w:type="pct"/>
            <w:shd w:val="clear" w:color="auto" w:fill="auto"/>
          </w:tcPr>
          <w:p w14:paraId="148B4D8B" w14:textId="77777777" w:rsidR="007D0554" w:rsidRPr="00524EEA" w:rsidRDefault="007D0554" w:rsidP="00D70E96">
            <w:pPr>
              <w:pStyle w:val="A-TableText"/>
              <w:jc w:val="center"/>
            </w:pPr>
            <w:r w:rsidRPr="00524EEA">
              <w:t>10.16</w:t>
            </w:r>
          </w:p>
        </w:tc>
        <w:tc>
          <w:tcPr>
            <w:tcW w:w="920" w:type="pct"/>
            <w:shd w:val="clear" w:color="auto" w:fill="auto"/>
          </w:tcPr>
          <w:p w14:paraId="3F2A926E" w14:textId="77777777" w:rsidR="007D0554" w:rsidRPr="00524EEA" w:rsidRDefault="007D0554" w:rsidP="00D70E96">
            <w:pPr>
              <w:pStyle w:val="A-TableText"/>
              <w:jc w:val="center"/>
            </w:pPr>
            <w:r w:rsidRPr="00524EEA">
              <w:t>9.62</w:t>
            </w:r>
          </w:p>
        </w:tc>
      </w:tr>
      <w:tr w:rsidR="007D0554" w:rsidRPr="00524EEA" w14:paraId="55BD1CB9" w14:textId="77777777" w:rsidTr="00220DDA">
        <w:trPr>
          <w:cantSplit/>
          <w:jc w:val="center"/>
        </w:trPr>
        <w:tc>
          <w:tcPr>
            <w:tcW w:w="2924" w:type="pct"/>
            <w:shd w:val="clear" w:color="auto" w:fill="auto"/>
          </w:tcPr>
          <w:p w14:paraId="444905E7" w14:textId="77777777" w:rsidR="007D0554" w:rsidRPr="00524EEA" w:rsidRDefault="007D0554" w:rsidP="00D70E96">
            <w:pPr>
              <w:pStyle w:val="A-TableText"/>
            </w:pPr>
            <w:r w:rsidRPr="00524EEA">
              <w:t>Change from baseline (adjusted mean</w:t>
            </w:r>
            <w:r w:rsidRPr="00524EEA">
              <w:rPr>
                <w:rStyle w:val="BMSTableNote"/>
                <w:szCs w:val="24"/>
              </w:rPr>
              <w:t>*</w:t>
            </w:r>
            <w:r w:rsidRPr="00524EEA">
              <w:t>)</w:t>
            </w:r>
          </w:p>
        </w:tc>
        <w:tc>
          <w:tcPr>
            <w:tcW w:w="1156" w:type="pct"/>
            <w:shd w:val="clear" w:color="auto" w:fill="auto"/>
          </w:tcPr>
          <w:p w14:paraId="407447B5" w14:textId="1B46FF08" w:rsidR="007D0554" w:rsidRPr="00524EEA" w:rsidRDefault="007D0554" w:rsidP="00D70E96">
            <w:pPr>
              <w:pStyle w:val="A-TableText"/>
              <w:jc w:val="center"/>
            </w:pPr>
            <w:r w:rsidRPr="00524EEA">
              <w:t>-1.19</w:t>
            </w:r>
          </w:p>
        </w:tc>
        <w:tc>
          <w:tcPr>
            <w:tcW w:w="920" w:type="pct"/>
            <w:shd w:val="clear" w:color="auto" w:fill="auto"/>
          </w:tcPr>
          <w:p w14:paraId="47EFCDF5" w14:textId="77777777" w:rsidR="007D0554" w:rsidRPr="00524EEA" w:rsidRDefault="007D0554" w:rsidP="00D70E96">
            <w:pPr>
              <w:pStyle w:val="A-TableText"/>
              <w:jc w:val="center"/>
            </w:pPr>
            <w:r w:rsidRPr="00524EEA">
              <w:t>-0.27</w:t>
            </w:r>
          </w:p>
        </w:tc>
      </w:tr>
      <w:tr w:rsidR="007D0554" w:rsidRPr="00524EEA" w14:paraId="5E128E65" w14:textId="77777777" w:rsidTr="00220DDA">
        <w:trPr>
          <w:cantSplit/>
          <w:jc w:val="center"/>
        </w:trPr>
        <w:tc>
          <w:tcPr>
            <w:tcW w:w="2924" w:type="pct"/>
            <w:shd w:val="clear" w:color="auto" w:fill="auto"/>
          </w:tcPr>
          <w:p w14:paraId="5303D48D" w14:textId="77777777" w:rsidR="007D0554" w:rsidRPr="00524EEA" w:rsidRDefault="007D0554" w:rsidP="00D70E96">
            <w:pPr>
              <w:pStyle w:val="A-TableText"/>
            </w:pPr>
            <w:r w:rsidRPr="00524EEA">
              <w:t>Difference from placebo (adjusted mean</w:t>
            </w:r>
            <w:r w:rsidRPr="00524EEA">
              <w:rPr>
                <w:rStyle w:val="BMSTableNote"/>
                <w:szCs w:val="24"/>
              </w:rPr>
              <w:t>*</w:t>
            </w:r>
            <w:r w:rsidRPr="00524EEA">
              <w:t xml:space="preserve">) </w:t>
            </w:r>
            <w:r w:rsidRPr="00524EEA">
              <w:br/>
              <w:t>(95% CI)</w:t>
            </w:r>
          </w:p>
        </w:tc>
        <w:tc>
          <w:tcPr>
            <w:tcW w:w="1156" w:type="pct"/>
            <w:shd w:val="clear" w:color="auto" w:fill="auto"/>
          </w:tcPr>
          <w:p w14:paraId="54FDFBEA" w14:textId="77777777" w:rsidR="007D0554" w:rsidRPr="00524EEA" w:rsidRDefault="007D0554" w:rsidP="00D70E96">
            <w:pPr>
              <w:pStyle w:val="A-TableText"/>
              <w:jc w:val="center"/>
            </w:pPr>
            <w:r w:rsidRPr="00524EEA">
              <w:t>-0.92</w:t>
            </w:r>
            <w:r w:rsidRPr="00524EEA">
              <w:rPr>
                <w:rStyle w:val="BMSTableNote"/>
              </w:rPr>
              <w:t>§</w:t>
            </w:r>
          </w:p>
          <w:p w14:paraId="2EB61FEB" w14:textId="77777777" w:rsidR="007D0554" w:rsidRPr="00524EEA" w:rsidRDefault="007D0554" w:rsidP="00D70E96">
            <w:pPr>
              <w:pStyle w:val="A-TableText"/>
              <w:jc w:val="center"/>
            </w:pPr>
            <w:r w:rsidRPr="00524EEA">
              <w:t>(-1.48, -0.36)</w:t>
            </w:r>
          </w:p>
        </w:tc>
        <w:tc>
          <w:tcPr>
            <w:tcW w:w="920" w:type="pct"/>
            <w:shd w:val="clear" w:color="auto" w:fill="auto"/>
          </w:tcPr>
          <w:p w14:paraId="1BF34108" w14:textId="77777777" w:rsidR="007D0554" w:rsidRPr="00524EEA" w:rsidRDefault="007D0554" w:rsidP="00D70E96">
            <w:pPr>
              <w:pStyle w:val="A-TableText"/>
              <w:jc w:val="center"/>
            </w:pPr>
          </w:p>
        </w:tc>
      </w:tr>
    </w:tbl>
    <w:p w14:paraId="4CF3554E" w14:textId="0E3A8FF2" w:rsidR="00156200" w:rsidRDefault="00156200"/>
    <w:tbl>
      <w:tblPr>
        <w:tblW w:w="9076" w:type="dxa"/>
        <w:jc w:val="center"/>
        <w:tblLayout w:type="fixed"/>
        <w:tblLook w:val="0000" w:firstRow="0" w:lastRow="0" w:firstColumn="0" w:lastColumn="0" w:noHBand="0" w:noVBand="0"/>
      </w:tblPr>
      <w:tblGrid>
        <w:gridCol w:w="5308"/>
        <w:gridCol w:w="2098"/>
        <w:gridCol w:w="1670"/>
      </w:tblGrid>
      <w:tr w:rsidR="007D0554" w:rsidRPr="00524EEA" w14:paraId="7BE9AAF2" w14:textId="77777777" w:rsidTr="00220DDA">
        <w:trPr>
          <w:cantSplit/>
          <w:jc w:val="center"/>
        </w:trPr>
        <w:tc>
          <w:tcPr>
            <w:tcW w:w="2924" w:type="pct"/>
            <w:shd w:val="clear" w:color="auto" w:fill="auto"/>
          </w:tcPr>
          <w:p w14:paraId="08EDA544" w14:textId="55482D01" w:rsidR="007D0554" w:rsidRPr="00524EEA" w:rsidRDefault="007D0554" w:rsidP="00D70E96">
            <w:pPr>
              <w:pStyle w:val="A-TableText"/>
              <w:rPr>
                <w:b/>
              </w:rPr>
            </w:pPr>
            <w:r w:rsidRPr="00524EEA">
              <w:rPr>
                <w:b/>
              </w:rPr>
              <w:t>Body Weight (percentage)</w:t>
            </w:r>
          </w:p>
        </w:tc>
        <w:tc>
          <w:tcPr>
            <w:tcW w:w="1156" w:type="pct"/>
            <w:shd w:val="clear" w:color="auto" w:fill="auto"/>
          </w:tcPr>
          <w:p w14:paraId="1FE9DCC0" w14:textId="77777777" w:rsidR="007D0554" w:rsidRPr="00524EEA" w:rsidRDefault="007D0554" w:rsidP="00D70E96">
            <w:pPr>
              <w:pStyle w:val="A-TableText"/>
              <w:jc w:val="center"/>
            </w:pPr>
          </w:p>
        </w:tc>
        <w:tc>
          <w:tcPr>
            <w:tcW w:w="920" w:type="pct"/>
            <w:shd w:val="clear" w:color="auto" w:fill="auto"/>
          </w:tcPr>
          <w:p w14:paraId="69C66A52" w14:textId="77777777" w:rsidR="007D0554" w:rsidRPr="00524EEA" w:rsidRDefault="007D0554" w:rsidP="00D70E96">
            <w:pPr>
              <w:pStyle w:val="A-TableText"/>
              <w:jc w:val="center"/>
            </w:pPr>
          </w:p>
        </w:tc>
      </w:tr>
      <w:tr w:rsidR="007D0554" w:rsidRPr="00524EEA" w14:paraId="2D3A733B" w14:textId="77777777" w:rsidTr="00220DDA">
        <w:trPr>
          <w:cantSplit/>
          <w:jc w:val="center"/>
        </w:trPr>
        <w:tc>
          <w:tcPr>
            <w:tcW w:w="2924" w:type="pct"/>
            <w:shd w:val="clear" w:color="auto" w:fill="auto"/>
          </w:tcPr>
          <w:p w14:paraId="4E4FF9FA" w14:textId="77777777" w:rsidR="007D0554" w:rsidRPr="00524EEA" w:rsidRDefault="007D0554" w:rsidP="00D70E96">
            <w:pPr>
              <w:pStyle w:val="A-TableText"/>
            </w:pPr>
            <w:r w:rsidRPr="00524EEA">
              <w:t>Baseline (mean)</w:t>
            </w:r>
          </w:p>
        </w:tc>
        <w:tc>
          <w:tcPr>
            <w:tcW w:w="1156" w:type="pct"/>
            <w:shd w:val="clear" w:color="auto" w:fill="auto"/>
          </w:tcPr>
          <w:p w14:paraId="6D35D398" w14:textId="77777777" w:rsidR="007D0554" w:rsidRPr="00524EEA" w:rsidRDefault="007D0554" w:rsidP="00D70E96">
            <w:pPr>
              <w:pStyle w:val="A-TableText"/>
              <w:jc w:val="center"/>
            </w:pPr>
            <w:r w:rsidRPr="00524EEA">
              <w:t>92.51</w:t>
            </w:r>
          </w:p>
        </w:tc>
        <w:tc>
          <w:tcPr>
            <w:tcW w:w="920" w:type="pct"/>
            <w:shd w:val="clear" w:color="auto" w:fill="auto"/>
          </w:tcPr>
          <w:p w14:paraId="45035E03" w14:textId="77777777" w:rsidR="007D0554" w:rsidRPr="00524EEA" w:rsidRDefault="007D0554" w:rsidP="00D70E96">
            <w:pPr>
              <w:pStyle w:val="A-TableText"/>
              <w:jc w:val="center"/>
            </w:pPr>
            <w:r w:rsidRPr="00524EEA">
              <w:t>88.30</w:t>
            </w:r>
          </w:p>
        </w:tc>
      </w:tr>
      <w:tr w:rsidR="007D0554" w:rsidRPr="00524EEA" w14:paraId="508D427A" w14:textId="77777777" w:rsidTr="00220DDA">
        <w:trPr>
          <w:cantSplit/>
          <w:jc w:val="center"/>
        </w:trPr>
        <w:tc>
          <w:tcPr>
            <w:tcW w:w="2924" w:type="pct"/>
            <w:shd w:val="clear" w:color="auto" w:fill="auto"/>
          </w:tcPr>
          <w:p w14:paraId="3663659E" w14:textId="77777777" w:rsidR="007D0554" w:rsidRPr="00524EEA" w:rsidRDefault="007D0554" w:rsidP="00D70E96">
            <w:pPr>
              <w:pStyle w:val="A-TableText"/>
            </w:pPr>
            <w:r w:rsidRPr="00524EEA">
              <w:t>% Change from baseline (adjusted mean</w:t>
            </w:r>
            <w:r w:rsidRPr="00524EEA">
              <w:rPr>
                <w:rStyle w:val="BMSTableNote"/>
                <w:szCs w:val="24"/>
              </w:rPr>
              <w:t>*</w:t>
            </w:r>
            <w:r w:rsidRPr="00524EEA">
              <w:t>)</w:t>
            </w:r>
          </w:p>
        </w:tc>
        <w:tc>
          <w:tcPr>
            <w:tcW w:w="1156" w:type="pct"/>
            <w:shd w:val="clear" w:color="auto" w:fill="auto"/>
          </w:tcPr>
          <w:p w14:paraId="1E3E274E" w14:textId="0DB29167" w:rsidR="007D0554" w:rsidRPr="00524EEA" w:rsidRDefault="007D0554" w:rsidP="00D70E96">
            <w:pPr>
              <w:pStyle w:val="A-TableText"/>
              <w:jc w:val="center"/>
            </w:pPr>
            <w:r w:rsidRPr="00524EEA">
              <w:t>-3.42</w:t>
            </w:r>
          </w:p>
        </w:tc>
        <w:tc>
          <w:tcPr>
            <w:tcW w:w="920" w:type="pct"/>
            <w:shd w:val="clear" w:color="auto" w:fill="auto"/>
          </w:tcPr>
          <w:p w14:paraId="5176AB0F" w14:textId="77777777" w:rsidR="007D0554" w:rsidRPr="00524EEA" w:rsidRDefault="007D0554" w:rsidP="00D70E96">
            <w:pPr>
              <w:pStyle w:val="A-TableText"/>
              <w:jc w:val="center"/>
            </w:pPr>
            <w:r w:rsidRPr="00524EEA">
              <w:t>-2.02</w:t>
            </w:r>
          </w:p>
        </w:tc>
      </w:tr>
      <w:tr w:rsidR="007D0554" w:rsidRPr="00524EEA" w14:paraId="280EF4CA" w14:textId="77777777" w:rsidTr="00220DDA">
        <w:trPr>
          <w:cantSplit/>
          <w:jc w:val="center"/>
        </w:trPr>
        <w:tc>
          <w:tcPr>
            <w:tcW w:w="2924" w:type="pct"/>
            <w:shd w:val="clear" w:color="auto" w:fill="auto"/>
          </w:tcPr>
          <w:p w14:paraId="563C2EF7" w14:textId="77777777" w:rsidR="007D0554" w:rsidRPr="00524EEA" w:rsidRDefault="007D0554" w:rsidP="00D70E96">
            <w:pPr>
              <w:pStyle w:val="A-TableText"/>
            </w:pPr>
            <w:r w:rsidRPr="00524EEA">
              <w:t>Difference from placebo (adjusted mean</w:t>
            </w:r>
            <w:r w:rsidRPr="00524EEA">
              <w:rPr>
                <w:rStyle w:val="BMSTableNote"/>
                <w:szCs w:val="24"/>
              </w:rPr>
              <w:t>*</w:t>
            </w:r>
            <w:r w:rsidRPr="00524EEA">
              <w:t xml:space="preserve">) </w:t>
            </w:r>
            <w:r w:rsidRPr="00524EEA">
              <w:br/>
              <w:t>(95% CI)</w:t>
            </w:r>
          </w:p>
        </w:tc>
        <w:tc>
          <w:tcPr>
            <w:tcW w:w="1156" w:type="pct"/>
            <w:shd w:val="clear" w:color="auto" w:fill="auto"/>
          </w:tcPr>
          <w:p w14:paraId="5DE2A21B" w14:textId="77777777" w:rsidR="007D0554" w:rsidRPr="00524EEA" w:rsidRDefault="007D0554" w:rsidP="00D70E96">
            <w:pPr>
              <w:pStyle w:val="A-TableText"/>
              <w:jc w:val="center"/>
            </w:pPr>
            <w:r w:rsidRPr="00524EEA">
              <w:t>-1.43</w:t>
            </w:r>
            <w:r w:rsidRPr="00524EEA">
              <w:rPr>
                <w:rStyle w:val="BMSTableNote"/>
              </w:rPr>
              <w:t>§</w:t>
            </w:r>
          </w:p>
          <w:p w14:paraId="5A71C09F" w14:textId="77777777" w:rsidR="007D0554" w:rsidRPr="00524EEA" w:rsidRDefault="007D0554" w:rsidP="00D70E96">
            <w:pPr>
              <w:pStyle w:val="A-TableText"/>
              <w:jc w:val="center"/>
            </w:pPr>
            <w:r w:rsidRPr="00524EEA">
              <w:t>(-2.15, -0.69)</w:t>
            </w:r>
          </w:p>
        </w:tc>
        <w:tc>
          <w:tcPr>
            <w:tcW w:w="920" w:type="pct"/>
            <w:shd w:val="clear" w:color="auto" w:fill="auto"/>
          </w:tcPr>
          <w:p w14:paraId="58F7734B" w14:textId="77777777" w:rsidR="007D0554" w:rsidRPr="00524EEA" w:rsidRDefault="007D0554" w:rsidP="00D70E96">
            <w:pPr>
              <w:pStyle w:val="A-TableText"/>
              <w:jc w:val="center"/>
            </w:pPr>
          </w:p>
        </w:tc>
      </w:tr>
      <w:tr w:rsidR="007D0554" w:rsidRPr="00524EEA" w14:paraId="05F16178" w14:textId="77777777" w:rsidTr="00220DDA">
        <w:trPr>
          <w:cantSplit/>
          <w:jc w:val="center"/>
        </w:trPr>
        <w:tc>
          <w:tcPr>
            <w:tcW w:w="2924" w:type="pct"/>
            <w:shd w:val="clear" w:color="auto" w:fill="auto"/>
          </w:tcPr>
          <w:p w14:paraId="60D1BC7A" w14:textId="77777777" w:rsidR="007D0554" w:rsidRPr="00524EEA" w:rsidRDefault="007D0554" w:rsidP="00D70E96">
            <w:pPr>
              <w:pStyle w:val="A-TableText"/>
              <w:rPr>
                <w:b/>
              </w:rPr>
            </w:pPr>
            <w:r w:rsidRPr="00524EEA">
              <w:rPr>
                <w:b/>
              </w:rPr>
              <w:t>Seated Systolic Blood Pressure (</w:t>
            </w:r>
            <w:r w:rsidRPr="00524EEA">
              <w:rPr>
                <w:b/>
                <w:lang w:val="en-US"/>
              </w:rPr>
              <w:t>mmHg)</w:t>
            </w:r>
          </w:p>
        </w:tc>
        <w:tc>
          <w:tcPr>
            <w:tcW w:w="1156" w:type="pct"/>
            <w:shd w:val="clear" w:color="auto" w:fill="auto"/>
          </w:tcPr>
          <w:p w14:paraId="69387F04" w14:textId="77777777" w:rsidR="007D0554" w:rsidRPr="00524EEA" w:rsidRDefault="007D0554" w:rsidP="00D70E96">
            <w:pPr>
              <w:pStyle w:val="A-TableText"/>
              <w:jc w:val="center"/>
            </w:pPr>
          </w:p>
        </w:tc>
        <w:tc>
          <w:tcPr>
            <w:tcW w:w="920" w:type="pct"/>
            <w:shd w:val="clear" w:color="auto" w:fill="auto"/>
          </w:tcPr>
          <w:p w14:paraId="376DAF78" w14:textId="77777777" w:rsidR="007D0554" w:rsidRPr="00524EEA" w:rsidRDefault="007D0554" w:rsidP="00D70E96">
            <w:pPr>
              <w:pStyle w:val="A-TableText"/>
              <w:jc w:val="center"/>
            </w:pPr>
          </w:p>
        </w:tc>
      </w:tr>
      <w:tr w:rsidR="007D0554" w:rsidRPr="00524EEA" w14:paraId="6060FD00" w14:textId="77777777" w:rsidTr="00220DDA">
        <w:trPr>
          <w:cantSplit/>
          <w:jc w:val="center"/>
        </w:trPr>
        <w:tc>
          <w:tcPr>
            <w:tcW w:w="2924" w:type="pct"/>
            <w:shd w:val="clear" w:color="auto" w:fill="auto"/>
          </w:tcPr>
          <w:p w14:paraId="1834E807" w14:textId="77777777" w:rsidR="007D0554" w:rsidRPr="00524EEA" w:rsidRDefault="007D0554" w:rsidP="00D70E96">
            <w:pPr>
              <w:pStyle w:val="A-TableText"/>
            </w:pPr>
            <w:r w:rsidRPr="00524EEA">
              <w:t>Baseline (mean)</w:t>
            </w:r>
          </w:p>
        </w:tc>
        <w:tc>
          <w:tcPr>
            <w:tcW w:w="1156" w:type="pct"/>
            <w:shd w:val="clear" w:color="auto" w:fill="auto"/>
          </w:tcPr>
          <w:p w14:paraId="40B60732" w14:textId="77777777" w:rsidR="007D0554" w:rsidRPr="00524EEA" w:rsidRDefault="007D0554" w:rsidP="00D70E96">
            <w:pPr>
              <w:pStyle w:val="A-TableText"/>
              <w:jc w:val="center"/>
            </w:pPr>
            <w:r w:rsidRPr="00524EEA">
              <w:t>135.7</w:t>
            </w:r>
          </w:p>
        </w:tc>
        <w:tc>
          <w:tcPr>
            <w:tcW w:w="920" w:type="pct"/>
            <w:shd w:val="clear" w:color="auto" w:fill="auto"/>
          </w:tcPr>
          <w:p w14:paraId="223EDAEA" w14:textId="77777777" w:rsidR="007D0554" w:rsidRPr="00524EEA" w:rsidRDefault="007D0554" w:rsidP="00D70E96">
            <w:pPr>
              <w:pStyle w:val="A-TableText"/>
              <w:jc w:val="center"/>
            </w:pPr>
            <w:r w:rsidRPr="00524EEA">
              <w:t>135.0</w:t>
            </w:r>
          </w:p>
        </w:tc>
      </w:tr>
      <w:tr w:rsidR="007D0554" w:rsidRPr="00524EEA" w14:paraId="40D29F09" w14:textId="77777777" w:rsidTr="00156200">
        <w:trPr>
          <w:cantSplit/>
          <w:jc w:val="center"/>
        </w:trPr>
        <w:tc>
          <w:tcPr>
            <w:tcW w:w="2924" w:type="pct"/>
            <w:shd w:val="clear" w:color="auto" w:fill="auto"/>
          </w:tcPr>
          <w:p w14:paraId="03D6D979" w14:textId="77777777" w:rsidR="007D0554" w:rsidRPr="00524EEA" w:rsidRDefault="007D0554" w:rsidP="00D70E96">
            <w:pPr>
              <w:pStyle w:val="A-TableText"/>
            </w:pPr>
            <w:r w:rsidRPr="00524EEA">
              <w:t>Change from baseline (adjusted mean</w:t>
            </w:r>
            <w:r w:rsidRPr="00524EEA">
              <w:rPr>
                <w:rStyle w:val="BMSTableNote"/>
                <w:szCs w:val="24"/>
              </w:rPr>
              <w:t>*</w:t>
            </w:r>
            <w:r w:rsidRPr="00524EEA">
              <w:t>)</w:t>
            </w:r>
          </w:p>
        </w:tc>
        <w:tc>
          <w:tcPr>
            <w:tcW w:w="1156" w:type="pct"/>
            <w:shd w:val="clear" w:color="auto" w:fill="auto"/>
          </w:tcPr>
          <w:p w14:paraId="64619CB8" w14:textId="1680D870" w:rsidR="007D0554" w:rsidRPr="00524EEA" w:rsidRDefault="007D0554" w:rsidP="00D70E96">
            <w:pPr>
              <w:pStyle w:val="A-TableText"/>
              <w:jc w:val="center"/>
            </w:pPr>
            <w:r w:rsidRPr="00524EEA">
              <w:t>-4.8</w:t>
            </w:r>
          </w:p>
        </w:tc>
        <w:tc>
          <w:tcPr>
            <w:tcW w:w="920" w:type="pct"/>
            <w:shd w:val="clear" w:color="auto" w:fill="auto"/>
          </w:tcPr>
          <w:p w14:paraId="0FC62DAA" w14:textId="77777777" w:rsidR="007D0554" w:rsidRPr="00524EEA" w:rsidRDefault="007D0554" w:rsidP="00D70E96">
            <w:pPr>
              <w:pStyle w:val="A-TableText"/>
              <w:jc w:val="center"/>
            </w:pPr>
            <w:r w:rsidRPr="00524EEA">
              <w:t>-1.7</w:t>
            </w:r>
          </w:p>
        </w:tc>
      </w:tr>
      <w:tr w:rsidR="007D0554" w:rsidRPr="00524EEA" w14:paraId="0FD6CC96" w14:textId="77777777" w:rsidTr="00156200">
        <w:trPr>
          <w:cantSplit/>
          <w:jc w:val="center"/>
        </w:trPr>
        <w:tc>
          <w:tcPr>
            <w:tcW w:w="2924" w:type="pct"/>
            <w:tcBorders>
              <w:bottom w:val="single" w:sz="8" w:space="0" w:color="auto"/>
            </w:tcBorders>
            <w:shd w:val="clear" w:color="auto" w:fill="auto"/>
          </w:tcPr>
          <w:p w14:paraId="6B2BF2A9" w14:textId="77777777" w:rsidR="007D0554" w:rsidRPr="00524EEA" w:rsidRDefault="007D0554" w:rsidP="00D70E96">
            <w:pPr>
              <w:pStyle w:val="A-TableText"/>
            </w:pPr>
            <w:r w:rsidRPr="00524EEA">
              <w:t>Difference from placebo (adjusted mean</w:t>
            </w:r>
            <w:r w:rsidRPr="00524EEA">
              <w:rPr>
                <w:rStyle w:val="BMSTableNote"/>
                <w:szCs w:val="24"/>
              </w:rPr>
              <w:t>*</w:t>
            </w:r>
            <w:r w:rsidRPr="00524EEA">
              <w:t xml:space="preserve">) </w:t>
            </w:r>
            <w:r w:rsidRPr="00524EEA">
              <w:br/>
              <w:t>(95% CI)</w:t>
            </w:r>
          </w:p>
        </w:tc>
        <w:tc>
          <w:tcPr>
            <w:tcW w:w="1156" w:type="pct"/>
            <w:tcBorders>
              <w:bottom w:val="single" w:sz="8" w:space="0" w:color="auto"/>
            </w:tcBorders>
            <w:shd w:val="clear" w:color="auto" w:fill="auto"/>
          </w:tcPr>
          <w:p w14:paraId="100927CC" w14:textId="77777777" w:rsidR="007D0554" w:rsidRPr="00524EEA" w:rsidRDefault="007D0554" w:rsidP="00D70E96">
            <w:pPr>
              <w:pStyle w:val="A-TableText"/>
              <w:jc w:val="center"/>
            </w:pPr>
            <w:r w:rsidRPr="00524EEA">
              <w:t>-3.1</w:t>
            </w:r>
            <w:r w:rsidRPr="00524EEA">
              <w:rPr>
                <w:rStyle w:val="BMSTableNote"/>
              </w:rPr>
              <w:t>¶</w:t>
            </w:r>
          </w:p>
          <w:p w14:paraId="4A486DE3" w14:textId="77777777" w:rsidR="007D0554" w:rsidRPr="00524EEA" w:rsidRDefault="007D0554" w:rsidP="00D70E96">
            <w:pPr>
              <w:pStyle w:val="A-TableText"/>
              <w:jc w:val="center"/>
            </w:pPr>
            <w:r w:rsidRPr="00524EEA">
              <w:t>(-6.3, 0.0)</w:t>
            </w:r>
          </w:p>
        </w:tc>
        <w:tc>
          <w:tcPr>
            <w:tcW w:w="920" w:type="pct"/>
            <w:tcBorders>
              <w:bottom w:val="single" w:sz="8" w:space="0" w:color="auto"/>
            </w:tcBorders>
            <w:shd w:val="clear" w:color="auto" w:fill="auto"/>
          </w:tcPr>
          <w:p w14:paraId="57AC80D2" w14:textId="77777777" w:rsidR="007D0554" w:rsidRPr="00524EEA" w:rsidRDefault="007D0554" w:rsidP="00D70E96">
            <w:pPr>
              <w:pStyle w:val="A-TableText"/>
              <w:jc w:val="center"/>
            </w:pPr>
          </w:p>
        </w:tc>
      </w:tr>
    </w:tbl>
    <w:p w14:paraId="3E73573B" w14:textId="77777777" w:rsidR="007D0554" w:rsidRPr="00524EEA" w:rsidRDefault="007D0554" w:rsidP="00CF122F">
      <w:pPr>
        <w:pStyle w:val="A-TableFootnoteText"/>
        <w:jc w:val="left"/>
        <w:rPr>
          <w:rStyle w:val="BMSTableNote"/>
        </w:rPr>
      </w:pPr>
      <w:r w:rsidRPr="00524EEA">
        <w:rPr>
          <w:rStyle w:val="BMSTableNote"/>
        </w:rPr>
        <w:t>*</w:t>
      </w:r>
      <w:r w:rsidRPr="00524EEA">
        <w:rPr>
          <w:rStyle w:val="BMSTableNote"/>
        </w:rPr>
        <w:tab/>
        <w:t>Least squares mean adjusted for baseline value.</w:t>
      </w:r>
    </w:p>
    <w:p w14:paraId="69E649DF" w14:textId="67FC071E" w:rsidR="007D0554" w:rsidRPr="00524EEA" w:rsidRDefault="007D0554" w:rsidP="00CF122F">
      <w:pPr>
        <w:pStyle w:val="A-TableFootnoteText"/>
        <w:jc w:val="left"/>
        <w:rPr>
          <w:rStyle w:val="BMSTableNote"/>
        </w:rPr>
      </w:pPr>
      <w:r w:rsidRPr="00524EEA">
        <w:rPr>
          <w:rStyle w:val="BMSTableNote"/>
        </w:rPr>
        <w:t>§</w:t>
      </w:r>
      <w:r w:rsidRPr="00524EEA">
        <w:rPr>
          <w:rStyle w:val="BMSTableNote"/>
        </w:rPr>
        <w:tab/>
        <w:t xml:space="preserve">p-value </w:t>
      </w:r>
      <w:r w:rsidR="005448A4" w:rsidRPr="00524EEA">
        <w:rPr>
          <w:rStyle w:val="BMSTableNote"/>
        </w:rPr>
        <w:t>≤</w:t>
      </w:r>
      <w:r w:rsidRPr="00524EEA">
        <w:rPr>
          <w:rStyle w:val="BMSTableNote"/>
        </w:rPr>
        <w:t>0.001.</w:t>
      </w:r>
    </w:p>
    <w:p w14:paraId="42ACEF3D" w14:textId="4BD337EF" w:rsidR="007D0554" w:rsidRPr="00524EEA" w:rsidRDefault="007D0554" w:rsidP="00C76686">
      <w:pPr>
        <w:spacing w:after="0" w:line="240" w:lineRule="auto"/>
        <w:rPr>
          <w:lang w:val="en-GB"/>
        </w:rPr>
      </w:pPr>
      <w:r w:rsidRPr="00524EEA">
        <w:rPr>
          <w:rStyle w:val="BMSTableNote"/>
        </w:rPr>
        <w:t>¶</w:t>
      </w:r>
      <w:r w:rsidR="005448A4" w:rsidRPr="00524EEA">
        <w:rPr>
          <w:rStyle w:val="BMSTableNote"/>
        </w:rPr>
        <w:tab/>
      </w:r>
      <w:r w:rsidRPr="00524EEA">
        <w:rPr>
          <w:rStyle w:val="BMSTableNote"/>
        </w:rPr>
        <w:t>p-value &lt;0.05.</w:t>
      </w:r>
    </w:p>
    <w:p w14:paraId="7F62E154" w14:textId="22D84584" w:rsidR="007D0554" w:rsidRPr="00524EEA" w:rsidRDefault="007D0554" w:rsidP="007D0554">
      <w:pPr>
        <w:rPr>
          <w:lang w:val="en-US"/>
        </w:rPr>
      </w:pPr>
      <w:r w:rsidRPr="00524EEA">
        <w:t xml:space="preserve">The safety profile of </w:t>
      </w:r>
      <w:proofErr w:type="spellStart"/>
      <w:r w:rsidRPr="00524EEA">
        <w:t>dapagliflozin</w:t>
      </w:r>
      <w:proofErr w:type="spellEnd"/>
      <w:r w:rsidRPr="00524EEA">
        <w:t xml:space="preserve"> in the study</w:t>
      </w:r>
      <w:r w:rsidRPr="00524EEA">
        <w:rPr>
          <w:lang w:val="en-US"/>
        </w:rPr>
        <w:t xml:space="preserve"> was consistent with that in the general population of patients with type 2 diabetes. Mean </w:t>
      </w:r>
      <w:proofErr w:type="spellStart"/>
      <w:r w:rsidRPr="00524EEA">
        <w:rPr>
          <w:lang w:val="en-US"/>
        </w:rPr>
        <w:t>eGFR</w:t>
      </w:r>
      <w:proofErr w:type="spellEnd"/>
      <w:r w:rsidRPr="00524EEA">
        <w:rPr>
          <w:lang w:val="en-US"/>
        </w:rPr>
        <w:t xml:space="preserve"> decreased initially during the treatment period in the </w:t>
      </w:r>
      <w:proofErr w:type="spellStart"/>
      <w:r w:rsidRPr="00524EEA">
        <w:rPr>
          <w:lang w:val="en-US"/>
        </w:rPr>
        <w:t>dapagliflozin</w:t>
      </w:r>
      <w:proofErr w:type="spellEnd"/>
      <w:r w:rsidRPr="00524EEA">
        <w:rPr>
          <w:lang w:val="en-US"/>
        </w:rPr>
        <w:t xml:space="preserve"> group and subsequently remained stable during the </w:t>
      </w:r>
      <w:r w:rsidR="00BD0912" w:rsidRPr="00524EEA">
        <w:rPr>
          <w:lang w:val="en-US"/>
        </w:rPr>
        <w:br/>
      </w:r>
      <w:r w:rsidRPr="00524EEA">
        <w:rPr>
          <w:lang w:val="en-US"/>
        </w:rPr>
        <w:t>24-week treatment period (FORXIGA: -3.39 mL/min/1.73 m</w:t>
      </w:r>
      <w:r w:rsidRPr="00524EEA">
        <w:rPr>
          <w:vertAlign w:val="superscript"/>
          <w:lang w:val="en-US"/>
        </w:rPr>
        <w:t>2</w:t>
      </w:r>
      <w:r w:rsidRPr="00524EEA">
        <w:rPr>
          <w:lang w:val="en-US"/>
        </w:rPr>
        <w:t xml:space="preserve"> and placebo: -0.90 mL/min/1.73 m</w:t>
      </w:r>
      <w:r w:rsidRPr="00524EEA">
        <w:rPr>
          <w:vertAlign w:val="superscript"/>
          <w:lang w:val="en-US"/>
        </w:rPr>
        <w:t>2</w:t>
      </w:r>
      <w:r w:rsidRPr="00524EEA">
        <w:rPr>
          <w:lang w:val="en-US"/>
        </w:rPr>
        <w:t xml:space="preserve">).  At 3 weeks after termination of FORXIGA, the mean change from baseline in </w:t>
      </w:r>
      <w:proofErr w:type="spellStart"/>
      <w:r w:rsidRPr="00524EEA">
        <w:rPr>
          <w:lang w:val="en-US"/>
        </w:rPr>
        <w:t>eGFR</w:t>
      </w:r>
      <w:proofErr w:type="spellEnd"/>
      <w:r w:rsidRPr="00524EEA">
        <w:rPr>
          <w:lang w:val="en-US"/>
        </w:rPr>
        <w:t xml:space="preserve"> in the </w:t>
      </w:r>
      <w:proofErr w:type="spellStart"/>
      <w:r w:rsidRPr="00524EEA">
        <w:rPr>
          <w:lang w:val="en-US"/>
        </w:rPr>
        <w:t>dapagliflozin</w:t>
      </w:r>
      <w:proofErr w:type="spellEnd"/>
      <w:r w:rsidRPr="00524EEA">
        <w:rPr>
          <w:lang w:val="en-US"/>
        </w:rPr>
        <w:t xml:space="preserve"> group was similar to the mean change in the placebo group (FORXIGA: 0.57 mL/min/1.73 m</w:t>
      </w:r>
      <w:r w:rsidRPr="00524EEA">
        <w:rPr>
          <w:vertAlign w:val="superscript"/>
          <w:lang w:val="en-US"/>
        </w:rPr>
        <w:t>2</w:t>
      </w:r>
      <w:r w:rsidRPr="00524EEA">
        <w:rPr>
          <w:lang w:val="en-US"/>
        </w:rPr>
        <w:t xml:space="preserve"> and placebo: -0.04 mL/min/1.73 m</w:t>
      </w:r>
      <w:r w:rsidRPr="00524EEA">
        <w:rPr>
          <w:vertAlign w:val="superscript"/>
          <w:lang w:val="en-US"/>
        </w:rPr>
        <w:t>2</w:t>
      </w:r>
      <w:r w:rsidRPr="00524EEA">
        <w:rPr>
          <w:lang w:val="en-US"/>
        </w:rPr>
        <w:t>).</w:t>
      </w:r>
    </w:p>
    <w:p w14:paraId="0F6B627B" w14:textId="0723D1DC" w:rsidR="007D0554" w:rsidRPr="00524EEA" w:rsidRDefault="007D0554" w:rsidP="006932B6">
      <w:pPr>
        <w:rPr>
          <w:lang w:val="en-US"/>
        </w:rPr>
      </w:pPr>
      <w:r w:rsidRPr="00524EEA">
        <w:rPr>
          <w:color w:val="000000"/>
          <w:lang w:val="en-US"/>
        </w:rPr>
        <w:t xml:space="preserve">The efficacy and safety of FORXIGA was </w:t>
      </w:r>
      <w:r w:rsidRPr="00524EEA">
        <w:rPr>
          <w:lang w:val="en-US"/>
        </w:rPr>
        <w:t xml:space="preserve">also assessed in a study of 252 </w:t>
      </w:r>
      <w:r w:rsidR="00DF62D7" w:rsidRPr="00524EEA">
        <w:rPr>
          <w:lang w:val="en-US"/>
        </w:rPr>
        <w:t>patients with diabetes</w:t>
      </w:r>
      <w:r w:rsidRPr="00524EEA">
        <w:rPr>
          <w:lang w:val="en-US"/>
        </w:rPr>
        <w:t xml:space="preserve"> with </w:t>
      </w:r>
      <w:proofErr w:type="spellStart"/>
      <w:r w:rsidRPr="00524EEA">
        <w:rPr>
          <w:color w:val="000000"/>
          <w:lang w:val="en-US"/>
        </w:rPr>
        <w:t>eGFR</w:t>
      </w:r>
      <w:proofErr w:type="spellEnd"/>
      <w:r w:rsidRPr="00524EEA">
        <w:rPr>
          <w:color w:val="000000"/>
          <w:lang w:val="en-US"/>
        </w:rPr>
        <w:t xml:space="preserve"> </w:t>
      </w:r>
      <w:r w:rsidRPr="00524EEA">
        <w:rPr>
          <w:lang w:val="en-US"/>
        </w:rPr>
        <w:sym w:font="Symbol" w:char="F0B3"/>
      </w:r>
      <w:r w:rsidRPr="00524EEA">
        <w:rPr>
          <w:lang w:val="en-US"/>
        </w:rPr>
        <w:t>30 to &lt;60 mL/min/1.73 m</w:t>
      </w:r>
      <w:r w:rsidRPr="00524EEA">
        <w:rPr>
          <w:color w:val="000000"/>
          <w:vertAlign w:val="superscript"/>
          <w:lang w:val="en-US"/>
        </w:rPr>
        <w:t xml:space="preserve">2 </w:t>
      </w:r>
      <w:r w:rsidRPr="00524EEA">
        <w:rPr>
          <w:color w:val="000000"/>
          <w:lang w:val="en-US"/>
        </w:rPr>
        <w:t xml:space="preserve">(moderate renal impairment subgroup </w:t>
      </w:r>
      <w:r w:rsidRPr="00524EEA">
        <w:rPr>
          <w:lang w:val="en-US"/>
        </w:rPr>
        <w:t>CKD 3A</w:t>
      </w:r>
      <w:r w:rsidR="00AD2FD1" w:rsidRPr="00524EEA">
        <w:rPr>
          <w:lang w:val="en-US"/>
        </w:rPr>
        <w:t>,</w:t>
      </w:r>
      <w:r w:rsidRPr="00524EEA">
        <w:rPr>
          <w:lang w:val="en-US"/>
        </w:rPr>
        <w:t xml:space="preserve"> </w:t>
      </w:r>
      <w:proofErr w:type="spellStart"/>
      <w:r w:rsidR="00AD2FD1" w:rsidRPr="00524EEA">
        <w:t>eGFR</w:t>
      </w:r>
      <w:proofErr w:type="spellEnd"/>
      <w:r w:rsidR="00AD2FD1" w:rsidRPr="00524EEA">
        <w:t xml:space="preserve"> ≥45 to &lt;60 </w:t>
      </w:r>
      <w:r w:rsidR="00DE37C6" w:rsidRPr="00524EEA">
        <w:rPr>
          <w:spacing w:val="3"/>
          <w:szCs w:val="24"/>
        </w:rPr>
        <w:t>m</w:t>
      </w:r>
      <w:r w:rsidR="00DE37C6" w:rsidRPr="00524EEA">
        <w:rPr>
          <w:spacing w:val="-5"/>
          <w:szCs w:val="24"/>
        </w:rPr>
        <w:t>L</w:t>
      </w:r>
      <w:r w:rsidR="00DE37C6" w:rsidRPr="00524EEA">
        <w:rPr>
          <w:spacing w:val="1"/>
          <w:szCs w:val="24"/>
        </w:rPr>
        <w:t>/m</w:t>
      </w:r>
      <w:r w:rsidR="00DE37C6" w:rsidRPr="00524EEA">
        <w:rPr>
          <w:spacing w:val="3"/>
          <w:szCs w:val="24"/>
        </w:rPr>
        <w:t>i</w:t>
      </w:r>
      <w:r w:rsidR="00DE37C6" w:rsidRPr="00524EEA">
        <w:rPr>
          <w:szCs w:val="24"/>
        </w:rPr>
        <w:t>nu</w:t>
      </w:r>
      <w:r w:rsidR="00DE37C6" w:rsidRPr="00524EEA">
        <w:rPr>
          <w:spacing w:val="1"/>
          <w:szCs w:val="24"/>
        </w:rPr>
        <w:t>t</w:t>
      </w:r>
      <w:r w:rsidR="00DE37C6" w:rsidRPr="00524EEA">
        <w:rPr>
          <w:spacing w:val="-1"/>
          <w:szCs w:val="24"/>
        </w:rPr>
        <w:t>e</w:t>
      </w:r>
      <w:r w:rsidR="00DE37C6" w:rsidRPr="00524EEA">
        <w:rPr>
          <w:spacing w:val="1"/>
          <w:szCs w:val="24"/>
        </w:rPr>
        <w:t>/</w:t>
      </w:r>
      <w:r w:rsidR="00DE37C6" w:rsidRPr="00524EEA">
        <w:rPr>
          <w:szCs w:val="24"/>
        </w:rPr>
        <w:t xml:space="preserve">1.73 </w:t>
      </w:r>
      <w:r w:rsidR="00DE37C6" w:rsidRPr="00524EEA">
        <w:rPr>
          <w:spacing w:val="1"/>
          <w:szCs w:val="24"/>
        </w:rPr>
        <w:t>m</w:t>
      </w:r>
      <w:r w:rsidR="00DE37C6" w:rsidRPr="00524EEA">
        <w:rPr>
          <w:spacing w:val="1"/>
          <w:szCs w:val="24"/>
          <w:vertAlign w:val="superscript"/>
        </w:rPr>
        <w:t>2</w:t>
      </w:r>
      <w:r w:rsidR="00DE37C6" w:rsidRPr="00524EEA">
        <w:rPr>
          <w:spacing w:val="1"/>
          <w:szCs w:val="24"/>
        </w:rPr>
        <w:t xml:space="preserve"> </w:t>
      </w:r>
      <w:r w:rsidRPr="00524EEA">
        <w:rPr>
          <w:lang w:val="en-US"/>
        </w:rPr>
        <w:t>and CKD 3B</w:t>
      </w:r>
      <w:r w:rsidR="00AD2FD1" w:rsidRPr="00524EEA">
        <w:rPr>
          <w:lang w:val="en-US"/>
        </w:rPr>
        <w:t xml:space="preserve">, </w:t>
      </w:r>
      <w:proofErr w:type="spellStart"/>
      <w:r w:rsidR="00AD2FD1" w:rsidRPr="00524EEA">
        <w:t>eGFR</w:t>
      </w:r>
      <w:proofErr w:type="spellEnd"/>
      <w:r w:rsidR="00AD2FD1" w:rsidRPr="00524EEA">
        <w:t xml:space="preserve"> ≥30</w:t>
      </w:r>
      <w:r w:rsidR="00AD2FD1" w:rsidRPr="00524EEA">
        <w:rPr>
          <w:szCs w:val="24"/>
          <w:lang w:val="en-US"/>
        </w:rPr>
        <w:t xml:space="preserve"> to &lt;45 </w:t>
      </w:r>
      <w:r w:rsidR="00AD2FD1" w:rsidRPr="00524EEA">
        <w:rPr>
          <w:spacing w:val="3"/>
          <w:szCs w:val="24"/>
        </w:rPr>
        <w:t>m</w:t>
      </w:r>
      <w:r w:rsidR="00AD2FD1" w:rsidRPr="00524EEA">
        <w:rPr>
          <w:spacing w:val="-5"/>
          <w:szCs w:val="24"/>
        </w:rPr>
        <w:t>L</w:t>
      </w:r>
      <w:r w:rsidR="00AD2FD1" w:rsidRPr="00524EEA">
        <w:rPr>
          <w:spacing w:val="1"/>
          <w:szCs w:val="24"/>
        </w:rPr>
        <w:t>/m</w:t>
      </w:r>
      <w:r w:rsidR="00AD2FD1" w:rsidRPr="00524EEA">
        <w:rPr>
          <w:spacing w:val="3"/>
          <w:szCs w:val="24"/>
        </w:rPr>
        <w:t>i</w:t>
      </w:r>
      <w:r w:rsidR="00AD2FD1" w:rsidRPr="00524EEA">
        <w:rPr>
          <w:szCs w:val="24"/>
        </w:rPr>
        <w:t>nu</w:t>
      </w:r>
      <w:r w:rsidR="00AD2FD1" w:rsidRPr="00524EEA">
        <w:rPr>
          <w:spacing w:val="1"/>
          <w:szCs w:val="24"/>
        </w:rPr>
        <w:t>t</w:t>
      </w:r>
      <w:r w:rsidR="00AD2FD1" w:rsidRPr="00524EEA">
        <w:rPr>
          <w:spacing w:val="-1"/>
          <w:szCs w:val="24"/>
        </w:rPr>
        <w:t>e</w:t>
      </w:r>
      <w:r w:rsidR="00AD2FD1" w:rsidRPr="00524EEA">
        <w:rPr>
          <w:spacing w:val="1"/>
          <w:szCs w:val="24"/>
        </w:rPr>
        <w:t>/</w:t>
      </w:r>
      <w:r w:rsidR="00AD2FD1" w:rsidRPr="00524EEA">
        <w:rPr>
          <w:szCs w:val="24"/>
        </w:rPr>
        <w:t xml:space="preserve">1.73 </w:t>
      </w:r>
      <w:r w:rsidR="00AD2FD1" w:rsidRPr="00524EEA">
        <w:rPr>
          <w:spacing w:val="1"/>
          <w:szCs w:val="24"/>
        </w:rPr>
        <w:t>m</w:t>
      </w:r>
      <w:r w:rsidR="00AD2FD1" w:rsidRPr="00524EEA">
        <w:rPr>
          <w:spacing w:val="1"/>
          <w:szCs w:val="24"/>
          <w:vertAlign w:val="superscript"/>
        </w:rPr>
        <w:t>2</w:t>
      </w:r>
      <w:r w:rsidR="00C47EBD" w:rsidRPr="00524EEA">
        <w:rPr>
          <w:spacing w:val="1"/>
          <w:szCs w:val="24"/>
          <w:vertAlign w:val="subscript"/>
        </w:rPr>
        <w:t>)</w:t>
      </w:r>
      <w:r w:rsidR="00AD2FD1" w:rsidRPr="00524EEA">
        <w:rPr>
          <w:vertAlign w:val="subscript"/>
          <w:lang w:val="en-US"/>
        </w:rPr>
        <w:t>.</w:t>
      </w:r>
      <w:r w:rsidR="003A6649" w:rsidRPr="00524EEA">
        <w:rPr>
          <w:lang w:val="en-US"/>
        </w:rPr>
        <w:t xml:space="preserve"> </w:t>
      </w:r>
      <w:r w:rsidRPr="00524EEA">
        <w:rPr>
          <w:lang w:val="en-US"/>
        </w:rPr>
        <w:t>FORXIGA treatment did not show a significant placebo corrected change in HbA1c in the overall study population (CKD 3A and CKD 3B combined) at 24 weeks.</w:t>
      </w:r>
      <w:r w:rsidR="003A6649" w:rsidRPr="00524EEA">
        <w:rPr>
          <w:lang w:val="en-US"/>
        </w:rPr>
        <w:t xml:space="preserve"> </w:t>
      </w:r>
      <w:r w:rsidRPr="00524EEA">
        <w:rPr>
          <w:lang w:val="en-US"/>
        </w:rPr>
        <w:t xml:space="preserve">At Week 52, FORXIGA was associated with </w:t>
      </w:r>
      <w:r w:rsidR="00711983" w:rsidRPr="00524EEA">
        <w:rPr>
          <w:lang w:val="en-US"/>
        </w:rPr>
        <w:t xml:space="preserve">a greater reduction </w:t>
      </w:r>
      <w:r w:rsidRPr="00524EEA">
        <w:rPr>
          <w:lang w:val="en-US"/>
        </w:rPr>
        <w:t xml:space="preserve">in mean </w:t>
      </w:r>
      <w:proofErr w:type="spellStart"/>
      <w:r w:rsidRPr="00524EEA">
        <w:rPr>
          <w:lang w:val="en-US"/>
        </w:rPr>
        <w:t>eGFR</w:t>
      </w:r>
      <w:proofErr w:type="spellEnd"/>
      <w:r w:rsidRPr="00524EEA">
        <w:rPr>
          <w:lang w:val="en-US"/>
        </w:rPr>
        <w:t xml:space="preserve"> (FORXIGA 10 mg −4.46 mL/min/1.73 m</w:t>
      </w:r>
      <w:r w:rsidRPr="00524EEA">
        <w:rPr>
          <w:vertAlign w:val="superscript"/>
          <w:lang w:val="en-US"/>
        </w:rPr>
        <w:t>2</w:t>
      </w:r>
      <w:r w:rsidRPr="00524EEA">
        <w:rPr>
          <w:lang w:val="en-US"/>
        </w:rPr>
        <w:t xml:space="preserve"> and placebo −2.58 mL/min/1.73 m</w:t>
      </w:r>
      <w:r w:rsidRPr="00524EEA">
        <w:rPr>
          <w:vertAlign w:val="superscript"/>
          <w:lang w:val="en-US"/>
        </w:rPr>
        <w:t>2)</w:t>
      </w:r>
      <w:r w:rsidRPr="00524EEA">
        <w:rPr>
          <w:lang w:val="en-US"/>
        </w:rPr>
        <w:t>. At Week 104, these changes persisted (</w:t>
      </w:r>
      <w:proofErr w:type="spellStart"/>
      <w:r w:rsidRPr="00524EEA">
        <w:rPr>
          <w:lang w:val="en-US"/>
        </w:rPr>
        <w:t>eGFR</w:t>
      </w:r>
      <w:proofErr w:type="spellEnd"/>
      <w:r w:rsidRPr="00524EEA">
        <w:rPr>
          <w:lang w:val="en-US"/>
        </w:rPr>
        <w:t>: FORXIGA 10 mg −3.50 mL/min/1.73 m</w:t>
      </w:r>
      <w:r w:rsidRPr="00524EEA">
        <w:rPr>
          <w:vertAlign w:val="superscript"/>
          <w:lang w:val="en-US"/>
        </w:rPr>
        <w:t>2</w:t>
      </w:r>
      <w:r w:rsidRPr="00524EEA">
        <w:rPr>
          <w:lang w:val="en-US"/>
        </w:rPr>
        <w:t xml:space="preserve"> and placebo −2.38 mL/min/1.73 m</w:t>
      </w:r>
      <w:r w:rsidRPr="00524EEA">
        <w:rPr>
          <w:vertAlign w:val="superscript"/>
          <w:lang w:val="en-US"/>
        </w:rPr>
        <w:t>2</w:t>
      </w:r>
      <w:r w:rsidRPr="00524EEA">
        <w:rPr>
          <w:lang w:val="en-US"/>
        </w:rPr>
        <w:t xml:space="preserve">). With FORXIGA 10 mg, </w:t>
      </w:r>
      <w:proofErr w:type="spellStart"/>
      <w:r w:rsidRPr="00524EEA">
        <w:rPr>
          <w:lang w:val="en-US"/>
        </w:rPr>
        <w:t>eGFR</w:t>
      </w:r>
      <w:proofErr w:type="spellEnd"/>
      <w:r w:rsidRPr="00524EEA">
        <w:rPr>
          <w:lang w:val="en-US"/>
        </w:rPr>
        <w:t xml:space="preserve"> reduction evident at Week 1 and remained stable through Week 104, while placebo-treated patients had a slow continuous decline through Week 52 that stabilized through Week 104.</w:t>
      </w:r>
    </w:p>
    <w:p w14:paraId="25ADD20A" w14:textId="083AF600" w:rsidR="007D0554" w:rsidRPr="00524EEA" w:rsidRDefault="007D0554" w:rsidP="006932B6">
      <w:pPr>
        <w:rPr>
          <w:lang w:val="en-US"/>
        </w:rPr>
      </w:pPr>
      <w:r w:rsidRPr="00524EEA">
        <w:rPr>
          <w:lang w:val="en-US"/>
        </w:rPr>
        <w:t xml:space="preserve">At Week 52 and persisting through Week 104, greater increases in mean parathyroid hormone (PTH) and serum phosphorus were observed in this study with FORXIGA 10 mg compared to placebo, where baseline values of these </w:t>
      </w:r>
      <w:proofErr w:type="spellStart"/>
      <w:r w:rsidRPr="00524EEA">
        <w:rPr>
          <w:lang w:val="en-US"/>
        </w:rPr>
        <w:t>analytes</w:t>
      </w:r>
      <w:proofErr w:type="spellEnd"/>
      <w:r w:rsidRPr="00524EEA">
        <w:rPr>
          <w:lang w:val="en-US"/>
        </w:rPr>
        <w:t xml:space="preserve"> were higher. Elevations of potassium of ≥6 </w:t>
      </w:r>
      <w:proofErr w:type="spellStart"/>
      <w:r w:rsidRPr="00524EEA">
        <w:rPr>
          <w:lang w:val="en-US"/>
        </w:rPr>
        <w:t>mEq</w:t>
      </w:r>
      <w:proofErr w:type="spellEnd"/>
      <w:r w:rsidRPr="00524EEA">
        <w:rPr>
          <w:lang w:val="en-US"/>
        </w:rPr>
        <w:t>/L were more common in patients treated with placebo (12.0%) than those treated with FORXIGA 10 mg (4.8%) during the cumulative 104-week treatment period. The proportion of patients discontinued for elevated potassium, adjusted for baseline potassium, was higher for the placebo group (14.3%) than for the FORXIGA 10 mg group (6.7%).</w:t>
      </w:r>
    </w:p>
    <w:p w14:paraId="75C00444" w14:textId="0F94A397" w:rsidR="00A163D4" w:rsidRPr="00524EEA" w:rsidRDefault="007D0554" w:rsidP="006932B6">
      <w:pPr>
        <w:rPr>
          <w:color w:val="000000"/>
          <w:lang w:val="en-US"/>
        </w:rPr>
      </w:pPr>
      <w:r w:rsidRPr="00524EEA">
        <w:rPr>
          <w:lang w:val="en-US"/>
        </w:rPr>
        <w:t xml:space="preserve">Overall, there were 13 patients with an adverse event of bone fracture reported in </w:t>
      </w:r>
      <w:r w:rsidR="00A9200F" w:rsidRPr="00524EEA">
        <w:rPr>
          <w:lang w:val="en-US"/>
        </w:rPr>
        <w:t>the FORXIGA</w:t>
      </w:r>
      <w:r w:rsidR="00684CF8" w:rsidRPr="00524EEA">
        <w:rPr>
          <w:lang w:val="en-US"/>
        </w:rPr>
        <w:t xml:space="preserve"> </w:t>
      </w:r>
      <w:r w:rsidR="00A9200F" w:rsidRPr="00524EEA">
        <w:rPr>
          <w:lang w:val="en-US"/>
        </w:rPr>
        <w:t>group</w:t>
      </w:r>
      <w:r w:rsidR="0087724F" w:rsidRPr="00524EEA">
        <w:rPr>
          <w:lang w:val="en-US"/>
        </w:rPr>
        <w:t>.</w:t>
      </w:r>
      <w:r w:rsidR="00684CF8" w:rsidRPr="00524EEA">
        <w:rPr>
          <w:lang w:val="en-US"/>
        </w:rPr>
        <w:t xml:space="preserve"> </w:t>
      </w:r>
      <w:r w:rsidRPr="00524EEA">
        <w:rPr>
          <w:lang w:val="en-US"/>
        </w:rPr>
        <w:t xml:space="preserve">Eight (8) of these 13 fractures were in patients who had </w:t>
      </w:r>
      <w:proofErr w:type="spellStart"/>
      <w:r w:rsidRPr="00524EEA">
        <w:rPr>
          <w:lang w:val="en-US"/>
        </w:rPr>
        <w:t>eGFR</w:t>
      </w:r>
      <w:proofErr w:type="spellEnd"/>
      <w:r w:rsidRPr="00524EEA">
        <w:rPr>
          <w:lang w:val="en-US"/>
        </w:rPr>
        <w:t xml:space="preserve"> 30 to 45 mL/min/1.73 m</w:t>
      </w:r>
      <w:r w:rsidRPr="00524EEA">
        <w:rPr>
          <w:vertAlign w:val="superscript"/>
          <w:lang w:val="en-US"/>
        </w:rPr>
        <w:t>2</w:t>
      </w:r>
      <w:r w:rsidRPr="00524EEA">
        <w:rPr>
          <w:lang w:val="en-US"/>
        </w:rPr>
        <w:t xml:space="preserve"> and 10 of the 13 fractures were reported within the first 52 weeks. There was no apparent pattern with respect to the site of fracture. No bone fractures were reported in the dedicated study of patients with </w:t>
      </w:r>
      <w:proofErr w:type="spellStart"/>
      <w:r w:rsidRPr="00524EEA">
        <w:rPr>
          <w:lang w:val="en-US"/>
        </w:rPr>
        <w:t>eGFR</w:t>
      </w:r>
      <w:proofErr w:type="spellEnd"/>
      <w:r w:rsidRPr="00524EEA">
        <w:rPr>
          <w:lang w:val="en-US"/>
        </w:rPr>
        <w:t xml:space="preserve"> ≥45 to &lt;60 mL/min/1.73 m</w:t>
      </w:r>
      <w:r w:rsidRPr="00524EEA">
        <w:rPr>
          <w:vertAlign w:val="superscript"/>
          <w:lang w:val="en-US"/>
        </w:rPr>
        <w:t xml:space="preserve">2 </w:t>
      </w:r>
      <w:r w:rsidRPr="00524EEA">
        <w:rPr>
          <w:lang w:val="en-US"/>
        </w:rPr>
        <w:t>(CKD 3A).</w:t>
      </w:r>
      <w:r w:rsidR="00684CF8" w:rsidRPr="00524EEA">
        <w:rPr>
          <w:lang w:val="en-US"/>
        </w:rPr>
        <w:t xml:space="preserve"> </w:t>
      </w:r>
      <w:r w:rsidR="00A9200F" w:rsidRPr="00524EEA">
        <w:rPr>
          <w:lang w:val="en-US"/>
        </w:rPr>
        <w:t>No fractures were reported in the placebo group.</w:t>
      </w:r>
      <w:bookmarkStart w:id="80" w:name="_Toc279132161"/>
    </w:p>
    <w:p w14:paraId="47727402" w14:textId="4EF3B051" w:rsidR="003E6F2D" w:rsidRPr="00524EEA" w:rsidRDefault="003E6F2D" w:rsidP="009C6CD2">
      <w:pPr>
        <w:pStyle w:val="NOrmalBold"/>
      </w:pPr>
      <w:r w:rsidRPr="00524EEA">
        <w:t>Blood Pressure</w:t>
      </w:r>
      <w:bookmarkEnd w:id="80"/>
    </w:p>
    <w:p w14:paraId="0CD94600" w14:textId="5FBFA7A3" w:rsidR="003E6F2D" w:rsidRPr="00524EEA" w:rsidRDefault="003E6F2D" w:rsidP="003E6F2D">
      <w:r w:rsidRPr="00524EEA">
        <w:t>In the pre</w:t>
      </w:r>
      <w:r w:rsidRPr="00524EEA">
        <w:noBreakHyphen/>
        <w:t xml:space="preserve">specified pooled analysis of 13 placebo-controlled studies (see </w:t>
      </w:r>
      <w:r w:rsidR="006A3BCE" w:rsidRPr="00524EEA">
        <w:t>section</w:t>
      </w:r>
      <w:r w:rsidR="00755E56" w:rsidRPr="00524EEA">
        <w:t xml:space="preserve"> 4.8 Adverse effects (Undesirable effects)</w:t>
      </w:r>
      <w:r w:rsidRPr="00524EEA">
        <w:t xml:space="preserve">), treatment with </w:t>
      </w:r>
      <w:proofErr w:type="spellStart"/>
      <w:r w:rsidRPr="00524EEA">
        <w:t>dapagliflozin</w:t>
      </w:r>
      <w:proofErr w:type="spellEnd"/>
      <w:r w:rsidRPr="00524EEA">
        <w:t xml:space="preserve"> 10 mg resulted in a systolic blood pressure change from baseline of –3.7 mmHg and diastolic blood pressure of –1.8 mmHg </w:t>
      </w:r>
      <w:r w:rsidRPr="00524EEA">
        <w:rPr>
          <w:iCs/>
        </w:rPr>
        <w:t>versus</w:t>
      </w:r>
      <w:r w:rsidRPr="00524EEA">
        <w:t xml:space="preserve"> –0.5 mmHg systolic and </w:t>
      </w:r>
      <w:r w:rsidRPr="00524EEA">
        <w:noBreakHyphen/>
        <w:t xml:space="preserve">0.5 mmHg diastolic blood pressure for the placebo group at Week 24. Similar reductions were observed up to 104 weeks. </w:t>
      </w:r>
    </w:p>
    <w:p w14:paraId="065F163E" w14:textId="120D4896" w:rsidR="003E6F2D" w:rsidRPr="00524EEA" w:rsidRDefault="003E6F2D" w:rsidP="003E6F2D">
      <w:r w:rsidRPr="00524EEA">
        <w:t>In two 12-week, placebo-controlled studies a total of 1,062 patients with inadequately controlled type 2 diabetes and hypertension (despite pre-existing stable treatment with an ACE-I or ARB in one study and an ACE-I or ARB plus one additional antihypertensive treatment in another study) were treated with FORXIGA 10 mg or placebo. At Week 12 for both studies, FORXIGA 10 mg plus usual antidiabetic treatment provided improvement in HbA1c, and decreased the placebo-corrected systolic blood pressure on average by 3.1 and 4.3 mmHg, respectively.</w:t>
      </w:r>
    </w:p>
    <w:p w14:paraId="6B8058E6" w14:textId="3A29807D" w:rsidR="001A3992" w:rsidRPr="00524EEA" w:rsidRDefault="001A3992" w:rsidP="001A3992">
      <w:pPr>
        <w:pStyle w:val="Heading2"/>
        <w:spacing w:before="0" w:after="120"/>
      </w:pPr>
      <w:bookmarkStart w:id="81" w:name="_Ref501530398"/>
      <w:r w:rsidRPr="00524EEA">
        <w:t>Pharmacokinetic properties</w:t>
      </w:r>
      <w:bookmarkEnd w:id="81"/>
      <w:r w:rsidRPr="00524EEA">
        <w:t xml:space="preserve"> </w:t>
      </w:r>
    </w:p>
    <w:p w14:paraId="35DF5622" w14:textId="3D9EBF55" w:rsidR="001A3992" w:rsidRPr="00524EEA" w:rsidRDefault="001A3992" w:rsidP="001A3992">
      <w:pPr>
        <w:pStyle w:val="Heading3"/>
        <w:spacing w:before="0" w:after="120"/>
      </w:pPr>
      <w:r w:rsidRPr="00524EEA">
        <w:t>Absorption</w:t>
      </w:r>
    </w:p>
    <w:p w14:paraId="33A5377B" w14:textId="77777777" w:rsidR="003E7A52" w:rsidRPr="00524EEA" w:rsidRDefault="003E7A52" w:rsidP="003E7A52">
      <w:bookmarkStart w:id="82" w:name="_Toc141670960"/>
      <w:bookmarkStart w:id="83" w:name="_Toc164077242"/>
      <w:bookmarkStart w:id="84" w:name="_Toc169515919"/>
      <w:bookmarkStart w:id="85" w:name="_Toc180222335"/>
      <w:proofErr w:type="spellStart"/>
      <w:r w:rsidRPr="00524EEA">
        <w:t>Dapagliflozin</w:t>
      </w:r>
      <w:proofErr w:type="spellEnd"/>
      <w:r w:rsidRPr="00524EEA">
        <w:t xml:space="preserve"> was rapidly and well absorbed after oral administration and can be administered with or without food.  Maximum </w:t>
      </w:r>
      <w:proofErr w:type="spellStart"/>
      <w:r w:rsidRPr="00524EEA">
        <w:t>dapagliflozin</w:t>
      </w:r>
      <w:proofErr w:type="spellEnd"/>
      <w:r w:rsidRPr="00524EEA">
        <w:t xml:space="preserve"> plasma concentrations (</w:t>
      </w:r>
      <w:proofErr w:type="spellStart"/>
      <w:r w:rsidRPr="00524EEA">
        <w:t>C</w:t>
      </w:r>
      <w:r w:rsidRPr="00524EEA">
        <w:rPr>
          <w:vertAlign w:val="subscript"/>
        </w:rPr>
        <w:t>max</w:t>
      </w:r>
      <w:proofErr w:type="spellEnd"/>
      <w:r w:rsidRPr="00524EEA">
        <w:t xml:space="preserve">) were usually attained within 2 hours after administration in the fasted state.  The </w:t>
      </w:r>
      <w:proofErr w:type="spellStart"/>
      <w:r w:rsidRPr="00524EEA">
        <w:t>C</w:t>
      </w:r>
      <w:r w:rsidRPr="00524EEA">
        <w:rPr>
          <w:vertAlign w:val="subscript"/>
        </w:rPr>
        <w:t>max</w:t>
      </w:r>
      <w:proofErr w:type="spellEnd"/>
      <w:r w:rsidRPr="00524EEA">
        <w:t xml:space="preserve"> and AUC values increased proportional to the increment in </w:t>
      </w:r>
      <w:proofErr w:type="spellStart"/>
      <w:r w:rsidRPr="00524EEA">
        <w:t>dapagliflozin</w:t>
      </w:r>
      <w:proofErr w:type="spellEnd"/>
      <w:r w:rsidRPr="00524EEA">
        <w:t xml:space="preserve"> dose.  The absolute oral bioavailability of </w:t>
      </w:r>
      <w:proofErr w:type="spellStart"/>
      <w:r w:rsidRPr="00524EEA">
        <w:t>dapagliflozin</w:t>
      </w:r>
      <w:proofErr w:type="spellEnd"/>
      <w:r w:rsidRPr="00524EEA">
        <w:t xml:space="preserve"> following the administration of a 10 mg dose is 78%.  Food had relatively modest effects on the pharmacokinetics of </w:t>
      </w:r>
      <w:proofErr w:type="spellStart"/>
      <w:r w:rsidRPr="00524EEA">
        <w:t>dapagliflozin</w:t>
      </w:r>
      <w:proofErr w:type="spellEnd"/>
      <w:r w:rsidRPr="00524EEA">
        <w:t xml:space="preserve"> in healthy subjects.  Administration with a high-fat meal decreased </w:t>
      </w:r>
      <w:proofErr w:type="spellStart"/>
      <w:r w:rsidRPr="00524EEA">
        <w:t>dapagliflozin</w:t>
      </w:r>
      <w:proofErr w:type="spellEnd"/>
      <w:r w:rsidRPr="00524EEA">
        <w:t xml:space="preserve"> </w:t>
      </w:r>
      <w:proofErr w:type="spellStart"/>
      <w:r w:rsidRPr="00524EEA">
        <w:t>C</w:t>
      </w:r>
      <w:r w:rsidRPr="00524EEA">
        <w:rPr>
          <w:vertAlign w:val="subscript"/>
        </w:rPr>
        <w:t>max</w:t>
      </w:r>
      <w:proofErr w:type="spellEnd"/>
      <w:r w:rsidRPr="00524EEA">
        <w:rPr>
          <w:vertAlign w:val="subscript"/>
        </w:rPr>
        <w:t xml:space="preserve"> </w:t>
      </w:r>
      <w:r w:rsidRPr="00524EEA">
        <w:t xml:space="preserve">by up to 50% and prolonged </w:t>
      </w:r>
      <w:proofErr w:type="spellStart"/>
      <w:r w:rsidRPr="00524EEA">
        <w:t>T</w:t>
      </w:r>
      <w:r w:rsidRPr="00524EEA">
        <w:rPr>
          <w:vertAlign w:val="subscript"/>
        </w:rPr>
        <w:t>max</w:t>
      </w:r>
      <w:proofErr w:type="spellEnd"/>
      <w:r w:rsidRPr="00524EEA">
        <w:t xml:space="preserve"> by approximately 1 hour, but did not alter AUC as compared with the fasted state.</w:t>
      </w:r>
      <w:r w:rsidRPr="00524EEA">
        <w:rPr>
          <w:vertAlign w:val="superscript"/>
        </w:rPr>
        <w:t xml:space="preserve">  </w:t>
      </w:r>
      <w:r w:rsidRPr="00524EEA">
        <w:t>These changes are not considered to be clinically meaningful.</w:t>
      </w:r>
      <w:bookmarkEnd w:id="82"/>
      <w:bookmarkEnd w:id="83"/>
      <w:bookmarkEnd w:id="84"/>
      <w:bookmarkEnd w:id="85"/>
      <w:r w:rsidRPr="00524EEA">
        <w:t xml:space="preserve"> </w:t>
      </w:r>
    </w:p>
    <w:p w14:paraId="53F82374" w14:textId="07804037" w:rsidR="001A3992" w:rsidRPr="00524EEA" w:rsidRDefault="001A3992" w:rsidP="001A3992">
      <w:pPr>
        <w:pStyle w:val="Heading3"/>
        <w:spacing w:before="0" w:after="120"/>
      </w:pPr>
      <w:r w:rsidRPr="00524EEA">
        <w:t>Distribution</w:t>
      </w:r>
    </w:p>
    <w:p w14:paraId="5E2C4277" w14:textId="5DE1CCC6" w:rsidR="003E7A52" w:rsidRPr="00524EEA" w:rsidRDefault="003E7A52" w:rsidP="003E7A52">
      <w:proofErr w:type="spellStart"/>
      <w:r w:rsidRPr="00524EEA">
        <w:t>Dapagliflozin</w:t>
      </w:r>
      <w:proofErr w:type="spellEnd"/>
      <w:r w:rsidRPr="00524EEA">
        <w:t xml:space="preserve"> is approximately 91% protein bound.  Protein binding was not altered in various disease states (</w:t>
      </w:r>
      <w:r w:rsidR="009E4AAD" w:rsidRPr="00524EEA">
        <w:t>e.g.</w:t>
      </w:r>
      <w:r w:rsidRPr="00524EEA">
        <w:t>, renal or hepatic impairment).</w:t>
      </w:r>
    </w:p>
    <w:p w14:paraId="7174EF75" w14:textId="1EB52330" w:rsidR="001A3992" w:rsidRPr="00524EEA" w:rsidRDefault="001A3992" w:rsidP="001A3992">
      <w:pPr>
        <w:pStyle w:val="Heading3"/>
        <w:spacing w:before="0" w:after="120"/>
      </w:pPr>
      <w:r w:rsidRPr="00524EEA">
        <w:t>Metabolism</w:t>
      </w:r>
    </w:p>
    <w:p w14:paraId="488F592C" w14:textId="77D85DB6" w:rsidR="003E7A52" w:rsidRPr="00524EEA" w:rsidRDefault="003E7A52" w:rsidP="003E7A52">
      <w:proofErr w:type="spellStart"/>
      <w:r w:rsidRPr="00524EEA">
        <w:t>Dapagliflozin</w:t>
      </w:r>
      <w:proofErr w:type="spellEnd"/>
      <w:r w:rsidRPr="00524EEA">
        <w:t xml:space="preserve"> is extensively metabolized, primarily to yield </w:t>
      </w:r>
      <w:proofErr w:type="spellStart"/>
      <w:r w:rsidRPr="00524EEA">
        <w:t>dapagliflozin</w:t>
      </w:r>
      <w:proofErr w:type="spellEnd"/>
      <w:r w:rsidRPr="00524EEA">
        <w:t xml:space="preserve"> 3-O-glucuronide. </w:t>
      </w:r>
      <w:proofErr w:type="spellStart"/>
      <w:r w:rsidRPr="00524EEA">
        <w:t>Dapagliflozin</w:t>
      </w:r>
      <w:proofErr w:type="spellEnd"/>
      <w:r w:rsidRPr="00524EEA">
        <w:t xml:space="preserve"> 3-O-glucuronide, with a molar plasma AUC 52% higher than that of </w:t>
      </w:r>
      <w:proofErr w:type="spellStart"/>
      <w:r w:rsidRPr="00524EEA">
        <w:t>dapagliflozin</w:t>
      </w:r>
      <w:proofErr w:type="spellEnd"/>
      <w:r w:rsidRPr="00524EEA">
        <w:t xml:space="preserve"> itself at the clinical dose, is an inactive metabolite and does not contribute to the glucose lowering effects. The formation of </w:t>
      </w:r>
      <w:proofErr w:type="spellStart"/>
      <w:r w:rsidRPr="00524EEA">
        <w:t>dapagliflozin</w:t>
      </w:r>
      <w:proofErr w:type="spellEnd"/>
      <w:r w:rsidRPr="00524EEA">
        <w:t xml:space="preserve"> 3-O-glucuronide is mediated by UGT1A9, an enzyme present in the liver and kidney, and CYP mediated metabolism was a minor clearance pathway in humans.</w:t>
      </w:r>
    </w:p>
    <w:p w14:paraId="2E133EEF" w14:textId="1DC25023" w:rsidR="001A3992" w:rsidRPr="00524EEA" w:rsidRDefault="001A3992" w:rsidP="001A3992">
      <w:pPr>
        <w:pStyle w:val="Heading3"/>
        <w:spacing w:before="0" w:after="120"/>
      </w:pPr>
      <w:r w:rsidRPr="00524EEA">
        <w:t>Excretion</w:t>
      </w:r>
    </w:p>
    <w:p w14:paraId="42891CCA" w14:textId="68C1E511" w:rsidR="003E7A52" w:rsidRPr="00524EEA" w:rsidRDefault="00357B0D" w:rsidP="003E7A52">
      <w:proofErr w:type="spellStart"/>
      <w:r w:rsidRPr="00524EEA">
        <w:t>Dapagliflozin</w:t>
      </w:r>
      <w:proofErr w:type="spellEnd"/>
      <w:r w:rsidRPr="00524EEA">
        <w:t xml:space="preserve"> and related metabolites are primarily eliminated via urinary excretion, of which less than 2% is unchanged </w:t>
      </w:r>
      <w:proofErr w:type="spellStart"/>
      <w:r w:rsidRPr="00524EEA">
        <w:t>dapagliflozin</w:t>
      </w:r>
      <w:proofErr w:type="spellEnd"/>
      <w:r w:rsidRPr="00524EEA">
        <w:t>.  After oral administration of 50 mg [14C]</w:t>
      </w:r>
      <w:r w:rsidRPr="00524EEA">
        <w:noBreakHyphen/>
      </w:r>
      <w:proofErr w:type="spellStart"/>
      <w:r w:rsidRPr="00524EEA">
        <w:t>dapagliflozin</w:t>
      </w:r>
      <w:proofErr w:type="spellEnd"/>
      <w:r w:rsidRPr="00524EEA">
        <w:t xml:space="preserve"> dose, 96% was recovered, 75% in urine and 21% in faeces.  In faeces, approximately 15% of the dose was excreted as parent drug. The mean plasma terminal half-life (t</w:t>
      </w:r>
      <w:r w:rsidRPr="00524EEA">
        <w:rPr>
          <w:vertAlign w:val="subscript"/>
        </w:rPr>
        <w:t>1/2</w:t>
      </w:r>
      <w:r w:rsidRPr="00524EEA">
        <w:t xml:space="preserve">) for </w:t>
      </w:r>
      <w:proofErr w:type="spellStart"/>
      <w:r w:rsidRPr="00524EEA">
        <w:t>dapagliflozin</w:t>
      </w:r>
      <w:proofErr w:type="spellEnd"/>
      <w:r w:rsidRPr="00524EEA">
        <w:t xml:space="preserve"> was 12.9 hours following a single oral dose of FORXIGA 10 mg to healthy subjects.</w:t>
      </w:r>
    </w:p>
    <w:p w14:paraId="059E3D0F" w14:textId="77777777" w:rsidR="004C1301" w:rsidRPr="00524EEA" w:rsidRDefault="004C1301" w:rsidP="004C1301">
      <w:pPr>
        <w:pStyle w:val="Heading3"/>
      </w:pPr>
      <w:bookmarkStart w:id="86" w:name="_Toc1971400"/>
      <w:bookmarkStart w:id="87" w:name="_Toc2059788"/>
      <w:bookmarkStart w:id="88" w:name="_Toc2060997"/>
      <w:bookmarkStart w:id="89" w:name="_Toc2061104"/>
      <w:bookmarkStart w:id="90" w:name="_Toc2061615"/>
      <w:bookmarkStart w:id="91" w:name="_Toc2061679"/>
      <w:bookmarkStart w:id="92" w:name="_Toc2061744"/>
      <w:bookmarkStart w:id="93" w:name="_Toc2062060"/>
      <w:r w:rsidRPr="00524EEA">
        <w:t>Special Populations</w:t>
      </w:r>
      <w:bookmarkEnd w:id="86"/>
      <w:bookmarkEnd w:id="87"/>
      <w:bookmarkEnd w:id="88"/>
      <w:bookmarkEnd w:id="89"/>
      <w:bookmarkEnd w:id="90"/>
      <w:bookmarkEnd w:id="91"/>
      <w:bookmarkEnd w:id="92"/>
      <w:bookmarkEnd w:id="93"/>
    </w:p>
    <w:p w14:paraId="2D604496" w14:textId="6C315845" w:rsidR="004C1301" w:rsidRPr="00524EEA" w:rsidRDefault="004C1301" w:rsidP="004C1301">
      <w:r w:rsidRPr="00524EEA">
        <w:t>No dosages adjustments based on pharmacokinetic analyses are recommended for normal</w:t>
      </w:r>
      <w:r w:rsidRPr="00524EEA">
        <w:noBreakHyphen/>
        <w:t>to</w:t>
      </w:r>
      <w:r w:rsidRPr="00524EEA">
        <w:noBreakHyphen/>
        <w:t>mild renal impairment (</w:t>
      </w:r>
      <w:proofErr w:type="spellStart"/>
      <w:r w:rsidRPr="00524EEA">
        <w:t>eGFR</w:t>
      </w:r>
      <w:proofErr w:type="spellEnd"/>
      <w:r w:rsidRPr="00524EEA">
        <w:t xml:space="preserve"> ≥ 60 mL/min/1.73 m</w:t>
      </w:r>
      <w:r w:rsidRPr="00524EEA">
        <w:rPr>
          <w:vertAlign w:val="superscript"/>
        </w:rPr>
        <w:t>2</w:t>
      </w:r>
      <w:r w:rsidRPr="00524EEA">
        <w:t>), mild, or moderate hepatic impairment, age, gender, race and body weight.</w:t>
      </w:r>
    </w:p>
    <w:p w14:paraId="72DE6039" w14:textId="77777777" w:rsidR="004C1301" w:rsidRPr="00524EEA" w:rsidRDefault="004C1301" w:rsidP="00C07BC4">
      <w:pPr>
        <w:pStyle w:val="Heading4nobookmark"/>
      </w:pPr>
      <w:bookmarkStart w:id="94" w:name="_Toc2059789"/>
      <w:bookmarkStart w:id="95" w:name="_Toc2060998"/>
      <w:bookmarkStart w:id="96" w:name="_Toc2061105"/>
      <w:bookmarkStart w:id="97" w:name="_Toc2061616"/>
      <w:bookmarkStart w:id="98" w:name="_Toc2061680"/>
      <w:bookmarkStart w:id="99" w:name="_Toc2061745"/>
      <w:bookmarkStart w:id="100" w:name="_Toc2062061"/>
      <w:r w:rsidRPr="00524EEA">
        <w:t>Renal Impairment</w:t>
      </w:r>
      <w:bookmarkEnd w:id="94"/>
      <w:bookmarkEnd w:id="95"/>
      <w:bookmarkEnd w:id="96"/>
      <w:bookmarkEnd w:id="97"/>
      <w:bookmarkEnd w:id="98"/>
      <w:bookmarkEnd w:id="99"/>
      <w:bookmarkEnd w:id="100"/>
    </w:p>
    <w:p w14:paraId="581E5554" w14:textId="25C1BC6A" w:rsidR="004C1301" w:rsidRPr="00524EEA" w:rsidRDefault="004C1301" w:rsidP="004C1301">
      <w:r w:rsidRPr="00524EEA">
        <w:t xml:space="preserve">At steady-state (20 mg once-daily </w:t>
      </w:r>
      <w:proofErr w:type="spellStart"/>
      <w:r w:rsidRPr="00524EEA">
        <w:t>dapagliflozin</w:t>
      </w:r>
      <w:proofErr w:type="spellEnd"/>
      <w:r w:rsidRPr="00524EEA">
        <w:t xml:space="preserve"> for 7 days), patients with type 2 diabetes and mild, moderate or severe renal impairment (as determined by </w:t>
      </w:r>
      <w:proofErr w:type="spellStart"/>
      <w:r w:rsidRPr="00524EEA">
        <w:t>iohexol</w:t>
      </w:r>
      <w:proofErr w:type="spellEnd"/>
      <w:r w:rsidRPr="00524EEA">
        <w:t xml:space="preserve"> clearance) had mean systemic exposures of </w:t>
      </w:r>
      <w:proofErr w:type="spellStart"/>
      <w:r w:rsidRPr="00524EEA">
        <w:t>dapagliflozin</w:t>
      </w:r>
      <w:proofErr w:type="spellEnd"/>
      <w:r w:rsidRPr="00524EEA">
        <w:t xml:space="preserve"> that were 32%, 60% and 87% higher, respectively, than those of patients with type 2 diabetes and normal renal function.  At </w:t>
      </w:r>
      <w:proofErr w:type="spellStart"/>
      <w:r w:rsidRPr="00524EEA">
        <w:t>dapagliflozin</w:t>
      </w:r>
      <w:proofErr w:type="spellEnd"/>
      <w:r w:rsidRPr="00524EEA">
        <w:t xml:space="preserve"> 20 mg once-daily, higher systemic exposure to </w:t>
      </w:r>
      <w:proofErr w:type="spellStart"/>
      <w:r w:rsidRPr="00524EEA">
        <w:t>dapagliflozin</w:t>
      </w:r>
      <w:proofErr w:type="spellEnd"/>
      <w:r w:rsidRPr="00524EEA">
        <w:t xml:space="preserve"> in patients with type 2 diabetes mellitus and renal impairment did not result in a correspondingly higher renal glucose clearance or 24 hour glucose excretion.  The renal glucose clearance and 24 hour glucose excretion was lower in patients with moderate or severe renal impairment as compared to patients with normal and mild renal impairment.  The steady-state 24-h urinary glucose excretion was highly dependent on renal function and 85, 52, 18 and 11 g of glucose/day was excreted by patients with type 2 diabetes mellitus and normal renal function or mild, moderate or severe renal impairment, respectively.  There were no differences in the protein binding of </w:t>
      </w:r>
      <w:proofErr w:type="spellStart"/>
      <w:r w:rsidRPr="00524EEA">
        <w:t>dapagliflozin</w:t>
      </w:r>
      <w:proofErr w:type="spellEnd"/>
      <w:r w:rsidRPr="00524EEA">
        <w:t xml:space="preserve"> between renal impairment groups or compared to healthy subjects.  The impact of </w:t>
      </w:r>
      <w:r w:rsidR="009E4AAD" w:rsidRPr="00524EEA">
        <w:t>haemodialysis</w:t>
      </w:r>
      <w:r w:rsidRPr="00524EEA">
        <w:t xml:space="preserve"> on </w:t>
      </w:r>
      <w:proofErr w:type="spellStart"/>
      <w:r w:rsidRPr="00524EEA">
        <w:t>dapagliflozin</w:t>
      </w:r>
      <w:proofErr w:type="spellEnd"/>
      <w:r w:rsidRPr="00524EEA">
        <w:t xml:space="preserve"> exposure is not known. </w:t>
      </w:r>
      <w:bookmarkStart w:id="101" w:name="_Hlk5365105"/>
      <w:r w:rsidR="00C2081C" w:rsidRPr="00524EEA">
        <w:t>FOR</w:t>
      </w:r>
      <w:r w:rsidR="001C0658" w:rsidRPr="00524EEA">
        <w:t>XIGA</w:t>
      </w:r>
      <w:r w:rsidR="00C2081C" w:rsidRPr="00524EEA">
        <w:t xml:space="preserve"> should not be used in patients with </w:t>
      </w:r>
      <w:proofErr w:type="spellStart"/>
      <w:r w:rsidR="00C2081C" w:rsidRPr="00524EEA">
        <w:t>eGFR</w:t>
      </w:r>
      <w:proofErr w:type="spellEnd"/>
      <w:r w:rsidR="00C2081C" w:rsidRPr="00524EEA">
        <w:t xml:space="preserve"> persistently &lt;45 mL/min/1.73m</w:t>
      </w:r>
      <w:r w:rsidR="00C2081C" w:rsidRPr="00524EEA">
        <w:rPr>
          <w:vertAlign w:val="superscript"/>
        </w:rPr>
        <w:t>2</w:t>
      </w:r>
      <w:r w:rsidR="0063473D" w:rsidRPr="00524EEA">
        <w:t xml:space="preserve"> </w:t>
      </w:r>
      <w:bookmarkStart w:id="102" w:name="_Hlk5365047"/>
      <w:r w:rsidR="007055E3" w:rsidRPr="00524EEA">
        <w:t>(see section 4.3 Contraindications and section 4.4 Special warnings and precautions for use).</w:t>
      </w:r>
    </w:p>
    <w:p w14:paraId="1EBC63A4" w14:textId="77777777" w:rsidR="004C1301" w:rsidRPr="00524EEA" w:rsidRDefault="004C1301" w:rsidP="00C07BC4">
      <w:pPr>
        <w:pStyle w:val="Heading4nobookmark"/>
      </w:pPr>
      <w:bookmarkStart w:id="103" w:name="_Toc2059790"/>
      <w:bookmarkStart w:id="104" w:name="_Toc2060999"/>
      <w:bookmarkStart w:id="105" w:name="_Toc2061106"/>
      <w:bookmarkStart w:id="106" w:name="_Toc2061617"/>
      <w:bookmarkStart w:id="107" w:name="_Toc2061681"/>
      <w:bookmarkStart w:id="108" w:name="_Toc2061746"/>
      <w:bookmarkStart w:id="109" w:name="_Toc2062062"/>
      <w:bookmarkEnd w:id="101"/>
      <w:bookmarkEnd w:id="102"/>
      <w:r w:rsidRPr="00524EEA">
        <w:t>Hepatic Impairment</w:t>
      </w:r>
      <w:bookmarkEnd w:id="103"/>
      <w:bookmarkEnd w:id="104"/>
      <w:bookmarkEnd w:id="105"/>
      <w:bookmarkEnd w:id="106"/>
      <w:bookmarkEnd w:id="107"/>
      <w:bookmarkEnd w:id="108"/>
      <w:bookmarkEnd w:id="109"/>
    </w:p>
    <w:p w14:paraId="3C47422D" w14:textId="7CB73FE6" w:rsidR="004C1301" w:rsidRPr="00524EEA" w:rsidRDefault="004C1301" w:rsidP="004C1301">
      <w:r w:rsidRPr="00524EEA">
        <w:t xml:space="preserve">A single dose (10 mg) </w:t>
      </w:r>
      <w:proofErr w:type="spellStart"/>
      <w:r w:rsidRPr="00524EEA">
        <w:t>dapagliflozin</w:t>
      </w:r>
      <w:proofErr w:type="spellEnd"/>
      <w:r w:rsidRPr="00524EEA">
        <w:t xml:space="preserve"> clinical pharmacology study was conducted in patients with mild, moderate or severe hepatic impairment (Child-Pugh classes A, B, and C, respectively) and healthy matched controls in order to compare the pharmacokinetic characteristics of </w:t>
      </w:r>
      <w:proofErr w:type="spellStart"/>
      <w:r w:rsidRPr="00524EEA">
        <w:t>dapagliflozin</w:t>
      </w:r>
      <w:proofErr w:type="spellEnd"/>
      <w:r w:rsidRPr="00524EEA">
        <w:t xml:space="preserve"> between these populations.  There were no differences in the protein binding of </w:t>
      </w:r>
      <w:proofErr w:type="spellStart"/>
      <w:r w:rsidRPr="00524EEA">
        <w:t>dapagliflozin</w:t>
      </w:r>
      <w:proofErr w:type="spellEnd"/>
      <w:r w:rsidRPr="00524EEA">
        <w:t xml:space="preserve"> between hepatic impairment groups or compared to healthy subjects.  In patients with mild or moderate hepatic impairment mean </w:t>
      </w:r>
      <w:proofErr w:type="spellStart"/>
      <w:r w:rsidRPr="00524EEA">
        <w:t>C</w:t>
      </w:r>
      <w:r w:rsidRPr="00524EEA">
        <w:rPr>
          <w:vertAlign w:val="subscript"/>
        </w:rPr>
        <w:t>max</w:t>
      </w:r>
      <w:proofErr w:type="spellEnd"/>
      <w:r w:rsidRPr="00524EEA">
        <w:t xml:space="preserve"> and AUC of </w:t>
      </w:r>
      <w:proofErr w:type="spellStart"/>
      <w:r w:rsidRPr="00524EEA">
        <w:t>dapagliflozin</w:t>
      </w:r>
      <w:proofErr w:type="spellEnd"/>
      <w:r w:rsidRPr="00524EEA">
        <w:t xml:space="preserve"> were up to 12% and 36% higher, respectively, compared to healthy matched control subjects.  These differences were not considered to be clinically meaningful and no dose adjustment from the proposed usual dose of 10 mg once daily for </w:t>
      </w:r>
      <w:proofErr w:type="spellStart"/>
      <w:r w:rsidRPr="00524EEA">
        <w:t>dapagliflozin</w:t>
      </w:r>
      <w:proofErr w:type="spellEnd"/>
      <w:r w:rsidRPr="00524EEA">
        <w:t xml:space="preserve"> is proposed for these populations.  In patients with severe hepatic impairment (Child-Pugh class C) mean </w:t>
      </w:r>
      <w:proofErr w:type="spellStart"/>
      <w:r w:rsidRPr="00524EEA">
        <w:t>C</w:t>
      </w:r>
      <w:r w:rsidRPr="00524EEA">
        <w:rPr>
          <w:vertAlign w:val="subscript"/>
        </w:rPr>
        <w:t>max</w:t>
      </w:r>
      <w:proofErr w:type="spellEnd"/>
      <w:r w:rsidRPr="00524EEA">
        <w:t xml:space="preserve"> and AUC of </w:t>
      </w:r>
      <w:proofErr w:type="spellStart"/>
      <w:r w:rsidRPr="00524EEA">
        <w:t>dapagliflozin</w:t>
      </w:r>
      <w:proofErr w:type="spellEnd"/>
      <w:r w:rsidRPr="00524EEA">
        <w:t xml:space="preserve"> were up to 40% and 67% higher than matched healthy controls, respectively.  FORXIGA should not be used in patients with severe hepatic impairment (see </w:t>
      </w:r>
      <w:r w:rsidR="004B7251" w:rsidRPr="00524EEA">
        <w:t>section</w:t>
      </w:r>
      <w:r w:rsidR="00EF711E" w:rsidRPr="00524EEA">
        <w:t xml:space="preserve"> 4.4 Special warnings and precautions for use</w:t>
      </w:r>
      <w:r w:rsidRPr="00524EEA">
        <w:t>).</w:t>
      </w:r>
    </w:p>
    <w:p w14:paraId="14C289A6" w14:textId="77777777" w:rsidR="004C1301" w:rsidRPr="00524EEA" w:rsidRDefault="004C1301" w:rsidP="00C07BC4">
      <w:pPr>
        <w:pStyle w:val="Heading4nobookmark"/>
      </w:pPr>
      <w:r w:rsidRPr="00524EEA">
        <w:t>Age</w:t>
      </w:r>
    </w:p>
    <w:p w14:paraId="06275BDB" w14:textId="34E4A892" w:rsidR="004C1301" w:rsidRPr="00524EEA" w:rsidRDefault="004C1301" w:rsidP="004C1301">
      <w:r w:rsidRPr="00524EEA">
        <w:t xml:space="preserve">No dosage adjustment for </w:t>
      </w:r>
      <w:proofErr w:type="spellStart"/>
      <w:r w:rsidRPr="00524EEA">
        <w:t>dapagliflozin</w:t>
      </w:r>
      <w:proofErr w:type="spellEnd"/>
      <w:r w:rsidRPr="00524EEA">
        <w:t xml:space="preserve"> is recommended on the basis of age.  The effect of age (young: ≥18 to &lt;40 years [n=105] and elderly: ≥65 years [n=224]) was evaluated as a covariate in a population pharmacokinetic model and compared to patients ≥40 to &lt;65 years using data from healthy subject and patient studies).  The mean </w:t>
      </w:r>
      <w:proofErr w:type="spellStart"/>
      <w:r w:rsidRPr="00524EEA">
        <w:t>dapagliflozin</w:t>
      </w:r>
      <w:proofErr w:type="spellEnd"/>
      <w:r w:rsidRPr="00524EEA">
        <w:t xml:space="preserve"> systemic exposure (AUC) in young patients was estimated to be 10.4% lower than in the reference group [90% CI: 87.9, 92.2%] and 25% higher in elderly patients compared to the reference group [90% CI: 123, 129%].  However, an increased exposure due to age-related decrease in renal function can be expected.  There are insufficient data to draw conclusions regarding exposure in patients &gt;70 years old.</w:t>
      </w:r>
    </w:p>
    <w:p w14:paraId="2EFB9D07" w14:textId="77777777" w:rsidR="004C1301" w:rsidRPr="00524EEA" w:rsidRDefault="004C1301" w:rsidP="00C07BC4">
      <w:pPr>
        <w:pStyle w:val="Heading4nobookmark"/>
      </w:pPr>
      <w:bookmarkStart w:id="110" w:name="_Toc2059793"/>
      <w:bookmarkStart w:id="111" w:name="_Toc2061002"/>
      <w:bookmarkStart w:id="112" w:name="_Toc2061109"/>
      <w:bookmarkStart w:id="113" w:name="_Toc2061620"/>
      <w:bookmarkStart w:id="114" w:name="_Toc2061684"/>
      <w:bookmarkStart w:id="115" w:name="_Toc2061749"/>
      <w:bookmarkStart w:id="116" w:name="_Toc2062065"/>
      <w:r w:rsidRPr="00524EEA">
        <w:t>Paediatric and Adolescent</w:t>
      </w:r>
      <w:bookmarkEnd w:id="110"/>
      <w:bookmarkEnd w:id="111"/>
      <w:bookmarkEnd w:id="112"/>
      <w:bookmarkEnd w:id="113"/>
      <w:bookmarkEnd w:id="114"/>
      <w:bookmarkEnd w:id="115"/>
      <w:bookmarkEnd w:id="116"/>
    </w:p>
    <w:p w14:paraId="05C3DF6D" w14:textId="77777777" w:rsidR="004C1301" w:rsidRPr="00524EEA" w:rsidRDefault="004C1301" w:rsidP="004C1301">
      <w:r w:rsidRPr="00524EEA">
        <w:t>Pharmacokinetics in the paediatric and adolescent population have not been studied.</w:t>
      </w:r>
    </w:p>
    <w:p w14:paraId="465F0FD2" w14:textId="77777777" w:rsidR="004C1301" w:rsidRPr="00524EEA" w:rsidRDefault="004C1301" w:rsidP="00C07BC4">
      <w:pPr>
        <w:pStyle w:val="Heading4nobookmark"/>
      </w:pPr>
      <w:bookmarkStart w:id="117" w:name="_Toc2059794"/>
      <w:bookmarkStart w:id="118" w:name="_Toc2061003"/>
      <w:bookmarkStart w:id="119" w:name="_Toc2061110"/>
      <w:bookmarkStart w:id="120" w:name="_Toc2061621"/>
      <w:bookmarkStart w:id="121" w:name="_Toc2061685"/>
      <w:bookmarkStart w:id="122" w:name="_Toc2061750"/>
      <w:bookmarkStart w:id="123" w:name="_Toc2062066"/>
      <w:r w:rsidRPr="00524EEA">
        <w:t>Gender</w:t>
      </w:r>
      <w:bookmarkEnd w:id="117"/>
      <w:bookmarkEnd w:id="118"/>
      <w:bookmarkEnd w:id="119"/>
      <w:bookmarkEnd w:id="120"/>
      <w:bookmarkEnd w:id="121"/>
      <w:bookmarkEnd w:id="122"/>
      <w:bookmarkEnd w:id="123"/>
    </w:p>
    <w:p w14:paraId="47EEC01C" w14:textId="77777777" w:rsidR="004C1301" w:rsidRPr="00524EEA" w:rsidRDefault="004C1301" w:rsidP="004C1301">
      <w:r w:rsidRPr="00524EEA">
        <w:t xml:space="preserve">No dosage adjustment from the dose of 10 mg once daily is recommended for </w:t>
      </w:r>
      <w:proofErr w:type="spellStart"/>
      <w:r w:rsidRPr="00524EEA">
        <w:t>dapagliflozin</w:t>
      </w:r>
      <w:proofErr w:type="spellEnd"/>
      <w:r w:rsidRPr="00524EEA">
        <w:t xml:space="preserve"> on the basis of gender.  Gender was evaluated as a covariate in a population pharmacokinetic model using data from healthy subject and patient studies.  The mean </w:t>
      </w:r>
      <w:proofErr w:type="spellStart"/>
      <w:r w:rsidRPr="00524EEA">
        <w:t>dapagliflozin</w:t>
      </w:r>
      <w:proofErr w:type="spellEnd"/>
      <w:r w:rsidRPr="00524EEA">
        <w:t xml:space="preserve"> </w:t>
      </w:r>
      <w:proofErr w:type="spellStart"/>
      <w:r w:rsidRPr="00524EEA">
        <w:t>AUCss</w:t>
      </w:r>
      <w:proofErr w:type="spellEnd"/>
      <w:r w:rsidRPr="00524EEA">
        <w:t xml:space="preserve"> in females (n=619) was estimated to be 22% higher than in males (n=634) [90% CI: 117,124].</w:t>
      </w:r>
    </w:p>
    <w:p w14:paraId="2D4CBD54" w14:textId="77777777" w:rsidR="004C1301" w:rsidRPr="00524EEA" w:rsidRDefault="004C1301" w:rsidP="00C07BC4">
      <w:pPr>
        <w:pStyle w:val="Heading4nobookmark"/>
      </w:pPr>
      <w:bookmarkStart w:id="124" w:name="_Toc2059795"/>
      <w:bookmarkStart w:id="125" w:name="_Toc2061004"/>
      <w:bookmarkStart w:id="126" w:name="_Toc2061111"/>
      <w:bookmarkStart w:id="127" w:name="_Toc2061622"/>
      <w:bookmarkStart w:id="128" w:name="_Toc2061686"/>
      <w:bookmarkStart w:id="129" w:name="_Toc2061751"/>
      <w:bookmarkStart w:id="130" w:name="_Toc2062067"/>
      <w:r w:rsidRPr="00524EEA">
        <w:t>Race</w:t>
      </w:r>
      <w:bookmarkEnd w:id="124"/>
      <w:bookmarkEnd w:id="125"/>
      <w:bookmarkEnd w:id="126"/>
      <w:bookmarkEnd w:id="127"/>
      <w:bookmarkEnd w:id="128"/>
      <w:bookmarkEnd w:id="129"/>
      <w:bookmarkEnd w:id="130"/>
    </w:p>
    <w:p w14:paraId="7407FA1B" w14:textId="77777777" w:rsidR="004C1301" w:rsidRPr="00524EEA" w:rsidRDefault="004C1301" w:rsidP="004C1301">
      <w:r w:rsidRPr="00524EEA">
        <w:t xml:space="preserve">No dosage adjustment from the </w:t>
      </w:r>
      <w:proofErr w:type="spellStart"/>
      <w:r w:rsidRPr="00524EEA">
        <w:t>dapagliflozin</w:t>
      </w:r>
      <w:proofErr w:type="spellEnd"/>
      <w:r w:rsidRPr="00524EEA">
        <w:t xml:space="preserve"> dose of 10 mg once daily is recommended on the basis of race.  Race (white, black [African descent] or Asian) was evaluated as a covariate in a population pharmacokinetic model using data from healthy subject and patient studies.  Differences in systemic exposures between these races were small.  Compared to whites (n=1147), Asian subjects</w:t>
      </w:r>
      <w:bookmarkStart w:id="131" w:name="OLE_LINK6"/>
      <w:r w:rsidRPr="00524EEA">
        <w:t xml:space="preserve"> (n=47) had no difference in estimated mean </w:t>
      </w:r>
      <w:proofErr w:type="spellStart"/>
      <w:r w:rsidRPr="00524EEA">
        <w:t>dapagliflozin</w:t>
      </w:r>
      <w:proofErr w:type="spellEnd"/>
      <w:r w:rsidRPr="00524EEA">
        <w:t xml:space="preserve"> systemic e</w:t>
      </w:r>
      <w:bookmarkEnd w:id="131"/>
      <w:r w:rsidRPr="00524EEA">
        <w:t xml:space="preserve">xposures [90% CI range 3.7% lower, 1% higher].  Compared to whites, black (African descent) subjects (n=43) had 4.9% lower estimated mean </w:t>
      </w:r>
      <w:proofErr w:type="spellStart"/>
      <w:r w:rsidRPr="00524EEA">
        <w:t>dapagliflozin</w:t>
      </w:r>
      <w:proofErr w:type="spellEnd"/>
      <w:r w:rsidRPr="00524EEA">
        <w:t xml:space="preserve"> systemic exposures [90% CI range 7.7% lower, 3.7% lower].</w:t>
      </w:r>
    </w:p>
    <w:p w14:paraId="7112DFA8" w14:textId="77777777" w:rsidR="004C1301" w:rsidRPr="00524EEA" w:rsidRDefault="004C1301" w:rsidP="00C07BC4">
      <w:pPr>
        <w:pStyle w:val="Heading4nobookmark"/>
      </w:pPr>
      <w:r w:rsidRPr="00524EEA">
        <w:t>Body Weight</w:t>
      </w:r>
    </w:p>
    <w:p w14:paraId="7C1B27FD" w14:textId="77777777" w:rsidR="004C1301" w:rsidRPr="00524EEA" w:rsidRDefault="004C1301" w:rsidP="004C1301">
      <w:r w:rsidRPr="00524EEA">
        <w:t xml:space="preserve">No dose adjustment is recommended on the basis of weight. </w:t>
      </w:r>
    </w:p>
    <w:p w14:paraId="38DA0DC5" w14:textId="77777777" w:rsidR="004C1301" w:rsidRPr="00524EEA" w:rsidRDefault="004C1301" w:rsidP="004C1301">
      <w:r w:rsidRPr="00524EEA">
        <w:t xml:space="preserve">In a population pharmacokinetic analysis using data from healthy subject and patient studies, systemic exposures in high body weight subjects (≥120 kg, n=91) were estimated to be 78.3% [90% CI: 78.2, 83.2%] of those of reference subjects with body weight between 75 and 100 kg.  This difference is considered to be small, therefore, no dose adjustment from the proposed dose of 10 mg </w:t>
      </w:r>
      <w:proofErr w:type="spellStart"/>
      <w:r w:rsidRPr="00524EEA">
        <w:t>dapagliflozin</w:t>
      </w:r>
      <w:proofErr w:type="spellEnd"/>
      <w:r w:rsidRPr="00524EEA">
        <w:t xml:space="preserve"> once daily in type 2 diabetes mellitus patients with high body weight (≥120 kg) is recommended. </w:t>
      </w:r>
    </w:p>
    <w:p w14:paraId="204F17F5" w14:textId="4323BD55" w:rsidR="004C1301" w:rsidRPr="00524EEA" w:rsidRDefault="004C1301" w:rsidP="004C1301">
      <w:r w:rsidRPr="00524EEA">
        <w:t xml:space="preserve">Subjects with low body weights (&lt;50 kg) were not well represented in the healthy subject and patient studies used in the population pharmacokinetic analysis.  Therefore, </w:t>
      </w:r>
      <w:proofErr w:type="spellStart"/>
      <w:r w:rsidRPr="00524EEA">
        <w:t>dapagliflozin</w:t>
      </w:r>
      <w:proofErr w:type="spellEnd"/>
      <w:r w:rsidRPr="00524EEA">
        <w:t xml:space="preserve"> systemic exposures were simulated with a large number of subjects.  The simulated mean </w:t>
      </w:r>
      <w:proofErr w:type="spellStart"/>
      <w:r w:rsidRPr="00524EEA">
        <w:t>dapagliflozin</w:t>
      </w:r>
      <w:proofErr w:type="spellEnd"/>
      <w:r w:rsidRPr="00524EEA">
        <w:t xml:space="preserve"> systemic exposures in low body weight subjects were estimated to be 29% higher than subjects with the reference group body weight.  This difference is considered to be small and based on these findings no dose adjustment from the proposed dose of 10 mg </w:t>
      </w:r>
      <w:proofErr w:type="spellStart"/>
      <w:r w:rsidRPr="00524EEA">
        <w:t>dapagliflozin</w:t>
      </w:r>
      <w:proofErr w:type="spellEnd"/>
      <w:r w:rsidRPr="00524EEA">
        <w:t xml:space="preserve"> once daily in </w:t>
      </w:r>
      <w:r w:rsidR="005A2290" w:rsidRPr="00524EEA">
        <w:t xml:space="preserve">patients with </w:t>
      </w:r>
      <w:r w:rsidRPr="00524EEA">
        <w:t xml:space="preserve">type 2 diabetes mellitus with low body weight </w:t>
      </w:r>
      <w:r w:rsidR="009E4AAD" w:rsidRPr="00524EEA">
        <w:br/>
      </w:r>
      <w:r w:rsidRPr="00524EEA">
        <w:t>(&lt;50 kg) is recommended.</w:t>
      </w:r>
    </w:p>
    <w:p w14:paraId="3362322A" w14:textId="77777777" w:rsidR="001A3992" w:rsidRPr="00524EEA" w:rsidRDefault="001A3992" w:rsidP="001A3992">
      <w:pPr>
        <w:pStyle w:val="Heading2"/>
        <w:spacing w:before="0" w:after="120"/>
      </w:pPr>
      <w:r w:rsidRPr="00524EEA">
        <w:t>Preclinical safety data</w:t>
      </w:r>
    </w:p>
    <w:p w14:paraId="592B38D8" w14:textId="7091B9EC" w:rsidR="001A3992" w:rsidRPr="00524EEA" w:rsidRDefault="001A3992" w:rsidP="001A3992">
      <w:pPr>
        <w:pStyle w:val="Heading3"/>
        <w:spacing w:before="0" w:after="120"/>
      </w:pPr>
      <w:r w:rsidRPr="00524EEA">
        <w:t>Genotoxicity</w:t>
      </w:r>
    </w:p>
    <w:p w14:paraId="21969530" w14:textId="4232E63E" w:rsidR="004278E7" w:rsidRPr="00524EEA" w:rsidRDefault="004278E7" w:rsidP="004278E7">
      <w:proofErr w:type="spellStart"/>
      <w:r w:rsidRPr="00524EEA">
        <w:t>Dapagliflozin</w:t>
      </w:r>
      <w:proofErr w:type="spellEnd"/>
      <w:r w:rsidRPr="00524EEA">
        <w:t xml:space="preserve"> was positive in an </w:t>
      </w:r>
      <w:r w:rsidRPr="00524EEA">
        <w:rPr>
          <w:i/>
        </w:rPr>
        <w:t>in-vitro</w:t>
      </w:r>
      <w:r w:rsidRPr="00524EEA">
        <w:t xml:space="preserve"> </w:t>
      </w:r>
      <w:proofErr w:type="spellStart"/>
      <w:r w:rsidRPr="00524EEA">
        <w:t>clastogenicity</w:t>
      </w:r>
      <w:proofErr w:type="spellEnd"/>
      <w:r w:rsidRPr="00524EEA">
        <w:t xml:space="preserve"> assay in the presence of metabolic activation.  However, </w:t>
      </w:r>
      <w:proofErr w:type="spellStart"/>
      <w:r w:rsidRPr="00524EEA">
        <w:t>dapagliflozin</w:t>
      </w:r>
      <w:proofErr w:type="spellEnd"/>
      <w:r w:rsidRPr="00524EEA">
        <w:t xml:space="preserve"> was negative in the Ames mutagenicity assay and in a series of </w:t>
      </w:r>
      <w:r w:rsidRPr="00524EEA">
        <w:rPr>
          <w:i/>
        </w:rPr>
        <w:t>in-vivo</w:t>
      </w:r>
      <w:r w:rsidRPr="00524EEA">
        <w:t xml:space="preserve"> </w:t>
      </w:r>
      <w:proofErr w:type="spellStart"/>
      <w:r w:rsidRPr="00524EEA">
        <w:t>clastogenicity</w:t>
      </w:r>
      <w:proofErr w:type="spellEnd"/>
      <w:r w:rsidRPr="00524EEA">
        <w:t xml:space="preserve"> studies evaluating micronuclei or DNA repair in rats at exposure multiples at least 2100 times the human exposure at the MRHD.  The weight of evidence from these studies, along with the absence of tumour findings in the rat and mouse carcinogenicity studies, support that </w:t>
      </w:r>
      <w:proofErr w:type="spellStart"/>
      <w:r w:rsidRPr="00524EEA">
        <w:t>dapagliflozin</w:t>
      </w:r>
      <w:proofErr w:type="spellEnd"/>
      <w:r w:rsidRPr="00524EEA">
        <w:t xml:space="preserve"> is not genotoxic.</w:t>
      </w:r>
    </w:p>
    <w:p w14:paraId="6A308A29" w14:textId="04E48D33" w:rsidR="001A3992" w:rsidRPr="00524EEA" w:rsidRDefault="001A3992" w:rsidP="001A3992">
      <w:pPr>
        <w:pStyle w:val="Heading3"/>
        <w:spacing w:before="0" w:after="120"/>
      </w:pPr>
      <w:r w:rsidRPr="00524EEA">
        <w:t>Carcinogenicity</w:t>
      </w:r>
    </w:p>
    <w:p w14:paraId="6C907EF3" w14:textId="77777777" w:rsidR="004278E7" w:rsidRPr="00524EEA" w:rsidRDefault="004278E7" w:rsidP="004278E7">
      <w:proofErr w:type="spellStart"/>
      <w:r w:rsidRPr="00524EEA">
        <w:t>Dapagliflozin</w:t>
      </w:r>
      <w:proofErr w:type="spellEnd"/>
      <w:r w:rsidRPr="00524EEA">
        <w:t xml:space="preserve"> did not induce tumours in two-year carcinogenicity studies in mice or rats at oral doses up to 40 mg/kg/day and 10 mg/kg/day respectively.  These doses correspond to AUC exposure levels at least 78 times the human AUC at the MRHD of 10 mg/day. </w:t>
      </w:r>
    </w:p>
    <w:p w14:paraId="633142F9" w14:textId="77777777" w:rsidR="001A3992" w:rsidRPr="00524EEA" w:rsidRDefault="001A3992" w:rsidP="001A3992">
      <w:pPr>
        <w:pStyle w:val="Heading1"/>
        <w:spacing w:before="0" w:after="120"/>
      </w:pPr>
      <w:r w:rsidRPr="00524EEA">
        <w:t>Pharmaceutical particulars</w:t>
      </w:r>
    </w:p>
    <w:p w14:paraId="73E342DD" w14:textId="289D65E6" w:rsidR="001A3992" w:rsidRPr="00524EEA" w:rsidRDefault="00E00F3B" w:rsidP="001A3992">
      <w:pPr>
        <w:pStyle w:val="Heading2"/>
        <w:spacing w:before="0" w:after="120"/>
      </w:pPr>
      <w:r w:rsidRPr="00524EEA">
        <w:t>List of excipients</w:t>
      </w:r>
    </w:p>
    <w:p w14:paraId="64EEB170" w14:textId="7EFBB76D" w:rsidR="00C07601" w:rsidRPr="00524EEA" w:rsidRDefault="00C07601" w:rsidP="00813763">
      <w:r w:rsidRPr="00524EEA">
        <w:rPr>
          <w:rFonts w:eastAsia="SimSun"/>
          <w:lang w:eastAsia="zh-CN" w:bidi="ne-NP"/>
        </w:rPr>
        <w:t xml:space="preserve">Microcrystalline cellulose, lactose, </w:t>
      </w:r>
      <w:proofErr w:type="spellStart"/>
      <w:r w:rsidRPr="00524EEA">
        <w:rPr>
          <w:rFonts w:eastAsia="SimSun"/>
          <w:lang w:eastAsia="zh-CN" w:bidi="ne-NP"/>
        </w:rPr>
        <w:t>crospovidone</w:t>
      </w:r>
      <w:proofErr w:type="spellEnd"/>
      <w:r w:rsidRPr="00524EEA">
        <w:rPr>
          <w:rFonts w:eastAsia="SimSun"/>
          <w:lang w:eastAsia="zh-CN" w:bidi="ne-NP"/>
        </w:rPr>
        <w:t>, silicon dioxide, magnesium stearate</w:t>
      </w:r>
      <w:r w:rsidR="00601DD4" w:rsidRPr="00524EEA">
        <w:rPr>
          <w:rFonts w:eastAsia="SimSun"/>
          <w:lang w:eastAsia="zh-CN" w:bidi="ne-NP"/>
        </w:rPr>
        <w:t>,</w:t>
      </w:r>
      <w:r w:rsidRPr="00524EEA">
        <w:rPr>
          <w:rFonts w:eastAsia="SimSun"/>
          <w:lang w:eastAsia="zh-CN" w:bidi="ne-NP"/>
        </w:rPr>
        <w:t xml:space="preserve">  polyvinyl alcohol, titanium dioxide, </w:t>
      </w:r>
      <w:proofErr w:type="spellStart"/>
      <w:r w:rsidRPr="00524EEA">
        <w:rPr>
          <w:rFonts w:eastAsia="SimSun"/>
          <w:lang w:eastAsia="zh-CN" w:bidi="ne-NP"/>
        </w:rPr>
        <w:t>macrogol</w:t>
      </w:r>
      <w:proofErr w:type="spellEnd"/>
      <w:r w:rsidRPr="00524EEA">
        <w:rPr>
          <w:rFonts w:eastAsia="SimSun"/>
          <w:lang w:eastAsia="zh-CN" w:bidi="ne-NP"/>
        </w:rPr>
        <w:t xml:space="preserve"> 3350, purified talc and iron oxide yellow.</w:t>
      </w:r>
    </w:p>
    <w:p w14:paraId="55E4EC16" w14:textId="38D1E3F2" w:rsidR="001A3992" w:rsidRPr="00524EEA" w:rsidRDefault="00E00F3B" w:rsidP="001A3992">
      <w:pPr>
        <w:pStyle w:val="Heading2"/>
        <w:keepLines/>
        <w:spacing w:before="0" w:after="120"/>
      </w:pPr>
      <w:r w:rsidRPr="00524EEA">
        <w:t>Incompatibilities</w:t>
      </w:r>
    </w:p>
    <w:p w14:paraId="67227F2C" w14:textId="77010CAB" w:rsidR="00FF6E77" w:rsidRPr="00524EEA" w:rsidRDefault="00FF6E77" w:rsidP="00FF6E77">
      <w:r w:rsidRPr="00524EEA">
        <w:t xml:space="preserve">Incompatibilities were either not assessed or not identified as part of the registration of this medicine. </w:t>
      </w:r>
    </w:p>
    <w:p w14:paraId="5CC676F2" w14:textId="4351F86E" w:rsidR="001A3992" w:rsidRPr="00524EEA" w:rsidRDefault="00E00F3B" w:rsidP="001A3992">
      <w:pPr>
        <w:pStyle w:val="Heading2"/>
        <w:spacing w:before="0" w:after="120"/>
      </w:pPr>
      <w:r w:rsidRPr="00524EEA">
        <w:t>Shelf life</w:t>
      </w:r>
    </w:p>
    <w:p w14:paraId="3AB4694E" w14:textId="716139EA" w:rsidR="001B32EF" w:rsidRPr="00524EEA" w:rsidRDefault="001B32EF" w:rsidP="001B32EF">
      <w:r w:rsidRPr="00524EEA">
        <w:t>In Australia, information on the shelf life can be found on the public summary of the Australian Register of Therapeutic Goods (ARTG). The expiry date can be found on the packaging.</w:t>
      </w:r>
    </w:p>
    <w:p w14:paraId="2F9B91A1" w14:textId="77777777" w:rsidR="001A3992" w:rsidRPr="00524EEA" w:rsidRDefault="00E00F3B" w:rsidP="001A3992">
      <w:pPr>
        <w:pStyle w:val="Heading2"/>
        <w:keepLines/>
        <w:spacing w:before="0" w:after="120"/>
      </w:pPr>
      <w:r w:rsidRPr="00524EEA">
        <w:t>Special precautions for storage</w:t>
      </w:r>
    </w:p>
    <w:p w14:paraId="7E2E9172" w14:textId="77777777" w:rsidR="00E00F3B" w:rsidRPr="00524EEA" w:rsidRDefault="00E00F3B" w:rsidP="00E00F3B">
      <w:pPr>
        <w:rPr>
          <w:rStyle w:val="BMSSuperscript"/>
          <w:rFonts w:cs="Arial"/>
        </w:rPr>
      </w:pPr>
      <w:r w:rsidRPr="00524EEA">
        <w:t>The tablets should be stored below 30°C.</w:t>
      </w:r>
    </w:p>
    <w:p w14:paraId="5B8EB8F3" w14:textId="77777777" w:rsidR="001A3992" w:rsidRPr="00524EEA" w:rsidRDefault="001A3992" w:rsidP="001A3992">
      <w:pPr>
        <w:pStyle w:val="Heading2"/>
        <w:spacing w:before="0" w:after="120"/>
      </w:pPr>
      <w:r w:rsidRPr="00524EEA">
        <w:t>N</w:t>
      </w:r>
      <w:r w:rsidR="00E00F3B" w:rsidRPr="00524EEA">
        <w:t>ature and contents of container</w:t>
      </w:r>
    </w:p>
    <w:p w14:paraId="0D5A29E8" w14:textId="2EE876E8" w:rsidR="00E00F3B" w:rsidRPr="00524EEA" w:rsidRDefault="00E77CA8" w:rsidP="00E00F3B">
      <w:r w:rsidRPr="00524EEA">
        <w:t xml:space="preserve">The </w:t>
      </w:r>
      <w:r w:rsidR="000B147F" w:rsidRPr="00524EEA">
        <w:t xml:space="preserve">film coated </w:t>
      </w:r>
      <w:r w:rsidRPr="00524EEA">
        <w:t>tablets are packed into aluminium/aluminium blisters in pack sizes of 7 and 28 tablets.</w:t>
      </w:r>
    </w:p>
    <w:p w14:paraId="570664C6" w14:textId="0A24EFF2" w:rsidR="001A3992" w:rsidRPr="00524EEA" w:rsidRDefault="001A3992" w:rsidP="001A3992">
      <w:pPr>
        <w:pStyle w:val="Heading2"/>
        <w:spacing w:before="0" w:after="120"/>
      </w:pPr>
      <w:r w:rsidRPr="00524EEA">
        <w:t>S</w:t>
      </w:r>
      <w:r w:rsidR="00705393" w:rsidRPr="00524EEA">
        <w:t>pecial precautions for disposal</w:t>
      </w:r>
    </w:p>
    <w:p w14:paraId="4615D362" w14:textId="35200E5E" w:rsidR="0079195A" w:rsidRPr="00524EEA" w:rsidRDefault="0079195A" w:rsidP="0079195A">
      <w:r w:rsidRPr="00524EEA">
        <w:t>In Australia, any unused medicine or waste material should be disposed of by taking to your local pharmacy.</w:t>
      </w:r>
    </w:p>
    <w:p w14:paraId="727ADD7E" w14:textId="77777777" w:rsidR="001A3992" w:rsidRPr="00524EEA" w:rsidRDefault="001A3992" w:rsidP="001A3992">
      <w:pPr>
        <w:pStyle w:val="Heading2"/>
        <w:spacing w:before="0" w:after="120"/>
      </w:pPr>
      <w:r w:rsidRPr="00524EEA">
        <w:t>Physicochemical properties</w:t>
      </w:r>
    </w:p>
    <w:p w14:paraId="6E902115" w14:textId="77777777" w:rsidR="001A3992" w:rsidRPr="00524EEA" w:rsidRDefault="001A3992" w:rsidP="001A3992">
      <w:pPr>
        <w:pStyle w:val="Heading3"/>
        <w:spacing w:before="0" w:after="120"/>
      </w:pPr>
      <w:bookmarkStart w:id="132" w:name="_Hlk503970488"/>
      <w:r w:rsidRPr="00524EEA">
        <w:t>Chemical structure</w:t>
      </w:r>
    </w:p>
    <w:bookmarkEnd w:id="132"/>
    <w:p w14:paraId="2A521BA4" w14:textId="77777777" w:rsidR="00705393" w:rsidRPr="00524EEA" w:rsidRDefault="00705393" w:rsidP="00705393">
      <w:pPr>
        <w:rPr>
          <w:rFonts w:eastAsia="SimSun"/>
          <w:lang w:eastAsia="zh-CN" w:bidi="ne-NP"/>
        </w:rPr>
      </w:pPr>
      <w:proofErr w:type="spellStart"/>
      <w:r w:rsidRPr="00524EEA">
        <w:t>Dapagliflozin</w:t>
      </w:r>
      <w:proofErr w:type="spellEnd"/>
      <w:r w:rsidRPr="00524EEA">
        <w:t xml:space="preserve"> </w:t>
      </w:r>
      <w:proofErr w:type="spellStart"/>
      <w:r w:rsidRPr="00524EEA">
        <w:t>propanediol</w:t>
      </w:r>
      <w:proofErr w:type="spellEnd"/>
      <w:r w:rsidRPr="00524EEA">
        <w:t xml:space="preserve"> monohydrate is an orally-active inhibitor of the human renal sodium-glucose co-transporter 2 (SGLT2), the major transporter responsible for renal glucose reabsorption.  </w:t>
      </w:r>
      <w:proofErr w:type="spellStart"/>
      <w:r w:rsidRPr="00524EEA">
        <w:t>Dapagliflozin</w:t>
      </w:r>
      <w:proofErr w:type="spellEnd"/>
      <w:r w:rsidRPr="00524EEA">
        <w:t xml:space="preserve"> is described chemically as </w:t>
      </w:r>
      <w:r w:rsidRPr="00524EEA">
        <w:rPr>
          <w:rFonts w:eastAsia="SimSun"/>
          <w:lang w:eastAsia="zh-CN" w:bidi="ne-NP"/>
        </w:rPr>
        <w:t>(1</w:t>
      </w:r>
      <w:r w:rsidRPr="00524EEA">
        <w:rPr>
          <w:rFonts w:eastAsia="SimSun"/>
          <w:i/>
          <w:iCs/>
          <w:lang w:eastAsia="zh-CN" w:bidi="ne-NP"/>
        </w:rPr>
        <w:t>S</w:t>
      </w:r>
      <w:r w:rsidRPr="00524EEA">
        <w:rPr>
          <w:rFonts w:eastAsia="SimSun"/>
          <w:lang w:eastAsia="zh-CN" w:bidi="ne-NP"/>
        </w:rPr>
        <w:t>)-1,5-Anhydro-1-C-[4-chloro-3-[(4-ethoxyphenyl)methyl]phenyl]-D-glucitol, (</w:t>
      </w:r>
      <w:r w:rsidRPr="00524EEA">
        <w:rPr>
          <w:rFonts w:eastAsia="SimSun"/>
          <w:i/>
          <w:iCs/>
          <w:lang w:eastAsia="zh-CN" w:bidi="ne-NP"/>
        </w:rPr>
        <w:t>S</w:t>
      </w:r>
      <w:r w:rsidRPr="00524EEA">
        <w:rPr>
          <w:rFonts w:eastAsia="SimSun"/>
          <w:lang w:eastAsia="zh-CN" w:bidi="ne-NP"/>
        </w:rPr>
        <w:t>)-propylene glycol, monohydrate.</w:t>
      </w:r>
    </w:p>
    <w:p w14:paraId="2AFB238B" w14:textId="4D234CFB" w:rsidR="00705393" w:rsidRPr="00524EEA" w:rsidRDefault="00705393" w:rsidP="00705393">
      <w:pPr>
        <w:rPr>
          <w:rFonts w:cs="Arial"/>
        </w:rPr>
      </w:pPr>
      <w:r w:rsidRPr="00524EEA">
        <w:rPr>
          <w:rFonts w:cs="Arial"/>
          <w:lang w:eastAsia="en-AU"/>
        </w:rPr>
        <w:t xml:space="preserve">The chemical structure of </w:t>
      </w:r>
      <w:proofErr w:type="spellStart"/>
      <w:r w:rsidRPr="00524EEA">
        <w:rPr>
          <w:rFonts w:cs="Arial"/>
          <w:lang w:eastAsia="en-AU"/>
        </w:rPr>
        <w:t>dapagliflozin</w:t>
      </w:r>
      <w:proofErr w:type="spellEnd"/>
      <w:r w:rsidRPr="00524EEA">
        <w:rPr>
          <w:rFonts w:cs="Arial"/>
          <w:lang w:eastAsia="en-AU"/>
        </w:rPr>
        <w:t xml:space="preserve"> </w:t>
      </w:r>
      <w:proofErr w:type="spellStart"/>
      <w:r w:rsidRPr="00524EEA">
        <w:rPr>
          <w:rFonts w:cs="Arial"/>
          <w:lang w:eastAsia="en-AU"/>
        </w:rPr>
        <w:t>propanediol</w:t>
      </w:r>
      <w:proofErr w:type="spellEnd"/>
      <w:r w:rsidRPr="00524EEA">
        <w:rPr>
          <w:rFonts w:cs="Arial"/>
          <w:lang w:eastAsia="en-AU"/>
        </w:rPr>
        <w:t xml:space="preserve"> monohydrate is:</w:t>
      </w:r>
    </w:p>
    <w:p w14:paraId="3835A830" w14:textId="77777777" w:rsidR="00705393" w:rsidRPr="00524EEA" w:rsidRDefault="00705393" w:rsidP="00705393">
      <w:pPr>
        <w:pStyle w:val="BMSTableInfo"/>
        <w:spacing w:before="120" w:after="120" w:line="300" w:lineRule="auto"/>
        <w:ind w:left="-851"/>
        <w:jc w:val="center"/>
        <w:rPr>
          <w:rFonts w:ascii="Arial" w:hAnsi="Arial" w:cs="Arial"/>
          <w:color w:val="auto"/>
          <w:sz w:val="22"/>
          <w:szCs w:val="22"/>
          <w:lang w:val="en-AU"/>
        </w:rPr>
      </w:pPr>
      <w:r w:rsidRPr="00524EEA">
        <w:rPr>
          <w:rFonts w:ascii="Arial" w:hAnsi="Arial" w:cs="Arial"/>
          <w:color w:val="auto"/>
          <w:sz w:val="22"/>
          <w:szCs w:val="22"/>
          <w:lang w:val="en-AU"/>
        </w:rPr>
        <w:object w:dxaOrig="3246" w:dyaOrig="1727" w14:anchorId="017CA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15pt;height:128.95pt" o:ole="">
            <v:imagedata r:id="rId26" o:title=""/>
          </v:shape>
          <o:OLEObject Type="Embed" ProgID="ChemDraw.Document.6.0" ShapeID="_x0000_i1025" DrawAspect="Content" ObjectID="_1680512578" r:id="rId27"/>
        </w:object>
      </w:r>
    </w:p>
    <w:p w14:paraId="7F0B406A" w14:textId="2AD9ED02" w:rsidR="00705393" w:rsidRPr="00524EEA" w:rsidRDefault="00705393" w:rsidP="00705393">
      <w:pPr>
        <w:autoSpaceDE w:val="0"/>
        <w:autoSpaceDN w:val="0"/>
        <w:adjustRightInd w:val="0"/>
        <w:spacing w:after="0" w:line="280" w:lineRule="exact"/>
        <w:rPr>
          <w:rFonts w:cs="Arial"/>
          <w:lang w:eastAsia="en-AU"/>
        </w:rPr>
      </w:pPr>
      <w:r w:rsidRPr="00524EEA">
        <w:rPr>
          <w:rFonts w:cs="Arial"/>
          <w:i/>
          <w:lang w:eastAsia="en-AU"/>
        </w:rPr>
        <w:t>Molecular formula</w:t>
      </w:r>
      <w:r w:rsidRPr="00524EEA">
        <w:rPr>
          <w:rFonts w:cs="Arial"/>
          <w:lang w:eastAsia="en-AU"/>
        </w:rPr>
        <w:t xml:space="preserve">: </w:t>
      </w:r>
      <w:r w:rsidR="009E4AAD" w:rsidRPr="00524EEA">
        <w:rPr>
          <w:rFonts w:cs="Arial"/>
          <w:lang w:eastAsia="en-AU"/>
        </w:rPr>
        <w:tab/>
      </w:r>
      <w:r w:rsidRPr="00524EEA">
        <w:rPr>
          <w:rFonts w:cs="Arial"/>
          <w:lang w:eastAsia="en-AU"/>
        </w:rPr>
        <w:t>C</w:t>
      </w:r>
      <w:r w:rsidRPr="00524EEA">
        <w:rPr>
          <w:rFonts w:cs="Arial"/>
          <w:vertAlign w:val="subscript"/>
          <w:lang w:eastAsia="en-AU"/>
        </w:rPr>
        <w:t>21</w:t>
      </w:r>
      <w:r w:rsidRPr="00524EEA">
        <w:rPr>
          <w:rFonts w:cs="Arial"/>
          <w:lang w:eastAsia="en-AU"/>
        </w:rPr>
        <w:t>H</w:t>
      </w:r>
      <w:r w:rsidRPr="00524EEA">
        <w:rPr>
          <w:rFonts w:cs="Arial"/>
          <w:vertAlign w:val="subscript"/>
          <w:lang w:eastAsia="en-AU"/>
        </w:rPr>
        <w:t>25</w:t>
      </w:r>
      <w:r w:rsidRPr="00524EEA">
        <w:rPr>
          <w:rFonts w:cs="Arial"/>
          <w:lang w:eastAsia="en-AU"/>
        </w:rPr>
        <w:t>ClO</w:t>
      </w:r>
      <w:r w:rsidRPr="00524EEA">
        <w:rPr>
          <w:rFonts w:cs="Arial"/>
          <w:vertAlign w:val="subscript"/>
          <w:lang w:eastAsia="en-AU"/>
        </w:rPr>
        <w:t>6</w:t>
      </w:r>
      <w:r w:rsidRPr="00524EEA">
        <w:rPr>
          <w:rFonts w:cs="Arial"/>
          <w:lang w:eastAsia="en-AU"/>
        </w:rPr>
        <w:t xml:space="preserve"> •C</w:t>
      </w:r>
      <w:r w:rsidRPr="00524EEA">
        <w:rPr>
          <w:rFonts w:cs="Arial"/>
          <w:vertAlign w:val="subscript"/>
          <w:lang w:eastAsia="en-AU"/>
        </w:rPr>
        <w:t>3</w:t>
      </w:r>
      <w:r w:rsidRPr="00524EEA">
        <w:rPr>
          <w:rFonts w:cs="Arial"/>
          <w:lang w:eastAsia="en-AU"/>
        </w:rPr>
        <w:t>H</w:t>
      </w:r>
      <w:r w:rsidRPr="00524EEA">
        <w:rPr>
          <w:rFonts w:cs="Arial"/>
          <w:vertAlign w:val="subscript"/>
          <w:lang w:eastAsia="en-AU"/>
        </w:rPr>
        <w:t>8</w:t>
      </w:r>
      <w:r w:rsidRPr="00524EEA">
        <w:rPr>
          <w:rFonts w:cs="Arial"/>
          <w:lang w:eastAsia="en-AU"/>
        </w:rPr>
        <w:t>O</w:t>
      </w:r>
      <w:r w:rsidRPr="00524EEA">
        <w:rPr>
          <w:rFonts w:cs="Arial"/>
          <w:vertAlign w:val="subscript"/>
          <w:lang w:eastAsia="en-AU"/>
        </w:rPr>
        <w:t>2</w:t>
      </w:r>
      <w:r w:rsidRPr="00524EEA">
        <w:rPr>
          <w:rFonts w:cs="Arial"/>
          <w:lang w:eastAsia="en-AU"/>
        </w:rPr>
        <w:t xml:space="preserve"> •H</w:t>
      </w:r>
      <w:r w:rsidRPr="00524EEA">
        <w:rPr>
          <w:rFonts w:cs="Arial"/>
          <w:vertAlign w:val="subscript"/>
          <w:lang w:eastAsia="en-AU"/>
        </w:rPr>
        <w:t>2</w:t>
      </w:r>
      <w:r w:rsidRPr="00524EEA">
        <w:rPr>
          <w:rFonts w:cs="Arial"/>
          <w:lang w:eastAsia="en-AU"/>
        </w:rPr>
        <w:t>O</w:t>
      </w:r>
    </w:p>
    <w:p w14:paraId="6DB31D03" w14:textId="77777777" w:rsidR="00705393" w:rsidRPr="00524EEA" w:rsidRDefault="00705393" w:rsidP="00705393">
      <w:pPr>
        <w:autoSpaceDE w:val="0"/>
        <w:autoSpaceDN w:val="0"/>
        <w:adjustRightInd w:val="0"/>
        <w:spacing w:after="0" w:line="280" w:lineRule="exact"/>
        <w:rPr>
          <w:rFonts w:cs="Arial"/>
          <w:lang w:eastAsia="en-AU"/>
        </w:rPr>
      </w:pPr>
      <w:bookmarkStart w:id="133" w:name="_GoBack"/>
      <w:bookmarkEnd w:id="133"/>
    </w:p>
    <w:p w14:paraId="0B6CFBB2" w14:textId="73F576C2" w:rsidR="00705393" w:rsidRPr="00524EEA" w:rsidRDefault="00705393" w:rsidP="00705393">
      <w:pPr>
        <w:spacing w:line="280" w:lineRule="exact"/>
        <w:rPr>
          <w:rFonts w:cs="Arial"/>
        </w:rPr>
      </w:pPr>
      <w:r w:rsidRPr="00524EEA">
        <w:rPr>
          <w:rFonts w:cs="Arial"/>
          <w:i/>
          <w:lang w:eastAsia="en-AU"/>
        </w:rPr>
        <w:t>Molecular weight</w:t>
      </w:r>
      <w:r w:rsidRPr="00524EEA">
        <w:rPr>
          <w:rFonts w:cs="Arial"/>
          <w:lang w:eastAsia="en-AU"/>
        </w:rPr>
        <w:t xml:space="preserve">: </w:t>
      </w:r>
      <w:r w:rsidR="009E4AAD" w:rsidRPr="00524EEA">
        <w:rPr>
          <w:rFonts w:cs="Arial"/>
          <w:lang w:eastAsia="en-AU"/>
        </w:rPr>
        <w:tab/>
      </w:r>
      <w:r w:rsidRPr="00524EEA">
        <w:rPr>
          <w:rFonts w:cs="Arial"/>
          <w:lang w:eastAsia="en-AU"/>
        </w:rPr>
        <w:t>502.98</w:t>
      </w:r>
    </w:p>
    <w:p w14:paraId="056E9383" w14:textId="70F3443A" w:rsidR="00705393" w:rsidRPr="00524EEA" w:rsidRDefault="00705393" w:rsidP="00705393">
      <w:pPr>
        <w:spacing w:line="280" w:lineRule="exact"/>
        <w:rPr>
          <w:rFonts w:cs="Arial"/>
        </w:rPr>
      </w:pPr>
      <w:r w:rsidRPr="00524EEA">
        <w:rPr>
          <w:rFonts w:cs="Arial"/>
          <w:i/>
        </w:rPr>
        <w:t>CAS Number</w:t>
      </w:r>
      <w:r w:rsidRPr="00524EEA">
        <w:rPr>
          <w:rFonts w:cs="Arial"/>
        </w:rPr>
        <w:t xml:space="preserve">: </w:t>
      </w:r>
      <w:r w:rsidRPr="00524EEA">
        <w:rPr>
          <w:rFonts w:cs="Arial"/>
        </w:rPr>
        <w:tab/>
      </w:r>
      <w:r w:rsidR="009E4AAD" w:rsidRPr="00524EEA">
        <w:rPr>
          <w:rFonts w:cs="Arial"/>
        </w:rPr>
        <w:tab/>
      </w:r>
      <w:r w:rsidRPr="00524EEA">
        <w:rPr>
          <w:rFonts w:cs="Arial"/>
        </w:rPr>
        <w:t>960404-48-2</w:t>
      </w:r>
    </w:p>
    <w:p w14:paraId="7E1DA97B" w14:textId="77777777" w:rsidR="001A3992" w:rsidRPr="00524EEA" w:rsidRDefault="001A3992" w:rsidP="001A3992">
      <w:pPr>
        <w:pStyle w:val="Heading1"/>
        <w:spacing w:before="0" w:after="120"/>
      </w:pPr>
      <w:r w:rsidRPr="00524EEA">
        <w:t>Medicine schedule (Poisons Standard)</w:t>
      </w:r>
    </w:p>
    <w:p w14:paraId="52FBC9EB" w14:textId="163465FA" w:rsidR="00705393" w:rsidRPr="00524EEA" w:rsidRDefault="00705393" w:rsidP="00705393">
      <w:r w:rsidRPr="00524EEA">
        <w:t>Schedule 4</w:t>
      </w:r>
      <w:r w:rsidR="007F22FD" w:rsidRPr="00524EEA">
        <w:t xml:space="preserve"> - Prescription Only M</w:t>
      </w:r>
      <w:r w:rsidR="007D2403" w:rsidRPr="00524EEA">
        <w:t>edicine</w:t>
      </w:r>
    </w:p>
    <w:p w14:paraId="207E2E7D" w14:textId="77777777" w:rsidR="001A3992" w:rsidRPr="00524EEA" w:rsidRDefault="001A3992" w:rsidP="001A3992">
      <w:pPr>
        <w:pStyle w:val="Heading1"/>
        <w:spacing w:before="0" w:after="120"/>
      </w:pPr>
      <w:r w:rsidRPr="00524EEA">
        <w:t>Sponsor</w:t>
      </w:r>
    </w:p>
    <w:p w14:paraId="23CA3D64" w14:textId="77777777" w:rsidR="00705393" w:rsidRPr="00524EEA" w:rsidRDefault="00705393" w:rsidP="00705393">
      <w:r w:rsidRPr="00524EEA">
        <w:t>AstraZeneca Pty Ltd</w:t>
      </w:r>
      <w:r w:rsidRPr="00524EEA">
        <w:br/>
        <w:t>ABN 54 009 682 311</w:t>
      </w:r>
      <w:r w:rsidRPr="00524EEA">
        <w:br/>
        <w:t>66 Talavera Road</w:t>
      </w:r>
      <w:r w:rsidRPr="00524EEA">
        <w:br/>
        <w:t>MACQUARIE PARK NSW 2113</w:t>
      </w:r>
    </w:p>
    <w:p w14:paraId="20A1DFD9" w14:textId="77777777" w:rsidR="00705393" w:rsidRPr="00524EEA" w:rsidRDefault="00705393" w:rsidP="00705393">
      <w:r w:rsidRPr="00524EEA">
        <w:t>Telephone: 1800 805 342</w:t>
      </w:r>
    </w:p>
    <w:p w14:paraId="7D155C59" w14:textId="77777777" w:rsidR="001A3992" w:rsidRPr="00524EEA" w:rsidRDefault="001A3992" w:rsidP="001A3992">
      <w:pPr>
        <w:pStyle w:val="Heading1"/>
        <w:spacing w:before="0" w:after="120"/>
      </w:pPr>
      <w:r w:rsidRPr="00524EEA">
        <w:t xml:space="preserve">Date of first </w:t>
      </w:r>
      <w:r w:rsidR="00937B9E" w:rsidRPr="00524EEA">
        <w:t>approval</w:t>
      </w:r>
    </w:p>
    <w:p w14:paraId="3784BE57" w14:textId="77777777" w:rsidR="00937B9E" w:rsidRPr="00524EEA" w:rsidRDefault="00937B9E" w:rsidP="00937B9E">
      <w:r w:rsidRPr="00524EEA">
        <w:t>22 October 2012</w:t>
      </w:r>
    </w:p>
    <w:p w14:paraId="7A86DAC1" w14:textId="77777777" w:rsidR="001A3992" w:rsidRPr="00524EEA" w:rsidRDefault="001A3992" w:rsidP="001A3992">
      <w:pPr>
        <w:pStyle w:val="Heading1"/>
        <w:spacing w:before="0" w:after="120"/>
      </w:pPr>
      <w:r w:rsidRPr="00524EEA">
        <w:t xml:space="preserve">Date of revision </w:t>
      </w:r>
    </w:p>
    <w:p w14:paraId="24594068" w14:textId="201A0C14" w:rsidR="00B931B3" w:rsidRDefault="00731DB4" w:rsidP="00731DB4">
      <w:r>
        <w:t>5 November 2020</w:t>
      </w:r>
    </w:p>
    <w:p w14:paraId="794883E8" w14:textId="77777777" w:rsidR="00731DB4" w:rsidRDefault="00731DB4" w:rsidP="001A3992">
      <w:pPr>
        <w:pStyle w:val="Heading2"/>
        <w:numPr>
          <w:ilvl w:val="0"/>
          <w:numId w:val="0"/>
        </w:numPr>
        <w:spacing w:before="0" w:after="120"/>
      </w:pPr>
    </w:p>
    <w:p w14:paraId="1C3FEEF7" w14:textId="1F902E2F" w:rsidR="001A3992" w:rsidRPr="00524EEA" w:rsidRDefault="001A3992" w:rsidP="001A3992">
      <w:pPr>
        <w:pStyle w:val="Heading2"/>
        <w:numPr>
          <w:ilvl w:val="0"/>
          <w:numId w:val="0"/>
        </w:numPr>
        <w:spacing w:before="0" w:after="120"/>
      </w:pPr>
      <w:r w:rsidRPr="00524EEA">
        <w:t>Summary table of changes</w:t>
      </w:r>
    </w:p>
    <w:tbl>
      <w:tblPr>
        <w:tblStyle w:val="LightGrid"/>
        <w:tblW w:w="0" w:type="auto"/>
        <w:tblCellMar>
          <w:top w:w="57" w:type="dxa"/>
          <w:bottom w:w="57" w:type="dxa"/>
        </w:tblCellMar>
        <w:tblLook w:val="06A0" w:firstRow="1" w:lastRow="0" w:firstColumn="1" w:lastColumn="0" w:noHBand="1" w:noVBand="1"/>
      </w:tblPr>
      <w:tblGrid>
        <w:gridCol w:w="1370"/>
        <w:gridCol w:w="7636"/>
      </w:tblGrid>
      <w:tr w:rsidR="00ED0937" w:rsidRPr="00524EEA" w14:paraId="157B324A" w14:textId="77777777" w:rsidTr="00984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shd w:val="clear" w:color="auto" w:fill="FFFFFF" w:themeFill="background1"/>
            <w:vAlign w:val="center"/>
          </w:tcPr>
          <w:p w14:paraId="5BBF32D3" w14:textId="77777777" w:rsidR="00ED0937" w:rsidRPr="00524EEA" w:rsidRDefault="00ED0937" w:rsidP="00357B0D">
            <w:pPr>
              <w:rPr>
                <w:szCs w:val="24"/>
              </w:rPr>
            </w:pPr>
            <w:r w:rsidRPr="00524EEA">
              <w:rPr>
                <w:szCs w:val="24"/>
              </w:rPr>
              <w:t>Section Changed</w:t>
            </w:r>
          </w:p>
        </w:tc>
        <w:tc>
          <w:tcPr>
            <w:tcW w:w="7636" w:type="dxa"/>
            <w:shd w:val="clear" w:color="auto" w:fill="FFFFFF" w:themeFill="background1"/>
            <w:vAlign w:val="center"/>
          </w:tcPr>
          <w:p w14:paraId="510DB23A" w14:textId="77777777" w:rsidR="00ED0937" w:rsidRPr="00524EEA" w:rsidRDefault="00ED0937" w:rsidP="00357B0D">
            <w:pPr>
              <w:cnfStyle w:val="100000000000" w:firstRow="1" w:lastRow="0" w:firstColumn="0" w:lastColumn="0" w:oddVBand="0" w:evenVBand="0" w:oddHBand="0" w:evenHBand="0" w:firstRowFirstColumn="0" w:firstRowLastColumn="0" w:lastRowFirstColumn="0" w:lastRowLastColumn="0"/>
              <w:rPr>
                <w:szCs w:val="24"/>
              </w:rPr>
            </w:pPr>
            <w:r w:rsidRPr="00524EEA">
              <w:rPr>
                <w:szCs w:val="24"/>
              </w:rPr>
              <w:t>Summary of new information</w:t>
            </w:r>
          </w:p>
        </w:tc>
      </w:tr>
      <w:tr w:rsidR="00503C7C" w:rsidRPr="00524EEA" w14:paraId="55E2AD3D" w14:textId="77777777" w:rsidTr="00184DF7">
        <w:tblPrEx>
          <w:tblCellMar>
            <w:top w:w="0" w:type="dxa"/>
            <w:bottom w:w="0"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shd w:val="clear" w:color="auto" w:fill="auto"/>
          </w:tcPr>
          <w:p w14:paraId="55BAA3A8" w14:textId="0FC08E93" w:rsidR="00503C7C" w:rsidRPr="00524EEA" w:rsidDel="00184DF7" w:rsidRDefault="00503C7C" w:rsidP="00503C7C">
            <w:pPr>
              <w:rPr>
                <w:rFonts w:eastAsia="Times New Roman" w:cs="Times New Roman"/>
                <w:b w:val="0"/>
                <w:szCs w:val="24"/>
                <w:lang w:eastAsia="en-AU"/>
              </w:rPr>
            </w:pPr>
            <w:r w:rsidRPr="00524EEA">
              <w:rPr>
                <w:rFonts w:eastAsia="Times New Roman" w:cs="Times New Roman"/>
                <w:b w:val="0"/>
                <w:szCs w:val="24"/>
                <w:lang w:eastAsia="en-AU"/>
              </w:rPr>
              <w:t>4.1</w:t>
            </w:r>
          </w:p>
        </w:tc>
        <w:tc>
          <w:tcPr>
            <w:tcW w:w="7636" w:type="dxa"/>
            <w:shd w:val="clear" w:color="auto" w:fill="auto"/>
          </w:tcPr>
          <w:p w14:paraId="74254C07" w14:textId="692A4EC7" w:rsidR="00503C7C" w:rsidRPr="00524EEA" w:rsidDel="00184DF7" w:rsidRDefault="00503C7C" w:rsidP="00503C7C">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n-AU"/>
              </w:rPr>
            </w:pPr>
            <w:r w:rsidRPr="00524EEA">
              <w:rPr>
                <w:rFonts w:eastAsia="Times New Roman" w:cs="Times New Roman"/>
                <w:szCs w:val="24"/>
                <w:lang w:eastAsia="en-AU"/>
              </w:rPr>
              <w:t>Extension of indications as per DAPA-HF study</w:t>
            </w:r>
          </w:p>
        </w:tc>
      </w:tr>
      <w:tr w:rsidR="00503C7C" w:rsidRPr="00524EEA" w14:paraId="4F85EC7C" w14:textId="77777777" w:rsidTr="00184DF7">
        <w:tblPrEx>
          <w:tblCellMar>
            <w:top w:w="0" w:type="dxa"/>
            <w:bottom w:w="0" w:type="dxa"/>
          </w:tblCellMar>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shd w:val="clear" w:color="auto" w:fill="auto"/>
          </w:tcPr>
          <w:p w14:paraId="177BC74B" w14:textId="2C0F428D" w:rsidR="00503C7C" w:rsidRPr="00524EEA" w:rsidDel="00184DF7" w:rsidRDefault="00503C7C" w:rsidP="00503C7C">
            <w:pPr>
              <w:rPr>
                <w:rFonts w:eastAsia="Times New Roman" w:cs="Times New Roman"/>
                <w:b w:val="0"/>
                <w:szCs w:val="24"/>
                <w:lang w:eastAsia="en-AU"/>
              </w:rPr>
            </w:pPr>
            <w:r w:rsidRPr="00524EEA">
              <w:rPr>
                <w:rFonts w:eastAsia="Times New Roman" w:cs="Times New Roman"/>
                <w:b w:val="0"/>
                <w:szCs w:val="24"/>
                <w:lang w:eastAsia="en-AU"/>
              </w:rPr>
              <w:t>4.2</w:t>
            </w:r>
          </w:p>
        </w:tc>
        <w:tc>
          <w:tcPr>
            <w:tcW w:w="7636" w:type="dxa"/>
            <w:shd w:val="clear" w:color="auto" w:fill="auto"/>
          </w:tcPr>
          <w:p w14:paraId="02995607" w14:textId="5938CD43" w:rsidR="00503C7C" w:rsidRPr="00524EEA" w:rsidDel="00184DF7" w:rsidRDefault="00503C7C" w:rsidP="00503C7C">
            <w:pPr>
              <w:cnfStyle w:val="000000010000" w:firstRow="0" w:lastRow="0" w:firstColumn="0" w:lastColumn="0" w:oddVBand="0" w:evenVBand="0" w:oddHBand="0" w:evenHBand="1" w:firstRowFirstColumn="0" w:firstRowLastColumn="0" w:lastRowFirstColumn="0" w:lastRowLastColumn="0"/>
              <w:rPr>
                <w:rFonts w:eastAsia="Times New Roman" w:cs="Times New Roman"/>
                <w:szCs w:val="24"/>
                <w:lang w:eastAsia="en-AU"/>
              </w:rPr>
            </w:pPr>
            <w:r w:rsidRPr="00524EEA">
              <w:rPr>
                <w:rFonts w:eastAsia="Times New Roman" w:cs="Times New Roman"/>
                <w:szCs w:val="24"/>
                <w:lang w:eastAsia="en-AU"/>
              </w:rPr>
              <w:t>Updated section based on DAPA-HF data</w:t>
            </w:r>
          </w:p>
        </w:tc>
      </w:tr>
      <w:tr w:rsidR="00503C7C" w:rsidRPr="00524EEA" w14:paraId="1A20BDB2" w14:textId="77777777" w:rsidTr="00D02424">
        <w:tblPrEx>
          <w:tblCellMar>
            <w:top w:w="0" w:type="dxa"/>
            <w:bottom w:w="0"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shd w:val="clear" w:color="auto" w:fill="auto"/>
          </w:tcPr>
          <w:p w14:paraId="4E67C2EE" w14:textId="1008A7B8" w:rsidR="00503C7C" w:rsidRPr="00524EEA" w:rsidRDefault="00503C7C" w:rsidP="00503C7C">
            <w:pPr>
              <w:rPr>
                <w:rFonts w:eastAsia="Times New Roman" w:cs="Times New Roman"/>
                <w:b w:val="0"/>
                <w:szCs w:val="24"/>
                <w:lang w:eastAsia="en-AU"/>
              </w:rPr>
            </w:pPr>
            <w:r w:rsidRPr="00524EEA">
              <w:rPr>
                <w:rFonts w:eastAsia="Times New Roman" w:cs="Times New Roman"/>
                <w:b w:val="0"/>
                <w:szCs w:val="24"/>
                <w:lang w:eastAsia="en-AU"/>
              </w:rPr>
              <w:t>4.4</w:t>
            </w:r>
          </w:p>
        </w:tc>
        <w:tc>
          <w:tcPr>
            <w:tcW w:w="7636" w:type="dxa"/>
            <w:shd w:val="clear" w:color="auto" w:fill="auto"/>
          </w:tcPr>
          <w:p w14:paraId="7DAE1320" w14:textId="6CECE89C" w:rsidR="00503C7C" w:rsidRPr="00524EEA" w:rsidRDefault="00503C7C" w:rsidP="00503C7C">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n-AU"/>
              </w:rPr>
            </w:pPr>
            <w:r w:rsidRPr="00524EEA">
              <w:rPr>
                <w:rFonts w:eastAsia="Times New Roman" w:cs="Times New Roman"/>
                <w:szCs w:val="24"/>
                <w:lang w:eastAsia="en-AU"/>
              </w:rPr>
              <w:t>Updated section to include additional heading</w:t>
            </w:r>
            <w:r w:rsidR="002E2957" w:rsidRPr="00524EEA">
              <w:rPr>
                <w:rFonts w:eastAsia="Times New Roman" w:cs="Times New Roman"/>
                <w:szCs w:val="24"/>
                <w:lang w:eastAsia="en-AU"/>
              </w:rPr>
              <w:t>s</w:t>
            </w:r>
            <w:r w:rsidRPr="00524EEA">
              <w:rPr>
                <w:rFonts w:eastAsia="Times New Roman" w:cs="Times New Roman"/>
                <w:szCs w:val="24"/>
                <w:lang w:eastAsia="en-AU"/>
              </w:rPr>
              <w:t xml:space="preserve"> </w:t>
            </w:r>
            <w:r w:rsidR="00052952" w:rsidRPr="00524EEA">
              <w:rPr>
                <w:rFonts w:eastAsia="Times New Roman" w:cs="Times New Roman"/>
                <w:szCs w:val="24"/>
                <w:lang w:eastAsia="en-AU"/>
              </w:rPr>
              <w:t>for</w:t>
            </w:r>
            <w:r w:rsidRPr="00524EEA">
              <w:rPr>
                <w:rFonts w:eastAsia="Times New Roman" w:cs="Times New Roman"/>
                <w:szCs w:val="24"/>
                <w:lang w:eastAsia="en-AU"/>
              </w:rPr>
              <w:t xml:space="preserve"> clarity</w:t>
            </w:r>
          </w:p>
        </w:tc>
      </w:tr>
      <w:tr w:rsidR="00503C7C" w:rsidRPr="00524EEA" w14:paraId="5E2E23AC" w14:textId="77777777" w:rsidTr="00D02424">
        <w:tblPrEx>
          <w:tblCellMar>
            <w:top w:w="0" w:type="dxa"/>
            <w:bottom w:w="0" w:type="dxa"/>
          </w:tblCellMar>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shd w:val="clear" w:color="auto" w:fill="auto"/>
          </w:tcPr>
          <w:p w14:paraId="0A4BC9F7" w14:textId="54290B1C" w:rsidR="00503C7C" w:rsidRPr="00524EEA" w:rsidRDefault="00503C7C" w:rsidP="00503C7C">
            <w:pPr>
              <w:rPr>
                <w:rFonts w:eastAsia="Times New Roman" w:cs="Times New Roman"/>
                <w:b w:val="0"/>
                <w:szCs w:val="24"/>
                <w:lang w:eastAsia="en-AU"/>
              </w:rPr>
            </w:pPr>
            <w:r w:rsidRPr="00524EEA">
              <w:rPr>
                <w:rFonts w:eastAsia="Times New Roman" w:cs="Times New Roman"/>
                <w:b w:val="0"/>
                <w:szCs w:val="24"/>
                <w:lang w:eastAsia="en-AU"/>
              </w:rPr>
              <w:t>4.8</w:t>
            </w:r>
          </w:p>
        </w:tc>
        <w:tc>
          <w:tcPr>
            <w:tcW w:w="7636" w:type="dxa"/>
            <w:shd w:val="clear" w:color="auto" w:fill="auto"/>
          </w:tcPr>
          <w:p w14:paraId="188FC2BA" w14:textId="6B91FEF2" w:rsidR="00503C7C" w:rsidRPr="00524EEA" w:rsidRDefault="00503C7C" w:rsidP="00503C7C">
            <w:pPr>
              <w:cnfStyle w:val="000000010000" w:firstRow="0" w:lastRow="0" w:firstColumn="0" w:lastColumn="0" w:oddVBand="0" w:evenVBand="0" w:oddHBand="0" w:evenHBand="1" w:firstRowFirstColumn="0" w:firstRowLastColumn="0" w:lastRowFirstColumn="0" w:lastRowLastColumn="0"/>
              <w:rPr>
                <w:rFonts w:eastAsia="Times New Roman" w:cs="Times New Roman"/>
                <w:szCs w:val="24"/>
                <w:lang w:eastAsia="en-AU"/>
              </w:rPr>
            </w:pPr>
            <w:r w:rsidRPr="00524EEA">
              <w:rPr>
                <w:rFonts w:eastAsia="Times New Roman" w:cs="Times New Roman"/>
                <w:szCs w:val="24"/>
                <w:lang w:eastAsia="en-AU"/>
              </w:rPr>
              <w:t>Updated section to include DAPA-HF data</w:t>
            </w:r>
          </w:p>
        </w:tc>
      </w:tr>
      <w:tr w:rsidR="00503C7C" w:rsidRPr="00524EEA" w14:paraId="10D4906C" w14:textId="77777777" w:rsidTr="00D02424">
        <w:tblPrEx>
          <w:tblCellMar>
            <w:top w:w="0" w:type="dxa"/>
            <w:bottom w:w="0"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shd w:val="clear" w:color="auto" w:fill="auto"/>
          </w:tcPr>
          <w:p w14:paraId="51387663" w14:textId="73AC27BD" w:rsidR="00503C7C" w:rsidRPr="00524EEA" w:rsidRDefault="00503C7C" w:rsidP="00503C7C">
            <w:pPr>
              <w:rPr>
                <w:rFonts w:eastAsia="Times New Roman" w:cs="Times New Roman"/>
                <w:b w:val="0"/>
                <w:szCs w:val="24"/>
                <w:lang w:eastAsia="en-AU"/>
              </w:rPr>
            </w:pPr>
            <w:r w:rsidRPr="00524EEA">
              <w:rPr>
                <w:rFonts w:eastAsia="Times New Roman" w:cs="Times New Roman"/>
                <w:b w:val="0"/>
                <w:szCs w:val="24"/>
                <w:lang w:eastAsia="en-AU"/>
              </w:rPr>
              <w:t>5</w:t>
            </w:r>
          </w:p>
        </w:tc>
        <w:tc>
          <w:tcPr>
            <w:tcW w:w="7636" w:type="dxa"/>
            <w:shd w:val="clear" w:color="auto" w:fill="auto"/>
          </w:tcPr>
          <w:p w14:paraId="7E229C56" w14:textId="5A4E1B90" w:rsidR="00503C7C" w:rsidRPr="00524EEA" w:rsidRDefault="00503C7C" w:rsidP="00503C7C">
            <w:pP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n-AU"/>
              </w:rPr>
            </w:pPr>
            <w:r w:rsidRPr="00524EEA">
              <w:rPr>
                <w:rFonts w:eastAsia="Times New Roman" w:cs="Times New Roman"/>
                <w:szCs w:val="24"/>
                <w:lang w:eastAsia="en-AU"/>
              </w:rPr>
              <w:t>Updated section with clinical data from DAPA-HF and some minor corrections</w:t>
            </w:r>
          </w:p>
        </w:tc>
      </w:tr>
    </w:tbl>
    <w:p w14:paraId="43509E98" w14:textId="541FB139" w:rsidR="001A3992" w:rsidRPr="00524EEA" w:rsidRDefault="001A3992" w:rsidP="001A3992">
      <w:pPr>
        <w:spacing w:after="120"/>
      </w:pPr>
    </w:p>
    <w:p w14:paraId="5CFA8B69" w14:textId="010566B3" w:rsidR="00B83475" w:rsidRPr="00524EEA" w:rsidRDefault="00B83475" w:rsidP="00B83475">
      <w:pPr>
        <w:rPr>
          <w:bCs/>
          <w:sz w:val="22"/>
        </w:rPr>
      </w:pPr>
      <w:r w:rsidRPr="00524EEA">
        <w:rPr>
          <w:bCs/>
          <w:sz w:val="22"/>
        </w:rPr>
        <w:t>FORXIGA is a registered trademark of the AstraZeneca group of companies</w:t>
      </w:r>
      <w:r w:rsidR="00F04CFE" w:rsidRPr="00524EEA">
        <w:rPr>
          <w:bCs/>
          <w:sz w:val="22"/>
        </w:rPr>
        <w:t>.</w:t>
      </w:r>
    </w:p>
    <w:p w14:paraId="5EDEA87A" w14:textId="694531BE" w:rsidR="00B83475" w:rsidRPr="00524EEA" w:rsidRDefault="00B83475" w:rsidP="00B83475">
      <w:pPr>
        <w:pStyle w:val="Paragraph"/>
        <w:rPr>
          <w:sz w:val="22"/>
          <w:szCs w:val="22"/>
          <w:lang w:val="en-AU"/>
        </w:rPr>
      </w:pPr>
      <w:r w:rsidRPr="00524EEA">
        <w:rPr>
          <w:sz w:val="22"/>
          <w:szCs w:val="22"/>
          <w:vertAlign w:val="superscript"/>
          <w:lang w:val="en-AU"/>
        </w:rPr>
        <w:t>©</w:t>
      </w:r>
      <w:r w:rsidRPr="00524EEA">
        <w:rPr>
          <w:sz w:val="22"/>
          <w:szCs w:val="22"/>
          <w:lang w:val="en-AU"/>
        </w:rPr>
        <w:t xml:space="preserve">AstraZeneca, </w:t>
      </w:r>
      <w:r w:rsidR="00B31C55" w:rsidRPr="00524EEA">
        <w:rPr>
          <w:sz w:val="22"/>
          <w:szCs w:val="22"/>
          <w:lang w:val="en-AU"/>
        </w:rPr>
        <w:t>2020</w:t>
      </w:r>
    </w:p>
    <w:p w14:paraId="3B08F69F" w14:textId="60CE2537" w:rsidR="007A64CC" w:rsidRPr="001552CF" w:rsidRDefault="00731DB4" w:rsidP="000465D2">
      <w:pPr>
        <w:spacing w:after="120"/>
        <w:rPr>
          <w:szCs w:val="24"/>
        </w:rPr>
      </w:pPr>
      <w:r w:rsidRPr="00731DB4">
        <w:rPr>
          <w:bCs/>
          <w:sz w:val="22"/>
        </w:rPr>
        <w:t>Doc ID-002319654</w:t>
      </w:r>
      <w:r w:rsidR="00052952" w:rsidRPr="00B931B3">
        <w:rPr>
          <w:bCs/>
          <w:sz w:val="22"/>
        </w:rPr>
        <w:t xml:space="preserve"> </w:t>
      </w:r>
      <w:r w:rsidR="00A36E84" w:rsidRPr="00B931B3">
        <w:rPr>
          <w:bCs/>
          <w:sz w:val="22"/>
        </w:rPr>
        <w:t>v</w:t>
      </w:r>
      <w:r>
        <w:rPr>
          <w:bCs/>
          <w:sz w:val="22"/>
        </w:rPr>
        <w:t>1</w:t>
      </w:r>
      <w:r w:rsidR="00863D2A">
        <w:rPr>
          <w:bCs/>
          <w:sz w:val="22"/>
        </w:rPr>
        <w:t>4</w:t>
      </w:r>
      <w:r w:rsidR="00A36E84" w:rsidRPr="00B931B3">
        <w:rPr>
          <w:bCs/>
          <w:sz w:val="22"/>
        </w:rPr>
        <w:t>.0</w:t>
      </w:r>
    </w:p>
    <w:sectPr w:rsidR="007A64CC" w:rsidRPr="001552CF" w:rsidSect="00220DDA">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BCF31" w14:textId="77777777" w:rsidR="008C1F52" w:rsidRDefault="008C1F52" w:rsidP="001A3992">
      <w:pPr>
        <w:spacing w:after="0" w:line="240" w:lineRule="auto"/>
      </w:pPr>
      <w:r>
        <w:separator/>
      </w:r>
    </w:p>
    <w:p w14:paraId="74F862D7" w14:textId="77777777" w:rsidR="008C1F52" w:rsidRDefault="008C1F52"/>
  </w:endnote>
  <w:endnote w:type="continuationSeparator" w:id="0">
    <w:p w14:paraId="02EAB86B" w14:textId="77777777" w:rsidR="008C1F52" w:rsidRDefault="008C1F52" w:rsidP="001A3992">
      <w:pPr>
        <w:spacing w:after="0" w:line="240" w:lineRule="auto"/>
      </w:pPr>
      <w:r>
        <w:continuationSeparator/>
      </w:r>
    </w:p>
    <w:p w14:paraId="01B18DC2" w14:textId="77777777" w:rsidR="008C1F52" w:rsidRDefault="008C1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Italic">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w:panose1 w:val="00000000000000000000"/>
    <w:charset w:val="80"/>
    <w:family w:val="auto"/>
    <w:notTrueType/>
    <w:pitch w:val="default"/>
    <w:sig w:usb0="00000003" w:usb1="08070000" w:usb2="00000010" w:usb3="00000000" w:csb0="00020001" w:csb1="00000000"/>
  </w:font>
  <w:font w:name="TimesNewRoman,BoldItalic">
    <w:altName w:val="Yu Goth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AB4D3" w14:textId="77777777" w:rsidR="006932B6" w:rsidRDefault="00693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960450"/>
      <w:docPartObj>
        <w:docPartGallery w:val="Page Numbers (Bottom of Page)"/>
        <w:docPartUnique/>
      </w:docPartObj>
    </w:sdtPr>
    <w:sdtEndPr>
      <w:rPr>
        <w:noProof/>
        <w:sz w:val="20"/>
      </w:rPr>
    </w:sdtEndPr>
    <w:sdtContent>
      <w:p w14:paraId="57A83D37" w14:textId="77777777" w:rsidR="00B8499E" w:rsidRDefault="00B8499E" w:rsidP="00357B0D">
        <w:pPr>
          <w:pStyle w:val="Footer"/>
          <w:jc w:val="right"/>
        </w:pPr>
      </w:p>
      <w:p w14:paraId="4D568B6E" w14:textId="61F553B1" w:rsidR="00B8499E" w:rsidRPr="00B8074A" w:rsidRDefault="00B8499E" w:rsidP="00357B0D">
        <w:pPr>
          <w:pStyle w:val="Footer"/>
          <w:jc w:val="right"/>
          <w:rPr>
            <w:sz w:val="20"/>
          </w:rPr>
        </w:pPr>
        <w:r w:rsidRPr="004B2CA3">
          <w:rPr>
            <w:rFonts w:ascii="Times New Roman" w:hAnsi="Times New Roman" w:cs="Times New Roman"/>
            <w:sz w:val="20"/>
          </w:rPr>
          <w:fldChar w:fldCharType="begin"/>
        </w:r>
        <w:r w:rsidRPr="004B2CA3">
          <w:rPr>
            <w:rFonts w:ascii="Times New Roman" w:hAnsi="Times New Roman" w:cs="Times New Roman"/>
            <w:sz w:val="20"/>
          </w:rPr>
          <w:instrText xml:space="preserve"> PAGE   \* MERGEFORMAT </w:instrText>
        </w:r>
        <w:r w:rsidRPr="004B2CA3">
          <w:rPr>
            <w:rFonts w:ascii="Times New Roman" w:hAnsi="Times New Roman" w:cs="Times New Roman"/>
            <w:sz w:val="20"/>
          </w:rPr>
          <w:fldChar w:fldCharType="separate"/>
        </w:r>
        <w:r w:rsidR="006932B6">
          <w:rPr>
            <w:rFonts w:ascii="Times New Roman" w:hAnsi="Times New Roman" w:cs="Times New Roman"/>
            <w:noProof/>
            <w:sz w:val="20"/>
          </w:rPr>
          <w:t>54</w:t>
        </w:r>
        <w:r w:rsidRPr="004B2CA3">
          <w:rPr>
            <w:rFonts w:ascii="Times New Roman" w:hAnsi="Times New Roman" w:cs="Times New Roman"/>
            <w:noProof/>
            <w:sz w:val="20"/>
          </w:rPr>
          <w:fldChar w:fldCharType="end"/>
        </w:r>
        <w:r w:rsidRPr="004B2CA3">
          <w:rPr>
            <w:rFonts w:ascii="Times New Roman" w:hAnsi="Times New Roman" w:cs="Times New Roman"/>
            <w:noProof/>
            <w:sz w:val="20"/>
          </w:rPr>
          <w:t>(</w:t>
        </w:r>
        <w:r w:rsidRPr="004B2CA3">
          <w:rPr>
            <w:rStyle w:val="PageNumber"/>
            <w:rFonts w:ascii="Times New Roman" w:hAnsi="Times New Roman" w:cs="Times New Roman"/>
          </w:rPr>
          <w:fldChar w:fldCharType="begin"/>
        </w:r>
        <w:r w:rsidRPr="004B2CA3">
          <w:rPr>
            <w:rStyle w:val="PageNumber"/>
            <w:rFonts w:ascii="Times New Roman" w:hAnsi="Times New Roman" w:cs="Times New Roman"/>
          </w:rPr>
          <w:instrText xml:space="preserve"> NUMPAGES </w:instrText>
        </w:r>
        <w:r w:rsidRPr="004B2CA3">
          <w:rPr>
            <w:rStyle w:val="PageNumber"/>
            <w:rFonts w:ascii="Times New Roman" w:hAnsi="Times New Roman" w:cs="Times New Roman"/>
          </w:rPr>
          <w:fldChar w:fldCharType="separate"/>
        </w:r>
        <w:r w:rsidR="006932B6">
          <w:rPr>
            <w:rStyle w:val="PageNumber"/>
            <w:rFonts w:ascii="Times New Roman" w:hAnsi="Times New Roman" w:cs="Times New Roman"/>
            <w:noProof/>
          </w:rPr>
          <w:t>54</w:t>
        </w:r>
        <w:r w:rsidRPr="004B2CA3">
          <w:rPr>
            <w:rStyle w:val="PageNumber"/>
            <w:rFonts w:ascii="Times New Roman" w:hAnsi="Times New Roman" w:cs="Times New Roman"/>
          </w:rPr>
          <w:fldChar w:fldCharType="end"/>
        </w:r>
        <w:r w:rsidRPr="004B2CA3">
          <w:rPr>
            <w:rStyle w:val="PageNumber"/>
            <w:rFonts w:ascii="Times New Roman" w:hAnsi="Times New Roman" w:cs="Times New Roman"/>
          </w:rPr>
          <w:t>)</w:t>
        </w:r>
      </w:p>
    </w:sdtContent>
  </w:sdt>
  <w:p w14:paraId="4721ADB4" w14:textId="77777777" w:rsidR="00B8499E" w:rsidRDefault="00B8499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25E5" w14:textId="77777777" w:rsidR="006932B6" w:rsidRDefault="00693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C801E" w14:textId="77777777" w:rsidR="008C1F52" w:rsidRDefault="008C1F52" w:rsidP="001A3992">
      <w:pPr>
        <w:spacing w:after="0" w:line="240" w:lineRule="auto"/>
      </w:pPr>
      <w:r>
        <w:separator/>
      </w:r>
    </w:p>
    <w:p w14:paraId="020BF0F2" w14:textId="77777777" w:rsidR="008C1F52" w:rsidRDefault="008C1F52"/>
  </w:footnote>
  <w:footnote w:type="continuationSeparator" w:id="0">
    <w:p w14:paraId="38FFDCF5" w14:textId="77777777" w:rsidR="008C1F52" w:rsidRDefault="008C1F52" w:rsidP="001A3992">
      <w:pPr>
        <w:spacing w:after="0" w:line="240" w:lineRule="auto"/>
      </w:pPr>
      <w:r>
        <w:continuationSeparator/>
      </w:r>
    </w:p>
    <w:p w14:paraId="4ACC67CA" w14:textId="77777777" w:rsidR="008C1F52" w:rsidRDefault="008C1F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993B" w14:textId="77777777" w:rsidR="006932B6" w:rsidRDefault="00693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6932B6" w:rsidRPr="000B2145" w14:paraId="48FDC173" w14:textId="77777777" w:rsidTr="0027321E">
      <w:trPr>
        <w:trHeight w:val="1012"/>
      </w:trPr>
      <w:tc>
        <w:tcPr>
          <w:tcW w:w="8897" w:type="dxa"/>
          <w:shd w:val="clear" w:color="auto" w:fill="E4F2E0"/>
        </w:tcPr>
        <w:p w14:paraId="1AA8637F" w14:textId="77777777" w:rsidR="006932B6" w:rsidRPr="000B2145" w:rsidRDefault="006932B6" w:rsidP="006932B6">
          <w:pPr>
            <w:pStyle w:val="Footer"/>
            <w:rPr>
              <w:b/>
              <w:sz w:val="18"/>
              <w:szCs w:val="18"/>
            </w:rPr>
          </w:pPr>
          <w:r w:rsidRPr="00EA0C3C">
            <w:rPr>
              <w:b/>
              <w:sz w:val="18"/>
              <w:szCs w:val="18"/>
            </w:rPr>
            <w:t>Attachment 1:</w:t>
          </w:r>
          <w:r>
            <w:t xml:space="preserve"> </w:t>
          </w:r>
          <w:r w:rsidRPr="00826280">
            <w:rPr>
              <w:b/>
            </w:rPr>
            <w:t xml:space="preserve">AusPAR - </w:t>
          </w:r>
          <w:proofErr w:type="spellStart"/>
          <w:r w:rsidRPr="00826280">
            <w:rPr>
              <w:b/>
            </w:rPr>
            <w:t>Forxiga</w:t>
          </w:r>
          <w:proofErr w:type="spellEnd"/>
          <w:r w:rsidRPr="00826280">
            <w:rPr>
              <w:b/>
            </w:rPr>
            <w:t xml:space="preserve"> – </w:t>
          </w:r>
          <w:proofErr w:type="spellStart"/>
          <w:r w:rsidRPr="00826280">
            <w:rPr>
              <w:b/>
            </w:rPr>
            <w:t>dapagliflozin</w:t>
          </w:r>
          <w:proofErr w:type="spellEnd"/>
          <w:r w:rsidRPr="00826280">
            <w:rPr>
              <w:b/>
            </w:rPr>
            <w:t xml:space="preserve"> – AstraZeneca Pty Ltd PM-2019-05370-1-3</w:t>
          </w:r>
          <w:r>
            <w:rPr>
              <w:b/>
            </w:rPr>
            <w:t xml:space="preserve"> </w:t>
          </w:r>
          <w:r w:rsidRPr="00826280">
            <w:rPr>
              <w:b/>
            </w:rPr>
            <w:t>FINAL 6 April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0B91C4A4" w14:textId="729D7379" w:rsidR="00B8499E" w:rsidRDefault="00B849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957F1" w14:textId="77777777" w:rsidR="006932B6" w:rsidRDefault="00693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1E5A"/>
    <w:multiLevelType w:val="hybridMultilevel"/>
    <w:tmpl w:val="3C62DD42"/>
    <w:lvl w:ilvl="0" w:tplc="E3EC5AA8">
      <w:numFmt w:val="bullet"/>
      <w:lvlText w:val="-"/>
      <w:lvlJc w:val="left"/>
      <w:pPr>
        <w:ind w:left="360" w:hanging="360"/>
      </w:pPr>
      <w:rPr>
        <w:rFonts w:ascii="Times New Roman" w:eastAsiaTheme="minorHAnsi" w:hAnsi="Times New Roman" w:cs="Times New Roman" w:hint="default"/>
        <w:b/>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10199"/>
    <w:multiLevelType w:val="hybridMultilevel"/>
    <w:tmpl w:val="4C388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A6986"/>
    <w:multiLevelType w:val="hybridMultilevel"/>
    <w:tmpl w:val="B5D67A2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F859D3"/>
    <w:multiLevelType w:val="hybridMultilevel"/>
    <w:tmpl w:val="B3E01CD6"/>
    <w:lvl w:ilvl="0" w:tplc="309C3124">
      <w:start w:val="1"/>
      <w:numFmt w:val="decimal"/>
      <w:lvlText w:val="%1."/>
      <w:lvlJc w:val="left"/>
      <w:pPr>
        <w:ind w:left="360" w:hanging="360"/>
      </w:pPr>
      <w:rPr>
        <w:rFonts w:ascii="Cambria-Italic" w:hAnsi="Cambria-Italic" w:cs="Cambria-Italic"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A2B4BDE"/>
    <w:multiLevelType w:val="hybridMultilevel"/>
    <w:tmpl w:val="05504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3F12EF"/>
    <w:multiLevelType w:val="hybridMultilevel"/>
    <w:tmpl w:val="FDCAF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51AE0"/>
    <w:multiLevelType w:val="hybridMultilevel"/>
    <w:tmpl w:val="16DC35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F62537"/>
    <w:multiLevelType w:val="hybridMultilevel"/>
    <w:tmpl w:val="79704AC8"/>
    <w:lvl w:ilvl="0" w:tplc="0C090001">
      <w:start w:val="1"/>
      <w:numFmt w:val="bullet"/>
      <w:lvlText w:val=""/>
      <w:lvlJc w:val="left"/>
      <w:pPr>
        <w:ind w:left="720" w:hanging="360"/>
      </w:pPr>
      <w:rPr>
        <w:rFonts w:ascii="Symbol" w:hAnsi="Symbol" w:hint="default"/>
      </w:rPr>
    </w:lvl>
    <w:lvl w:ilvl="1" w:tplc="41361CF4">
      <w:numFmt w:val="bullet"/>
      <w:lvlText w:val="-"/>
      <w:lvlJc w:val="left"/>
      <w:pPr>
        <w:ind w:left="1800" w:hanging="72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1C5018"/>
    <w:multiLevelType w:val="hybridMultilevel"/>
    <w:tmpl w:val="6A92F2A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203307"/>
    <w:multiLevelType w:val="multilevel"/>
    <w:tmpl w:val="1204A6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282A1D35"/>
    <w:multiLevelType w:val="hybridMultilevel"/>
    <w:tmpl w:val="1242C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787FE8"/>
    <w:multiLevelType w:val="hybridMultilevel"/>
    <w:tmpl w:val="D2F0F570"/>
    <w:lvl w:ilvl="0" w:tplc="91DC3596">
      <w:numFmt w:val="bullet"/>
      <w:pStyle w:val="ListParagraph"/>
      <w:lvlText w:val="-"/>
      <w:lvlJc w:val="left"/>
      <w:pPr>
        <w:ind w:left="360" w:hanging="360"/>
      </w:pPr>
      <w:rPr>
        <w:rFonts w:ascii="Times New Roman" w:eastAsiaTheme="minorHAnsi"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3092925"/>
    <w:multiLevelType w:val="hybridMultilevel"/>
    <w:tmpl w:val="3C365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641065"/>
    <w:multiLevelType w:val="hybridMultilevel"/>
    <w:tmpl w:val="2DEE7AB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43246B"/>
    <w:multiLevelType w:val="hybridMultilevel"/>
    <w:tmpl w:val="8B688B06"/>
    <w:lvl w:ilvl="0" w:tplc="4AF86B1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10F73DD"/>
    <w:multiLevelType w:val="hybridMultilevel"/>
    <w:tmpl w:val="3A06852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08623B"/>
    <w:multiLevelType w:val="hybridMultilevel"/>
    <w:tmpl w:val="66AEB0A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1B4BAE"/>
    <w:multiLevelType w:val="hybridMultilevel"/>
    <w:tmpl w:val="02B89C4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2" w15:restartNumberingAfterBreak="0">
    <w:nsid w:val="5F7A0F54"/>
    <w:multiLevelType w:val="hybridMultilevel"/>
    <w:tmpl w:val="B4F46A9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4F4044"/>
    <w:multiLevelType w:val="hybridMultilevel"/>
    <w:tmpl w:val="5DB8BB5E"/>
    <w:lvl w:ilvl="0" w:tplc="40D45684">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945C38"/>
    <w:multiLevelType w:val="hybridMultilevel"/>
    <w:tmpl w:val="66AEB0A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pStyle w:val="BMSHeading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FA15F3"/>
    <w:multiLevelType w:val="hybridMultilevel"/>
    <w:tmpl w:val="9B080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1"/>
  </w:num>
  <w:num w:numId="4">
    <w:abstractNumId w:val="20"/>
  </w:num>
  <w:num w:numId="5">
    <w:abstractNumId w:val="32"/>
  </w:num>
  <w:num w:numId="6">
    <w:abstractNumId w:val="29"/>
  </w:num>
  <w:num w:numId="7">
    <w:abstractNumId w:val="27"/>
  </w:num>
  <w:num w:numId="8">
    <w:abstractNumId w:val="30"/>
  </w:num>
  <w:num w:numId="9">
    <w:abstractNumId w:val="9"/>
  </w:num>
  <w:num w:numId="10">
    <w:abstractNumId w:val="26"/>
  </w:num>
  <w:num w:numId="11">
    <w:abstractNumId w:val="28"/>
  </w:num>
  <w:num w:numId="12">
    <w:abstractNumId w:val="12"/>
  </w:num>
  <w:num w:numId="13">
    <w:abstractNumId w:val="10"/>
  </w:num>
  <w:num w:numId="14">
    <w:abstractNumId w:val="17"/>
  </w:num>
  <w:num w:numId="15">
    <w:abstractNumId w:val="0"/>
  </w:num>
  <w:num w:numId="16">
    <w:abstractNumId w:val="14"/>
  </w:num>
  <w:num w:numId="17">
    <w:abstractNumId w:val="22"/>
  </w:num>
  <w:num w:numId="18">
    <w:abstractNumId w:val="18"/>
  </w:num>
  <w:num w:numId="19">
    <w:abstractNumId w:val="13"/>
  </w:num>
  <w:num w:numId="20">
    <w:abstractNumId w:val="2"/>
  </w:num>
  <w:num w:numId="21">
    <w:abstractNumId w:val="14"/>
  </w:num>
  <w:num w:numId="22">
    <w:abstractNumId w:val="8"/>
  </w:num>
  <w:num w:numId="23">
    <w:abstractNumId w:val="14"/>
  </w:num>
  <w:num w:numId="24">
    <w:abstractNumId w:val="8"/>
  </w:num>
  <w:num w:numId="25">
    <w:abstractNumId w:val="31"/>
  </w:num>
  <w:num w:numId="26">
    <w:abstractNumId w:val="2"/>
  </w:num>
  <w:num w:numId="27">
    <w:abstractNumId w:val="15"/>
  </w:num>
  <w:num w:numId="28">
    <w:abstractNumId w:val="5"/>
  </w:num>
  <w:num w:numId="29">
    <w:abstractNumId w:val="24"/>
  </w:num>
  <w:num w:numId="30">
    <w:abstractNumId w:val="7"/>
  </w:num>
  <w:num w:numId="31">
    <w:abstractNumId w:val="16"/>
  </w:num>
  <w:num w:numId="32">
    <w:abstractNumId w:val="19"/>
  </w:num>
  <w:num w:numId="33">
    <w:abstractNumId w:val="25"/>
  </w:num>
  <w:num w:numId="34">
    <w:abstractNumId w:val="21"/>
  </w:num>
  <w:num w:numId="35">
    <w:abstractNumId w:val="3"/>
  </w:num>
  <w:num w:numId="36">
    <w:abstractNumId w:val="11"/>
  </w:num>
  <w:num w:numId="37">
    <w:abstractNumId w:val="4"/>
  </w:num>
  <w:num w:numId="38">
    <w:abstractNumId w:val="28"/>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NotTrackFormatting/>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E5"/>
    <w:rsid w:val="00000698"/>
    <w:rsid w:val="0000265D"/>
    <w:rsid w:val="000030B3"/>
    <w:rsid w:val="00003C8C"/>
    <w:rsid w:val="000068BA"/>
    <w:rsid w:val="00007A06"/>
    <w:rsid w:val="00010336"/>
    <w:rsid w:val="000109D6"/>
    <w:rsid w:val="00012973"/>
    <w:rsid w:val="0001708D"/>
    <w:rsid w:val="0002019B"/>
    <w:rsid w:val="00020AD4"/>
    <w:rsid w:val="00021F65"/>
    <w:rsid w:val="000231B8"/>
    <w:rsid w:val="00023C7E"/>
    <w:rsid w:val="0002454F"/>
    <w:rsid w:val="00024B87"/>
    <w:rsid w:val="00024F11"/>
    <w:rsid w:val="00025D0A"/>
    <w:rsid w:val="00026597"/>
    <w:rsid w:val="0002730F"/>
    <w:rsid w:val="00030921"/>
    <w:rsid w:val="00030AA9"/>
    <w:rsid w:val="00031FE6"/>
    <w:rsid w:val="00032BDD"/>
    <w:rsid w:val="00032E7E"/>
    <w:rsid w:val="00033052"/>
    <w:rsid w:val="00034007"/>
    <w:rsid w:val="00037247"/>
    <w:rsid w:val="00040454"/>
    <w:rsid w:val="000414CE"/>
    <w:rsid w:val="00042A8F"/>
    <w:rsid w:val="00042E67"/>
    <w:rsid w:val="00042FC2"/>
    <w:rsid w:val="000440A1"/>
    <w:rsid w:val="00046590"/>
    <w:rsid w:val="000465D2"/>
    <w:rsid w:val="0005016A"/>
    <w:rsid w:val="00051337"/>
    <w:rsid w:val="00051FA4"/>
    <w:rsid w:val="000528BB"/>
    <w:rsid w:val="00052952"/>
    <w:rsid w:val="00052C42"/>
    <w:rsid w:val="00053B17"/>
    <w:rsid w:val="00056643"/>
    <w:rsid w:val="000578BF"/>
    <w:rsid w:val="000604B3"/>
    <w:rsid w:val="0006084D"/>
    <w:rsid w:val="000612F8"/>
    <w:rsid w:val="0006172C"/>
    <w:rsid w:val="000626E4"/>
    <w:rsid w:val="0006385A"/>
    <w:rsid w:val="00063A55"/>
    <w:rsid w:val="00064BF6"/>
    <w:rsid w:val="00066862"/>
    <w:rsid w:val="00070BAF"/>
    <w:rsid w:val="00071910"/>
    <w:rsid w:val="00072224"/>
    <w:rsid w:val="00072F7B"/>
    <w:rsid w:val="00073298"/>
    <w:rsid w:val="0007343E"/>
    <w:rsid w:val="0007406D"/>
    <w:rsid w:val="0007419F"/>
    <w:rsid w:val="00074D8F"/>
    <w:rsid w:val="000760B5"/>
    <w:rsid w:val="00076486"/>
    <w:rsid w:val="00082441"/>
    <w:rsid w:val="000848C3"/>
    <w:rsid w:val="00084AFA"/>
    <w:rsid w:val="00087B20"/>
    <w:rsid w:val="000906D0"/>
    <w:rsid w:val="00091749"/>
    <w:rsid w:val="00092E0B"/>
    <w:rsid w:val="00094736"/>
    <w:rsid w:val="000A161E"/>
    <w:rsid w:val="000A1DEB"/>
    <w:rsid w:val="000A2858"/>
    <w:rsid w:val="000A49B9"/>
    <w:rsid w:val="000A5257"/>
    <w:rsid w:val="000A538E"/>
    <w:rsid w:val="000A5A22"/>
    <w:rsid w:val="000B0C36"/>
    <w:rsid w:val="000B147F"/>
    <w:rsid w:val="000B1A0E"/>
    <w:rsid w:val="000B21B3"/>
    <w:rsid w:val="000B34D0"/>
    <w:rsid w:val="000B4C67"/>
    <w:rsid w:val="000B4EDD"/>
    <w:rsid w:val="000B55CF"/>
    <w:rsid w:val="000B6EC8"/>
    <w:rsid w:val="000B7695"/>
    <w:rsid w:val="000C0A7A"/>
    <w:rsid w:val="000C0DEE"/>
    <w:rsid w:val="000C3619"/>
    <w:rsid w:val="000C63BB"/>
    <w:rsid w:val="000C73FB"/>
    <w:rsid w:val="000D1D15"/>
    <w:rsid w:val="000D3074"/>
    <w:rsid w:val="000D4726"/>
    <w:rsid w:val="000D4FB1"/>
    <w:rsid w:val="000D522F"/>
    <w:rsid w:val="000D7C84"/>
    <w:rsid w:val="000E3B4A"/>
    <w:rsid w:val="000E573B"/>
    <w:rsid w:val="000F2D7E"/>
    <w:rsid w:val="000F77AC"/>
    <w:rsid w:val="00101CA9"/>
    <w:rsid w:val="00102223"/>
    <w:rsid w:val="0010297F"/>
    <w:rsid w:val="0010326F"/>
    <w:rsid w:val="00103DB0"/>
    <w:rsid w:val="00103E08"/>
    <w:rsid w:val="001078D5"/>
    <w:rsid w:val="00111E14"/>
    <w:rsid w:val="001121E6"/>
    <w:rsid w:val="0011231A"/>
    <w:rsid w:val="0011334D"/>
    <w:rsid w:val="00113858"/>
    <w:rsid w:val="00113B23"/>
    <w:rsid w:val="00114E33"/>
    <w:rsid w:val="0011543A"/>
    <w:rsid w:val="0011557B"/>
    <w:rsid w:val="00115764"/>
    <w:rsid w:val="001157E0"/>
    <w:rsid w:val="00116A85"/>
    <w:rsid w:val="001202E5"/>
    <w:rsid w:val="00120A45"/>
    <w:rsid w:val="00121176"/>
    <w:rsid w:val="00121309"/>
    <w:rsid w:val="00121819"/>
    <w:rsid w:val="001248FC"/>
    <w:rsid w:val="001273D5"/>
    <w:rsid w:val="001310EE"/>
    <w:rsid w:val="00131E57"/>
    <w:rsid w:val="00133132"/>
    <w:rsid w:val="001345D8"/>
    <w:rsid w:val="00134DC4"/>
    <w:rsid w:val="0013528E"/>
    <w:rsid w:val="001365A8"/>
    <w:rsid w:val="0013741D"/>
    <w:rsid w:val="00141789"/>
    <w:rsid w:val="00141898"/>
    <w:rsid w:val="001425B1"/>
    <w:rsid w:val="00143DB5"/>
    <w:rsid w:val="00143E80"/>
    <w:rsid w:val="0014474D"/>
    <w:rsid w:val="00147DEE"/>
    <w:rsid w:val="00152426"/>
    <w:rsid w:val="001525E6"/>
    <w:rsid w:val="00152A92"/>
    <w:rsid w:val="001547DB"/>
    <w:rsid w:val="001552CF"/>
    <w:rsid w:val="00155A80"/>
    <w:rsid w:val="00155EA6"/>
    <w:rsid w:val="00155F7E"/>
    <w:rsid w:val="00156200"/>
    <w:rsid w:val="001575C5"/>
    <w:rsid w:val="00157B09"/>
    <w:rsid w:val="0016014A"/>
    <w:rsid w:val="00161D78"/>
    <w:rsid w:val="0016209B"/>
    <w:rsid w:val="00162681"/>
    <w:rsid w:val="0016271A"/>
    <w:rsid w:val="0016289C"/>
    <w:rsid w:val="0016444E"/>
    <w:rsid w:val="001732F5"/>
    <w:rsid w:val="00173B0A"/>
    <w:rsid w:val="00173FB2"/>
    <w:rsid w:val="0017407F"/>
    <w:rsid w:val="001750D6"/>
    <w:rsid w:val="001828B4"/>
    <w:rsid w:val="001849B7"/>
    <w:rsid w:val="00184DF7"/>
    <w:rsid w:val="0018522F"/>
    <w:rsid w:val="00186D6D"/>
    <w:rsid w:val="00186F80"/>
    <w:rsid w:val="0018791D"/>
    <w:rsid w:val="00187D60"/>
    <w:rsid w:val="00191470"/>
    <w:rsid w:val="0019162E"/>
    <w:rsid w:val="001919F7"/>
    <w:rsid w:val="0019274C"/>
    <w:rsid w:val="00192B65"/>
    <w:rsid w:val="0019352A"/>
    <w:rsid w:val="00196BCF"/>
    <w:rsid w:val="00196FA4"/>
    <w:rsid w:val="001A35A6"/>
    <w:rsid w:val="001A3992"/>
    <w:rsid w:val="001A40B9"/>
    <w:rsid w:val="001A79FD"/>
    <w:rsid w:val="001B1326"/>
    <w:rsid w:val="001B16EC"/>
    <w:rsid w:val="001B18F1"/>
    <w:rsid w:val="001B1A7E"/>
    <w:rsid w:val="001B1F73"/>
    <w:rsid w:val="001B32EF"/>
    <w:rsid w:val="001B34B4"/>
    <w:rsid w:val="001B454F"/>
    <w:rsid w:val="001B5B86"/>
    <w:rsid w:val="001B6B27"/>
    <w:rsid w:val="001B7BB4"/>
    <w:rsid w:val="001C03B2"/>
    <w:rsid w:val="001C0556"/>
    <w:rsid w:val="001C0658"/>
    <w:rsid w:val="001C134A"/>
    <w:rsid w:val="001C2125"/>
    <w:rsid w:val="001C2C17"/>
    <w:rsid w:val="001C3792"/>
    <w:rsid w:val="001C3D59"/>
    <w:rsid w:val="001C4EEF"/>
    <w:rsid w:val="001C4F9D"/>
    <w:rsid w:val="001D2848"/>
    <w:rsid w:val="001D5493"/>
    <w:rsid w:val="001D5937"/>
    <w:rsid w:val="001D5AE6"/>
    <w:rsid w:val="001E1060"/>
    <w:rsid w:val="001E13D7"/>
    <w:rsid w:val="001E2DBA"/>
    <w:rsid w:val="001E5868"/>
    <w:rsid w:val="001E6F5D"/>
    <w:rsid w:val="001E7349"/>
    <w:rsid w:val="001E7457"/>
    <w:rsid w:val="001E7617"/>
    <w:rsid w:val="001F0809"/>
    <w:rsid w:val="001F0A02"/>
    <w:rsid w:val="001F1EA5"/>
    <w:rsid w:val="001F2344"/>
    <w:rsid w:val="001F2597"/>
    <w:rsid w:val="001F2F64"/>
    <w:rsid w:val="001F3F5A"/>
    <w:rsid w:val="00200D34"/>
    <w:rsid w:val="00201033"/>
    <w:rsid w:val="00201859"/>
    <w:rsid w:val="002024E0"/>
    <w:rsid w:val="0020500D"/>
    <w:rsid w:val="002062D4"/>
    <w:rsid w:val="002105EA"/>
    <w:rsid w:val="00211011"/>
    <w:rsid w:val="00211FE3"/>
    <w:rsid w:val="00213BFB"/>
    <w:rsid w:val="002155D1"/>
    <w:rsid w:val="00215C8B"/>
    <w:rsid w:val="00216B76"/>
    <w:rsid w:val="00217835"/>
    <w:rsid w:val="00220355"/>
    <w:rsid w:val="00220DDA"/>
    <w:rsid w:val="002226BC"/>
    <w:rsid w:val="0022300F"/>
    <w:rsid w:val="002249E1"/>
    <w:rsid w:val="00225617"/>
    <w:rsid w:val="002301A9"/>
    <w:rsid w:val="0023243F"/>
    <w:rsid w:val="00233C40"/>
    <w:rsid w:val="00234E17"/>
    <w:rsid w:val="00240866"/>
    <w:rsid w:val="00241A87"/>
    <w:rsid w:val="00241FE2"/>
    <w:rsid w:val="00242679"/>
    <w:rsid w:val="00243218"/>
    <w:rsid w:val="00243AA6"/>
    <w:rsid w:val="00244DA7"/>
    <w:rsid w:val="0024507F"/>
    <w:rsid w:val="002451CE"/>
    <w:rsid w:val="0025051E"/>
    <w:rsid w:val="00250B7E"/>
    <w:rsid w:val="00251E70"/>
    <w:rsid w:val="00252A87"/>
    <w:rsid w:val="00253028"/>
    <w:rsid w:val="00253451"/>
    <w:rsid w:val="00253AF5"/>
    <w:rsid w:val="00254C83"/>
    <w:rsid w:val="00254D29"/>
    <w:rsid w:val="002570A2"/>
    <w:rsid w:val="00257AEB"/>
    <w:rsid w:val="00262AB2"/>
    <w:rsid w:val="00264134"/>
    <w:rsid w:val="00265982"/>
    <w:rsid w:val="00265A57"/>
    <w:rsid w:val="00265B3F"/>
    <w:rsid w:val="00267C61"/>
    <w:rsid w:val="00272BC8"/>
    <w:rsid w:val="00272D58"/>
    <w:rsid w:val="00273948"/>
    <w:rsid w:val="00274EC3"/>
    <w:rsid w:val="00276A5D"/>
    <w:rsid w:val="00277A88"/>
    <w:rsid w:val="00277F3E"/>
    <w:rsid w:val="00280F11"/>
    <w:rsid w:val="0028458F"/>
    <w:rsid w:val="00290D42"/>
    <w:rsid w:val="00291105"/>
    <w:rsid w:val="00292475"/>
    <w:rsid w:val="00292CAF"/>
    <w:rsid w:val="002931A8"/>
    <w:rsid w:val="00293729"/>
    <w:rsid w:val="00294952"/>
    <w:rsid w:val="0029524A"/>
    <w:rsid w:val="002968C6"/>
    <w:rsid w:val="00297ADF"/>
    <w:rsid w:val="00297C69"/>
    <w:rsid w:val="002A3144"/>
    <w:rsid w:val="002A4CD8"/>
    <w:rsid w:val="002A530A"/>
    <w:rsid w:val="002A67E4"/>
    <w:rsid w:val="002A7784"/>
    <w:rsid w:val="002A77E5"/>
    <w:rsid w:val="002A7846"/>
    <w:rsid w:val="002B37D6"/>
    <w:rsid w:val="002B4404"/>
    <w:rsid w:val="002B4613"/>
    <w:rsid w:val="002B4DA5"/>
    <w:rsid w:val="002B574D"/>
    <w:rsid w:val="002B6940"/>
    <w:rsid w:val="002B7921"/>
    <w:rsid w:val="002B7FF4"/>
    <w:rsid w:val="002C2239"/>
    <w:rsid w:val="002C532D"/>
    <w:rsid w:val="002C67C7"/>
    <w:rsid w:val="002C6ADE"/>
    <w:rsid w:val="002D0AE2"/>
    <w:rsid w:val="002D0D42"/>
    <w:rsid w:val="002D0EF9"/>
    <w:rsid w:val="002D1074"/>
    <w:rsid w:val="002D16AE"/>
    <w:rsid w:val="002D1E8A"/>
    <w:rsid w:val="002D25CB"/>
    <w:rsid w:val="002D278F"/>
    <w:rsid w:val="002D3AF5"/>
    <w:rsid w:val="002D6930"/>
    <w:rsid w:val="002E1D5A"/>
    <w:rsid w:val="002E247B"/>
    <w:rsid w:val="002E277D"/>
    <w:rsid w:val="002E2957"/>
    <w:rsid w:val="002E5423"/>
    <w:rsid w:val="002E5EE1"/>
    <w:rsid w:val="002E7780"/>
    <w:rsid w:val="002F239C"/>
    <w:rsid w:val="002F3256"/>
    <w:rsid w:val="002F42C2"/>
    <w:rsid w:val="002F78A4"/>
    <w:rsid w:val="00300C32"/>
    <w:rsid w:val="00302451"/>
    <w:rsid w:val="0030274D"/>
    <w:rsid w:val="00302BA8"/>
    <w:rsid w:val="0030358F"/>
    <w:rsid w:val="00306652"/>
    <w:rsid w:val="0030758A"/>
    <w:rsid w:val="003102E8"/>
    <w:rsid w:val="00312C86"/>
    <w:rsid w:val="00313348"/>
    <w:rsid w:val="0031481C"/>
    <w:rsid w:val="00316B67"/>
    <w:rsid w:val="00316BFA"/>
    <w:rsid w:val="00320213"/>
    <w:rsid w:val="003206DB"/>
    <w:rsid w:val="00321052"/>
    <w:rsid w:val="00321F2A"/>
    <w:rsid w:val="003223EF"/>
    <w:rsid w:val="0032381E"/>
    <w:rsid w:val="00325E44"/>
    <w:rsid w:val="003268E5"/>
    <w:rsid w:val="0032751B"/>
    <w:rsid w:val="0033061D"/>
    <w:rsid w:val="00330AC0"/>
    <w:rsid w:val="00332516"/>
    <w:rsid w:val="00332F28"/>
    <w:rsid w:val="0033441E"/>
    <w:rsid w:val="003361C7"/>
    <w:rsid w:val="00336A47"/>
    <w:rsid w:val="00337228"/>
    <w:rsid w:val="0034315C"/>
    <w:rsid w:val="003438F5"/>
    <w:rsid w:val="00343BF0"/>
    <w:rsid w:val="003440EB"/>
    <w:rsid w:val="00344D33"/>
    <w:rsid w:val="003501A4"/>
    <w:rsid w:val="003528B6"/>
    <w:rsid w:val="00355119"/>
    <w:rsid w:val="00357134"/>
    <w:rsid w:val="00357B0D"/>
    <w:rsid w:val="0036005E"/>
    <w:rsid w:val="00362D17"/>
    <w:rsid w:val="00364C65"/>
    <w:rsid w:val="00364E41"/>
    <w:rsid w:val="003656D5"/>
    <w:rsid w:val="003677DA"/>
    <w:rsid w:val="00367DC2"/>
    <w:rsid w:val="00373CC4"/>
    <w:rsid w:val="00373FF9"/>
    <w:rsid w:val="00376B0E"/>
    <w:rsid w:val="00382480"/>
    <w:rsid w:val="00383515"/>
    <w:rsid w:val="00384BD3"/>
    <w:rsid w:val="00385065"/>
    <w:rsid w:val="00385D34"/>
    <w:rsid w:val="00390D7B"/>
    <w:rsid w:val="00391E0D"/>
    <w:rsid w:val="003923C8"/>
    <w:rsid w:val="00395474"/>
    <w:rsid w:val="003956AA"/>
    <w:rsid w:val="00395B85"/>
    <w:rsid w:val="00396A76"/>
    <w:rsid w:val="0039707A"/>
    <w:rsid w:val="003A2907"/>
    <w:rsid w:val="003A30E2"/>
    <w:rsid w:val="003A61A6"/>
    <w:rsid w:val="003A6649"/>
    <w:rsid w:val="003A700D"/>
    <w:rsid w:val="003A7167"/>
    <w:rsid w:val="003B0458"/>
    <w:rsid w:val="003B25C6"/>
    <w:rsid w:val="003B6449"/>
    <w:rsid w:val="003B758D"/>
    <w:rsid w:val="003C0B18"/>
    <w:rsid w:val="003C1936"/>
    <w:rsid w:val="003C287C"/>
    <w:rsid w:val="003C52F7"/>
    <w:rsid w:val="003C648C"/>
    <w:rsid w:val="003D24E0"/>
    <w:rsid w:val="003D3CBC"/>
    <w:rsid w:val="003D3D3A"/>
    <w:rsid w:val="003D4082"/>
    <w:rsid w:val="003D53A5"/>
    <w:rsid w:val="003D5EBD"/>
    <w:rsid w:val="003D621C"/>
    <w:rsid w:val="003D70C2"/>
    <w:rsid w:val="003D74DF"/>
    <w:rsid w:val="003D7BF3"/>
    <w:rsid w:val="003D7E20"/>
    <w:rsid w:val="003E015B"/>
    <w:rsid w:val="003E3166"/>
    <w:rsid w:val="003E4242"/>
    <w:rsid w:val="003E6F2D"/>
    <w:rsid w:val="003E7A52"/>
    <w:rsid w:val="003F0BB1"/>
    <w:rsid w:val="003F1032"/>
    <w:rsid w:val="003F2829"/>
    <w:rsid w:val="003F5A31"/>
    <w:rsid w:val="003F6C5A"/>
    <w:rsid w:val="00401068"/>
    <w:rsid w:val="004010DD"/>
    <w:rsid w:val="00402780"/>
    <w:rsid w:val="004032BD"/>
    <w:rsid w:val="004039D4"/>
    <w:rsid w:val="00404811"/>
    <w:rsid w:val="00404FEF"/>
    <w:rsid w:val="00405B4E"/>
    <w:rsid w:val="00407766"/>
    <w:rsid w:val="004108C4"/>
    <w:rsid w:val="00411D82"/>
    <w:rsid w:val="0041525D"/>
    <w:rsid w:val="0041571B"/>
    <w:rsid w:val="00415A62"/>
    <w:rsid w:val="004165EB"/>
    <w:rsid w:val="00416BA4"/>
    <w:rsid w:val="00417D16"/>
    <w:rsid w:val="00422970"/>
    <w:rsid w:val="00423EC6"/>
    <w:rsid w:val="00425C40"/>
    <w:rsid w:val="004269BB"/>
    <w:rsid w:val="004278E7"/>
    <w:rsid w:val="004303BD"/>
    <w:rsid w:val="00431ACD"/>
    <w:rsid w:val="00431D6F"/>
    <w:rsid w:val="00433A5A"/>
    <w:rsid w:val="00433DCA"/>
    <w:rsid w:val="00435671"/>
    <w:rsid w:val="00436159"/>
    <w:rsid w:val="00436536"/>
    <w:rsid w:val="004372CE"/>
    <w:rsid w:val="00437DA3"/>
    <w:rsid w:val="00440D2E"/>
    <w:rsid w:val="004424B1"/>
    <w:rsid w:val="00447B68"/>
    <w:rsid w:val="00454E70"/>
    <w:rsid w:val="004557EE"/>
    <w:rsid w:val="004571F6"/>
    <w:rsid w:val="004572E7"/>
    <w:rsid w:val="00457360"/>
    <w:rsid w:val="00457FE6"/>
    <w:rsid w:val="0046063E"/>
    <w:rsid w:val="00460D21"/>
    <w:rsid w:val="004613B5"/>
    <w:rsid w:val="0046297D"/>
    <w:rsid w:val="00462DA8"/>
    <w:rsid w:val="00463DC9"/>
    <w:rsid w:val="00466E85"/>
    <w:rsid w:val="00467454"/>
    <w:rsid w:val="00471EE8"/>
    <w:rsid w:val="004723CE"/>
    <w:rsid w:val="0047357D"/>
    <w:rsid w:val="00475211"/>
    <w:rsid w:val="00476089"/>
    <w:rsid w:val="00476707"/>
    <w:rsid w:val="004770BD"/>
    <w:rsid w:val="00477C67"/>
    <w:rsid w:val="00490FB4"/>
    <w:rsid w:val="00491B12"/>
    <w:rsid w:val="004921C8"/>
    <w:rsid w:val="004930EB"/>
    <w:rsid w:val="00494FDA"/>
    <w:rsid w:val="0049641A"/>
    <w:rsid w:val="004A2021"/>
    <w:rsid w:val="004A2A6E"/>
    <w:rsid w:val="004A2E9E"/>
    <w:rsid w:val="004A444D"/>
    <w:rsid w:val="004A5E2B"/>
    <w:rsid w:val="004A7556"/>
    <w:rsid w:val="004B0E9E"/>
    <w:rsid w:val="004B2CA3"/>
    <w:rsid w:val="004B3DB3"/>
    <w:rsid w:val="004B57E8"/>
    <w:rsid w:val="004B6779"/>
    <w:rsid w:val="004B7251"/>
    <w:rsid w:val="004B7C2A"/>
    <w:rsid w:val="004B7D1C"/>
    <w:rsid w:val="004C0DCF"/>
    <w:rsid w:val="004C0ED3"/>
    <w:rsid w:val="004C1301"/>
    <w:rsid w:val="004C2BC2"/>
    <w:rsid w:val="004C3D18"/>
    <w:rsid w:val="004C3E58"/>
    <w:rsid w:val="004C5083"/>
    <w:rsid w:val="004C70DF"/>
    <w:rsid w:val="004C740A"/>
    <w:rsid w:val="004C790D"/>
    <w:rsid w:val="004D04E9"/>
    <w:rsid w:val="004D0B43"/>
    <w:rsid w:val="004D1192"/>
    <w:rsid w:val="004D29BF"/>
    <w:rsid w:val="004D3A84"/>
    <w:rsid w:val="004D3E6C"/>
    <w:rsid w:val="004D5F2B"/>
    <w:rsid w:val="004D63D7"/>
    <w:rsid w:val="004D7794"/>
    <w:rsid w:val="004E084F"/>
    <w:rsid w:val="004E228A"/>
    <w:rsid w:val="004E2CF6"/>
    <w:rsid w:val="004E3C87"/>
    <w:rsid w:val="004E4404"/>
    <w:rsid w:val="004E4891"/>
    <w:rsid w:val="004E7F2B"/>
    <w:rsid w:val="004F10CD"/>
    <w:rsid w:val="004F5E05"/>
    <w:rsid w:val="004F6874"/>
    <w:rsid w:val="004F74A5"/>
    <w:rsid w:val="005013CD"/>
    <w:rsid w:val="00501B52"/>
    <w:rsid w:val="00503B63"/>
    <w:rsid w:val="00503C7C"/>
    <w:rsid w:val="00504360"/>
    <w:rsid w:val="005052C5"/>
    <w:rsid w:val="005063A2"/>
    <w:rsid w:val="00507B1F"/>
    <w:rsid w:val="00507CC5"/>
    <w:rsid w:val="00507E97"/>
    <w:rsid w:val="00510A7F"/>
    <w:rsid w:val="00511B0D"/>
    <w:rsid w:val="00512BA0"/>
    <w:rsid w:val="00512BE8"/>
    <w:rsid w:val="00515503"/>
    <w:rsid w:val="00515747"/>
    <w:rsid w:val="0051618C"/>
    <w:rsid w:val="00516B4D"/>
    <w:rsid w:val="00517849"/>
    <w:rsid w:val="005205FD"/>
    <w:rsid w:val="005223B1"/>
    <w:rsid w:val="005236DF"/>
    <w:rsid w:val="00523F63"/>
    <w:rsid w:val="00524B19"/>
    <w:rsid w:val="00524EEA"/>
    <w:rsid w:val="005252FA"/>
    <w:rsid w:val="00530B12"/>
    <w:rsid w:val="005324FE"/>
    <w:rsid w:val="005335D0"/>
    <w:rsid w:val="005342FC"/>
    <w:rsid w:val="00536564"/>
    <w:rsid w:val="0053792D"/>
    <w:rsid w:val="005448A4"/>
    <w:rsid w:val="005473DB"/>
    <w:rsid w:val="00550240"/>
    <w:rsid w:val="005502E5"/>
    <w:rsid w:val="0055366C"/>
    <w:rsid w:val="00554CAD"/>
    <w:rsid w:val="005562F4"/>
    <w:rsid w:val="00556DE4"/>
    <w:rsid w:val="00561093"/>
    <w:rsid w:val="0056764E"/>
    <w:rsid w:val="005702D7"/>
    <w:rsid w:val="00571834"/>
    <w:rsid w:val="00573AA9"/>
    <w:rsid w:val="005752EC"/>
    <w:rsid w:val="005762E2"/>
    <w:rsid w:val="005841E2"/>
    <w:rsid w:val="00585CEC"/>
    <w:rsid w:val="00587264"/>
    <w:rsid w:val="00591007"/>
    <w:rsid w:val="005910D7"/>
    <w:rsid w:val="0059240F"/>
    <w:rsid w:val="00592C48"/>
    <w:rsid w:val="0059385C"/>
    <w:rsid w:val="005954E9"/>
    <w:rsid w:val="00597392"/>
    <w:rsid w:val="00597830"/>
    <w:rsid w:val="005A06F8"/>
    <w:rsid w:val="005A0F1D"/>
    <w:rsid w:val="005A1A85"/>
    <w:rsid w:val="005A1EAA"/>
    <w:rsid w:val="005A2290"/>
    <w:rsid w:val="005A32BB"/>
    <w:rsid w:val="005A7307"/>
    <w:rsid w:val="005A73C6"/>
    <w:rsid w:val="005B12BD"/>
    <w:rsid w:val="005B2076"/>
    <w:rsid w:val="005B363F"/>
    <w:rsid w:val="005B3821"/>
    <w:rsid w:val="005B55D5"/>
    <w:rsid w:val="005B6930"/>
    <w:rsid w:val="005C280E"/>
    <w:rsid w:val="005C4410"/>
    <w:rsid w:val="005D07EF"/>
    <w:rsid w:val="005D3D75"/>
    <w:rsid w:val="005D43D0"/>
    <w:rsid w:val="005D707F"/>
    <w:rsid w:val="005D7F27"/>
    <w:rsid w:val="005E0344"/>
    <w:rsid w:val="005E070D"/>
    <w:rsid w:val="005E4683"/>
    <w:rsid w:val="005F07AB"/>
    <w:rsid w:val="005F1964"/>
    <w:rsid w:val="005F20B6"/>
    <w:rsid w:val="005F3332"/>
    <w:rsid w:val="005F365E"/>
    <w:rsid w:val="005F36F1"/>
    <w:rsid w:val="005F5A58"/>
    <w:rsid w:val="005F6283"/>
    <w:rsid w:val="005F7CFD"/>
    <w:rsid w:val="00601DD4"/>
    <w:rsid w:val="00603F30"/>
    <w:rsid w:val="00604CF0"/>
    <w:rsid w:val="00606DF6"/>
    <w:rsid w:val="00606FC4"/>
    <w:rsid w:val="006070E7"/>
    <w:rsid w:val="00607D25"/>
    <w:rsid w:val="006103DB"/>
    <w:rsid w:val="00610765"/>
    <w:rsid w:val="00610783"/>
    <w:rsid w:val="00611A43"/>
    <w:rsid w:val="00612F53"/>
    <w:rsid w:val="0061409A"/>
    <w:rsid w:val="006141E6"/>
    <w:rsid w:val="00616BA2"/>
    <w:rsid w:val="00621137"/>
    <w:rsid w:val="00622D1A"/>
    <w:rsid w:val="00623EF5"/>
    <w:rsid w:val="00624978"/>
    <w:rsid w:val="00624D70"/>
    <w:rsid w:val="00626338"/>
    <w:rsid w:val="006264FD"/>
    <w:rsid w:val="00627A38"/>
    <w:rsid w:val="006312D7"/>
    <w:rsid w:val="006316B9"/>
    <w:rsid w:val="006325C0"/>
    <w:rsid w:val="006325CC"/>
    <w:rsid w:val="006331E4"/>
    <w:rsid w:val="0063473D"/>
    <w:rsid w:val="00635B32"/>
    <w:rsid w:val="00635F58"/>
    <w:rsid w:val="00637D0B"/>
    <w:rsid w:val="00640489"/>
    <w:rsid w:val="0064093B"/>
    <w:rsid w:val="006409BD"/>
    <w:rsid w:val="006417DB"/>
    <w:rsid w:val="00641E30"/>
    <w:rsid w:val="00642A75"/>
    <w:rsid w:val="00642C06"/>
    <w:rsid w:val="00644592"/>
    <w:rsid w:val="00644E34"/>
    <w:rsid w:val="006479FC"/>
    <w:rsid w:val="0065118B"/>
    <w:rsid w:val="006518E4"/>
    <w:rsid w:val="00651D75"/>
    <w:rsid w:val="0065233A"/>
    <w:rsid w:val="00653055"/>
    <w:rsid w:val="00654105"/>
    <w:rsid w:val="006541E0"/>
    <w:rsid w:val="00654393"/>
    <w:rsid w:val="0065635D"/>
    <w:rsid w:val="0066176B"/>
    <w:rsid w:val="00661CD7"/>
    <w:rsid w:val="00664B49"/>
    <w:rsid w:val="0066533D"/>
    <w:rsid w:val="00666641"/>
    <w:rsid w:val="006678B6"/>
    <w:rsid w:val="00670FFD"/>
    <w:rsid w:val="00671340"/>
    <w:rsid w:val="00671B04"/>
    <w:rsid w:val="00671D73"/>
    <w:rsid w:val="0067237B"/>
    <w:rsid w:val="00672473"/>
    <w:rsid w:val="006724D1"/>
    <w:rsid w:val="00677F78"/>
    <w:rsid w:val="006809B3"/>
    <w:rsid w:val="00681A29"/>
    <w:rsid w:val="00681BAA"/>
    <w:rsid w:val="00681F36"/>
    <w:rsid w:val="006832A7"/>
    <w:rsid w:val="00683E91"/>
    <w:rsid w:val="00684CF8"/>
    <w:rsid w:val="00684F29"/>
    <w:rsid w:val="00685E7E"/>
    <w:rsid w:val="006863F5"/>
    <w:rsid w:val="00686C29"/>
    <w:rsid w:val="00687260"/>
    <w:rsid w:val="006876E9"/>
    <w:rsid w:val="006907B2"/>
    <w:rsid w:val="0069107A"/>
    <w:rsid w:val="006921DE"/>
    <w:rsid w:val="006921FD"/>
    <w:rsid w:val="006932B6"/>
    <w:rsid w:val="006939F8"/>
    <w:rsid w:val="00694245"/>
    <w:rsid w:val="006944D2"/>
    <w:rsid w:val="00696DC3"/>
    <w:rsid w:val="00697658"/>
    <w:rsid w:val="0069765D"/>
    <w:rsid w:val="00697A4F"/>
    <w:rsid w:val="00697CE8"/>
    <w:rsid w:val="006A0DDC"/>
    <w:rsid w:val="006A18ED"/>
    <w:rsid w:val="006A28B5"/>
    <w:rsid w:val="006A33C6"/>
    <w:rsid w:val="006A39B4"/>
    <w:rsid w:val="006A3BCE"/>
    <w:rsid w:val="006A4BA5"/>
    <w:rsid w:val="006A4D66"/>
    <w:rsid w:val="006A4FFA"/>
    <w:rsid w:val="006A76C6"/>
    <w:rsid w:val="006B0157"/>
    <w:rsid w:val="006B5A08"/>
    <w:rsid w:val="006B5BA9"/>
    <w:rsid w:val="006B6A74"/>
    <w:rsid w:val="006B6E87"/>
    <w:rsid w:val="006B7E25"/>
    <w:rsid w:val="006C163C"/>
    <w:rsid w:val="006C1CBB"/>
    <w:rsid w:val="006C26C0"/>
    <w:rsid w:val="006C2A76"/>
    <w:rsid w:val="006C2B53"/>
    <w:rsid w:val="006C2E56"/>
    <w:rsid w:val="006D0062"/>
    <w:rsid w:val="006D2ED2"/>
    <w:rsid w:val="006D5E3A"/>
    <w:rsid w:val="006D75CC"/>
    <w:rsid w:val="006D787B"/>
    <w:rsid w:val="006D79C3"/>
    <w:rsid w:val="006E24B8"/>
    <w:rsid w:val="006E4BD6"/>
    <w:rsid w:val="006E53A3"/>
    <w:rsid w:val="006F1D4B"/>
    <w:rsid w:val="006F2F72"/>
    <w:rsid w:val="006F4952"/>
    <w:rsid w:val="006F4DD4"/>
    <w:rsid w:val="0070063D"/>
    <w:rsid w:val="00700D36"/>
    <w:rsid w:val="0070237A"/>
    <w:rsid w:val="00705062"/>
    <w:rsid w:val="00705393"/>
    <w:rsid w:val="007055E3"/>
    <w:rsid w:val="00706398"/>
    <w:rsid w:val="0071023D"/>
    <w:rsid w:val="00711983"/>
    <w:rsid w:val="00712DE0"/>
    <w:rsid w:val="00715483"/>
    <w:rsid w:val="0071641A"/>
    <w:rsid w:val="0072059D"/>
    <w:rsid w:val="007205D5"/>
    <w:rsid w:val="0072078F"/>
    <w:rsid w:val="00720D9F"/>
    <w:rsid w:val="00721312"/>
    <w:rsid w:val="00725095"/>
    <w:rsid w:val="00725C16"/>
    <w:rsid w:val="007265EA"/>
    <w:rsid w:val="0072713B"/>
    <w:rsid w:val="007319CD"/>
    <w:rsid w:val="00731AE8"/>
    <w:rsid w:val="00731DB4"/>
    <w:rsid w:val="00732F4D"/>
    <w:rsid w:val="00741C87"/>
    <w:rsid w:val="00742044"/>
    <w:rsid w:val="00743641"/>
    <w:rsid w:val="007446A1"/>
    <w:rsid w:val="007458B9"/>
    <w:rsid w:val="00745A7F"/>
    <w:rsid w:val="00745FEE"/>
    <w:rsid w:val="00747539"/>
    <w:rsid w:val="00747942"/>
    <w:rsid w:val="00750CF3"/>
    <w:rsid w:val="00751005"/>
    <w:rsid w:val="00751822"/>
    <w:rsid w:val="00751C7E"/>
    <w:rsid w:val="00752130"/>
    <w:rsid w:val="007525DC"/>
    <w:rsid w:val="007526F0"/>
    <w:rsid w:val="00752A02"/>
    <w:rsid w:val="007535DE"/>
    <w:rsid w:val="007538BA"/>
    <w:rsid w:val="00755E56"/>
    <w:rsid w:val="00756387"/>
    <w:rsid w:val="00756979"/>
    <w:rsid w:val="007578FB"/>
    <w:rsid w:val="00760CAB"/>
    <w:rsid w:val="007632CC"/>
    <w:rsid w:val="0076369D"/>
    <w:rsid w:val="0076371C"/>
    <w:rsid w:val="00764C4D"/>
    <w:rsid w:val="007656EC"/>
    <w:rsid w:val="00765DFD"/>
    <w:rsid w:val="00766814"/>
    <w:rsid w:val="00766B2E"/>
    <w:rsid w:val="00770147"/>
    <w:rsid w:val="00770A59"/>
    <w:rsid w:val="00770D48"/>
    <w:rsid w:val="00771505"/>
    <w:rsid w:val="00771DE2"/>
    <w:rsid w:val="007741E0"/>
    <w:rsid w:val="007745C4"/>
    <w:rsid w:val="007775AF"/>
    <w:rsid w:val="00777EAB"/>
    <w:rsid w:val="00780061"/>
    <w:rsid w:val="007808D0"/>
    <w:rsid w:val="00780FAE"/>
    <w:rsid w:val="00781277"/>
    <w:rsid w:val="00781E2D"/>
    <w:rsid w:val="00781F90"/>
    <w:rsid w:val="007834E6"/>
    <w:rsid w:val="00785515"/>
    <w:rsid w:val="007857B3"/>
    <w:rsid w:val="007870D9"/>
    <w:rsid w:val="00790D8E"/>
    <w:rsid w:val="00791419"/>
    <w:rsid w:val="0079195A"/>
    <w:rsid w:val="00791A70"/>
    <w:rsid w:val="00792990"/>
    <w:rsid w:val="0079386C"/>
    <w:rsid w:val="00793924"/>
    <w:rsid w:val="00794F77"/>
    <w:rsid w:val="00795B25"/>
    <w:rsid w:val="00796585"/>
    <w:rsid w:val="00797EDB"/>
    <w:rsid w:val="007A1187"/>
    <w:rsid w:val="007A139B"/>
    <w:rsid w:val="007A22D5"/>
    <w:rsid w:val="007A4AC1"/>
    <w:rsid w:val="007A6209"/>
    <w:rsid w:val="007A64CC"/>
    <w:rsid w:val="007A6C8A"/>
    <w:rsid w:val="007A7B91"/>
    <w:rsid w:val="007B15E8"/>
    <w:rsid w:val="007B1A7A"/>
    <w:rsid w:val="007B4FB0"/>
    <w:rsid w:val="007B56E9"/>
    <w:rsid w:val="007C1779"/>
    <w:rsid w:val="007C1EB5"/>
    <w:rsid w:val="007C3840"/>
    <w:rsid w:val="007C4833"/>
    <w:rsid w:val="007C5BBB"/>
    <w:rsid w:val="007C61A0"/>
    <w:rsid w:val="007C6D40"/>
    <w:rsid w:val="007C7178"/>
    <w:rsid w:val="007C7A0C"/>
    <w:rsid w:val="007D0554"/>
    <w:rsid w:val="007D0DFF"/>
    <w:rsid w:val="007D193A"/>
    <w:rsid w:val="007D2403"/>
    <w:rsid w:val="007D4F6D"/>
    <w:rsid w:val="007D5E61"/>
    <w:rsid w:val="007E1AC3"/>
    <w:rsid w:val="007E1D97"/>
    <w:rsid w:val="007E2FC2"/>
    <w:rsid w:val="007E5B4C"/>
    <w:rsid w:val="007F0B7F"/>
    <w:rsid w:val="007F22FD"/>
    <w:rsid w:val="007F2398"/>
    <w:rsid w:val="007F4643"/>
    <w:rsid w:val="007F4DE0"/>
    <w:rsid w:val="007F51D9"/>
    <w:rsid w:val="007F54AB"/>
    <w:rsid w:val="007F5866"/>
    <w:rsid w:val="007F7B1B"/>
    <w:rsid w:val="00801797"/>
    <w:rsid w:val="008036CF"/>
    <w:rsid w:val="00803BAD"/>
    <w:rsid w:val="00810499"/>
    <w:rsid w:val="00811251"/>
    <w:rsid w:val="008114F3"/>
    <w:rsid w:val="008136B9"/>
    <w:rsid w:val="00813763"/>
    <w:rsid w:val="008140CA"/>
    <w:rsid w:val="008143A9"/>
    <w:rsid w:val="008144CE"/>
    <w:rsid w:val="00816203"/>
    <w:rsid w:val="008166FB"/>
    <w:rsid w:val="00816BFD"/>
    <w:rsid w:val="0081758E"/>
    <w:rsid w:val="00817E79"/>
    <w:rsid w:val="008204F0"/>
    <w:rsid w:val="008250A2"/>
    <w:rsid w:val="008265F0"/>
    <w:rsid w:val="008315CE"/>
    <w:rsid w:val="008329D7"/>
    <w:rsid w:val="0083329C"/>
    <w:rsid w:val="00836F81"/>
    <w:rsid w:val="0084029D"/>
    <w:rsid w:val="00841374"/>
    <w:rsid w:val="00841740"/>
    <w:rsid w:val="00841DE0"/>
    <w:rsid w:val="00841ECA"/>
    <w:rsid w:val="00841FD5"/>
    <w:rsid w:val="00845AFC"/>
    <w:rsid w:val="0084629E"/>
    <w:rsid w:val="00847F00"/>
    <w:rsid w:val="00855E09"/>
    <w:rsid w:val="00856A9F"/>
    <w:rsid w:val="00857CB0"/>
    <w:rsid w:val="008612D1"/>
    <w:rsid w:val="00861626"/>
    <w:rsid w:val="008638E5"/>
    <w:rsid w:val="00863D2A"/>
    <w:rsid w:val="00864BDD"/>
    <w:rsid w:val="00865E2F"/>
    <w:rsid w:val="00866837"/>
    <w:rsid w:val="008672D7"/>
    <w:rsid w:val="00870955"/>
    <w:rsid w:val="00870E97"/>
    <w:rsid w:val="0087111B"/>
    <w:rsid w:val="00871853"/>
    <w:rsid w:val="00876328"/>
    <w:rsid w:val="0087724F"/>
    <w:rsid w:val="00880510"/>
    <w:rsid w:val="00881B7B"/>
    <w:rsid w:val="00882068"/>
    <w:rsid w:val="00885FCD"/>
    <w:rsid w:val="00887806"/>
    <w:rsid w:val="00887AC0"/>
    <w:rsid w:val="008902EC"/>
    <w:rsid w:val="00890541"/>
    <w:rsid w:val="00892F95"/>
    <w:rsid w:val="00893B3C"/>
    <w:rsid w:val="008943ED"/>
    <w:rsid w:val="008945B5"/>
    <w:rsid w:val="008946FF"/>
    <w:rsid w:val="00894B61"/>
    <w:rsid w:val="008A2065"/>
    <w:rsid w:val="008A2AC3"/>
    <w:rsid w:val="008A4729"/>
    <w:rsid w:val="008A69E0"/>
    <w:rsid w:val="008A7342"/>
    <w:rsid w:val="008B0E4D"/>
    <w:rsid w:val="008B2FC3"/>
    <w:rsid w:val="008B392B"/>
    <w:rsid w:val="008B4579"/>
    <w:rsid w:val="008B4C62"/>
    <w:rsid w:val="008B581C"/>
    <w:rsid w:val="008B61D3"/>
    <w:rsid w:val="008C004C"/>
    <w:rsid w:val="008C03D3"/>
    <w:rsid w:val="008C1EE4"/>
    <w:rsid w:val="008C1F52"/>
    <w:rsid w:val="008C2F18"/>
    <w:rsid w:val="008C5536"/>
    <w:rsid w:val="008C6026"/>
    <w:rsid w:val="008C7F06"/>
    <w:rsid w:val="008D1FCA"/>
    <w:rsid w:val="008D1FD1"/>
    <w:rsid w:val="008D2E9C"/>
    <w:rsid w:val="008E0A62"/>
    <w:rsid w:val="008E0C48"/>
    <w:rsid w:val="008E18AC"/>
    <w:rsid w:val="008E1D15"/>
    <w:rsid w:val="008E1DC0"/>
    <w:rsid w:val="008E30C3"/>
    <w:rsid w:val="008E363A"/>
    <w:rsid w:val="008E3AEC"/>
    <w:rsid w:val="008E3D54"/>
    <w:rsid w:val="008E6049"/>
    <w:rsid w:val="008E66F7"/>
    <w:rsid w:val="008E7245"/>
    <w:rsid w:val="008F20B7"/>
    <w:rsid w:val="008F5CC8"/>
    <w:rsid w:val="008F620C"/>
    <w:rsid w:val="00901566"/>
    <w:rsid w:val="00901592"/>
    <w:rsid w:val="00901D38"/>
    <w:rsid w:val="0090220C"/>
    <w:rsid w:val="00904673"/>
    <w:rsid w:val="0090469B"/>
    <w:rsid w:val="009068C1"/>
    <w:rsid w:val="00910DE0"/>
    <w:rsid w:val="009121A2"/>
    <w:rsid w:val="00912300"/>
    <w:rsid w:val="0091268F"/>
    <w:rsid w:val="00912E3D"/>
    <w:rsid w:val="00914C93"/>
    <w:rsid w:val="00915D09"/>
    <w:rsid w:val="009173DC"/>
    <w:rsid w:val="009200A8"/>
    <w:rsid w:val="0092069E"/>
    <w:rsid w:val="00921967"/>
    <w:rsid w:val="00922550"/>
    <w:rsid w:val="00922B60"/>
    <w:rsid w:val="00923A25"/>
    <w:rsid w:val="00925D4B"/>
    <w:rsid w:val="0092653B"/>
    <w:rsid w:val="00926857"/>
    <w:rsid w:val="00930702"/>
    <w:rsid w:val="00931A56"/>
    <w:rsid w:val="00933A75"/>
    <w:rsid w:val="00933E29"/>
    <w:rsid w:val="00934BF8"/>
    <w:rsid w:val="00934F25"/>
    <w:rsid w:val="00935557"/>
    <w:rsid w:val="00936B32"/>
    <w:rsid w:val="00937B9E"/>
    <w:rsid w:val="0094304A"/>
    <w:rsid w:val="00945393"/>
    <w:rsid w:val="0095084E"/>
    <w:rsid w:val="00952350"/>
    <w:rsid w:val="00953527"/>
    <w:rsid w:val="00954512"/>
    <w:rsid w:val="009551DE"/>
    <w:rsid w:val="0095687B"/>
    <w:rsid w:val="0095722B"/>
    <w:rsid w:val="0095752E"/>
    <w:rsid w:val="00960CD5"/>
    <w:rsid w:val="009619C3"/>
    <w:rsid w:val="0096294C"/>
    <w:rsid w:val="0096317C"/>
    <w:rsid w:val="00963193"/>
    <w:rsid w:val="009640A1"/>
    <w:rsid w:val="00964C52"/>
    <w:rsid w:val="0096523A"/>
    <w:rsid w:val="00966378"/>
    <w:rsid w:val="009708F0"/>
    <w:rsid w:val="009739B5"/>
    <w:rsid w:val="009759BA"/>
    <w:rsid w:val="00975A63"/>
    <w:rsid w:val="0097667F"/>
    <w:rsid w:val="00976E3C"/>
    <w:rsid w:val="00977EE9"/>
    <w:rsid w:val="00980867"/>
    <w:rsid w:val="0098288E"/>
    <w:rsid w:val="009828C0"/>
    <w:rsid w:val="009831AE"/>
    <w:rsid w:val="00983A42"/>
    <w:rsid w:val="00984B47"/>
    <w:rsid w:val="00985A2E"/>
    <w:rsid w:val="00990021"/>
    <w:rsid w:val="00990235"/>
    <w:rsid w:val="009933D4"/>
    <w:rsid w:val="009933E5"/>
    <w:rsid w:val="00994131"/>
    <w:rsid w:val="009951DF"/>
    <w:rsid w:val="00996C24"/>
    <w:rsid w:val="00997CD8"/>
    <w:rsid w:val="009A0BFC"/>
    <w:rsid w:val="009A2FBF"/>
    <w:rsid w:val="009A353B"/>
    <w:rsid w:val="009A35E2"/>
    <w:rsid w:val="009A4104"/>
    <w:rsid w:val="009A47C0"/>
    <w:rsid w:val="009A49AE"/>
    <w:rsid w:val="009A5299"/>
    <w:rsid w:val="009A5398"/>
    <w:rsid w:val="009A6042"/>
    <w:rsid w:val="009A6E60"/>
    <w:rsid w:val="009B2E84"/>
    <w:rsid w:val="009B4D82"/>
    <w:rsid w:val="009B4FFF"/>
    <w:rsid w:val="009B673D"/>
    <w:rsid w:val="009B6898"/>
    <w:rsid w:val="009B731D"/>
    <w:rsid w:val="009B74F6"/>
    <w:rsid w:val="009B7521"/>
    <w:rsid w:val="009C0F85"/>
    <w:rsid w:val="009C1CD4"/>
    <w:rsid w:val="009C210E"/>
    <w:rsid w:val="009C5257"/>
    <w:rsid w:val="009C65D8"/>
    <w:rsid w:val="009C6A93"/>
    <w:rsid w:val="009C6CD2"/>
    <w:rsid w:val="009D0373"/>
    <w:rsid w:val="009D03F8"/>
    <w:rsid w:val="009D19DD"/>
    <w:rsid w:val="009E10CA"/>
    <w:rsid w:val="009E3F65"/>
    <w:rsid w:val="009E4AAD"/>
    <w:rsid w:val="009E5F63"/>
    <w:rsid w:val="009E65CA"/>
    <w:rsid w:val="009E79D9"/>
    <w:rsid w:val="009F182B"/>
    <w:rsid w:val="009F29C8"/>
    <w:rsid w:val="009F5627"/>
    <w:rsid w:val="009F71F2"/>
    <w:rsid w:val="009F7440"/>
    <w:rsid w:val="00A01714"/>
    <w:rsid w:val="00A02404"/>
    <w:rsid w:val="00A02C6A"/>
    <w:rsid w:val="00A0335A"/>
    <w:rsid w:val="00A03AD0"/>
    <w:rsid w:val="00A04365"/>
    <w:rsid w:val="00A06532"/>
    <w:rsid w:val="00A07D0B"/>
    <w:rsid w:val="00A122BC"/>
    <w:rsid w:val="00A14C92"/>
    <w:rsid w:val="00A155E7"/>
    <w:rsid w:val="00A163D4"/>
    <w:rsid w:val="00A164D8"/>
    <w:rsid w:val="00A16A58"/>
    <w:rsid w:val="00A16E16"/>
    <w:rsid w:val="00A201B0"/>
    <w:rsid w:val="00A21375"/>
    <w:rsid w:val="00A23825"/>
    <w:rsid w:val="00A2383F"/>
    <w:rsid w:val="00A25CD5"/>
    <w:rsid w:val="00A26BF6"/>
    <w:rsid w:val="00A27087"/>
    <w:rsid w:val="00A30977"/>
    <w:rsid w:val="00A32D95"/>
    <w:rsid w:val="00A33C9A"/>
    <w:rsid w:val="00A367DA"/>
    <w:rsid w:val="00A36E84"/>
    <w:rsid w:val="00A37E6A"/>
    <w:rsid w:val="00A405D6"/>
    <w:rsid w:val="00A40624"/>
    <w:rsid w:val="00A40712"/>
    <w:rsid w:val="00A42C47"/>
    <w:rsid w:val="00A473A3"/>
    <w:rsid w:val="00A502D2"/>
    <w:rsid w:val="00A50477"/>
    <w:rsid w:val="00A50F27"/>
    <w:rsid w:val="00A513BD"/>
    <w:rsid w:val="00A568A5"/>
    <w:rsid w:val="00A576A4"/>
    <w:rsid w:val="00A64014"/>
    <w:rsid w:val="00A64CA6"/>
    <w:rsid w:val="00A65AD6"/>
    <w:rsid w:val="00A666B9"/>
    <w:rsid w:val="00A67227"/>
    <w:rsid w:val="00A704D5"/>
    <w:rsid w:val="00A70AEC"/>
    <w:rsid w:val="00A71221"/>
    <w:rsid w:val="00A72A49"/>
    <w:rsid w:val="00A72B41"/>
    <w:rsid w:val="00A74220"/>
    <w:rsid w:val="00A828CE"/>
    <w:rsid w:val="00A8304E"/>
    <w:rsid w:val="00A84697"/>
    <w:rsid w:val="00A8599F"/>
    <w:rsid w:val="00A86149"/>
    <w:rsid w:val="00A917BC"/>
    <w:rsid w:val="00A9200F"/>
    <w:rsid w:val="00A923FA"/>
    <w:rsid w:val="00A95505"/>
    <w:rsid w:val="00A97B50"/>
    <w:rsid w:val="00AA1B8A"/>
    <w:rsid w:val="00AA2E4E"/>
    <w:rsid w:val="00AA39F1"/>
    <w:rsid w:val="00AA62E5"/>
    <w:rsid w:val="00AA6992"/>
    <w:rsid w:val="00AB2B19"/>
    <w:rsid w:val="00AB46C9"/>
    <w:rsid w:val="00AB4C9E"/>
    <w:rsid w:val="00AB5FB9"/>
    <w:rsid w:val="00AB63CA"/>
    <w:rsid w:val="00AB67CD"/>
    <w:rsid w:val="00AB6946"/>
    <w:rsid w:val="00AB695B"/>
    <w:rsid w:val="00AB69F9"/>
    <w:rsid w:val="00AB6F1F"/>
    <w:rsid w:val="00AC25AB"/>
    <w:rsid w:val="00AC44D6"/>
    <w:rsid w:val="00AC4AE5"/>
    <w:rsid w:val="00AD096A"/>
    <w:rsid w:val="00AD0B48"/>
    <w:rsid w:val="00AD0BBF"/>
    <w:rsid w:val="00AD2AE2"/>
    <w:rsid w:val="00AD2FD1"/>
    <w:rsid w:val="00AD45C5"/>
    <w:rsid w:val="00AE15FA"/>
    <w:rsid w:val="00AE2AB6"/>
    <w:rsid w:val="00AE2AE2"/>
    <w:rsid w:val="00AE3F3C"/>
    <w:rsid w:val="00AE4375"/>
    <w:rsid w:val="00AE4B17"/>
    <w:rsid w:val="00AE4FB1"/>
    <w:rsid w:val="00AE5D32"/>
    <w:rsid w:val="00AE6EC2"/>
    <w:rsid w:val="00AF01B4"/>
    <w:rsid w:val="00AF211A"/>
    <w:rsid w:val="00AF2F06"/>
    <w:rsid w:val="00AF3F88"/>
    <w:rsid w:val="00AF5231"/>
    <w:rsid w:val="00AF526A"/>
    <w:rsid w:val="00AF7002"/>
    <w:rsid w:val="00AF7CA0"/>
    <w:rsid w:val="00AF7D0B"/>
    <w:rsid w:val="00B01000"/>
    <w:rsid w:val="00B021F3"/>
    <w:rsid w:val="00B02D70"/>
    <w:rsid w:val="00B03209"/>
    <w:rsid w:val="00B07A9B"/>
    <w:rsid w:val="00B126B5"/>
    <w:rsid w:val="00B1418A"/>
    <w:rsid w:val="00B141AC"/>
    <w:rsid w:val="00B14DDA"/>
    <w:rsid w:val="00B15FA1"/>
    <w:rsid w:val="00B20070"/>
    <w:rsid w:val="00B20A4F"/>
    <w:rsid w:val="00B23ECB"/>
    <w:rsid w:val="00B260E6"/>
    <w:rsid w:val="00B27178"/>
    <w:rsid w:val="00B27A60"/>
    <w:rsid w:val="00B27D7C"/>
    <w:rsid w:val="00B31C55"/>
    <w:rsid w:val="00B3525F"/>
    <w:rsid w:val="00B36BE0"/>
    <w:rsid w:val="00B37CC5"/>
    <w:rsid w:val="00B43435"/>
    <w:rsid w:val="00B4404D"/>
    <w:rsid w:val="00B469C3"/>
    <w:rsid w:val="00B504E4"/>
    <w:rsid w:val="00B53785"/>
    <w:rsid w:val="00B538ED"/>
    <w:rsid w:val="00B54047"/>
    <w:rsid w:val="00B54659"/>
    <w:rsid w:val="00B54CC3"/>
    <w:rsid w:val="00B5508F"/>
    <w:rsid w:val="00B55C4B"/>
    <w:rsid w:val="00B560B2"/>
    <w:rsid w:val="00B56E3B"/>
    <w:rsid w:val="00B61BAB"/>
    <w:rsid w:val="00B620E5"/>
    <w:rsid w:val="00B633A6"/>
    <w:rsid w:val="00B64604"/>
    <w:rsid w:val="00B65949"/>
    <w:rsid w:val="00B67249"/>
    <w:rsid w:val="00B701F0"/>
    <w:rsid w:val="00B704DA"/>
    <w:rsid w:val="00B725A5"/>
    <w:rsid w:val="00B73004"/>
    <w:rsid w:val="00B73A92"/>
    <w:rsid w:val="00B749D0"/>
    <w:rsid w:val="00B779FA"/>
    <w:rsid w:val="00B77A7B"/>
    <w:rsid w:val="00B8005E"/>
    <w:rsid w:val="00B8199A"/>
    <w:rsid w:val="00B82782"/>
    <w:rsid w:val="00B82A2A"/>
    <w:rsid w:val="00B82CFD"/>
    <w:rsid w:val="00B83473"/>
    <w:rsid w:val="00B83475"/>
    <w:rsid w:val="00B8499E"/>
    <w:rsid w:val="00B84E26"/>
    <w:rsid w:val="00B8628E"/>
    <w:rsid w:val="00B931B3"/>
    <w:rsid w:val="00B95B71"/>
    <w:rsid w:val="00B96A71"/>
    <w:rsid w:val="00BA00E4"/>
    <w:rsid w:val="00BA1421"/>
    <w:rsid w:val="00BA1B07"/>
    <w:rsid w:val="00BA300A"/>
    <w:rsid w:val="00BA41F0"/>
    <w:rsid w:val="00BB0AFC"/>
    <w:rsid w:val="00BB2D8C"/>
    <w:rsid w:val="00BB2E83"/>
    <w:rsid w:val="00BB332E"/>
    <w:rsid w:val="00BB3F55"/>
    <w:rsid w:val="00BB48B2"/>
    <w:rsid w:val="00BB4E4D"/>
    <w:rsid w:val="00BB607C"/>
    <w:rsid w:val="00BB6703"/>
    <w:rsid w:val="00BB7DDE"/>
    <w:rsid w:val="00BC057E"/>
    <w:rsid w:val="00BC16A1"/>
    <w:rsid w:val="00BC3A77"/>
    <w:rsid w:val="00BC5D27"/>
    <w:rsid w:val="00BD0912"/>
    <w:rsid w:val="00BD0D3D"/>
    <w:rsid w:val="00BD39BD"/>
    <w:rsid w:val="00BD62F5"/>
    <w:rsid w:val="00BD6F3E"/>
    <w:rsid w:val="00BD6F71"/>
    <w:rsid w:val="00BD7023"/>
    <w:rsid w:val="00BD7575"/>
    <w:rsid w:val="00BE048C"/>
    <w:rsid w:val="00BE0AC4"/>
    <w:rsid w:val="00BE1849"/>
    <w:rsid w:val="00BE3F40"/>
    <w:rsid w:val="00BE4102"/>
    <w:rsid w:val="00BE4D4F"/>
    <w:rsid w:val="00BE5E5C"/>
    <w:rsid w:val="00BE6A4D"/>
    <w:rsid w:val="00BE741D"/>
    <w:rsid w:val="00BF184A"/>
    <w:rsid w:val="00BF31AD"/>
    <w:rsid w:val="00BF5BD4"/>
    <w:rsid w:val="00C00A4C"/>
    <w:rsid w:val="00C016B5"/>
    <w:rsid w:val="00C01E1F"/>
    <w:rsid w:val="00C03F13"/>
    <w:rsid w:val="00C04152"/>
    <w:rsid w:val="00C045FA"/>
    <w:rsid w:val="00C04A90"/>
    <w:rsid w:val="00C0700A"/>
    <w:rsid w:val="00C07351"/>
    <w:rsid w:val="00C07601"/>
    <w:rsid w:val="00C07BC4"/>
    <w:rsid w:val="00C119E6"/>
    <w:rsid w:val="00C15074"/>
    <w:rsid w:val="00C171D9"/>
    <w:rsid w:val="00C17B02"/>
    <w:rsid w:val="00C17B39"/>
    <w:rsid w:val="00C2081C"/>
    <w:rsid w:val="00C20924"/>
    <w:rsid w:val="00C20962"/>
    <w:rsid w:val="00C2148A"/>
    <w:rsid w:val="00C21AA9"/>
    <w:rsid w:val="00C23041"/>
    <w:rsid w:val="00C25299"/>
    <w:rsid w:val="00C25672"/>
    <w:rsid w:val="00C2625C"/>
    <w:rsid w:val="00C311C5"/>
    <w:rsid w:val="00C31813"/>
    <w:rsid w:val="00C3200F"/>
    <w:rsid w:val="00C336BC"/>
    <w:rsid w:val="00C350C8"/>
    <w:rsid w:val="00C36018"/>
    <w:rsid w:val="00C368F6"/>
    <w:rsid w:val="00C37458"/>
    <w:rsid w:val="00C419D2"/>
    <w:rsid w:val="00C421D0"/>
    <w:rsid w:val="00C43218"/>
    <w:rsid w:val="00C43244"/>
    <w:rsid w:val="00C473BF"/>
    <w:rsid w:val="00C47EBD"/>
    <w:rsid w:val="00C50EF1"/>
    <w:rsid w:val="00C51632"/>
    <w:rsid w:val="00C52996"/>
    <w:rsid w:val="00C52E60"/>
    <w:rsid w:val="00C5334E"/>
    <w:rsid w:val="00C53BAB"/>
    <w:rsid w:val="00C5632A"/>
    <w:rsid w:val="00C603FE"/>
    <w:rsid w:val="00C60C53"/>
    <w:rsid w:val="00C618AE"/>
    <w:rsid w:val="00C62A19"/>
    <w:rsid w:val="00C66A3D"/>
    <w:rsid w:val="00C66C3F"/>
    <w:rsid w:val="00C66FF7"/>
    <w:rsid w:val="00C6787A"/>
    <w:rsid w:val="00C7246A"/>
    <w:rsid w:val="00C72702"/>
    <w:rsid w:val="00C73CF9"/>
    <w:rsid w:val="00C742EE"/>
    <w:rsid w:val="00C74945"/>
    <w:rsid w:val="00C76470"/>
    <w:rsid w:val="00C76686"/>
    <w:rsid w:val="00C779DA"/>
    <w:rsid w:val="00C80C7F"/>
    <w:rsid w:val="00C822CC"/>
    <w:rsid w:val="00C8288E"/>
    <w:rsid w:val="00C82A1D"/>
    <w:rsid w:val="00C838F5"/>
    <w:rsid w:val="00C84246"/>
    <w:rsid w:val="00C846F8"/>
    <w:rsid w:val="00C85DA3"/>
    <w:rsid w:val="00C9539C"/>
    <w:rsid w:val="00C968AB"/>
    <w:rsid w:val="00C96F95"/>
    <w:rsid w:val="00CA3A78"/>
    <w:rsid w:val="00CA4607"/>
    <w:rsid w:val="00CA5C63"/>
    <w:rsid w:val="00CA644B"/>
    <w:rsid w:val="00CA6CCF"/>
    <w:rsid w:val="00CA6D16"/>
    <w:rsid w:val="00CA7C8C"/>
    <w:rsid w:val="00CA7E78"/>
    <w:rsid w:val="00CB1119"/>
    <w:rsid w:val="00CB30F5"/>
    <w:rsid w:val="00CB3F65"/>
    <w:rsid w:val="00CB5390"/>
    <w:rsid w:val="00CB6FFF"/>
    <w:rsid w:val="00CB782F"/>
    <w:rsid w:val="00CC079D"/>
    <w:rsid w:val="00CC18FC"/>
    <w:rsid w:val="00CC20B4"/>
    <w:rsid w:val="00CC23BF"/>
    <w:rsid w:val="00CC3B68"/>
    <w:rsid w:val="00CC440A"/>
    <w:rsid w:val="00CC638F"/>
    <w:rsid w:val="00CC6593"/>
    <w:rsid w:val="00CC672B"/>
    <w:rsid w:val="00CC75E9"/>
    <w:rsid w:val="00CD0F81"/>
    <w:rsid w:val="00CD495C"/>
    <w:rsid w:val="00CD4B2F"/>
    <w:rsid w:val="00CD52E2"/>
    <w:rsid w:val="00CD563A"/>
    <w:rsid w:val="00CD5A35"/>
    <w:rsid w:val="00CD6773"/>
    <w:rsid w:val="00CE09AC"/>
    <w:rsid w:val="00CE159E"/>
    <w:rsid w:val="00CE23B0"/>
    <w:rsid w:val="00CE2D00"/>
    <w:rsid w:val="00CE30E6"/>
    <w:rsid w:val="00CE46FA"/>
    <w:rsid w:val="00CE57DD"/>
    <w:rsid w:val="00CE5935"/>
    <w:rsid w:val="00CE6CF3"/>
    <w:rsid w:val="00CE798E"/>
    <w:rsid w:val="00CF03A8"/>
    <w:rsid w:val="00CF0AAC"/>
    <w:rsid w:val="00CF122F"/>
    <w:rsid w:val="00CF3A19"/>
    <w:rsid w:val="00CF6E5B"/>
    <w:rsid w:val="00CF6E97"/>
    <w:rsid w:val="00CF7712"/>
    <w:rsid w:val="00CF7D63"/>
    <w:rsid w:val="00D0028F"/>
    <w:rsid w:val="00D023D3"/>
    <w:rsid w:val="00D02424"/>
    <w:rsid w:val="00D04D98"/>
    <w:rsid w:val="00D05DE8"/>
    <w:rsid w:val="00D06BD4"/>
    <w:rsid w:val="00D06C58"/>
    <w:rsid w:val="00D07343"/>
    <w:rsid w:val="00D10D62"/>
    <w:rsid w:val="00D10F58"/>
    <w:rsid w:val="00D12A15"/>
    <w:rsid w:val="00D13594"/>
    <w:rsid w:val="00D15001"/>
    <w:rsid w:val="00D155C4"/>
    <w:rsid w:val="00D21B8D"/>
    <w:rsid w:val="00D23B85"/>
    <w:rsid w:val="00D25750"/>
    <w:rsid w:val="00D25BAC"/>
    <w:rsid w:val="00D2635A"/>
    <w:rsid w:val="00D272B0"/>
    <w:rsid w:val="00D335A6"/>
    <w:rsid w:val="00D33CCC"/>
    <w:rsid w:val="00D34BE7"/>
    <w:rsid w:val="00D361E1"/>
    <w:rsid w:val="00D362A1"/>
    <w:rsid w:val="00D43A44"/>
    <w:rsid w:val="00D43FA6"/>
    <w:rsid w:val="00D44100"/>
    <w:rsid w:val="00D44BA0"/>
    <w:rsid w:val="00D457A2"/>
    <w:rsid w:val="00D45C13"/>
    <w:rsid w:val="00D46951"/>
    <w:rsid w:val="00D46C12"/>
    <w:rsid w:val="00D47F74"/>
    <w:rsid w:val="00D50899"/>
    <w:rsid w:val="00D50AC0"/>
    <w:rsid w:val="00D541FA"/>
    <w:rsid w:val="00D54456"/>
    <w:rsid w:val="00D545E0"/>
    <w:rsid w:val="00D560E8"/>
    <w:rsid w:val="00D5694F"/>
    <w:rsid w:val="00D5766D"/>
    <w:rsid w:val="00D57799"/>
    <w:rsid w:val="00D57F96"/>
    <w:rsid w:val="00D607E5"/>
    <w:rsid w:val="00D624B9"/>
    <w:rsid w:val="00D6279F"/>
    <w:rsid w:val="00D64264"/>
    <w:rsid w:val="00D65E67"/>
    <w:rsid w:val="00D679F3"/>
    <w:rsid w:val="00D67C07"/>
    <w:rsid w:val="00D70E96"/>
    <w:rsid w:val="00D7195C"/>
    <w:rsid w:val="00D71F02"/>
    <w:rsid w:val="00D7244C"/>
    <w:rsid w:val="00D724FC"/>
    <w:rsid w:val="00D726CF"/>
    <w:rsid w:val="00D727B2"/>
    <w:rsid w:val="00D72F63"/>
    <w:rsid w:val="00D73435"/>
    <w:rsid w:val="00D73B4C"/>
    <w:rsid w:val="00D74B9C"/>
    <w:rsid w:val="00D75EA2"/>
    <w:rsid w:val="00D77D1E"/>
    <w:rsid w:val="00D83A07"/>
    <w:rsid w:val="00D847D4"/>
    <w:rsid w:val="00D849C0"/>
    <w:rsid w:val="00D85225"/>
    <w:rsid w:val="00D868F9"/>
    <w:rsid w:val="00D90990"/>
    <w:rsid w:val="00D91131"/>
    <w:rsid w:val="00D93F79"/>
    <w:rsid w:val="00D956B2"/>
    <w:rsid w:val="00D97B59"/>
    <w:rsid w:val="00DA0162"/>
    <w:rsid w:val="00DA0520"/>
    <w:rsid w:val="00DA1727"/>
    <w:rsid w:val="00DA18BB"/>
    <w:rsid w:val="00DA18F8"/>
    <w:rsid w:val="00DA1F4B"/>
    <w:rsid w:val="00DA3626"/>
    <w:rsid w:val="00DA5DB9"/>
    <w:rsid w:val="00DA6B97"/>
    <w:rsid w:val="00DB1EEA"/>
    <w:rsid w:val="00DB72B0"/>
    <w:rsid w:val="00DB7522"/>
    <w:rsid w:val="00DC001E"/>
    <w:rsid w:val="00DC0936"/>
    <w:rsid w:val="00DC09CC"/>
    <w:rsid w:val="00DC235E"/>
    <w:rsid w:val="00DC2DEA"/>
    <w:rsid w:val="00DC429B"/>
    <w:rsid w:val="00DC5E9F"/>
    <w:rsid w:val="00DC634E"/>
    <w:rsid w:val="00DC65DA"/>
    <w:rsid w:val="00DC668B"/>
    <w:rsid w:val="00DC68A8"/>
    <w:rsid w:val="00DC6F0C"/>
    <w:rsid w:val="00DC74DE"/>
    <w:rsid w:val="00DC7A47"/>
    <w:rsid w:val="00DD104B"/>
    <w:rsid w:val="00DD16F4"/>
    <w:rsid w:val="00DD3B99"/>
    <w:rsid w:val="00DD7927"/>
    <w:rsid w:val="00DE176A"/>
    <w:rsid w:val="00DE37C6"/>
    <w:rsid w:val="00DE38E6"/>
    <w:rsid w:val="00DE3EC9"/>
    <w:rsid w:val="00DE3F36"/>
    <w:rsid w:val="00DF04BB"/>
    <w:rsid w:val="00DF0BC4"/>
    <w:rsid w:val="00DF1254"/>
    <w:rsid w:val="00DF4B01"/>
    <w:rsid w:val="00DF5E99"/>
    <w:rsid w:val="00DF60F4"/>
    <w:rsid w:val="00DF62D7"/>
    <w:rsid w:val="00DF74D7"/>
    <w:rsid w:val="00E00BA1"/>
    <w:rsid w:val="00E00F3B"/>
    <w:rsid w:val="00E013A7"/>
    <w:rsid w:val="00E01882"/>
    <w:rsid w:val="00E02FED"/>
    <w:rsid w:val="00E046F0"/>
    <w:rsid w:val="00E04830"/>
    <w:rsid w:val="00E07053"/>
    <w:rsid w:val="00E0772B"/>
    <w:rsid w:val="00E07EEB"/>
    <w:rsid w:val="00E10221"/>
    <w:rsid w:val="00E11DDF"/>
    <w:rsid w:val="00E127B7"/>
    <w:rsid w:val="00E15865"/>
    <w:rsid w:val="00E178D2"/>
    <w:rsid w:val="00E20E7B"/>
    <w:rsid w:val="00E22BF7"/>
    <w:rsid w:val="00E22F47"/>
    <w:rsid w:val="00E26EAB"/>
    <w:rsid w:val="00E3060D"/>
    <w:rsid w:val="00E30DAB"/>
    <w:rsid w:val="00E329D8"/>
    <w:rsid w:val="00E32B3A"/>
    <w:rsid w:val="00E34142"/>
    <w:rsid w:val="00E37C9D"/>
    <w:rsid w:val="00E40B5D"/>
    <w:rsid w:val="00E40EC9"/>
    <w:rsid w:val="00E4273B"/>
    <w:rsid w:val="00E429CA"/>
    <w:rsid w:val="00E4426F"/>
    <w:rsid w:val="00E449E0"/>
    <w:rsid w:val="00E45BB8"/>
    <w:rsid w:val="00E46090"/>
    <w:rsid w:val="00E46B31"/>
    <w:rsid w:val="00E472C4"/>
    <w:rsid w:val="00E52A6D"/>
    <w:rsid w:val="00E535B1"/>
    <w:rsid w:val="00E53D9D"/>
    <w:rsid w:val="00E54DBB"/>
    <w:rsid w:val="00E55225"/>
    <w:rsid w:val="00E569B5"/>
    <w:rsid w:val="00E61FB9"/>
    <w:rsid w:val="00E623A4"/>
    <w:rsid w:val="00E62AA5"/>
    <w:rsid w:val="00E62B24"/>
    <w:rsid w:val="00E6350B"/>
    <w:rsid w:val="00E63FA8"/>
    <w:rsid w:val="00E64385"/>
    <w:rsid w:val="00E64625"/>
    <w:rsid w:val="00E64663"/>
    <w:rsid w:val="00E65943"/>
    <w:rsid w:val="00E65F3E"/>
    <w:rsid w:val="00E67984"/>
    <w:rsid w:val="00E67EC5"/>
    <w:rsid w:val="00E7052F"/>
    <w:rsid w:val="00E7063A"/>
    <w:rsid w:val="00E720E4"/>
    <w:rsid w:val="00E72178"/>
    <w:rsid w:val="00E74A56"/>
    <w:rsid w:val="00E769A3"/>
    <w:rsid w:val="00E77CA8"/>
    <w:rsid w:val="00E77E03"/>
    <w:rsid w:val="00E8106C"/>
    <w:rsid w:val="00E820F7"/>
    <w:rsid w:val="00E82305"/>
    <w:rsid w:val="00E827FA"/>
    <w:rsid w:val="00E84DF0"/>
    <w:rsid w:val="00E858BB"/>
    <w:rsid w:val="00E90F87"/>
    <w:rsid w:val="00E92E85"/>
    <w:rsid w:val="00E96241"/>
    <w:rsid w:val="00E967C3"/>
    <w:rsid w:val="00EA2689"/>
    <w:rsid w:val="00EA3D93"/>
    <w:rsid w:val="00EA42B1"/>
    <w:rsid w:val="00EA5628"/>
    <w:rsid w:val="00EA5D3A"/>
    <w:rsid w:val="00EA6C24"/>
    <w:rsid w:val="00EA78B1"/>
    <w:rsid w:val="00EA7DB5"/>
    <w:rsid w:val="00EB1CEA"/>
    <w:rsid w:val="00EB2373"/>
    <w:rsid w:val="00EB2DBB"/>
    <w:rsid w:val="00EB3443"/>
    <w:rsid w:val="00EB5083"/>
    <w:rsid w:val="00EB5589"/>
    <w:rsid w:val="00EC0F9B"/>
    <w:rsid w:val="00EC1810"/>
    <w:rsid w:val="00EC4044"/>
    <w:rsid w:val="00EC54E5"/>
    <w:rsid w:val="00EC631B"/>
    <w:rsid w:val="00ED027A"/>
    <w:rsid w:val="00ED0937"/>
    <w:rsid w:val="00ED0EF0"/>
    <w:rsid w:val="00ED332E"/>
    <w:rsid w:val="00ED6CD7"/>
    <w:rsid w:val="00EE0D97"/>
    <w:rsid w:val="00EE217B"/>
    <w:rsid w:val="00EE5FC0"/>
    <w:rsid w:val="00EE6EC4"/>
    <w:rsid w:val="00EE726D"/>
    <w:rsid w:val="00EE7AD9"/>
    <w:rsid w:val="00EF2018"/>
    <w:rsid w:val="00EF23CC"/>
    <w:rsid w:val="00EF2FDA"/>
    <w:rsid w:val="00EF5B8E"/>
    <w:rsid w:val="00EF711E"/>
    <w:rsid w:val="00F0012A"/>
    <w:rsid w:val="00F00929"/>
    <w:rsid w:val="00F0119E"/>
    <w:rsid w:val="00F013B3"/>
    <w:rsid w:val="00F02915"/>
    <w:rsid w:val="00F02B39"/>
    <w:rsid w:val="00F03B1C"/>
    <w:rsid w:val="00F03BCE"/>
    <w:rsid w:val="00F03FD0"/>
    <w:rsid w:val="00F04029"/>
    <w:rsid w:val="00F04CFE"/>
    <w:rsid w:val="00F07C3D"/>
    <w:rsid w:val="00F103E4"/>
    <w:rsid w:val="00F1108E"/>
    <w:rsid w:val="00F130F2"/>
    <w:rsid w:val="00F13B2D"/>
    <w:rsid w:val="00F13FF8"/>
    <w:rsid w:val="00F144CB"/>
    <w:rsid w:val="00F17376"/>
    <w:rsid w:val="00F17FEC"/>
    <w:rsid w:val="00F2094D"/>
    <w:rsid w:val="00F20DEC"/>
    <w:rsid w:val="00F21891"/>
    <w:rsid w:val="00F21A91"/>
    <w:rsid w:val="00F21CCC"/>
    <w:rsid w:val="00F23399"/>
    <w:rsid w:val="00F24B03"/>
    <w:rsid w:val="00F24C81"/>
    <w:rsid w:val="00F24D80"/>
    <w:rsid w:val="00F263D3"/>
    <w:rsid w:val="00F26DF1"/>
    <w:rsid w:val="00F303A3"/>
    <w:rsid w:val="00F33B55"/>
    <w:rsid w:val="00F351B4"/>
    <w:rsid w:val="00F35908"/>
    <w:rsid w:val="00F3596D"/>
    <w:rsid w:val="00F408E2"/>
    <w:rsid w:val="00F41BE1"/>
    <w:rsid w:val="00F42989"/>
    <w:rsid w:val="00F44F99"/>
    <w:rsid w:val="00F467BE"/>
    <w:rsid w:val="00F522D9"/>
    <w:rsid w:val="00F5282A"/>
    <w:rsid w:val="00F52AA4"/>
    <w:rsid w:val="00F53D36"/>
    <w:rsid w:val="00F55083"/>
    <w:rsid w:val="00F56FCE"/>
    <w:rsid w:val="00F57017"/>
    <w:rsid w:val="00F579B8"/>
    <w:rsid w:val="00F60337"/>
    <w:rsid w:val="00F6075E"/>
    <w:rsid w:val="00F6078C"/>
    <w:rsid w:val="00F607CF"/>
    <w:rsid w:val="00F61F0B"/>
    <w:rsid w:val="00F62138"/>
    <w:rsid w:val="00F62A94"/>
    <w:rsid w:val="00F6502C"/>
    <w:rsid w:val="00F65318"/>
    <w:rsid w:val="00F6532F"/>
    <w:rsid w:val="00F65695"/>
    <w:rsid w:val="00F674D1"/>
    <w:rsid w:val="00F7306A"/>
    <w:rsid w:val="00F739F4"/>
    <w:rsid w:val="00F7571D"/>
    <w:rsid w:val="00F75DF0"/>
    <w:rsid w:val="00F77BCB"/>
    <w:rsid w:val="00F80E97"/>
    <w:rsid w:val="00F8178B"/>
    <w:rsid w:val="00F81E19"/>
    <w:rsid w:val="00F8297D"/>
    <w:rsid w:val="00F82EAF"/>
    <w:rsid w:val="00F83E7C"/>
    <w:rsid w:val="00F84082"/>
    <w:rsid w:val="00F8463B"/>
    <w:rsid w:val="00F85751"/>
    <w:rsid w:val="00F8580F"/>
    <w:rsid w:val="00F86AFA"/>
    <w:rsid w:val="00F86FEE"/>
    <w:rsid w:val="00F87CA0"/>
    <w:rsid w:val="00F90006"/>
    <w:rsid w:val="00F92268"/>
    <w:rsid w:val="00F93462"/>
    <w:rsid w:val="00F938A2"/>
    <w:rsid w:val="00F9463B"/>
    <w:rsid w:val="00F952E3"/>
    <w:rsid w:val="00FA024B"/>
    <w:rsid w:val="00FA03A4"/>
    <w:rsid w:val="00FA19EA"/>
    <w:rsid w:val="00FA32AA"/>
    <w:rsid w:val="00FA37CB"/>
    <w:rsid w:val="00FA3A3C"/>
    <w:rsid w:val="00FA486C"/>
    <w:rsid w:val="00FA6182"/>
    <w:rsid w:val="00FA762D"/>
    <w:rsid w:val="00FB0A97"/>
    <w:rsid w:val="00FB1098"/>
    <w:rsid w:val="00FB19E8"/>
    <w:rsid w:val="00FB23E5"/>
    <w:rsid w:val="00FB242F"/>
    <w:rsid w:val="00FB2B3B"/>
    <w:rsid w:val="00FB599C"/>
    <w:rsid w:val="00FB62A3"/>
    <w:rsid w:val="00FB657D"/>
    <w:rsid w:val="00FB7676"/>
    <w:rsid w:val="00FC034F"/>
    <w:rsid w:val="00FC0DD5"/>
    <w:rsid w:val="00FC153C"/>
    <w:rsid w:val="00FC5FB9"/>
    <w:rsid w:val="00FC64F4"/>
    <w:rsid w:val="00FC699E"/>
    <w:rsid w:val="00FC6BAA"/>
    <w:rsid w:val="00FC7400"/>
    <w:rsid w:val="00FD0518"/>
    <w:rsid w:val="00FD0AFB"/>
    <w:rsid w:val="00FD2AB3"/>
    <w:rsid w:val="00FD2D14"/>
    <w:rsid w:val="00FD45B6"/>
    <w:rsid w:val="00FD4D2D"/>
    <w:rsid w:val="00FD6254"/>
    <w:rsid w:val="00FD6902"/>
    <w:rsid w:val="00FD7551"/>
    <w:rsid w:val="00FE07FB"/>
    <w:rsid w:val="00FE1920"/>
    <w:rsid w:val="00FE1DA9"/>
    <w:rsid w:val="00FE1FF8"/>
    <w:rsid w:val="00FE32F3"/>
    <w:rsid w:val="00FE51D9"/>
    <w:rsid w:val="00FE5232"/>
    <w:rsid w:val="00FE5EFF"/>
    <w:rsid w:val="00FF1608"/>
    <w:rsid w:val="00FF1E98"/>
    <w:rsid w:val="00FF2C9C"/>
    <w:rsid w:val="00FF5044"/>
    <w:rsid w:val="00FF5159"/>
    <w:rsid w:val="00FF6901"/>
    <w:rsid w:val="00FF6E77"/>
    <w:rsid w:val="00FF73B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354FEF"/>
  <w15:docId w15:val="{14F3F2EF-FE20-4975-ABB9-01D7D6CF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69"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28A"/>
    <w:rPr>
      <w:rFonts w:ascii="Times New Roman" w:hAnsi="Times New Roman"/>
      <w:sz w:val="24"/>
    </w:rPr>
  </w:style>
  <w:style w:type="paragraph" w:styleId="Heading1">
    <w:name w:val="heading 1"/>
    <w:basedOn w:val="Normal"/>
    <w:next w:val="Normal"/>
    <w:link w:val="Heading1Char"/>
    <w:uiPriority w:val="9"/>
    <w:qFormat/>
    <w:rsid w:val="00F20DEC"/>
    <w:pPr>
      <w:keepNext/>
      <w:keepLines/>
      <w:numPr>
        <w:numId w:val="1"/>
      </w:numPr>
      <w:spacing w:before="480" w:after="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4278E7"/>
    <w:pPr>
      <w:keepNext/>
      <w:numPr>
        <w:ilvl w:val="1"/>
        <w:numId w:val="1"/>
      </w:numPr>
      <w:spacing w:before="240"/>
      <w:outlineLvl w:val="1"/>
    </w:pPr>
    <w:rPr>
      <w:b/>
      <w:smallCaps/>
    </w:rPr>
  </w:style>
  <w:style w:type="paragraph" w:styleId="Heading3">
    <w:name w:val="heading 3"/>
    <w:basedOn w:val="Normal"/>
    <w:next w:val="Normal"/>
    <w:link w:val="Heading3Char"/>
    <w:uiPriority w:val="9"/>
    <w:unhideWhenUsed/>
    <w:qFormat/>
    <w:rsid w:val="00F20DEC"/>
    <w:pPr>
      <w:keepNext/>
      <w:keepLines/>
      <w:spacing w:before="200" w:after="0"/>
      <w:ind w:left="227"/>
      <w:outlineLvl w:val="2"/>
    </w:pPr>
    <w:rPr>
      <w:rFonts w:eastAsiaTheme="majorEastAsia" w:cstheme="majorBidi"/>
      <w:b/>
      <w:bCs/>
    </w:rPr>
  </w:style>
  <w:style w:type="paragraph" w:styleId="Heading4">
    <w:name w:val="heading 4"/>
    <w:basedOn w:val="Heading3"/>
    <w:next w:val="Normal"/>
    <w:link w:val="Heading4Char"/>
    <w:uiPriority w:val="9"/>
    <w:unhideWhenUsed/>
    <w:qFormat/>
    <w:rsid w:val="00B701F0"/>
    <w:pPr>
      <w:outlineLvl w:val="3"/>
    </w:pPr>
    <w:rPr>
      <w:i/>
      <w:lang w:val="en-GB"/>
    </w:rPr>
  </w:style>
  <w:style w:type="paragraph" w:styleId="Heading5">
    <w:name w:val="heading 5"/>
    <w:basedOn w:val="Normal"/>
    <w:next w:val="Normal"/>
    <w:link w:val="Heading5Char"/>
    <w:uiPriority w:val="9"/>
    <w:unhideWhenUsed/>
    <w:qFormat/>
    <w:rsid w:val="00C846F8"/>
    <w:pPr>
      <w:outlineLvl w:val="4"/>
    </w:pPr>
    <w:rPr>
      <w:i/>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DEC"/>
    <w:rPr>
      <w:rFonts w:ascii="Times New Roman" w:eastAsiaTheme="majorEastAsia" w:hAnsi="Times New Roman" w:cstheme="majorBidi"/>
      <w:b/>
      <w:bCs/>
      <w:caps/>
      <w:sz w:val="28"/>
      <w:szCs w:val="28"/>
    </w:rPr>
  </w:style>
  <w:style w:type="character" w:customStyle="1" w:styleId="Heading2Char">
    <w:name w:val="Heading 2 Char"/>
    <w:basedOn w:val="DefaultParagraphFont"/>
    <w:link w:val="Heading2"/>
    <w:uiPriority w:val="9"/>
    <w:rsid w:val="004278E7"/>
    <w:rPr>
      <w:rFonts w:ascii="Times New Roman" w:hAnsi="Times New Roman"/>
      <w:b/>
      <w:smallCaps/>
      <w:sz w:val="24"/>
    </w:rPr>
  </w:style>
  <w:style w:type="character" w:customStyle="1" w:styleId="Heading3Char">
    <w:name w:val="Heading 3 Char"/>
    <w:basedOn w:val="DefaultParagraphFont"/>
    <w:link w:val="Heading3"/>
    <w:uiPriority w:val="9"/>
    <w:rsid w:val="00F20DEC"/>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B701F0"/>
    <w:rPr>
      <w:rFonts w:ascii="Times New Roman" w:eastAsiaTheme="majorEastAsia" w:hAnsi="Times New Roman" w:cstheme="majorBidi"/>
      <w:b/>
      <w:bCs/>
      <w:i/>
      <w:lang w:val="en-GB"/>
    </w:rPr>
  </w:style>
  <w:style w:type="character" w:customStyle="1" w:styleId="Heading5Char">
    <w:name w:val="Heading 5 Char"/>
    <w:basedOn w:val="DefaultParagraphFont"/>
    <w:link w:val="Heading5"/>
    <w:uiPriority w:val="9"/>
    <w:rsid w:val="00C846F8"/>
    <w:rPr>
      <w:rFonts w:ascii="Times New Roman" w:hAnsi="Times New Roman"/>
      <w:i/>
      <w:sz w:val="24"/>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next w:val="Normal"/>
    <w:uiPriority w:val="34"/>
    <w:qFormat/>
    <w:rsid w:val="00AF7002"/>
    <w:pPr>
      <w:numPr>
        <w:numId w:val="16"/>
      </w:numPr>
      <w:contextualSpacing/>
    </w:pPr>
    <w:rPr>
      <w:noProof/>
    </w:rPr>
  </w:style>
  <w:style w:type="character" w:styleId="CommentReference">
    <w:name w:val="annotation reference"/>
    <w:basedOn w:val="DefaultParagraphFont"/>
    <w:uiPriority w:val="6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F739F4"/>
    <w:pPr>
      <w:keepLines/>
      <w:spacing w:before="180" w:after="180"/>
    </w:pPr>
    <w:rPr>
      <w:rFonts w:eastAsia="Calibri" w:cs="Times New Roman"/>
      <w:sz w:val="22"/>
    </w:rPr>
  </w:style>
  <w:style w:type="character" w:customStyle="1" w:styleId="FootnoteTextChar">
    <w:name w:val="Footnote Text Char"/>
    <w:basedOn w:val="DefaultParagraphFont"/>
    <w:link w:val="FootnoteText"/>
    <w:uiPriority w:val="99"/>
    <w:rsid w:val="00F739F4"/>
    <w:rPr>
      <w:rFonts w:ascii="Times New Roman" w:eastAsia="Calibri" w:hAnsi="Times New Roman" w:cs="Times New Roman"/>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customStyle="1" w:styleId="BMSBodyText">
    <w:name w:val="BMS Body Text"/>
    <w:rsid w:val="00EC1810"/>
    <w:pPr>
      <w:spacing w:before="120" w:after="120" w:line="300" w:lineRule="auto"/>
      <w:jc w:val="both"/>
    </w:pPr>
    <w:rPr>
      <w:rFonts w:ascii="Times New Roman" w:eastAsia="Times New Roman" w:hAnsi="Times New Roman" w:cs="Times New Roman"/>
      <w:color w:val="000000"/>
      <w:sz w:val="24"/>
      <w:szCs w:val="20"/>
      <w:lang w:val="en-US"/>
    </w:rPr>
  </w:style>
  <w:style w:type="paragraph" w:customStyle="1" w:styleId="BMSTableInfo">
    <w:name w:val="BMS Table Info"/>
    <w:basedOn w:val="Normal"/>
    <w:rsid w:val="00EC1810"/>
    <w:pPr>
      <w:tabs>
        <w:tab w:val="left" w:pos="216"/>
      </w:tabs>
      <w:spacing w:before="40" w:after="0" w:line="240" w:lineRule="auto"/>
      <w:jc w:val="both"/>
    </w:pPr>
    <w:rPr>
      <w:rFonts w:eastAsia="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EC1810"/>
    <w:rPr>
      <w:rFonts w:ascii="Times New Roman" w:hAnsi="Times New Roman"/>
      <w:b/>
      <w:bCs/>
    </w:rPr>
  </w:style>
  <w:style w:type="character" w:customStyle="1" w:styleId="CommentSubjectChar">
    <w:name w:val="Comment Subject Char"/>
    <w:basedOn w:val="CommentTextChar"/>
    <w:link w:val="CommentSubject"/>
    <w:uiPriority w:val="99"/>
    <w:semiHidden/>
    <w:rsid w:val="00EC1810"/>
    <w:rPr>
      <w:rFonts w:ascii="Times New Roman" w:hAnsi="Times New Roman"/>
      <w:b/>
      <w:bCs/>
      <w:sz w:val="20"/>
      <w:szCs w:val="20"/>
    </w:rPr>
  </w:style>
  <w:style w:type="paragraph" w:styleId="TOC1">
    <w:name w:val="toc 1"/>
    <w:next w:val="TOC2"/>
    <w:semiHidden/>
    <w:rsid w:val="00C0700A"/>
    <w:pPr>
      <w:tabs>
        <w:tab w:val="right" w:leader="dot" w:pos="8931"/>
      </w:tabs>
      <w:spacing w:before="120" w:after="0" w:line="240" w:lineRule="auto"/>
      <w:ind w:left="994" w:right="864" w:hanging="994"/>
    </w:pPr>
    <w:rPr>
      <w:rFonts w:ascii="Times New Roman" w:eastAsia="Times New Roman" w:hAnsi="Times New Roman" w:cs="Times New Roman"/>
      <w:caps/>
      <w:sz w:val="24"/>
      <w:szCs w:val="20"/>
      <w:lang w:val="en-GB"/>
    </w:rPr>
  </w:style>
  <w:style w:type="paragraph" w:styleId="TOC2">
    <w:name w:val="toc 2"/>
    <w:basedOn w:val="Normal"/>
    <w:next w:val="Normal"/>
    <w:autoRedefine/>
    <w:uiPriority w:val="39"/>
    <w:semiHidden/>
    <w:unhideWhenUsed/>
    <w:rsid w:val="00C0700A"/>
    <w:pPr>
      <w:spacing w:after="100"/>
      <w:ind w:left="220"/>
    </w:pPr>
  </w:style>
  <w:style w:type="paragraph" w:customStyle="1" w:styleId="A-TableText">
    <w:name w:val="A-Table Text"/>
    <w:basedOn w:val="Normal"/>
    <w:rsid w:val="0056764E"/>
    <w:pPr>
      <w:spacing w:before="60" w:after="60" w:line="280" w:lineRule="atLeast"/>
    </w:pPr>
    <w:rPr>
      <w:rFonts w:eastAsia="Times New Roman" w:cs="Times New Roman"/>
      <w:sz w:val="20"/>
      <w:szCs w:val="20"/>
      <w:lang w:val="en-GB"/>
    </w:rPr>
  </w:style>
  <w:style w:type="paragraph" w:customStyle="1" w:styleId="expldot">
    <w:name w:val="expldot"/>
    <w:basedOn w:val="Normal"/>
    <w:link w:val="expldotChar"/>
    <w:rsid w:val="00705393"/>
    <w:pPr>
      <w:tabs>
        <w:tab w:val="left" w:pos="284"/>
        <w:tab w:val="left" w:pos="567"/>
        <w:tab w:val="left" w:pos="851"/>
        <w:tab w:val="left" w:pos="1134"/>
        <w:tab w:val="left" w:pos="1418"/>
      </w:tabs>
      <w:spacing w:before="20" w:after="80" w:line="260" w:lineRule="exact"/>
    </w:pPr>
    <w:rPr>
      <w:rFonts w:eastAsia="Times New Roman" w:cs="Times New Roman"/>
      <w:sz w:val="20"/>
      <w:szCs w:val="20"/>
      <w:lang w:eastAsia="en-AU"/>
    </w:rPr>
  </w:style>
  <w:style w:type="character" w:customStyle="1" w:styleId="expldotChar">
    <w:name w:val="expldot Char"/>
    <w:link w:val="expldot"/>
    <w:rsid w:val="00705393"/>
    <w:rPr>
      <w:rFonts w:ascii="Times New Roman" w:eastAsia="Times New Roman" w:hAnsi="Times New Roman" w:cs="Times New Roman"/>
      <w:sz w:val="20"/>
      <w:szCs w:val="20"/>
      <w:lang w:eastAsia="en-AU"/>
    </w:rPr>
  </w:style>
  <w:style w:type="character" w:customStyle="1" w:styleId="BMSSuperscript">
    <w:name w:val="BMS Superscript"/>
    <w:rsid w:val="00E00F3B"/>
    <w:rPr>
      <w:sz w:val="28"/>
      <w:vertAlign w:val="superscript"/>
    </w:rPr>
  </w:style>
  <w:style w:type="paragraph" w:customStyle="1" w:styleId="Tabletext">
    <w:name w:val="Table text"/>
    <w:basedOn w:val="Normal"/>
    <w:rsid w:val="00F81E19"/>
    <w:pPr>
      <w:spacing w:after="240" w:line="240" w:lineRule="auto"/>
    </w:pPr>
    <w:rPr>
      <w:rFonts w:ascii="Arial" w:eastAsia="Times New Roman" w:hAnsi="Arial" w:cs="Times New Roman"/>
      <w:sz w:val="20"/>
      <w:szCs w:val="24"/>
    </w:rPr>
  </w:style>
  <w:style w:type="paragraph" w:styleId="DocumentMap">
    <w:name w:val="Document Map"/>
    <w:basedOn w:val="Normal"/>
    <w:link w:val="DocumentMapChar"/>
    <w:semiHidden/>
    <w:rsid w:val="00F81E19"/>
    <w:pPr>
      <w:shd w:val="clear" w:color="auto" w:fill="000080"/>
      <w:spacing w:after="240" w:line="280" w:lineRule="atLeast"/>
    </w:pPr>
    <w:rPr>
      <w:rFonts w:ascii="Tahoma" w:eastAsia="Times New Roman" w:hAnsi="Tahoma" w:cs="Tahoma"/>
      <w:szCs w:val="20"/>
    </w:rPr>
  </w:style>
  <w:style w:type="character" w:customStyle="1" w:styleId="DocumentMapChar">
    <w:name w:val="Document Map Char"/>
    <w:basedOn w:val="DefaultParagraphFont"/>
    <w:link w:val="DocumentMap"/>
    <w:semiHidden/>
    <w:rsid w:val="00F81E19"/>
    <w:rPr>
      <w:rFonts w:ascii="Tahoma" w:eastAsia="Times New Roman" w:hAnsi="Tahoma" w:cs="Tahoma"/>
      <w:sz w:val="24"/>
      <w:szCs w:val="20"/>
      <w:shd w:val="clear" w:color="auto" w:fill="000080"/>
    </w:rPr>
  </w:style>
  <w:style w:type="paragraph" w:customStyle="1" w:styleId="BMSHeading3">
    <w:name w:val="BMS Heading 3"/>
    <w:next w:val="BMSBodyText"/>
    <w:rsid w:val="00F81E19"/>
    <w:pPr>
      <w:keepNext/>
      <w:keepLines/>
      <w:numPr>
        <w:ilvl w:val="2"/>
        <w:numId w:val="6"/>
      </w:numPr>
      <w:tabs>
        <w:tab w:val="left" w:pos="1152"/>
      </w:tabs>
      <w:spacing w:before="120" w:after="240" w:line="240" w:lineRule="auto"/>
      <w:ind w:left="1152" w:hanging="1152"/>
      <w:outlineLvl w:val="2"/>
    </w:pPr>
    <w:rPr>
      <w:rFonts w:ascii="Arial" w:eastAsia="Times New Roman" w:hAnsi="Arial" w:cs="Times New Roman"/>
      <w:b/>
      <w:color w:val="000000"/>
      <w:sz w:val="24"/>
      <w:szCs w:val="20"/>
      <w:lang w:val="en-US"/>
    </w:rPr>
  </w:style>
  <w:style w:type="paragraph" w:customStyle="1" w:styleId="A-Heading3">
    <w:name w:val="A-Heading 3"/>
    <w:basedOn w:val="Normal"/>
    <w:next w:val="Normal"/>
    <w:rsid w:val="00B701F0"/>
    <w:pPr>
      <w:keepNext/>
      <w:spacing w:after="120" w:line="280" w:lineRule="atLeast"/>
      <w:outlineLvl w:val="2"/>
    </w:pPr>
    <w:rPr>
      <w:rFonts w:ascii="Arial" w:eastAsia="Times New Roman" w:hAnsi="Arial" w:cs="Times New Roman"/>
      <w:b/>
      <w:i/>
      <w:szCs w:val="20"/>
      <w:lang w:val="en-GB"/>
    </w:rPr>
  </w:style>
  <w:style w:type="paragraph" w:customStyle="1" w:styleId="A-Heading2">
    <w:name w:val="A-Heading 2"/>
    <w:basedOn w:val="Normal"/>
    <w:next w:val="Normal"/>
    <w:rsid w:val="003E7A52"/>
    <w:pPr>
      <w:keepNext/>
      <w:spacing w:before="120" w:after="120" w:line="280" w:lineRule="atLeast"/>
      <w:outlineLvl w:val="1"/>
    </w:pPr>
    <w:rPr>
      <w:rFonts w:ascii="Arial" w:eastAsia="Times New Roman" w:hAnsi="Arial" w:cs="Times New Roman"/>
      <w:b/>
      <w:szCs w:val="20"/>
      <w:lang w:val="en-GB"/>
    </w:rPr>
  </w:style>
  <w:style w:type="paragraph" w:customStyle="1" w:styleId="A-TableHeader">
    <w:name w:val="A-Table Header"/>
    <w:basedOn w:val="BMSTableHeader"/>
    <w:next w:val="A-TableText"/>
    <w:rsid w:val="0056764E"/>
    <w:pPr>
      <w:keepNext/>
      <w:spacing w:before="20" w:after="20"/>
      <w:jc w:val="left"/>
    </w:pPr>
    <w:rPr>
      <w:rFonts w:cs="Arial"/>
    </w:rPr>
  </w:style>
  <w:style w:type="paragraph" w:customStyle="1" w:styleId="AHeader2">
    <w:name w:val="AHeader 2"/>
    <w:basedOn w:val="Normal"/>
    <w:rsid w:val="0098288E"/>
    <w:pPr>
      <w:spacing w:after="120" w:line="240" w:lineRule="auto"/>
    </w:pPr>
    <w:rPr>
      <w:rFonts w:ascii="Arial" w:eastAsia="MS Mincho" w:hAnsi="Arial" w:cs="Arial"/>
      <w:b/>
      <w:bCs/>
      <w:szCs w:val="20"/>
      <w:lang w:val="en-GB"/>
    </w:rPr>
  </w:style>
  <w:style w:type="paragraph" w:customStyle="1" w:styleId="A-TableTitle">
    <w:name w:val="A-Table Title"/>
    <w:basedOn w:val="A-TableHeader"/>
    <w:next w:val="A-TableText"/>
    <w:rsid w:val="0056764E"/>
    <w:pPr>
      <w:tabs>
        <w:tab w:val="left" w:pos="1418"/>
      </w:tabs>
      <w:ind w:left="1418" w:hanging="1418"/>
    </w:pPr>
    <w:rPr>
      <w:sz w:val="22"/>
    </w:rPr>
  </w:style>
  <w:style w:type="paragraph" w:customStyle="1" w:styleId="A-TableFootnoteText">
    <w:name w:val="A-Table Footnote Text"/>
    <w:basedOn w:val="Normal"/>
    <w:next w:val="Normal"/>
    <w:link w:val="A-TableFootnoteTextChar"/>
    <w:autoRedefine/>
    <w:rsid w:val="001C4EEF"/>
    <w:pPr>
      <w:spacing w:before="60" w:after="60" w:line="240" w:lineRule="auto"/>
      <w:jc w:val="center"/>
    </w:pPr>
    <w:rPr>
      <w:rFonts w:eastAsia="Times New Roman" w:cs="Times New Roman"/>
      <w:sz w:val="18"/>
      <w:szCs w:val="20"/>
      <w:lang w:val="en-GB"/>
    </w:rPr>
  </w:style>
  <w:style w:type="character" w:customStyle="1" w:styleId="A-TableFootnoteTextChar">
    <w:name w:val="A-Table Footnote Text Char"/>
    <w:link w:val="A-TableFootnoteText"/>
    <w:rsid w:val="001C4EEF"/>
    <w:rPr>
      <w:rFonts w:ascii="Times New Roman" w:eastAsia="Times New Roman" w:hAnsi="Times New Roman" w:cs="Times New Roman"/>
      <w:sz w:val="18"/>
      <w:szCs w:val="20"/>
      <w:lang w:val="en-GB"/>
    </w:rPr>
  </w:style>
  <w:style w:type="paragraph" w:customStyle="1" w:styleId="A-FigureTitle">
    <w:name w:val="A-Figure Title"/>
    <w:basedOn w:val="A-TableTitle"/>
    <w:next w:val="Normal"/>
    <w:rsid w:val="00290D42"/>
    <w:pPr>
      <w:keepLines/>
    </w:pPr>
  </w:style>
  <w:style w:type="paragraph" w:customStyle="1" w:styleId="BMSTableHeader">
    <w:name w:val="BMS Table Header"/>
    <w:basedOn w:val="Normal"/>
    <w:rsid w:val="001B18F1"/>
    <w:pPr>
      <w:tabs>
        <w:tab w:val="left" w:pos="360"/>
      </w:tabs>
      <w:spacing w:before="60" w:after="60" w:line="240" w:lineRule="auto"/>
      <w:jc w:val="center"/>
    </w:pPr>
    <w:rPr>
      <w:rFonts w:eastAsia="Times New Roman" w:cs="Times New Roman"/>
      <w:b/>
      <w:sz w:val="20"/>
      <w:szCs w:val="20"/>
      <w:lang w:val="en-US"/>
    </w:rPr>
  </w:style>
  <w:style w:type="character" w:customStyle="1" w:styleId="BMSHeading3Char">
    <w:name w:val="BMS Heading 3 Char"/>
    <w:locked/>
    <w:rsid w:val="00AF7002"/>
    <w:rPr>
      <w:rFonts w:ascii="Arial" w:hAnsi="Arial"/>
      <w:b/>
      <w:color w:val="000000"/>
      <w:sz w:val="24"/>
      <w:lang w:val="en-US" w:eastAsia="en-US" w:bidi="ar-SA"/>
    </w:rPr>
  </w:style>
  <w:style w:type="character" w:styleId="PageNumber">
    <w:name w:val="page number"/>
    <w:semiHidden/>
    <w:rsid w:val="004B2CA3"/>
    <w:rPr>
      <w:rFonts w:ascii="Arial" w:hAnsi="Arial"/>
      <w:sz w:val="20"/>
    </w:rPr>
  </w:style>
  <w:style w:type="character" w:customStyle="1" w:styleId="UnresolvedMention">
    <w:name w:val="Unresolved Mention"/>
    <w:basedOn w:val="DefaultParagraphFont"/>
    <w:uiPriority w:val="99"/>
    <w:semiHidden/>
    <w:unhideWhenUsed/>
    <w:rsid w:val="00E967C3"/>
    <w:rPr>
      <w:color w:val="808080"/>
      <w:shd w:val="clear" w:color="auto" w:fill="E6E6E6"/>
    </w:rPr>
  </w:style>
  <w:style w:type="paragraph" w:styleId="Revision">
    <w:name w:val="Revision"/>
    <w:hidden/>
    <w:uiPriority w:val="99"/>
    <w:semiHidden/>
    <w:rsid w:val="009121A2"/>
    <w:pPr>
      <w:spacing w:after="0" w:line="240" w:lineRule="auto"/>
    </w:pPr>
    <w:rPr>
      <w:rFonts w:ascii="Times New Roman" w:hAnsi="Times New Roman"/>
    </w:rPr>
  </w:style>
  <w:style w:type="paragraph" w:styleId="EndnoteText">
    <w:name w:val="endnote text"/>
    <w:basedOn w:val="Normal"/>
    <w:link w:val="EndnoteTextChar"/>
    <w:uiPriority w:val="99"/>
    <w:semiHidden/>
    <w:unhideWhenUsed/>
    <w:rsid w:val="00E442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426F"/>
    <w:rPr>
      <w:rFonts w:ascii="Times New Roman" w:hAnsi="Times New Roman"/>
      <w:sz w:val="20"/>
      <w:szCs w:val="20"/>
    </w:rPr>
  </w:style>
  <w:style w:type="character" w:styleId="EndnoteReference">
    <w:name w:val="endnote reference"/>
    <w:basedOn w:val="DefaultParagraphFont"/>
    <w:uiPriority w:val="99"/>
    <w:semiHidden/>
    <w:unhideWhenUsed/>
    <w:rsid w:val="00E4426F"/>
    <w:rPr>
      <w:vertAlign w:val="superscript"/>
    </w:rPr>
  </w:style>
  <w:style w:type="paragraph" w:customStyle="1" w:styleId="NOrmalBold">
    <w:name w:val="NOrmal Bold"/>
    <w:basedOn w:val="Normal"/>
    <w:link w:val="NOrmalBoldChar"/>
    <w:qFormat/>
    <w:rsid w:val="009C6CD2"/>
    <w:rPr>
      <w:b/>
    </w:rPr>
  </w:style>
  <w:style w:type="character" w:customStyle="1" w:styleId="NOrmalBoldChar">
    <w:name w:val="NOrmal Bold Char"/>
    <w:basedOn w:val="DefaultParagraphFont"/>
    <w:link w:val="NOrmalBold"/>
    <w:rsid w:val="009C6CD2"/>
    <w:rPr>
      <w:rFonts w:ascii="Times New Roman" w:hAnsi="Times New Roman"/>
      <w:b/>
      <w:sz w:val="24"/>
    </w:rPr>
  </w:style>
  <w:style w:type="paragraph" w:customStyle="1" w:styleId="Paragraph">
    <w:name w:val="Paragraph"/>
    <w:link w:val="ParagraphChar"/>
    <w:qFormat/>
    <w:rsid w:val="00507B1F"/>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507B1F"/>
    <w:rPr>
      <w:rFonts w:ascii="Times New Roman" w:eastAsia="Times New Roman" w:hAnsi="Times New Roman" w:cs="Times New Roman"/>
      <w:sz w:val="24"/>
      <w:szCs w:val="24"/>
      <w:lang w:val="en-GB"/>
    </w:rPr>
  </w:style>
  <w:style w:type="character" w:customStyle="1" w:styleId="BMSSubscript">
    <w:name w:val="BMS Subscript"/>
    <w:rsid w:val="007D0554"/>
    <w:rPr>
      <w:sz w:val="28"/>
      <w:vertAlign w:val="subscript"/>
    </w:rPr>
  </w:style>
  <w:style w:type="character" w:customStyle="1" w:styleId="BMSTableNote">
    <w:name w:val="BMS Table Note"/>
    <w:rsid w:val="007D0554"/>
    <w:rPr>
      <w:rFonts w:ascii="Times New Roman" w:hAnsi="Times New Roman"/>
      <w:dstrike w:val="0"/>
      <w:color w:val="auto"/>
      <w:sz w:val="28"/>
      <w:vertAlign w:val="superscript"/>
    </w:rPr>
  </w:style>
  <w:style w:type="paragraph" w:customStyle="1" w:styleId="Heading4Unnumbered">
    <w:name w:val="Heading 4 Unnumbered"/>
    <w:basedOn w:val="Heading4"/>
    <w:next w:val="Paragraph"/>
    <w:link w:val="Heading4UnnumberedChar"/>
    <w:uiPriority w:val="5"/>
    <w:rsid w:val="0076369D"/>
    <w:pPr>
      <w:tabs>
        <w:tab w:val="left" w:pos="1134"/>
      </w:tabs>
      <w:spacing w:before="60" w:after="60" w:line="240" w:lineRule="auto"/>
      <w:ind w:left="0"/>
      <w:outlineLvl w:val="9"/>
    </w:pPr>
    <w:rPr>
      <w:rFonts w:eastAsia="Times New Roman" w:cs="Times New Roman"/>
    </w:rPr>
  </w:style>
  <w:style w:type="paragraph" w:customStyle="1" w:styleId="Heading5Unnumbered">
    <w:name w:val="Heading 5 Unnumbered"/>
    <w:basedOn w:val="Heading4Unnumbered"/>
    <w:link w:val="Heading5UnnumberedChar"/>
    <w:uiPriority w:val="99"/>
    <w:qFormat/>
    <w:rsid w:val="0076369D"/>
    <w:pPr>
      <w15:collapsed/>
    </w:pPr>
    <w:rPr>
      <w:b w:val="0"/>
    </w:rPr>
  </w:style>
  <w:style w:type="character" w:customStyle="1" w:styleId="Heading4UnnumberedChar">
    <w:name w:val="Heading 4 Unnumbered Char"/>
    <w:basedOn w:val="Heading4Char"/>
    <w:link w:val="Heading4Unnumbered"/>
    <w:uiPriority w:val="5"/>
    <w:rsid w:val="0076369D"/>
    <w:rPr>
      <w:rFonts w:ascii="Times New Roman" w:eastAsia="Times New Roman" w:hAnsi="Times New Roman" w:cs="Times New Roman"/>
      <w:b/>
      <w:bCs/>
      <w:i/>
      <w:sz w:val="24"/>
      <w:lang w:val="en-GB"/>
    </w:rPr>
  </w:style>
  <w:style w:type="character" w:customStyle="1" w:styleId="Heading5UnnumberedChar">
    <w:name w:val="Heading 5 Unnumbered Char"/>
    <w:basedOn w:val="Heading4UnnumberedChar"/>
    <w:link w:val="Heading5Unnumbered"/>
    <w:uiPriority w:val="99"/>
    <w:rsid w:val="0076369D"/>
    <w:rPr>
      <w:rFonts w:ascii="Times New Roman" w:eastAsia="Times New Roman" w:hAnsi="Times New Roman" w:cs="Times New Roman"/>
      <w:b w:val="0"/>
      <w:bCs/>
      <w:i/>
      <w:sz w:val="24"/>
      <w:lang w:val="en-GB"/>
    </w:rPr>
  </w:style>
  <w:style w:type="paragraph" w:customStyle="1" w:styleId="FigureTitle">
    <w:name w:val="Figure Title"/>
    <w:basedOn w:val="Normal"/>
    <w:next w:val="Normal"/>
    <w:uiPriority w:val="17"/>
    <w:qFormat/>
    <w:rsid w:val="00F0119E"/>
    <w:pPr>
      <w:keepNext/>
      <w:keepLines/>
      <w:tabs>
        <w:tab w:val="left" w:pos="1701"/>
      </w:tabs>
      <w:spacing w:after="120" w:line="240" w:lineRule="auto"/>
      <w:ind w:left="1701" w:hanging="1701"/>
    </w:pPr>
    <w:rPr>
      <w:rFonts w:eastAsia="Times New Roman" w:cs="Times New Roman"/>
      <w:b/>
      <w:color w:val="000000"/>
      <w:szCs w:val="24"/>
      <w:lang w:val="en-GB"/>
    </w:rPr>
  </w:style>
  <w:style w:type="paragraph" w:customStyle="1" w:styleId="TableFootnoteInfo">
    <w:name w:val="Table Footnote Info"/>
    <w:basedOn w:val="Normal"/>
    <w:uiPriority w:val="14"/>
    <w:qFormat/>
    <w:rsid w:val="00F0119E"/>
    <w:pPr>
      <w:keepLines/>
      <w:spacing w:before="40" w:after="40" w:line="240" w:lineRule="auto"/>
    </w:pPr>
    <w:rPr>
      <w:rFonts w:eastAsia="Times New Roman" w:cs="Times New Roman"/>
      <w:sz w:val="20"/>
      <w:szCs w:val="48"/>
      <w:lang w:val="en-GB"/>
    </w:rPr>
  </w:style>
  <w:style w:type="paragraph" w:customStyle="1" w:styleId="Figure">
    <w:name w:val="Figure"/>
    <w:next w:val="Normal"/>
    <w:uiPriority w:val="17"/>
    <w:rsid w:val="008F5CC8"/>
    <w:pPr>
      <w:spacing w:after="240" w:line="240" w:lineRule="auto"/>
      <w:jc w:val="center"/>
    </w:pPr>
    <w:rPr>
      <w:rFonts w:ascii="Times New Roman" w:eastAsia="Times New Roman" w:hAnsi="Times New Roman" w:cs="Times New Roman"/>
      <w:sz w:val="24"/>
      <w:szCs w:val="20"/>
      <w:lang w:val="en-GB"/>
    </w:rPr>
  </w:style>
  <w:style w:type="paragraph" w:customStyle="1" w:styleId="Default">
    <w:name w:val="Default"/>
    <w:rsid w:val="000B1A0E"/>
    <w:pPr>
      <w:autoSpaceDE w:val="0"/>
      <w:autoSpaceDN w:val="0"/>
      <w:adjustRightInd w:val="0"/>
      <w:spacing w:after="0" w:line="240" w:lineRule="auto"/>
    </w:pPr>
    <w:rPr>
      <w:rFonts w:ascii="Cambria" w:hAnsi="Cambria" w:cs="Cambria"/>
      <w:color w:val="000000"/>
      <w:sz w:val="24"/>
      <w:szCs w:val="24"/>
    </w:rPr>
  </w:style>
  <w:style w:type="paragraph" w:customStyle="1" w:styleId="Heading4nobookmark">
    <w:name w:val="Heading 4 no bookmark"/>
    <w:basedOn w:val="Normal"/>
    <w:qFormat/>
    <w:rsid w:val="00C07BC4"/>
    <w:pPr>
      <w:keepNext/>
      <w:spacing w:before="120" w:after="120"/>
      <w:ind w:left="227"/>
    </w:pPr>
    <w:rPr>
      <w:b/>
      <w:i/>
      <w:lang w:eastAsia="en-AU"/>
    </w:rPr>
  </w:style>
  <w:style w:type="paragraph" w:customStyle="1" w:styleId="Heading5nobookmark">
    <w:name w:val="Heading 5 no bookmark"/>
    <w:basedOn w:val="Normal"/>
    <w:next w:val="Normal"/>
    <w:qFormat/>
    <w:rsid w:val="00C07BC4"/>
    <w:pPr>
      <w:keepNext/>
      <w:spacing w:after="120"/>
      <w:ind w:left="227"/>
    </w:pPr>
    <w:rPr>
      <w:i/>
      <w:u w:val="single"/>
    </w:rPr>
  </w:style>
  <w:style w:type="table" w:styleId="TableGrid">
    <w:name w:val="Table Grid"/>
    <w:basedOn w:val="TableNormal"/>
    <w:uiPriority w:val="59"/>
    <w:rsid w:val="00912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72527">
      <w:bodyDiv w:val="1"/>
      <w:marLeft w:val="0"/>
      <w:marRight w:val="0"/>
      <w:marTop w:val="0"/>
      <w:marBottom w:val="0"/>
      <w:divBdr>
        <w:top w:val="none" w:sz="0" w:space="0" w:color="auto"/>
        <w:left w:val="none" w:sz="0" w:space="0" w:color="auto"/>
        <w:bottom w:val="none" w:sz="0" w:space="0" w:color="auto"/>
        <w:right w:val="none" w:sz="0" w:space="0" w:color="auto"/>
      </w:divBdr>
    </w:div>
    <w:div w:id="67926693">
      <w:bodyDiv w:val="1"/>
      <w:marLeft w:val="0"/>
      <w:marRight w:val="0"/>
      <w:marTop w:val="0"/>
      <w:marBottom w:val="0"/>
      <w:divBdr>
        <w:top w:val="none" w:sz="0" w:space="0" w:color="auto"/>
        <w:left w:val="none" w:sz="0" w:space="0" w:color="auto"/>
        <w:bottom w:val="none" w:sz="0" w:space="0" w:color="auto"/>
        <w:right w:val="none" w:sz="0" w:space="0" w:color="auto"/>
      </w:divBdr>
    </w:div>
    <w:div w:id="200243462">
      <w:bodyDiv w:val="1"/>
      <w:marLeft w:val="0"/>
      <w:marRight w:val="0"/>
      <w:marTop w:val="0"/>
      <w:marBottom w:val="0"/>
      <w:divBdr>
        <w:top w:val="none" w:sz="0" w:space="0" w:color="auto"/>
        <w:left w:val="none" w:sz="0" w:space="0" w:color="auto"/>
        <w:bottom w:val="none" w:sz="0" w:space="0" w:color="auto"/>
        <w:right w:val="none" w:sz="0" w:space="0" w:color="auto"/>
      </w:divBdr>
    </w:div>
    <w:div w:id="253173251">
      <w:bodyDiv w:val="1"/>
      <w:marLeft w:val="0"/>
      <w:marRight w:val="0"/>
      <w:marTop w:val="0"/>
      <w:marBottom w:val="0"/>
      <w:divBdr>
        <w:top w:val="none" w:sz="0" w:space="0" w:color="auto"/>
        <w:left w:val="none" w:sz="0" w:space="0" w:color="auto"/>
        <w:bottom w:val="none" w:sz="0" w:space="0" w:color="auto"/>
        <w:right w:val="none" w:sz="0" w:space="0" w:color="auto"/>
      </w:divBdr>
    </w:div>
    <w:div w:id="275135050">
      <w:bodyDiv w:val="1"/>
      <w:marLeft w:val="0"/>
      <w:marRight w:val="0"/>
      <w:marTop w:val="0"/>
      <w:marBottom w:val="0"/>
      <w:divBdr>
        <w:top w:val="none" w:sz="0" w:space="0" w:color="auto"/>
        <w:left w:val="none" w:sz="0" w:space="0" w:color="auto"/>
        <w:bottom w:val="none" w:sz="0" w:space="0" w:color="auto"/>
        <w:right w:val="none" w:sz="0" w:space="0" w:color="auto"/>
      </w:divBdr>
    </w:div>
    <w:div w:id="296378580">
      <w:bodyDiv w:val="1"/>
      <w:marLeft w:val="0"/>
      <w:marRight w:val="0"/>
      <w:marTop w:val="0"/>
      <w:marBottom w:val="0"/>
      <w:divBdr>
        <w:top w:val="none" w:sz="0" w:space="0" w:color="auto"/>
        <w:left w:val="none" w:sz="0" w:space="0" w:color="auto"/>
        <w:bottom w:val="none" w:sz="0" w:space="0" w:color="auto"/>
        <w:right w:val="none" w:sz="0" w:space="0" w:color="auto"/>
      </w:divBdr>
    </w:div>
    <w:div w:id="319429125">
      <w:bodyDiv w:val="1"/>
      <w:marLeft w:val="0"/>
      <w:marRight w:val="0"/>
      <w:marTop w:val="0"/>
      <w:marBottom w:val="0"/>
      <w:divBdr>
        <w:top w:val="none" w:sz="0" w:space="0" w:color="auto"/>
        <w:left w:val="none" w:sz="0" w:space="0" w:color="auto"/>
        <w:bottom w:val="none" w:sz="0" w:space="0" w:color="auto"/>
        <w:right w:val="none" w:sz="0" w:space="0" w:color="auto"/>
      </w:divBdr>
    </w:div>
    <w:div w:id="352852717">
      <w:bodyDiv w:val="1"/>
      <w:marLeft w:val="0"/>
      <w:marRight w:val="0"/>
      <w:marTop w:val="0"/>
      <w:marBottom w:val="0"/>
      <w:divBdr>
        <w:top w:val="none" w:sz="0" w:space="0" w:color="auto"/>
        <w:left w:val="none" w:sz="0" w:space="0" w:color="auto"/>
        <w:bottom w:val="none" w:sz="0" w:space="0" w:color="auto"/>
        <w:right w:val="none" w:sz="0" w:space="0" w:color="auto"/>
      </w:divBdr>
    </w:div>
    <w:div w:id="370036602">
      <w:bodyDiv w:val="1"/>
      <w:marLeft w:val="0"/>
      <w:marRight w:val="0"/>
      <w:marTop w:val="0"/>
      <w:marBottom w:val="0"/>
      <w:divBdr>
        <w:top w:val="none" w:sz="0" w:space="0" w:color="auto"/>
        <w:left w:val="none" w:sz="0" w:space="0" w:color="auto"/>
        <w:bottom w:val="none" w:sz="0" w:space="0" w:color="auto"/>
        <w:right w:val="none" w:sz="0" w:space="0" w:color="auto"/>
      </w:divBdr>
      <w:divsChild>
        <w:div w:id="883446952">
          <w:marLeft w:val="0"/>
          <w:marRight w:val="0"/>
          <w:marTop w:val="0"/>
          <w:marBottom w:val="0"/>
          <w:divBdr>
            <w:top w:val="none" w:sz="0" w:space="0" w:color="auto"/>
            <w:left w:val="none" w:sz="0" w:space="0" w:color="auto"/>
            <w:bottom w:val="none" w:sz="0" w:space="0" w:color="auto"/>
            <w:right w:val="none" w:sz="0" w:space="0" w:color="auto"/>
          </w:divBdr>
        </w:div>
        <w:div w:id="1443455573">
          <w:marLeft w:val="0"/>
          <w:marRight w:val="0"/>
          <w:marTop w:val="0"/>
          <w:marBottom w:val="0"/>
          <w:divBdr>
            <w:top w:val="none" w:sz="0" w:space="0" w:color="auto"/>
            <w:left w:val="none" w:sz="0" w:space="0" w:color="auto"/>
            <w:bottom w:val="none" w:sz="0" w:space="0" w:color="auto"/>
            <w:right w:val="none" w:sz="0" w:space="0" w:color="auto"/>
          </w:divBdr>
        </w:div>
        <w:div w:id="2066877149">
          <w:marLeft w:val="0"/>
          <w:marRight w:val="0"/>
          <w:marTop w:val="0"/>
          <w:marBottom w:val="0"/>
          <w:divBdr>
            <w:top w:val="none" w:sz="0" w:space="0" w:color="auto"/>
            <w:left w:val="none" w:sz="0" w:space="0" w:color="auto"/>
            <w:bottom w:val="none" w:sz="0" w:space="0" w:color="auto"/>
            <w:right w:val="none" w:sz="0" w:space="0" w:color="auto"/>
          </w:divBdr>
        </w:div>
        <w:div w:id="1486241687">
          <w:marLeft w:val="0"/>
          <w:marRight w:val="0"/>
          <w:marTop w:val="0"/>
          <w:marBottom w:val="0"/>
          <w:divBdr>
            <w:top w:val="none" w:sz="0" w:space="0" w:color="auto"/>
            <w:left w:val="none" w:sz="0" w:space="0" w:color="auto"/>
            <w:bottom w:val="none" w:sz="0" w:space="0" w:color="auto"/>
            <w:right w:val="none" w:sz="0" w:space="0" w:color="auto"/>
          </w:divBdr>
        </w:div>
        <w:div w:id="815727807">
          <w:marLeft w:val="0"/>
          <w:marRight w:val="0"/>
          <w:marTop w:val="0"/>
          <w:marBottom w:val="0"/>
          <w:divBdr>
            <w:top w:val="none" w:sz="0" w:space="0" w:color="auto"/>
            <w:left w:val="none" w:sz="0" w:space="0" w:color="auto"/>
            <w:bottom w:val="none" w:sz="0" w:space="0" w:color="auto"/>
            <w:right w:val="none" w:sz="0" w:space="0" w:color="auto"/>
          </w:divBdr>
        </w:div>
        <w:div w:id="307639023">
          <w:marLeft w:val="0"/>
          <w:marRight w:val="0"/>
          <w:marTop w:val="0"/>
          <w:marBottom w:val="0"/>
          <w:divBdr>
            <w:top w:val="none" w:sz="0" w:space="0" w:color="auto"/>
            <w:left w:val="none" w:sz="0" w:space="0" w:color="auto"/>
            <w:bottom w:val="none" w:sz="0" w:space="0" w:color="auto"/>
            <w:right w:val="none" w:sz="0" w:space="0" w:color="auto"/>
          </w:divBdr>
        </w:div>
      </w:divsChild>
    </w:div>
    <w:div w:id="409163003">
      <w:bodyDiv w:val="1"/>
      <w:marLeft w:val="0"/>
      <w:marRight w:val="0"/>
      <w:marTop w:val="0"/>
      <w:marBottom w:val="0"/>
      <w:divBdr>
        <w:top w:val="none" w:sz="0" w:space="0" w:color="auto"/>
        <w:left w:val="none" w:sz="0" w:space="0" w:color="auto"/>
        <w:bottom w:val="none" w:sz="0" w:space="0" w:color="auto"/>
        <w:right w:val="none" w:sz="0" w:space="0" w:color="auto"/>
      </w:divBdr>
    </w:div>
    <w:div w:id="412095404">
      <w:bodyDiv w:val="1"/>
      <w:marLeft w:val="0"/>
      <w:marRight w:val="0"/>
      <w:marTop w:val="0"/>
      <w:marBottom w:val="0"/>
      <w:divBdr>
        <w:top w:val="none" w:sz="0" w:space="0" w:color="auto"/>
        <w:left w:val="none" w:sz="0" w:space="0" w:color="auto"/>
        <w:bottom w:val="none" w:sz="0" w:space="0" w:color="auto"/>
        <w:right w:val="none" w:sz="0" w:space="0" w:color="auto"/>
      </w:divBdr>
    </w:div>
    <w:div w:id="429469066">
      <w:bodyDiv w:val="1"/>
      <w:marLeft w:val="0"/>
      <w:marRight w:val="0"/>
      <w:marTop w:val="0"/>
      <w:marBottom w:val="0"/>
      <w:divBdr>
        <w:top w:val="none" w:sz="0" w:space="0" w:color="auto"/>
        <w:left w:val="none" w:sz="0" w:space="0" w:color="auto"/>
        <w:bottom w:val="none" w:sz="0" w:space="0" w:color="auto"/>
        <w:right w:val="none" w:sz="0" w:space="0" w:color="auto"/>
      </w:divBdr>
    </w:div>
    <w:div w:id="480121705">
      <w:bodyDiv w:val="1"/>
      <w:marLeft w:val="0"/>
      <w:marRight w:val="0"/>
      <w:marTop w:val="0"/>
      <w:marBottom w:val="0"/>
      <w:divBdr>
        <w:top w:val="none" w:sz="0" w:space="0" w:color="auto"/>
        <w:left w:val="none" w:sz="0" w:space="0" w:color="auto"/>
        <w:bottom w:val="none" w:sz="0" w:space="0" w:color="auto"/>
        <w:right w:val="none" w:sz="0" w:space="0" w:color="auto"/>
      </w:divBdr>
    </w:div>
    <w:div w:id="514735679">
      <w:bodyDiv w:val="1"/>
      <w:marLeft w:val="0"/>
      <w:marRight w:val="0"/>
      <w:marTop w:val="0"/>
      <w:marBottom w:val="0"/>
      <w:divBdr>
        <w:top w:val="none" w:sz="0" w:space="0" w:color="auto"/>
        <w:left w:val="none" w:sz="0" w:space="0" w:color="auto"/>
        <w:bottom w:val="none" w:sz="0" w:space="0" w:color="auto"/>
        <w:right w:val="none" w:sz="0" w:space="0" w:color="auto"/>
      </w:divBdr>
    </w:div>
    <w:div w:id="528033256">
      <w:bodyDiv w:val="1"/>
      <w:marLeft w:val="0"/>
      <w:marRight w:val="0"/>
      <w:marTop w:val="0"/>
      <w:marBottom w:val="0"/>
      <w:divBdr>
        <w:top w:val="none" w:sz="0" w:space="0" w:color="auto"/>
        <w:left w:val="none" w:sz="0" w:space="0" w:color="auto"/>
        <w:bottom w:val="none" w:sz="0" w:space="0" w:color="auto"/>
        <w:right w:val="none" w:sz="0" w:space="0" w:color="auto"/>
      </w:divBdr>
    </w:div>
    <w:div w:id="564268232">
      <w:bodyDiv w:val="1"/>
      <w:marLeft w:val="0"/>
      <w:marRight w:val="0"/>
      <w:marTop w:val="0"/>
      <w:marBottom w:val="0"/>
      <w:divBdr>
        <w:top w:val="none" w:sz="0" w:space="0" w:color="auto"/>
        <w:left w:val="none" w:sz="0" w:space="0" w:color="auto"/>
        <w:bottom w:val="none" w:sz="0" w:space="0" w:color="auto"/>
        <w:right w:val="none" w:sz="0" w:space="0" w:color="auto"/>
      </w:divBdr>
    </w:div>
    <w:div w:id="592199977">
      <w:bodyDiv w:val="1"/>
      <w:marLeft w:val="0"/>
      <w:marRight w:val="0"/>
      <w:marTop w:val="0"/>
      <w:marBottom w:val="0"/>
      <w:divBdr>
        <w:top w:val="none" w:sz="0" w:space="0" w:color="auto"/>
        <w:left w:val="none" w:sz="0" w:space="0" w:color="auto"/>
        <w:bottom w:val="none" w:sz="0" w:space="0" w:color="auto"/>
        <w:right w:val="none" w:sz="0" w:space="0" w:color="auto"/>
      </w:divBdr>
    </w:div>
    <w:div w:id="600724213">
      <w:bodyDiv w:val="1"/>
      <w:marLeft w:val="0"/>
      <w:marRight w:val="0"/>
      <w:marTop w:val="0"/>
      <w:marBottom w:val="0"/>
      <w:divBdr>
        <w:top w:val="none" w:sz="0" w:space="0" w:color="auto"/>
        <w:left w:val="none" w:sz="0" w:space="0" w:color="auto"/>
        <w:bottom w:val="none" w:sz="0" w:space="0" w:color="auto"/>
        <w:right w:val="none" w:sz="0" w:space="0" w:color="auto"/>
      </w:divBdr>
    </w:div>
    <w:div w:id="603267929">
      <w:bodyDiv w:val="1"/>
      <w:marLeft w:val="0"/>
      <w:marRight w:val="0"/>
      <w:marTop w:val="0"/>
      <w:marBottom w:val="0"/>
      <w:divBdr>
        <w:top w:val="none" w:sz="0" w:space="0" w:color="auto"/>
        <w:left w:val="none" w:sz="0" w:space="0" w:color="auto"/>
        <w:bottom w:val="none" w:sz="0" w:space="0" w:color="auto"/>
        <w:right w:val="none" w:sz="0" w:space="0" w:color="auto"/>
      </w:divBdr>
    </w:div>
    <w:div w:id="604656736">
      <w:bodyDiv w:val="1"/>
      <w:marLeft w:val="0"/>
      <w:marRight w:val="0"/>
      <w:marTop w:val="0"/>
      <w:marBottom w:val="0"/>
      <w:divBdr>
        <w:top w:val="none" w:sz="0" w:space="0" w:color="auto"/>
        <w:left w:val="none" w:sz="0" w:space="0" w:color="auto"/>
        <w:bottom w:val="none" w:sz="0" w:space="0" w:color="auto"/>
        <w:right w:val="none" w:sz="0" w:space="0" w:color="auto"/>
      </w:divBdr>
    </w:div>
    <w:div w:id="613908148">
      <w:bodyDiv w:val="1"/>
      <w:marLeft w:val="0"/>
      <w:marRight w:val="0"/>
      <w:marTop w:val="0"/>
      <w:marBottom w:val="0"/>
      <w:divBdr>
        <w:top w:val="none" w:sz="0" w:space="0" w:color="auto"/>
        <w:left w:val="none" w:sz="0" w:space="0" w:color="auto"/>
        <w:bottom w:val="none" w:sz="0" w:space="0" w:color="auto"/>
        <w:right w:val="none" w:sz="0" w:space="0" w:color="auto"/>
      </w:divBdr>
    </w:div>
    <w:div w:id="688725212">
      <w:bodyDiv w:val="1"/>
      <w:marLeft w:val="0"/>
      <w:marRight w:val="0"/>
      <w:marTop w:val="0"/>
      <w:marBottom w:val="0"/>
      <w:divBdr>
        <w:top w:val="none" w:sz="0" w:space="0" w:color="auto"/>
        <w:left w:val="none" w:sz="0" w:space="0" w:color="auto"/>
        <w:bottom w:val="none" w:sz="0" w:space="0" w:color="auto"/>
        <w:right w:val="none" w:sz="0" w:space="0" w:color="auto"/>
      </w:divBdr>
    </w:div>
    <w:div w:id="705180455">
      <w:bodyDiv w:val="1"/>
      <w:marLeft w:val="0"/>
      <w:marRight w:val="0"/>
      <w:marTop w:val="0"/>
      <w:marBottom w:val="0"/>
      <w:divBdr>
        <w:top w:val="none" w:sz="0" w:space="0" w:color="auto"/>
        <w:left w:val="none" w:sz="0" w:space="0" w:color="auto"/>
        <w:bottom w:val="none" w:sz="0" w:space="0" w:color="auto"/>
        <w:right w:val="none" w:sz="0" w:space="0" w:color="auto"/>
      </w:divBdr>
    </w:div>
    <w:div w:id="817721270">
      <w:bodyDiv w:val="1"/>
      <w:marLeft w:val="0"/>
      <w:marRight w:val="0"/>
      <w:marTop w:val="0"/>
      <w:marBottom w:val="0"/>
      <w:divBdr>
        <w:top w:val="none" w:sz="0" w:space="0" w:color="auto"/>
        <w:left w:val="none" w:sz="0" w:space="0" w:color="auto"/>
        <w:bottom w:val="none" w:sz="0" w:space="0" w:color="auto"/>
        <w:right w:val="none" w:sz="0" w:space="0" w:color="auto"/>
      </w:divBdr>
    </w:div>
    <w:div w:id="862280556">
      <w:bodyDiv w:val="1"/>
      <w:marLeft w:val="0"/>
      <w:marRight w:val="0"/>
      <w:marTop w:val="0"/>
      <w:marBottom w:val="0"/>
      <w:divBdr>
        <w:top w:val="none" w:sz="0" w:space="0" w:color="auto"/>
        <w:left w:val="none" w:sz="0" w:space="0" w:color="auto"/>
        <w:bottom w:val="none" w:sz="0" w:space="0" w:color="auto"/>
        <w:right w:val="none" w:sz="0" w:space="0" w:color="auto"/>
      </w:divBdr>
    </w:div>
    <w:div w:id="879584786">
      <w:bodyDiv w:val="1"/>
      <w:marLeft w:val="0"/>
      <w:marRight w:val="0"/>
      <w:marTop w:val="0"/>
      <w:marBottom w:val="0"/>
      <w:divBdr>
        <w:top w:val="none" w:sz="0" w:space="0" w:color="auto"/>
        <w:left w:val="none" w:sz="0" w:space="0" w:color="auto"/>
        <w:bottom w:val="none" w:sz="0" w:space="0" w:color="auto"/>
        <w:right w:val="none" w:sz="0" w:space="0" w:color="auto"/>
      </w:divBdr>
    </w:div>
    <w:div w:id="887765269">
      <w:bodyDiv w:val="1"/>
      <w:marLeft w:val="0"/>
      <w:marRight w:val="0"/>
      <w:marTop w:val="0"/>
      <w:marBottom w:val="0"/>
      <w:divBdr>
        <w:top w:val="none" w:sz="0" w:space="0" w:color="auto"/>
        <w:left w:val="none" w:sz="0" w:space="0" w:color="auto"/>
        <w:bottom w:val="none" w:sz="0" w:space="0" w:color="auto"/>
        <w:right w:val="none" w:sz="0" w:space="0" w:color="auto"/>
      </w:divBdr>
    </w:div>
    <w:div w:id="906067875">
      <w:bodyDiv w:val="1"/>
      <w:marLeft w:val="0"/>
      <w:marRight w:val="0"/>
      <w:marTop w:val="0"/>
      <w:marBottom w:val="0"/>
      <w:divBdr>
        <w:top w:val="none" w:sz="0" w:space="0" w:color="auto"/>
        <w:left w:val="none" w:sz="0" w:space="0" w:color="auto"/>
        <w:bottom w:val="none" w:sz="0" w:space="0" w:color="auto"/>
        <w:right w:val="none" w:sz="0" w:space="0" w:color="auto"/>
      </w:divBdr>
    </w:div>
    <w:div w:id="959529424">
      <w:bodyDiv w:val="1"/>
      <w:marLeft w:val="0"/>
      <w:marRight w:val="0"/>
      <w:marTop w:val="0"/>
      <w:marBottom w:val="0"/>
      <w:divBdr>
        <w:top w:val="none" w:sz="0" w:space="0" w:color="auto"/>
        <w:left w:val="none" w:sz="0" w:space="0" w:color="auto"/>
        <w:bottom w:val="none" w:sz="0" w:space="0" w:color="auto"/>
        <w:right w:val="none" w:sz="0" w:space="0" w:color="auto"/>
      </w:divBdr>
    </w:div>
    <w:div w:id="962005762">
      <w:bodyDiv w:val="1"/>
      <w:marLeft w:val="0"/>
      <w:marRight w:val="0"/>
      <w:marTop w:val="0"/>
      <w:marBottom w:val="0"/>
      <w:divBdr>
        <w:top w:val="none" w:sz="0" w:space="0" w:color="auto"/>
        <w:left w:val="none" w:sz="0" w:space="0" w:color="auto"/>
        <w:bottom w:val="none" w:sz="0" w:space="0" w:color="auto"/>
        <w:right w:val="none" w:sz="0" w:space="0" w:color="auto"/>
      </w:divBdr>
    </w:div>
    <w:div w:id="969090672">
      <w:bodyDiv w:val="1"/>
      <w:marLeft w:val="0"/>
      <w:marRight w:val="0"/>
      <w:marTop w:val="0"/>
      <w:marBottom w:val="0"/>
      <w:divBdr>
        <w:top w:val="none" w:sz="0" w:space="0" w:color="auto"/>
        <w:left w:val="none" w:sz="0" w:space="0" w:color="auto"/>
        <w:bottom w:val="none" w:sz="0" w:space="0" w:color="auto"/>
        <w:right w:val="none" w:sz="0" w:space="0" w:color="auto"/>
      </w:divBdr>
    </w:div>
    <w:div w:id="1103036532">
      <w:bodyDiv w:val="1"/>
      <w:marLeft w:val="0"/>
      <w:marRight w:val="0"/>
      <w:marTop w:val="0"/>
      <w:marBottom w:val="0"/>
      <w:divBdr>
        <w:top w:val="none" w:sz="0" w:space="0" w:color="auto"/>
        <w:left w:val="none" w:sz="0" w:space="0" w:color="auto"/>
        <w:bottom w:val="none" w:sz="0" w:space="0" w:color="auto"/>
        <w:right w:val="none" w:sz="0" w:space="0" w:color="auto"/>
      </w:divBdr>
    </w:div>
    <w:div w:id="1161312018">
      <w:bodyDiv w:val="1"/>
      <w:marLeft w:val="0"/>
      <w:marRight w:val="0"/>
      <w:marTop w:val="0"/>
      <w:marBottom w:val="0"/>
      <w:divBdr>
        <w:top w:val="none" w:sz="0" w:space="0" w:color="auto"/>
        <w:left w:val="none" w:sz="0" w:space="0" w:color="auto"/>
        <w:bottom w:val="none" w:sz="0" w:space="0" w:color="auto"/>
        <w:right w:val="none" w:sz="0" w:space="0" w:color="auto"/>
      </w:divBdr>
    </w:div>
    <w:div w:id="1262104844">
      <w:bodyDiv w:val="1"/>
      <w:marLeft w:val="0"/>
      <w:marRight w:val="0"/>
      <w:marTop w:val="0"/>
      <w:marBottom w:val="0"/>
      <w:divBdr>
        <w:top w:val="none" w:sz="0" w:space="0" w:color="auto"/>
        <w:left w:val="none" w:sz="0" w:space="0" w:color="auto"/>
        <w:bottom w:val="none" w:sz="0" w:space="0" w:color="auto"/>
        <w:right w:val="none" w:sz="0" w:space="0" w:color="auto"/>
      </w:divBdr>
    </w:div>
    <w:div w:id="1361469567">
      <w:bodyDiv w:val="1"/>
      <w:marLeft w:val="0"/>
      <w:marRight w:val="0"/>
      <w:marTop w:val="0"/>
      <w:marBottom w:val="0"/>
      <w:divBdr>
        <w:top w:val="none" w:sz="0" w:space="0" w:color="auto"/>
        <w:left w:val="none" w:sz="0" w:space="0" w:color="auto"/>
        <w:bottom w:val="none" w:sz="0" w:space="0" w:color="auto"/>
        <w:right w:val="none" w:sz="0" w:space="0" w:color="auto"/>
      </w:divBdr>
    </w:div>
    <w:div w:id="1433011064">
      <w:bodyDiv w:val="1"/>
      <w:marLeft w:val="0"/>
      <w:marRight w:val="0"/>
      <w:marTop w:val="0"/>
      <w:marBottom w:val="0"/>
      <w:divBdr>
        <w:top w:val="none" w:sz="0" w:space="0" w:color="auto"/>
        <w:left w:val="none" w:sz="0" w:space="0" w:color="auto"/>
        <w:bottom w:val="none" w:sz="0" w:space="0" w:color="auto"/>
        <w:right w:val="none" w:sz="0" w:space="0" w:color="auto"/>
      </w:divBdr>
    </w:div>
    <w:div w:id="1442846688">
      <w:bodyDiv w:val="1"/>
      <w:marLeft w:val="0"/>
      <w:marRight w:val="0"/>
      <w:marTop w:val="0"/>
      <w:marBottom w:val="0"/>
      <w:divBdr>
        <w:top w:val="none" w:sz="0" w:space="0" w:color="auto"/>
        <w:left w:val="none" w:sz="0" w:space="0" w:color="auto"/>
        <w:bottom w:val="none" w:sz="0" w:space="0" w:color="auto"/>
        <w:right w:val="none" w:sz="0" w:space="0" w:color="auto"/>
      </w:divBdr>
    </w:div>
    <w:div w:id="1474175102">
      <w:bodyDiv w:val="1"/>
      <w:marLeft w:val="0"/>
      <w:marRight w:val="0"/>
      <w:marTop w:val="0"/>
      <w:marBottom w:val="0"/>
      <w:divBdr>
        <w:top w:val="none" w:sz="0" w:space="0" w:color="auto"/>
        <w:left w:val="none" w:sz="0" w:space="0" w:color="auto"/>
        <w:bottom w:val="none" w:sz="0" w:space="0" w:color="auto"/>
        <w:right w:val="none" w:sz="0" w:space="0" w:color="auto"/>
      </w:divBdr>
    </w:div>
    <w:div w:id="1494953002">
      <w:bodyDiv w:val="1"/>
      <w:marLeft w:val="0"/>
      <w:marRight w:val="0"/>
      <w:marTop w:val="0"/>
      <w:marBottom w:val="0"/>
      <w:divBdr>
        <w:top w:val="none" w:sz="0" w:space="0" w:color="auto"/>
        <w:left w:val="none" w:sz="0" w:space="0" w:color="auto"/>
        <w:bottom w:val="none" w:sz="0" w:space="0" w:color="auto"/>
        <w:right w:val="none" w:sz="0" w:space="0" w:color="auto"/>
      </w:divBdr>
    </w:div>
    <w:div w:id="1589075575">
      <w:bodyDiv w:val="1"/>
      <w:marLeft w:val="0"/>
      <w:marRight w:val="0"/>
      <w:marTop w:val="0"/>
      <w:marBottom w:val="0"/>
      <w:divBdr>
        <w:top w:val="none" w:sz="0" w:space="0" w:color="auto"/>
        <w:left w:val="none" w:sz="0" w:space="0" w:color="auto"/>
        <w:bottom w:val="none" w:sz="0" w:space="0" w:color="auto"/>
        <w:right w:val="none" w:sz="0" w:space="0" w:color="auto"/>
      </w:divBdr>
    </w:div>
    <w:div w:id="1695424092">
      <w:bodyDiv w:val="1"/>
      <w:marLeft w:val="0"/>
      <w:marRight w:val="0"/>
      <w:marTop w:val="0"/>
      <w:marBottom w:val="0"/>
      <w:divBdr>
        <w:top w:val="none" w:sz="0" w:space="0" w:color="auto"/>
        <w:left w:val="none" w:sz="0" w:space="0" w:color="auto"/>
        <w:bottom w:val="none" w:sz="0" w:space="0" w:color="auto"/>
        <w:right w:val="none" w:sz="0" w:space="0" w:color="auto"/>
      </w:divBdr>
    </w:div>
    <w:div w:id="1760369996">
      <w:bodyDiv w:val="1"/>
      <w:marLeft w:val="0"/>
      <w:marRight w:val="0"/>
      <w:marTop w:val="0"/>
      <w:marBottom w:val="0"/>
      <w:divBdr>
        <w:top w:val="none" w:sz="0" w:space="0" w:color="auto"/>
        <w:left w:val="none" w:sz="0" w:space="0" w:color="auto"/>
        <w:bottom w:val="none" w:sz="0" w:space="0" w:color="auto"/>
        <w:right w:val="none" w:sz="0" w:space="0" w:color="auto"/>
      </w:divBdr>
    </w:div>
    <w:div w:id="1856990767">
      <w:bodyDiv w:val="1"/>
      <w:marLeft w:val="0"/>
      <w:marRight w:val="0"/>
      <w:marTop w:val="0"/>
      <w:marBottom w:val="0"/>
      <w:divBdr>
        <w:top w:val="none" w:sz="0" w:space="0" w:color="auto"/>
        <w:left w:val="none" w:sz="0" w:space="0" w:color="auto"/>
        <w:bottom w:val="none" w:sz="0" w:space="0" w:color="auto"/>
        <w:right w:val="none" w:sz="0" w:space="0" w:color="auto"/>
      </w:divBdr>
    </w:div>
    <w:div w:id="1875271461">
      <w:bodyDiv w:val="1"/>
      <w:marLeft w:val="0"/>
      <w:marRight w:val="0"/>
      <w:marTop w:val="0"/>
      <w:marBottom w:val="0"/>
      <w:divBdr>
        <w:top w:val="none" w:sz="0" w:space="0" w:color="auto"/>
        <w:left w:val="none" w:sz="0" w:space="0" w:color="auto"/>
        <w:bottom w:val="none" w:sz="0" w:space="0" w:color="auto"/>
        <w:right w:val="none" w:sz="0" w:space="0" w:color="auto"/>
      </w:divBdr>
    </w:div>
    <w:div w:id="1896238839">
      <w:bodyDiv w:val="1"/>
      <w:marLeft w:val="0"/>
      <w:marRight w:val="0"/>
      <w:marTop w:val="0"/>
      <w:marBottom w:val="0"/>
      <w:divBdr>
        <w:top w:val="none" w:sz="0" w:space="0" w:color="auto"/>
        <w:left w:val="none" w:sz="0" w:space="0" w:color="auto"/>
        <w:bottom w:val="none" w:sz="0" w:space="0" w:color="auto"/>
        <w:right w:val="none" w:sz="0" w:space="0" w:color="auto"/>
      </w:divBdr>
    </w:div>
    <w:div w:id="1988363323">
      <w:bodyDiv w:val="1"/>
      <w:marLeft w:val="0"/>
      <w:marRight w:val="0"/>
      <w:marTop w:val="0"/>
      <w:marBottom w:val="0"/>
      <w:divBdr>
        <w:top w:val="none" w:sz="0" w:space="0" w:color="auto"/>
        <w:left w:val="none" w:sz="0" w:space="0" w:color="auto"/>
        <w:bottom w:val="none" w:sz="0" w:space="0" w:color="auto"/>
        <w:right w:val="none" w:sz="0" w:space="0" w:color="auto"/>
      </w:divBdr>
    </w:div>
    <w:div w:id="213019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png"/><Relationship Id="rId26" Type="http://schemas.openxmlformats.org/officeDocument/2006/relationships/image" Target="media/image15.emf"/><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wmf"/><Relationship Id="rId25" Type="http://schemas.openxmlformats.org/officeDocument/2006/relationships/image" Target="media/image14.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oleObject" Target="embeddings/oleObject1.bin"/><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3018D4934754C8BAA1397CFC97DC5" ma:contentTypeVersion="15" ma:contentTypeDescription="Create a new document." ma:contentTypeScope="" ma:versionID="079e7f4d55a9b017f19f294a830c428a">
  <xsd:schema xmlns:xsd="http://www.w3.org/2001/XMLSchema" xmlns:xs="http://www.w3.org/2001/XMLSchema" xmlns:p="http://schemas.microsoft.com/office/2006/metadata/properties" xmlns:ns3="44a56295-c29e-4898-8136-a54736c65b82" xmlns:ns4="9b48827e-b7e7-45cc-944e-23e9f43ed17e" xmlns:ns5="b2affd58-9260-4d98-be13-594ca30f731b" targetNamespace="http://schemas.microsoft.com/office/2006/metadata/properties" ma:root="true" ma:fieldsID="eb10c5ce24175b1c29b622955aed8852" ns3:_="" ns4:_="" ns5:_="">
    <xsd:import namespace="44a56295-c29e-4898-8136-a54736c65b82"/>
    <xsd:import namespace="9b48827e-b7e7-45cc-944e-23e9f43ed17e"/>
    <xsd:import namespace="b2affd58-9260-4d98-be13-594ca30f731b"/>
    <xsd:element name="properties">
      <xsd:complexType>
        <xsd:sequence>
          <xsd:element name="documentManagement">
            <xsd:complexType>
              <xsd:all>
                <xsd:element ref="ns3:Descriptions" minOccurs="0"/>
                <xsd:element ref="ns3:Keywor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827e-b7e7-45cc-944e-23e9f43ed1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affd58-9260-4d98-be13-594ca30f731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ee89e71-04cd-405e-9ca3-99e020c1694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B4399-456A-4174-8111-D670EDD89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9b48827e-b7e7-45cc-944e-23e9f43ed17e"/>
    <ds:schemaRef ds:uri="b2affd58-9260-4d98-be13-594ca30f7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4A036A-B648-4E78-AFFC-817E9B0530A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4a56295-c29e-4898-8136-a54736c65b82"/>
    <ds:schemaRef ds:uri="9b48827e-b7e7-45cc-944e-23e9f43ed17e"/>
    <ds:schemaRef ds:uri="http://purl.org/dc/terms/"/>
    <ds:schemaRef ds:uri="http://schemas.openxmlformats.org/package/2006/metadata/core-properties"/>
    <ds:schemaRef ds:uri="b2affd58-9260-4d98-be13-594ca30f731b"/>
    <ds:schemaRef ds:uri="http://www.w3.org/XML/1998/namespace"/>
    <ds:schemaRef ds:uri="http://purl.org/dc/dcmitype/"/>
  </ds:schemaRefs>
</ds:datastoreItem>
</file>

<file path=customXml/itemProps3.xml><?xml version="1.0" encoding="utf-8"?>
<ds:datastoreItem xmlns:ds="http://schemas.openxmlformats.org/officeDocument/2006/customXml" ds:itemID="{61356A56-42BC-491F-AF00-7076A4E51F13}">
  <ds:schemaRefs>
    <ds:schemaRef ds:uri="http://schemas.microsoft.com/sharepoint/v3/contenttype/forms"/>
  </ds:schemaRefs>
</ds:datastoreItem>
</file>

<file path=customXml/itemProps4.xml><?xml version="1.0" encoding="utf-8"?>
<ds:datastoreItem xmlns:ds="http://schemas.openxmlformats.org/officeDocument/2006/customXml" ds:itemID="{533C554C-26A1-4824-997E-7EFA2A902C37}">
  <ds:schemaRefs>
    <ds:schemaRef ds:uri="Microsoft.SharePoint.Taxonomy.ContentTypeSync"/>
  </ds:schemaRefs>
</ds:datastoreItem>
</file>

<file path=customXml/itemProps5.xml><?xml version="1.0" encoding="utf-8"?>
<ds:datastoreItem xmlns:ds="http://schemas.openxmlformats.org/officeDocument/2006/customXml" ds:itemID="{F010DDAE-796C-4E02-AA96-5AE35457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16644</Words>
  <Characters>90712</Characters>
  <Application>Microsoft Office Word</Application>
  <DocSecurity>0</DocSecurity>
  <Lines>2159</Lines>
  <Paragraphs>1166</Paragraphs>
  <ScaleCrop>false</ScaleCrop>
  <HeadingPairs>
    <vt:vector size="2" baseType="variant">
      <vt:variant>
        <vt:lpstr>Title</vt:lpstr>
      </vt:variant>
      <vt:variant>
        <vt:i4>1</vt:i4>
      </vt:variant>
    </vt:vector>
  </HeadingPairs>
  <TitlesOfParts>
    <vt:vector size="1" baseType="lpstr">
      <vt:lpstr/>
    </vt:vector>
  </TitlesOfParts>
  <Company>AstraZeneca Pty Ltd</Company>
  <LinksUpToDate>false</LinksUpToDate>
  <CharactersWithSpaces>106190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Dapagliflozin</dc:title>
  <dc:subject>prescription medicines</dc:subject>
  <dc:creator>AZ</dc:creator>
  <cp:lastPrinted>2019-08-13T03:35:00Z</cp:lastPrinted>
  <dcterms:created xsi:type="dcterms:W3CDTF">2021-04-21T02:11:00Z</dcterms:created>
  <dcterms:modified xsi:type="dcterms:W3CDTF">2021-04-21T02:16:00Z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0x0101009223018D4934754C8BAA1397CFC97DC5</vt:lpwstr>
  </property>
</Properties>
</file>