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22" w:rsidRPr="00FF13B1" w:rsidRDefault="00AF1FB3" w:rsidP="00CF1E2F">
      <w:pPr>
        <w:pStyle w:val="PITITLE"/>
      </w:pPr>
      <w:r w:rsidRPr="00FF13B1">
        <w:t>PRODUCT INFORMATION</w:t>
      </w:r>
      <w:r w:rsidR="003C5BED" w:rsidRPr="00FF13B1">
        <w:t xml:space="preserve"> </w:t>
      </w:r>
    </w:p>
    <w:p w:rsidR="00AF1FB3" w:rsidRPr="00FF13B1" w:rsidRDefault="00146C22" w:rsidP="00CF1E2F">
      <w:pPr>
        <w:pStyle w:val="PISubtitle"/>
        <w:rPr>
          <w:sz w:val="20"/>
        </w:rPr>
      </w:pPr>
      <w:r w:rsidRPr="00146C22">
        <w:rPr>
          <w:rStyle w:val="PITradename"/>
          <w:caps/>
        </w:rPr>
        <w:t>Zinbryta</w:t>
      </w:r>
      <w:r w:rsidR="00B00C69">
        <w:rPr>
          <w:rStyle w:val="PIRegisteredTrademarkSign"/>
        </w:rPr>
        <w:t>®</w:t>
      </w:r>
      <w:r w:rsidR="00B33A9D" w:rsidRPr="00FF13B1">
        <w:rPr>
          <w:sz w:val="20"/>
        </w:rPr>
        <w:t xml:space="preserve"> </w:t>
      </w:r>
      <w:r w:rsidR="00A97DF2" w:rsidRPr="00FF13B1">
        <w:t>(</w:t>
      </w:r>
      <w:proofErr w:type="spellStart"/>
      <w:r>
        <w:t>d</w:t>
      </w:r>
      <w:r w:rsidRPr="00146C22">
        <w:t>aclizumab</w:t>
      </w:r>
      <w:proofErr w:type="spellEnd"/>
      <w:r w:rsidR="00A97DF2" w:rsidRPr="00FF13B1">
        <w:t>)</w:t>
      </w:r>
    </w:p>
    <w:p w:rsidR="00B33A9D" w:rsidRPr="00FF13B1" w:rsidRDefault="00B33A9D" w:rsidP="00CF1E2F">
      <w:pPr>
        <w:pStyle w:val="PIHeading1"/>
      </w:pPr>
      <w:r w:rsidRPr="00FF13B1">
        <w:t xml:space="preserve">Name of THE medicine </w:t>
      </w:r>
    </w:p>
    <w:p w:rsidR="00B33A9D" w:rsidRDefault="00A25B4E" w:rsidP="00AD6110">
      <w:pPr>
        <w:pStyle w:val="PINormal"/>
      </w:pPr>
      <w:r w:rsidRPr="00B50AA0">
        <w:rPr>
          <w:b/>
          <w:szCs w:val="24"/>
        </w:rPr>
        <w:t>ZINBRYTA</w:t>
      </w:r>
      <w:r>
        <w:rPr>
          <w:b/>
          <w:szCs w:val="24"/>
        </w:rPr>
        <w:t xml:space="preserve"> (</w:t>
      </w:r>
      <w:proofErr w:type="spellStart"/>
      <w:r>
        <w:t>daclizumab</w:t>
      </w:r>
      <w:proofErr w:type="spellEnd"/>
      <w:r>
        <w:t>)</w:t>
      </w:r>
    </w:p>
    <w:p w:rsidR="00A25B4E" w:rsidRPr="00A25B4E" w:rsidRDefault="00A25B4E" w:rsidP="00A25B4E">
      <w:pPr>
        <w:pStyle w:val="PINormal"/>
        <w:rPr>
          <w:szCs w:val="24"/>
        </w:rPr>
      </w:pPr>
      <w:r w:rsidRPr="00A25B4E">
        <w:rPr>
          <w:szCs w:val="24"/>
        </w:rPr>
        <w:t>Solution for injection, in pre</w:t>
      </w:r>
      <w:r w:rsidR="000360B4">
        <w:rPr>
          <w:szCs w:val="24"/>
        </w:rPr>
        <w:t>-</w:t>
      </w:r>
      <w:r w:rsidRPr="00A25B4E">
        <w:rPr>
          <w:szCs w:val="24"/>
        </w:rPr>
        <w:t xml:space="preserve">filled pen </w:t>
      </w:r>
    </w:p>
    <w:p w:rsidR="00A25B4E" w:rsidRDefault="00A25B4E" w:rsidP="00A25B4E">
      <w:pPr>
        <w:pStyle w:val="PINormal"/>
        <w:rPr>
          <w:szCs w:val="24"/>
        </w:rPr>
      </w:pPr>
      <w:r w:rsidRPr="00A25B4E">
        <w:rPr>
          <w:szCs w:val="24"/>
        </w:rPr>
        <w:t>Solution for injection, in pre</w:t>
      </w:r>
      <w:r w:rsidR="000360B4">
        <w:rPr>
          <w:szCs w:val="24"/>
        </w:rPr>
        <w:t>-</w:t>
      </w:r>
      <w:r w:rsidRPr="00A25B4E">
        <w:rPr>
          <w:szCs w:val="24"/>
        </w:rPr>
        <w:t>filled syringe</w:t>
      </w:r>
    </w:p>
    <w:p w:rsidR="00491F45" w:rsidRPr="00491F45" w:rsidRDefault="00FE4239" w:rsidP="00491F45">
      <w:r w:rsidRPr="00FE4239">
        <w:t>ZINBRYTA</w:t>
      </w:r>
      <w:r w:rsidR="00491F45">
        <w:t xml:space="preserve"> is supplied as 150 </w:t>
      </w:r>
      <w:r w:rsidR="00491F45" w:rsidRPr="00B50AA0">
        <w:t xml:space="preserve">milligrams of </w:t>
      </w:r>
      <w:proofErr w:type="spellStart"/>
      <w:r w:rsidR="00491F45" w:rsidRPr="00B50AA0">
        <w:t>daclizumab</w:t>
      </w:r>
      <w:proofErr w:type="spellEnd"/>
      <w:r w:rsidR="00491F45" w:rsidRPr="00B50AA0">
        <w:t xml:space="preserve"> per 1.0</w:t>
      </w:r>
      <w:r w:rsidR="00491F45">
        <w:t> </w:t>
      </w:r>
      <w:proofErr w:type="spellStart"/>
      <w:r w:rsidR="00491F45">
        <w:t>mL.</w:t>
      </w:r>
      <w:proofErr w:type="spellEnd"/>
    </w:p>
    <w:p w:rsidR="00FF2548" w:rsidRPr="006246B1" w:rsidRDefault="00FF2548" w:rsidP="00FF2548">
      <w:pPr>
        <w:pStyle w:val="PINormal"/>
        <w:rPr>
          <w:szCs w:val="24"/>
        </w:rPr>
      </w:pPr>
      <w:r w:rsidRPr="00A938CE">
        <w:rPr>
          <w:szCs w:val="24"/>
        </w:rPr>
        <w:t>The CAS Registry Number is</w:t>
      </w:r>
      <w:r w:rsidR="000D3474">
        <w:rPr>
          <w:szCs w:val="24"/>
        </w:rPr>
        <w:t xml:space="preserve"> </w:t>
      </w:r>
      <w:r w:rsidR="002429EA" w:rsidRPr="002429EA">
        <w:rPr>
          <w:szCs w:val="24"/>
        </w:rPr>
        <w:t>152923-56-3</w:t>
      </w:r>
      <w:r w:rsidR="002429EA">
        <w:rPr>
          <w:szCs w:val="24"/>
        </w:rPr>
        <w:t>.</w:t>
      </w:r>
    </w:p>
    <w:p w:rsidR="00AF1FB3" w:rsidRDefault="00AF1FB3" w:rsidP="00CF1E2F">
      <w:pPr>
        <w:pStyle w:val="PIHeading1"/>
      </w:pPr>
      <w:r w:rsidRPr="00FF13B1">
        <w:t>DESCRIPTION</w:t>
      </w:r>
      <w:r w:rsidR="003C5BED" w:rsidRPr="00FF13B1">
        <w:t xml:space="preserve"> </w:t>
      </w:r>
    </w:p>
    <w:p w:rsidR="00A25B4E" w:rsidRPr="00B50AA0" w:rsidRDefault="00A25B4E" w:rsidP="00A25B4E">
      <w:proofErr w:type="spellStart"/>
      <w:r w:rsidRPr="00B50AA0">
        <w:t>Daclizumab</w:t>
      </w:r>
      <w:proofErr w:type="spellEnd"/>
      <w:r w:rsidRPr="00B50AA0">
        <w:t xml:space="preserve"> is a humanized IgG1 monoclonal antibody that binds specifically to the alpha subunit of the interleukin-2 receptor (IL-2Rα, CD25). </w:t>
      </w:r>
    </w:p>
    <w:p w:rsidR="00A25B4E" w:rsidRPr="00B50AA0" w:rsidRDefault="00A25B4E" w:rsidP="00A25B4E">
      <w:proofErr w:type="spellStart"/>
      <w:r w:rsidRPr="00B50AA0">
        <w:t>Daclizumab</w:t>
      </w:r>
      <w:proofErr w:type="spellEnd"/>
      <w:r w:rsidRPr="00B50AA0">
        <w:t xml:space="preserve"> has </w:t>
      </w:r>
      <w:proofErr w:type="spellStart"/>
      <w:r w:rsidRPr="00B50AA0">
        <w:t>immunomodulatory</w:t>
      </w:r>
      <w:proofErr w:type="spellEnd"/>
      <w:r w:rsidRPr="00B50AA0">
        <w:t xml:space="preserve"> effects by selectively blocking </w:t>
      </w:r>
      <w:proofErr w:type="spellStart"/>
      <w:r w:rsidRPr="00B50AA0">
        <w:t>signaling</w:t>
      </w:r>
      <w:proofErr w:type="spellEnd"/>
      <w:r w:rsidRPr="00B50AA0">
        <w:t xml:space="preserve"> through high affinity IL</w:t>
      </w:r>
      <w:r w:rsidR="004F6448">
        <w:t>-</w:t>
      </w:r>
      <w:r w:rsidRPr="00B50AA0">
        <w:t>2 receptors, a receptor that is up-regulated on the surface of activated lymphocytes, while leaving IL</w:t>
      </w:r>
      <w:r w:rsidR="004F6448">
        <w:t>-</w:t>
      </w:r>
      <w:r w:rsidRPr="00B50AA0">
        <w:t xml:space="preserve">2 </w:t>
      </w:r>
      <w:proofErr w:type="spellStart"/>
      <w:r w:rsidRPr="00B50AA0">
        <w:t>signaling</w:t>
      </w:r>
      <w:proofErr w:type="spellEnd"/>
      <w:r w:rsidRPr="00B50AA0">
        <w:t xml:space="preserve"> by intermediate affinity IL</w:t>
      </w:r>
      <w:r w:rsidR="004F6448">
        <w:t>-</w:t>
      </w:r>
      <w:r w:rsidRPr="00B50AA0">
        <w:t xml:space="preserve">2 receptors intact. </w:t>
      </w:r>
    </w:p>
    <w:p w:rsidR="00A25B4E" w:rsidRPr="00B50AA0" w:rsidRDefault="00A25B4E" w:rsidP="00A25B4E">
      <w:proofErr w:type="spellStart"/>
      <w:r w:rsidRPr="00B50AA0">
        <w:t>Daclizumab</w:t>
      </w:r>
      <w:proofErr w:type="spellEnd"/>
      <w:r w:rsidRPr="00B50AA0">
        <w:t xml:space="preserve"> is produced by recombinant DNA technology and consists of 90% material from the human IgG1 constant domains and 10% material from the complementarity-determining region (CDR) sequences of a murine monoclonal antibody that binds CD25. </w:t>
      </w:r>
      <w:proofErr w:type="spellStart"/>
      <w:r w:rsidRPr="00B50AA0">
        <w:t>Daclizumab</w:t>
      </w:r>
      <w:proofErr w:type="spellEnd"/>
      <w:r w:rsidRPr="00B50AA0">
        <w:t xml:space="preserve"> is produced in a mammalian cell line (NS0) using animal component-free medium. </w:t>
      </w:r>
      <w:proofErr w:type="spellStart"/>
      <w:r w:rsidRPr="00B50AA0">
        <w:t>Daclizumab</w:t>
      </w:r>
      <w:proofErr w:type="spellEnd"/>
      <w:r w:rsidRPr="00B50AA0">
        <w:t xml:space="preserve"> is composed of two humanized gamma-1 heavy chains and two humanized kappa light chains and has a molecular weight of approximately 144</w:t>
      </w:r>
      <w:r>
        <w:t> </w:t>
      </w:r>
      <w:proofErr w:type="spellStart"/>
      <w:r w:rsidRPr="00B50AA0">
        <w:t>kilodaltons</w:t>
      </w:r>
      <w:proofErr w:type="spellEnd"/>
      <w:r w:rsidRPr="00B50AA0">
        <w:t xml:space="preserve"> (</w:t>
      </w:r>
      <w:proofErr w:type="spellStart"/>
      <w:r w:rsidRPr="00B50AA0">
        <w:t>kDa</w:t>
      </w:r>
      <w:proofErr w:type="spellEnd"/>
      <w:r w:rsidRPr="00B50AA0">
        <w:t>).</w:t>
      </w:r>
    </w:p>
    <w:p w:rsidR="00A25B4E" w:rsidRDefault="00FE4239" w:rsidP="00A25B4E">
      <w:r>
        <w:t>ZINBRYTA</w:t>
      </w:r>
      <w:r w:rsidR="00A25B4E" w:rsidRPr="00B50AA0">
        <w:t xml:space="preserve"> is supplied as a sterile, preservative-free, </w:t>
      </w:r>
      <w:proofErr w:type="gramStart"/>
      <w:r w:rsidR="000360B4" w:rsidRPr="00B50AA0">
        <w:t>colourless</w:t>
      </w:r>
      <w:proofErr w:type="gramEnd"/>
      <w:r w:rsidR="00A25B4E" w:rsidRPr="00B50AA0">
        <w:t xml:space="preserve"> to slightly yellow, clear to slightly opalescent liquid. The drug product is supplied in a single-use pre-filled pen or as a single-use pre-filled syringe.</w:t>
      </w:r>
    </w:p>
    <w:p w:rsidR="007F251F" w:rsidRPr="007F251F" w:rsidRDefault="007F251F" w:rsidP="00A25B4E">
      <w:pPr>
        <w:rPr>
          <w:b/>
        </w:rPr>
      </w:pPr>
      <w:r w:rsidRPr="007F251F">
        <w:rPr>
          <w:b/>
        </w:rPr>
        <w:t>Excipients</w:t>
      </w:r>
    </w:p>
    <w:p w:rsidR="007F251F" w:rsidRPr="007F251F" w:rsidRDefault="007F251F" w:rsidP="004F6448">
      <w:pPr>
        <w:spacing w:after="0"/>
        <w:rPr>
          <w:szCs w:val="24"/>
          <w:lang w:val="en-US"/>
        </w:rPr>
      </w:pPr>
      <w:r w:rsidRPr="007F251F">
        <w:rPr>
          <w:szCs w:val="24"/>
          <w:lang w:val="en-US"/>
        </w:rPr>
        <w:t>Sodium succinate, anhydrous 5.94 mg</w:t>
      </w:r>
      <w:r w:rsidR="00875B43">
        <w:rPr>
          <w:szCs w:val="24"/>
          <w:lang w:val="en-US"/>
        </w:rPr>
        <w:t xml:space="preserve">; </w:t>
      </w:r>
      <w:r w:rsidRPr="007F251F">
        <w:rPr>
          <w:szCs w:val="24"/>
          <w:lang w:val="en-US"/>
        </w:rPr>
        <w:t>Succinic acid 0.35 mg</w:t>
      </w:r>
      <w:r w:rsidR="00875B43">
        <w:rPr>
          <w:szCs w:val="24"/>
          <w:lang w:val="en-US"/>
        </w:rPr>
        <w:t xml:space="preserve">; </w:t>
      </w:r>
      <w:r w:rsidRPr="007F251F">
        <w:rPr>
          <w:szCs w:val="24"/>
          <w:lang w:val="en-US"/>
        </w:rPr>
        <w:t>Sodium chloride 5.84 mg</w:t>
      </w:r>
      <w:r w:rsidR="00875B43">
        <w:rPr>
          <w:szCs w:val="24"/>
          <w:lang w:val="en-US"/>
        </w:rPr>
        <w:t xml:space="preserve">; </w:t>
      </w:r>
      <w:proofErr w:type="spellStart"/>
      <w:r w:rsidRPr="007F251F">
        <w:rPr>
          <w:szCs w:val="24"/>
          <w:lang w:val="en-US"/>
        </w:rPr>
        <w:t>Polysorbate</w:t>
      </w:r>
      <w:proofErr w:type="spellEnd"/>
      <w:r w:rsidRPr="007F251F">
        <w:rPr>
          <w:szCs w:val="24"/>
          <w:lang w:val="en-US"/>
        </w:rPr>
        <w:t xml:space="preserve"> 80 0.30 mg</w:t>
      </w:r>
      <w:r w:rsidR="00875B43">
        <w:rPr>
          <w:szCs w:val="24"/>
          <w:lang w:val="en-US"/>
        </w:rPr>
        <w:t xml:space="preserve">; </w:t>
      </w:r>
      <w:r w:rsidRPr="007F251F">
        <w:rPr>
          <w:szCs w:val="24"/>
          <w:lang w:val="en-US"/>
        </w:rPr>
        <w:t>Water for Injection</w:t>
      </w:r>
      <w:r w:rsidR="00875B43">
        <w:rPr>
          <w:szCs w:val="24"/>
          <w:lang w:val="en-US"/>
        </w:rPr>
        <w:t xml:space="preserve">; </w:t>
      </w:r>
      <w:r w:rsidR="00760C07">
        <w:rPr>
          <w:szCs w:val="24"/>
          <w:lang w:val="en-US"/>
        </w:rPr>
        <w:t xml:space="preserve">0.14 </w:t>
      </w:r>
      <w:proofErr w:type="spellStart"/>
      <w:r w:rsidRPr="007F251F">
        <w:rPr>
          <w:szCs w:val="24"/>
          <w:lang w:val="en-US"/>
        </w:rPr>
        <w:t>mmol</w:t>
      </w:r>
      <w:proofErr w:type="spellEnd"/>
      <w:r w:rsidRPr="007F251F">
        <w:rPr>
          <w:szCs w:val="24"/>
          <w:lang w:val="en-US"/>
        </w:rPr>
        <w:t xml:space="preserve"> sodium per dose</w:t>
      </w:r>
      <w:r w:rsidR="00875B43">
        <w:rPr>
          <w:szCs w:val="24"/>
          <w:lang w:val="en-US"/>
        </w:rPr>
        <w:t>.</w:t>
      </w:r>
    </w:p>
    <w:p w:rsidR="00514885" w:rsidRPr="00FF13B1" w:rsidRDefault="00514885" w:rsidP="00BB1F40">
      <w:pPr>
        <w:pStyle w:val="PIHeading1"/>
      </w:pPr>
      <w:r w:rsidRPr="00FF13B1">
        <w:t>PHARMACOLOGY</w:t>
      </w:r>
      <w:r w:rsidR="003C5BED" w:rsidRPr="00FF13B1">
        <w:t xml:space="preserve"> </w:t>
      </w:r>
    </w:p>
    <w:p w:rsidR="00FF2548" w:rsidRDefault="00FF2548" w:rsidP="00BB1F40">
      <w:pPr>
        <w:pStyle w:val="PIHeading2"/>
      </w:pPr>
      <w:r>
        <w:t>Mechanism of Action</w:t>
      </w:r>
      <w:r w:rsidRPr="00FF13B1">
        <w:t xml:space="preserve"> </w:t>
      </w:r>
    </w:p>
    <w:p w:rsidR="00FF2548" w:rsidRDefault="00FF2548" w:rsidP="00FF2548">
      <w:proofErr w:type="spellStart"/>
      <w:r>
        <w:t>Daclizumab</w:t>
      </w:r>
      <w:proofErr w:type="spellEnd"/>
      <w:r>
        <w:t xml:space="preserve"> is a humanized monoclonal antibody that binds to CD25 (IL-2Rα), and prevents IL-2 binding to CD25. </w:t>
      </w:r>
      <w:proofErr w:type="spellStart"/>
      <w:r>
        <w:t>Daclizumab</w:t>
      </w:r>
      <w:proofErr w:type="spellEnd"/>
      <w:r>
        <w:t xml:space="preserve"> modulates IL-2 </w:t>
      </w:r>
      <w:proofErr w:type="spellStart"/>
      <w:r>
        <w:t>signaling</w:t>
      </w:r>
      <w:proofErr w:type="spellEnd"/>
      <w:r>
        <w:t xml:space="preserve"> by blocking CD25-dependent, high-affinity IL-2 receptor </w:t>
      </w:r>
      <w:proofErr w:type="spellStart"/>
      <w:r>
        <w:t>signaling</w:t>
      </w:r>
      <w:proofErr w:type="spellEnd"/>
      <w:r>
        <w:t xml:space="preserve">, resulting in higher levels of IL-2 available for signalling through the intermediate-affinity IL-2 receptor. </w:t>
      </w:r>
    </w:p>
    <w:p w:rsidR="00FF2548" w:rsidRDefault="008450C9" w:rsidP="00FF2548">
      <w:r>
        <w:br w:type="page"/>
      </w:r>
      <w:r w:rsidR="00FF2548">
        <w:lastRenderedPageBreak/>
        <w:t xml:space="preserve">Key effects of this IL-2 pathway modulation potentially related to the therapeutic effects of </w:t>
      </w:r>
      <w:proofErr w:type="spellStart"/>
      <w:r w:rsidR="00FF2548">
        <w:t>daclizumab</w:t>
      </w:r>
      <w:proofErr w:type="spellEnd"/>
      <w:r w:rsidR="00FF2548">
        <w:t xml:space="preserve"> in MS include:</w:t>
      </w:r>
    </w:p>
    <w:p w:rsidR="00FF2548" w:rsidRDefault="00FF2548" w:rsidP="005621DF">
      <w:pPr>
        <w:numPr>
          <w:ilvl w:val="0"/>
          <w:numId w:val="19"/>
        </w:numPr>
      </w:pPr>
      <w:r>
        <w:t xml:space="preserve">Selective antagonism of activated T-cell responses. </w:t>
      </w:r>
    </w:p>
    <w:p w:rsidR="00FF2548" w:rsidRDefault="00FF2548" w:rsidP="005621DF">
      <w:pPr>
        <w:numPr>
          <w:ilvl w:val="0"/>
          <w:numId w:val="19"/>
        </w:numPr>
      </w:pPr>
      <w:r>
        <w:t xml:space="preserve">Expansion of </w:t>
      </w:r>
      <w:proofErr w:type="spellStart"/>
      <w:r>
        <w:t>immunoregulatory</w:t>
      </w:r>
      <w:proofErr w:type="spellEnd"/>
      <w:r>
        <w:t xml:space="preserve"> CD56</w:t>
      </w:r>
      <w:r w:rsidRPr="00E6233B">
        <w:rPr>
          <w:vertAlign w:val="superscript"/>
        </w:rPr>
        <w:t>bright</w:t>
      </w:r>
      <w:r>
        <w:t xml:space="preserve"> NK cells which have been shown to selectively decrease activated T cells.</w:t>
      </w:r>
    </w:p>
    <w:p w:rsidR="00FF2548" w:rsidRDefault="00FF2548" w:rsidP="00FF2548">
      <w:r>
        <w:t xml:space="preserve">Together these </w:t>
      </w:r>
      <w:proofErr w:type="spellStart"/>
      <w:r>
        <w:t>immunomodulatory</w:t>
      </w:r>
      <w:proofErr w:type="spellEnd"/>
      <w:r>
        <w:t xml:space="preserve"> effects of </w:t>
      </w:r>
      <w:proofErr w:type="spellStart"/>
      <w:r>
        <w:t>daclizumab</w:t>
      </w:r>
      <w:proofErr w:type="spellEnd"/>
      <w:r>
        <w:t xml:space="preserve"> are believed to reduce </w:t>
      </w:r>
      <w:r w:rsidR="001D2D10">
        <w:t>CNS</w:t>
      </w:r>
      <w:r>
        <w:t xml:space="preserve"> pathology in MS and thereby reduce </w:t>
      </w:r>
      <w:r w:rsidR="001D2D10">
        <w:t xml:space="preserve">the occurrence of </w:t>
      </w:r>
      <w:r>
        <w:t>relapses and disability progression.</w:t>
      </w:r>
    </w:p>
    <w:p w:rsidR="00514885" w:rsidRPr="00FF13B1" w:rsidRDefault="00514885" w:rsidP="00BB1F40">
      <w:pPr>
        <w:pStyle w:val="PIHeading2"/>
        <w:rPr>
          <w:sz w:val="28"/>
          <w:szCs w:val="28"/>
        </w:rPr>
      </w:pPr>
      <w:r w:rsidRPr="00FF13B1">
        <w:t>Pharmacodynamics</w:t>
      </w:r>
      <w:r w:rsidR="003C5BED" w:rsidRPr="00FF13B1">
        <w:t xml:space="preserve"> </w:t>
      </w:r>
    </w:p>
    <w:p w:rsidR="00FF2548" w:rsidRDefault="00FF2548" w:rsidP="00FF2548">
      <w:r>
        <w:t xml:space="preserve">In clinical studies, the </w:t>
      </w:r>
      <w:proofErr w:type="spellStart"/>
      <w:r>
        <w:t>pharmacodynamic</w:t>
      </w:r>
      <w:proofErr w:type="spellEnd"/>
      <w:r>
        <w:t xml:space="preserve"> effects of </w:t>
      </w:r>
      <w:r w:rsidR="00FE4239">
        <w:t xml:space="preserve">ZINBRYTA </w:t>
      </w:r>
      <w:r>
        <w:t xml:space="preserve">administered 150 mg subcutaneously every 4 weeks were consistent with modulation of IL-2 </w:t>
      </w:r>
      <w:proofErr w:type="spellStart"/>
      <w:r>
        <w:t>signaling</w:t>
      </w:r>
      <w:proofErr w:type="spellEnd"/>
      <w:r>
        <w:t xml:space="preserve">. </w:t>
      </w:r>
    </w:p>
    <w:p w:rsidR="00FF2548" w:rsidRDefault="00FF2548" w:rsidP="00FF2548">
      <w:r>
        <w:t xml:space="preserve">Saturation of CD25 on circulating T cells was seen within 8 hours after the first dose of </w:t>
      </w:r>
      <w:proofErr w:type="spellStart"/>
      <w:r>
        <w:t>daclizumab</w:t>
      </w:r>
      <w:proofErr w:type="spellEnd"/>
      <w:r>
        <w:t xml:space="preserve"> treatment, and was sustained during the treatment period.</w:t>
      </w:r>
    </w:p>
    <w:p w:rsidR="00FF2548" w:rsidRDefault="00FF2548" w:rsidP="00FF2548">
      <w:r>
        <w:t xml:space="preserve">An approximately 2-fold increase in serum IL-2 concentration was observed at the earliest time-point evaluated after </w:t>
      </w:r>
      <w:r w:rsidR="00FE4239">
        <w:t>ZINBRYTA</w:t>
      </w:r>
      <w:r>
        <w:t xml:space="preserve"> treatment (3.9 ± 5.7 </w:t>
      </w:r>
      <w:proofErr w:type="spellStart"/>
      <w:r>
        <w:t>pg</w:t>
      </w:r>
      <w:proofErr w:type="spellEnd"/>
      <w:r>
        <w:t xml:space="preserve">/mL at baseline </w:t>
      </w:r>
      <w:proofErr w:type="gramStart"/>
      <w:r>
        <w:t>to 6.7</w:t>
      </w:r>
      <w:r w:rsidR="00E3745A">
        <w:t xml:space="preserve"> </w:t>
      </w:r>
      <w:r>
        <w:t>±</w:t>
      </w:r>
      <w:r w:rsidR="00E3745A">
        <w:t xml:space="preserve"> </w:t>
      </w:r>
      <w:r>
        <w:t xml:space="preserve">7.5 </w:t>
      </w:r>
      <w:proofErr w:type="spellStart"/>
      <w:r>
        <w:t>pg</w:t>
      </w:r>
      <w:proofErr w:type="spellEnd"/>
      <w:r>
        <w:t>/mL at week 8</w:t>
      </w:r>
      <w:proofErr w:type="gramEnd"/>
      <w:r>
        <w:t xml:space="preserve">) and was sustained thereafter at a similar level during the treatment period.  </w:t>
      </w:r>
    </w:p>
    <w:p w:rsidR="00FF2548" w:rsidRDefault="00FF2548" w:rsidP="00FF2548">
      <w:r>
        <w:t>There was an increase in CD56</w:t>
      </w:r>
      <w:r w:rsidRPr="00E6233B">
        <w:rPr>
          <w:vertAlign w:val="superscript"/>
        </w:rPr>
        <w:t>bright</w:t>
      </w:r>
      <w:r>
        <w:t xml:space="preserve"> NK cells and a decrease in regulatory T cells (defined as CD4</w:t>
      </w:r>
      <w:r w:rsidRPr="00E6233B">
        <w:rPr>
          <w:vertAlign w:val="superscript"/>
        </w:rPr>
        <w:t>+</w:t>
      </w:r>
      <w:r>
        <w:t>CD127</w:t>
      </w:r>
      <w:r w:rsidRPr="00E6233B">
        <w:rPr>
          <w:vertAlign w:val="superscript"/>
        </w:rPr>
        <w:t>low</w:t>
      </w:r>
      <w:r>
        <w:t>FoxP3</w:t>
      </w:r>
      <w:r w:rsidRPr="00E6233B">
        <w:rPr>
          <w:vertAlign w:val="superscript"/>
        </w:rPr>
        <w:t xml:space="preserve">+ </w:t>
      </w:r>
      <w:r>
        <w:t xml:space="preserve">T cells) during </w:t>
      </w:r>
      <w:r w:rsidR="00FE4239">
        <w:t>ZINBRYTA</w:t>
      </w:r>
      <w:r>
        <w:t xml:space="preserve"> treatment.  </w:t>
      </w:r>
    </w:p>
    <w:p w:rsidR="00FF2548" w:rsidRDefault="00FF2548" w:rsidP="00FF2548">
      <w:r>
        <w:t>The increase in CD56</w:t>
      </w:r>
      <w:r w:rsidRPr="00E6233B">
        <w:rPr>
          <w:vertAlign w:val="superscript"/>
        </w:rPr>
        <w:t>bright</w:t>
      </w:r>
      <w:r>
        <w:t xml:space="preserve"> NK cells was observed within 2 weeks after the first dose of </w:t>
      </w:r>
      <w:r w:rsidR="00FE4239">
        <w:t>ZINBRYTA</w:t>
      </w:r>
      <w:r>
        <w:t>. After 1 year of treatment CD56</w:t>
      </w:r>
      <w:r w:rsidRPr="00E6233B">
        <w:rPr>
          <w:vertAlign w:val="superscript"/>
        </w:rPr>
        <w:t xml:space="preserve">bright </w:t>
      </w:r>
      <w:r>
        <w:t xml:space="preserve">NK cells expanded approximately 5-fold from a mean of 13.6 ± </w:t>
      </w:r>
      <w:proofErr w:type="gramStart"/>
      <w:r>
        <w:t>8.5 cells/mm</w:t>
      </w:r>
      <w:r w:rsidRPr="00E3745A">
        <w:rPr>
          <w:vertAlign w:val="superscript"/>
        </w:rPr>
        <w:t>3</w:t>
      </w:r>
      <w:r>
        <w:t xml:space="preserve"> (0.75% of lymphocytes) at baseline</w:t>
      </w:r>
      <w:proofErr w:type="gramEnd"/>
      <w:r>
        <w:t xml:space="preserve"> to 72.9 ± 60.1 cells/mm</w:t>
      </w:r>
      <w:r w:rsidRPr="00E3745A">
        <w:rPr>
          <w:vertAlign w:val="superscript"/>
        </w:rPr>
        <w:t>3</w:t>
      </w:r>
      <w:r>
        <w:t xml:space="preserve"> and numbers were sustained at a similar level during the treatment period. CD56</w:t>
      </w:r>
      <w:r w:rsidRPr="007D2E10">
        <w:rPr>
          <w:vertAlign w:val="superscript"/>
        </w:rPr>
        <w:t xml:space="preserve">bright </w:t>
      </w:r>
      <w:r>
        <w:t xml:space="preserve">NK cell counts returned to baseline approximately 20-24 weeks after the last dose. </w:t>
      </w:r>
    </w:p>
    <w:p w:rsidR="00FF2548" w:rsidRDefault="00FF2548" w:rsidP="00FF2548">
      <w:r>
        <w:t xml:space="preserve">The decrease in regulatory T cells was observed within 2 weeks after the first dose of </w:t>
      </w:r>
      <w:r w:rsidR="00FE4239">
        <w:t>ZINBRYTA</w:t>
      </w:r>
      <w:r>
        <w:t xml:space="preserve">. By week 8, regulatory T cell counts decreased approximately 60% from a mean of 14.1 ± </w:t>
      </w:r>
      <w:proofErr w:type="gramStart"/>
      <w:r>
        <w:t>9.6 cells/mm</w:t>
      </w:r>
      <w:r w:rsidRPr="00E3745A">
        <w:rPr>
          <w:vertAlign w:val="superscript"/>
        </w:rPr>
        <w:t>3</w:t>
      </w:r>
      <w:r>
        <w:t xml:space="preserve"> at baseline</w:t>
      </w:r>
      <w:proofErr w:type="gramEnd"/>
      <w:r>
        <w:t xml:space="preserve"> to a mean of 5.5± 4.3 cells/mm</w:t>
      </w:r>
      <w:r w:rsidRPr="00E3745A">
        <w:rPr>
          <w:vertAlign w:val="superscript"/>
        </w:rPr>
        <w:t>3</w:t>
      </w:r>
      <w:r>
        <w:t xml:space="preserve"> and were then sustained at a similar level during the treatment period. Regulatory T cell counts returned to baseline levels approximately 20-24 weeks after the last dose.</w:t>
      </w:r>
    </w:p>
    <w:p w:rsidR="002015F4" w:rsidRDefault="002015F4" w:rsidP="00FF2548">
      <w:r>
        <w:t xml:space="preserve">During ZINBRYTA treatment, mean cell counts for the major immune subsets (T, B, and NK cells) remained within normal ranges. Total lymphocyte, T and B cell counts decreased on average ≤10% from baseline during the first year of treatment. </w:t>
      </w:r>
      <w:r w:rsidRPr="002015F4">
        <w:t>Total lymphocyte counts returned to baseline levels approximately 8-12 weeks after the last dose of ZINBRYTA (150 mg). Total lymphocyte counts &lt;0.8x10</w:t>
      </w:r>
      <w:r w:rsidRPr="002015F4">
        <w:rPr>
          <w:vertAlign w:val="superscript"/>
        </w:rPr>
        <w:t>9</w:t>
      </w:r>
      <w:r w:rsidRPr="002015F4">
        <w:t xml:space="preserve"> cells/L (CTCAE [Common Terminology Criteria for Adverse Events] Grade 2; at least one measurement) occurred in 4% of placebo-treated and 5% of ZINBRYTA-treated patients in the SELECT study (Study 1), and 9% of interferon beta-1a (IM)-treated and 8% of ZINBRYTA-treated patients in the DECIDE study (Study 2). T</w:t>
      </w:r>
      <w:r>
        <w:t>otal NK cell counts increased approximately 1.5-fold as a result of the change in CD56</w:t>
      </w:r>
      <w:r w:rsidRPr="00E6233B">
        <w:rPr>
          <w:vertAlign w:val="superscript"/>
        </w:rPr>
        <w:t xml:space="preserve">bright </w:t>
      </w:r>
      <w:r>
        <w:t>NK cells.</w:t>
      </w:r>
    </w:p>
    <w:p w:rsidR="00565C36" w:rsidRPr="00FF13B1" w:rsidRDefault="00565C36" w:rsidP="00BB1F40">
      <w:pPr>
        <w:pStyle w:val="PIHeading2"/>
        <w:rPr>
          <w:sz w:val="28"/>
          <w:szCs w:val="28"/>
        </w:rPr>
      </w:pPr>
      <w:r w:rsidRPr="00FF13B1">
        <w:t>Pharmacokinetics</w:t>
      </w:r>
      <w:r w:rsidR="003C5BED" w:rsidRPr="00FF13B1">
        <w:t xml:space="preserve"> </w:t>
      </w:r>
    </w:p>
    <w:p w:rsidR="00FF2548" w:rsidRDefault="00FF2548" w:rsidP="00FF2548">
      <w:r>
        <w:t xml:space="preserve">The pharmacokinetics of </w:t>
      </w:r>
      <w:proofErr w:type="spellStart"/>
      <w:r>
        <w:t>daclizumab</w:t>
      </w:r>
      <w:proofErr w:type="spellEnd"/>
      <w:r>
        <w:t xml:space="preserve"> were similar between healthy volunteers and patients with multiple sclerosis (MS), based on multiple studies. </w:t>
      </w:r>
      <w:proofErr w:type="spellStart"/>
      <w:r>
        <w:t>Daclizumab</w:t>
      </w:r>
      <w:proofErr w:type="spellEnd"/>
      <w:r>
        <w:t xml:space="preserve"> pharmacokinetics </w:t>
      </w:r>
      <w:proofErr w:type="gramStart"/>
      <w:r>
        <w:t>are</w:t>
      </w:r>
      <w:proofErr w:type="gramEnd"/>
      <w:r>
        <w:t xml:space="preserve"> well described by a two-compartment model with first-order absorption and elimination.  </w:t>
      </w:r>
    </w:p>
    <w:p w:rsidR="00565C36" w:rsidRPr="00FF13B1" w:rsidRDefault="00565C36" w:rsidP="00BB1F40">
      <w:pPr>
        <w:pStyle w:val="PIHeading3"/>
      </w:pPr>
      <w:r w:rsidRPr="00FF13B1">
        <w:lastRenderedPageBreak/>
        <w:t>Absorption</w:t>
      </w:r>
      <w:r w:rsidR="003C5BED" w:rsidRPr="00FF13B1">
        <w:t xml:space="preserve"> </w:t>
      </w:r>
    </w:p>
    <w:p w:rsidR="00FF2548" w:rsidRDefault="00FF2548" w:rsidP="00FF2548">
      <w:r>
        <w:t xml:space="preserve">Following SC administration of </w:t>
      </w:r>
      <w:proofErr w:type="spellStart"/>
      <w:r>
        <w:t>daclizumab</w:t>
      </w:r>
      <w:proofErr w:type="spellEnd"/>
      <w:r>
        <w:t>, the median time to reach maximum serum concentrations (</w:t>
      </w:r>
      <w:proofErr w:type="spellStart"/>
      <w:r>
        <w:t>Tmax</w:t>
      </w:r>
      <w:proofErr w:type="spellEnd"/>
      <w:r>
        <w:t xml:space="preserve">) ranged from 5 to 7 days. The absolute bioavailability of 150 mg SC </w:t>
      </w:r>
      <w:proofErr w:type="spellStart"/>
      <w:r>
        <w:t>daclizumab</w:t>
      </w:r>
      <w:proofErr w:type="spellEnd"/>
      <w:r>
        <w:t xml:space="preserve"> was approximately 90% based on a cross-study population pharmacokinetic analysis of SC and IV dosing.</w:t>
      </w:r>
    </w:p>
    <w:p w:rsidR="00F939BD" w:rsidRPr="00FF13B1" w:rsidRDefault="00F939BD" w:rsidP="00BB1F40">
      <w:pPr>
        <w:pStyle w:val="PIHeading3"/>
      </w:pPr>
      <w:r w:rsidRPr="00FF13B1">
        <w:t>Distribution</w:t>
      </w:r>
      <w:r w:rsidR="003C5BED" w:rsidRPr="00FF13B1">
        <w:t xml:space="preserve"> </w:t>
      </w:r>
    </w:p>
    <w:p w:rsidR="00FF2548" w:rsidRDefault="00FF2548" w:rsidP="00FF2548">
      <w:r>
        <w:t xml:space="preserve">Following administration of </w:t>
      </w:r>
      <w:proofErr w:type="spellStart"/>
      <w:r>
        <w:t>daclizumab</w:t>
      </w:r>
      <w:proofErr w:type="spellEnd"/>
      <w:r>
        <w:t xml:space="preserve"> 150 mg SC every 4 weeks, steady-state serum </w:t>
      </w:r>
      <w:proofErr w:type="spellStart"/>
      <w:r>
        <w:t>daclizumab</w:t>
      </w:r>
      <w:proofErr w:type="spellEnd"/>
      <w:r>
        <w:t xml:space="preserve"> concentrations were achieved by the 4th dose and </w:t>
      </w:r>
      <w:proofErr w:type="spellStart"/>
      <w:r>
        <w:t>daclizumab</w:t>
      </w:r>
      <w:proofErr w:type="spellEnd"/>
      <w:r>
        <w:t xml:space="preserve"> accumulated to a level approximately 2.5-fold compared to a single dose. At steady state, </w:t>
      </w:r>
      <w:proofErr w:type="spellStart"/>
      <w:r>
        <w:t>daclizumab</w:t>
      </w:r>
      <w:proofErr w:type="spellEnd"/>
      <w:r>
        <w:t xml:space="preserve"> mean maximum serum concentration (</w:t>
      </w:r>
      <w:proofErr w:type="spellStart"/>
      <w:r>
        <w:t>Cmax</w:t>
      </w:r>
      <w:proofErr w:type="spellEnd"/>
      <w:r>
        <w:t>), minimum serum concentration (</w:t>
      </w:r>
      <w:proofErr w:type="spellStart"/>
      <w:r>
        <w:t>Cmin</w:t>
      </w:r>
      <w:proofErr w:type="spellEnd"/>
      <w:r>
        <w:t>) and area under the serum concentration-time curve over the dosing interval (</w:t>
      </w:r>
      <w:proofErr w:type="spellStart"/>
      <w:r>
        <w:t>AUCtau</w:t>
      </w:r>
      <w:proofErr w:type="spellEnd"/>
      <w:r>
        <w:t>) values were approximately 30 µg/mL, 15 µg/mL and 640 µg*day/mL, respectively, with inter-subject variability (% CV) of approximately 40%.</w:t>
      </w:r>
    </w:p>
    <w:p w:rsidR="00FF2548" w:rsidRDefault="00FF2548" w:rsidP="00FF2548">
      <w:r>
        <w:t xml:space="preserve">Based on the cross-study population pharmacokinetic analysis, the steady-state volume of distribution of </w:t>
      </w:r>
      <w:proofErr w:type="spellStart"/>
      <w:r>
        <w:t>daclizumab</w:t>
      </w:r>
      <w:proofErr w:type="spellEnd"/>
      <w:r>
        <w:t xml:space="preserve"> is 6.34 L in a </w:t>
      </w:r>
      <w:r w:rsidR="00E76B19">
        <w:t xml:space="preserve">patient </w:t>
      </w:r>
      <w:r>
        <w:t>with a body weight of 68 kg (approximate median of evaluated</w:t>
      </w:r>
      <w:r w:rsidR="00E76B19">
        <w:t xml:space="preserve"> patients</w:t>
      </w:r>
      <w:r>
        <w:t xml:space="preserve">). This small volume of distribution indicates that </w:t>
      </w:r>
      <w:proofErr w:type="spellStart"/>
      <w:r>
        <w:t>daclizumab</w:t>
      </w:r>
      <w:proofErr w:type="spellEnd"/>
      <w:r>
        <w:t xml:space="preserve"> is primarily confined to the vascular and interstitial spaces.</w:t>
      </w:r>
    </w:p>
    <w:p w:rsidR="00FF2548" w:rsidRDefault="000C1D2F" w:rsidP="00BB1F40">
      <w:pPr>
        <w:pStyle w:val="PIHeading3"/>
      </w:pPr>
      <w:r w:rsidRPr="00FF13B1">
        <w:t>Biotransformation</w:t>
      </w:r>
    </w:p>
    <w:p w:rsidR="00FF2548" w:rsidRPr="00FF2548" w:rsidRDefault="00FF2548" w:rsidP="00FF2548">
      <w:pPr>
        <w:pStyle w:val="PINormal"/>
        <w:rPr>
          <w:szCs w:val="24"/>
        </w:rPr>
      </w:pPr>
      <w:r>
        <w:t xml:space="preserve">The exact metabolic pathway for </w:t>
      </w:r>
      <w:proofErr w:type="spellStart"/>
      <w:r>
        <w:t>daclizumab</w:t>
      </w:r>
      <w:proofErr w:type="spellEnd"/>
      <w:r>
        <w:t xml:space="preserve"> has not been characterized. As an IgG1 monoclonal antibody, </w:t>
      </w:r>
      <w:proofErr w:type="spellStart"/>
      <w:r>
        <w:t>daclizumab</w:t>
      </w:r>
      <w:proofErr w:type="spellEnd"/>
      <w:r>
        <w:t xml:space="preserve"> is expected to undergo catabolism to peptides and amino acids in the same manner as endogenous IgG. </w:t>
      </w:r>
      <w:proofErr w:type="spellStart"/>
      <w:r>
        <w:t>Daclizumab</w:t>
      </w:r>
      <w:proofErr w:type="spellEnd"/>
      <w:r>
        <w:t xml:space="preserve"> is not expected to undergo metabolism by hepatic enzymes such as CYP </w:t>
      </w:r>
      <w:proofErr w:type="spellStart"/>
      <w:r>
        <w:t>isoenzymes</w:t>
      </w:r>
      <w:proofErr w:type="spellEnd"/>
      <w:r>
        <w:t xml:space="preserve"> (see </w:t>
      </w:r>
      <w:r w:rsidR="006209DC" w:rsidRPr="006209DC">
        <w:t>INTERACTIONS WITH OTHER MEDICINES</w:t>
      </w:r>
      <w:r>
        <w:t>)</w:t>
      </w:r>
      <w:r w:rsidR="00EF6DAD">
        <w:t>.</w:t>
      </w:r>
    </w:p>
    <w:p w:rsidR="00F939BD" w:rsidRPr="00FF13B1" w:rsidRDefault="000C1D2F" w:rsidP="00BB1F40">
      <w:pPr>
        <w:pStyle w:val="PIHeading3"/>
      </w:pPr>
      <w:r w:rsidRPr="00FF13B1">
        <w:t xml:space="preserve">Elimination </w:t>
      </w:r>
    </w:p>
    <w:p w:rsidR="00FF2548" w:rsidRDefault="00FF2548" w:rsidP="00FF2548">
      <w:r>
        <w:t xml:space="preserve">As an IgG1 monoclonal antibody, </w:t>
      </w:r>
      <w:proofErr w:type="spellStart"/>
      <w:r>
        <w:t>daclizumab</w:t>
      </w:r>
      <w:proofErr w:type="spellEnd"/>
      <w:r>
        <w:t xml:space="preserve"> is not expected to undergo renal elimination.  </w:t>
      </w:r>
    </w:p>
    <w:p w:rsidR="003C5BED" w:rsidRDefault="00FF2548" w:rsidP="00FF2548">
      <w:pPr>
        <w:pStyle w:val="PINormal"/>
      </w:pPr>
      <w:r>
        <w:t xml:space="preserve">Based on the cross-study population pharmacokinetic analysis, the clearance of </w:t>
      </w:r>
      <w:proofErr w:type="spellStart"/>
      <w:r>
        <w:t>daclizumab</w:t>
      </w:r>
      <w:proofErr w:type="spellEnd"/>
      <w:r>
        <w:t xml:space="preserve"> is 0.212 L/day with a terminal half-life value of approximately 21 days. </w:t>
      </w:r>
      <w:proofErr w:type="spellStart"/>
      <w:r>
        <w:t>Daclizumab</w:t>
      </w:r>
      <w:proofErr w:type="spellEnd"/>
      <w:r>
        <w:t xml:space="preserve"> clearance in patients who developed neutralizing antibodies was, on</w:t>
      </w:r>
      <w:r w:rsidR="006209DC">
        <w:t xml:space="preserve"> average, 19% higher (see </w:t>
      </w:r>
      <w:r w:rsidR="006209DC" w:rsidRPr="006209DC">
        <w:t xml:space="preserve">ADVERSE EFFECTS </w:t>
      </w:r>
      <w:r w:rsidR="006209DC">
        <w:t>/</w:t>
      </w:r>
      <w:r>
        <w:t>Clinical Trials/Immunogenicity).</w:t>
      </w:r>
    </w:p>
    <w:p w:rsidR="00FF2548" w:rsidRPr="00FF2548" w:rsidRDefault="00FF2548" w:rsidP="00FF2548">
      <w:pPr>
        <w:pStyle w:val="PIHeading3"/>
      </w:pPr>
      <w:proofErr w:type="spellStart"/>
      <w:r w:rsidRPr="00FF2548">
        <w:t>Linearity</w:t>
      </w:r>
      <w:r w:rsidR="00E02933">
        <w:t>N</w:t>
      </w:r>
      <w:r w:rsidRPr="00FF2548">
        <w:t>on</w:t>
      </w:r>
      <w:proofErr w:type="spellEnd"/>
      <w:r w:rsidRPr="00FF2548">
        <w:t>-linearity</w:t>
      </w:r>
    </w:p>
    <w:p w:rsidR="00FF2548" w:rsidRDefault="00FF2548" w:rsidP="00FF2548">
      <w:pPr>
        <w:pStyle w:val="PINormal"/>
      </w:pPr>
      <w:r>
        <w:t xml:space="preserve">Consistent with results from individual studies, a cross-study population pharmacokinetic analysis indicated that </w:t>
      </w:r>
      <w:proofErr w:type="spellStart"/>
      <w:r>
        <w:t>daclizumab</w:t>
      </w:r>
      <w:proofErr w:type="spellEnd"/>
      <w:r>
        <w:t xml:space="preserve"> exposure is more than dose-proportional in the 50 mg to 100 mg SC dose range and is dose proportional in the 100 mg to 300 mg SC dose range.</w:t>
      </w:r>
    </w:p>
    <w:p w:rsidR="00FF2548" w:rsidRPr="00FF2548" w:rsidRDefault="00FF2548" w:rsidP="00FF2548">
      <w:pPr>
        <w:pStyle w:val="PIHeading3"/>
      </w:pPr>
      <w:r w:rsidRPr="00FF2548">
        <w:t>Pharmacokinetic/</w:t>
      </w:r>
      <w:proofErr w:type="spellStart"/>
      <w:r w:rsidR="00E02933">
        <w:t>P</w:t>
      </w:r>
      <w:r w:rsidRPr="00FF2548">
        <w:t>harmacodynamic</w:t>
      </w:r>
      <w:proofErr w:type="spellEnd"/>
      <w:r w:rsidRPr="00FF2548">
        <w:t xml:space="preserve"> </w:t>
      </w:r>
      <w:r w:rsidR="00E02933">
        <w:t>R</w:t>
      </w:r>
      <w:r w:rsidRPr="00FF2548">
        <w:t>elationship(s)</w:t>
      </w:r>
    </w:p>
    <w:p w:rsidR="00986ACF" w:rsidRDefault="00FF2548" w:rsidP="00FF2548">
      <w:pPr>
        <w:pStyle w:val="PINormal"/>
      </w:pPr>
      <w:r>
        <w:t xml:space="preserve">Within the studied regimens of </w:t>
      </w:r>
      <w:proofErr w:type="spellStart"/>
      <w:r>
        <w:t>daclizumab</w:t>
      </w:r>
      <w:proofErr w:type="spellEnd"/>
      <w:r>
        <w:t xml:space="preserve"> 150 mg and 300 mg SC every 4 weeks in MS patients, there was no clear relationship between </w:t>
      </w:r>
      <w:proofErr w:type="spellStart"/>
      <w:r>
        <w:t>daclizumab</w:t>
      </w:r>
      <w:proofErr w:type="spellEnd"/>
      <w:r>
        <w:t xml:space="preserve"> exposure and clinical efficacy endpoints (ARR, T2 lesions and </w:t>
      </w:r>
      <w:proofErr w:type="spellStart"/>
      <w:r>
        <w:t>Gd</w:t>
      </w:r>
      <w:proofErr w:type="spellEnd"/>
      <w:r>
        <w:t>-enhancing lesions) or safety endpoints of interest (serious infection status, moderate or severe cutaneous adverse event, and AST/ALT &gt; 5 times the upper limit of normal).</w:t>
      </w:r>
    </w:p>
    <w:p w:rsidR="00313584" w:rsidRPr="00FF13B1" w:rsidRDefault="00313584" w:rsidP="00BB1F40">
      <w:pPr>
        <w:pStyle w:val="PIHeading3"/>
      </w:pPr>
      <w:r w:rsidRPr="00FF13B1">
        <w:lastRenderedPageBreak/>
        <w:t>Special Populations</w:t>
      </w:r>
      <w:r w:rsidR="00F37A41" w:rsidRPr="00FF13B1">
        <w:t xml:space="preserve"> </w:t>
      </w:r>
    </w:p>
    <w:p w:rsidR="00313584" w:rsidRPr="00FF13B1" w:rsidRDefault="000D3474" w:rsidP="00BB1F40">
      <w:pPr>
        <w:pStyle w:val="PIHeading4"/>
      </w:pPr>
      <w:r w:rsidRPr="000D3474">
        <w:t xml:space="preserve">Renal or </w:t>
      </w:r>
      <w:r w:rsidR="00E02933">
        <w:t>H</w:t>
      </w:r>
      <w:r w:rsidR="00E02933" w:rsidRPr="000D3474">
        <w:t xml:space="preserve">epatic </w:t>
      </w:r>
      <w:r w:rsidR="00E02933">
        <w:t>I</w:t>
      </w:r>
      <w:r w:rsidRPr="000D3474">
        <w:t xml:space="preserve">mpairment </w:t>
      </w:r>
    </w:p>
    <w:p w:rsidR="00F37A41" w:rsidRPr="00FF13B1" w:rsidRDefault="000D3474" w:rsidP="00F37A41">
      <w:pPr>
        <w:pStyle w:val="PINormal"/>
        <w:rPr>
          <w:szCs w:val="24"/>
        </w:rPr>
      </w:pPr>
      <w:r>
        <w:t xml:space="preserve">No studies were conducted to evaluate </w:t>
      </w:r>
      <w:proofErr w:type="spellStart"/>
      <w:r>
        <w:t>daclizumab</w:t>
      </w:r>
      <w:proofErr w:type="spellEnd"/>
      <w:r>
        <w:t xml:space="preserve"> pharmacokinetics in patients with renal or hepatic impairment. </w:t>
      </w:r>
      <w:proofErr w:type="spellStart"/>
      <w:r>
        <w:t>Daclizumab</w:t>
      </w:r>
      <w:proofErr w:type="spellEnd"/>
      <w:r>
        <w:t xml:space="preserve"> is not expected to undergo renal elimination or metabolism by hepatic enzymes (see </w:t>
      </w:r>
      <w:r w:rsidR="006209DC" w:rsidRPr="006209DC">
        <w:t>DOSAGE AND ADMINISTRATION</w:t>
      </w:r>
      <w:r w:rsidR="006209DC">
        <w:t>/</w:t>
      </w:r>
      <w:r>
        <w:t>Patie</w:t>
      </w:r>
      <w:r w:rsidR="006209DC">
        <w:t>nts with Renal Impairment,</w:t>
      </w:r>
      <w:r>
        <w:t xml:space="preserve"> Patients with Hepatic Impairment).</w:t>
      </w:r>
    </w:p>
    <w:p w:rsidR="00AA3820" w:rsidRPr="00FF13B1" w:rsidRDefault="000D3474" w:rsidP="00BB1F40">
      <w:pPr>
        <w:pStyle w:val="PIHeading4"/>
        <w:rPr>
          <w:i w:val="0"/>
        </w:rPr>
      </w:pPr>
      <w:r w:rsidRPr="000D3474">
        <w:t>Weight</w:t>
      </w:r>
      <w:r w:rsidR="00F37A41" w:rsidRPr="00FF13B1">
        <w:t xml:space="preserve"> </w:t>
      </w:r>
    </w:p>
    <w:p w:rsidR="000D3474" w:rsidRDefault="000D3474" w:rsidP="000D3474">
      <w:r>
        <w:t>Based on the cross-study population pharmacokinetic analysis, body weight accounted for less than 40% of the inter-</w:t>
      </w:r>
      <w:r w:rsidR="00E76B19">
        <w:t>patient</w:t>
      </w:r>
      <w:r>
        <w:t xml:space="preserve"> variability in </w:t>
      </w:r>
      <w:proofErr w:type="spellStart"/>
      <w:r>
        <w:t>daclizumab</w:t>
      </w:r>
      <w:proofErr w:type="spellEnd"/>
      <w:r>
        <w:t xml:space="preserve"> clearance. No meaningful differences in clinical efficacy or safety were observed among the subgroups of MS patients by weight quartile in the DECIDE study/Study 2. </w:t>
      </w:r>
    </w:p>
    <w:p w:rsidR="00F37A41" w:rsidRPr="00FF13B1" w:rsidRDefault="000D3474" w:rsidP="00F37A41">
      <w:pPr>
        <w:pStyle w:val="PIHeading4"/>
        <w:rPr>
          <w:i w:val="0"/>
        </w:rPr>
      </w:pPr>
      <w:r w:rsidRPr="000D3474">
        <w:t>Age and Gender</w:t>
      </w:r>
      <w:r w:rsidR="00F37A41" w:rsidRPr="00FF13B1">
        <w:t xml:space="preserve"> </w:t>
      </w:r>
    </w:p>
    <w:p w:rsidR="000D3474" w:rsidRDefault="000D3474" w:rsidP="000D3474">
      <w:r>
        <w:t xml:space="preserve">Based on the cross-study population pharmacokinetic analysis, </w:t>
      </w:r>
      <w:proofErr w:type="spellStart"/>
      <w:r>
        <w:t>daclizumab</w:t>
      </w:r>
      <w:proofErr w:type="spellEnd"/>
      <w:r>
        <w:t xml:space="preserve"> pharmacokinetics were not influenced by age (range: 18 to 66 years; n=1670) or gender (n = 567 males and 1103 females).</w:t>
      </w:r>
    </w:p>
    <w:p w:rsidR="00F37A41" w:rsidRPr="00FF13B1" w:rsidRDefault="000D3474" w:rsidP="00F37A41">
      <w:pPr>
        <w:pStyle w:val="PIHeading4"/>
        <w:rPr>
          <w:i w:val="0"/>
        </w:rPr>
      </w:pPr>
      <w:r w:rsidRPr="000D3474">
        <w:t>Race</w:t>
      </w:r>
      <w:r w:rsidR="00F37A41" w:rsidRPr="00FF13B1">
        <w:t xml:space="preserve"> </w:t>
      </w:r>
    </w:p>
    <w:p w:rsidR="000D3474" w:rsidRDefault="000D3474" w:rsidP="000D3474">
      <w:r>
        <w:t>No pharmacokinetic differences were observed between Japanese and Caucasian healthy volunteers.</w:t>
      </w:r>
    </w:p>
    <w:p w:rsidR="006D3F94" w:rsidRPr="00FF13B1" w:rsidRDefault="006D3F94" w:rsidP="00056EF5">
      <w:pPr>
        <w:pStyle w:val="PIHeading1"/>
      </w:pPr>
      <w:r w:rsidRPr="00FF13B1">
        <w:t>CLINICAL TRIALS</w:t>
      </w:r>
      <w:r w:rsidR="00F37A41" w:rsidRPr="00FF13B1">
        <w:t xml:space="preserve"> </w:t>
      </w:r>
    </w:p>
    <w:p w:rsidR="000D3474" w:rsidRDefault="000D3474" w:rsidP="000D3474">
      <w:pPr>
        <w:pStyle w:val="PIHeading2"/>
      </w:pPr>
      <w:r w:rsidRPr="000D3474">
        <w:t>Efficacy</w:t>
      </w:r>
    </w:p>
    <w:p w:rsidR="000D3474" w:rsidRDefault="000D3474" w:rsidP="000D3474">
      <w:r>
        <w:t xml:space="preserve">The efficacy of </w:t>
      </w:r>
      <w:r w:rsidR="00FE4239">
        <w:t>ZINBRYTA</w:t>
      </w:r>
      <w:r>
        <w:t xml:space="preserve"> was demonstrated in two studies in patients with relapsing multiple sclerosis (RMS). Both studies included patients who had experienced at least 1 relapse (clinical and/or MRI) during the year prior to randomi</w:t>
      </w:r>
      <w:r w:rsidR="00792050">
        <w:t>s</w:t>
      </w:r>
      <w:r>
        <w:t xml:space="preserve">ation, and had an Expanded Disability Status Scale (EDSS) score </w:t>
      </w:r>
      <w:proofErr w:type="gramStart"/>
      <w:r>
        <w:t>between 0 to 5.0</w:t>
      </w:r>
      <w:proofErr w:type="gramEnd"/>
      <w:r>
        <w:t>. For DECIDE (Study 2), at least 2 relapses (one of which was a clinical relapse) within the prior 3 years was also required.</w:t>
      </w:r>
    </w:p>
    <w:p w:rsidR="002015F4" w:rsidRDefault="002015F4" w:rsidP="002015F4">
      <w:r>
        <w:t>The SELECT</w:t>
      </w:r>
      <w:r w:rsidRPr="002015F4">
        <w:t xml:space="preserve"> study </w:t>
      </w:r>
      <w:r>
        <w:t>(Study 1) was a double-blind, randomised, placebo-controlled, study with either ZINBRYTA 150 milligrams (n=208), or 300 milligrams (n=209) versus placebo (n=204) every 4 weeks for 52 weeks.</w:t>
      </w:r>
    </w:p>
    <w:p w:rsidR="002015F4" w:rsidRDefault="002015F4" w:rsidP="002015F4">
      <w:r>
        <w:t xml:space="preserve">In the SELECT study (Study 1) the mean age of patients was 35.7 years and the mean disease duration since diagnosis was 4.1 years. The mean number of relapses in the 12 months prior to study inclusion was </w:t>
      </w:r>
      <w:proofErr w:type="gramStart"/>
      <w:r>
        <w:t>1.4,</w:t>
      </w:r>
      <w:proofErr w:type="gramEnd"/>
      <w:r>
        <w:t xml:space="preserve"> and 31% of patients had ≥2 relapses in the year prior to entering the study. The median EDSS score at baseline was 2.5, with 36% of patients having a ≥3.5 EDSS score. At baseline 44% of patients had ≥1 </w:t>
      </w:r>
      <w:proofErr w:type="spellStart"/>
      <w:r>
        <w:t>Gd</w:t>
      </w:r>
      <w:proofErr w:type="spellEnd"/>
      <w:r>
        <w:t xml:space="preserve">-enhancing lesions (mean number 1.8). The percentage of patients with prior use of MS disease modifying therapies (DMT) was 20%. </w:t>
      </w:r>
    </w:p>
    <w:p w:rsidR="002015F4" w:rsidRDefault="002015F4" w:rsidP="002015F4">
      <w:r>
        <w:t xml:space="preserve">The DECIDE </w:t>
      </w:r>
      <w:r w:rsidRPr="002015F4">
        <w:t>study (</w:t>
      </w:r>
      <w:r>
        <w:t>Study 2) was a double-blind, randomised, parallel-group, active control study with ZINBRYTA 150 milligrams every 4 weeks (n=919) versus interferon beta-1a (IM) 30 mcg weekly (n=922), for a minimum of 2 to a maximum of 3 years (96 to 144 weeks).</w:t>
      </w:r>
    </w:p>
    <w:p w:rsidR="00A84336" w:rsidRDefault="002015F4" w:rsidP="000D3474">
      <w:r>
        <w:t>In the DECIDE study (Study 2) the mean age of patients was 36.3 years, and the mean disease duration since diagnosis was 4.2 years. The mean number of relapses in the 12 months prior to study inclusion was 1.6</w:t>
      </w:r>
      <w:r w:rsidRPr="00CA2F86">
        <w:t xml:space="preserve"> </w:t>
      </w:r>
      <w:r>
        <w:t>and 46%</w:t>
      </w:r>
      <w:r w:rsidRPr="002015F4">
        <w:t xml:space="preserve"> of patients h</w:t>
      </w:r>
      <w:r>
        <w:t xml:space="preserve">ad ≥2 relapses in the year prior to entering the study. The median EDSS score at baseline was 2.0 and 30% of patients had an EDSS score of ≥3.5. At </w:t>
      </w:r>
      <w:r>
        <w:lastRenderedPageBreak/>
        <w:t xml:space="preserve">baseline 46% of patients had ≥1 </w:t>
      </w:r>
      <w:proofErr w:type="spellStart"/>
      <w:r>
        <w:t>Gd</w:t>
      </w:r>
      <w:proofErr w:type="spellEnd"/>
      <w:r>
        <w:t>-enhancing lesions (mean number 2.1). The percentage of patients with prior use of MS DMT was 41%.</w:t>
      </w:r>
    </w:p>
    <w:p w:rsidR="000D3474" w:rsidRPr="00A84336" w:rsidRDefault="002C3529" w:rsidP="000D3474">
      <w:r w:rsidRPr="002F4785">
        <w:rPr>
          <w:u w:val="single"/>
        </w:rPr>
        <w:t xml:space="preserve">Table </w:t>
      </w:r>
      <w:r>
        <w:rPr>
          <w:u w:val="single"/>
        </w:rPr>
        <w:t>1</w:t>
      </w:r>
      <w:r w:rsidRPr="002F4785">
        <w:rPr>
          <w:u w:val="single"/>
        </w:rPr>
        <w:t>: Study design and baseline characteristics for the SELECT</w:t>
      </w:r>
      <w:r w:rsidRPr="002C3529">
        <w:rPr>
          <w:u w:val="single"/>
        </w:rPr>
        <w:t xml:space="preserve"> study (Study 1) and the DECIDE study (Study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402"/>
        <w:gridCol w:w="3261"/>
      </w:tblGrid>
      <w:tr w:rsidR="000D3474" w:rsidRPr="000D3474" w:rsidTr="00236478">
        <w:tc>
          <w:tcPr>
            <w:tcW w:w="2943" w:type="dxa"/>
            <w:shd w:val="clear" w:color="auto" w:fill="auto"/>
          </w:tcPr>
          <w:p w:rsidR="000D3474" w:rsidRPr="000D3474" w:rsidRDefault="000D3474" w:rsidP="000D3474">
            <w:pPr>
              <w:spacing w:after="0"/>
              <w:jc w:val="left"/>
              <w:rPr>
                <w:b/>
                <w:szCs w:val="24"/>
                <w:lang w:val="en-US"/>
              </w:rPr>
            </w:pPr>
            <w:r w:rsidRPr="000D3474">
              <w:rPr>
                <w:b/>
                <w:szCs w:val="24"/>
                <w:lang w:val="en-US"/>
              </w:rPr>
              <w:t>Study Name</w:t>
            </w:r>
          </w:p>
        </w:tc>
        <w:tc>
          <w:tcPr>
            <w:tcW w:w="3402" w:type="dxa"/>
            <w:shd w:val="clear" w:color="auto" w:fill="auto"/>
          </w:tcPr>
          <w:p w:rsidR="000D3474" w:rsidRPr="000D3474" w:rsidRDefault="000D3474" w:rsidP="000D3474">
            <w:pPr>
              <w:spacing w:after="0"/>
              <w:jc w:val="center"/>
              <w:rPr>
                <w:b/>
                <w:szCs w:val="24"/>
                <w:lang w:val="en-US"/>
              </w:rPr>
            </w:pPr>
            <w:r w:rsidRPr="000D3474">
              <w:rPr>
                <w:b/>
                <w:szCs w:val="24"/>
                <w:lang w:val="en-US"/>
              </w:rPr>
              <w:t>SELECT (Study 1)</w:t>
            </w:r>
          </w:p>
        </w:tc>
        <w:tc>
          <w:tcPr>
            <w:tcW w:w="3261" w:type="dxa"/>
            <w:shd w:val="clear" w:color="auto" w:fill="auto"/>
          </w:tcPr>
          <w:p w:rsidR="000D3474" w:rsidRPr="000D3474" w:rsidRDefault="000D3474" w:rsidP="000D3474">
            <w:pPr>
              <w:spacing w:after="0"/>
              <w:jc w:val="center"/>
              <w:rPr>
                <w:b/>
                <w:szCs w:val="24"/>
                <w:lang w:val="en-US"/>
              </w:rPr>
            </w:pPr>
            <w:r w:rsidRPr="000D3474">
              <w:rPr>
                <w:b/>
                <w:szCs w:val="24"/>
                <w:lang w:val="en-US"/>
              </w:rPr>
              <w:t>DECIDE (Study 2)</w:t>
            </w:r>
          </w:p>
        </w:tc>
      </w:tr>
      <w:tr w:rsidR="000D3474" w:rsidRPr="000D3474" w:rsidTr="00236478">
        <w:tc>
          <w:tcPr>
            <w:tcW w:w="9606" w:type="dxa"/>
            <w:gridSpan w:val="3"/>
            <w:shd w:val="clear" w:color="auto" w:fill="auto"/>
          </w:tcPr>
          <w:p w:rsidR="000D3474" w:rsidRPr="000D3474" w:rsidRDefault="000D3474" w:rsidP="000D3474">
            <w:pPr>
              <w:spacing w:after="0"/>
              <w:jc w:val="left"/>
              <w:rPr>
                <w:szCs w:val="24"/>
                <w:lang w:val="en-US"/>
              </w:rPr>
            </w:pPr>
            <w:r w:rsidRPr="000D3474">
              <w:rPr>
                <w:b/>
                <w:szCs w:val="24"/>
                <w:lang w:val="en-US"/>
              </w:rPr>
              <w:t>Study Design</w:t>
            </w:r>
          </w:p>
        </w:tc>
      </w:tr>
      <w:tr w:rsidR="000D3474" w:rsidRPr="000D3474" w:rsidTr="00236478">
        <w:tc>
          <w:tcPr>
            <w:tcW w:w="2943" w:type="dxa"/>
            <w:shd w:val="clear" w:color="auto" w:fill="auto"/>
          </w:tcPr>
          <w:p w:rsidR="000D3474" w:rsidRPr="000D3474" w:rsidRDefault="000D3474" w:rsidP="000D3474">
            <w:pPr>
              <w:spacing w:after="0"/>
              <w:jc w:val="left"/>
              <w:rPr>
                <w:szCs w:val="24"/>
                <w:lang w:val="en-US"/>
              </w:rPr>
            </w:pPr>
            <w:r w:rsidRPr="000D3474">
              <w:rPr>
                <w:szCs w:val="24"/>
                <w:lang w:val="en-US"/>
              </w:rPr>
              <w:t>Treatment</w:t>
            </w:r>
          </w:p>
        </w:tc>
        <w:tc>
          <w:tcPr>
            <w:tcW w:w="3402" w:type="dxa"/>
            <w:shd w:val="clear" w:color="auto" w:fill="auto"/>
          </w:tcPr>
          <w:p w:rsidR="000D3474" w:rsidRPr="000D3474" w:rsidRDefault="000D3474" w:rsidP="000D3474">
            <w:pPr>
              <w:spacing w:after="0"/>
              <w:jc w:val="center"/>
              <w:rPr>
                <w:szCs w:val="24"/>
                <w:lang w:val="en-US"/>
              </w:rPr>
            </w:pPr>
            <w:r w:rsidRPr="000D3474">
              <w:rPr>
                <w:szCs w:val="24"/>
                <w:lang w:val="en-US"/>
              </w:rPr>
              <w:t>52 weeks</w:t>
            </w:r>
          </w:p>
        </w:tc>
        <w:tc>
          <w:tcPr>
            <w:tcW w:w="3261" w:type="dxa"/>
            <w:shd w:val="clear" w:color="auto" w:fill="auto"/>
          </w:tcPr>
          <w:p w:rsidR="000D3474" w:rsidRPr="000D3474" w:rsidRDefault="000D3474" w:rsidP="000D3474">
            <w:pPr>
              <w:spacing w:after="0"/>
              <w:jc w:val="center"/>
              <w:rPr>
                <w:szCs w:val="24"/>
                <w:lang w:val="en-US"/>
              </w:rPr>
            </w:pPr>
            <w:r w:rsidRPr="000D3474">
              <w:rPr>
                <w:szCs w:val="24"/>
                <w:lang w:val="en-US"/>
              </w:rPr>
              <w:t>96 to 144 weeks</w:t>
            </w:r>
          </w:p>
        </w:tc>
      </w:tr>
      <w:tr w:rsidR="000D3474" w:rsidRPr="000D3474" w:rsidTr="00236478">
        <w:tc>
          <w:tcPr>
            <w:tcW w:w="2943" w:type="dxa"/>
            <w:shd w:val="clear" w:color="auto" w:fill="auto"/>
          </w:tcPr>
          <w:p w:rsidR="000D3474" w:rsidRPr="000D3474" w:rsidRDefault="000D3474" w:rsidP="000D3474">
            <w:pPr>
              <w:spacing w:after="0"/>
              <w:jc w:val="left"/>
              <w:rPr>
                <w:szCs w:val="24"/>
                <w:lang w:val="en-US"/>
              </w:rPr>
            </w:pPr>
            <w:r w:rsidRPr="000D3474">
              <w:rPr>
                <w:szCs w:val="24"/>
                <w:lang w:val="en-US"/>
              </w:rPr>
              <w:t>Disease History</w:t>
            </w:r>
          </w:p>
        </w:tc>
        <w:tc>
          <w:tcPr>
            <w:tcW w:w="6663" w:type="dxa"/>
            <w:gridSpan w:val="2"/>
            <w:shd w:val="clear" w:color="auto" w:fill="auto"/>
          </w:tcPr>
          <w:p w:rsidR="000D3474" w:rsidRPr="000D3474" w:rsidRDefault="000D3474" w:rsidP="00792050">
            <w:pPr>
              <w:spacing w:after="0"/>
              <w:jc w:val="left"/>
              <w:rPr>
                <w:szCs w:val="24"/>
                <w:lang w:val="en-US"/>
              </w:rPr>
            </w:pPr>
            <w:r w:rsidRPr="000D3474">
              <w:rPr>
                <w:szCs w:val="24"/>
                <w:lang w:val="en-US"/>
              </w:rPr>
              <w:t>Patients with RMS, at least 1 relapse (clinical and/or MRI) during the year prior to</w:t>
            </w:r>
            <w:r w:rsidRPr="004F6448">
              <w:rPr>
                <w:szCs w:val="24"/>
              </w:rPr>
              <w:t xml:space="preserve"> randomi</w:t>
            </w:r>
            <w:r w:rsidR="00792050" w:rsidRPr="004F6448">
              <w:rPr>
                <w:szCs w:val="24"/>
              </w:rPr>
              <w:t>s</w:t>
            </w:r>
            <w:r w:rsidRPr="004F6448">
              <w:rPr>
                <w:szCs w:val="24"/>
              </w:rPr>
              <w:t>ation</w:t>
            </w:r>
            <w:r w:rsidRPr="000D3474">
              <w:rPr>
                <w:szCs w:val="24"/>
                <w:lang w:val="en-US"/>
              </w:rPr>
              <w:t xml:space="preserve">, and had an Expanded Disability Status Scale (EDSS) score </w:t>
            </w:r>
            <w:proofErr w:type="gramStart"/>
            <w:r w:rsidRPr="000D3474">
              <w:rPr>
                <w:szCs w:val="24"/>
                <w:lang w:val="en-US"/>
              </w:rPr>
              <w:t>between 0 to 5.0</w:t>
            </w:r>
            <w:proofErr w:type="gramEnd"/>
            <w:r w:rsidRPr="000D3474">
              <w:rPr>
                <w:szCs w:val="24"/>
                <w:lang w:val="en-US"/>
              </w:rPr>
              <w:t>. For DECIDE (Study 2), at least 2 relapses (one of which was a clinical relapse) within the prior 3 years was also required</w:t>
            </w:r>
            <w:r w:rsidRPr="000D3474" w:rsidDel="00643D56">
              <w:rPr>
                <w:szCs w:val="24"/>
                <w:lang w:val="en-US"/>
              </w:rPr>
              <w:t xml:space="preserve"> </w:t>
            </w:r>
          </w:p>
        </w:tc>
      </w:tr>
      <w:tr w:rsidR="000D3474" w:rsidRPr="000D3474" w:rsidTr="00236478">
        <w:tc>
          <w:tcPr>
            <w:tcW w:w="9606" w:type="dxa"/>
            <w:gridSpan w:val="3"/>
            <w:shd w:val="clear" w:color="auto" w:fill="auto"/>
          </w:tcPr>
          <w:p w:rsidR="000D3474" w:rsidRPr="000D3474" w:rsidRDefault="000D3474" w:rsidP="000D3474">
            <w:pPr>
              <w:spacing w:after="0"/>
              <w:jc w:val="left"/>
              <w:rPr>
                <w:szCs w:val="24"/>
                <w:lang w:val="en-US"/>
              </w:rPr>
            </w:pPr>
            <w:r w:rsidRPr="000D3474">
              <w:rPr>
                <w:b/>
                <w:szCs w:val="24"/>
                <w:lang w:val="en-US"/>
              </w:rPr>
              <w:t>Baseline Characteristics</w:t>
            </w:r>
          </w:p>
        </w:tc>
      </w:tr>
      <w:tr w:rsidR="000D3474" w:rsidRPr="000D3474" w:rsidTr="00236478">
        <w:tc>
          <w:tcPr>
            <w:tcW w:w="2943" w:type="dxa"/>
            <w:shd w:val="clear" w:color="auto" w:fill="auto"/>
          </w:tcPr>
          <w:p w:rsidR="000D3474" w:rsidRPr="000D3474" w:rsidRDefault="000D3474" w:rsidP="000D3474">
            <w:pPr>
              <w:spacing w:after="0"/>
              <w:jc w:val="left"/>
              <w:rPr>
                <w:szCs w:val="24"/>
                <w:lang w:val="en-US"/>
              </w:rPr>
            </w:pPr>
            <w:r w:rsidRPr="000D3474">
              <w:rPr>
                <w:color w:val="000000"/>
                <w:szCs w:val="24"/>
                <w:lang w:val="en-US"/>
              </w:rPr>
              <w:t>Mean age (years)</w:t>
            </w:r>
          </w:p>
        </w:tc>
        <w:tc>
          <w:tcPr>
            <w:tcW w:w="3402" w:type="dxa"/>
            <w:shd w:val="clear" w:color="auto" w:fill="auto"/>
          </w:tcPr>
          <w:p w:rsidR="000D3474" w:rsidRPr="000D3474" w:rsidRDefault="000D3474" w:rsidP="000D3474">
            <w:pPr>
              <w:spacing w:after="0"/>
              <w:jc w:val="center"/>
              <w:rPr>
                <w:szCs w:val="24"/>
                <w:lang w:val="en-US"/>
              </w:rPr>
            </w:pPr>
            <w:r w:rsidRPr="000D3474">
              <w:rPr>
                <w:szCs w:val="24"/>
                <w:lang w:val="en-US"/>
              </w:rPr>
              <w:t>35.7</w:t>
            </w:r>
          </w:p>
        </w:tc>
        <w:tc>
          <w:tcPr>
            <w:tcW w:w="3261" w:type="dxa"/>
            <w:shd w:val="clear" w:color="auto" w:fill="auto"/>
          </w:tcPr>
          <w:p w:rsidR="000D3474" w:rsidRPr="000D3474" w:rsidRDefault="000D3474" w:rsidP="000D3474">
            <w:pPr>
              <w:spacing w:after="0"/>
              <w:jc w:val="center"/>
              <w:rPr>
                <w:szCs w:val="24"/>
                <w:lang w:val="en-US"/>
              </w:rPr>
            </w:pPr>
            <w:r w:rsidRPr="000D3474">
              <w:rPr>
                <w:szCs w:val="24"/>
                <w:lang w:val="en-US"/>
              </w:rPr>
              <w:t>36.3</w:t>
            </w:r>
          </w:p>
        </w:tc>
      </w:tr>
      <w:tr w:rsidR="000D3474" w:rsidRPr="000D3474" w:rsidTr="00236478">
        <w:tc>
          <w:tcPr>
            <w:tcW w:w="2943" w:type="dxa"/>
            <w:shd w:val="clear" w:color="auto" w:fill="auto"/>
          </w:tcPr>
          <w:p w:rsidR="000D3474" w:rsidRPr="000D3474" w:rsidRDefault="000D3474" w:rsidP="000D3474">
            <w:pPr>
              <w:spacing w:after="0"/>
              <w:jc w:val="left"/>
              <w:rPr>
                <w:szCs w:val="24"/>
                <w:lang w:val="en-US"/>
              </w:rPr>
            </w:pPr>
            <w:r w:rsidRPr="000D3474">
              <w:rPr>
                <w:color w:val="000000"/>
                <w:szCs w:val="24"/>
                <w:lang w:val="en-US"/>
              </w:rPr>
              <w:t>Mean disease duration (years)</w:t>
            </w:r>
          </w:p>
        </w:tc>
        <w:tc>
          <w:tcPr>
            <w:tcW w:w="3402" w:type="dxa"/>
            <w:shd w:val="clear" w:color="auto" w:fill="auto"/>
          </w:tcPr>
          <w:p w:rsidR="000D3474" w:rsidRPr="000D3474" w:rsidRDefault="000D3474" w:rsidP="000D3474">
            <w:pPr>
              <w:spacing w:after="0"/>
              <w:jc w:val="center"/>
              <w:rPr>
                <w:szCs w:val="24"/>
                <w:lang w:val="en-US"/>
              </w:rPr>
            </w:pPr>
            <w:r w:rsidRPr="000D3474">
              <w:rPr>
                <w:szCs w:val="24"/>
                <w:lang w:val="en-US"/>
              </w:rPr>
              <w:t>4.1</w:t>
            </w:r>
          </w:p>
        </w:tc>
        <w:tc>
          <w:tcPr>
            <w:tcW w:w="3261" w:type="dxa"/>
            <w:shd w:val="clear" w:color="auto" w:fill="auto"/>
          </w:tcPr>
          <w:p w:rsidR="000D3474" w:rsidRPr="000D3474" w:rsidRDefault="000D3474" w:rsidP="000D3474">
            <w:pPr>
              <w:spacing w:after="0"/>
              <w:jc w:val="center"/>
              <w:rPr>
                <w:szCs w:val="24"/>
                <w:lang w:val="en-US"/>
              </w:rPr>
            </w:pPr>
            <w:r w:rsidRPr="000D3474">
              <w:rPr>
                <w:szCs w:val="24"/>
                <w:lang w:val="en-US"/>
              </w:rPr>
              <w:t>4.2</w:t>
            </w:r>
          </w:p>
        </w:tc>
      </w:tr>
      <w:tr w:rsidR="000D3474" w:rsidRPr="000D3474" w:rsidTr="00236478">
        <w:tc>
          <w:tcPr>
            <w:tcW w:w="2943" w:type="dxa"/>
            <w:shd w:val="clear" w:color="auto" w:fill="auto"/>
          </w:tcPr>
          <w:p w:rsidR="000D3474" w:rsidRPr="000D3474" w:rsidRDefault="000D3474" w:rsidP="000D3474">
            <w:pPr>
              <w:keepNext/>
              <w:spacing w:after="0"/>
              <w:jc w:val="left"/>
              <w:rPr>
                <w:bCs/>
                <w:color w:val="000000"/>
                <w:szCs w:val="24"/>
                <w:lang w:val="en-US"/>
              </w:rPr>
            </w:pPr>
            <w:r w:rsidRPr="000D3474">
              <w:rPr>
                <w:bCs/>
                <w:color w:val="000000"/>
                <w:szCs w:val="24"/>
                <w:lang w:val="en-US"/>
              </w:rPr>
              <w:t>Mean number of relapses within 12 months prior to study</w:t>
            </w:r>
          </w:p>
        </w:tc>
        <w:tc>
          <w:tcPr>
            <w:tcW w:w="3402" w:type="dxa"/>
            <w:shd w:val="clear" w:color="auto" w:fill="auto"/>
          </w:tcPr>
          <w:p w:rsidR="000D3474" w:rsidRPr="000D3474" w:rsidRDefault="000D3474" w:rsidP="000D3474">
            <w:pPr>
              <w:spacing w:after="0"/>
              <w:jc w:val="center"/>
              <w:rPr>
                <w:szCs w:val="24"/>
                <w:lang w:val="en-US"/>
              </w:rPr>
            </w:pPr>
            <w:r w:rsidRPr="000D3474">
              <w:rPr>
                <w:szCs w:val="24"/>
                <w:lang w:val="en-US"/>
              </w:rPr>
              <w:t>1.4</w:t>
            </w:r>
          </w:p>
        </w:tc>
        <w:tc>
          <w:tcPr>
            <w:tcW w:w="3261" w:type="dxa"/>
            <w:shd w:val="clear" w:color="auto" w:fill="auto"/>
          </w:tcPr>
          <w:p w:rsidR="000D3474" w:rsidRPr="000D3474" w:rsidRDefault="000D3474" w:rsidP="000D3474">
            <w:pPr>
              <w:spacing w:after="0"/>
              <w:jc w:val="center"/>
              <w:rPr>
                <w:szCs w:val="24"/>
                <w:lang w:val="en-US"/>
              </w:rPr>
            </w:pPr>
            <w:r w:rsidRPr="000D3474">
              <w:rPr>
                <w:szCs w:val="24"/>
                <w:lang w:val="en-US"/>
              </w:rPr>
              <w:t>1.6</w:t>
            </w:r>
          </w:p>
        </w:tc>
      </w:tr>
      <w:tr w:rsidR="000D3474" w:rsidRPr="000D3474" w:rsidTr="00236478">
        <w:tc>
          <w:tcPr>
            <w:tcW w:w="2943" w:type="dxa"/>
            <w:shd w:val="clear" w:color="auto" w:fill="auto"/>
          </w:tcPr>
          <w:p w:rsidR="000D3474" w:rsidRPr="000D3474" w:rsidRDefault="000D3474" w:rsidP="000D3474">
            <w:pPr>
              <w:keepNext/>
              <w:spacing w:after="0"/>
              <w:jc w:val="left"/>
              <w:rPr>
                <w:bCs/>
                <w:color w:val="000000"/>
                <w:szCs w:val="24"/>
                <w:lang w:val="en-US"/>
              </w:rPr>
            </w:pPr>
            <w:r w:rsidRPr="000D3474">
              <w:rPr>
                <w:bCs/>
                <w:color w:val="000000"/>
                <w:szCs w:val="24"/>
                <w:lang w:val="en-US"/>
              </w:rPr>
              <w:t>Median EDSS score at baseline</w:t>
            </w:r>
          </w:p>
        </w:tc>
        <w:tc>
          <w:tcPr>
            <w:tcW w:w="3402" w:type="dxa"/>
            <w:shd w:val="clear" w:color="auto" w:fill="auto"/>
          </w:tcPr>
          <w:p w:rsidR="000D3474" w:rsidRPr="000D3474" w:rsidRDefault="000D3474" w:rsidP="000D3474">
            <w:pPr>
              <w:spacing w:after="0"/>
              <w:jc w:val="center"/>
              <w:rPr>
                <w:szCs w:val="24"/>
                <w:lang w:val="en-US"/>
              </w:rPr>
            </w:pPr>
            <w:r w:rsidRPr="000D3474">
              <w:rPr>
                <w:szCs w:val="24"/>
                <w:lang w:val="en-US"/>
              </w:rPr>
              <w:t>2.5</w:t>
            </w:r>
          </w:p>
        </w:tc>
        <w:tc>
          <w:tcPr>
            <w:tcW w:w="3261" w:type="dxa"/>
            <w:shd w:val="clear" w:color="auto" w:fill="auto"/>
          </w:tcPr>
          <w:p w:rsidR="000D3474" w:rsidRPr="000D3474" w:rsidRDefault="000D3474" w:rsidP="000D3474">
            <w:pPr>
              <w:spacing w:after="0"/>
              <w:jc w:val="center"/>
              <w:rPr>
                <w:szCs w:val="24"/>
                <w:lang w:val="en-US"/>
              </w:rPr>
            </w:pPr>
            <w:r w:rsidRPr="000D3474">
              <w:rPr>
                <w:szCs w:val="24"/>
                <w:lang w:val="en-US"/>
              </w:rPr>
              <w:t>2.0</w:t>
            </w:r>
          </w:p>
        </w:tc>
      </w:tr>
      <w:tr w:rsidR="000D3474" w:rsidRPr="000D3474" w:rsidTr="00236478">
        <w:tc>
          <w:tcPr>
            <w:tcW w:w="2943" w:type="dxa"/>
            <w:shd w:val="clear" w:color="auto" w:fill="auto"/>
          </w:tcPr>
          <w:p w:rsidR="000D3474" w:rsidRPr="000D3474" w:rsidRDefault="000D3474" w:rsidP="000D3474">
            <w:pPr>
              <w:keepNext/>
              <w:spacing w:after="0"/>
              <w:jc w:val="left"/>
              <w:rPr>
                <w:bCs/>
                <w:color w:val="000000"/>
                <w:szCs w:val="24"/>
                <w:lang w:val="en-US"/>
              </w:rPr>
            </w:pPr>
            <w:r w:rsidRPr="000D3474">
              <w:rPr>
                <w:bCs/>
                <w:color w:val="000000"/>
                <w:szCs w:val="24"/>
                <w:lang w:val="en-US"/>
              </w:rPr>
              <w:t>Percent with EDSS</w:t>
            </w:r>
            <w:r w:rsidR="0086717B">
              <w:rPr>
                <w:bCs/>
                <w:color w:val="000000"/>
                <w:szCs w:val="24"/>
                <w:lang w:val="en-US"/>
              </w:rPr>
              <w:t xml:space="preserve"> </w:t>
            </w:r>
            <w:r w:rsidRPr="000D3474">
              <w:rPr>
                <w:bCs/>
                <w:color w:val="000000"/>
                <w:szCs w:val="24"/>
                <w:lang w:val="en-US"/>
              </w:rPr>
              <w:t>≥3.5</w:t>
            </w:r>
          </w:p>
        </w:tc>
        <w:tc>
          <w:tcPr>
            <w:tcW w:w="3402" w:type="dxa"/>
            <w:shd w:val="clear" w:color="auto" w:fill="auto"/>
          </w:tcPr>
          <w:p w:rsidR="000D3474" w:rsidRPr="000D3474" w:rsidRDefault="000D3474" w:rsidP="000D3474">
            <w:pPr>
              <w:spacing w:after="0"/>
              <w:jc w:val="center"/>
              <w:rPr>
                <w:szCs w:val="24"/>
                <w:lang w:val="en-US"/>
              </w:rPr>
            </w:pPr>
            <w:r w:rsidRPr="000D3474">
              <w:rPr>
                <w:szCs w:val="24"/>
                <w:lang w:val="en-US"/>
              </w:rPr>
              <w:t>36%</w:t>
            </w:r>
          </w:p>
        </w:tc>
        <w:tc>
          <w:tcPr>
            <w:tcW w:w="3261" w:type="dxa"/>
            <w:shd w:val="clear" w:color="auto" w:fill="auto"/>
          </w:tcPr>
          <w:p w:rsidR="000D3474" w:rsidRPr="000D3474" w:rsidRDefault="000D3474" w:rsidP="000D3474">
            <w:pPr>
              <w:spacing w:after="0"/>
              <w:jc w:val="center"/>
              <w:rPr>
                <w:szCs w:val="24"/>
                <w:lang w:val="en-US"/>
              </w:rPr>
            </w:pPr>
            <w:r w:rsidRPr="000D3474">
              <w:rPr>
                <w:szCs w:val="24"/>
                <w:lang w:val="en-US"/>
              </w:rPr>
              <w:t xml:space="preserve">30% </w:t>
            </w:r>
          </w:p>
        </w:tc>
      </w:tr>
      <w:tr w:rsidR="000D3474" w:rsidRPr="000D3474" w:rsidTr="00236478">
        <w:tc>
          <w:tcPr>
            <w:tcW w:w="2943" w:type="dxa"/>
            <w:shd w:val="clear" w:color="auto" w:fill="auto"/>
          </w:tcPr>
          <w:p w:rsidR="000D3474" w:rsidRPr="000D3474" w:rsidRDefault="000D3474" w:rsidP="000D3474">
            <w:pPr>
              <w:keepNext/>
              <w:spacing w:after="0"/>
              <w:jc w:val="left"/>
              <w:rPr>
                <w:bCs/>
                <w:color w:val="000000"/>
                <w:szCs w:val="24"/>
                <w:lang w:val="en-US"/>
              </w:rPr>
            </w:pPr>
            <w:r w:rsidRPr="000D3474">
              <w:rPr>
                <w:bCs/>
                <w:color w:val="000000"/>
                <w:szCs w:val="24"/>
                <w:lang w:val="en-US"/>
              </w:rPr>
              <w:t xml:space="preserve">Percent with ≥1 </w:t>
            </w:r>
            <w:proofErr w:type="spellStart"/>
            <w:r w:rsidRPr="000D3474">
              <w:rPr>
                <w:bCs/>
                <w:color w:val="000000"/>
                <w:szCs w:val="24"/>
                <w:lang w:val="en-US"/>
              </w:rPr>
              <w:t>Gd</w:t>
            </w:r>
            <w:proofErr w:type="spellEnd"/>
            <w:r w:rsidRPr="000D3474">
              <w:rPr>
                <w:bCs/>
                <w:color w:val="000000"/>
                <w:szCs w:val="24"/>
                <w:lang w:val="en-US"/>
              </w:rPr>
              <w:t xml:space="preserve"> enhancing lesion (mean)</w:t>
            </w:r>
          </w:p>
        </w:tc>
        <w:tc>
          <w:tcPr>
            <w:tcW w:w="3402" w:type="dxa"/>
            <w:shd w:val="clear" w:color="auto" w:fill="auto"/>
          </w:tcPr>
          <w:p w:rsidR="000D3474" w:rsidRPr="000D3474" w:rsidRDefault="000D3474" w:rsidP="000D3474">
            <w:pPr>
              <w:spacing w:after="0"/>
              <w:jc w:val="center"/>
              <w:rPr>
                <w:szCs w:val="24"/>
                <w:lang w:val="en-US"/>
              </w:rPr>
            </w:pPr>
            <w:r w:rsidRPr="000D3474">
              <w:rPr>
                <w:szCs w:val="24"/>
                <w:lang w:val="en-US"/>
              </w:rPr>
              <w:t>44% (1.8)</w:t>
            </w:r>
          </w:p>
        </w:tc>
        <w:tc>
          <w:tcPr>
            <w:tcW w:w="3261" w:type="dxa"/>
            <w:shd w:val="clear" w:color="auto" w:fill="auto"/>
          </w:tcPr>
          <w:p w:rsidR="000D3474" w:rsidRPr="000D3474" w:rsidRDefault="000D3474" w:rsidP="000D3474">
            <w:pPr>
              <w:spacing w:after="0"/>
              <w:jc w:val="center"/>
              <w:rPr>
                <w:szCs w:val="24"/>
                <w:lang w:val="en-US"/>
              </w:rPr>
            </w:pPr>
            <w:r w:rsidRPr="000D3474">
              <w:rPr>
                <w:szCs w:val="24"/>
                <w:lang w:val="en-US"/>
              </w:rPr>
              <w:t>46% (2.1)</w:t>
            </w:r>
          </w:p>
        </w:tc>
      </w:tr>
      <w:tr w:rsidR="000D3474" w:rsidRPr="000D3474" w:rsidTr="00236478">
        <w:tc>
          <w:tcPr>
            <w:tcW w:w="2943" w:type="dxa"/>
            <w:shd w:val="clear" w:color="auto" w:fill="auto"/>
          </w:tcPr>
          <w:p w:rsidR="000D3474" w:rsidRPr="000D3474" w:rsidRDefault="000D3474" w:rsidP="000D3474">
            <w:pPr>
              <w:keepNext/>
              <w:spacing w:after="0"/>
              <w:jc w:val="left"/>
              <w:rPr>
                <w:bCs/>
                <w:color w:val="000000"/>
                <w:szCs w:val="24"/>
                <w:lang w:val="en-US"/>
              </w:rPr>
            </w:pPr>
            <w:r w:rsidRPr="000D3474">
              <w:rPr>
                <w:bCs/>
                <w:color w:val="000000"/>
                <w:szCs w:val="24"/>
                <w:lang w:val="en-US"/>
              </w:rPr>
              <w:t>Percent ≥2 relapses in the year prior to study</w:t>
            </w:r>
          </w:p>
        </w:tc>
        <w:tc>
          <w:tcPr>
            <w:tcW w:w="3402" w:type="dxa"/>
            <w:shd w:val="clear" w:color="auto" w:fill="auto"/>
          </w:tcPr>
          <w:p w:rsidR="000D3474" w:rsidRPr="000D3474" w:rsidRDefault="000D3474" w:rsidP="000D3474">
            <w:pPr>
              <w:spacing w:after="0"/>
              <w:jc w:val="center"/>
              <w:rPr>
                <w:szCs w:val="24"/>
                <w:lang w:val="en-US"/>
              </w:rPr>
            </w:pPr>
            <w:r w:rsidRPr="000D3474">
              <w:rPr>
                <w:szCs w:val="24"/>
                <w:lang w:val="en-US"/>
              </w:rPr>
              <w:t>31%</w:t>
            </w:r>
          </w:p>
        </w:tc>
        <w:tc>
          <w:tcPr>
            <w:tcW w:w="3261" w:type="dxa"/>
            <w:shd w:val="clear" w:color="auto" w:fill="auto"/>
          </w:tcPr>
          <w:p w:rsidR="000D3474" w:rsidRPr="000D3474" w:rsidRDefault="000D3474" w:rsidP="000D3474">
            <w:pPr>
              <w:spacing w:after="0"/>
              <w:jc w:val="center"/>
              <w:rPr>
                <w:szCs w:val="24"/>
                <w:lang w:val="en-US"/>
              </w:rPr>
            </w:pPr>
            <w:r w:rsidRPr="000D3474">
              <w:rPr>
                <w:szCs w:val="24"/>
                <w:lang w:val="en-US"/>
              </w:rPr>
              <w:t>46%</w:t>
            </w:r>
          </w:p>
        </w:tc>
      </w:tr>
      <w:tr w:rsidR="000D3474" w:rsidRPr="000D3474" w:rsidTr="00236478">
        <w:tc>
          <w:tcPr>
            <w:tcW w:w="2943" w:type="dxa"/>
            <w:shd w:val="clear" w:color="auto" w:fill="auto"/>
          </w:tcPr>
          <w:p w:rsidR="000D3474" w:rsidRPr="000D3474" w:rsidRDefault="000D3474" w:rsidP="000D3474">
            <w:pPr>
              <w:keepNext/>
              <w:spacing w:after="0"/>
              <w:jc w:val="left"/>
              <w:rPr>
                <w:bCs/>
                <w:color w:val="000000"/>
                <w:szCs w:val="24"/>
                <w:lang w:val="en-US"/>
              </w:rPr>
            </w:pPr>
            <w:r w:rsidRPr="000D3474">
              <w:rPr>
                <w:bCs/>
                <w:color w:val="000000"/>
                <w:szCs w:val="24"/>
                <w:lang w:val="en-US"/>
              </w:rPr>
              <w:t>Percent prior DMT use (%)</w:t>
            </w:r>
          </w:p>
        </w:tc>
        <w:tc>
          <w:tcPr>
            <w:tcW w:w="3402" w:type="dxa"/>
            <w:shd w:val="clear" w:color="auto" w:fill="auto"/>
          </w:tcPr>
          <w:p w:rsidR="000D3474" w:rsidRPr="000D3474" w:rsidRDefault="00C370F9" w:rsidP="00C370F9">
            <w:pPr>
              <w:spacing w:after="0"/>
              <w:jc w:val="center"/>
              <w:rPr>
                <w:szCs w:val="24"/>
                <w:lang w:val="en-US"/>
              </w:rPr>
            </w:pPr>
            <w:r>
              <w:rPr>
                <w:szCs w:val="24"/>
                <w:lang w:val="en-US"/>
              </w:rPr>
              <w:t>20</w:t>
            </w:r>
            <w:r w:rsidR="000D3474" w:rsidRPr="000D3474">
              <w:rPr>
                <w:szCs w:val="24"/>
                <w:lang w:val="en-US"/>
              </w:rPr>
              <w:t>%</w:t>
            </w:r>
          </w:p>
        </w:tc>
        <w:tc>
          <w:tcPr>
            <w:tcW w:w="3261" w:type="dxa"/>
            <w:shd w:val="clear" w:color="auto" w:fill="auto"/>
          </w:tcPr>
          <w:p w:rsidR="000D3474" w:rsidRPr="000D3474" w:rsidRDefault="000D3474" w:rsidP="000D3474">
            <w:pPr>
              <w:spacing w:after="0"/>
              <w:jc w:val="center"/>
              <w:rPr>
                <w:szCs w:val="24"/>
                <w:lang w:val="en-US"/>
              </w:rPr>
            </w:pPr>
            <w:r w:rsidRPr="000D3474">
              <w:rPr>
                <w:szCs w:val="24"/>
                <w:lang w:val="en-US"/>
              </w:rPr>
              <w:t>41%</w:t>
            </w:r>
          </w:p>
        </w:tc>
      </w:tr>
    </w:tbl>
    <w:p w:rsidR="00A42845" w:rsidRPr="002F4785" w:rsidRDefault="00A42845" w:rsidP="00A42845">
      <w:pPr>
        <w:rPr>
          <w:i/>
          <w:sz w:val="20"/>
        </w:rPr>
      </w:pPr>
      <w:r w:rsidRPr="002F4785">
        <w:rPr>
          <w:i/>
          <w:sz w:val="20"/>
        </w:rPr>
        <w:t>DMT- disease modifying therapies</w:t>
      </w:r>
    </w:p>
    <w:p w:rsidR="00A42845" w:rsidRPr="002F4785" w:rsidRDefault="00A42845" w:rsidP="00A42845">
      <w:r>
        <w:t xml:space="preserve">Table </w:t>
      </w:r>
      <w:proofErr w:type="gramStart"/>
      <w:r w:rsidR="00760C07">
        <w:t>2</w:t>
      </w:r>
      <w:r>
        <w:t>, and Figure(s)</w:t>
      </w:r>
      <w:proofErr w:type="gramEnd"/>
      <w:r>
        <w:t xml:space="preserve"> 1-</w:t>
      </w:r>
      <w:r w:rsidR="00D933C5">
        <w:t>2</w:t>
      </w:r>
      <w:r>
        <w:t xml:space="preserve"> </w:t>
      </w:r>
      <w:r w:rsidRPr="002F4785">
        <w:t>show the results for the SELECT study (Study 1)</w:t>
      </w:r>
      <w:r w:rsidR="00482580">
        <w:t>.</w:t>
      </w:r>
    </w:p>
    <w:p w:rsidR="00A42845" w:rsidRDefault="00521670" w:rsidP="000D3474">
      <w:r>
        <w:rPr>
          <w:u w:val="single"/>
        </w:rPr>
        <w:br w:type="page"/>
      </w:r>
      <w:r w:rsidR="00A42845" w:rsidRPr="002F4785">
        <w:rPr>
          <w:u w:val="single"/>
        </w:rPr>
        <w:lastRenderedPageBreak/>
        <w:t xml:space="preserve">Table </w:t>
      </w:r>
      <w:r w:rsidR="00760C07">
        <w:rPr>
          <w:u w:val="single"/>
        </w:rPr>
        <w:t>2</w:t>
      </w:r>
      <w:r w:rsidR="00A42845" w:rsidRPr="002F4785">
        <w:rPr>
          <w:u w:val="single"/>
        </w:rPr>
        <w:t xml:space="preserve">: SELECT (Study 1) Clinical and MRI results (at 52 weeks)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9"/>
        <w:gridCol w:w="2176"/>
        <w:gridCol w:w="2580"/>
        <w:gridCol w:w="1821"/>
      </w:tblGrid>
      <w:tr w:rsidR="002C3529" w:rsidRPr="00A42845" w:rsidTr="00E02933">
        <w:tc>
          <w:tcPr>
            <w:tcW w:w="2829" w:type="dxa"/>
            <w:shd w:val="clear" w:color="auto" w:fill="auto"/>
          </w:tcPr>
          <w:p w:rsidR="002C3529" w:rsidRPr="00A42845" w:rsidRDefault="002C3529" w:rsidP="00A42845">
            <w:pPr>
              <w:spacing w:after="0"/>
              <w:jc w:val="left"/>
              <w:rPr>
                <w:b/>
                <w:szCs w:val="24"/>
                <w:lang w:val="en-US"/>
              </w:rPr>
            </w:pPr>
          </w:p>
        </w:tc>
        <w:tc>
          <w:tcPr>
            <w:tcW w:w="2032" w:type="dxa"/>
            <w:shd w:val="clear" w:color="auto" w:fill="auto"/>
          </w:tcPr>
          <w:p w:rsidR="002C3529" w:rsidRPr="00A42845" w:rsidRDefault="002C3529" w:rsidP="00A42845">
            <w:pPr>
              <w:spacing w:after="0"/>
              <w:jc w:val="center"/>
              <w:rPr>
                <w:b/>
                <w:szCs w:val="24"/>
                <w:lang w:val="en-US"/>
              </w:rPr>
            </w:pPr>
            <w:r w:rsidRPr="00A42845">
              <w:rPr>
                <w:b/>
                <w:szCs w:val="24"/>
                <w:lang w:val="en-US"/>
              </w:rPr>
              <w:t>Placebo</w:t>
            </w:r>
          </w:p>
        </w:tc>
        <w:tc>
          <w:tcPr>
            <w:tcW w:w="2410" w:type="dxa"/>
            <w:shd w:val="clear" w:color="auto" w:fill="auto"/>
          </w:tcPr>
          <w:p w:rsidR="002C3529" w:rsidRPr="00A42845" w:rsidRDefault="002C3529" w:rsidP="00A42845">
            <w:pPr>
              <w:spacing w:after="0"/>
              <w:jc w:val="center"/>
              <w:rPr>
                <w:b/>
                <w:szCs w:val="24"/>
                <w:lang w:val="en-US"/>
              </w:rPr>
            </w:pPr>
            <w:r>
              <w:rPr>
                <w:b/>
                <w:szCs w:val="24"/>
                <w:lang w:val="en-US"/>
              </w:rPr>
              <w:t>ZINBRYTA</w:t>
            </w:r>
            <w:r w:rsidRPr="00A42845">
              <w:rPr>
                <w:b/>
                <w:szCs w:val="24"/>
                <w:lang w:val="en-US"/>
              </w:rPr>
              <w:t xml:space="preserve"> 150mg </w:t>
            </w:r>
          </w:p>
        </w:tc>
        <w:tc>
          <w:tcPr>
            <w:tcW w:w="1701" w:type="dxa"/>
            <w:shd w:val="clear" w:color="auto" w:fill="auto"/>
          </w:tcPr>
          <w:p w:rsidR="002C3529" w:rsidRPr="00A42845" w:rsidRDefault="002C3529" w:rsidP="00E02933">
            <w:pPr>
              <w:spacing w:after="0"/>
              <w:jc w:val="center"/>
              <w:rPr>
                <w:b/>
                <w:szCs w:val="24"/>
                <w:lang w:val="en-US"/>
              </w:rPr>
            </w:pPr>
            <w:r w:rsidRPr="00A42845">
              <w:rPr>
                <w:b/>
                <w:szCs w:val="24"/>
                <w:lang w:val="en-US"/>
              </w:rPr>
              <w:t>P-value</w:t>
            </w:r>
          </w:p>
        </w:tc>
      </w:tr>
      <w:tr w:rsidR="002C3529" w:rsidRPr="00A42845" w:rsidTr="00E02933">
        <w:tc>
          <w:tcPr>
            <w:tcW w:w="2829" w:type="dxa"/>
            <w:gridSpan w:val="4"/>
            <w:shd w:val="clear" w:color="auto" w:fill="auto"/>
          </w:tcPr>
          <w:p w:rsidR="002C3529" w:rsidRPr="00A42845" w:rsidRDefault="002C3529" w:rsidP="00E02933">
            <w:pPr>
              <w:spacing w:after="0"/>
              <w:jc w:val="left"/>
              <w:rPr>
                <w:b/>
                <w:szCs w:val="24"/>
                <w:lang w:val="en-US"/>
              </w:rPr>
            </w:pPr>
            <w:r w:rsidRPr="00A42845">
              <w:rPr>
                <w:b/>
                <w:szCs w:val="24"/>
                <w:lang w:val="en-US"/>
              </w:rPr>
              <w:t>Clinical Endpoints</w:t>
            </w:r>
          </w:p>
        </w:tc>
      </w:tr>
      <w:tr w:rsidR="002C3529" w:rsidRPr="00A42845" w:rsidTr="00E02933">
        <w:tc>
          <w:tcPr>
            <w:tcW w:w="2829" w:type="dxa"/>
            <w:shd w:val="clear" w:color="auto" w:fill="auto"/>
          </w:tcPr>
          <w:p w:rsidR="002C3529" w:rsidRPr="00A42845" w:rsidRDefault="002C3529" w:rsidP="00E76B19">
            <w:pPr>
              <w:spacing w:after="0"/>
              <w:jc w:val="left"/>
              <w:rPr>
                <w:szCs w:val="24"/>
                <w:lang w:val="en-US"/>
              </w:rPr>
            </w:pPr>
            <w:r w:rsidRPr="00A42845">
              <w:rPr>
                <w:szCs w:val="24"/>
                <w:lang w:val="en-US"/>
              </w:rPr>
              <w:t xml:space="preserve">Number of </w:t>
            </w:r>
            <w:r w:rsidR="00E76B19">
              <w:rPr>
                <w:szCs w:val="24"/>
                <w:lang w:val="en-US"/>
              </w:rPr>
              <w:t>patients</w:t>
            </w:r>
          </w:p>
        </w:tc>
        <w:tc>
          <w:tcPr>
            <w:tcW w:w="2032" w:type="dxa"/>
            <w:shd w:val="clear" w:color="auto" w:fill="auto"/>
          </w:tcPr>
          <w:p w:rsidR="002C3529" w:rsidRPr="00A42845" w:rsidRDefault="002C3529" w:rsidP="00A42845">
            <w:pPr>
              <w:spacing w:after="0"/>
              <w:jc w:val="center"/>
              <w:rPr>
                <w:szCs w:val="24"/>
                <w:lang w:val="en-US"/>
              </w:rPr>
            </w:pPr>
            <w:r w:rsidRPr="00A42845">
              <w:rPr>
                <w:szCs w:val="24"/>
                <w:lang w:val="en-US"/>
              </w:rPr>
              <w:t>196</w:t>
            </w:r>
          </w:p>
        </w:tc>
        <w:tc>
          <w:tcPr>
            <w:tcW w:w="2410" w:type="dxa"/>
            <w:shd w:val="clear" w:color="auto" w:fill="auto"/>
          </w:tcPr>
          <w:p w:rsidR="002C3529" w:rsidRPr="00A42845" w:rsidRDefault="002C3529" w:rsidP="00A42845">
            <w:pPr>
              <w:spacing w:after="0"/>
              <w:jc w:val="center"/>
              <w:rPr>
                <w:szCs w:val="24"/>
                <w:lang w:val="en-US"/>
              </w:rPr>
            </w:pPr>
            <w:r w:rsidRPr="00A42845">
              <w:rPr>
                <w:szCs w:val="24"/>
                <w:lang w:val="en-US"/>
              </w:rPr>
              <w:t>201</w:t>
            </w:r>
          </w:p>
        </w:tc>
        <w:tc>
          <w:tcPr>
            <w:tcW w:w="1701" w:type="dxa"/>
            <w:shd w:val="clear" w:color="auto" w:fill="auto"/>
          </w:tcPr>
          <w:p w:rsidR="002C3529" w:rsidRPr="00A42845" w:rsidRDefault="002C3529" w:rsidP="00E02933">
            <w:pPr>
              <w:spacing w:after="0"/>
              <w:jc w:val="center"/>
              <w:rPr>
                <w:szCs w:val="24"/>
                <w:lang w:val="en-US"/>
              </w:rPr>
            </w:pPr>
          </w:p>
        </w:tc>
      </w:tr>
      <w:tr w:rsidR="002C3529" w:rsidRPr="00A42845" w:rsidTr="00E02933">
        <w:tc>
          <w:tcPr>
            <w:tcW w:w="2829" w:type="dxa"/>
            <w:shd w:val="clear" w:color="auto" w:fill="auto"/>
          </w:tcPr>
          <w:p w:rsidR="002C3529" w:rsidRPr="00A42845" w:rsidRDefault="002C3529" w:rsidP="00A42845">
            <w:pPr>
              <w:spacing w:after="0"/>
              <w:jc w:val="left"/>
              <w:rPr>
                <w:szCs w:val="24"/>
                <w:lang w:val="en-US"/>
              </w:rPr>
            </w:pPr>
            <w:r w:rsidRPr="00A42845">
              <w:rPr>
                <w:szCs w:val="24"/>
                <w:lang w:val="en-US"/>
              </w:rPr>
              <w:t>Annualized relapse rate</w:t>
            </w:r>
          </w:p>
          <w:p w:rsidR="002C3529" w:rsidRPr="00A42845" w:rsidRDefault="002C3529" w:rsidP="00A42845">
            <w:pPr>
              <w:spacing w:after="0"/>
              <w:jc w:val="left"/>
              <w:rPr>
                <w:szCs w:val="24"/>
                <w:lang w:val="en-US"/>
              </w:rPr>
            </w:pPr>
          </w:p>
          <w:p w:rsidR="002C3529" w:rsidRPr="00A42845" w:rsidRDefault="002C3529" w:rsidP="00A42845">
            <w:pPr>
              <w:spacing w:after="0"/>
              <w:jc w:val="left"/>
              <w:rPr>
                <w:szCs w:val="24"/>
                <w:lang w:val="en-US"/>
              </w:rPr>
            </w:pPr>
            <w:r w:rsidRPr="00A42845">
              <w:rPr>
                <w:szCs w:val="24"/>
                <w:lang w:val="en-US"/>
              </w:rPr>
              <w:t>Relative reduction [95%CI]</w:t>
            </w:r>
          </w:p>
        </w:tc>
        <w:tc>
          <w:tcPr>
            <w:tcW w:w="2032" w:type="dxa"/>
            <w:shd w:val="clear" w:color="auto" w:fill="auto"/>
          </w:tcPr>
          <w:p w:rsidR="002C3529" w:rsidRPr="00A42845" w:rsidRDefault="002C3529" w:rsidP="00A42845">
            <w:pPr>
              <w:spacing w:after="0"/>
              <w:jc w:val="center"/>
              <w:rPr>
                <w:szCs w:val="24"/>
                <w:lang w:val="en-US"/>
              </w:rPr>
            </w:pPr>
            <w:r w:rsidRPr="00A42845">
              <w:rPr>
                <w:szCs w:val="24"/>
                <w:lang w:val="en-US"/>
              </w:rPr>
              <w:t>0.458</w:t>
            </w:r>
          </w:p>
          <w:p w:rsidR="002C3529" w:rsidRPr="00A42845" w:rsidRDefault="002C3529" w:rsidP="00A42845">
            <w:pPr>
              <w:spacing w:after="0"/>
              <w:jc w:val="center"/>
              <w:rPr>
                <w:szCs w:val="24"/>
                <w:lang w:val="en-US"/>
              </w:rPr>
            </w:pPr>
          </w:p>
          <w:p w:rsidR="002C3529" w:rsidRPr="00A42845" w:rsidRDefault="002C3529" w:rsidP="00A42845">
            <w:pPr>
              <w:spacing w:after="0"/>
              <w:jc w:val="center"/>
              <w:rPr>
                <w:szCs w:val="24"/>
                <w:lang w:val="en-US"/>
              </w:rPr>
            </w:pPr>
          </w:p>
        </w:tc>
        <w:tc>
          <w:tcPr>
            <w:tcW w:w="2410" w:type="dxa"/>
            <w:shd w:val="clear" w:color="auto" w:fill="auto"/>
          </w:tcPr>
          <w:p w:rsidR="002C3529" w:rsidRPr="00A42845" w:rsidRDefault="002C3529" w:rsidP="00A42845">
            <w:pPr>
              <w:spacing w:after="0"/>
              <w:jc w:val="center"/>
              <w:rPr>
                <w:szCs w:val="24"/>
                <w:lang w:val="en-US"/>
              </w:rPr>
            </w:pPr>
            <w:r w:rsidRPr="00A42845">
              <w:rPr>
                <w:szCs w:val="24"/>
                <w:lang w:val="en-US"/>
              </w:rPr>
              <w:t>0.211</w:t>
            </w:r>
          </w:p>
          <w:p w:rsidR="002C3529" w:rsidRPr="00A42845" w:rsidRDefault="002C3529" w:rsidP="00A42845">
            <w:pPr>
              <w:spacing w:after="0"/>
              <w:jc w:val="center"/>
              <w:rPr>
                <w:szCs w:val="24"/>
                <w:lang w:val="en-US"/>
              </w:rPr>
            </w:pPr>
          </w:p>
          <w:p w:rsidR="002C3529" w:rsidRPr="00A42845" w:rsidRDefault="002C3529" w:rsidP="00A42845">
            <w:pPr>
              <w:spacing w:after="0"/>
              <w:jc w:val="center"/>
              <w:rPr>
                <w:szCs w:val="24"/>
                <w:lang w:val="en-US"/>
              </w:rPr>
            </w:pPr>
            <w:r w:rsidRPr="00A42845">
              <w:rPr>
                <w:szCs w:val="24"/>
                <w:lang w:val="en-US"/>
              </w:rPr>
              <w:t>54%</w:t>
            </w:r>
          </w:p>
          <w:p w:rsidR="002C3529" w:rsidRPr="00A42845" w:rsidRDefault="002C3529" w:rsidP="00A42845">
            <w:pPr>
              <w:spacing w:after="0"/>
              <w:jc w:val="center"/>
              <w:rPr>
                <w:szCs w:val="24"/>
                <w:lang w:val="en-US"/>
              </w:rPr>
            </w:pPr>
            <w:r w:rsidRPr="00A42845">
              <w:rPr>
                <w:szCs w:val="24"/>
                <w:lang w:val="en-US"/>
              </w:rPr>
              <w:t>[33%, 68%]</w:t>
            </w:r>
          </w:p>
        </w:tc>
        <w:tc>
          <w:tcPr>
            <w:tcW w:w="1701" w:type="dxa"/>
            <w:shd w:val="clear" w:color="auto" w:fill="auto"/>
          </w:tcPr>
          <w:p w:rsidR="001E1BAB" w:rsidRDefault="001E1BAB" w:rsidP="00E02933">
            <w:pPr>
              <w:spacing w:after="0"/>
              <w:jc w:val="center"/>
              <w:rPr>
                <w:szCs w:val="24"/>
                <w:lang w:val="en-US"/>
              </w:rPr>
            </w:pPr>
          </w:p>
          <w:p w:rsidR="001E1BAB" w:rsidRDefault="001E1BAB" w:rsidP="00E02933">
            <w:pPr>
              <w:spacing w:after="0"/>
              <w:jc w:val="center"/>
              <w:rPr>
                <w:szCs w:val="24"/>
                <w:lang w:val="en-US"/>
              </w:rPr>
            </w:pPr>
          </w:p>
          <w:p w:rsidR="002C3529" w:rsidRPr="00A42845" w:rsidRDefault="002C3529" w:rsidP="00E02933">
            <w:pPr>
              <w:spacing w:after="0"/>
              <w:jc w:val="center"/>
              <w:rPr>
                <w:szCs w:val="24"/>
                <w:lang w:val="en-US"/>
              </w:rPr>
            </w:pPr>
            <w:r w:rsidRPr="00A42845">
              <w:rPr>
                <w:szCs w:val="24"/>
                <w:lang w:val="en-US"/>
              </w:rPr>
              <w:t>p&lt;0.0001</w:t>
            </w:r>
          </w:p>
        </w:tc>
      </w:tr>
      <w:tr w:rsidR="002C3529" w:rsidRPr="00A42845" w:rsidTr="00E02933">
        <w:tc>
          <w:tcPr>
            <w:tcW w:w="2829" w:type="dxa"/>
            <w:shd w:val="clear" w:color="auto" w:fill="auto"/>
          </w:tcPr>
          <w:p w:rsidR="002C3529" w:rsidRPr="00A42845" w:rsidRDefault="002C3529" w:rsidP="00A42845">
            <w:pPr>
              <w:spacing w:after="0"/>
              <w:jc w:val="left"/>
              <w:rPr>
                <w:szCs w:val="24"/>
                <w:lang w:val="en-US"/>
              </w:rPr>
            </w:pPr>
            <w:r w:rsidRPr="00A42845">
              <w:rPr>
                <w:szCs w:val="24"/>
                <w:lang w:val="en-US"/>
              </w:rPr>
              <w:t>Percentage of patients relapse-free</w:t>
            </w:r>
          </w:p>
          <w:p w:rsidR="002C3529" w:rsidRPr="00A42845" w:rsidRDefault="002C3529" w:rsidP="00A42845">
            <w:pPr>
              <w:spacing w:after="0"/>
              <w:jc w:val="left"/>
              <w:rPr>
                <w:szCs w:val="24"/>
                <w:lang w:val="en-US"/>
              </w:rPr>
            </w:pPr>
            <w:r w:rsidRPr="00A42845">
              <w:rPr>
                <w:szCs w:val="24"/>
                <w:lang w:val="en-US"/>
              </w:rPr>
              <w:t>Relative risk reduction* [95%CI]</w:t>
            </w:r>
          </w:p>
        </w:tc>
        <w:tc>
          <w:tcPr>
            <w:tcW w:w="2032" w:type="dxa"/>
            <w:shd w:val="clear" w:color="auto" w:fill="auto"/>
          </w:tcPr>
          <w:p w:rsidR="002C3529" w:rsidRPr="00A42845" w:rsidRDefault="002C3529" w:rsidP="00A42845">
            <w:pPr>
              <w:spacing w:after="0"/>
              <w:jc w:val="center"/>
              <w:rPr>
                <w:szCs w:val="24"/>
                <w:lang w:val="en-US"/>
              </w:rPr>
            </w:pPr>
            <w:r w:rsidRPr="00A42845">
              <w:rPr>
                <w:szCs w:val="24"/>
                <w:lang w:val="en-US"/>
              </w:rPr>
              <w:t>64%</w:t>
            </w:r>
          </w:p>
        </w:tc>
        <w:tc>
          <w:tcPr>
            <w:tcW w:w="2410" w:type="dxa"/>
            <w:shd w:val="clear" w:color="auto" w:fill="auto"/>
          </w:tcPr>
          <w:p w:rsidR="002C3529" w:rsidRPr="00A42845" w:rsidRDefault="002C3529" w:rsidP="00A42845">
            <w:pPr>
              <w:spacing w:after="0"/>
              <w:jc w:val="center"/>
              <w:rPr>
                <w:szCs w:val="24"/>
                <w:lang w:val="en-US"/>
              </w:rPr>
            </w:pPr>
            <w:r w:rsidRPr="00A42845">
              <w:rPr>
                <w:szCs w:val="24"/>
                <w:lang w:val="en-US"/>
              </w:rPr>
              <w:t>81%</w:t>
            </w:r>
          </w:p>
          <w:p w:rsidR="002C3529" w:rsidRPr="00A42845" w:rsidRDefault="002C3529" w:rsidP="00A42845">
            <w:pPr>
              <w:spacing w:after="0"/>
              <w:jc w:val="center"/>
              <w:rPr>
                <w:szCs w:val="24"/>
                <w:lang w:val="en-US"/>
              </w:rPr>
            </w:pPr>
          </w:p>
          <w:p w:rsidR="002C3529" w:rsidRPr="00A42845" w:rsidRDefault="002C3529" w:rsidP="00A42845">
            <w:pPr>
              <w:spacing w:after="0"/>
              <w:jc w:val="center"/>
              <w:rPr>
                <w:szCs w:val="24"/>
                <w:lang w:val="en-US"/>
              </w:rPr>
            </w:pPr>
            <w:r w:rsidRPr="00A42845">
              <w:rPr>
                <w:szCs w:val="24"/>
                <w:lang w:val="en-US"/>
              </w:rPr>
              <w:t>55%</w:t>
            </w:r>
          </w:p>
          <w:p w:rsidR="002C3529" w:rsidRPr="00A42845" w:rsidRDefault="002C3529" w:rsidP="00A42845">
            <w:pPr>
              <w:spacing w:after="0"/>
              <w:jc w:val="center"/>
              <w:rPr>
                <w:szCs w:val="24"/>
                <w:lang w:val="en-US"/>
              </w:rPr>
            </w:pPr>
            <w:r w:rsidRPr="00A42845">
              <w:rPr>
                <w:szCs w:val="24"/>
                <w:lang w:val="en-US"/>
              </w:rPr>
              <w:t>[33%, 70%]</w:t>
            </w:r>
          </w:p>
        </w:tc>
        <w:tc>
          <w:tcPr>
            <w:tcW w:w="1701" w:type="dxa"/>
            <w:shd w:val="clear" w:color="auto" w:fill="auto"/>
          </w:tcPr>
          <w:p w:rsidR="001E1BAB" w:rsidRDefault="001E1BAB" w:rsidP="00E02933">
            <w:pPr>
              <w:spacing w:after="0"/>
              <w:jc w:val="center"/>
              <w:rPr>
                <w:szCs w:val="24"/>
                <w:lang w:val="en-US"/>
              </w:rPr>
            </w:pPr>
          </w:p>
          <w:p w:rsidR="001E1BAB" w:rsidRDefault="001E1BAB" w:rsidP="00E02933">
            <w:pPr>
              <w:spacing w:after="0"/>
              <w:jc w:val="center"/>
              <w:rPr>
                <w:szCs w:val="24"/>
                <w:lang w:val="en-US"/>
              </w:rPr>
            </w:pPr>
          </w:p>
          <w:p w:rsidR="002C3529" w:rsidRPr="00A42845" w:rsidRDefault="002C3529" w:rsidP="00E02933">
            <w:pPr>
              <w:spacing w:after="0"/>
              <w:jc w:val="center"/>
              <w:rPr>
                <w:szCs w:val="24"/>
                <w:lang w:val="en-US"/>
              </w:rPr>
            </w:pPr>
            <w:r w:rsidRPr="00A42845">
              <w:rPr>
                <w:szCs w:val="24"/>
                <w:lang w:val="en-US"/>
              </w:rPr>
              <w:t>p&lt;0.0001</w:t>
            </w:r>
          </w:p>
        </w:tc>
      </w:tr>
      <w:tr w:rsidR="002C3529" w:rsidRPr="00A42845" w:rsidTr="00E02933">
        <w:tc>
          <w:tcPr>
            <w:tcW w:w="2829" w:type="dxa"/>
            <w:shd w:val="clear" w:color="auto" w:fill="auto"/>
          </w:tcPr>
          <w:p w:rsidR="002C3529" w:rsidRPr="00A42845" w:rsidRDefault="002C3529" w:rsidP="00A42845">
            <w:pPr>
              <w:spacing w:after="0"/>
              <w:jc w:val="left"/>
              <w:rPr>
                <w:szCs w:val="24"/>
                <w:lang w:val="en-US"/>
              </w:rPr>
            </w:pPr>
            <w:r w:rsidRPr="00A42845">
              <w:rPr>
                <w:szCs w:val="24"/>
                <w:lang w:val="en-US"/>
              </w:rPr>
              <w:t>Percentage with 12 weeks confirmed disability progression</w:t>
            </w:r>
          </w:p>
          <w:p w:rsidR="002C3529" w:rsidRPr="00A42845" w:rsidRDefault="002C3529" w:rsidP="00A42845">
            <w:pPr>
              <w:spacing w:after="0"/>
              <w:jc w:val="left"/>
              <w:rPr>
                <w:szCs w:val="24"/>
                <w:lang w:val="en-US"/>
              </w:rPr>
            </w:pPr>
            <w:r w:rsidRPr="00A42845">
              <w:rPr>
                <w:szCs w:val="24"/>
                <w:lang w:val="en-US"/>
              </w:rPr>
              <w:t>Relative risk reduction [95%CI]</w:t>
            </w:r>
          </w:p>
        </w:tc>
        <w:tc>
          <w:tcPr>
            <w:tcW w:w="2032" w:type="dxa"/>
            <w:shd w:val="clear" w:color="auto" w:fill="auto"/>
          </w:tcPr>
          <w:p w:rsidR="002C3529" w:rsidRPr="00A42845" w:rsidRDefault="002C3529" w:rsidP="00A42845">
            <w:pPr>
              <w:spacing w:after="0"/>
              <w:jc w:val="center"/>
              <w:rPr>
                <w:szCs w:val="24"/>
                <w:lang w:val="en-US"/>
              </w:rPr>
            </w:pPr>
            <w:r w:rsidRPr="00A42845">
              <w:rPr>
                <w:szCs w:val="24"/>
                <w:lang w:val="en-US"/>
              </w:rPr>
              <w:t>13%</w:t>
            </w:r>
          </w:p>
        </w:tc>
        <w:tc>
          <w:tcPr>
            <w:tcW w:w="2410" w:type="dxa"/>
            <w:shd w:val="clear" w:color="auto" w:fill="auto"/>
          </w:tcPr>
          <w:p w:rsidR="002C3529" w:rsidRPr="00A42845" w:rsidRDefault="002C3529" w:rsidP="00A42845">
            <w:pPr>
              <w:spacing w:after="0"/>
              <w:jc w:val="center"/>
              <w:rPr>
                <w:szCs w:val="24"/>
                <w:lang w:val="en-US"/>
              </w:rPr>
            </w:pPr>
            <w:r w:rsidRPr="00A42845">
              <w:rPr>
                <w:szCs w:val="24"/>
                <w:lang w:val="en-US"/>
              </w:rPr>
              <w:t>6%</w:t>
            </w:r>
          </w:p>
          <w:p w:rsidR="002C3529" w:rsidRPr="00A42845" w:rsidRDefault="002C3529" w:rsidP="00A42845">
            <w:pPr>
              <w:spacing w:after="0"/>
              <w:jc w:val="center"/>
              <w:rPr>
                <w:szCs w:val="24"/>
                <w:lang w:val="en-US"/>
              </w:rPr>
            </w:pPr>
          </w:p>
          <w:p w:rsidR="002C3529" w:rsidRPr="00A42845" w:rsidRDefault="002C3529" w:rsidP="00A42845">
            <w:pPr>
              <w:spacing w:after="0"/>
              <w:jc w:val="center"/>
              <w:rPr>
                <w:szCs w:val="24"/>
                <w:lang w:val="en-US"/>
              </w:rPr>
            </w:pPr>
          </w:p>
          <w:p w:rsidR="002C3529" w:rsidRPr="00A42845" w:rsidRDefault="002C3529" w:rsidP="00A42845">
            <w:pPr>
              <w:spacing w:after="0"/>
              <w:jc w:val="center"/>
              <w:rPr>
                <w:szCs w:val="24"/>
                <w:lang w:val="en-US"/>
              </w:rPr>
            </w:pPr>
            <w:r w:rsidRPr="00A42845">
              <w:rPr>
                <w:szCs w:val="24"/>
                <w:lang w:val="en-US"/>
              </w:rPr>
              <w:t>57%</w:t>
            </w:r>
          </w:p>
          <w:p w:rsidR="002C3529" w:rsidRPr="00A42845" w:rsidRDefault="002C3529" w:rsidP="00A42845">
            <w:pPr>
              <w:spacing w:after="0"/>
              <w:jc w:val="center"/>
              <w:rPr>
                <w:szCs w:val="24"/>
                <w:lang w:val="en-US"/>
              </w:rPr>
            </w:pPr>
            <w:r w:rsidRPr="00A42845">
              <w:rPr>
                <w:szCs w:val="24"/>
                <w:lang w:val="en-US"/>
              </w:rPr>
              <w:t>[12%,79%]</w:t>
            </w:r>
          </w:p>
        </w:tc>
        <w:tc>
          <w:tcPr>
            <w:tcW w:w="1701" w:type="dxa"/>
            <w:shd w:val="clear" w:color="auto" w:fill="auto"/>
          </w:tcPr>
          <w:p w:rsidR="001E1BAB" w:rsidRDefault="001E1BAB" w:rsidP="00E02933">
            <w:pPr>
              <w:spacing w:after="0"/>
              <w:jc w:val="center"/>
              <w:rPr>
                <w:szCs w:val="24"/>
                <w:lang w:val="en-US"/>
              </w:rPr>
            </w:pPr>
          </w:p>
          <w:p w:rsidR="001E1BAB" w:rsidRDefault="001E1BAB" w:rsidP="00E02933">
            <w:pPr>
              <w:spacing w:after="0"/>
              <w:jc w:val="center"/>
              <w:rPr>
                <w:szCs w:val="24"/>
                <w:lang w:val="en-US"/>
              </w:rPr>
            </w:pPr>
          </w:p>
          <w:p w:rsidR="001E1BAB" w:rsidRDefault="001E1BAB" w:rsidP="00E02933">
            <w:pPr>
              <w:spacing w:after="0"/>
              <w:jc w:val="center"/>
              <w:rPr>
                <w:szCs w:val="24"/>
                <w:lang w:val="en-US"/>
              </w:rPr>
            </w:pPr>
          </w:p>
          <w:p w:rsidR="002C3529" w:rsidRPr="00A42845" w:rsidRDefault="002C3529" w:rsidP="00E02933">
            <w:pPr>
              <w:spacing w:after="0"/>
              <w:jc w:val="center"/>
              <w:rPr>
                <w:szCs w:val="24"/>
                <w:lang w:val="en-US"/>
              </w:rPr>
            </w:pPr>
            <w:r w:rsidRPr="00A42845">
              <w:rPr>
                <w:szCs w:val="24"/>
                <w:lang w:val="en-US"/>
              </w:rPr>
              <w:t>p=0.0211</w:t>
            </w:r>
          </w:p>
        </w:tc>
      </w:tr>
      <w:tr w:rsidR="002C3529" w:rsidRPr="00A42845" w:rsidTr="00E02933">
        <w:tc>
          <w:tcPr>
            <w:tcW w:w="2829" w:type="dxa"/>
            <w:shd w:val="clear" w:color="auto" w:fill="auto"/>
          </w:tcPr>
          <w:p w:rsidR="002C3529" w:rsidRPr="00A42845" w:rsidRDefault="002C3529" w:rsidP="00A42845">
            <w:pPr>
              <w:spacing w:after="0"/>
              <w:jc w:val="left"/>
              <w:rPr>
                <w:szCs w:val="24"/>
                <w:lang w:val="en-US"/>
              </w:rPr>
            </w:pPr>
            <w:r w:rsidRPr="00A42845">
              <w:rPr>
                <w:szCs w:val="24"/>
                <w:lang w:val="en-US"/>
              </w:rPr>
              <w:t>Percentage with 24 weeks confirmed disability progression</w:t>
            </w:r>
          </w:p>
          <w:p w:rsidR="002C3529" w:rsidRPr="00A42845" w:rsidRDefault="002C3529" w:rsidP="00A42845">
            <w:pPr>
              <w:spacing w:after="0"/>
              <w:jc w:val="left"/>
              <w:rPr>
                <w:szCs w:val="24"/>
                <w:lang w:val="en-US"/>
              </w:rPr>
            </w:pPr>
            <w:r w:rsidRPr="00A42845">
              <w:rPr>
                <w:szCs w:val="24"/>
                <w:lang w:val="en-US"/>
              </w:rPr>
              <w:t xml:space="preserve">Relative risk reduction [95%CI] </w:t>
            </w:r>
          </w:p>
        </w:tc>
        <w:tc>
          <w:tcPr>
            <w:tcW w:w="2032" w:type="dxa"/>
            <w:shd w:val="clear" w:color="auto" w:fill="auto"/>
          </w:tcPr>
          <w:p w:rsidR="002C3529" w:rsidRPr="00A42845" w:rsidRDefault="002C3529" w:rsidP="00A42845">
            <w:pPr>
              <w:spacing w:after="0"/>
              <w:jc w:val="center"/>
              <w:rPr>
                <w:szCs w:val="24"/>
                <w:lang w:val="en-US"/>
              </w:rPr>
            </w:pPr>
            <w:r w:rsidRPr="00A42845">
              <w:rPr>
                <w:szCs w:val="24"/>
                <w:lang w:val="en-US"/>
              </w:rPr>
              <w:t>11%</w:t>
            </w:r>
          </w:p>
        </w:tc>
        <w:tc>
          <w:tcPr>
            <w:tcW w:w="2410" w:type="dxa"/>
            <w:shd w:val="clear" w:color="auto" w:fill="auto"/>
          </w:tcPr>
          <w:p w:rsidR="002C3529" w:rsidRPr="00A42845" w:rsidRDefault="002C3529" w:rsidP="00A42845">
            <w:pPr>
              <w:spacing w:after="0"/>
              <w:jc w:val="center"/>
              <w:rPr>
                <w:szCs w:val="24"/>
                <w:lang w:val="en-US"/>
              </w:rPr>
            </w:pPr>
            <w:r w:rsidRPr="00A42845">
              <w:rPr>
                <w:szCs w:val="24"/>
                <w:lang w:val="en-US"/>
              </w:rPr>
              <w:t>2.6%</w:t>
            </w:r>
          </w:p>
          <w:p w:rsidR="002C3529" w:rsidRPr="00A42845" w:rsidRDefault="002C3529" w:rsidP="00A42845">
            <w:pPr>
              <w:spacing w:after="0"/>
              <w:jc w:val="center"/>
              <w:rPr>
                <w:szCs w:val="24"/>
                <w:lang w:val="en-US"/>
              </w:rPr>
            </w:pPr>
          </w:p>
          <w:p w:rsidR="002C3529" w:rsidRPr="00A42845" w:rsidRDefault="002C3529" w:rsidP="00A42845">
            <w:pPr>
              <w:spacing w:after="0"/>
              <w:jc w:val="center"/>
              <w:rPr>
                <w:szCs w:val="24"/>
                <w:lang w:val="en-US"/>
              </w:rPr>
            </w:pPr>
          </w:p>
          <w:p w:rsidR="002C3529" w:rsidRPr="00A42845" w:rsidRDefault="002C3529" w:rsidP="00A42845">
            <w:pPr>
              <w:spacing w:after="0"/>
              <w:jc w:val="center"/>
              <w:rPr>
                <w:szCs w:val="24"/>
                <w:lang w:val="en-US"/>
              </w:rPr>
            </w:pPr>
            <w:r w:rsidRPr="00A42845">
              <w:rPr>
                <w:szCs w:val="24"/>
                <w:lang w:val="en-US"/>
              </w:rPr>
              <w:t>76%</w:t>
            </w:r>
          </w:p>
          <w:p w:rsidR="002C3529" w:rsidRPr="00A42845" w:rsidRDefault="002C3529" w:rsidP="00A42845">
            <w:pPr>
              <w:spacing w:after="0"/>
              <w:jc w:val="center"/>
              <w:rPr>
                <w:szCs w:val="24"/>
                <w:lang w:val="en-US"/>
              </w:rPr>
            </w:pPr>
            <w:r w:rsidRPr="00A42845">
              <w:rPr>
                <w:szCs w:val="24"/>
                <w:lang w:val="en-US"/>
              </w:rPr>
              <w:t>[37%,91%]</w:t>
            </w:r>
          </w:p>
        </w:tc>
        <w:tc>
          <w:tcPr>
            <w:tcW w:w="1701" w:type="dxa"/>
            <w:shd w:val="clear" w:color="auto" w:fill="auto"/>
          </w:tcPr>
          <w:p w:rsidR="001E1BAB" w:rsidRDefault="001E1BAB" w:rsidP="00E02933">
            <w:pPr>
              <w:spacing w:after="0"/>
              <w:jc w:val="center"/>
              <w:rPr>
                <w:szCs w:val="24"/>
                <w:lang w:val="en-US"/>
              </w:rPr>
            </w:pPr>
          </w:p>
          <w:p w:rsidR="001E1BAB" w:rsidRDefault="001E1BAB" w:rsidP="00E02933">
            <w:pPr>
              <w:spacing w:after="0"/>
              <w:jc w:val="center"/>
              <w:rPr>
                <w:szCs w:val="24"/>
                <w:lang w:val="en-US"/>
              </w:rPr>
            </w:pPr>
          </w:p>
          <w:p w:rsidR="001E1BAB" w:rsidRDefault="001E1BAB" w:rsidP="00E02933">
            <w:pPr>
              <w:spacing w:after="0"/>
              <w:jc w:val="center"/>
              <w:rPr>
                <w:szCs w:val="24"/>
                <w:lang w:val="en-US"/>
              </w:rPr>
            </w:pPr>
          </w:p>
          <w:p w:rsidR="002C3529" w:rsidRPr="00A42845" w:rsidRDefault="002C3529" w:rsidP="00E02933">
            <w:pPr>
              <w:spacing w:after="0"/>
              <w:jc w:val="center"/>
              <w:rPr>
                <w:szCs w:val="24"/>
                <w:lang w:val="en-US"/>
              </w:rPr>
            </w:pPr>
            <w:r w:rsidRPr="00A42845">
              <w:rPr>
                <w:szCs w:val="24"/>
                <w:lang w:val="en-US"/>
              </w:rPr>
              <w:t>p=0.0037</w:t>
            </w:r>
          </w:p>
        </w:tc>
      </w:tr>
      <w:tr w:rsidR="002C3529" w:rsidRPr="00A42845" w:rsidTr="00E02933">
        <w:tc>
          <w:tcPr>
            <w:tcW w:w="2829" w:type="dxa"/>
            <w:shd w:val="clear" w:color="auto" w:fill="auto"/>
          </w:tcPr>
          <w:p w:rsidR="002C3529" w:rsidRPr="00A42845" w:rsidRDefault="002C3529" w:rsidP="00A42845">
            <w:pPr>
              <w:spacing w:after="0"/>
              <w:jc w:val="left"/>
              <w:rPr>
                <w:szCs w:val="24"/>
                <w:lang w:val="en-US"/>
              </w:rPr>
            </w:pPr>
            <w:r w:rsidRPr="00A42845">
              <w:rPr>
                <w:szCs w:val="24"/>
                <w:lang w:val="en-US"/>
              </w:rPr>
              <w:t>Mean change in MSIS29 physical score</w:t>
            </w:r>
          </w:p>
        </w:tc>
        <w:tc>
          <w:tcPr>
            <w:tcW w:w="2032" w:type="dxa"/>
            <w:shd w:val="clear" w:color="auto" w:fill="auto"/>
          </w:tcPr>
          <w:p w:rsidR="002C3529" w:rsidRPr="00A42845" w:rsidRDefault="002C3529" w:rsidP="00A42845">
            <w:pPr>
              <w:spacing w:after="0"/>
              <w:jc w:val="center"/>
              <w:rPr>
                <w:szCs w:val="24"/>
                <w:lang w:val="en-US"/>
              </w:rPr>
            </w:pPr>
            <w:r w:rsidRPr="00A42845">
              <w:rPr>
                <w:szCs w:val="24"/>
                <w:lang w:val="en-US"/>
              </w:rPr>
              <w:t xml:space="preserve">3.0 </w:t>
            </w:r>
          </w:p>
          <w:p w:rsidR="002C3529" w:rsidRPr="00A42845" w:rsidRDefault="002C3529" w:rsidP="00A42845">
            <w:pPr>
              <w:spacing w:after="0"/>
              <w:jc w:val="center"/>
              <w:rPr>
                <w:szCs w:val="24"/>
                <w:lang w:val="en-US"/>
              </w:rPr>
            </w:pPr>
            <w:r w:rsidRPr="00A42845">
              <w:rPr>
                <w:szCs w:val="24"/>
                <w:lang w:val="en-US"/>
              </w:rPr>
              <w:t>point worsening</w:t>
            </w:r>
          </w:p>
        </w:tc>
        <w:tc>
          <w:tcPr>
            <w:tcW w:w="2410" w:type="dxa"/>
            <w:shd w:val="clear" w:color="auto" w:fill="auto"/>
          </w:tcPr>
          <w:p w:rsidR="002C3529" w:rsidRPr="00A42845" w:rsidRDefault="002C3529" w:rsidP="00A42845">
            <w:pPr>
              <w:spacing w:after="0"/>
              <w:jc w:val="center"/>
              <w:rPr>
                <w:szCs w:val="24"/>
                <w:lang w:val="en-US"/>
              </w:rPr>
            </w:pPr>
            <w:r w:rsidRPr="00A42845">
              <w:rPr>
                <w:szCs w:val="24"/>
                <w:lang w:val="en-US"/>
              </w:rPr>
              <w:t xml:space="preserve">1.0 </w:t>
            </w:r>
          </w:p>
          <w:p w:rsidR="002C3529" w:rsidRPr="00A42845" w:rsidRDefault="002C3529" w:rsidP="00A42845">
            <w:pPr>
              <w:spacing w:after="0"/>
              <w:jc w:val="center"/>
              <w:rPr>
                <w:szCs w:val="24"/>
                <w:lang w:val="en-US"/>
              </w:rPr>
            </w:pPr>
            <w:r w:rsidRPr="00A42845">
              <w:rPr>
                <w:szCs w:val="24"/>
                <w:lang w:val="en-US"/>
              </w:rPr>
              <w:t>point improvement</w:t>
            </w:r>
          </w:p>
        </w:tc>
        <w:tc>
          <w:tcPr>
            <w:tcW w:w="1701" w:type="dxa"/>
            <w:shd w:val="clear" w:color="auto" w:fill="auto"/>
          </w:tcPr>
          <w:p w:rsidR="002C3529" w:rsidRPr="00A42845" w:rsidRDefault="002C3529" w:rsidP="00E02933">
            <w:pPr>
              <w:spacing w:after="0"/>
              <w:jc w:val="center"/>
              <w:rPr>
                <w:szCs w:val="24"/>
                <w:lang w:val="en-US"/>
              </w:rPr>
            </w:pPr>
            <w:r w:rsidRPr="00A42845">
              <w:rPr>
                <w:szCs w:val="24"/>
                <w:lang w:val="en-US"/>
              </w:rPr>
              <w:t>p=0.0008</w:t>
            </w:r>
            <w:r w:rsidRPr="00306F04">
              <w:rPr>
                <w:sz w:val="20"/>
                <w:vertAlign w:val="superscript"/>
              </w:rPr>
              <w:t>#</w:t>
            </w:r>
          </w:p>
        </w:tc>
      </w:tr>
      <w:tr w:rsidR="002C3529" w:rsidRPr="00A42845" w:rsidTr="00E02933">
        <w:tc>
          <w:tcPr>
            <w:tcW w:w="2829" w:type="dxa"/>
            <w:gridSpan w:val="4"/>
            <w:shd w:val="clear" w:color="auto" w:fill="auto"/>
          </w:tcPr>
          <w:p w:rsidR="002C3529" w:rsidRPr="00A42845" w:rsidRDefault="002C3529" w:rsidP="00E02933">
            <w:pPr>
              <w:spacing w:after="0"/>
              <w:jc w:val="left"/>
              <w:rPr>
                <w:szCs w:val="24"/>
                <w:lang w:val="en-US"/>
              </w:rPr>
            </w:pPr>
            <w:r w:rsidRPr="00A42845">
              <w:rPr>
                <w:b/>
                <w:szCs w:val="24"/>
                <w:lang w:val="en-US"/>
              </w:rPr>
              <w:t>MRI endpoints</w:t>
            </w:r>
          </w:p>
        </w:tc>
      </w:tr>
      <w:tr w:rsidR="002C3529" w:rsidRPr="00A42845" w:rsidTr="00E02933">
        <w:tc>
          <w:tcPr>
            <w:tcW w:w="2829" w:type="dxa"/>
            <w:shd w:val="clear" w:color="auto" w:fill="auto"/>
          </w:tcPr>
          <w:p w:rsidR="002C3529" w:rsidRPr="00A42845" w:rsidRDefault="002C3529" w:rsidP="00A42845">
            <w:pPr>
              <w:spacing w:after="0"/>
              <w:jc w:val="left"/>
              <w:rPr>
                <w:szCs w:val="24"/>
                <w:lang w:val="en-US"/>
              </w:rPr>
            </w:pPr>
            <w:r w:rsidRPr="00A42845">
              <w:rPr>
                <w:szCs w:val="24"/>
                <w:lang w:val="en-US"/>
              </w:rPr>
              <w:t xml:space="preserve">Mean number of new or newly enlarging T2 </w:t>
            </w:r>
            <w:proofErr w:type="spellStart"/>
            <w:r w:rsidRPr="00A42845">
              <w:rPr>
                <w:szCs w:val="24"/>
                <w:lang w:val="en-US"/>
              </w:rPr>
              <w:t>hyperintense</w:t>
            </w:r>
            <w:proofErr w:type="spellEnd"/>
            <w:r w:rsidRPr="00A42845">
              <w:rPr>
                <w:szCs w:val="24"/>
                <w:lang w:val="en-US"/>
              </w:rPr>
              <w:t xml:space="preserve"> lesions </w:t>
            </w:r>
          </w:p>
          <w:p w:rsidR="001E1BAB" w:rsidRDefault="001E1BAB" w:rsidP="00A42845">
            <w:pPr>
              <w:spacing w:after="0"/>
              <w:jc w:val="left"/>
              <w:rPr>
                <w:szCs w:val="24"/>
                <w:lang w:val="en-US"/>
              </w:rPr>
            </w:pPr>
          </w:p>
          <w:p w:rsidR="002C3529" w:rsidRPr="00A42845" w:rsidRDefault="002C3529" w:rsidP="00A42845">
            <w:pPr>
              <w:spacing w:after="0"/>
              <w:jc w:val="left"/>
              <w:rPr>
                <w:szCs w:val="24"/>
                <w:lang w:val="en-US"/>
              </w:rPr>
            </w:pPr>
            <w:r w:rsidRPr="00A42845">
              <w:rPr>
                <w:szCs w:val="24"/>
                <w:lang w:val="en-US"/>
              </w:rPr>
              <w:t>Relative reduction [95%CI]</w:t>
            </w:r>
          </w:p>
        </w:tc>
        <w:tc>
          <w:tcPr>
            <w:tcW w:w="2032" w:type="dxa"/>
            <w:shd w:val="clear" w:color="auto" w:fill="auto"/>
          </w:tcPr>
          <w:p w:rsidR="002C3529" w:rsidRPr="00A42845" w:rsidRDefault="002C3529" w:rsidP="00A42845">
            <w:pPr>
              <w:spacing w:after="0"/>
              <w:jc w:val="center"/>
              <w:rPr>
                <w:szCs w:val="24"/>
                <w:lang w:val="en-US"/>
              </w:rPr>
            </w:pPr>
            <w:r w:rsidRPr="00A42845">
              <w:rPr>
                <w:szCs w:val="24"/>
                <w:lang w:val="en-US"/>
              </w:rPr>
              <w:t>8.13</w:t>
            </w:r>
          </w:p>
        </w:tc>
        <w:tc>
          <w:tcPr>
            <w:tcW w:w="2410" w:type="dxa"/>
            <w:shd w:val="clear" w:color="auto" w:fill="auto"/>
          </w:tcPr>
          <w:p w:rsidR="002C3529" w:rsidRPr="00A42845" w:rsidRDefault="002C3529" w:rsidP="00A42845">
            <w:pPr>
              <w:spacing w:after="0"/>
              <w:jc w:val="center"/>
              <w:rPr>
                <w:szCs w:val="24"/>
                <w:lang w:val="en-US"/>
              </w:rPr>
            </w:pPr>
            <w:r w:rsidRPr="00A42845">
              <w:rPr>
                <w:szCs w:val="24"/>
                <w:lang w:val="en-US"/>
              </w:rPr>
              <w:t>2.4</w:t>
            </w:r>
          </w:p>
          <w:p w:rsidR="002C3529" w:rsidRPr="00A42845" w:rsidRDefault="002C3529" w:rsidP="00A42845">
            <w:pPr>
              <w:spacing w:after="0"/>
              <w:jc w:val="left"/>
              <w:rPr>
                <w:szCs w:val="24"/>
                <w:lang w:val="en-US"/>
              </w:rPr>
            </w:pPr>
          </w:p>
          <w:p w:rsidR="002C3529" w:rsidRPr="00A42845" w:rsidRDefault="002C3529" w:rsidP="00A42845">
            <w:pPr>
              <w:spacing w:after="0"/>
              <w:jc w:val="center"/>
              <w:rPr>
                <w:szCs w:val="24"/>
                <w:lang w:val="en-US"/>
              </w:rPr>
            </w:pPr>
          </w:p>
          <w:p w:rsidR="002C3529" w:rsidRPr="00A42845" w:rsidRDefault="002C3529" w:rsidP="00A42845">
            <w:pPr>
              <w:spacing w:after="0"/>
              <w:jc w:val="center"/>
              <w:rPr>
                <w:szCs w:val="24"/>
                <w:lang w:val="en-US"/>
              </w:rPr>
            </w:pPr>
            <w:r w:rsidRPr="00A42845">
              <w:rPr>
                <w:szCs w:val="24"/>
                <w:lang w:val="en-US"/>
              </w:rPr>
              <w:t>70%</w:t>
            </w:r>
          </w:p>
          <w:p w:rsidR="002C3529" w:rsidRPr="00A42845" w:rsidRDefault="002C3529" w:rsidP="00A42845">
            <w:pPr>
              <w:spacing w:after="0"/>
              <w:jc w:val="center"/>
              <w:rPr>
                <w:szCs w:val="24"/>
                <w:lang w:val="en-US"/>
              </w:rPr>
            </w:pPr>
            <w:r w:rsidRPr="00A42845">
              <w:rPr>
                <w:szCs w:val="24"/>
                <w:lang w:val="en-US"/>
              </w:rPr>
              <w:t>[60%, 78%]</w:t>
            </w:r>
          </w:p>
        </w:tc>
        <w:tc>
          <w:tcPr>
            <w:tcW w:w="1701" w:type="dxa"/>
            <w:shd w:val="clear" w:color="auto" w:fill="auto"/>
          </w:tcPr>
          <w:p w:rsidR="001E1BAB" w:rsidRDefault="001E1BAB" w:rsidP="00E02933">
            <w:pPr>
              <w:spacing w:after="0"/>
              <w:jc w:val="center"/>
              <w:rPr>
                <w:szCs w:val="24"/>
                <w:lang w:val="en-US"/>
              </w:rPr>
            </w:pPr>
          </w:p>
          <w:p w:rsidR="001E1BAB" w:rsidRDefault="001E1BAB" w:rsidP="00E02933">
            <w:pPr>
              <w:spacing w:after="0"/>
              <w:jc w:val="center"/>
              <w:rPr>
                <w:szCs w:val="24"/>
                <w:lang w:val="en-US"/>
              </w:rPr>
            </w:pPr>
          </w:p>
          <w:p w:rsidR="001E1BAB" w:rsidRDefault="001E1BAB" w:rsidP="00E02933">
            <w:pPr>
              <w:spacing w:after="0"/>
              <w:jc w:val="center"/>
              <w:rPr>
                <w:szCs w:val="24"/>
                <w:lang w:val="en-US"/>
              </w:rPr>
            </w:pPr>
          </w:p>
          <w:p w:rsidR="002C3529" w:rsidRPr="00A42845" w:rsidRDefault="002C3529" w:rsidP="00E02933">
            <w:pPr>
              <w:spacing w:after="0"/>
              <w:jc w:val="center"/>
              <w:rPr>
                <w:szCs w:val="24"/>
                <w:lang w:val="en-US"/>
              </w:rPr>
            </w:pPr>
            <w:r w:rsidRPr="00A42845">
              <w:rPr>
                <w:szCs w:val="24"/>
                <w:lang w:val="en-US"/>
              </w:rPr>
              <w:t>p&lt;0.0001</w:t>
            </w:r>
          </w:p>
        </w:tc>
      </w:tr>
      <w:tr w:rsidR="002C3529" w:rsidRPr="00A42845" w:rsidTr="00E02933">
        <w:tc>
          <w:tcPr>
            <w:tcW w:w="2829" w:type="dxa"/>
            <w:shd w:val="clear" w:color="auto" w:fill="auto"/>
          </w:tcPr>
          <w:p w:rsidR="002C3529" w:rsidRPr="00A42845" w:rsidRDefault="002C3529" w:rsidP="00A42845">
            <w:pPr>
              <w:spacing w:after="0"/>
              <w:jc w:val="left"/>
              <w:rPr>
                <w:szCs w:val="24"/>
                <w:lang w:val="en-US"/>
              </w:rPr>
            </w:pPr>
            <w:r w:rsidRPr="00A42845">
              <w:rPr>
                <w:szCs w:val="24"/>
                <w:lang w:val="en-US"/>
              </w:rPr>
              <w:t xml:space="preserve">Mean number of new T1 </w:t>
            </w:r>
            <w:proofErr w:type="spellStart"/>
            <w:r w:rsidRPr="00A42845">
              <w:rPr>
                <w:szCs w:val="24"/>
                <w:lang w:val="en-US"/>
              </w:rPr>
              <w:t>Gd</w:t>
            </w:r>
            <w:proofErr w:type="spellEnd"/>
            <w:r w:rsidRPr="00A42845">
              <w:rPr>
                <w:szCs w:val="24"/>
                <w:lang w:val="en-US"/>
              </w:rPr>
              <w:t>-enhancing lesions between 8 and 24 weeks (on monthly MRI scans)</w:t>
            </w:r>
          </w:p>
          <w:p w:rsidR="002C3529" w:rsidRPr="00A42845" w:rsidRDefault="002C3529" w:rsidP="00A42845">
            <w:pPr>
              <w:spacing w:after="0"/>
              <w:jc w:val="left"/>
              <w:rPr>
                <w:szCs w:val="24"/>
                <w:lang w:val="en-US"/>
              </w:rPr>
            </w:pPr>
          </w:p>
          <w:p w:rsidR="002C3529" w:rsidRPr="00A42845" w:rsidRDefault="002C3529" w:rsidP="00A42845">
            <w:pPr>
              <w:spacing w:after="0"/>
              <w:jc w:val="left"/>
              <w:rPr>
                <w:szCs w:val="24"/>
                <w:lang w:val="en-US"/>
              </w:rPr>
            </w:pPr>
            <w:r w:rsidRPr="00A42845">
              <w:rPr>
                <w:szCs w:val="24"/>
                <w:lang w:val="en-US"/>
              </w:rPr>
              <w:t>Relative reduction [95%CI]</w:t>
            </w:r>
          </w:p>
        </w:tc>
        <w:tc>
          <w:tcPr>
            <w:tcW w:w="2032" w:type="dxa"/>
            <w:shd w:val="clear" w:color="auto" w:fill="auto"/>
          </w:tcPr>
          <w:p w:rsidR="002C3529" w:rsidRPr="00A42845" w:rsidRDefault="002C3529" w:rsidP="00A42845">
            <w:pPr>
              <w:spacing w:after="0"/>
              <w:jc w:val="center"/>
              <w:rPr>
                <w:szCs w:val="24"/>
                <w:lang w:val="en-US"/>
              </w:rPr>
            </w:pPr>
            <w:r w:rsidRPr="00A42845">
              <w:rPr>
                <w:szCs w:val="24"/>
                <w:lang w:val="en-US"/>
              </w:rPr>
              <w:t>4.79</w:t>
            </w:r>
          </w:p>
        </w:tc>
        <w:tc>
          <w:tcPr>
            <w:tcW w:w="2410" w:type="dxa"/>
            <w:shd w:val="clear" w:color="auto" w:fill="auto"/>
          </w:tcPr>
          <w:p w:rsidR="002C3529" w:rsidRPr="00A42845" w:rsidRDefault="002C3529" w:rsidP="00A42845">
            <w:pPr>
              <w:spacing w:after="0"/>
              <w:jc w:val="center"/>
              <w:rPr>
                <w:szCs w:val="24"/>
                <w:lang w:val="en-US"/>
              </w:rPr>
            </w:pPr>
            <w:r w:rsidRPr="00A42845">
              <w:rPr>
                <w:szCs w:val="24"/>
                <w:lang w:val="en-US"/>
              </w:rPr>
              <w:t>1.46</w:t>
            </w:r>
          </w:p>
          <w:p w:rsidR="002C3529" w:rsidRPr="00A42845" w:rsidRDefault="002C3529" w:rsidP="00A42845">
            <w:pPr>
              <w:spacing w:after="0"/>
              <w:jc w:val="left"/>
              <w:rPr>
                <w:szCs w:val="24"/>
                <w:lang w:val="en-US"/>
              </w:rPr>
            </w:pPr>
          </w:p>
          <w:p w:rsidR="002C3529" w:rsidRPr="00A42845" w:rsidRDefault="002C3529" w:rsidP="00A42845">
            <w:pPr>
              <w:spacing w:after="0"/>
              <w:jc w:val="center"/>
              <w:rPr>
                <w:szCs w:val="24"/>
                <w:lang w:val="en-US"/>
              </w:rPr>
            </w:pPr>
          </w:p>
          <w:p w:rsidR="002C3529" w:rsidRPr="00A42845" w:rsidRDefault="002C3529" w:rsidP="00A42845">
            <w:pPr>
              <w:spacing w:after="0"/>
              <w:jc w:val="center"/>
              <w:rPr>
                <w:szCs w:val="24"/>
                <w:lang w:val="en-US"/>
              </w:rPr>
            </w:pPr>
          </w:p>
          <w:p w:rsidR="002C3529" w:rsidRPr="00A42845" w:rsidRDefault="002C3529" w:rsidP="00A42845">
            <w:pPr>
              <w:spacing w:after="0"/>
              <w:jc w:val="center"/>
              <w:rPr>
                <w:szCs w:val="24"/>
                <w:lang w:val="en-US"/>
              </w:rPr>
            </w:pPr>
          </w:p>
          <w:p w:rsidR="002C3529" w:rsidRPr="00A42845" w:rsidRDefault="002C3529" w:rsidP="00A42845">
            <w:pPr>
              <w:spacing w:after="0"/>
              <w:jc w:val="center"/>
              <w:rPr>
                <w:szCs w:val="24"/>
                <w:lang w:val="en-US"/>
              </w:rPr>
            </w:pPr>
            <w:r w:rsidRPr="00A42845">
              <w:rPr>
                <w:szCs w:val="24"/>
                <w:lang w:val="en-US"/>
              </w:rPr>
              <w:t>69%</w:t>
            </w:r>
          </w:p>
          <w:p w:rsidR="002C3529" w:rsidRPr="00A42845" w:rsidRDefault="002C3529" w:rsidP="00A42845">
            <w:pPr>
              <w:spacing w:after="0"/>
              <w:jc w:val="center"/>
              <w:rPr>
                <w:szCs w:val="24"/>
                <w:lang w:val="en-US"/>
              </w:rPr>
            </w:pPr>
            <w:r w:rsidRPr="00A42845">
              <w:rPr>
                <w:szCs w:val="24"/>
                <w:lang w:val="en-US"/>
              </w:rPr>
              <w:t>[52%, 80%]</w:t>
            </w:r>
          </w:p>
        </w:tc>
        <w:tc>
          <w:tcPr>
            <w:tcW w:w="1701" w:type="dxa"/>
            <w:shd w:val="clear" w:color="auto" w:fill="auto"/>
          </w:tcPr>
          <w:p w:rsidR="001E1BAB" w:rsidRDefault="001E1BAB" w:rsidP="00E02933">
            <w:pPr>
              <w:spacing w:after="0"/>
              <w:jc w:val="center"/>
              <w:rPr>
                <w:szCs w:val="24"/>
                <w:lang w:val="en-US"/>
              </w:rPr>
            </w:pPr>
          </w:p>
          <w:p w:rsidR="001E1BAB" w:rsidRDefault="001E1BAB" w:rsidP="00E02933">
            <w:pPr>
              <w:spacing w:after="0"/>
              <w:jc w:val="center"/>
              <w:rPr>
                <w:szCs w:val="24"/>
                <w:lang w:val="en-US"/>
              </w:rPr>
            </w:pPr>
          </w:p>
          <w:p w:rsidR="001E1BAB" w:rsidRDefault="001E1BAB" w:rsidP="00E02933">
            <w:pPr>
              <w:spacing w:after="0"/>
              <w:jc w:val="center"/>
              <w:rPr>
                <w:szCs w:val="24"/>
                <w:lang w:val="en-US"/>
              </w:rPr>
            </w:pPr>
          </w:p>
          <w:p w:rsidR="001E1BAB" w:rsidRDefault="001E1BAB" w:rsidP="00E02933">
            <w:pPr>
              <w:spacing w:after="0"/>
              <w:jc w:val="center"/>
              <w:rPr>
                <w:szCs w:val="24"/>
                <w:lang w:val="en-US"/>
              </w:rPr>
            </w:pPr>
          </w:p>
          <w:p w:rsidR="001E1BAB" w:rsidRDefault="001E1BAB" w:rsidP="00E02933">
            <w:pPr>
              <w:spacing w:after="0"/>
              <w:jc w:val="center"/>
              <w:rPr>
                <w:szCs w:val="24"/>
                <w:lang w:val="en-US"/>
              </w:rPr>
            </w:pPr>
          </w:p>
          <w:p w:rsidR="002C3529" w:rsidRPr="00A42845" w:rsidRDefault="002C3529" w:rsidP="00E02933">
            <w:pPr>
              <w:spacing w:after="0"/>
              <w:jc w:val="center"/>
              <w:rPr>
                <w:szCs w:val="24"/>
                <w:lang w:val="en-US"/>
              </w:rPr>
            </w:pPr>
            <w:r w:rsidRPr="00A42845">
              <w:rPr>
                <w:szCs w:val="24"/>
                <w:lang w:val="en-US"/>
              </w:rPr>
              <w:t>p&lt;0.0001</w:t>
            </w:r>
          </w:p>
        </w:tc>
      </w:tr>
    </w:tbl>
    <w:p w:rsidR="00306F04" w:rsidRDefault="005E706B" w:rsidP="00306F04">
      <w:pPr>
        <w:jc w:val="left"/>
        <w:rPr>
          <w:sz w:val="20"/>
        </w:rPr>
      </w:pPr>
      <w:r w:rsidRPr="002F4785">
        <w:rPr>
          <w:sz w:val="20"/>
        </w:rPr>
        <w:t>*Relative reduction in the risk of relapse</w:t>
      </w:r>
      <w:r w:rsidR="00306F04">
        <w:rPr>
          <w:sz w:val="20"/>
        </w:rPr>
        <w:br/>
      </w:r>
      <w:r w:rsidR="00306F04" w:rsidRPr="00306F04">
        <w:rPr>
          <w:sz w:val="20"/>
          <w:vertAlign w:val="superscript"/>
        </w:rPr>
        <w:t xml:space="preserve"># </w:t>
      </w:r>
      <w:proofErr w:type="gramStart"/>
      <w:r w:rsidR="00306F04" w:rsidRPr="00306F04">
        <w:rPr>
          <w:sz w:val="20"/>
        </w:rPr>
        <w:t>Not</w:t>
      </w:r>
      <w:proofErr w:type="gramEnd"/>
      <w:r w:rsidR="00306F04" w:rsidRPr="00306F04">
        <w:rPr>
          <w:sz w:val="20"/>
        </w:rPr>
        <w:t xml:space="preserve"> statistically significant per the closed testing pr</w:t>
      </w:r>
      <w:r w:rsidR="00306F04">
        <w:rPr>
          <w:sz w:val="20"/>
        </w:rPr>
        <w:t>ocedure for secondary endpoints</w:t>
      </w:r>
    </w:p>
    <w:p w:rsidR="00A42845" w:rsidRDefault="00A42845" w:rsidP="00A42845">
      <w:r>
        <w:t xml:space="preserve">In the SELECT study (Study 1), treatment with </w:t>
      </w:r>
      <w:r w:rsidR="00FE4239">
        <w:t>ZINBRYTA</w:t>
      </w:r>
      <w:r>
        <w:t xml:space="preserve"> 150 mg every 4 weeks versus placebo significantly reduced the annualized relapse rate (ARR) by 54% (95%CI [33%, 68%], p&lt;0.0001) (Table </w:t>
      </w:r>
      <w:r w:rsidR="00760C07">
        <w:t>2</w:t>
      </w:r>
      <w:r>
        <w:t xml:space="preserve">). </w:t>
      </w:r>
      <w:r w:rsidR="00FE4239">
        <w:t>ZINBRYTA</w:t>
      </w:r>
      <w:r>
        <w:t xml:space="preserve"> reduced the risk of relapse compared to placebo by 55% (95%CI [33%, 70%], p&lt;0.0001) at 52 weeks.</w:t>
      </w:r>
    </w:p>
    <w:p w:rsidR="00A42845" w:rsidRDefault="00FE4239" w:rsidP="00A42845">
      <w:r>
        <w:t>ZINBRYTA</w:t>
      </w:r>
      <w:r w:rsidR="00A42845">
        <w:t xml:space="preserve"> treated patients had a relative risk reduction in 12 week and 24 week confirmed disability progression of 57% (95%CI [12%,79%], p=0.02) and 76% (95%CI [37%,91%], p=0.0037) respectively compared to placebo tr</w:t>
      </w:r>
      <w:r w:rsidR="00A42845" w:rsidRPr="00A24FEB">
        <w:t>eated patients. The 300 mg dose did not provide additional benefit over the 150 mg dose.</w:t>
      </w:r>
    </w:p>
    <w:p w:rsidR="00A42845" w:rsidRDefault="00FE4239" w:rsidP="00A42845">
      <w:r>
        <w:lastRenderedPageBreak/>
        <w:t>ZINBRYTA</w:t>
      </w:r>
      <w:r w:rsidR="00A42845">
        <w:t xml:space="preserve"> impacted MRI endpoints including a reduction in the mean number of new or newly enlarging T2 </w:t>
      </w:r>
      <w:proofErr w:type="spellStart"/>
      <w:r w:rsidR="00A42845">
        <w:t>hyperintense</w:t>
      </w:r>
      <w:proofErr w:type="spellEnd"/>
      <w:r w:rsidR="00A42845">
        <w:t xml:space="preserve"> lesions at week 52 (70%, 95%CI [60%, 78%], p&lt;0.0001) and the mean number of new T1 </w:t>
      </w:r>
      <w:proofErr w:type="spellStart"/>
      <w:r w:rsidR="00A42845">
        <w:t>Gd</w:t>
      </w:r>
      <w:proofErr w:type="spellEnd"/>
      <w:r w:rsidR="00A42845">
        <w:t xml:space="preserve"> enhancing lesions between 8 and 24 weeks (69%, 95%CI [52%, 80%], p&lt;0.0001) compared to placebo.</w:t>
      </w:r>
    </w:p>
    <w:p w:rsidR="00306F04" w:rsidRDefault="00306F04" w:rsidP="00A42845">
      <w:r>
        <w:t>Using the MSIS-29 physical scale, a validated disease-specific patient-reported outcome measuring the physical impact of MS, the mean change at week 52 was a 1.0 point improvement in the ZINBRYTA group versus a 3.0 point worsening in placebo.</w:t>
      </w:r>
    </w:p>
    <w:p w:rsidR="00A42845" w:rsidRDefault="00A42845" w:rsidP="00A42845">
      <w:r>
        <w:t xml:space="preserve">Table </w:t>
      </w:r>
      <w:r w:rsidR="00760C07">
        <w:t>3</w:t>
      </w:r>
      <w:r>
        <w:t xml:space="preserve">, and Figure(s) </w:t>
      </w:r>
      <w:r w:rsidR="00D933C5">
        <w:t>3-</w:t>
      </w:r>
      <w:r>
        <w:t>4</w:t>
      </w:r>
      <w:r w:rsidRPr="002F4785">
        <w:t xml:space="preserve"> show the results for the DECIDE study (Study 2)</w:t>
      </w:r>
      <w:r>
        <w:t>.</w:t>
      </w:r>
    </w:p>
    <w:p w:rsidR="00A42845" w:rsidRDefault="00A42845" w:rsidP="00A42845">
      <w:pPr>
        <w:spacing w:after="0"/>
        <w:jc w:val="left"/>
        <w:rPr>
          <w:szCs w:val="24"/>
          <w:u w:val="single"/>
          <w:lang w:val="en-US"/>
        </w:rPr>
      </w:pPr>
      <w:r w:rsidRPr="00A42845">
        <w:rPr>
          <w:szCs w:val="24"/>
          <w:u w:val="single"/>
          <w:lang w:val="en-US"/>
        </w:rPr>
        <w:t xml:space="preserve">Table </w:t>
      </w:r>
      <w:r w:rsidR="00760C07">
        <w:rPr>
          <w:szCs w:val="24"/>
          <w:u w:val="single"/>
          <w:lang w:val="en-US"/>
        </w:rPr>
        <w:t>3</w:t>
      </w:r>
      <w:r w:rsidRPr="00A42845">
        <w:rPr>
          <w:szCs w:val="24"/>
          <w:u w:val="single"/>
          <w:lang w:val="en-US"/>
        </w:rPr>
        <w:t xml:space="preserve">: DECIDE (Study 2) Clinical and MRI results (96 to 144 weeks) </w:t>
      </w:r>
    </w:p>
    <w:p w:rsidR="00306BB2" w:rsidRPr="00A42845" w:rsidRDefault="00306BB2" w:rsidP="00A42845">
      <w:pPr>
        <w:spacing w:after="0"/>
        <w:jc w:val="left"/>
        <w:rPr>
          <w:szCs w:val="24"/>
          <w:u w:val="single"/>
          <w:lang w:val="en-US"/>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693"/>
        <w:gridCol w:w="2410"/>
        <w:gridCol w:w="1701"/>
      </w:tblGrid>
      <w:tr w:rsidR="00306F04" w:rsidRPr="00A42845" w:rsidTr="0019436D">
        <w:tc>
          <w:tcPr>
            <w:tcW w:w="3084" w:type="dxa"/>
            <w:shd w:val="clear" w:color="auto" w:fill="auto"/>
          </w:tcPr>
          <w:p w:rsidR="00306F04" w:rsidRPr="00A42845" w:rsidRDefault="00306F04" w:rsidP="00A42845">
            <w:pPr>
              <w:spacing w:after="0"/>
              <w:jc w:val="left"/>
              <w:rPr>
                <w:b/>
                <w:szCs w:val="24"/>
                <w:lang w:val="en-US"/>
              </w:rPr>
            </w:pPr>
          </w:p>
        </w:tc>
        <w:tc>
          <w:tcPr>
            <w:tcW w:w="2693" w:type="dxa"/>
            <w:shd w:val="clear" w:color="auto" w:fill="auto"/>
          </w:tcPr>
          <w:p w:rsidR="00306F04" w:rsidRPr="00A42845" w:rsidRDefault="00306F04" w:rsidP="00A42845">
            <w:pPr>
              <w:spacing w:after="0"/>
              <w:jc w:val="center"/>
              <w:rPr>
                <w:b/>
                <w:szCs w:val="24"/>
                <w:lang w:val="en-US"/>
              </w:rPr>
            </w:pPr>
            <w:r w:rsidRPr="00A42845">
              <w:rPr>
                <w:b/>
                <w:szCs w:val="24"/>
                <w:lang w:val="en-US"/>
              </w:rPr>
              <w:t>Interferon beta-1a (IM) 30mcg</w:t>
            </w:r>
          </w:p>
        </w:tc>
        <w:tc>
          <w:tcPr>
            <w:tcW w:w="2410" w:type="dxa"/>
            <w:shd w:val="clear" w:color="auto" w:fill="auto"/>
          </w:tcPr>
          <w:p w:rsidR="00306F04" w:rsidRPr="00A42845" w:rsidRDefault="00306F04" w:rsidP="00A42845">
            <w:pPr>
              <w:spacing w:after="0"/>
              <w:jc w:val="center"/>
              <w:rPr>
                <w:b/>
                <w:szCs w:val="24"/>
                <w:lang w:val="en-US"/>
              </w:rPr>
            </w:pPr>
            <w:r>
              <w:rPr>
                <w:b/>
                <w:szCs w:val="24"/>
                <w:lang w:val="en-US"/>
              </w:rPr>
              <w:t>ZINBRYTA</w:t>
            </w:r>
            <w:r w:rsidRPr="00A42845">
              <w:rPr>
                <w:b/>
                <w:szCs w:val="24"/>
                <w:lang w:val="en-US"/>
              </w:rPr>
              <w:t xml:space="preserve"> 150mg </w:t>
            </w:r>
          </w:p>
        </w:tc>
        <w:tc>
          <w:tcPr>
            <w:tcW w:w="1701" w:type="dxa"/>
            <w:shd w:val="clear" w:color="auto" w:fill="auto"/>
          </w:tcPr>
          <w:p w:rsidR="00306F04" w:rsidRPr="00A42845" w:rsidRDefault="00306F04" w:rsidP="00A42845">
            <w:pPr>
              <w:spacing w:after="0"/>
              <w:jc w:val="left"/>
              <w:rPr>
                <w:b/>
                <w:szCs w:val="24"/>
                <w:lang w:val="en-US"/>
              </w:rPr>
            </w:pPr>
            <w:r w:rsidRPr="00A42845">
              <w:rPr>
                <w:b/>
                <w:szCs w:val="24"/>
                <w:lang w:val="en-US"/>
              </w:rPr>
              <w:t>p-value</w:t>
            </w:r>
          </w:p>
        </w:tc>
      </w:tr>
      <w:tr w:rsidR="00306F04" w:rsidRPr="00A42845" w:rsidTr="0019436D">
        <w:tc>
          <w:tcPr>
            <w:tcW w:w="1701" w:type="dxa"/>
            <w:gridSpan w:val="4"/>
            <w:shd w:val="clear" w:color="auto" w:fill="auto"/>
          </w:tcPr>
          <w:p w:rsidR="00306F04" w:rsidRPr="00A42845" w:rsidRDefault="00306F04" w:rsidP="00A42845">
            <w:pPr>
              <w:spacing w:after="0"/>
              <w:jc w:val="left"/>
              <w:rPr>
                <w:b/>
                <w:szCs w:val="24"/>
                <w:lang w:val="en-US"/>
              </w:rPr>
            </w:pPr>
            <w:r w:rsidRPr="00A42845">
              <w:rPr>
                <w:b/>
                <w:szCs w:val="24"/>
                <w:lang w:val="en-US"/>
              </w:rPr>
              <w:t>Clinical endpoints</w:t>
            </w:r>
          </w:p>
        </w:tc>
      </w:tr>
      <w:tr w:rsidR="00306F04" w:rsidRPr="00A42845" w:rsidTr="0019436D">
        <w:tc>
          <w:tcPr>
            <w:tcW w:w="3084" w:type="dxa"/>
            <w:shd w:val="clear" w:color="auto" w:fill="auto"/>
          </w:tcPr>
          <w:p w:rsidR="00306F04" w:rsidRPr="00A42845" w:rsidRDefault="00306F04" w:rsidP="001A6D0E">
            <w:pPr>
              <w:spacing w:after="0"/>
              <w:jc w:val="left"/>
              <w:rPr>
                <w:szCs w:val="24"/>
                <w:lang w:val="en-US"/>
              </w:rPr>
            </w:pPr>
            <w:r w:rsidRPr="00A42845">
              <w:rPr>
                <w:szCs w:val="24"/>
                <w:lang w:val="en-US"/>
              </w:rPr>
              <w:t xml:space="preserve">Number of </w:t>
            </w:r>
            <w:r w:rsidR="001A6D0E">
              <w:rPr>
                <w:szCs w:val="24"/>
                <w:lang w:val="en-US"/>
              </w:rPr>
              <w:t>patients</w:t>
            </w:r>
          </w:p>
        </w:tc>
        <w:tc>
          <w:tcPr>
            <w:tcW w:w="2693" w:type="dxa"/>
            <w:shd w:val="clear" w:color="auto" w:fill="auto"/>
          </w:tcPr>
          <w:p w:rsidR="00306F04" w:rsidRPr="00A42845" w:rsidRDefault="00306F04" w:rsidP="00A42845">
            <w:pPr>
              <w:spacing w:after="0"/>
              <w:jc w:val="center"/>
              <w:rPr>
                <w:b/>
                <w:szCs w:val="24"/>
                <w:lang w:val="en-US"/>
              </w:rPr>
            </w:pPr>
            <w:r w:rsidRPr="00A42845">
              <w:rPr>
                <w:szCs w:val="24"/>
                <w:lang w:val="en-US"/>
              </w:rPr>
              <w:t>922</w:t>
            </w:r>
          </w:p>
        </w:tc>
        <w:tc>
          <w:tcPr>
            <w:tcW w:w="2410" w:type="dxa"/>
            <w:shd w:val="clear" w:color="auto" w:fill="auto"/>
          </w:tcPr>
          <w:p w:rsidR="00306F04" w:rsidRPr="00A42845" w:rsidRDefault="00306F04" w:rsidP="00A42845">
            <w:pPr>
              <w:spacing w:after="0"/>
              <w:jc w:val="center"/>
              <w:rPr>
                <w:b/>
                <w:szCs w:val="24"/>
                <w:lang w:val="en-US"/>
              </w:rPr>
            </w:pPr>
            <w:r w:rsidRPr="00A42845">
              <w:rPr>
                <w:szCs w:val="24"/>
                <w:lang w:val="en-US"/>
              </w:rPr>
              <w:t>919</w:t>
            </w:r>
          </w:p>
        </w:tc>
        <w:tc>
          <w:tcPr>
            <w:tcW w:w="1701" w:type="dxa"/>
            <w:shd w:val="clear" w:color="auto" w:fill="auto"/>
          </w:tcPr>
          <w:p w:rsidR="00306F04" w:rsidRPr="00A42845" w:rsidRDefault="00306F04" w:rsidP="00A42845">
            <w:pPr>
              <w:spacing w:after="0"/>
              <w:jc w:val="left"/>
              <w:rPr>
                <w:b/>
                <w:szCs w:val="24"/>
                <w:lang w:val="en-US"/>
              </w:rPr>
            </w:pPr>
          </w:p>
        </w:tc>
      </w:tr>
      <w:tr w:rsidR="00306F04" w:rsidRPr="00A42845" w:rsidTr="0019436D">
        <w:tc>
          <w:tcPr>
            <w:tcW w:w="3084" w:type="dxa"/>
            <w:shd w:val="clear" w:color="auto" w:fill="auto"/>
          </w:tcPr>
          <w:p w:rsidR="00306F04" w:rsidRPr="00A42845" w:rsidRDefault="00306F04" w:rsidP="00A42845">
            <w:pPr>
              <w:spacing w:after="0"/>
              <w:jc w:val="left"/>
              <w:rPr>
                <w:szCs w:val="24"/>
                <w:lang w:val="en-US"/>
              </w:rPr>
            </w:pPr>
            <w:r w:rsidRPr="00A42845">
              <w:rPr>
                <w:szCs w:val="24"/>
                <w:lang w:val="en-US"/>
              </w:rPr>
              <w:t>Annualized relapse rate</w:t>
            </w:r>
            <w:r w:rsidRPr="00306F04">
              <w:rPr>
                <w:szCs w:val="24"/>
                <w:lang w:val="en-US"/>
              </w:rPr>
              <w:t>*</w:t>
            </w:r>
          </w:p>
          <w:p w:rsidR="00306F04" w:rsidRPr="00A42845" w:rsidRDefault="00306F04" w:rsidP="00A42845">
            <w:pPr>
              <w:spacing w:after="0"/>
              <w:jc w:val="left"/>
              <w:rPr>
                <w:szCs w:val="24"/>
                <w:lang w:val="en-US"/>
              </w:rPr>
            </w:pPr>
          </w:p>
          <w:p w:rsidR="00306F04" w:rsidRPr="00A42845" w:rsidRDefault="00306F04" w:rsidP="00A42845">
            <w:pPr>
              <w:spacing w:after="0"/>
              <w:jc w:val="left"/>
              <w:rPr>
                <w:szCs w:val="24"/>
                <w:lang w:val="en-US"/>
              </w:rPr>
            </w:pPr>
          </w:p>
          <w:p w:rsidR="00306F04" w:rsidRPr="00A42845" w:rsidRDefault="00306F04" w:rsidP="00A42845">
            <w:pPr>
              <w:spacing w:after="0"/>
              <w:jc w:val="left"/>
              <w:rPr>
                <w:szCs w:val="24"/>
                <w:lang w:val="en-US"/>
              </w:rPr>
            </w:pPr>
            <w:r w:rsidRPr="00A42845">
              <w:rPr>
                <w:szCs w:val="24"/>
                <w:lang w:val="en-US"/>
              </w:rPr>
              <w:t>Relative reduction [95%CI]</w:t>
            </w:r>
            <w:r w:rsidRPr="00306F04">
              <w:rPr>
                <w:szCs w:val="24"/>
                <w:lang w:val="en-US"/>
              </w:rPr>
              <w:t>*</w:t>
            </w:r>
          </w:p>
        </w:tc>
        <w:tc>
          <w:tcPr>
            <w:tcW w:w="2693" w:type="dxa"/>
            <w:shd w:val="clear" w:color="auto" w:fill="auto"/>
          </w:tcPr>
          <w:p w:rsidR="00306F04" w:rsidRPr="00A42845" w:rsidRDefault="00306F04" w:rsidP="00A42845">
            <w:pPr>
              <w:spacing w:after="0"/>
              <w:jc w:val="center"/>
              <w:rPr>
                <w:szCs w:val="24"/>
                <w:lang w:val="en-GB" w:eastAsia="en-GB"/>
              </w:rPr>
            </w:pPr>
            <w:r w:rsidRPr="00A42845">
              <w:rPr>
                <w:szCs w:val="24"/>
                <w:lang w:val="en-GB" w:eastAsia="en-GB"/>
              </w:rPr>
              <w:t>0.393</w:t>
            </w:r>
          </w:p>
          <w:p w:rsidR="00306F04" w:rsidRPr="00A42845" w:rsidRDefault="00306F04" w:rsidP="00A42845">
            <w:pPr>
              <w:spacing w:after="0"/>
              <w:jc w:val="center"/>
              <w:rPr>
                <w:szCs w:val="24"/>
                <w:lang w:val="en-GB" w:eastAsia="en-GB"/>
              </w:rPr>
            </w:pPr>
          </w:p>
          <w:p w:rsidR="00306F04" w:rsidRPr="00A42845" w:rsidRDefault="00306F04" w:rsidP="00A42845">
            <w:pPr>
              <w:spacing w:after="0"/>
              <w:jc w:val="center"/>
              <w:rPr>
                <w:szCs w:val="24"/>
                <w:lang w:val="en-US"/>
              </w:rPr>
            </w:pPr>
          </w:p>
        </w:tc>
        <w:tc>
          <w:tcPr>
            <w:tcW w:w="2410" w:type="dxa"/>
            <w:shd w:val="clear" w:color="auto" w:fill="auto"/>
          </w:tcPr>
          <w:p w:rsidR="00306F04" w:rsidRPr="00A42845" w:rsidRDefault="00306F04" w:rsidP="00A42845">
            <w:pPr>
              <w:spacing w:after="0"/>
              <w:jc w:val="center"/>
              <w:rPr>
                <w:szCs w:val="24"/>
                <w:lang w:val="en-US"/>
              </w:rPr>
            </w:pPr>
            <w:r w:rsidRPr="00A42845">
              <w:rPr>
                <w:szCs w:val="24"/>
                <w:lang w:val="en-US"/>
              </w:rPr>
              <w:t>0.216</w:t>
            </w: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45%</w:t>
            </w:r>
          </w:p>
          <w:p w:rsidR="00306F04" w:rsidRPr="00A42845" w:rsidRDefault="00306F04" w:rsidP="00A42845">
            <w:pPr>
              <w:spacing w:after="0"/>
              <w:jc w:val="center"/>
              <w:rPr>
                <w:b/>
                <w:szCs w:val="24"/>
                <w:lang w:val="en-US"/>
              </w:rPr>
            </w:pPr>
            <w:r w:rsidRPr="00A42845">
              <w:rPr>
                <w:szCs w:val="24"/>
                <w:lang w:val="en-US"/>
              </w:rPr>
              <w:t>[35%, 53%]</w:t>
            </w:r>
          </w:p>
        </w:tc>
        <w:tc>
          <w:tcPr>
            <w:tcW w:w="1701" w:type="dxa"/>
            <w:shd w:val="clear" w:color="auto" w:fill="auto"/>
          </w:tcPr>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306F04" w:rsidRPr="00A42845" w:rsidRDefault="00306F04" w:rsidP="00A42845">
            <w:pPr>
              <w:spacing w:after="0"/>
              <w:jc w:val="center"/>
              <w:rPr>
                <w:b/>
                <w:szCs w:val="24"/>
                <w:lang w:val="en-US"/>
              </w:rPr>
            </w:pPr>
            <w:r w:rsidRPr="00A42845">
              <w:rPr>
                <w:szCs w:val="24"/>
                <w:lang w:val="en-US"/>
              </w:rPr>
              <w:t>p&lt;0.0001</w:t>
            </w:r>
          </w:p>
        </w:tc>
      </w:tr>
      <w:tr w:rsidR="00306F04" w:rsidRPr="00A42845" w:rsidTr="0019436D">
        <w:tc>
          <w:tcPr>
            <w:tcW w:w="3084" w:type="dxa"/>
            <w:shd w:val="clear" w:color="auto" w:fill="auto"/>
          </w:tcPr>
          <w:p w:rsidR="00306F04" w:rsidRPr="00A42845" w:rsidRDefault="00306F04" w:rsidP="00A42845">
            <w:pPr>
              <w:spacing w:after="0"/>
              <w:jc w:val="left"/>
              <w:rPr>
                <w:szCs w:val="24"/>
                <w:lang w:val="en-US"/>
              </w:rPr>
            </w:pPr>
            <w:r w:rsidRPr="00A42845">
              <w:rPr>
                <w:szCs w:val="24"/>
                <w:lang w:val="en-US"/>
              </w:rPr>
              <w:t xml:space="preserve">Percentage of patients relapse-free </w:t>
            </w:r>
          </w:p>
          <w:p w:rsidR="00306F04" w:rsidRPr="00A42845" w:rsidRDefault="00306F04" w:rsidP="00A42845">
            <w:pPr>
              <w:spacing w:after="0"/>
              <w:jc w:val="left"/>
              <w:rPr>
                <w:szCs w:val="24"/>
                <w:vertAlign w:val="superscript"/>
                <w:lang w:val="en-US"/>
              </w:rPr>
            </w:pPr>
            <w:r w:rsidRPr="00A42845">
              <w:rPr>
                <w:szCs w:val="24"/>
                <w:lang w:val="en-US"/>
              </w:rPr>
              <w:t>Relative risk reduction</w:t>
            </w:r>
            <w:r w:rsidRPr="00A42845">
              <w:rPr>
                <w:szCs w:val="24"/>
                <w:vertAlign w:val="superscript"/>
                <w:lang w:val="en-US"/>
              </w:rPr>
              <w:t>#</w:t>
            </w:r>
            <w:r w:rsidR="00263534" w:rsidRPr="00263534">
              <w:rPr>
                <w:szCs w:val="24"/>
                <w:lang w:val="en-US"/>
              </w:rPr>
              <w:t>*</w:t>
            </w:r>
            <w:r w:rsidRPr="00A42845">
              <w:rPr>
                <w:szCs w:val="24"/>
                <w:lang w:val="en-US"/>
              </w:rPr>
              <w:t xml:space="preserve"> [95%CI]</w:t>
            </w:r>
          </w:p>
        </w:tc>
        <w:tc>
          <w:tcPr>
            <w:tcW w:w="2693" w:type="dxa"/>
            <w:shd w:val="clear" w:color="auto" w:fill="auto"/>
          </w:tcPr>
          <w:p w:rsidR="00306F04" w:rsidRPr="00A42845" w:rsidRDefault="00306F04" w:rsidP="00A42845">
            <w:pPr>
              <w:spacing w:after="0"/>
              <w:jc w:val="center"/>
              <w:rPr>
                <w:szCs w:val="24"/>
                <w:lang w:val="en-US"/>
              </w:rPr>
            </w:pPr>
            <w:r w:rsidRPr="00A42845">
              <w:rPr>
                <w:szCs w:val="24"/>
                <w:lang w:val="en-US"/>
              </w:rPr>
              <w:t>59%</w:t>
            </w: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tc>
        <w:tc>
          <w:tcPr>
            <w:tcW w:w="2410" w:type="dxa"/>
            <w:shd w:val="clear" w:color="auto" w:fill="auto"/>
          </w:tcPr>
          <w:p w:rsidR="00306F04" w:rsidRPr="00A42845" w:rsidRDefault="00306F04" w:rsidP="00A42845">
            <w:pPr>
              <w:spacing w:after="0"/>
              <w:jc w:val="center"/>
              <w:rPr>
                <w:szCs w:val="24"/>
                <w:lang w:val="en-US"/>
              </w:rPr>
            </w:pPr>
            <w:r w:rsidRPr="00A42845">
              <w:rPr>
                <w:szCs w:val="24"/>
                <w:lang w:val="en-US"/>
              </w:rPr>
              <w:t>73%</w:t>
            </w: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41%</w:t>
            </w:r>
          </w:p>
          <w:p w:rsidR="00306F04" w:rsidRPr="00A42845" w:rsidRDefault="00306F04" w:rsidP="00A42845">
            <w:pPr>
              <w:spacing w:after="0"/>
              <w:jc w:val="center"/>
              <w:rPr>
                <w:szCs w:val="24"/>
                <w:lang w:val="en-US"/>
              </w:rPr>
            </w:pPr>
            <w:r w:rsidRPr="00A42845">
              <w:rPr>
                <w:szCs w:val="24"/>
                <w:lang w:val="en-US"/>
              </w:rPr>
              <w:t>[31%, 50%]</w:t>
            </w:r>
          </w:p>
        </w:tc>
        <w:tc>
          <w:tcPr>
            <w:tcW w:w="1701" w:type="dxa"/>
            <w:shd w:val="clear" w:color="auto" w:fill="auto"/>
          </w:tcPr>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p&lt;0.0001</w:t>
            </w:r>
          </w:p>
        </w:tc>
      </w:tr>
      <w:tr w:rsidR="00306F04" w:rsidRPr="00A42845" w:rsidTr="0019436D">
        <w:tc>
          <w:tcPr>
            <w:tcW w:w="3084" w:type="dxa"/>
            <w:shd w:val="clear" w:color="auto" w:fill="auto"/>
          </w:tcPr>
          <w:p w:rsidR="00306F04" w:rsidRPr="00A42845" w:rsidRDefault="00306F04" w:rsidP="00A42845">
            <w:pPr>
              <w:spacing w:after="0"/>
              <w:jc w:val="left"/>
              <w:rPr>
                <w:szCs w:val="24"/>
                <w:lang w:val="en-US"/>
              </w:rPr>
            </w:pPr>
            <w:r w:rsidRPr="00A42845">
              <w:rPr>
                <w:szCs w:val="24"/>
                <w:lang w:val="en-US"/>
              </w:rPr>
              <w:t xml:space="preserve">Percentage with 12 weeks confirmed disability progression, </w:t>
            </w:r>
          </w:p>
          <w:p w:rsidR="00306F04" w:rsidRPr="00A42845" w:rsidRDefault="00306F04" w:rsidP="00A42845">
            <w:pPr>
              <w:spacing w:after="0"/>
              <w:jc w:val="left"/>
              <w:rPr>
                <w:szCs w:val="24"/>
                <w:lang w:val="en-US"/>
              </w:rPr>
            </w:pPr>
            <w:r w:rsidRPr="00A42845">
              <w:rPr>
                <w:szCs w:val="24"/>
                <w:lang w:val="en-US"/>
              </w:rPr>
              <w:t>Relative risk reduction</w:t>
            </w:r>
            <w:r w:rsidR="00263534">
              <w:rPr>
                <w:szCs w:val="24"/>
                <w:lang w:val="en-US"/>
              </w:rPr>
              <w:t>*</w:t>
            </w:r>
            <w:r w:rsidRPr="00A42845">
              <w:rPr>
                <w:szCs w:val="24"/>
                <w:lang w:val="en-US"/>
              </w:rPr>
              <w:t xml:space="preserve"> [95%CI]</w:t>
            </w:r>
          </w:p>
        </w:tc>
        <w:tc>
          <w:tcPr>
            <w:tcW w:w="2693" w:type="dxa"/>
            <w:shd w:val="clear" w:color="auto" w:fill="auto"/>
          </w:tcPr>
          <w:p w:rsidR="00306F04" w:rsidRPr="00A42845" w:rsidRDefault="00306F04" w:rsidP="00A42845">
            <w:pPr>
              <w:spacing w:after="0"/>
              <w:jc w:val="center"/>
              <w:rPr>
                <w:szCs w:val="24"/>
                <w:lang w:val="en-US"/>
              </w:rPr>
            </w:pPr>
            <w:r w:rsidRPr="00A42845">
              <w:rPr>
                <w:szCs w:val="24"/>
                <w:lang w:val="en-US"/>
              </w:rPr>
              <w:t>14%</w:t>
            </w: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tc>
        <w:tc>
          <w:tcPr>
            <w:tcW w:w="2410" w:type="dxa"/>
            <w:shd w:val="clear" w:color="auto" w:fill="auto"/>
          </w:tcPr>
          <w:p w:rsidR="00306F04" w:rsidRPr="00A42845" w:rsidRDefault="00306F04" w:rsidP="00A42845">
            <w:pPr>
              <w:spacing w:after="0"/>
              <w:jc w:val="center"/>
              <w:rPr>
                <w:szCs w:val="24"/>
                <w:lang w:val="en-US"/>
              </w:rPr>
            </w:pPr>
            <w:r w:rsidRPr="00A42845">
              <w:rPr>
                <w:szCs w:val="24"/>
                <w:lang w:val="en-US"/>
              </w:rPr>
              <w:t>12%</w:t>
            </w: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16%</w:t>
            </w:r>
          </w:p>
          <w:p w:rsidR="00306F04" w:rsidRPr="00A42845" w:rsidRDefault="00306F04" w:rsidP="00A42845">
            <w:pPr>
              <w:spacing w:after="0"/>
              <w:jc w:val="center"/>
              <w:rPr>
                <w:szCs w:val="24"/>
                <w:lang w:val="en-US"/>
              </w:rPr>
            </w:pPr>
            <w:r w:rsidRPr="00A42845">
              <w:rPr>
                <w:szCs w:val="24"/>
                <w:lang w:val="en-US"/>
              </w:rPr>
              <w:t>[-7%, 34%]</w:t>
            </w:r>
          </w:p>
        </w:tc>
        <w:tc>
          <w:tcPr>
            <w:tcW w:w="1701" w:type="dxa"/>
            <w:shd w:val="clear" w:color="auto" w:fill="auto"/>
          </w:tcPr>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p=0.16</w:t>
            </w:r>
          </w:p>
        </w:tc>
      </w:tr>
      <w:tr w:rsidR="00306F04" w:rsidRPr="00A42845" w:rsidTr="0019436D">
        <w:tc>
          <w:tcPr>
            <w:tcW w:w="3084" w:type="dxa"/>
            <w:shd w:val="clear" w:color="auto" w:fill="auto"/>
          </w:tcPr>
          <w:p w:rsidR="00306F04" w:rsidRPr="00A42845" w:rsidRDefault="00306F04" w:rsidP="00A42845">
            <w:pPr>
              <w:spacing w:after="0"/>
              <w:jc w:val="left"/>
              <w:rPr>
                <w:szCs w:val="24"/>
                <w:lang w:val="en-US"/>
              </w:rPr>
            </w:pPr>
            <w:r w:rsidRPr="00A42845">
              <w:rPr>
                <w:szCs w:val="24"/>
                <w:lang w:val="en-US"/>
              </w:rPr>
              <w:t xml:space="preserve">Percentage with 24 weeks confirmed disability progression, </w:t>
            </w:r>
          </w:p>
          <w:p w:rsidR="00263534" w:rsidRDefault="00306F04" w:rsidP="00263534">
            <w:pPr>
              <w:spacing w:after="0"/>
              <w:jc w:val="left"/>
              <w:rPr>
                <w:szCs w:val="24"/>
                <w:lang w:val="en-US"/>
              </w:rPr>
            </w:pPr>
            <w:r w:rsidRPr="00A42845">
              <w:rPr>
                <w:szCs w:val="24"/>
                <w:lang w:val="en-US"/>
              </w:rPr>
              <w:t>Relative risk reduction</w:t>
            </w:r>
            <w:r w:rsidR="00263534">
              <w:rPr>
                <w:szCs w:val="24"/>
                <w:lang w:val="en-US"/>
              </w:rPr>
              <w:t>*</w:t>
            </w:r>
          </w:p>
          <w:p w:rsidR="00306F04" w:rsidRPr="00A42845" w:rsidRDefault="00306F04" w:rsidP="00263534">
            <w:pPr>
              <w:spacing w:after="0"/>
              <w:jc w:val="left"/>
              <w:rPr>
                <w:szCs w:val="24"/>
                <w:lang w:val="en-US"/>
              </w:rPr>
            </w:pPr>
            <w:r w:rsidRPr="00A42845">
              <w:rPr>
                <w:szCs w:val="24"/>
                <w:lang w:val="en-US"/>
              </w:rPr>
              <w:t>[95%CI]</w:t>
            </w:r>
          </w:p>
        </w:tc>
        <w:tc>
          <w:tcPr>
            <w:tcW w:w="2693" w:type="dxa"/>
            <w:shd w:val="clear" w:color="auto" w:fill="auto"/>
          </w:tcPr>
          <w:p w:rsidR="00306F04" w:rsidRPr="00A42845" w:rsidRDefault="00306F04" w:rsidP="00A42845">
            <w:pPr>
              <w:spacing w:after="0"/>
              <w:jc w:val="center"/>
              <w:rPr>
                <w:szCs w:val="24"/>
                <w:lang w:val="en-US"/>
              </w:rPr>
            </w:pPr>
            <w:r w:rsidRPr="00A42845">
              <w:rPr>
                <w:szCs w:val="24"/>
                <w:lang w:val="en-US"/>
              </w:rPr>
              <w:t>12%</w:t>
            </w:r>
          </w:p>
          <w:p w:rsidR="00306F04" w:rsidRPr="00A42845" w:rsidRDefault="00306F04" w:rsidP="00A42845">
            <w:pPr>
              <w:spacing w:after="0"/>
              <w:jc w:val="left"/>
              <w:rPr>
                <w:szCs w:val="24"/>
                <w:lang w:val="en-US"/>
              </w:rPr>
            </w:pP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tc>
        <w:tc>
          <w:tcPr>
            <w:tcW w:w="2410" w:type="dxa"/>
            <w:shd w:val="clear" w:color="auto" w:fill="auto"/>
          </w:tcPr>
          <w:p w:rsidR="00306F04" w:rsidRPr="00A42845" w:rsidRDefault="00306F04" w:rsidP="00A42845">
            <w:pPr>
              <w:spacing w:after="0"/>
              <w:jc w:val="center"/>
              <w:rPr>
                <w:szCs w:val="24"/>
                <w:lang w:val="en-US"/>
              </w:rPr>
            </w:pPr>
            <w:r w:rsidRPr="00A42845">
              <w:rPr>
                <w:szCs w:val="24"/>
                <w:lang w:val="en-US"/>
              </w:rPr>
              <w:t>9%</w:t>
            </w: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27%</w:t>
            </w:r>
          </w:p>
          <w:p w:rsidR="00306F04" w:rsidRPr="00A42845" w:rsidRDefault="00306F04" w:rsidP="00A42845">
            <w:pPr>
              <w:spacing w:after="0"/>
              <w:jc w:val="center"/>
              <w:rPr>
                <w:szCs w:val="24"/>
                <w:lang w:val="en-US"/>
              </w:rPr>
            </w:pPr>
            <w:r w:rsidRPr="00A42845">
              <w:rPr>
                <w:szCs w:val="24"/>
                <w:lang w:val="en-US"/>
              </w:rPr>
              <w:t>[2%, 45%]</w:t>
            </w:r>
          </w:p>
        </w:tc>
        <w:tc>
          <w:tcPr>
            <w:tcW w:w="1701" w:type="dxa"/>
            <w:shd w:val="clear" w:color="auto" w:fill="auto"/>
          </w:tcPr>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p=0.03</w:t>
            </w:r>
          </w:p>
        </w:tc>
      </w:tr>
      <w:tr w:rsidR="00306F04" w:rsidRPr="00A42845" w:rsidTr="0019436D">
        <w:tc>
          <w:tcPr>
            <w:tcW w:w="3084" w:type="dxa"/>
            <w:shd w:val="clear" w:color="auto" w:fill="auto"/>
          </w:tcPr>
          <w:p w:rsidR="00306F04" w:rsidRPr="00A42845" w:rsidRDefault="00306F04" w:rsidP="00A42845">
            <w:pPr>
              <w:spacing w:after="0"/>
              <w:jc w:val="left"/>
              <w:rPr>
                <w:szCs w:val="24"/>
                <w:lang w:val="en-US"/>
              </w:rPr>
            </w:pPr>
            <w:r w:rsidRPr="00A42845">
              <w:rPr>
                <w:szCs w:val="24"/>
                <w:lang w:val="en-US"/>
              </w:rPr>
              <w:t xml:space="preserve">Percentage of patients with a clinically meaningful ( ≥7.5 point) worsening MSIS-29 physical score, </w:t>
            </w:r>
          </w:p>
          <w:p w:rsidR="00306F04" w:rsidRPr="00A42845" w:rsidRDefault="00306F04" w:rsidP="00A42845">
            <w:pPr>
              <w:spacing w:after="0"/>
              <w:jc w:val="left"/>
              <w:rPr>
                <w:szCs w:val="24"/>
                <w:lang w:val="en-US"/>
              </w:rPr>
            </w:pPr>
          </w:p>
          <w:p w:rsidR="00306F04" w:rsidRDefault="00306F04" w:rsidP="00306F04">
            <w:pPr>
              <w:spacing w:after="0"/>
              <w:jc w:val="left"/>
              <w:rPr>
                <w:szCs w:val="24"/>
                <w:lang w:val="en-US"/>
              </w:rPr>
            </w:pPr>
            <w:r w:rsidRPr="00A42845">
              <w:rPr>
                <w:szCs w:val="24"/>
                <w:lang w:val="en-US"/>
              </w:rPr>
              <w:t>Relative odds reduction</w:t>
            </w:r>
          </w:p>
          <w:p w:rsidR="00306F04" w:rsidRPr="00A42845" w:rsidRDefault="00306F04" w:rsidP="00306F04">
            <w:pPr>
              <w:spacing w:after="0"/>
              <w:jc w:val="left"/>
              <w:rPr>
                <w:szCs w:val="24"/>
                <w:lang w:val="en-US"/>
              </w:rPr>
            </w:pPr>
            <w:r w:rsidRPr="00A42845">
              <w:rPr>
                <w:szCs w:val="24"/>
                <w:lang w:val="en-US"/>
              </w:rPr>
              <w:t>[95%CI]</w:t>
            </w:r>
          </w:p>
        </w:tc>
        <w:tc>
          <w:tcPr>
            <w:tcW w:w="2693" w:type="dxa"/>
            <w:shd w:val="clear" w:color="auto" w:fill="auto"/>
          </w:tcPr>
          <w:p w:rsidR="00306F04" w:rsidRPr="00A42845" w:rsidRDefault="00306F04" w:rsidP="00A42845">
            <w:pPr>
              <w:spacing w:after="0"/>
              <w:jc w:val="center"/>
              <w:rPr>
                <w:szCs w:val="24"/>
                <w:lang w:val="en-US"/>
              </w:rPr>
            </w:pPr>
            <w:r w:rsidRPr="00A42845">
              <w:rPr>
                <w:szCs w:val="24"/>
                <w:lang w:val="en-US"/>
              </w:rPr>
              <w:t>23%</w:t>
            </w:r>
          </w:p>
          <w:p w:rsidR="00306F04" w:rsidRPr="00A42845" w:rsidRDefault="00306F04" w:rsidP="00A42845">
            <w:pPr>
              <w:spacing w:after="0"/>
              <w:jc w:val="center"/>
              <w:rPr>
                <w:szCs w:val="24"/>
                <w:lang w:val="en-US"/>
              </w:rPr>
            </w:pPr>
          </w:p>
          <w:p w:rsidR="00306F04" w:rsidRPr="00A42845" w:rsidRDefault="00306F04" w:rsidP="00A42845">
            <w:pPr>
              <w:spacing w:after="0"/>
              <w:jc w:val="left"/>
              <w:rPr>
                <w:szCs w:val="24"/>
                <w:lang w:val="en-US"/>
              </w:rPr>
            </w:pP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tc>
        <w:tc>
          <w:tcPr>
            <w:tcW w:w="2410" w:type="dxa"/>
            <w:shd w:val="clear" w:color="auto" w:fill="auto"/>
          </w:tcPr>
          <w:p w:rsidR="00306F04" w:rsidRPr="00A42845" w:rsidRDefault="00306F04" w:rsidP="00A42845">
            <w:pPr>
              <w:spacing w:after="0"/>
              <w:jc w:val="center"/>
              <w:rPr>
                <w:szCs w:val="24"/>
                <w:lang w:val="en-US"/>
              </w:rPr>
            </w:pPr>
            <w:r w:rsidRPr="00A42845">
              <w:rPr>
                <w:szCs w:val="24"/>
                <w:lang w:val="en-US"/>
              </w:rPr>
              <w:t>19%</w:t>
            </w: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24%</w:t>
            </w:r>
          </w:p>
          <w:p w:rsidR="00306F04" w:rsidRPr="00A42845" w:rsidRDefault="00306F04" w:rsidP="00A42845">
            <w:pPr>
              <w:spacing w:after="0"/>
              <w:jc w:val="center"/>
              <w:rPr>
                <w:szCs w:val="24"/>
                <w:lang w:val="en-US"/>
              </w:rPr>
            </w:pPr>
            <w:r w:rsidRPr="00A42845">
              <w:rPr>
                <w:szCs w:val="24"/>
                <w:lang w:val="en-US"/>
              </w:rPr>
              <w:t>[5%, 40%]</w:t>
            </w:r>
          </w:p>
        </w:tc>
        <w:tc>
          <w:tcPr>
            <w:tcW w:w="1701" w:type="dxa"/>
            <w:shd w:val="clear" w:color="auto" w:fill="auto"/>
          </w:tcPr>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p=0.018</w:t>
            </w:r>
          </w:p>
        </w:tc>
      </w:tr>
      <w:tr w:rsidR="00306F04" w:rsidRPr="00A42845" w:rsidTr="0019436D">
        <w:tc>
          <w:tcPr>
            <w:tcW w:w="1701" w:type="dxa"/>
            <w:gridSpan w:val="4"/>
            <w:shd w:val="clear" w:color="auto" w:fill="auto"/>
          </w:tcPr>
          <w:p w:rsidR="00306F04" w:rsidRPr="00A42845" w:rsidRDefault="00306F04" w:rsidP="00306F04">
            <w:pPr>
              <w:spacing w:after="0"/>
              <w:jc w:val="left"/>
              <w:rPr>
                <w:b/>
                <w:szCs w:val="24"/>
                <w:lang w:val="en-US"/>
              </w:rPr>
            </w:pPr>
            <w:r w:rsidRPr="00A42845">
              <w:rPr>
                <w:b/>
                <w:szCs w:val="24"/>
                <w:lang w:val="en-US"/>
              </w:rPr>
              <w:t>MRI Endpoints</w:t>
            </w:r>
          </w:p>
        </w:tc>
      </w:tr>
      <w:tr w:rsidR="00306F04" w:rsidRPr="00A42845" w:rsidTr="0019436D">
        <w:tc>
          <w:tcPr>
            <w:tcW w:w="3084" w:type="dxa"/>
            <w:shd w:val="clear" w:color="auto" w:fill="auto"/>
          </w:tcPr>
          <w:p w:rsidR="00306F04" w:rsidRPr="00A42845" w:rsidRDefault="00306F04" w:rsidP="00A42845">
            <w:pPr>
              <w:spacing w:after="0"/>
              <w:jc w:val="left"/>
              <w:rPr>
                <w:szCs w:val="24"/>
                <w:lang w:val="en-US"/>
              </w:rPr>
            </w:pPr>
            <w:r w:rsidRPr="00A42845">
              <w:rPr>
                <w:szCs w:val="24"/>
                <w:lang w:val="en-US"/>
              </w:rPr>
              <w:t xml:space="preserve">Mean number of new or newly enlarging T2 </w:t>
            </w:r>
            <w:proofErr w:type="spellStart"/>
            <w:r w:rsidRPr="00A42845">
              <w:rPr>
                <w:szCs w:val="24"/>
                <w:lang w:val="en-US"/>
              </w:rPr>
              <w:t>hyperintense</w:t>
            </w:r>
            <w:proofErr w:type="spellEnd"/>
            <w:r w:rsidRPr="00A42845">
              <w:rPr>
                <w:szCs w:val="24"/>
                <w:lang w:val="en-US"/>
              </w:rPr>
              <w:t xml:space="preserve"> lesions, </w:t>
            </w:r>
          </w:p>
          <w:p w:rsidR="00306F04" w:rsidRPr="00A42845" w:rsidRDefault="00306F04" w:rsidP="00A42845">
            <w:pPr>
              <w:spacing w:after="0"/>
              <w:jc w:val="left"/>
              <w:rPr>
                <w:szCs w:val="24"/>
                <w:lang w:val="en-US"/>
              </w:rPr>
            </w:pPr>
          </w:p>
          <w:p w:rsidR="00306F04" w:rsidRPr="00A42845" w:rsidRDefault="00306F04" w:rsidP="00A42845">
            <w:pPr>
              <w:spacing w:after="0"/>
              <w:jc w:val="left"/>
              <w:rPr>
                <w:szCs w:val="24"/>
                <w:lang w:val="en-US"/>
              </w:rPr>
            </w:pPr>
            <w:r w:rsidRPr="00A42845">
              <w:rPr>
                <w:szCs w:val="24"/>
                <w:lang w:val="en-US"/>
              </w:rPr>
              <w:t>Relative reduction [95%CI]</w:t>
            </w:r>
          </w:p>
        </w:tc>
        <w:tc>
          <w:tcPr>
            <w:tcW w:w="2693" w:type="dxa"/>
            <w:shd w:val="clear" w:color="auto" w:fill="auto"/>
          </w:tcPr>
          <w:p w:rsidR="00306F04" w:rsidRPr="00A42845" w:rsidRDefault="00306F04" w:rsidP="00A42845">
            <w:pPr>
              <w:spacing w:after="0"/>
              <w:jc w:val="center"/>
              <w:rPr>
                <w:szCs w:val="24"/>
                <w:lang w:val="en-US"/>
              </w:rPr>
            </w:pPr>
            <w:r w:rsidRPr="00A42845">
              <w:rPr>
                <w:szCs w:val="24"/>
                <w:lang w:val="en-US"/>
              </w:rPr>
              <w:t>9.44</w:t>
            </w: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tc>
        <w:tc>
          <w:tcPr>
            <w:tcW w:w="2410" w:type="dxa"/>
            <w:shd w:val="clear" w:color="auto" w:fill="auto"/>
          </w:tcPr>
          <w:p w:rsidR="00306F04" w:rsidRPr="00A42845" w:rsidRDefault="00306F04" w:rsidP="00A42845">
            <w:pPr>
              <w:spacing w:after="0"/>
              <w:jc w:val="center"/>
              <w:rPr>
                <w:szCs w:val="24"/>
                <w:lang w:val="en-US"/>
              </w:rPr>
            </w:pPr>
            <w:r w:rsidRPr="00A42845">
              <w:rPr>
                <w:szCs w:val="24"/>
                <w:lang w:val="en-US"/>
              </w:rPr>
              <w:t>4.31</w:t>
            </w: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54%</w:t>
            </w:r>
          </w:p>
          <w:p w:rsidR="00306F04" w:rsidRPr="00A42845" w:rsidRDefault="00306F04" w:rsidP="00A42845">
            <w:pPr>
              <w:spacing w:after="0"/>
              <w:jc w:val="center"/>
              <w:rPr>
                <w:szCs w:val="24"/>
                <w:lang w:val="en-US"/>
              </w:rPr>
            </w:pPr>
            <w:r w:rsidRPr="00A42845">
              <w:rPr>
                <w:szCs w:val="24"/>
                <w:lang w:val="en-US"/>
              </w:rPr>
              <w:t>[47%, 61%]</w:t>
            </w:r>
          </w:p>
        </w:tc>
        <w:tc>
          <w:tcPr>
            <w:tcW w:w="1701" w:type="dxa"/>
            <w:shd w:val="clear" w:color="auto" w:fill="auto"/>
          </w:tcPr>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p&lt;0.0001</w:t>
            </w:r>
          </w:p>
        </w:tc>
      </w:tr>
      <w:tr w:rsidR="00306F04" w:rsidRPr="00A42845" w:rsidTr="0019436D">
        <w:tc>
          <w:tcPr>
            <w:tcW w:w="3084" w:type="dxa"/>
            <w:shd w:val="clear" w:color="auto" w:fill="auto"/>
          </w:tcPr>
          <w:p w:rsidR="00306F04" w:rsidRPr="00A42845" w:rsidRDefault="00306F04" w:rsidP="00A42845">
            <w:pPr>
              <w:spacing w:after="0"/>
              <w:jc w:val="left"/>
              <w:rPr>
                <w:szCs w:val="24"/>
                <w:lang w:val="en-US"/>
              </w:rPr>
            </w:pPr>
            <w:r w:rsidRPr="00A42845">
              <w:rPr>
                <w:szCs w:val="24"/>
                <w:lang w:val="en-US"/>
              </w:rPr>
              <w:t xml:space="preserve">Mean number of new T1 </w:t>
            </w:r>
            <w:proofErr w:type="spellStart"/>
            <w:r w:rsidRPr="00A42845">
              <w:rPr>
                <w:szCs w:val="24"/>
                <w:lang w:val="en-US"/>
              </w:rPr>
              <w:t>Gd</w:t>
            </w:r>
            <w:proofErr w:type="spellEnd"/>
            <w:r w:rsidRPr="00A42845">
              <w:rPr>
                <w:szCs w:val="24"/>
                <w:lang w:val="en-US"/>
              </w:rPr>
              <w:t xml:space="preserve">-enhancing lesions, </w:t>
            </w:r>
          </w:p>
          <w:p w:rsidR="00306F04" w:rsidRPr="00A42845" w:rsidRDefault="00306F04" w:rsidP="00A42845">
            <w:pPr>
              <w:spacing w:after="0"/>
              <w:jc w:val="left"/>
              <w:rPr>
                <w:szCs w:val="24"/>
                <w:lang w:val="en-US"/>
              </w:rPr>
            </w:pPr>
          </w:p>
          <w:p w:rsidR="00306F04" w:rsidRPr="00A42845" w:rsidRDefault="00306F04" w:rsidP="00A42845">
            <w:pPr>
              <w:spacing w:after="0"/>
              <w:jc w:val="left"/>
              <w:rPr>
                <w:szCs w:val="24"/>
                <w:lang w:val="en-US"/>
              </w:rPr>
            </w:pPr>
            <w:r w:rsidRPr="00A42845">
              <w:rPr>
                <w:szCs w:val="24"/>
                <w:lang w:val="en-US"/>
              </w:rPr>
              <w:t>Relative odds reduction [95%CI]</w:t>
            </w:r>
          </w:p>
        </w:tc>
        <w:tc>
          <w:tcPr>
            <w:tcW w:w="2693" w:type="dxa"/>
            <w:shd w:val="clear" w:color="auto" w:fill="auto"/>
          </w:tcPr>
          <w:p w:rsidR="00306F04" w:rsidRPr="00A42845" w:rsidRDefault="00306F04" w:rsidP="00A42845">
            <w:pPr>
              <w:spacing w:after="0"/>
              <w:jc w:val="center"/>
              <w:rPr>
                <w:szCs w:val="24"/>
                <w:lang w:val="en-US"/>
              </w:rPr>
            </w:pPr>
            <w:r w:rsidRPr="00A42845">
              <w:rPr>
                <w:szCs w:val="24"/>
                <w:lang w:val="en-US"/>
              </w:rPr>
              <w:lastRenderedPageBreak/>
              <w:t>1.0</w:t>
            </w: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tc>
        <w:tc>
          <w:tcPr>
            <w:tcW w:w="2410" w:type="dxa"/>
            <w:shd w:val="clear" w:color="auto" w:fill="auto"/>
          </w:tcPr>
          <w:p w:rsidR="00306F04" w:rsidRPr="00A42845" w:rsidRDefault="00306F04" w:rsidP="00A42845">
            <w:pPr>
              <w:spacing w:after="0"/>
              <w:jc w:val="center"/>
              <w:rPr>
                <w:szCs w:val="24"/>
                <w:lang w:val="en-US"/>
              </w:rPr>
            </w:pPr>
            <w:r w:rsidRPr="00A42845">
              <w:rPr>
                <w:szCs w:val="24"/>
                <w:lang w:val="en-US"/>
              </w:rPr>
              <w:lastRenderedPageBreak/>
              <w:t>0.4</w:t>
            </w: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75%</w:t>
            </w:r>
          </w:p>
          <w:p w:rsidR="00306F04" w:rsidRPr="00A42845" w:rsidRDefault="00306F04" w:rsidP="00A42845">
            <w:pPr>
              <w:spacing w:after="0"/>
              <w:jc w:val="center"/>
              <w:rPr>
                <w:szCs w:val="24"/>
                <w:lang w:val="en-US"/>
              </w:rPr>
            </w:pPr>
            <w:r w:rsidRPr="00A42845">
              <w:rPr>
                <w:szCs w:val="24"/>
                <w:lang w:val="en-US"/>
              </w:rPr>
              <w:t>[68%, 80%]</w:t>
            </w:r>
          </w:p>
        </w:tc>
        <w:tc>
          <w:tcPr>
            <w:tcW w:w="1701" w:type="dxa"/>
            <w:shd w:val="clear" w:color="auto" w:fill="auto"/>
          </w:tcPr>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1E1BAB" w:rsidRDefault="001E1BAB"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p&lt;0.0001</w:t>
            </w:r>
          </w:p>
        </w:tc>
      </w:tr>
      <w:tr w:rsidR="00306F04" w:rsidRPr="00A42845" w:rsidTr="00E02933">
        <w:tc>
          <w:tcPr>
            <w:tcW w:w="3084" w:type="dxa"/>
            <w:tcBorders>
              <w:bottom w:val="single" w:sz="4" w:space="0" w:color="auto"/>
            </w:tcBorders>
            <w:shd w:val="clear" w:color="auto" w:fill="auto"/>
          </w:tcPr>
          <w:p w:rsidR="00306F04" w:rsidRDefault="00306F04" w:rsidP="00A42845">
            <w:pPr>
              <w:spacing w:after="0"/>
              <w:jc w:val="left"/>
              <w:rPr>
                <w:szCs w:val="24"/>
                <w:lang w:val="en-US"/>
              </w:rPr>
            </w:pPr>
            <w:r w:rsidRPr="00A42845">
              <w:rPr>
                <w:szCs w:val="24"/>
                <w:lang w:val="en-US"/>
              </w:rPr>
              <w:lastRenderedPageBreak/>
              <w:t>Mean number</w:t>
            </w:r>
            <w:r w:rsidRPr="0019436D">
              <w:rPr>
                <w:szCs w:val="24"/>
                <w:lang w:val="en-US"/>
              </w:rPr>
              <w:t xml:space="preserve"> of new T</w:t>
            </w:r>
            <w:r w:rsidRPr="00A42845">
              <w:rPr>
                <w:szCs w:val="24"/>
                <w:lang w:val="en-US"/>
              </w:rPr>
              <w:t xml:space="preserve">1 </w:t>
            </w:r>
            <w:proofErr w:type="spellStart"/>
            <w:r w:rsidRPr="00A42845">
              <w:rPr>
                <w:szCs w:val="24"/>
                <w:lang w:val="en-US"/>
              </w:rPr>
              <w:t>hypointense</w:t>
            </w:r>
            <w:proofErr w:type="spellEnd"/>
            <w:r w:rsidRPr="00A42845">
              <w:rPr>
                <w:szCs w:val="24"/>
                <w:lang w:val="en-US"/>
              </w:rPr>
              <w:t xml:space="preserve"> lesions, </w:t>
            </w:r>
          </w:p>
          <w:p w:rsidR="001E1BAB" w:rsidRPr="00A42845" w:rsidRDefault="001E1BAB" w:rsidP="00A42845">
            <w:pPr>
              <w:spacing w:after="0"/>
              <w:jc w:val="left"/>
              <w:rPr>
                <w:szCs w:val="24"/>
                <w:lang w:val="en-US"/>
              </w:rPr>
            </w:pPr>
          </w:p>
          <w:p w:rsidR="00306F04" w:rsidRPr="00A42845" w:rsidRDefault="00306F04" w:rsidP="00A42845">
            <w:pPr>
              <w:spacing w:after="0"/>
              <w:jc w:val="left"/>
              <w:rPr>
                <w:szCs w:val="24"/>
                <w:lang w:val="en-US"/>
              </w:rPr>
            </w:pPr>
            <w:r w:rsidRPr="00A42845">
              <w:rPr>
                <w:szCs w:val="24"/>
                <w:lang w:val="en-US"/>
              </w:rPr>
              <w:t>Relative reduction [95%CI]</w:t>
            </w:r>
          </w:p>
        </w:tc>
        <w:tc>
          <w:tcPr>
            <w:tcW w:w="2693" w:type="dxa"/>
            <w:tcBorders>
              <w:bottom w:val="single" w:sz="4" w:space="0" w:color="auto"/>
            </w:tcBorders>
            <w:shd w:val="clear" w:color="auto" w:fill="auto"/>
          </w:tcPr>
          <w:p w:rsidR="00306F04" w:rsidRPr="00A42845" w:rsidRDefault="00306F04" w:rsidP="00A42845">
            <w:pPr>
              <w:spacing w:after="0"/>
              <w:jc w:val="center"/>
              <w:rPr>
                <w:szCs w:val="24"/>
                <w:lang w:val="en-US"/>
              </w:rPr>
            </w:pPr>
            <w:r w:rsidRPr="00A42845">
              <w:rPr>
                <w:szCs w:val="24"/>
                <w:lang w:val="en-US"/>
              </w:rPr>
              <w:t>4.43</w:t>
            </w:r>
          </w:p>
          <w:p w:rsidR="00306F04" w:rsidRPr="00A42845" w:rsidRDefault="00306F04" w:rsidP="00A42845">
            <w:pPr>
              <w:spacing w:after="0"/>
              <w:jc w:val="center"/>
              <w:rPr>
                <w:szCs w:val="24"/>
                <w:lang w:val="en-US"/>
              </w:rPr>
            </w:pPr>
          </w:p>
        </w:tc>
        <w:tc>
          <w:tcPr>
            <w:tcW w:w="2410" w:type="dxa"/>
            <w:tcBorders>
              <w:bottom w:val="single" w:sz="4" w:space="0" w:color="auto"/>
            </w:tcBorders>
            <w:shd w:val="clear" w:color="auto" w:fill="auto"/>
          </w:tcPr>
          <w:p w:rsidR="00306F04" w:rsidRPr="00A42845" w:rsidRDefault="00306F04" w:rsidP="00A42845">
            <w:pPr>
              <w:spacing w:after="0"/>
              <w:jc w:val="center"/>
              <w:rPr>
                <w:szCs w:val="24"/>
                <w:lang w:val="en-US"/>
              </w:rPr>
            </w:pPr>
            <w:r w:rsidRPr="00A42845">
              <w:rPr>
                <w:szCs w:val="24"/>
                <w:lang w:val="en-US"/>
              </w:rPr>
              <w:t>2.13</w:t>
            </w:r>
          </w:p>
          <w:p w:rsidR="001E1BAB" w:rsidRDefault="001E1BAB"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52%</w:t>
            </w:r>
          </w:p>
          <w:p w:rsidR="00306F04" w:rsidRPr="00A42845" w:rsidRDefault="00306F04" w:rsidP="00A42845">
            <w:pPr>
              <w:spacing w:after="0"/>
              <w:jc w:val="center"/>
              <w:rPr>
                <w:szCs w:val="24"/>
                <w:lang w:val="en-US"/>
              </w:rPr>
            </w:pPr>
            <w:r w:rsidRPr="00A42845">
              <w:rPr>
                <w:szCs w:val="24"/>
                <w:lang w:val="en-US"/>
              </w:rPr>
              <w:t>[45%, 58%]</w:t>
            </w:r>
          </w:p>
        </w:tc>
        <w:tc>
          <w:tcPr>
            <w:tcW w:w="1701" w:type="dxa"/>
            <w:tcBorders>
              <w:bottom w:val="single" w:sz="4" w:space="0" w:color="auto"/>
            </w:tcBorders>
            <w:shd w:val="clear" w:color="auto" w:fill="auto"/>
          </w:tcPr>
          <w:p w:rsidR="001E1BAB" w:rsidRDefault="001E1BAB" w:rsidP="001E1BAB">
            <w:pPr>
              <w:spacing w:after="0"/>
              <w:rPr>
                <w:szCs w:val="24"/>
                <w:lang w:val="en-US"/>
              </w:rPr>
            </w:pPr>
          </w:p>
          <w:p w:rsidR="001E1BAB" w:rsidRDefault="001E1BAB" w:rsidP="00A42845">
            <w:pPr>
              <w:spacing w:after="0"/>
              <w:jc w:val="center"/>
              <w:rPr>
                <w:szCs w:val="24"/>
                <w:lang w:val="en-US"/>
              </w:rPr>
            </w:pPr>
          </w:p>
          <w:p w:rsidR="00306F04" w:rsidRPr="00A42845" w:rsidRDefault="00306F04" w:rsidP="00A42845">
            <w:pPr>
              <w:spacing w:after="0"/>
              <w:jc w:val="center"/>
              <w:rPr>
                <w:szCs w:val="24"/>
                <w:lang w:val="en-US"/>
              </w:rPr>
            </w:pPr>
            <w:r w:rsidRPr="00A42845">
              <w:rPr>
                <w:szCs w:val="24"/>
                <w:lang w:val="en-US"/>
              </w:rPr>
              <w:t>p&lt;0.0001</w:t>
            </w:r>
          </w:p>
        </w:tc>
      </w:tr>
      <w:tr w:rsidR="00306F04" w:rsidTr="00E02933">
        <w:tc>
          <w:tcPr>
            <w:tcW w:w="2410" w:type="dxa"/>
            <w:gridSpan w:val="3"/>
            <w:tcBorders>
              <w:left w:val="nil"/>
              <w:bottom w:val="nil"/>
              <w:right w:val="nil"/>
            </w:tcBorders>
            <w:shd w:val="clear" w:color="auto" w:fill="auto"/>
          </w:tcPr>
          <w:p w:rsidR="00306F04" w:rsidRDefault="00306F04" w:rsidP="00727ACB">
            <w:pPr>
              <w:autoSpaceDE w:val="0"/>
              <w:autoSpaceDN w:val="0"/>
              <w:adjustRightInd w:val="0"/>
              <w:spacing w:after="0"/>
              <w:jc w:val="left"/>
              <w:rPr>
                <w:sz w:val="20"/>
                <w:lang w:val="en-US"/>
              </w:rPr>
            </w:pPr>
            <w:r w:rsidRPr="00A42845">
              <w:rPr>
                <w:sz w:val="20"/>
                <w:lang w:val="en-US"/>
              </w:rPr>
              <w:t>Values refer to result</w:t>
            </w:r>
            <w:r w:rsidRPr="0019436D">
              <w:rPr>
                <w:sz w:val="20"/>
                <w:lang w:val="en-US"/>
              </w:rPr>
              <w:t xml:space="preserve">s at 96 </w:t>
            </w:r>
            <w:r w:rsidRPr="00A42845">
              <w:rPr>
                <w:sz w:val="20"/>
                <w:lang w:val="en-US"/>
              </w:rPr>
              <w:t>weeks, unless otherwise indicated.</w:t>
            </w:r>
          </w:p>
          <w:p w:rsidR="00306F04" w:rsidRDefault="00306F04" w:rsidP="00727ACB">
            <w:pPr>
              <w:autoSpaceDE w:val="0"/>
              <w:autoSpaceDN w:val="0"/>
              <w:adjustRightInd w:val="0"/>
              <w:spacing w:after="0"/>
              <w:jc w:val="left"/>
              <w:rPr>
                <w:sz w:val="20"/>
                <w:lang w:val="en-US"/>
              </w:rPr>
            </w:pPr>
            <w:r w:rsidRPr="00A42845">
              <w:rPr>
                <w:sz w:val="20"/>
                <w:lang w:val="en-US"/>
              </w:rPr>
              <w:t>*Rates and risk reductions/endpoints are calculated over the treatment period</w:t>
            </w:r>
            <w:r>
              <w:rPr>
                <w:sz w:val="20"/>
                <w:lang w:val="en-US"/>
              </w:rPr>
              <w:t xml:space="preserve"> </w:t>
            </w:r>
            <w:r w:rsidRPr="0019436D">
              <w:rPr>
                <w:sz w:val="20"/>
                <w:lang w:val="en-US"/>
              </w:rPr>
              <w:t xml:space="preserve">up to 144 </w:t>
            </w:r>
            <w:r w:rsidRPr="00A42845">
              <w:rPr>
                <w:sz w:val="20"/>
                <w:lang w:val="en-US"/>
              </w:rPr>
              <w:t>weeks.</w:t>
            </w:r>
          </w:p>
          <w:p w:rsidR="00306F04" w:rsidRPr="005142EE" w:rsidRDefault="00306F04" w:rsidP="00727ACB">
            <w:pPr>
              <w:autoSpaceDE w:val="0"/>
              <w:autoSpaceDN w:val="0"/>
              <w:adjustRightInd w:val="0"/>
              <w:spacing w:after="0"/>
              <w:jc w:val="left"/>
              <w:rPr>
                <w:szCs w:val="24"/>
              </w:rPr>
            </w:pPr>
            <w:r w:rsidRPr="00A42845">
              <w:rPr>
                <w:sz w:val="20"/>
                <w:vertAlign w:val="superscript"/>
                <w:lang w:val="en-US"/>
              </w:rPr>
              <w:t>#</w:t>
            </w:r>
            <w:r w:rsidRPr="00A42845">
              <w:rPr>
                <w:sz w:val="20"/>
                <w:lang w:val="en-US"/>
              </w:rPr>
              <w:t>Relative reduction in the risk of relapse.</w:t>
            </w:r>
          </w:p>
        </w:tc>
        <w:tc>
          <w:tcPr>
            <w:tcW w:w="1701" w:type="dxa"/>
            <w:tcBorders>
              <w:left w:val="nil"/>
              <w:bottom w:val="nil"/>
              <w:right w:val="nil"/>
            </w:tcBorders>
          </w:tcPr>
          <w:p w:rsidR="00306F04" w:rsidRPr="00A42845" w:rsidRDefault="00306F04" w:rsidP="00727ACB">
            <w:pPr>
              <w:autoSpaceDE w:val="0"/>
              <w:autoSpaceDN w:val="0"/>
              <w:adjustRightInd w:val="0"/>
              <w:spacing w:after="0"/>
              <w:jc w:val="left"/>
              <w:rPr>
                <w:sz w:val="20"/>
                <w:lang w:val="en-US"/>
              </w:rPr>
            </w:pPr>
          </w:p>
        </w:tc>
      </w:tr>
    </w:tbl>
    <w:p w:rsidR="00290A56" w:rsidRDefault="00290A56" w:rsidP="00290A56">
      <w:pPr>
        <w:pStyle w:val="PINormal"/>
        <w:rPr>
          <w:szCs w:val="24"/>
        </w:rPr>
      </w:pPr>
    </w:p>
    <w:p w:rsidR="00A42845" w:rsidRDefault="00A42845" w:rsidP="00A42845">
      <w:r>
        <w:t xml:space="preserve">In the DECIDE study (Study 2), treatment with </w:t>
      </w:r>
      <w:r w:rsidR="00FE4239">
        <w:t>ZINBRYTA</w:t>
      </w:r>
      <w:r>
        <w:t xml:space="preserve"> 150 mg every 4 weeks (n=919) was compared to treatment with interferon beta-1a (IM) (n=922) over the tr</w:t>
      </w:r>
      <w:r w:rsidR="0019436D">
        <w:t>eatment period up to 144 weeks.</w:t>
      </w:r>
    </w:p>
    <w:p w:rsidR="0019436D" w:rsidRDefault="0019436D" w:rsidP="00A42845">
      <w:r>
        <w:t>ZINBRYTA significantly reduced the annualized relapse rate by 45% (95%CI [35%, 53%], p&lt;0.0001) and lowered the risk of relapse by 41% (95%CI [31%, 50%], p&lt;0.0001), compared to interferon beta-1a (IM) treated patients.</w:t>
      </w:r>
    </w:p>
    <w:p w:rsidR="00A42845" w:rsidRDefault="00FE4239" w:rsidP="00A42845">
      <w:r>
        <w:t>ZINBRYTA</w:t>
      </w:r>
      <w:r w:rsidR="00A42845">
        <w:t xml:space="preserve"> treated patients had a relative risk reduction in 12 week and 24 week confirmed disability progression of 16%, (95%CI [-7%, 34%], p=0.16) and 27% (95%CI [2%, 45%], p=0.03) respectively compared to interferon beta-1a (IM) treated patients.</w:t>
      </w:r>
    </w:p>
    <w:p w:rsidR="0019436D" w:rsidRPr="0019436D" w:rsidRDefault="0019436D" w:rsidP="00A42845">
      <w:r>
        <w:t>At week 96, ZI</w:t>
      </w:r>
      <w:r w:rsidRPr="0019436D">
        <w:t xml:space="preserve">NBRYTA demonstrated a reduction in the number of new, or newly enlarging T2 </w:t>
      </w:r>
      <w:proofErr w:type="spellStart"/>
      <w:r w:rsidRPr="0019436D">
        <w:t>hyperintense</w:t>
      </w:r>
      <w:proofErr w:type="spellEnd"/>
      <w:r w:rsidRPr="0019436D">
        <w:t xml:space="preserve"> lesions by 54% (95%CI [47%, 61%], p&lt;0.0001), the number of new T1 </w:t>
      </w:r>
      <w:proofErr w:type="spellStart"/>
      <w:r w:rsidRPr="0019436D">
        <w:t>Gd</w:t>
      </w:r>
      <w:proofErr w:type="spellEnd"/>
      <w:r w:rsidRPr="0019436D">
        <w:t xml:space="preserve">-enhancing lesions by 75% (95%CI [68%, 80%], p&lt;0.0001) and the number of new T1 </w:t>
      </w:r>
      <w:proofErr w:type="spellStart"/>
      <w:r w:rsidRPr="0019436D">
        <w:t>hypointense</w:t>
      </w:r>
      <w:proofErr w:type="spellEnd"/>
      <w:r w:rsidRPr="0019436D">
        <w:t xml:space="preserve"> lesions by 52% (95%CI [45%, 58%], p&lt;0.0001).</w:t>
      </w:r>
    </w:p>
    <w:p w:rsidR="00A42845" w:rsidRDefault="00FE4239" w:rsidP="00A42845">
      <w:r>
        <w:t>ZINBRYTA</w:t>
      </w:r>
      <w:r w:rsidR="00A42845">
        <w:t xml:space="preserve"> reduced clinically meaningful worsening in the patient-reported physical impact of MS (≥7.5 point worsening from baseline to week 96 in the MSIS-29 physical score) by 24% (95%CI [5%, 40%], p=0.018) compared to interferon beta-1a (IM).</w:t>
      </w:r>
    </w:p>
    <w:p w:rsidR="00A42845" w:rsidRPr="00A42845" w:rsidRDefault="00A42845" w:rsidP="00A42845">
      <w:pPr>
        <w:pStyle w:val="PIHeading2"/>
      </w:pPr>
      <w:r w:rsidRPr="00A42845">
        <w:t xml:space="preserve">Subgroup </w:t>
      </w:r>
      <w:r w:rsidR="00900396">
        <w:t>A</w:t>
      </w:r>
      <w:r w:rsidRPr="00A42845">
        <w:t>nalysis</w:t>
      </w:r>
    </w:p>
    <w:p w:rsidR="0019436D" w:rsidRDefault="0019436D" w:rsidP="0019436D">
      <w:r w:rsidRPr="0019436D">
        <w:t>Subgroup analysis in the SELECT study</w:t>
      </w:r>
      <w:r>
        <w:t xml:space="preserve"> </w:t>
      </w:r>
      <w:r w:rsidRPr="0019436D">
        <w:t>(Study 1) and DECIDE study</w:t>
      </w:r>
      <w:r>
        <w:t xml:space="preserve"> </w:t>
      </w:r>
      <w:r w:rsidRPr="0019436D">
        <w:t>(Study 2) trials demonstrated a consistent effect of ZINBRYTA compared to placebo and interferon beta-1a (IM) across subgroups defined by demographic and MS disease characteristics. In the DECIDE study</w:t>
      </w:r>
      <w:r w:rsidR="005533D1">
        <w:t xml:space="preserve"> </w:t>
      </w:r>
      <w:r w:rsidRPr="0019436D">
        <w:t xml:space="preserve">(Study 2) </w:t>
      </w:r>
      <w:r>
        <w:t xml:space="preserve">subgroup analysis, there was a statistically significant reduction observed compared to interferon beta-1a (IM) on annualized relapse rate and the number of new or newly enlarging T2 </w:t>
      </w:r>
      <w:proofErr w:type="spellStart"/>
      <w:r w:rsidR="007A3028">
        <w:t>hyperintense</w:t>
      </w:r>
      <w:proofErr w:type="spellEnd"/>
      <w:r w:rsidR="007A3028">
        <w:t xml:space="preserve"> </w:t>
      </w:r>
      <w:r>
        <w:t>lesions across subgroups (gender, age, prior MS DMT therapy, and disease activity levels).</w:t>
      </w:r>
    </w:p>
    <w:p w:rsidR="007E4BA4" w:rsidRDefault="001E1BAB" w:rsidP="0019436D">
      <w:r>
        <w:rPr>
          <w:u w:val="single"/>
        </w:rPr>
        <w:br w:type="page"/>
      </w:r>
      <w:r w:rsidR="0019436D" w:rsidRPr="00C436BD">
        <w:rPr>
          <w:u w:val="single"/>
        </w:rPr>
        <w:lastRenderedPageBreak/>
        <w:t>Figure 1: SELECT</w:t>
      </w:r>
      <w:r w:rsidR="0019436D" w:rsidRPr="005533D1">
        <w:rPr>
          <w:u w:val="single"/>
        </w:rPr>
        <w:t xml:space="preserve"> Study (Study 1) </w:t>
      </w:r>
      <w:r w:rsidR="0019436D" w:rsidRPr="00C436BD">
        <w:rPr>
          <w:u w:val="single"/>
        </w:rPr>
        <w:t>Percentage of patients relapse-free</w:t>
      </w:r>
    </w:p>
    <w:p w:rsidR="008450C9" w:rsidRDefault="00AF4060" w:rsidP="005533D1">
      <w:pPr>
        <w:pStyle w:val="PINormal"/>
        <w:rPr>
          <w:sz w:val="20"/>
        </w:rPr>
      </w:pPr>
      <w:r>
        <w:rPr>
          <w:noProof/>
          <w:sz w:val="20"/>
          <w:lang w:eastAsia="en-AU"/>
        </w:rPr>
        <w:drawing>
          <wp:inline distT="0" distB="0" distL="0" distR="0">
            <wp:extent cx="5391785" cy="3597275"/>
            <wp:effectExtent l="0" t="0" r="0" b="3175"/>
            <wp:docPr id="1" name="Picture 1" descr="f-time2rel-free-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me2rel-free-2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785" cy="3597275"/>
                    </a:xfrm>
                    <a:prstGeom prst="rect">
                      <a:avLst/>
                    </a:prstGeom>
                    <a:noFill/>
                    <a:ln>
                      <a:noFill/>
                    </a:ln>
                  </pic:spPr>
                </pic:pic>
              </a:graphicData>
            </a:graphic>
          </wp:inline>
        </w:drawing>
      </w:r>
    </w:p>
    <w:p w:rsidR="008450C9" w:rsidRDefault="005533D1" w:rsidP="005533D1">
      <w:pPr>
        <w:pStyle w:val="PINormal"/>
        <w:rPr>
          <w:szCs w:val="24"/>
          <w:u w:val="single"/>
          <w:lang w:val="en-US"/>
        </w:rPr>
      </w:pPr>
      <w:r w:rsidRPr="005533D1">
        <w:rPr>
          <w:szCs w:val="24"/>
          <w:u w:val="single"/>
          <w:lang w:val="en-US"/>
        </w:rPr>
        <w:t>Figure 2: SELECT Study (Study 1) Proportion of patients with 24 week confir</w:t>
      </w:r>
      <w:r w:rsidRPr="00A42845">
        <w:rPr>
          <w:szCs w:val="24"/>
          <w:u w:val="single"/>
          <w:lang w:val="en-US"/>
        </w:rPr>
        <w:t>med disability</w:t>
      </w:r>
    </w:p>
    <w:p w:rsidR="005533D1" w:rsidRDefault="00AF4060" w:rsidP="005533D1">
      <w:pPr>
        <w:pStyle w:val="PINormal"/>
        <w:rPr>
          <w:szCs w:val="24"/>
          <w:u w:val="single"/>
          <w:lang w:val="en-US"/>
        </w:rPr>
      </w:pPr>
      <w:r>
        <w:rPr>
          <w:noProof/>
          <w:sz w:val="18"/>
          <w:lang w:eastAsia="en-AU"/>
        </w:rPr>
        <w:drawing>
          <wp:inline distT="0" distB="0" distL="0" distR="0">
            <wp:extent cx="5313680" cy="3545205"/>
            <wp:effectExtent l="0" t="0" r="1270" b="0"/>
            <wp:docPr id="2" name="Picture 2" descr="f-dxprog-edss-24wk-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xprog-edss-24wk-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3680" cy="3545205"/>
                    </a:xfrm>
                    <a:prstGeom prst="rect">
                      <a:avLst/>
                    </a:prstGeom>
                    <a:noFill/>
                    <a:ln>
                      <a:noFill/>
                    </a:ln>
                  </pic:spPr>
                </pic:pic>
              </a:graphicData>
            </a:graphic>
          </wp:inline>
        </w:drawing>
      </w:r>
    </w:p>
    <w:p w:rsidR="005533D1" w:rsidRPr="00A42845" w:rsidRDefault="005533D1" w:rsidP="00A42845">
      <w:pPr>
        <w:keepNext/>
        <w:widowControl w:val="0"/>
        <w:spacing w:after="0"/>
        <w:jc w:val="left"/>
        <w:rPr>
          <w:sz w:val="18"/>
          <w:lang w:val="en-US"/>
        </w:rPr>
      </w:pPr>
      <w:r w:rsidRPr="00A42845">
        <w:rPr>
          <w:szCs w:val="24"/>
          <w:u w:val="single"/>
          <w:lang w:val="en-US"/>
        </w:rPr>
        <w:lastRenderedPageBreak/>
        <w:t xml:space="preserve">Figure </w:t>
      </w:r>
      <w:r>
        <w:rPr>
          <w:szCs w:val="24"/>
          <w:u w:val="single"/>
          <w:lang w:val="en-US"/>
        </w:rPr>
        <w:t>3</w:t>
      </w:r>
      <w:r w:rsidRPr="00A42845">
        <w:rPr>
          <w:szCs w:val="24"/>
          <w:u w:val="single"/>
          <w:lang w:val="en-US"/>
        </w:rPr>
        <w:t>: D</w:t>
      </w:r>
      <w:r w:rsidRPr="005533D1">
        <w:rPr>
          <w:szCs w:val="24"/>
          <w:u w:val="single"/>
          <w:lang w:val="en-US"/>
        </w:rPr>
        <w:t>ECIDE Study (Study 2) Percen</w:t>
      </w:r>
      <w:r w:rsidRPr="00A42845">
        <w:rPr>
          <w:szCs w:val="24"/>
          <w:u w:val="single"/>
          <w:lang w:val="en-US"/>
        </w:rPr>
        <w:t>tage of patients relapse-free</w:t>
      </w:r>
    </w:p>
    <w:p w:rsidR="00A42845" w:rsidRPr="00A42845" w:rsidRDefault="00AF4060" w:rsidP="00A84336">
      <w:pPr>
        <w:rPr>
          <w:lang w:val="en-US"/>
        </w:rPr>
      </w:pPr>
      <w:r>
        <w:rPr>
          <w:noProof/>
          <w:lang w:eastAsia="en-AU"/>
        </w:rPr>
        <w:drawing>
          <wp:inline distT="0" distB="0" distL="0" distR="0" wp14:anchorId="534408D5" wp14:editId="7413B562">
            <wp:extent cx="5166995" cy="3795395"/>
            <wp:effectExtent l="0" t="0" r="0" b="0"/>
            <wp:docPr id="3" name="Picture 3" descr="f-ef-time2rel-free-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f-time2rel-free-3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6995" cy="3795395"/>
                    </a:xfrm>
                    <a:prstGeom prst="rect">
                      <a:avLst/>
                    </a:prstGeom>
                    <a:noFill/>
                    <a:ln>
                      <a:noFill/>
                    </a:ln>
                  </pic:spPr>
                </pic:pic>
              </a:graphicData>
            </a:graphic>
          </wp:inline>
        </w:drawing>
      </w:r>
    </w:p>
    <w:p w:rsidR="0098437F" w:rsidRPr="001348DD" w:rsidRDefault="005533D1" w:rsidP="005533D1">
      <w:pPr>
        <w:pStyle w:val="PINormal"/>
        <w:rPr>
          <w:bCs/>
          <w:szCs w:val="24"/>
          <w:u w:val="single"/>
          <w:lang w:val="en-US"/>
        </w:rPr>
      </w:pPr>
      <w:r w:rsidRPr="001348DD">
        <w:rPr>
          <w:bCs/>
          <w:szCs w:val="24"/>
          <w:u w:val="single"/>
          <w:lang w:val="en-US"/>
        </w:rPr>
        <w:t xml:space="preserve">Figure </w:t>
      </w:r>
      <w:r>
        <w:rPr>
          <w:bCs/>
          <w:szCs w:val="24"/>
          <w:u w:val="single"/>
          <w:lang w:val="en-US"/>
        </w:rPr>
        <w:t>4</w:t>
      </w:r>
      <w:r w:rsidRPr="001348DD">
        <w:rPr>
          <w:bCs/>
          <w:szCs w:val="24"/>
          <w:u w:val="single"/>
          <w:lang w:val="en-US"/>
        </w:rPr>
        <w:t>: DECID</w:t>
      </w:r>
      <w:r w:rsidRPr="005533D1">
        <w:rPr>
          <w:bCs/>
          <w:szCs w:val="24"/>
          <w:u w:val="single"/>
          <w:lang w:val="en-US"/>
        </w:rPr>
        <w:t xml:space="preserve">E Study (Study 2) Proportion of patients with 24 </w:t>
      </w:r>
      <w:r w:rsidRPr="001348DD">
        <w:rPr>
          <w:bCs/>
          <w:szCs w:val="24"/>
          <w:u w:val="single"/>
          <w:lang w:val="en-US"/>
        </w:rPr>
        <w:t>week confirmed disability</w:t>
      </w:r>
    </w:p>
    <w:p w:rsidR="00A42845" w:rsidRDefault="00AF4060" w:rsidP="001348DD">
      <w:pPr>
        <w:pStyle w:val="PINormal"/>
        <w:rPr>
          <w:sz w:val="20"/>
          <w:lang w:val="en-US"/>
        </w:rPr>
      </w:pPr>
      <w:r>
        <w:rPr>
          <w:noProof/>
          <w:sz w:val="20"/>
          <w:lang w:eastAsia="en-AU"/>
        </w:rPr>
        <w:drawing>
          <wp:inline distT="0" distB="0" distL="0" distR="0">
            <wp:extent cx="5262245" cy="3502025"/>
            <wp:effectExtent l="0" t="0" r="0" b="3175"/>
            <wp:docPr id="4" name="Picture 4" descr="f-dxprog-edss-24wk-mi-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xprog-edss-24wk-mi-3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2245" cy="3502025"/>
                    </a:xfrm>
                    <a:prstGeom prst="rect">
                      <a:avLst/>
                    </a:prstGeom>
                    <a:noFill/>
                    <a:ln>
                      <a:noFill/>
                    </a:ln>
                  </pic:spPr>
                </pic:pic>
              </a:graphicData>
            </a:graphic>
          </wp:inline>
        </w:drawing>
      </w:r>
    </w:p>
    <w:p w:rsidR="00A84336" w:rsidRDefault="00A84336">
      <w:pPr>
        <w:spacing w:after="0"/>
        <w:jc w:val="left"/>
        <w:rPr>
          <w:b/>
          <w:caps/>
          <w:kern w:val="28"/>
          <w:sz w:val="28"/>
        </w:rPr>
      </w:pPr>
      <w:r>
        <w:br w:type="page"/>
      </w:r>
    </w:p>
    <w:p w:rsidR="003130E1" w:rsidRPr="00FF13B1" w:rsidRDefault="007310AC" w:rsidP="00056EF5">
      <w:pPr>
        <w:pStyle w:val="PIHeading1"/>
      </w:pPr>
      <w:r w:rsidRPr="00FF13B1">
        <w:lastRenderedPageBreak/>
        <w:t>INDICATIONS</w:t>
      </w:r>
    </w:p>
    <w:p w:rsidR="008C6495" w:rsidRDefault="005533D1" w:rsidP="008C6495">
      <w:pPr>
        <w:pStyle w:val="PINormal"/>
        <w:rPr>
          <w:szCs w:val="24"/>
        </w:rPr>
      </w:pPr>
      <w:r w:rsidRPr="00FE4239">
        <w:rPr>
          <w:szCs w:val="24"/>
        </w:rPr>
        <w:t xml:space="preserve">ZINBRYTA </w:t>
      </w:r>
      <w:r w:rsidRPr="00C715C1">
        <w:rPr>
          <w:szCs w:val="24"/>
        </w:rPr>
        <w:t>is indicated for the treatment of relapsing forms of multiple sclerosis</w:t>
      </w:r>
      <w:r w:rsidRPr="005533D1">
        <w:rPr>
          <w:szCs w:val="24"/>
        </w:rPr>
        <w:t xml:space="preserve"> (MS) to delay the progression of physical disability and to reduce the frequency of relapse.</w:t>
      </w:r>
    </w:p>
    <w:p w:rsidR="007310AC" w:rsidRPr="00FF13B1" w:rsidRDefault="007310AC" w:rsidP="00056EF5">
      <w:pPr>
        <w:pStyle w:val="PIHeading1"/>
      </w:pPr>
      <w:r w:rsidRPr="00FF13B1">
        <w:t>CONTRAINDICATIONS</w:t>
      </w:r>
      <w:r w:rsidR="008C6495" w:rsidRPr="00FF13B1">
        <w:t xml:space="preserve"> </w:t>
      </w:r>
    </w:p>
    <w:p w:rsidR="00065087" w:rsidRDefault="00FE4239" w:rsidP="008C6495">
      <w:pPr>
        <w:pStyle w:val="PINormal"/>
        <w:rPr>
          <w:szCs w:val="24"/>
        </w:rPr>
      </w:pPr>
      <w:r>
        <w:rPr>
          <w:szCs w:val="24"/>
        </w:rPr>
        <w:t>ZINBRYTA</w:t>
      </w:r>
      <w:r w:rsidR="00C22C1C" w:rsidRPr="00C22C1C">
        <w:rPr>
          <w:szCs w:val="24"/>
        </w:rPr>
        <w:t xml:space="preserve"> is contraindicated in</w:t>
      </w:r>
      <w:r w:rsidR="00065087">
        <w:rPr>
          <w:szCs w:val="24"/>
        </w:rPr>
        <w:t xml:space="preserve"> patients with:</w:t>
      </w:r>
    </w:p>
    <w:p w:rsidR="00065087" w:rsidRDefault="00065087" w:rsidP="00132663">
      <w:pPr>
        <w:pStyle w:val="PINormal"/>
        <w:numPr>
          <w:ilvl w:val="0"/>
          <w:numId w:val="11"/>
        </w:numPr>
        <w:ind w:left="709" w:hanging="289"/>
        <w:rPr>
          <w:szCs w:val="24"/>
        </w:rPr>
      </w:pPr>
      <w:r>
        <w:rPr>
          <w:szCs w:val="24"/>
        </w:rPr>
        <w:t>pre-existing hepatic disease or hepatic impairment, including ALT or AST at least 2 times the ULN</w:t>
      </w:r>
      <w:r w:rsidR="00E71D87">
        <w:rPr>
          <w:szCs w:val="24"/>
        </w:rPr>
        <w:t xml:space="preserve"> </w:t>
      </w:r>
      <w:r w:rsidR="00E71D87" w:rsidRPr="00F21571">
        <w:rPr>
          <w:szCs w:val="24"/>
        </w:rPr>
        <w:t>at baseline</w:t>
      </w:r>
      <w:r>
        <w:rPr>
          <w:szCs w:val="24"/>
        </w:rPr>
        <w:t>, because ZINBRYTA could exacerbate existing liver dysfunction</w:t>
      </w:r>
      <w:r w:rsidR="00DD1774">
        <w:rPr>
          <w:szCs w:val="24"/>
        </w:rPr>
        <w:t xml:space="preserve"> </w:t>
      </w:r>
      <w:r w:rsidR="00F21571">
        <w:rPr>
          <w:szCs w:val="24"/>
        </w:rPr>
        <w:t>(</w:t>
      </w:r>
      <w:r w:rsidR="00DD1774">
        <w:t>see PRECAUTION</w:t>
      </w:r>
      <w:r w:rsidR="00F21571">
        <w:t>S and DOSAGE and ADMINISTRATION)</w:t>
      </w:r>
    </w:p>
    <w:p w:rsidR="00065087" w:rsidRDefault="00065087" w:rsidP="00132663">
      <w:pPr>
        <w:pStyle w:val="PINormal"/>
        <w:numPr>
          <w:ilvl w:val="0"/>
          <w:numId w:val="11"/>
        </w:numPr>
        <w:ind w:left="709" w:hanging="289"/>
        <w:rPr>
          <w:szCs w:val="24"/>
        </w:rPr>
      </w:pPr>
      <w:r>
        <w:rPr>
          <w:szCs w:val="24"/>
        </w:rPr>
        <w:t>a history of autoimmune hepatitis or other autoimmune condition involving the liver</w:t>
      </w:r>
      <w:r w:rsidR="00DD1774">
        <w:rPr>
          <w:szCs w:val="24"/>
        </w:rPr>
        <w:t xml:space="preserve"> </w:t>
      </w:r>
      <w:r w:rsidR="00F21571">
        <w:t>(see PRECAUTIONS)</w:t>
      </w:r>
    </w:p>
    <w:p w:rsidR="00300D64" w:rsidRPr="007C47A4" w:rsidRDefault="00C22C1C" w:rsidP="00132663">
      <w:pPr>
        <w:pStyle w:val="PINormal"/>
        <w:numPr>
          <w:ilvl w:val="0"/>
          <w:numId w:val="11"/>
        </w:numPr>
        <w:ind w:left="709" w:hanging="289"/>
        <w:rPr>
          <w:szCs w:val="24"/>
        </w:rPr>
      </w:pPr>
      <w:proofErr w:type="gramStart"/>
      <w:r w:rsidRPr="00F21571">
        <w:rPr>
          <w:szCs w:val="24"/>
        </w:rPr>
        <w:t>a</w:t>
      </w:r>
      <w:proofErr w:type="gramEnd"/>
      <w:r w:rsidRPr="00F21571">
        <w:rPr>
          <w:szCs w:val="24"/>
        </w:rPr>
        <w:t xml:space="preserve"> history of hypersensitivity</w:t>
      </w:r>
      <w:r w:rsidR="00DD1774" w:rsidRPr="00F21571">
        <w:rPr>
          <w:szCs w:val="24"/>
        </w:rPr>
        <w:t xml:space="preserve"> to </w:t>
      </w:r>
      <w:proofErr w:type="spellStart"/>
      <w:r w:rsidR="00DD1774" w:rsidRPr="00F21571">
        <w:rPr>
          <w:szCs w:val="24"/>
        </w:rPr>
        <w:t>daclizumab</w:t>
      </w:r>
      <w:proofErr w:type="spellEnd"/>
      <w:r w:rsidR="00DD1774" w:rsidRPr="00F21571">
        <w:rPr>
          <w:szCs w:val="24"/>
        </w:rPr>
        <w:t xml:space="preserve"> or any other components of the formulation</w:t>
      </w:r>
      <w:r w:rsidR="00293DEE">
        <w:rPr>
          <w:szCs w:val="24"/>
        </w:rPr>
        <w:t xml:space="preserve"> (see DESCRIPTION)</w:t>
      </w:r>
      <w:r w:rsidR="00DD1774" w:rsidRPr="00F21571">
        <w:rPr>
          <w:szCs w:val="24"/>
        </w:rPr>
        <w:t>. Use in such patients may result in anaphylaxis or life-threatening multi-organ hypersensitivity</w:t>
      </w:r>
    </w:p>
    <w:p w:rsidR="00981844" w:rsidRDefault="00981844" w:rsidP="00F21571">
      <w:pPr>
        <w:pStyle w:val="PIHeading1"/>
      </w:pPr>
      <w:r w:rsidRPr="00FF13B1">
        <w:t>PRECAUTIONS</w:t>
      </w:r>
      <w:r w:rsidR="008C6495" w:rsidRPr="00FF13B1">
        <w:t xml:space="preserve"> </w:t>
      </w:r>
    </w:p>
    <w:p w:rsidR="00C22C1C" w:rsidRPr="00FF13B1" w:rsidRDefault="00C22C1C" w:rsidP="00236478">
      <w:pPr>
        <w:pStyle w:val="PIHeading2"/>
      </w:pPr>
      <w:r w:rsidRPr="00C22C1C">
        <w:t>General</w:t>
      </w:r>
    </w:p>
    <w:p w:rsidR="000C47BE" w:rsidRPr="00236478" w:rsidRDefault="00C22C1C" w:rsidP="000C47BE">
      <w:pPr>
        <w:pStyle w:val="PINormal"/>
        <w:rPr>
          <w:b/>
          <w:i/>
        </w:rPr>
      </w:pPr>
      <w:r w:rsidRPr="00236478">
        <w:rPr>
          <w:b/>
          <w:i/>
        </w:rPr>
        <w:t xml:space="preserve">Hepatic </w:t>
      </w:r>
      <w:r w:rsidR="00900396">
        <w:rPr>
          <w:b/>
          <w:i/>
        </w:rPr>
        <w:t>I</w:t>
      </w:r>
      <w:r w:rsidRPr="00236478">
        <w:rPr>
          <w:b/>
          <w:i/>
        </w:rPr>
        <w:t>njury</w:t>
      </w:r>
    </w:p>
    <w:p w:rsidR="00C22C1C" w:rsidRDefault="0081750C" w:rsidP="00C22C1C">
      <w:r>
        <w:t xml:space="preserve">ZINBRYTA can cause life-threatening severe liver injury, including liver failure and autoimmune hepatitis. </w:t>
      </w:r>
      <w:r w:rsidR="00C22C1C">
        <w:t xml:space="preserve">Elevations of serum transaminases and severe hepatic injury have occurred in patients treated with </w:t>
      </w:r>
      <w:r w:rsidR="00FE4239">
        <w:t>ZINBRYTA</w:t>
      </w:r>
      <w:r w:rsidR="00C22C1C">
        <w:t xml:space="preserve"> (see </w:t>
      </w:r>
      <w:r w:rsidR="006209DC" w:rsidRPr="006209DC">
        <w:t xml:space="preserve">ADVERSE </w:t>
      </w:r>
      <w:r w:rsidR="006209DC" w:rsidRPr="006209DC">
        <w:rPr>
          <w:caps/>
        </w:rPr>
        <w:t>Effects</w:t>
      </w:r>
      <w:r w:rsidR="00C22C1C">
        <w:t xml:space="preserve">). Serious events, including autoimmune hepatitis, hepatitis and jaundice, were observed in 1 % of patients. In a clinical study, a case of fatal autoimmune hepatitis occurred in a patient re-initiating treatment with 300 mg of </w:t>
      </w:r>
      <w:r w:rsidR="00FE4239">
        <w:t>ZINBRYTA</w:t>
      </w:r>
      <w:r w:rsidR="00C22C1C">
        <w:t xml:space="preserve"> after a planned 6 month treatment interruption period.</w:t>
      </w:r>
    </w:p>
    <w:p w:rsidR="00C22C1C" w:rsidRDefault="00C22C1C" w:rsidP="00C22C1C">
      <w:r>
        <w:t xml:space="preserve">In clinical studies, serum transaminase elevations occurred during treatment and up to 4 months after the last dose of </w:t>
      </w:r>
      <w:r w:rsidR="00FE4239">
        <w:t>ZINBRYTA</w:t>
      </w:r>
      <w:r>
        <w:t xml:space="preserve">. Most patients had elevations that were asymptomatic and resolved spontaneously. An increased incidence of elevations of alanine aminotransferase (ALT) or aspartate aminotransferase (AST) &gt; 5 times the upper limit of normal (ULN) was reported in </w:t>
      </w:r>
      <w:r w:rsidR="00FE4239">
        <w:t>ZINBRYTA</w:t>
      </w:r>
      <w:r>
        <w:t>-treated patients compared to placebo (4 % versus &lt;1 %) or interferon beta</w:t>
      </w:r>
      <w:r w:rsidR="00792050">
        <w:t>-</w:t>
      </w:r>
      <w:r>
        <w:t xml:space="preserve">1a (IM) (6 % versus 3 %). The incidence of discontinuation due to drug related hepatic disorders was 5 % in </w:t>
      </w:r>
      <w:r w:rsidR="00FE4239">
        <w:t>ZINBRYTA</w:t>
      </w:r>
      <w:r>
        <w:t xml:space="preserve">-treated patients and 4 % in interferon beta-1a (IM). </w:t>
      </w:r>
    </w:p>
    <w:p w:rsidR="0081750C" w:rsidRPr="006C2C95" w:rsidRDefault="0081750C" w:rsidP="00C22C1C">
      <w:r w:rsidRPr="00FB2653">
        <w:rPr>
          <w:i/>
        </w:rPr>
        <w:t xml:space="preserve">Monitoring of </w:t>
      </w:r>
      <w:r w:rsidR="00900396">
        <w:rPr>
          <w:i/>
        </w:rPr>
        <w:t>L</w:t>
      </w:r>
      <w:r w:rsidRPr="00FB2653">
        <w:rPr>
          <w:i/>
        </w:rPr>
        <w:t>iver function</w:t>
      </w:r>
    </w:p>
    <w:p w:rsidR="00C22C1C" w:rsidRDefault="00C22C1C" w:rsidP="00C22C1C">
      <w:r>
        <w:t xml:space="preserve">Prior to starting treatment with </w:t>
      </w:r>
      <w:r w:rsidR="00FE4239">
        <w:t>ZINBRYTA</w:t>
      </w:r>
      <w:r>
        <w:t xml:space="preserve">, obtain serum transaminases (ALT and AST) and bilirubin levels. Monitor serum transaminases </w:t>
      </w:r>
      <w:r w:rsidR="00F21571">
        <w:t xml:space="preserve">and bilirubin levels </w:t>
      </w:r>
      <w:r>
        <w:t xml:space="preserve">monthly during treatment and up to 4 months after the last dose of </w:t>
      </w:r>
      <w:r w:rsidR="00FE4239">
        <w:t>ZINBRYTA</w:t>
      </w:r>
      <w:r w:rsidR="00CC2287">
        <w:t xml:space="preserve"> (see DOSAGE and ADMINISTRATION)</w:t>
      </w:r>
      <w:r>
        <w:t>.</w:t>
      </w:r>
    </w:p>
    <w:p w:rsidR="005533D1" w:rsidRDefault="00441347" w:rsidP="00C22C1C">
      <w:r>
        <w:t>Treatment modifications are recommended based on test results (see Table 4).</w:t>
      </w:r>
    </w:p>
    <w:p w:rsidR="0081750C" w:rsidRPr="00FB2653" w:rsidRDefault="008450C9" w:rsidP="00C22C1C">
      <w:pPr>
        <w:rPr>
          <w:u w:val="single"/>
        </w:rPr>
      </w:pPr>
      <w:r>
        <w:rPr>
          <w:b/>
        </w:rPr>
        <w:br w:type="page"/>
      </w:r>
      <w:r w:rsidR="0081750C" w:rsidRPr="00FB2653">
        <w:rPr>
          <w:u w:val="single"/>
        </w:rPr>
        <w:lastRenderedPageBreak/>
        <w:t>Table</w:t>
      </w:r>
      <w:r w:rsidR="00E04B18" w:rsidRPr="00FB2653">
        <w:rPr>
          <w:u w:val="single"/>
        </w:rPr>
        <w:t xml:space="preserve"> </w:t>
      </w:r>
      <w:r w:rsidR="00D778BD" w:rsidRPr="00FB2653">
        <w:rPr>
          <w:u w:val="single"/>
        </w:rPr>
        <w:t>4</w:t>
      </w:r>
      <w:r w:rsidR="0081750C" w:rsidRPr="00FB2653">
        <w:rPr>
          <w:u w:val="single"/>
        </w:rPr>
        <w:t xml:space="preserve"> ZINBRYTA treatment modification for liver abnormalities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917"/>
      </w:tblGrid>
      <w:tr w:rsidR="0081750C" w:rsidTr="00CC2151">
        <w:tc>
          <w:tcPr>
            <w:tcW w:w="4916" w:type="dxa"/>
            <w:shd w:val="clear" w:color="auto" w:fill="auto"/>
          </w:tcPr>
          <w:p w:rsidR="0081750C" w:rsidRPr="00CC2151" w:rsidRDefault="0081750C" w:rsidP="00C22C1C">
            <w:pPr>
              <w:rPr>
                <w:b/>
              </w:rPr>
            </w:pPr>
            <w:r w:rsidRPr="00CC2151">
              <w:rPr>
                <w:b/>
              </w:rPr>
              <w:t>Lab Value(s)</w:t>
            </w:r>
          </w:p>
        </w:tc>
        <w:tc>
          <w:tcPr>
            <w:tcW w:w="4917" w:type="dxa"/>
            <w:shd w:val="clear" w:color="auto" w:fill="auto"/>
          </w:tcPr>
          <w:p w:rsidR="0081750C" w:rsidRPr="00CC2151" w:rsidRDefault="0081750C" w:rsidP="00C22C1C">
            <w:pPr>
              <w:rPr>
                <w:b/>
              </w:rPr>
            </w:pPr>
            <w:r w:rsidRPr="00CC2151">
              <w:rPr>
                <w:b/>
              </w:rPr>
              <w:t>Recommendations</w:t>
            </w:r>
          </w:p>
        </w:tc>
      </w:tr>
      <w:tr w:rsidR="0081750C" w:rsidTr="00CC2151">
        <w:tc>
          <w:tcPr>
            <w:tcW w:w="4916" w:type="dxa"/>
            <w:shd w:val="clear" w:color="auto" w:fill="auto"/>
          </w:tcPr>
          <w:p w:rsidR="0081750C" w:rsidRDefault="0081750C" w:rsidP="00C22C1C">
            <w:r>
              <w:t>Confirmed ALT or AST &gt; 5 times ULN</w:t>
            </w:r>
          </w:p>
          <w:p w:rsidR="0081750C" w:rsidRDefault="0081750C" w:rsidP="00D778BD">
            <w:pPr>
              <w:jc w:val="center"/>
            </w:pPr>
            <w:r>
              <w:t>OR</w:t>
            </w:r>
          </w:p>
          <w:p w:rsidR="0081750C" w:rsidRPr="0081750C" w:rsidRDefault="0081750C" w:rsidP="00C22C1C">
            <w:r>
              <w:t xml:space="preserve">Confirmed ALT or AST &gt; 3 times ULN </w:t>
            </w:r>
            <w:r w:rsidRPr="00CC2151">
              <w:rPr>
                <w:u w:val="single"/>
              </w:rPr>
              <w:t>and</w:t>
            </w:r>
            <w:r>
              <w:t xml:space="preserve"> bilirubin &gt; 2 times ULN</w:t>
            </w:r>
          </w:p>
        </w:tc>
        <w:tc>
          <w:tcPr>
            <w:tcW w:w="4917" w:type="dxa"/>
            <w:shd w:val="clear" w:color="auto" w:fill="auto"/>
          </w:tcPr>
          <w:p w:rsidR="0081750C" w:rsidRDefault="0081750C" w:rsidP="00C22C1C">
            <w:r w:rsidRPr="00CC2151">
              <w:rPr>
                <w:b/>
              </w:rPr>
              <w:t>Treatment discontinuation</w:t>
            </w:r>
          </w:p>
          <w:p w:rsidR="0081750C" w:rsidRPr="0081750C" w:rsidRDefault="0081750C" w:rsidP="00C22C1C">
            <w:r>
              <w:t>Re-initiation of therapy may be considered if other aetiologies are found, values have returned to normal and benefits to the patient of resuming therapy outweigh the risks.</w:t>
            </w:r>
          </w:p>
        </w:tc>
      </w:tr>
      <w:tr w:rsidR="0081750C" w:rsidTr="00D778BD">
        <w:tc>
          <w:tcPr>
            <w:tcW w:w="4916" w:type="dxa"/>
            <w:tcBorders>
              <w:bottom w:val="single" w:sz="4" w:space="0" w:color="auto"/>
            </w:tcBorders>
            <w:shd w:val="clear" w:color="auto" w:fill="auto"/>
          </w:tcPr>
          <w:p w:rsidR="0081750C" w:rsidRDefault="0081750C" w:rsidP="00C22C1C">
            <w:r>
              <w:t>ALT or AST &gt; 3 times ULN</w:t>
            </w:r>
          </w:p>
        </w:tc>
        <w:tc>
          <w:tcPr>
            <w:tcW w:w="4917" w:type="dxa"/>
            <w:tcBorders>
              <w:bottom w:val="single" w:sz="4" w:space="0" w:color="auto"/>
            </w:tcBorders>
            <w:shd w:val="clear" w:color="auto" w:fill="auto"/>
          </w:tcPr>
          <w:p w:rsidR="0081750C" w:rsidRDefault="0081750C" w:rsidP="00C22C1C">
            <w:r w:rsidRPr="00CC2151">
              <w:rPr>
                <w:b/>
              </w:rPr>
              <w:t>Treatment interruption and close monitoring</w:t>
            </w:r>
          </w:p>
          <w:p w:rsidR="0081750C" w:rsidRPr="0081750C" w:rsidRDefault="0081750C" w:rsidP="00C22C1C">
            <w:r>
              <w:t>Resume when ALT or AST have reached &lt; 2 times ULN</w:t>
            </w:r>
          </w:p>
        </w:tc>
      </w:tr>
      <w:tr w:rsidR="0081750C" w:rsidTr="00D778BD">
        <w:tc>
          <w:tcPr>
            <w:tcW w:w="4916" w:type="dxa"/>
            <w:tcBorders>
              <w:left w:val="nil"/>
              <w:bottom w:val="nil"/>
              <w:right w:val="nil"/>
            </w:tcBorders>
            <w:shd w:val="clear" w:color="auto" w:fill="auto"/>
          </w:tcPr>
          <w:p w:rsidR="0081750C" w:rsidRDefault="0081750C" w:rsidP="00C22C1C">
            <w:r w:rsidRPr="00D778BD">
              <w:rPr>
                <w:sz w:val="20"/>
              </w:rPr>
              <w:t>ULN – upper limit of normal</w:t>
            </w:r>
          </w:p>
        </w:tc>
        <w:tc>
          <w:tcPr>
            <w:tcW w:w="4917" w:type="dxa"/>
            <w:tcBorders>
              <w:left w:val="nil"/>
              <w:bottom w:val="nil"/>
              <w:right w:val="nil"/>
            </w:tcBorders>
            <w:shd w:val="clear" w:color="auto" w:fill="auto"/>
          </w:tcPr>
          <w:p w:rsidR="0081750C" w:rsidRDefault="0081750C" w:rsidP="00C22C1C"/>
        </w:tc>
      </w:tr>
    </w:tbl>
    <w:p w:rsidR="00C22C1C" w:rsidRDefault="005533D1" w:rsidP="00C22C1C">
      <w:r>
        <w:t>Patients with</w:t>
      </w:r>
      <w:r w:rsidRPr="005533D1">
        <w:t xml:space="preserve"> ALT or AST &gt; 2 times the ULN prior to treatment were not included in clinical studies</w:t>
      </w:r>
      <w:r w:rsidR="00625234">
        <w:t xml:space="preserve"> (see CONTRAINDICATIONS)</w:t>
      </w:r>
      <w:proofErr w:type="gramStart"/>
      <w:r w:rsidR="00EF6DAD">
        <w:t>.</w:t>
      </w:r>
      <w:r w:rsidRPr="005533D1">
        <w:t>.</w:t>
      </w:r>
      <w:proofErr w:type="gramEnd"/>
      <w:r>
        <w:t xml:space="preserve"> Observe patients for signs and symptoms of hepatic dysfunction when ZINBRYTA is used concomitantly with other hepatotoxic drugs.</w:t>
      </w:r>
    </w:p>
    <w:p w:rsidR="00C22C1C" w:rsidRDefault="00C22C1C" w:rsidP="00C22C1C">
      <w:r>
        <w:t>If a patient develops clinical signs or symptoms suggestive of hepatic dysfunction (</w:t>
      </w:r>
      <w:proofErr w:type="spellStart"/>
      <w:r>
        <w:t>eg</w:t>
      </w:r>
      <w:proofErr w:type="spellEnd"/>
      <w:r>
        <w:t xml:space="preserve">. unexplained nausea, vomiting, abdominal pain, fatigue, anorexia, or jaundice and/or dark urine), promptly measure serum transaminases and interrupt or discontinue treatment with </w:t>
      </w:r>
      <w:r w:rsidR="00FE4239">
        <w:t>ZINBRYTA</w:t>
      </w:r>
      <w:r>
        <w:t>, as appropriate.</w:t>
      </w:r>
    </w:p>
    <w:p w:rsidR="00C22C1C" w:rsidRDefault="00C22C1C" w:rsidP="00C22C1C">
      <w:r>
        <w:t xml:space="preserve">In patients with prolonged elevations of serum transaminases, evaluate for other possible causes, such as infection, and consider referral to a specialist. Autoimmune hepatitis (without the presence of auto-antibodies) has been observed in clinical studies. Treatment with systemic corticosteroids may be appropriate. </w:t>
      </w:r>
    </w:p>
    <w:p w:rsidR="00FE1CD2" w:rsidRDefault="00FE1CD2" w:rsidP="00D7490E">
      <w:pPr>
        <w:rPr>
          <w:b/>
          <w:i/>
        </w:rPr>
      </w:pPr>
      <w:r>
        <w:rPr>
          <w:b/>
          <w:i/>
        </w:rPr>
        <w:t>Immune-Mediated Disorders</w:t>
      </w:r>
    </w:p>
    <w:p w:rsidR="00FE1CD2" w:rsidRPr="00FE1CD2" w:rsidRDefault="00FE1CD2" w:rsidP="00D7490E">
      <w:r w:rsidRPr="00FE1CD2">
        <w:t>Treatment with ZINBRYTA increases the risk of immune-mediated disorders, including autoimmune disorders such as autoimmune hepatitis. Across all clinical studies (controlled and open-label), immune-mediated disorders occurred in 28% of patients on ZINBRYTA, the most common of which were skin reactions and lymphadenopathy</w:t>
      </w:r>
      <w:r w:rsidR="00625234">
        <w:t xml:space="preserve"> (see ADVERSE EFFECTS)</w:t>
      </w:r>
      <w:r w:rsidR="00EF6DAD">
        <w:t>.</w:t>
      </w:r>
      <w:r w:rsidRPr="00FE1CD2">
        <w:t xml:space="preserve"> Prescribers should be vigilant regarding emergent immune-mediated disorders. For suspected immune-mediated disorders, ensure adequate evaluation to confirm </w:t>
      </w:r>
      <w:proofErr w:type="spellStart"/>
      <w:r w:rsidRPr="00FE1CD2">
        <w:t>etiology</w:t>
      </w:r>
      <w:proofErr w:type="spellEnd"/>
      <w:r w:rsidRPr="00FE1CD2">
        <w:t xml:space="preserve"> or to exclude other causes. If a patient develops a serious immune-mediated disorder, consider stopping ZINBRYTA and refer the patient to an appropriate specialist for further evaluation and treatment. </w:t>
      </w:r>
    </w:p>
    <w:p w:rsidR="00C22C1C" w:rsidRPr="00236478" w:rsidRDefault="00C22C1C" w:rsidP="00D7490E">
      <w:pPr>
        <w:rPr>
          <w:b/>
          <w:i/>
        </w:rPr>
      </w:pPr>
      <w:r w:rsidRPr="00236478">
        <w:rPr>
          <w:b/>
          <w:i/>
        </w:rPr>
        <w:t>Skin Reactions</w:t>
      </w:r>
    </w:p>
    <w:p w:rsidR="00C22C1C" w:rsidRDefault="00F366FC" w:rsidP="00C22C1C">
      <w:r>
        <w:t>ZINBRYTA causes skin reactions</w:t>
      </w:r>
      <w:r w:rsidR="00E04B18">
        <w:t xml:space="preserve">. </w:t>
      </w:r>
      <w:r w:rsidR="00C22C1C">
        <w:t xml:space="preserve">In clinical studies </w:t>
      </w:r>
      <w:r w:rsidR="00FE4239">
        <w:t>ZINBRYTA</w:t>
      </w:r>
      <w:r w:rsidR="00C22C1C">
        <w:t xml:space="preserve"> increased the incidence of skin reactions [18 % vs 13 % (placebo); 37 % vs 19 % (interferon beta</w:t>
      </w:r>
      <w:r w:rsidR="00792050">
        <w:t>-</w:t>
      </w:r>
      <w:r w:rsidR="00C22C1C">
        <w:t>1a (IM))] and serious skin reactions [&lt;1 % vs 0 % (placebo); 2 % vs &lt;1 % (interferon beta</w:t>
      </w:r>
      <w:r w:rsidR="00792050">
        <w:t>-</w:t>
      </w:r>
      <w:r w:rsidR="00C22C1C">
        <w:t>1a (IM))] compared to placebo and interferon beta</w:t>
      </w:r>
      <w:r w:rsidR="00792050">
        <w:t>-</w:t>
      </w:r>
      <w:r w:rsidR="00C22C1C">
        <w:t>1a (IM).</w:t>
      </w:r>
    </w:p>
    <w:p w:rsidR="00C22C1C" w:rsidRDefault="00C22C1C" w:rsidP="00C22C1C">
      <w:r>
        <w:t xml:space="preserve">The most common skin reactions were rash, dermatitis, and eczema. The majority of patients had skin reactions that were mild or moderate in severity. Skin reactions generally resolved with </w:t>
      </w:r>
      <w:r>
        <w:lastRenderedPageBreak/>
        <w:t xml:space="preserve">standard of care, including treatment with topical or systemic steroids. In some cases discontinuation of </w:t>
      </w:r>
      <w:r w:rsidR="00FE4239">
        <w:t>ZINBRYTA</w:t>
      </w:r>
      <w:r>
        <w:t xml:space="preserve"> may be appropriate. Discontinuation due to skin reactions was 4 % in </w:t>
      </w:r>
      <w:r w:rsidR="00FE4239">
        <w:t>ZINBRYTA</w:t>
      </w:r>
      <w:r>
        <w:t>-treated patients.</w:t>
      </w:r>
    </w:p>
    <w:p w:rsidR="00C22C1C" w:rsidRDefault="00C22C1C" w:rsidP="00C22C1C">
      <w:r>
        <w:t xml:space="preserve">If a patient develops a diffuse or highly inflammatory rash, consider referring to a dermatologist and discontinuation of </w:t>
      </w:r>
      <w:r w:rsidR="00FE4239">
        <w:t>ZINBRYTA</w:t>
      </w:r>
      <w:r>
        <w:t xml:space="preserve"> (see </w:t>
      </w:r>
      <w:r w:rsidR="006209DC" w:rsidRPr="006209DC">
        <w:t xml:space="preserve">ADVERSE </w:t>
      </w:r>
      <w:r w:rsidR="006209DC" w:rsidRPr="006209DC">
        <w:rPr>
          <w:caps/>
        </w:rPr>
        <w:t>Effects</w:t>
      </w:r>
      <w:r w:rsidR="005533D1">
        <w:t>).</w:t>
      </w:r>
    </w:p>
    <w:p w:rsidR="005533D1" w:rsidRPr="005533D1" w:rsidRDefault="005533D1" w:rsidP="00132663">
      <w:pPr>
        <w:rPr>
          <w:b/>
          <w:i/>
        </w:rPr>
      </w:pPr>
      <w:r w:rsidRPr="005533D1">
        <w:rPr>
          <w:b/>
          <w:i/>
        </w:rPr>
        <w:t>Depression</w:t>
      </w:r>
    </w:p>
    <w:p w:rsidR="005533D1" w:rsidRPr="005533D1" w:rsidRDefault="005533D1" w:rsidP="0034710B">
      <w:pPr>
        <w:autoSpaceDE w:val="0"/>
        <w:autoSpaceDN w:val="0"/>
        <w:adjustRightInd w:val="0"/>
        <w:spacing w:after="0"/>
      </w:pPr>
      <w:r w:rsidRPr="005533D1">
        <w:t>In clinical studies</w:t>
      </w:r>
      <w:r w:rsidR="00E04B18">
        <w:t>, depression-related events occurred more frequently in patients receiving ZINBRYTA than in patients receiving placebo or interferon beta-</w:t>
      </w:r>
      <w:proofErr w:type="gramStart"/>
      <w:r w:rsidR="00E04B18">
        <w:t>1a(</w:t>
      </w:r>
      <w:proofErr w:type="gramEnd"/>
      <w:r w:rsidR="00E04B18">
        <w:t xml:space="preserve">IM). </w:t>
      </w:r>
      <w:r w:rsidRPr="005533D1">
        <w:t>ZINBRYTA increased the incidence of depression [5% vs 1% (placebo); 8% vs 6% (interferon beta-</w:t>
      </w:r>
      <w:proofErr w:type="gramStart"/>
      <w:r w:rsidRPr="005533D1">
        <w:t>1a(</w:t>
      </w:r>
      <w:proofErr w:type="gramEnd"/>
      <w:r w:rsidRPr="005533D1">
        <w:t>IM))]; the incidence of serious events of depression was &lt; 1% with ZINBRYTA.</w:t>
      </w:r>
    </w:p>
    <w:p w:rsidR="005533D1" w:rsidRPr="005533D1" w:rsidRDefault="005533D1" w:rsidP="0034710B">
      <w:pPr>
        <w:autoSpaceDE w:val="0"/>
        <w:autoSpaceDN w:val="0"/>
        <w:adjustRightInd w:val="0"/>
        <w:spacing w:after="0"/>
      </w:pPr>
    </w:p>
    <w:p w:rsidR="005533D1" w:rsidRPr="005533D1" w:rsidRDefault="005533D1" w:rsidP="0034710B">
      <w:pPr>
        <w:autoSpaceDE w:val="0"/>
        <w:autoSpaceDN w:val="0"/>
        <w:adjustRightInd w:val="0"/>
        <w:spacing w:after="0"/>
      </w:pPr>
      <w:r w:rsidRPr="005533D1">
        <w:t>ZINBRYTA should be administered with caution to patients with previous or current depressive disorders. Patients treated with ZINBRYTA should be advised to report any symptoms of new or worsening depression and/or suicidal ideation to the prescribing physician.</w:t>
      </w:r>
    </w:p>
    <w:p w:rsidR="005533D1" w:rsidRPr="005533D1" w:rsidRDefault="005533D1" w:rsidP="0034710B">
      <w:pPr>
        <w:autoSpaceDE w:val="0"/>
        <w:autoSpaceDN w:val="0"/>
        <w:adjustRightInd w:val="0"/>
        <w:spacing w:after="0"/>
      </w:pPr>
    </w:p>
    <w:p w:rsidR="005533D1" w:rsidRPr="005533D1" w:rsidRDefault="005533D1" w:rsidP="0034710B">
      <w:r w:rsidRPr="005533D1">
        <w:t>If a patient develops severe depression and/or suicidal ideation, cessation of ZINBRYTA should be considered (see ADVERSE EFFECTS).</w:t>
      </w:r>
    </w:p>
    <w:p w:rsidR="00C22C1C" w:rsidRPr="00236478" w:rsidRDefault="00C22C1C" w:rsidP="00C22C1C">
      <w:pPr>
        <w:rPr>
          <w:b/>
          <w:i/>
        </w:rPr>
      </w:pPr>
      <w:r w:rsidRPr="00236478">
        <w:rPr>
          <w:b/>
          <w:i/>
        </w:rPr>
        <w:t xml:space="preserve">Infections </w:t>
      </w:r>
    </w:p>
    <w:p w:rsidR="00E363C6" w:rsidRDefault="00E04B18" w:rsidP="0034710B">
      <w:r>
        <w:t xml:space="preserve">ZINBRYTA </w:t>
      </w:r>
      <w:r w:rsidR="00774809">
        <w:t xml:space="preserve">increases </w:t>
      </w:r>
      <w:r>
        <w:t xml:space="preserve">the risk of infections. </w:t>
      </w:r>
      <w:r w:rsidR="00C22C1C">
        <w:t xml:space="preserve">In clinical studies </w:t>
      </w:r>
      <w:r w:rsidR="00FE4239">
        <w:t>ZINBRYTA</w:t>
      </w:r>
      <w:r w:rsidR="00C22C1C">
        <w:t xml:space="preserve"> increased the incidence of infections [50 % vs 44 % (placebo); 65 % vs 57 % (interferon beta</w:t>
      </w:r>
      <w:r w:rsidR="00792050">
        <w:t>-</w:t>
      </w:r>
      <w:r w:rsidR="00C22C1C">
        <w:t>1a (IM))] and serious infections [3 % vs 0 % (placebo); 4 % vs 2 % (interferon beta</w:t>
      </w:r>
      <w:r w:rsidR="00792050">
        <w:t>-</w:t>
      </w:r>
      <w:r w:rsidR="00C22C1C">
        <w:t>1a (IM))] compared to placebo and interferon beta-1a (IM).</w:t>
      </w:r>
    </w:p>
    <w:p w:rsidR="005533D1" w:rsidRDefault="005533D1" w:rsidP="00DB3C60">
      <w:r>
        <w:t>The most common types of infections were upper respiratory tract infections and viral infections. The median duration was similar between the treatment groups.</w:t>
      </w:r>
    </w:p>
    <w:p w:rsidR="00C22C1C" w:rsidRDefault="00C22C1C" w:rsidP="00DB3C60">
      <w:r>
        <w:t xml:space="preserve">The rate of infections and serious infections did not increase over time. The majority of patients with infections continued on treatment with </w:t>
      </w:r>
      <w:r w:rsidR="00FE4239">
        <w:t>ZINBRYTA</w:t>
      </w:r>
      <w:r>
        <w:t xml:space="preserve">.  </w:t>
      </w:r>
    </w:p>
    <w:p w:rsidR="00C22C1C" w:rsidRDefault="00C22C1C" w:rsidP="00521670">
      <w:r>
        <w:t xml:space="preserve">If serious infection develops, consider withholding treatment with </w:t>
      </w:r>
      <w:r w:rsidR="00FE4239">
        <w:t>ZINBRYTA</w:t>
      </w:r>
      <w:r>
        <w:t xml:space="preserve"> until the infection resolves. Discontinuation of </w:t>
      </w:r>
      <w:r w:rsidR="00FE4239">
        <w:t>ZINBRYTA</w:t>
      </w:r>
      <w:r>
        <w:t xml:space="preserve"> due to infections was &lt;1 %</w:t>
      </w:r>
      <w:r w:rsidR="00C9469E">
        <w:t xml:space="preserve"> in clinical trials</w:t>
      </w:r>
      <w:r>
        <w:t>.</w:t>
      </w:r>
    </w:p>
    <w:p w:rsidR="00C025C2" w:rsidRPr="00C025C2" w:rsidRDefault="00625234" w:rsidP="0034710B">
      <w:pPr>
        <w:autoSpaceDE w:val="0"/>
        <w:autoSpaceDN w:val="0"/>
        <w:adjustRightInd w:val="0"/>
        <w:spacing w:after="0"/>
        <w:rPr>
          <w:iCs/>
          <w:sz w:val="23"/>
          <w:szCs w:val="23"/>
        </w:rPr>
      </w:pPr>
      <w:r w:rsidRPr="001A452A">
        <w:rPr>
          <w:szCs w:val="24"/>
        </w:rPr>
        <w:t xml:space="preserve">In clinical trials, cases of tuberculosis occurred in countries where tuberculosis is endemic. Evaluate high-risk patients for tuberculosis infection prior to initiating treatment with ZINBRYTA. For patients testing positive for tuberculosis, treat by standard medical practices prior to therapy with ZINBRYTA </w:t>
      </w:r>
      <w:r w:rsidR="00C025C2" w:rsidRPr="00C025C2">
        <w:rPr>
          <w:iCs/>
          <w:sz w:val="23"/>
          <w:szCs w:val="23"/>
        </w:rPr>
        <w:t>(see D</w:t>
      </w:r>
      <w:r w:rsidR="00C025C2">
        <w:rPr>
          <w:iCs/>
          <w:sz w:val="23"/>
          <w:szCs w:val="23"/>
        </w:rPr>
        <w:t>OSAGE</w:t>
      </w:r>
      <w:r w:rsidR="00C025C2" w:rsidRPr="00C025C2">
        <w:rPr>
          <w:iCs/>
          <w:sz w:val="23"/>
          <w:szCs w:val="23"/>
        </w:rPr>
        <w:t xml:space="preserve"> and A</w:t>
      </w:r>
      <w:r w:rsidR="00C025C2">
        <w:rPr>
          <w:iCs/>
          <w:sz w:val="23"/>
          <w:szCs w:val="23"/>
        </w:rPr>
        <w:t>DMINISTRATION</w:t>
      </w:r>
      <w:r w:rsidR="00C025C2" w:rsidRPr="00C025C2">
        <w:rPr>
          <w:iCs/>
          <w:sz w:val="23"/>
          <w:szCs w:val="23"/>
        </w:rPr>
        <w:t xml:space="preserve">). </w:t>
      </w:r>
    </w:p>
    <w:p w:rsidR="00C025C2" w:rsidRPr="00C025C2" w:rsidRDefault="00C025C2" w:rsidP="0034710B">
      <w:pPr>
        <w:autoSpaceDE w:val="0"/>
        <w:autoSpaceDN w:val="0"/>
        <w:adjustRightInd w:val="0"/>
        <w:spacing w:after="0"/>
        <w:rPr>
          <w:iCs/>
          <w:sz w:val="23"/>
          <w:szCs w:val="23"/>
        </w:rPr>
      </w:pPr>
    </w:p>
    <w:p w:rsidR="00765738" w:rsidRDefault="00C22C1C" w:rsidP="0034710B">
      <w:pPr>
        <w:autoSpaceDE w:val="0"/>
        <w:autoSpaceDN w:val="0"/>
        <w:adjustRightInd w:val="0"/>
        <w:spacing w:after="0"/>
      </w:pPr>
      <w:r>
        <w:t xml:space="preserve">Consider delaying initiation of </w:t>
      </w:r>
      <w:r w:rsidR="00FE4239">
        <w:t>ZINBRYTA</w:t>
      </w:r>
      <w:r>
        <w:t xml:space="preserve"> therapy in patients with severe active infection</w:t>
      </w:r>
      <w:r w:rsidR="000C6E1F">
        <w:t xml:space="preserve"> </w:t>
      </w:r>
      <w:r>
        <w:t>(</w:t>
      </w:r>
      <w:r w:rsidR="00091A3A">
        <w:t>see</w:t>
      </w:r>
      <w:r>
        <w:t xml:space="preserve"> </w:t>
      </w:r>
      <w:r w:rsidR="006209DC" w:rsidRPr="006209DC">
        <w:t xml:space="preserve">ADVERSE </w:t>
      </w:r>
      <w:r w:rsidR="006209DC" w:rsidRPr="005533D1">
        <w:t>Effects</w:t>
      </w:r>
      <w:r>
        <w:t>).</w:t>
      </w:r>
    </w:p>
    <w:p w:rsidR="005533D1" w:rsidRDefault="005533D1" w:rsidP="0034710B">
      <w:pPr>
        <w:autoSpaceDE w:val="0"/>
        <w:autoSpaceDN w:val="0"/>
        <w:adjustRightInd w:val="0"/>
        <w:spacing w:after="0"/>
      </w:pPr>
    </w:p>
    <w:p w:rsidR="005533D1" w:rsidRPr="005533D1" w:rsidRDefault="005533D1" w:rsidP="0034710B">
      <w:r w:rsidRPr="005533D1">
        <w:t>ZINBRYTA has not been studied in patients with immunodeficiency syndromes.</w:t>
      </w:r>
    </w:p>
    <w:p w:rsidR="00C22C1C" w:rsidRPr="00236478" w:rsidRDefault="00DB3C60" w:rsidP="00C22C1C">
      <w:pPr>
        <w:rPr>
          <w:b/>
          <w:i/>
        </w:rPr>
      </w:pPr>
      <w:r>
        <w:rPr>
          <w:b/>
          <w:i/>
        </w:rPr>
        <w:br w:type="page"/>
      </w:r>
      <w:r w:rsidR="00C22C1C" w:rsidRPr="00236478">
        <w:rPr>
          <w:b/>
          <w:i/>
        </w:rPr>
        <w:lastRenderedPageBreak/>
        <w:t xml:space="preserve">Gastrointestinal </w:t>
      </w:r>
      <w:r w:rsidR="0056167E">
        <w:rPr>
          <w:b/>
          <w:i/>
        </w:rPr>
        <w:t>D</w:t>
      </w:r>
      <w:r w:rsidR="00C22C1C" w:rsidRPr="00236478">
        <w:rPr>
          <w:b/>
          <w:i/>
        </w:rPr>
        <w:t>isorders</w:t>
      </w:r>
    </w:p>
    <w:p w:rsidR="00C22C1C" w:rsidRDefault="00C22C1C" w:rsidP="00C22C1C">
      <w:r>
        <w:t xml:space="preserve">An increased incidence of serious colitis (&lt;1 %) was reported in patients treated with </w:t>
      </w:r>
      <w:r w:rsidR="00FE4239">
        <w:t>ZINBRYTA</w:t>
      </w:r>
      <w:r>
        <w:t xml:space="preserve"> in clinical studies. </w:t>
      </w:r>
    </w:p>
    <w:p w:rsidR="00C22C1C" w:rsidRDefault="00C22C1C" w:rsidP="00C22C1C">
      <w:r>
        <w:t xml:space="preserve">The colitis improved with discontinuation of </w:t>
      </w:r>
      <w:r w:rsidR="00FE4239">
        <w:t>ZINBRYTA</w:t>
      </w:r>
      <w:r>
        <w:t xml:space="preserve"> and standard treatment.</w:t>
      </w:r>
    </w:p>
    <w:p w:rsidR="00300D64" w:rsidRDefault="00C22C1C" w:rsidP="00C22C1C">
      <w:r>
        <w:t>Consider referring patients who develop symptoms of colitis (</w:t>
      </w:r>
      <w:proofErr w:type="spellStart"/>
      <w:r>
        <w:t>eg</w:t>
      </w:r>
      <w:proofErr w:type="spellEnd"/>
      <w:r>
        <w:t xml:space="preserve">. abdominal pain, fever, prolonged </w:t>
      </w:r>
      <w:r w:rsidR="000360B4">
        <w:t>diarrhoea</w:t>
      </w:r>
      <w:r>
        <w:t xml:space="preserve">) to a specialist (see </w:t>
      </w:r>
      <w:r w:rsidR="00091A3A" w:rsidRPr="00FF13B1">
        <w:t xml:space="preserve">ADVERSE </w:t>
      </w:r>
      <w:r w:rsidR="00091A3A" w:rsidRPr="00091A3A">
        <w:rPr>
          <w:caps/>
        </w:rPr>
        <w:t>Effects</w:t>
      </w:r>
      <w:r>
        <w:t>).</w:t>
      </w:r>
    </w:p>
    <w:p w:rsidR="00D73A95" w:rsidRPr="00D73A95" w:rsidRDefault="00D73A95" w:rsidP="00D73A95">
      <w:pPr>
        <w:rPr>
          <w:b/>
        </w:rPr>
      </w:pPr>
      <w:r w:rsidRPr="00D73A95">
        <w:rPr>
          <w:b/>
        </w:rPr>
        <w:t xml:space="preserve">Effects on </w:t>
      </w:r>
      <w:r w:rsidR="0056167E">
        <w:rPr>
          <w:b/>
        </w:rPr>
        <w:t>F</w:t>
      </w:r>
      <w:r w:rsidRPr="00D73A95">
        <w:rPr>
          <w:b/>
        </w:rPr>
        <w:t>ertility</w:t>
      </w:r>
    </w:p>
    <w:p w:rsidR="000C26CD" w:rsidRPr="005533D1" w:rsidRDefault="005533D1" w:rsidP="005533D1">
      <w:r>
        <w:t>No impact on male or female fertility as a</w:t>
      </w:r>
      <w:r w:rsidRPr="005533D1">
        <w:t xml:space="preserve">ssessed by fertility indices was detected in studies in male and female </w:t>
      </w:r>
      <w:proofErr w:type="spellStart"/>
      <w:r w:rsidRPr="005533D1">
        <w:t>cynomolgus</w:t>
      </w:r>
      <w:proofErr w:type="spellEnd"/>
      <w:r w:rsidRPr="005533D1">
        <w:t xml:space="preserve"> monkeys in which </w:t>
      </w:r>
      <w:proofErr w:type="spellStart"/>
      <w:r w:rsidRPr="005533D1">
        <w:t>daclizumab</w:t>
      </w:r>
      <w:proofErr w:type="spellEnd"/>
      <w:r w:rsidRPr="005533D1">
        <w:t xml:space="preserve"> (total of 5 doses) was administered at subcutaneous dose levels of up to 200 mg/kg/fortnight. Exposure (based on serum AUC) in these studies was up to 100 times (males) and 85 times (females) that expected in patients at the recommended clinical dose.</w:t>
      </w:r>
    </w:p>
    <w:p w:rsidR="00D73A95" w:rsidRDefault="00D73A95" w:rsidP="00D73A95">
      <w:r>
        <w:t xml:space="preserve">There are no data on the effects of </w:t>
      </w:r>
      <w:r w:rsidR="00FE4239">
        <w:t>ZINBRYTA</w:t>
      </w:r>
      <w:r>
        <w:t xml:space="preserve"> on human fertility.</w:t>
      </w:r>
    </w:p>
    <w:p w:rsidR="005533D1" w:rsidRDefault="005533D1" w:rsidP="005533D1">
      <w:pPr>
        <w:pStyle w:val="PINormal"/>
        <w:rPr>
          <w:b/>
        </w:rPr>
      </w:pPr>
      <w:r w:rsidRPr="00D73A95">
        <w:rPr>
          <w:b/>
        </w:rPr>
        <w:t xml:space="preserve">Use in </w:t>
      </w:r>
      <w:r w:rsidRPr="001631F1">
        <w:rPr>
          <w:b/>
        </w:rPr>
        <w:t xml:space="preserve">Pregnancy (Category </w:t>
      </w:r>
      <w:r>
        <w:rPr>
          <w:b/>
        </w:rPr>
        <w:t>B</w:t>
      </w:r>
      <w:r w:rsidR="00A32E35">
        <w:rPr>
          <w:b/>
        </w:rPr>
        <w:t>3</w:t>
      </w:r>
      <w:r w:rsidRPr="001631F1">
        <w:rPr>
          <w:b/>
        </w:rPr>
        <w:t>)</w:t>
      </w:r>
    </w:p>
    <w:p w:rsidR="005533D1" w:rsidRDefault="005533D1" w:rsidP="005533D1">
      <w:r>
        <w:t xml:space="preserve">There are limited data on the use of ZINBRYTA in pregnant women. </w:t>
      </w:r>
    </w:p>
    <w:p w:rsidR="005533D1" w:rsidRPr="005533D1" w:rsidRDefault="005533D1" w:rsidP="005533D1">
      <w:r w:rsidRPr="005533D1">
        <w:t xml:space="preserve">IgG antibodies are known to cross the placenta and placental transfer of </w:t>
      </w:r>
      <w:proofErr w:type="spellStart"/>
      <w:r w:rsidRPr="005533D1">
        <w:t>daclizumab</w:t>
      </w:r>
      <w:proofErr w:type="spellEnd"/>
      <w:r w:rsidRPr="005533D1">
        <w:t xml:space="preserve"> was observed in </w:t>
      </w:r>
      <w:proofErr w:type="spellStart"/>
      <w:r w:rsidRPr="005533D1">
        <w:t>cynomolgus</w:t>
      </w:r>
      <w:proofErr w:type="spellEnd"/>
      <w:r w:rsidRPr="005533D1">
        <w:t xml:space="preserve"> monkeys.</w:t>
      </w:r>
    </w:p>
    <w:p w:rsidR="005533D1" w:rsidRDefault="00A32E35" w:rsidP="005533D1">
      <w:r>
        <w:rPr>
          <w:sz w:val="22"/>
          <w:szCs w:val="22"/>
        </w:rPr>
        <w:t xml:space="preserve">In </w:t>
      </w:r>
      <w:proofErr w:type="spellStart"/>
      <w:r>
        <w:rPr>
          <w:sz w:val="22"/>
          <w:szCs w:val="22"/>
        </w:rPr>
        <w:t>cynomolgus</w:t>
      </w:r>
      <w:proofErr w:type="spellEnd"/>
      <w:r>
        <w:rPr>
          <w:sz w:val="22"/>
          <w:szCs w:val="22"/>
        </w:rPr>
        <w:t xml:space="preserve"> monkeys, administration of </w:t>
      </w:r>
      <w:proofErr w:type="spellStart"/>
      <w:r>
        <w:rPr>
          <w:sz w:val="22"/>
          <w:szCs w:val="22"/>
        </w:rPr>
        <w:t>daclizumab</w:t>
      </w:r>
      <w:proofErr w:type="spellEnd"/>
      <w:r>
        <w:rPr>
          <w:sz w:val="22"/>
          <w:szCs w:val="22"/>
        </w:rPr>
        <w:t xml:space="preserve"> at subcutaneous doses of up to 200 mg/kg/week during the period of organogenesis did not produce </w:t>
      </w:r>
      <w:proofErr w:type="spellStart"/>
      <w:r>
        <w:rPr>
          <w:sz w:val="22"/>
          <w:szCs w:val="22"/>
        </w:rPr>
        <w:t>fetal</w:t>
      </w:r>
      <w:proofErr w:type="spellEnd"/>
      <w:r>
        <w:rPr>
          <w:sz w:val="22"/>
          <w:szCs w:val="22"/>
        </w:rPr>
        <w:t xml:space="preserve"> malformations or variations, but </w:t>
      </w:r>
      <w:proofErr w:type="spellStart"/>
      <w:r>
        <w:rPr>
          <w:sz w:val="22"/>
          <w:szCs w:val="22"/>
        </w:rPr>
        <w:t>fetal</w:t>
      </w:r>
      <w:proofErr w:type="spellEnd"/>
      <w:r>
        <w:rPr>
          <w:sz w:val="22"/>
          <w:szCs w:val="22"/>
        </w:rPr>
        <w:t xml:space="preserve"> loss was increased at the high dose, associated with serum AUC exposure about 140 fold the AUC exposure expected in patients at the recommended clinical dose. The no-effect dose (50 mg/kg/week) was associated with AUC exposure 33 fold </w:t>
      </w:r>
      <w:r w:rsidR="00590437">
        <w:rPr>
          <w:sz w:val="22"/>
          <w:szCs w:val="22"/>
        </w:rPr>
        <w:t xml:space="preserve">the expected </w:t>
      </w:r>
      <w:r>
        <w:rPr>
          <w:sz w:val="22"/>
          <w:szCs w:val="22"/>
        </w:rPr>
        <w:t>clinical exposure.</w:t>
      </w:r>
    </w:p>
    <w:p w:rsidR="00E04B18" w:rsidRPr="005533D1" w:rsidRDefault="00E04B18" w:rsidP="005533D1">
      <w:r w:rsidRPr="00E04B18">
        <w:t xml:space="preserve">In </w:t>
      </w:r>
      <w:proofErr w:type="spellStart"/>
      <w:r w:rsidRPr="00E04B18">
        <w:t>cynomolgus</w:t>
      </w:r>
      <w:proofErr w:type="spellEnd"/>
      <w:r w:rsidRPr="00E04B18">
        <w:t xml:space="preserve"> monkeys, administration of </w:t>
      </w:r>
      <w:proofErr w:type="spellStart"/>
      <w:r w:rsidRPr="00E04B18">
        <w:t>daclizumab</w:t>
      </w:r>
      <w:proofErr w:type="spellEnd"/>
      <w:r w:rsidRPr="00E04B18">
        <w:t xml:space="preserve"> at a subcutaneous dose of 50 mg/kg/week during the last two-thirds of pregnancy had no adverse effects on </w:t>
      </w:r>
      <w:proofErr w:type="spellStart"/>
      <w:r w:rsidRPr="00E04B18">
        <w:t>fetal</w:t>
      </w:r>
      <w:proofErr w:type="spellEnd"/>
      <w:r w:rsidRPr="00E04B18">
        <w:t xml:space="preserve"> or postnatal development up to 6 months of age. This dose resulted in a serum AUC about 55 fold the AUC expected in patients at the recommended clinical dose.</w:t>
      </w:r>
    </w:p>
    <w:p w:rsidR="000C26CD" w:rsidRDefault="005533D1" w:rsidP="008D03A3">
      <w:r>
        <w:t>ZINB</w:t>
      </w:r>
      <w:r w:rsidRPr="005533D1">
        <w:t>RYTA</w:t>
      </w:r>
      <w:r>
        <w:t xml:space="preserve"> should be used during pregnancy only if the potential benefit justifies the potential risk to the </w:t>
      </w:r>
      <w:proofErr w:type="spellStart"/>
      <w:r>
        <w:t>fetus</w:t>
      </w:r>
      <w:proofErr w:type="spellEnd"/>
      <w:r>
        <w:t>.</w:t>
      </w:r>
    </w:p>
    <w:p w:rsidR="00D73A95" w:rsidRPr="00960BB9" w:rsidRDefault="000360B4" w:rsidP="00D73A95">
      <w:pPr>
        <w:rPr>
          <w:i/>
        </w:rPr>
      </w:pPr>
      <w:r w:rsidRPr="00960BB9">
        <w:rPr>
          <w:i/>
        </w:rPr>
        <w:t>Labour</w:t>
      </w:r>
      <w:r w:rsidR="00D73A95" w:rsidRPr="00960BB9">
        <w:rPr>
          <w:i/>
        </w:rPr>
        <w:t xml:space="preserve"> and Delivery</w:t>
      </w:r>
    </w:p>
    <w:p w:rsidR="00D73A95" w:rsidRDefault="00D73A95" w:rsidP="00D73A95">
      <w:r>
        <w:t xml:space="preserve">The effects of </w:t>
      </w:r>
      <w:r w:rsidR="00FE4239">
        <w:t>ZINBRYTA</w:t>
      </w:r>
      <w:r>
        <w:t xml:space="preserve"> on </w:t>
      </w:r>
      <w:r w:rsidR="000360B4">
        <w:t>labour</w:t>
      </w:r>
      <w:r>
        <w:t xml:space="preserve"> and delivery are unknown.</w:t>
      </w:r>
    </w:p>
    <w:p w:rsidR="00D73A95" w:rsidRPr="00960BB9" w:rsidRDefault="00D73A95" w:rsidP="00D73A95">
      <w:pPr>
        <w:rPr>
          <w:i/>
        </w:rPr>
      </w:pPr>
      <w:r w:rsidRPr="00960BB9">
        <w:rPr>
          <w:i/>
        </w:rPr>
        <w:t xml:space="preserve">Women of </w:t>
      </w:r>
      <w:r w:rsidR="00DF480B">
        <w:rPr>
          <w:i/>
        </w:rPr>
        <w:t>C</w:t>
      </w:r>
      <w:r w:rsidRPr="00960BB9">
        <w:rPr>
          <w:i/>
        </w:rPr>
        <w:t xml:space="preserve">hildbearing </w:t>
      </w:r>
      <w:r w:rsidR="00DF480B">
        <w:rPr>
          <w:i/>
        </w:rPr>
        <w:t>P</w:t>
      </w:r>
      <w:r w:rsidRPr="00960BB9">
        <w:rPr>
          <w:i/>
        </w:rPr>
        <w:t>otential</w:t>
      </w:r>
    </w:p>
    <w:p w:rsidR="00D73A95" w:rsidRDefault="00D73A95" w:rsidP="00D73A95">
      <w:r>
        <w:t xml:space="preserve">The benefit of treatment with </w:t>
      </w:r>
      <w:r w:rsidR="00FE4239">
        <w:t>ZINBRYTA</w:t>
      </w:r>
      <w:r>
        <w:t xml:space="preserve"> versus potential risk should be discussed with women of childbearing age or women who become pregnant during therapy.</w:t>
      </w:r>
    </w:p>
    <w:p w:rsidR="00D73A95" w:rsidRDefault="00521670" w:rsidP="00D73A95">
      <w:pPr>
        <w:rPr>
          <w:b/>
        </w:rPr>
      </w:pPr>
      <w:r>
        <w:rPr>
          <w:b/>
        </w:rPr>
        <w:br w:type="page"/>
      </w:r>
      <w:r w:rsidR="00D73A95">
        <w:rPr>
          <w:b/>
        </w:rPr>
        <w:lastRenderedPageBreak/>
        <w:t xml:space="preserve">Use in </w:t>
      </w:r>
      <w:r w:rsidR="0056167E">
        <w:rPr>
          <w:b/>
        </w:rPr>
        <w:t>L</w:t>
      </w:r>
      <w:r w:rsidR="00D73A95">
        <w:rPr>
          <w:b/>
        </w:rPr>
        <w:t>actation</w:t>
      </w:r>
    </w:p>
    <w:p w:rsidR="005533D1" w:rsidRPr="005533D1" w:rsidRDefault="005533D1" w:rsidP="005533D1">
      <w:r w:rsidRPr="005533D1">
        <w:t xml:space="preserve">Human IgG is excreted into human milk. Low levels of </w:t>
      </w:r>
      <w:proofErr w:type="spellStart"/>
      <w:r w:rsidRPr="005533D1">
        <w:t>daclizumab</w:t>
      </w:r>
      <w:proofErr w:type="spellEnd"/>
      <w:r w:rsidRPr="005533D1">
        <w:t xml:space="preserve"> have been detected in the milk of lactating </w:t>
      </w:r>
      <w:proofErr w:type="spellStart"/>
      <w:r w:rsidRPr="005533D1">
        <w:t>cynomolgus</w:t>
      </w:r>
      <w:proofErr w:type="spellEnd"/>
      <w:r w:rsidRPr="005533D1">
        <w:t xml:space="preserve"> monkeys. </w:t>
      </w:r>
      <w:r w:rsidR="00AB2BA8" w:rsidRPr="00AB2BA8">
        <w:t xml:space="preserve">It is not known whether </w:t>
      </w:r>
      <w:proofErr w:type="spellStart"/>
      <w:r w:rsidR="00AB2BA8" w:rsidRPr="00AB2BA8">
        <w:t>daclizumab</w:t>
      </w:r>
      <w:proofErr w:type="spellEnd"/>
      <w:r w:rsidR="00AB2BA8" w:rsidRPr="00AB2BA8">
        <w:t xml:space="preserve"> is </w:t>
      </w:r>
      <w:r w:rsidR="00A32E35">
        <w:t>excreted</w:t>
      </w:r>
      <w:r w:rsidR="00A32E35" w:rsidRPr="00AB2BA8">
        <w:t xml:space="preserve"> </w:t>
      </w:r>
      <w:r w:rsidR="00AB2BA8" w:rsidRPr="00AB2BA8">
        <w:t>in human milk.</w:t>
      </w:r>
    </w:p>
    <w:p w:rsidR="0046646E" w:rsidRPr="005533D1" w:rsidRDefault="005533D1" w:rsidP="005533D1">
      <w:pPr>
        <w:rPr>
          <w:b/>
        </w:rPr>
      </w:pPr>
      <w:r w:rsidRPr="005533D1">
        <w:t>Therefore it is recommended that a decision be made whether to discontinue breast-feeding or to discontinue treatment with ZINBRYTA, taking into account the benefit of breast</w:t>
      </w:r>
      <w:r w:rsidRPr="005533D1">
        <w:noBreakHyphen/>
        <w:t>feeding to the child and of therapy to the woman.</w:t>
      </w:r>
    </w:p>
    <w:p w:rsidR="004F6448" w:rsidRPr="00491F45" w:rsidRDefault="004F6448" w:rsidP="004F6448">
      <w:pPr>
        <w:pStyle w:val="Heading3"/>
        <w:rPr>
          <w:i w:val="0"/>
          <w:iCs w:val="0"/>
        </w:rPr>
      </w:pPr>
      <w:r w:rsidRPr="00491F45">
        <w:rPr>
          <w:i w:val="0"/>
          <w:iCs w:val="0"/>
        </w:rPr>
        <w:t>Paediatric</w:t>
      </w:r>
      <w:r>
        <w:rPr>
          <w:i w:val="0"/>
          <w:iCs w:val="0"/>
        </w:rPr>
        <w:t xml:space="preserve"> </w:t>
      </w:r>
      <w:r w:rsidR="0056167E">
        <w:rPr>
          <w:i w:val="0"/>
          <w:iCs w:val="0"/>
        </w:rPr>
        <w:t>U</w:t>
      </w:r>
      <w:r>
        <w:rPr>
          <w:i w:val="0"/>
          <w:iCs w:val="0"/>
        </w:rPr>
        <w:t>se</w:t>
      </w:r>
    </w:p>
    <w:p w:rsidR="004F6448" w:rsidRDefault="004F6448" w:rsidP="004F6448">
      <w:r w:rsidRPr="004C11C7">
        <w:t xml:space="preserve">The safety and efficacy of </w:t>
      </w:r>
      <w:r>
        <w:t>ZINBRYTA</w:t>
      </w:r>
      <w:r w:rsidRPr="004C11C7">
        <w:t xml:space="preserve"> in patients below 18 years of age has not been studied.</w:t>
      </w:r>
    </w:p>
    <w:p w:rsidR="004F6448" w:rsidRPr="00491F45" w:rsidRDefault="00751D0D" w:rsidP="004F6448">
      <w:pPr>
        <w:pStyle w:val="Heading3"/>
        <w:rPr>
          <w:i w:val="0"/>
          <w:iCs w:val="0"/>
        </w:rPr>
      </w:pPr>
      <w:r w:rsidRPr="00751D0D">
        <w:rPr>
          <w:i w:val="0"/>
          <w:iCs w:val="0"/>
        </w:rPr>
        <w:t xml:space="preserve">Use in the </w:t>
      </w:r>
      <w:r w:rsidR="0056167E">
        <w:rPr>
          <w:i w:val="0"/>
          <w:iCs w:val="0"/>
        </w:rPr>
        <w:t>E</w:t>
      </w:r>
      <w:r w:rsidRPr="00751D0D">
        <w:rPr>
          <w:i w:val="0"/>
          <w:iCs w:val="0"/>
        </w:rPr>
        <w:t>lderly</w:t>
      </w:r>
    </w:p>
    <w:p w:rsidR="004F6448" w:rsidRDefault="004F6448" w:rsidP="004F6448">
      <w:r w:rsidRPr="004C11C7">
        <w:t xml:space="preserve">Clinical studies of </w:t>
      </w:r>
      <w:r>
        <w:t>ZINBRYTA</w:t>
      </w:r>
      <w:r w:rsidRPr="004C11C7">
        <w:t xml:space="preserve"> did not include patients over 65 years to determine whether they respond differently than younger patients.</w:t>
      </w:r>
    </w:p>
    <w:p w:rsidR="00835A84" w:rsidRDefault="004F6448" w:rsidP="00835A84">
      <w:pPr>
        <w:pStyle w:val="Heading2"/>
      </w:pPr>
      <w:proofErr w:type="spellStart"/>
      <w:r w:rsidRPr="004F6448">
        <w:t>Genotoxicity</w:t>
      </w:r>
      <w:proofErr w:type="spellEnd"/>
      <w:r w:rsidRPr="004F6448">
        <w:t xml:space="preserve"> </w:t>
      </w:r>
    </w:p>
    <w:p w:rsidR="005533D1" w:rsidRPr="005533D1" w:rsidRDefault="005533D1" w:rsidP="005533D1">
      <w:proofErr w:type="spellStart"/>
      <w:r>
        <w:t>Genotoxicity</w:t>
      </w:r>
      <w:proofErr w:type="spellEnd"/>
      <w:r>
        <w:t xml:space="preserve"> studies have not been co</w:t>
      </w:r>
      <w:r w:rsidRPr="005533D1">
        <w:t xml:space="preserve">nducted with </w:t>
      </w:r>
      <w:proofErr w:type="spellStart"/>
      <w:r w:rsidRPr="005533D1">
        <w:t>daclizumab</w:t>
      </w:r>
      <w:proofErr w:type="spellEnd"/>
      <w:r w:rsidRPr="005533D1">
        <w:t xml:space="preserve">. As </w:t>
      </w:r>
      <w:proofErr w:type="spellStart"/>
      <w:r w:rsidRPr="005533D1">
        <w:t>daclizumab</w:t>
      </w:r>
      <w:proofErr w:type="spellEnd"/>
      <w:r w:rsidRPr="005533D1">
        <w:t xml:space="preserve"> is a monoclonal antibody it would not be expected to have </w:t>
      </w:r>
      <w:proofErr w:type="spellStart"/>
      <w:r w:rsidRPr="005533D1">
        <w:t>genotoxic</w:t>
      </w:r>
      <w:proofErr w:type="spellEnd"/>
      <w:r w:rsidRPr="005533D1">
        <w:t xml:space="preserve"> potential.</w:t>
      </w:r>
    </w:p>
    <w:p w:rsidR="004F6448" w:rsidRDefault="004F6448" w:rsidP="004F6448">
      <w:pPr>
        <w:pStyle w:val="Heading2"/>
      </w:pPr>
      <w:r w:rsidRPr="004F6448">
        <w:t xml:space="preserve">Carcinogenicity </w:t>
      </w:r>
    </w:p>
    <w:p w:rsidR="004F6448" w:rsidRDefault="00D65483" w:rsidP="00835A84">
      <w:r>
        <w:t xml:space="preserve">Carcinogenicity studies with </w:t>
      </w:r>
      <w:proofErr w:type="spellStart"/>
      <w:r>
        <w:t>daclizumab</w:t>
      </w:r>
      <w:proofErr w:type="spellEnd"/>
      <w:r>
        <w:t xml:space="preserve"> have not been conducted.</w:t>
      </w:r>
    </w:p>
    <w:p w:rsidR="004F6448" w:rsidRPr="00D73A95" w:rsidRDefault="004F6448" w:rsidP="004F6448">
      <w:pPr>
        <w:rPr>
          <w:b/>
        </w:rPr>
      </w:pPr>
      <w:r w:rsidRPr="00D73A95">
        <w:rPr>
          <w:b/>
        </w:rPr>
        <w:t>Effects on Ability to Drive and Use Machines</w:t>
      </w:r>
    </w:p>
    <w:p w:rsidR="004F6448" w:rsidRDefault="004F6448" w:rsidP="00835A84">
      <w:r>
        <w:t>No studies on effects on the ability to drive or use machines during treatment with ZINBRYTA have been performed.</w:t>
      </w:r>
    </w:p>
    <w:p w:rsidR="00835A84" w:rsidRDefault="00835A84" w:rsidP="00835A84">
      <w:pPr>
        <w:pStyle w:val="Heading2"/>
      </w:pPr>
      <w:r>
        <w:t>Toxicology</w:t>
      </w:r>
    </w:p>
    <w:p w:rsidR="00D65483" w:rsidRDefault="00D65483" w:rsidP="00D65483">
      <w:r>
        <w:t xml:space="preserve">In two 9 month studies conducted in </w:t>
      </w:r>
      <w:proofErr w:type="spellStart"/>
      <w:r>
        <w:t>cynomolgus</w:t>
      </w:r>
      <w:proofErr w:type="spellEnd"/>
      <w:r>
        <w:t xml:space="preserve"> monkeys </w:t>
      </w:r>
      <w:proofErr w:type="spellStart"/>
      <w:r>
        <w:t>daclizumab</w:t>
      </w:r>
      <w:proofErr w:type="spellEnd"/>
      <w:r>
        <w:t xml:space="preserve"> was subcutaneously administered at doses of 10-2</w:t>
      </w:r>
      <w:r w:rsidRPr="00D65483">
        <w:t>00mg/kg/fortnight.</w:t>
      </w:r>
    </w:p>
    <w:p w:rsidR="00D65483" w:rsidRDefault="00D65483" w:rsidP="00D65483">
      <w:r>
        <w:t xml:space="preserve">Chronic administration of </w:t>
      </w:r>
      <w:proofErr w:type="spellStart"/>
      <w:r>
        <w:t>daclizumab</w:t>
      </w:r>
      <w:proofErr w:type="spellEnd"/>
      <w:r>
        <w:t xml:space="preserve"> at all doses increased the incidence of skin findings (compared to those observed in control animals). These findings (dry, red raised patchy areas of the skin that correlated microscopically with acanthosis/hyperkeratosis and sub-acute to chronic inflammation) were characterized predominantly as mild to moderate, with one case assessed as severe.</w:t>
      </w:r>
    </w:p>
    <w:p w:rsidR="00626045" w:rsidRDefault="00D65483" w:rsidP="00D65483">
      <w:r>
        <w:t xml:space="preserve">A dose dependent increase in </w:t>
      </w:r>
      <w:r w:rsidR="00A32E35">
        <w:t xml:space="preserve">the </w:t>
      </w:r>
      <w:r>
        <w:t>incidence of microglial aggregates above background was observed in the brain and spinal cord of monkeys treated with 35mg/kg</w:t>
      </w:r>
      <w:r w:rsidR="005B7B58">
        <w:t xml:space="preserve"> </w:t>
      </w:r>
      <w:r w:rsidR="00A32E35">
        <w:t>or greater</w:t>
      </w:r>
      <w:r>
        <w:t xml:space="preserve"> (</w:t>
      </w:r>
      <w:r w:rsidRPr="00D65483">
        <w:t xml:space="preserve">serum </w:t>
      </w:r>
      <w:r>
        <w:t xml:space="preserve">AUC </w:t>
      </w:r>
      <w:r w:rsidR="00A32E35">
        <w:t>about 20</w:t>
      </w:r>
      <w:r w:rsidR="00295BF9">
        <w:t xml:space="preserve"> </w:t>
      </w:r>
      <w:r>
        <w:t>times</w:t>
      </w:r>
      <w:r w:rsidR="00295BF9">
        <w:t xml:space="preserve"> or greater</w:t>
      </w:r>
      <w:r>
        <w:t xml:space="preserve"> the </w:t>
      </w:r>
      <w:r w:rsidRPr="00D65483">
        <w:t>AUC expected in patients at the recommended c</w:t>
      </w:r>
      <w:r>
        <w:t xml:space="preserve">linical dose). </w:t>
      </w:r>
      <w:r w:rsidR="005B7B58">
        <w:t xml:space="preserve">The no-effect dose was 10 mg/kg (serum AUC about 5 </w:t>
      </w:r>
      <w:proofErr w:type="gramStart"/>
      <w:r w:rsidR="005B7B58">
        <w:t>times</w:t>
      </w:r>
      <w:proofErr w:type="gramEnd"/>
      <w:r w:rsidR="005B7B58">
        <w:t xml:space="preserve"> clinical AUC exposure).</w:t>
      </w:r>
      <w:r w:rsidR="006E49DF">
        <w:t xml:space="preserve"> </w:t>
      </w:r>
      <w:r>
        <w:t xml:space="preserve">Following a recovery period of up to 12 weeks, there was evidence of reversibility. Microglial aggregates in monkeys did not increase in incidence or severity with increased duration of dosing and were not associated with neuronal damage or neurobehavioral effects. A small subset of microglial aggregates were associated with </w:t>
      </w:r>
      <w:proofErr w:type="spellStart"/>
      <w:r>
        <w:t>microhemorrhage</w:t>
      </w:r>
      <w:proofErr w:type="spellEnd"/>
      <w:r>
        <w:t xml:space="preserve"> but with no evident functional </w:t>
      </w:r>
      <w:proofErr w:type="spellStart"/>
      <w:r>
        <w:t>sequelae</w:t>
      </w:r>
      <w:proofErr w:type="spellEnd"/>
      <w:r>
        <w:t xml:space="preserve"> in monkeys.</w:t>
      </w:r>
    </w:p>
    <w:p w:rsidR="00D65483" w:rsidRDefault="00D65483" w:rsidP="00D65483">
      <w:r w:rsidRPr="00D65483">
        <w:rPr>
          <w:i/>
        </w:rPr>
        <w:t>In vitro</w:t>
      </w:r>
      <w:r w:rsidRPr="00D65483">
        <w:t xml:space="preserve"> </w:t>
      </w:r>
      <w:r>
        <w:t xml:space="preserve">investigative studies suggest that microglial aggregates are not due to a direct effect of </w:t>
      </w:r>
      <w:proofErr w:type="spellStart"/>
      <w:r>
        <w:t>daclizumab</w:t>
      </w:r>
      <w:proofErr w:type="spellEnd"/>
      <w:r>
        <w:t xml:space="preserve"> on microglial cells but are likely attributable to an increase in local IL-2 bioavailability.</w:t>
      </w:r>
    </w:p>
    <w:p w:rsidR="00835A84" w:rsidRDefault="00835A84" w:rsidP="00835A84">
      <w:r>
        <w:lastRenderedPageBreak/>
        <w:t>The clinical relevance of microglial aggregates is unknown, however no deleterious neurologic effects attributed to the microscopic change have been observed in monkeys.</w:t>
      </w:r>
    </w:p>
    <w:p w:rsidR="00B90298" w:rsidRDefault="00236478" w:rsidP="00236478">
      <w:pPr>
        <w:pStyle w:val="PIHeading2"/>
        <w:rPr>
          <w:szCs w:val="24"/>
        </w:rPr>
      </w:pPr>
      <w:r w:rsidRPr="00236478">
        <w:t>Special Populations</w:t>
      </w:r>
    </w:p>
    <w:p w:rsidR="00236478" w:rsidRPr="00236478" w:rsidRDefault="00236478" w:rsidP="00236478">
      <w:pPr>
        <w:rPr>
          <w:b/>
          <w:i/>
        </w:rPr>
      </w:pPr>
      <w:r w:rsidRPr="00236478">
        <w:rPr>
          <w:b/>
          <w:i/>
        </w:rPr>
        <w:t>Patients with Hepatic Impairment</w:t>
      </w:r>
    </w:p>
    <w:p w:rsidR="00236478" w:rsidRDefault="00FE4239" w:rsidP="00236478">
      <w:r>
        <w:t>ZINBRYTA</w:t>
      </w:r>
      <w:r w:rsidR="00236478">
        <w:t xml:space="preserve"> is </w:t>
      </w:r>
      <w:r w:rsidR="00576064">
        <w:t>contraindicated</w:t>
      </w:r>
      <w:r w:rsidR="00091A3A">
        <w:t xml:space="preserve"> in patients with pre-</w:t>
      </w:r>
      <w:r w:rsidR="00236478">
        <w:t xml:space="preserve">existing </w:t>
      </w:r>
      <w:r w:rsidR="00576064">
        <w:rPr>
          <w:szCs w:val="24"/>
        </w:rPr>
        <w:t xml:space="preserve">hepatic disease or </w:t>
      </w:r>
      <w:r w:rsidR="00236478">
        <w:t>hepatic impairment</w:t>
      </w:r>
      <w:r w:rsidR="00590437">
        <w:t>,</w:t>
      </w:r>
      <w:r w:rsidR="006E49DF" w:rsidRPr="006E49DF">
        <w:rPr>
          <w:szCs w:val="24"/>
        </w:rPr>
        <w:t xml:space="preserve"> </w:t>
      </w:r>
      <w:r w:rsidR="006E49DF">
        <w:rPr>
          <w:szCs w:val="24"/>
        </w:rPr>
        <w:t>including ALT or AST at least 2 times the ULN prior to treatment</w:t>
      </w:r>
      <w:r w:rsidR="004B5DD5">
        <w:rPr>
          <w:szCs w:val="24"/>
        </w:rPr>
        <w:t xml:space="preserve"> (see CONTRAINDICATIONS and PRECAUTIONS, Hepatic Injury)</w:t>
      </w:r>
      <w:r w:rsidR="00236478">
        <w:t xml:space="preserve">. </w:t>
      </w:r>
    </w:p>
    <w:p w:rsidR="00EC69FE" w:rsidRPr="00FF13B1" w:rsidRDefault="00EC69FE" w:rsidP="0090693D">
      <w:pPr>
        <w:pStyle w:val="PIHeading1"/>
      </w:pPr>
      <w:r w:rsidRPr="00CE19A9">
        <w:t>Interaction</w:t>
      </w:r>
      <w:r w:rsidR="009F092C" w:rsidRPr="00CE19A9">
        <w:t>s</w:t>
      </w:r>
      <w:r w:rsidRPr="00CE19A9">
        <w:t xml:space="preserve"> with Other Medicines</w:t>
      </w:r>
      <w:r w:rsidR="00BC5FEB" w:rsidRPr="00FF13B1">
        <w:t xml:space="preserve"> </w:t>
      </w:r>
    </w:p>
    <w:p w:rsidR="00236478" w:rsidRDefault="00FE4239" w:rsidP="00236478">
      <w:r>
        <w:t>ZINBRYTA</w:t>
      </w:r>
      <w:r w:rsidR="00236478">
        <w:t xml:space="preserve"> 150 mg SC every 4 weeks for 12 weeks in MS patients did not affect the systemic exposure of concomitantly administered oral midazolam (CYP3A substrate), warfarin (CYP2C9 substrate), dextromethorphan (CYP2D6 substrate), omeprazole (CYP2C19 substrate), and caffeine (CYP1A2 substrate). Therefore, no dosage adjustments are needed for drugs that are substrates of these CYP enzymes when given concomitantly with </w:t>
      </w:r>
      <w:r>
        <w:t>ZINBRYTA</w:t>
      </w:r>
      <w:r w:rsidR="00236478">
        <w:t>.</w:t>
      </w:r>
    </w:p>
    <w:p w:rsidR="00236478" w:rsidRPr="00236478" w:rsidRDefault="00236478" w:rsidP="00236478">
      <w:pPr>
        <w:rPr>
          <w:b/>
        </w:rPr>
      </w:pPr>
      <w:r w:rsidRPr="00236478">
        <w:rPr>
          <w:b/>
        </w:rPr>
        <w:t>Immuni</w:t>
      </w:r>
      <w:r w:rsidR="001920A7">
        <w:rPr>
          <w:b/>
        </w:rPr>
        <w:t>s</w:t>
      </w:r>
      <w:r w:rsidRPr="00236478">
        <w:rPr>
          <w:b/>
        </w:rPr>
        <w:t>ations</w:t>
      </w:r>
    </w:p>
    <w:p w:rsidR="00236478" w:rsidRDefault="00236478" w:rsidP="00236478">
      <w:r>
        <w:t xml:space="preserve">In a clinical study, patients (n=90) on long-term treatment with </w:t>
      </w:r>
      <w:r w:rsidR="00FE4239">
        <w:t>ZINBRYTA</w:t>
      </w:r>
      <w:r>
        <w:t xml:space="preserve"> mounted appropriate immune responses to an inactivated trivalent seasonal influenza vaccine. The magnitude of the immune response to the seasonal influenza vaccine, and proportion of patients with </w:t>
      </w:r>
      <w:proofErr w:type="spellStart"/>
      <w:r>
        <w:t>seroconversion</w:t>
      </w:r>
      <w:proofErr w:type="spellEnd"/>
      <w:r>
        <w:t xml:space="preserve"> and </w:t>
      </w:r>
      <w:proofErr w:type="spellStart"/>
      <w:r>
        <w:t>seroprotection</w:t>
      </w:r>
      <w:proofErr w:type="spellEnd"/>
      <w:r>
        <w:t xml:space="preserve"> were consistent with norms defined in healthy volunteer populations. Patients on </w:t>
      </w:r>
      <w:r w:rsidR="00FE4239">
        <w:t>ZINBRYTA</w:t>
      </w:r>
      <w:r>
        <w:t xml:space="preserve"> may receive non</w:t>
      </w:r>
      <w:r w:rsidR="00792050">
        <w:t>-</w:t>
      </w:r>
      <w:r>
        <w:t>live vaccines.</w:t>
      </w:r>
    </w:p>
    <w:p w:rsidR="00236478" w:rsidRDefault="00236478" w:rsidP="00236478">
      <w:r>
        <w:t>The safety of immuni</w:t>
      </w:r>
      <w:r w:rsidR="001920A7">
        <w:t>s</w:t>
      </w:r>
      <w:r>
        <w:t xml:space="preserve">ation with live vaccines during treatment with </w:t>
      </w:r>
      <w:r w:rsidR="00FE4239">
        <w:t>ZINBRYTA</w:t>
      </w:r>
      <w:r>
        <w:t xml:space="preserve"> has not been studied. Vaccination with live vaccines is not recommended during treatment and up to 4 months after discontinuation.</w:t>
      </w:r>
    </w:p>
    <w:p w:rsidR="002162E9" w:rsidRPr="00FF13B1" w:rsidRDefault="00C7315D" w:rsidP="00CC1938">
      <w:pPr>
        <w:pStyle w:val="PIHeading1"/>
      </w:pPr>
      <w:r w:rsidRPr="00FF13B1">
        <w:t xml:space="preserve">ADVERSE </w:t>
      </w:r>
      <w:r w:rsidR="00EC69FE" w:rsidRPr="00FF13B1">
        <w:t>Effects</w:t>
      </w:r>
    </w:p>
    <w:p w:rsidR="00236478" w:rsidRDefault="00236478" w:rsidP="00236478">
      <w:r>
        <w:t xml:space="preserve">The most common adverse reactions (incidence ≥5% and ≥2% higher incidence than comparator) reported for </w:t>
      </w:r>
      <w:r w:rsidR="00FE4239">
        <w:t>ZINBRYTA</w:t>
      </w:r>
      <w:r>
        <w:t xml:space="preserve"> were rash, alanine aminotransferase (ALT) increased and depression compared to placebo; and </w:t>
      </w:r>
      <w:proofErr w:type="spellStart"/>
      <w:r>
        <w:t>nasopharyngitis</w:t>
      </w:r>
      <w:proofErr w:type="spellEnd"/>
      <w:r>
        <w:t>, upper respiratory tract infection, influenza, oropharyngeal pain, rash and lymphadenopathy compared to interferon beta</w:t>
      </w:r>
      <w:r w:rsidR="00792050">
        <w:t>-</w:t>
      </w:r>
      <w:r>
        <w:t>1a (IM).</w:t>
      </w:r>
    </w:p>
    <w:p w:rsidR="00236478" w:rsidRDefault="00236478" w:rsidP="00236478">
      <w:r>
        <w:t xml:space="preserve">The most commonly reported adverse events leading to discontinuation in patients treated with </w:t>
      </w:r>
      <w:r w:rsidR="00FE4239">
        <w:t>ZINBRYTA</w:t>
      </w:r>
      <w:r>
        <w:t xml:space="preserve"> were hepatic events including elevations of serum transaminases (5 %) and cutaneous events (4 %).</w:t>
      </w:r>
    </w:p>
    <w:p w:rsidR="00EE1B2E" w:rsidRDefault="00236478" w:rsidP="00236478">
      <w:pPr>
        <w:rPr>
          <w:b/>
        </w:rPr>
      </w:pPr>
      <w:r w:rsidRPr="00236478">
        <w:rPr>
          <w:b/>
        </w:rPr>
        <w:t>Clinical Trials</w:t>
      </w:r>
    </w:p>
    <w:p w:rsidR="00E363C6" w:rsidRPr="00E44819" w:rsidRDefault="00D65483" w:rsidP="00236478">
      <w:r w:rsidRPr="00E44819">
        <w:t xml:space="preserve">In clinical studies, 2133 patients with relapsing multiple sclerosis (RMS) have been treated with </w:t>
      </w:r>
      <w:r>
        <w:t>ZINBRYTA</w:t>
      </w:r>
      <w:r w:rsidRPr="00E44819">
        <w:t>. In the placebo</w:t>
      </w:r>
      <w:r>
        <w:t>-</w:t>
      </w:r>
      <w:r w:rsidRPr="00E44819">
        <w:t>controlled, active comparator</w:t>
      </w:r>
      <w:r>
        <w:t>-</w:t>
      </w:r>
      <w:r w:rsidRPr="00E44819">
        <w:t>controlled and other studies, 1785 patients with RMS</w:t>
      </w:r>
      <w:r w:rsidRPr="00D65483">
        <w:t xml:space="preserve"> evaluable for safety have</w:t>
      </w:r>
      <w:r w:rsidRPr="00E44819">
        <w:t xml:space="preserve"> been treated for periods up to 6 years with an overall exposure of approximately 4100 person-years. Of these, 1215 patients have received more than 2 years and 573 patients more than 3 years of treatment.</w:t>
      </w:r>
    </w:p>
    <w:p w:rsidR="00236478" w:rsidRPr="00E44819" w:rsidRDefault="00236478" w:rsidP="00236478">
      <w:r w:rsidRPr="00E44819">
        <w:t xml:space="preserve">In the placebo-controlled study (the SELECT study/Study 1), 417 patients received </w:t>
      </w:r>
      <w:r w:rsidR="00FE4239">
        <w:t>ZINBRYTA</w:t>
      </w:r>
      <w:r w:rsidRPr="00E44819">
        <w:t xml:space="preserve"> (150</w:t>
      </w:r>
      <w:r>
        <w:t> </w:t>
      </w:r>
      <w:r w:rsidRPr="00E44819">
        <w:t>mg n=208; 300</w:t>
      </w:r>
      <w:r>
        <w:t> </w:t>
      </w:r>
      <w:r w:rsidRPr="00E44819">
        <w:t>mg n=209; every 4 weeks) for up to 1 year with 423 person-years of exposure.</w:t>
      </w:r>
    </w:p>
    <w:p w:rsidR="00236478" w:rsidRPr="00E44819" w:rsidRDefault="00236478" w:rsidP="00236478">
      <w:r w:rsidRPr="00E44819">
        <w:lastRenderedPageBreak/>
        <w:t xml:space="preserve">The adverse reactions presented in Table </w:t>
      </w:r>
      <w:r w:rsidR="0056167E">
        <w:t>5</w:t>
      </w:r>
      <w:r w:rsidR="0056167E" w:rsidRPr="00E44819">
        <w:t xml:space="preserve"> </w:t>
      </w:r>
      <w:r w:rsidRPr="00E44819">
        <w:t xml:space="preserve">(and Table </w:t>
      </w:r>
      <w:r w:rsidR="0056167E">
        <w:t>6</w:t>
      </w:r>
      <w:r w:rsidRPr="00E44819">
        <w:t>) are based on safety information from 208 patients treated with 150</w:t>
      </w:r>
      <w:r>
        <w:t> </w:t>
      </w:r>
      <w:r w:rsidRPr="00E44819">
        <w:t xml:space="preserve">mg of </w:t>
      </w:r>
      <w:r w:rsidR="00FE4239">
        <w:t>ZINBRYTA</w:t>
      </w:r>
      <w:r w:rsidRPr="00E44819">
        <w:t xml:space="preserve"> and 204 patients treated with placebo.</w:t>
      </w:r>
    </w:p>
    <w:p w:rsidR="00236478" w:rsidRDefault="00236478" w:rsidP="00236478">
      <w:r w:rsidRPr="00E44819">
        <w:t>In this study, the safety profiles of 150</w:t>
      </w:r>
      <w:r>
        <w:t> </w:t>
      </w:r>
      <w:r w:rsidRPr="00E44819">
        <w:t>mg and 300</w:t>
      </w:r>
      <w:r>
        <w:t> </w:t>
      </w:r>
      <w:r w:rsidRPr="00E44819">
        <w:t xml:space="preserve">mg of </w:t>
      </w:r>
      <w:r w:rsidR="00FE4239">
        <w:t>ZINBRYTA</w:t>
      </w:r>
      <w:r w:rsidRPr="00E44819">
        <w:t xml:space="preserve"> were similar.</w:t>
      </w:r>
    </w:p>
    <w:p w:rsidR="00D65483" w:rsidRPr="00E44819" w:rsidRDefault="00D65483" w:rsidP="00D65483">
      <w:r w:rsidRPr="00E44819">
        <w:t>In the active</w:t>
      </w:r>
      <w:r>
        <w:t>-</w:t>
      </w:r>
      <w:r w:rsidRPr="00E44819">
        <w:t xml:space="preserve">controlled study (the DECIDE study/Study 2), 919 patients received </w:t>
      </w:r>
      <w:r>
        <w:t>ZINBRYTA</w:t>
      </w:r>
      <w:r w:rsidRPr="00E44819">
        <w:t xml:space="preserve"> (150</w:t>
      </w:r>
      <w:r>
        <w:t> </w:t>
      </w:r>
      <w:r w:rsidRPr="00E44819">
        <w:t>mg, every 4 weeks) and 922 patients received interferon beta</w:t>
      </w:r>
      <w:r>
        <w:t>-</w:t>
      </w:r>
      <w:r w:rsidRPr="00E44819">
        <w:t xml:space="preserve">1a (IM) (30 mcg weekly) for a minimum of 2 years and up to 3 years, with 1952 person-years of exposure to </w:t>
      </w:r>
      <w:r>
        <w:t>ZINBRYTA</w:t>
      </w:r>
      <w:r w:rsidRPr="00E44819">
        <w:t xml:space="preserve"> (Table </w:t>
      </w:r>
      <w:r w:rsidR="0056167E">
        <w:t>5</w:t>
      </w:r>
      <w:r w:rsidR="0056167E" w:rsidRPr="00E44819">
        <w:t xml:space="preserve"> </w:t>
      </w:r>
      <w:r w:rsidRPr="00E44819">
        <w:t xml:space="preserve">and </w:t>
      </w:r>
      <w:r w:rsidR="0056167E">
        <w:t>7</w:t>
      </w:r>
      <w:r w:rsidRPr="00E44819">
        <w:t>).</w:t>
      </w:r>
    </w:p>
    <w:p w:rsidR="00236478" w:rsidRPr="00236478" w:rsidRDefault="00236478" w:rsidP="00236478">
      <w:pPr>
        <w:rPr>
          <w:b/>
          <w:i/>
        </w:rPr>
      </w:pPr>
      <w:r w:rsidRPr="00236478">
        <w:rPr>
          <w:b/>
          <w:i/>
        </w:rPr>
        <w:t xml:space="preserve">Tabulated </w:t>
      </w:r>
      <w:r w:rsidR="0056167E">
        <w:rPr>
          <w:b/>
          <w:i/>
        </w:rPr>
        <w:t>L</w:t>
      </w:r>
      <w:r w:rsidRPr="00236478">
        <w:rPr>
          <w:b/>
          <w:i/>
        </w:rPr>
        <w:t xml:space="preserve">ist of </w:t>
      </w:r>
      <w:r w:rsidR="0056167E">
        <w:rPr>
          <w:b/>
          <w:i/>
        </w:rPr>
        <w:t>A</w:t>
      </w:r>
      <w:r w:rsidRPr="00236478">
        <w:rPr>
          <w:b/>
          <w:i/>
        </w:rPr>
        <w:t xml:space="preserve">dverse </w:t>
      </w:r>
      <w:r w:rsidR="0056167E">
        <w:rPr>
          <w:b/>
          <w:i/>
        </w:rPr>
        <w:t>R</w:t>
      </w:r>
      <w:r w:rsidRPr="00236478">
        <w:rPr>
          <w:b/>
          <w:i/>
        </w:rPr>
        <w:t>eactions</w:t>
      </w:r>
    </w:p>
    <w:p w:rsidR="00236478" w:rsidRPr="00E44819" w:rsidRDefault="00236478" w:rsidP="00236478">
      <w:r w:rsidRPr="00E44819">
        <w:t xml:space="preserve">Adverse drug reactions for </w:t>
      </w:r>
      <w:r w:rsidR="00FE4239">
        <w:t>ZINBRYTA</w:t>
      </w:r>
      <w:r w:rsidRPr="00E44819">
        <w:t xml:space="preserve"> are defined as those adverse events occurring with a ≥2% higher incidence in patients treated with </w:t>
      </w:r>
      <w:r w:rsidR="00FE4239">
        <w:t>ZINBRYTA</w:t>
      </w:r>
      <w:r w:rsidRPr="00E44819">
        <w:t xml:space="preserve"> compared with placebo and interferon beta</w:t>
      </w:r>
      <w:r w:rsidR="00792050">
        <w:t>-</w:t>
      </w:r>
      <w:r w:rsidRPr="00E44819">
        <w:t xml:space="preserve">1a (IM) in the clinical studies. In addition, other potentially relevant adverse events observed at a &lt;2% difference are also included when determining adverse drug reactions, based on a reasonable possibility of causality. </w:t>
      </w:r>
    </w:p>
    <w:p w:rsidR="00236478" w:rsidRDefault="00236478" w:rsidP="00236478">
      <w:r w:rsidRPr="00E44819">
        <w:t xml:space="preserve">The adverse reactions are presented as </w:t>
      </w:r>
      <w:proofErr w:type="spellStart"/>
      <w:r w:rsidRPr="00E44819">
        <w:t>MedDRA</w:t>
      </w:r>
      <w:proofErr w:type="spellEnd"/>
      <w:r w:rsidRPr="00E44819">
        <w:t xml:space="preserve"> preferred terms under the </w:t>
      </w:r>
      <w:proofErr w:type="spellStart"/>
      <w:r w:rsidRPr="00E44819">
        <w:t>MedDRA</w:t>
      </w:r>
      <w:proofErr w:type="spellEnd"/>
      <w:r w:rsidRPr="00E44819">
        <w:t xml:space="preserve"> system organ class (SOC) by frequency and incidence. </w:t>
      </w:r>
    </w:p>
    <w:p w:rsidR="00236478" w:rsidRPr="00236478" w:rsidRDefault="00236478" w:rsidP="00236478">
      <w:pPr>
        <w:spacing w:after="0"/>
        <w:jc w:val="left"/>
        <w:rPr>
          <w:szCs w:val="24"/>
          <w:lang w:val="en-US"/>
        </w:rPr>
      </w:pPr>
      <w:r w:rsidRPr="00236478">
        <w:rPr>
          <w:szCs w:val="24"/>
          <w:lang w:val="en-US"/>
        </w:rPr>
        <w:t>The incidence of the adverse reactions is expressed according to the following categories:</w:t>
      </w:r>
    </w:p>
    <w:p w:rsidR="00236478" w:rsidRPr="00236478" w:rsidRDefault="00236478" w:rsidP="00236478">
      <w:pPr>
        <w:spacing w:after="0"/>
        <w:jc w:val="left"/>
        <w:rPr>
          <w:szCs w:val="24"/>
          <w:lang w:val="en-US"/>
        </w:rPr>
      </w:pPr>
      <w:r w:rsidRPr="00236478">
        <w:rPr>
          <w:szCs w:val="24"/>
          <w:lang w:val="en-US"/>
        </w:rPr>
        <w:t>•</w:t>
      </w:r>
      <w:r w:rsidRPr="00236478">
        <w:rPr>
          <w:szCs w:val="24"/>
          <w:lang w:val="en-US"/>
        </w:rPr>
        <w:tab/>
        <w:t xml:space="preserve">Very common </w:t>
      </w:r>
      <w:r w:rsidR="00D07C29">
        <w:rPr>
          <w:szCs w:val="24"/>
          <w:lang w:val="en-US"/>
        </w:rPr>
        <w:t>≥</w:t>
      </w:r>
      <w:r w:rsidRPr="00236478">
        <w:rPr>
          <w:szCs w:val="24"/>
          <w:lang w:val="en-US"/>
        </w:rPr>
        <w:t>1/10</w:t>
      </w:r>
    </w:p>
    <w:p w:rsidR="00236478" w:rsidRPr="00236478" w:rsidRDefault="00236478" w:rsidP="00236478">
      <w:pPr>
        <w:spacing w:after="0"/>
        <w:jc w:val="left"/>
        <w:rPr>
          <w:szCs w:val="24"/>
          <w:lang w:val="en-US"/>
        </w:rPr>
      </w:pPr>
      <w:r w:rsidRPr="00236478">
        <w:rPr>
          <w:szCs w:val="24"/>
          <w:lang w:val="en-US"/>
        </w:rPr>
        <w:t>•</w:t>
      </w:r>
      <w:r w:rsidRPr="00236478">
        <w:rPr>
          <w:szCs w:val="24"/>
          <w:lang w:val="en-US"/>
        </w:rPr>
        <w:tab/>
        <w:t>Common ≥1/100 to &lt;1/10</w:t>
      </w:r>
    </w:p>
    <w:p w:rsidR="00236478" w:rsidRPr="00236478" w:rsidRDefault="00236478" w:rsidP="00236478">
      <w:pPr>
        <w:spacing w:after="0"/>
        <w:jc w:val="left"/>
        <w:rPr>
          <w:szCs w:val="24"/>
          <w:lang w:val="en-US"/>
        </w:rPr>
      </w:pPr>
      <w:r w:rsidRPr="00236478">
        <w:rPr>
          <w:szCs w:val="24"/>
          <w:lang w:val="en-US"/>
        </w:rPr>
        <w:t>•</w:t>
      </w:r>
      <w:r w:rsidRPr="00236478">
        <w:rPr>
          <w:szCs w:val="24"/>
          <w:lang w:val="en-US"/>
        </w:rPr>
        <w:tab/>
        <w:t>Uncommon ≥1/1,000 to &lt;1/100</w:t>
      </w:r>
    </w:p>
    <w:p w:rsidR="00236478" w:rsidRPr="00236478" w:rsidRDefault="00236478" w:rsidP="00236478">
      <w:pPr>
        <w:spacing w:after="0"/>
        <w:jc w:val="left"/>
        <w:rPr>
          <w:szCs w:val="24"/>
          <w:lang w:val="en-US"/>
        </w:rPr>
      </w:pPr>
      <w:r w:rsidRPr="00236478">
        <w:rPr>
          <w:szCs w:val="24"/>
          <w:lang w:val="en-US"/>
        </w:rPr>
        <w:t>•</w:t>
      </w:r>
      <w:r w:rsidRPr="00236478">
        <w:rPr>
          <w:szCs w:val="24"/>
          <w:lang w:val="en-US"/>
        </w:rPr>
        <w:tab/>
        <w:t xml:space="preserve">Rare </w:t>
      </w:r>
      <w:r w:rsidR="00D07C29">
        <w:rPr>
          <w:szCs w:val="24"/>
          <w:lang w:val="en-US"/>
        </w:rPr>
        <w:t>≥</w:t>
      </w:r>
      <w:r w:rsidRPr="00236478">
        <w:rPr>
          <w:szCs w:val="24"/>
          <w:lang w:val="en-US"/>
        </w:rPr>
        <w:t>1/10,000 to &lt;1/1</w:t>
      </w:r>
      <w:r w:rsidR="00D07C29">
        <w:rPr>
          <w:szCs w:val="24"/>
          <w:lang w:val="en-US"/>
        </w:rPr>
        <w:t>,</w:t>
      </w:r>
      <w:r w:rsidRPr="00236478">
        <w:rPr>
          <w:szCs w:val="24"/>
          <w:lang w:val="en-US"/>
        </w:rPr>
        <w:t>000</w:t>
      </w:r>
    </w:p>
    <w:p w:rsidR="00236478" w:rsidRPr="00236478" w:rsidRDefault="00236478" w:rsidP="00236478">
      <w:pPr>
        <w:spacing w:after="0"/>
        <w:jc w:val="left"/>
        <w:rPr>
          <w:szCs w:val="24"/>
          <w:lang w:val="en-US"/>
        </w:rPr>
      </w:pPr>
      <w:r w:rsidRPr="00236478">
        <w:rPr>
          <w:szCs w:val="24"/>
          <w:lang w:val="en-US"/>
        </w:rPr>
        <w:t>•</w:t>
      </w:r>
      <w:r w:rsidRPr="00236478">
        <w:rPr>
          <w:szCs w:val="24"/>
          <w:lang w:val="en-US"/>
        </w:rPr>
        <w:tab/>
        <w:t>Very rare (&lt;1/10,000)</w:t>
      </w:r>
    </w:p>
    <w:p w:rsidR="00236478" w:rsidRPr="00236478" w:rsidRDefault="00236478" w:rsidP="00236478">
      <w:pPr>
        <w:spacing w:after="0"/>
        <w:jc w:val="left"/>
        <w:rPr>
          <w:szCs w:val="24"/>
          <w:lang w:val="en-US"/>
        </w:rPr>
      </w:pPr>
      <w:r w:rsidRPr="00236478">
        <w:rPr>
          <w:szCs w:val="24"/>
          <w:lang w:val="en-US"/>
        </w:rPr>
        <w:t>•</w:t>
      </w:r>
      <w:r w:rsidRPr="00236478">
        <w:rPr>
          <w:szCs w:val="24"/>
          <w:lang w:val="en-US"/>
        </w:rPr>
        <w:tab/>
        <w:t>Not known (cannot be estimated from the available data)</w:t>
      </w:r>
    </w:p>
    <w:p w:rsidR="00236478" w:rsidRDefault="00236478" w:rsidP="00236478"/>
    <w:p w:rsidR="00236478" w:rsidRDefault="00D65483" w:rsidP="00236478">
      <w:pPr>
        <w:spacing w:after="0"/>
        <w:jc w:val="left"/>
        <w:rPr>
          <w:u w:val="single"/>
        </w:rPr>
      </w:pPr>
      <w:r>
        <w:rPr>
          <w:u w:val="single"/>
        </w:rPr>
        <w:br w:type="page"/>
      </w:r>
      <w:r w:rsidR="00236478" w:rsidRPr="00E44819">
        <w:rPr>
          <w:u w:val="single"/>
        </w:rPr>
        <w:lastRenderedPageBreak/>
        <w:t xml:space="preserve">Table </w:t>
      </w:r>
      <w:r w:rsidR="00DF480B">
        <w:rPr>
          <w:u w:val="single"/>
        </w:rPr>
        <w:t>5</w:t>
      </w:r>
      <w:r w:rsidR="00236478" w:rsidRPr="00E44819">
        <w:rPr>
          <w:u w:val="single"/>
        </w:rPr>
        <w:t xml:space="preserve">: Adverse </w:t>
      </w:r>
      <w:r w:rsidR="00236478" w:rsidRPr="00236478">
        <w:rPr>
          <w:szCs w:val="24"/>
          <w:u w:val="single"/>
          <w:lang w:val="en-US"/>
        </w:rPr>
        <w:t>Reactions</w:t>
      </w:r>
      <w:r w:rsidR="00236478" w:rsidRPr="00E44819">
        <w:rPr>
          <w:u w:val="single"/>
        </w:rPr>
        <w:t xml:space="preserve"> reported for </w:t>
      </w:r>
      <w:r w:rsidR="00FE4239">
        <w:rPr>
          <w:u w:val="single"/>
        </w:rPr>
        <w:t>ZINBRYTA</w:t>
      </w:r>
    </w:p>
    <w:p w:rsidR="0034710B" w:rsidRPr="00E44819" w:rsidRDefault="0034710B" w:rsidP="00236478">
      <w:pPr>
        <w:spacing w:after="0"/>
        <w:jc w:val="left"/>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4775"/>
        <w:gridCol w:w="2269"/>
      </w:tblGrid>
      <w:tr w:rsidR="00FC3B09" w:rsidRPr="00236478" w:rsidTr="00FC3B09">
        <w:trPr>
          <w:tblHeader/>
        </w:trPr>
        <w:tc>
          <w:tcPr>
            <w:tcW w:w="1334" w:type="pct"/>
            <w:shd w:val="clear" w:color="auto" w:fill="auto"/>
          </w:tcPr>
          <w:p w:rsidR="00236478" w:rsidRPr="00236478" w:rsidRDefault="00236478" w:rsidP="00236478">
            <w:pPr>
              <w:spacing w:after="0"/>
              <w:jc w:val="left"/>
              <w:rPr>
                <w:b/>
                <w:szCs w:val="24"/>
                <w:lang w:val="en-US"/>
              </w:rPr>
            </w:pPr>
            <w:r w:rsidRPr="00236478">
              <w:rPr>
                <w:b/>
                <w:szCs w:val="24"/>
                <w:lang w:val="en-US"/>
              </w:rPr>
              <w:t>System Organ Class</w:t>
            </w:r>
          </w:p>
        </w:tc>
        <w:tc>
          <w:tcPr>
            <w:tcW w:w="2485" w:type="pct"/>
            <w:shd w:val="clear" w:color="auto" w:fill="auto"/>
          </w:tcPr>
          <w:p w:rsidR="00236478" w:rsidRPr="00236478" w:rsidRDefault="00236478" w:rsidP="00236478">
            <w:pPr>
              <w:spacing w:after="0"/>
              <w:jc w:val="left"/>
              <w:rPr>
                <w:b/>
                <w:szCs w:val="24"/>
                <w:lang w:val="en-US"/>
              </w:rPr>
            </w:pPr>
            <w:r w:rsidRPr="00236478">
              <w:rPr>
                <w:b/>
                <w:szCs w:val="24"/>
                <w:lang w:val="en-US"/>
              </w:rPr>
              <w:t>Adverse reaction</w:t>
            </w:r>
          </w:p>
        </w:tc>
        <w:tc>
          <w:tcPr>
            <w:tcW w:w="1181" w:type="pct"/>
            <w:shd w:val="clear" w:color="auto" w:fill="auto"/>
          </w:tcPr>
          <w:p w:rsidR="00236478" w:rsidRPr="00236478" w:rsidRDefault="00236478" w:rsidP="00236478">
            <w:pPr>
              <w:spacing w:after="0"/>
              <w:jc w:val="center"/>
              <w:rPr>
                <w:b/>
                <w:szCs w:val="24"/>
                <w:lang w:val="en-US"/>
              </w:rPr>
            </w:pPr>
            <w:r w:rsidRPr="00236478">
              <w:rPr>
                <w:b/>
                <w:szCs w:val="24"/>
                <w:lang w:val="en-US"/>
              </w:rPr>
              <w:t>Frequency</w:t>
            </w:r>
          </w:p>
        </w:tc>
      </w:tr>
      <w:tr w:rsidR="00FC3B09" w:rsidRPr="00236478" w:rsidTr="00FC3B09">
        <w:tc>
          <w:tcPr>
            <w:tcW w:w="1334" w:type="pct"/>
            <w:vMerge w:val="restart"/>
            <w:shd w:val="clear" w:color="auto" w:fill="auto"/>
          </w:tcPr>
          <w:p w:rsidR="00236478" w:rsidRPr="00236478" w:rsidRDefault="00236478" w:rsidP="00236478">
            <w:pPr>
              <w:spacing w:after="0"/>
              <w:jc w:val="left"/>
              <w:rPr>
                <w:szCs w:val="24"/>
                <w:lang w:val="en-US"/>
              </w:rPr>
            </w:pPr>
            <w:r w:rsidRPr="00236478">
              <w:rPr>
                <w:szCs w:val="24"/>
                <w:lang w:val="en-US"/>
              </w:rPr>
              <w:t>Infections and Infestations</w:t>
            </w:r>
          </w:p>
        </w:tc>
        <w:tc>
          <w:tcPr>
            <w:tcW w:w="2485" w:type="pct"/>
            <w:shd w:val="clear" w:color="auto" w:fill="auto"/>
            <w:vAlign w:val="center"/>
          </w:tcPr>
          <w:p w:rsidR="00236478" w:rsidRPr="00236478" w:rsidRDefault="00236478" w:rsidP="00236478">
            <w:pPr>
              <w:spacing w:after="0"/>
              <w:jc w:val="left"/>
              <w:rPr>
                <w:szCs w:val="24"/>
                <w:lang w:val="en-US"/>
              </w:rPr>
            </w:pPr>
            <w:proofErr w:type="spellStart"/>
            <w:r w:rsidRPr="00236478">
              <w:rPr>
                <w:bCs/>
                <w:kern w:val="24"/>
                <w:szCs w:val="24"/>
                <w:lang w:val="en-US"/>
              </w:rPr>
              <w:t>Nasopharyngitis</w:t>
            </w:r>
            <w:proofErr w:type="spellEnd"/>
            <w:r w:rsidRPr="00236478">
              <w:rPr>
                <w:bCs/>
                <w:kern w:val="24"/>
                <w:szCs w:val="24"/>
                <w:lang w:val="en-US"/>
              </w:rPr>
              <w:t>†</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Very Common</w:t>
            </w:r>
          </w:p>
        </w:tc>
      </w:tr>
      <w:tr w:rsidR="00FC3B09" w:rsidRPr="00236478" w:rsidTr="00FC3B09">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Upper respiratory tract infection</w:t>
            </w:r>
            <w:r w:rsidRPr="00236478">
              <w:rPr>
                <w:szCs w:val="24"/>
                <w:lang w:val="en-US"/>
              </w:rPr>
              <w:t>†</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Very Common</w:t>
            </w:r>
          </w:p>
        </w:tc>
      </w:tr>
      <w:tr w:rsidR="00FC3B09" w:rsidRPr="00236478" w:rsidTr="00FC3B09">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Influenza†</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bCs/>
                <w:kern w:val="24"/>
                <w:szCs w:val="24"/>
                <w:lang w:val="en-US"/>
              </w:rPr>
            </w:pPr>
            <w:r w:rsidRPr="00236478">
              <w:rPr>
                <w:bCs/>
                <w:kern w:val="24"/>
                <w:szCs w:val="24"/>
                <w:lang w:val="en-US"/>
              </w:rPr>
              <w:t>Bronchitis</w:t>
            </w:r>
          </w:p>
        </w:tc>
        <w:tc>
          <w:tcPr>
            <w:tcW w:w="1181" w:type="pct"/>
            <w:shd w:val="clear" w:color="auto" w:fill="auto"/>
            <w:vAlign w:val="center"/>
          </w:tcPr>
          <w:p w:rsidR="00236478" w:rsidRPr="00236478" w:rsidRDefault="00236478" w:rsidP="00236478">
            <w:pPr>
              <w:spacing w:after="0"/>
              <w:jc w:val="center"/>
              <w:rPr>
                <w:kern w:val="24"/>
                <w:szCs w:val="24"/>
                <w:lang w:val="en-US"/>
              </w:rPr>
            </w:pPr>
            <w:r w:rsidRPr="00236478">
              <w:rPr>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Pharyngitis</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 xml:space="preserve">Respiratory tract infection </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Tonsillitis†</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Rhinitis*</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szCs w:val="24"/>
                <w:lang w:val="en-US"/>
              </w:rPr>
              <w:t>Common</w:t>
            </w:r>
          </w:p>
        </w:tc>
      </w:tr>
      <w:tr w:rsidR="00FC3B09" w:rsidRPr="00236478" w:rsidTr="00FC3B09">
        <w:trPr>
          <w:trHeight w:val="195"/>
        </w:trPr>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bCs/>
                <w:kern w:val="24"/>
                <w:szCs w:val="24"/>
                <w:lang w:val="en-US"/>
              </w:rPr>
            </w:pPr>
            <w:r w:rsidRPr="00236478">
              <w:rPr>
                <w:bCs/>
                <w:kern w:val="24"/>
                <w:szCs w:val="24"/>
                <w:lang w:val="en-US"/>
              </w:rPr>
              <w:t>Viral infection</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bCs/>
                <w:kern w:val="24"/>
                <w:szCs w:val="24"/>
                <w:lang w:val="en-US"/>
              </w:rPr>
            </w:pPr>
            <w:r w:rsidRPr="00236478">
              <w:rPr>
                <w:bCs/>
                <w:kern w:val="24"/>
                <w:szCs w:val="24"/>
                <w:lang w:val="en-US"/>
              </w:rPr>
              <w:t>Pneumonia</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bCs/>
                <w:kern w:val="24"/>
                <w:szCs w:val="24"/>
                <w:lang w:val="en-US"/>
              </w:rPr>
            </w:pPr>
            <w:r w:rsidRPr="00236478">
              <w:rPr>
                <w:bCs/>
                <w:kern w:val="24"/>
                <w:szCs w:val="24"/>
                <w:lang w:val="en-US"/>
              </w:rPr>
              <w:t>Laryngitis</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bCs/>
                <w:kern w:val="24"/>
                <w:szCs w:val="24"/>
                <w:lang w:val="en-US"/>
              </w:rPr>
            </w:pPr>
            <w:r w:rsidRPr="00236478">
              <w:rPr>
                <w:bCs/>
                <w:kern w:val="24"/>
                <w:szCs w:val="24"/>
                <w:lang w:val="en-US"/>
              </w:rPr>
              <w:t>Folliculitis</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szCs w:val="24"/>
                <w:lang w:val="en-US"/>
              </w:rPr>
              <w:t>Common</w:t>
            </w:r>
          </w:p>
        </w:tc>
      </w:tr>
      <w:tr w:rsidR="00FC3B09" w:rsidRPr="00236478" w:rsidTr="00FC3B09">
        <w:tc>
          <w:tcPr>
            <w:tcW w:w="1334" w:type="pct"/>
            <w:vMerge w:val="restart"/>
            <w:shd w:val="clear" w:color="auto" w:fill="auto"/>
          </w:tcPr>
          <w:p w:rsidR="00236478" w:rsidRPr="00236478" w:rsidRDefault="00236478" w:rsidP="00236478">
            <w:pPr>
              <w:spacing w:after="0"/>
              <w:jc w:val="left"/>
              <w:rPr>
                <w:szCs w:val="24"/>
                <w:lang w:val="en-US"/>
              </w:rPr>
            </w:pPr>
            <w:r w:rsidRPr="00236478">
              <w:rPr>
                <w:bCs/>
                <w:kern w:val="24"/>
                <w:szCs w:val="24"/>
                <w:lang w:val="en-US"/>
              </w:rPr>
              <w:t>Blood and lymphatic system disorders</w:t>
            </w:r>
          </w:p>
          <w:p w:rsidR="00236478" w:rsidRPr="00236478" w:rsidRDefault="00236478" w:rsidP="00236478">
            <w:pPr>
              <w:spacing w:after="0"/>
              <w:jc w:val="left"/>
              <w:rPr>
                <w:szCs w:val="24"/>
                <w:lang w:val="en-US"/>
              </w:rPr>
            </w:pPr>
            <w:r w:rsidRPr="00236478">
              <w:rPr>
                <w:bCs/>
                <w:kern w:val="24"/>
                <w:szCs w:val="24"/>
                <w:lang w:val="en-US"/>
              </w:rPr>
              <w:t> </w:t>
            </w:r>
          </w:p>
        </w:tc>
        <w:tc>
          <w:tcPr>
            <w:tcW w:w="2485" w:type="pct"/>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Lymphadenopathy†</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Common</w:t>
            </w:r>
          </w:p>
        </w:tc>
      </w:tr>
      <w:tr w:rsidR="00FC3B09" w:rsidRPr="00236478" w:rsidTr="00FC3B09">
        <w:tc>
          <w:tcPr>
            <w:tcW w:w="1334" w:type="pct"/>
            <w:vMerge/>
            <w:shd w:val="clear" w:color="auto" w:fill="auto"/>
          </w:tcPr>
          <w:p w:rsidR="00236478" w:rsidRPr="004F6448" w:rsidRDefault="00236478" w:rsidP="00236478">
            <w:pPr>
              <w:spacing w:after="0"/>
              <w:jc w:val="left"/>
              <w:rPr>
                <w:szCs w:val="24"/>
                <w:lang w:val="en-BZ"/>
              </w:rPr>
            </w:pPr>
          </w:p>
        </w:tc>
        <w:tc>
          <w:tcPr>
            <w:tcW w:w="2485" w:type="pct"/>
            <w:shd w:val="clear" w:color="auto" w:fill="auto"/>
            <w:vAlign w:val="center"/>
          </w:tcPr>
          <w:p w:rsidR="00236478" w:rsidRPr="00236478" w:rsidRDefault="00236478" w:rsidP="00236478">
            <w:pPr>
              <w:spacing w:after="0"/>
              <w:jc w:val="left"/>
              <w:rPr>
                <w:szCs w:val="24"/>
                <w:lang w:val="en-US"/>
              </w:rPr>
            </w:pPr>
            <w:r w:rsidRPr="004F6448">
              <w:rPr>
                <w:kern w:val="24"/>
                <w:szCs w:val="24"/>
                <w:lang w:val="en-BZ"/>
              </w:rPr>
              <w:t>Anaemia</w:t>
            </w:r>
            <w:r w:rsidRPr="00236478">
              <w:rPr>
                <w:kern w:val="24"/>
                <w:szCs w:val="24"/>
                <w:lang w:val="en-US"/>
              </w:rPr>
              <w:t>*</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bCs/>
                <w:kern w:val="24"/>
                <w:szCs w:val="24"/>
                <w:lang w:val="en-US"/>
              </w:rPr>
            </w:pPr>
          </w:p>
        </w:tc>
        <w:tc>
          <w:tcPr>
            <w:tcW w:w="2485" w:type="pct"/>
            <w:shd w:val="clear" w:color="auto" w:fill="auto"/>
            <w:vAlign w:val="center"/>
          </w:tcPr>
          <w:p w:rsidR="00236478" w:rsidRPr="00236478" w:rsidRDefault="00236478" w:rsidP="00236478">
            <w:pPr>
              <w:spacing w:after="0"/>
              <w:jc w:val="left"/>
              <w:rPr>
                <w:kern w:val="24"/>
                <w:szCs w:val="24"/>
                <w:lang w:val="en-US"/>
              </w:rPr>
            </w:pPr>
            <w:r w:rsidRPr="00236478">
              <w:rPr>
                <w:kern w:val="24"/>
                <w:szCs w:val="24"/>
                <w:lang w:val="en-US"/>
              </w:rPr>
              <w:t>Lymphadenitis</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szCs w:val="24"/>
                <w:lang w:val="en-US"/>
              </w:rPr>
              <w:t>Common</w:t>
            </w:r>
          </w:p>
        </w:tc>
      </w:tr>
      <w:tr w:rsidR="00FC3B09" w:rsidRPr="00236478" w:rsidTr="00FC3B09">
        <w:tc>
          <w:tcPr>
            <w:tcW w:w="1334" w:type="pct"/>
            <w:shd w:val="clear" w:color="auto" w:fill="auto"/>
          </w:tcPr>
          <w:p w:rsidR="00236478" w:rsidRPr="00236478" w:rsidRDefault="00236478" w:rsidP="00236478">
            <w:pPr>
              <w:spacing w:after="0"/>
              <w:jc w:val="left"/>
              <w:rPr>
                <w:szCs w:val="24"/>
                <w:lang w:val="en-US"/>
              </w:rPr>
            </w:pPr>
            <w:r w:rsidRPr="00236478">
              <w:rPr>
                <w:bCs/>
                <w:kern w:val="24"/>
                <w:szCs w:val="24"/>
                <w:lang w:val="en-US"/>
              </w:rPr>
              <w:t>Psychiatric disorders</w:t>
            </w:r>
          </w:p>
        </w:tc>
        <w:tc>
          <w:tcPr>
            <w:tcW w:w="2485" w:type="pct"/>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Depression*</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 Common</w:t>
            </w:r>
          </w:p>
        </w:tc>
      </w:tr>
      <w:tr w:rsidR="00FC3B09" w:rsidRPr="00236478" w:rsidTr="00FC3B09">
        <w:tc>
          <w:tcPr>
            <w:tcW w:w="1334" w:type="pct"/>
            <w:shd w:val="clear" w:color="auto" w:fill="auto"/>
          </w:tcPr>
          <w:p w:rsidR="00236478" w:rsidRPr="00236478" w:rsidRDefault="00236478" w:rsidP="00236478">
            <w:pPr>
              <w:spacing w:after="0"/>
              <w:jc w:val="left"/>
              <w:rPr>
                <w:szCs w:val="24"/>
                <w:lang w:val="en-US"/>
              </w:rPr>
            </w:pPr>
            <w:r w:rsidRPr="00236478">
              <w:rPr>
                <w:bCs/>
                <w:kern w:val="24"/>
                <w:szCs w:val="24"/>
                <w:lang w:val="en-US"/>
              </w:rPr>
              <w:t>Respiratory, thoracic and mediastinal disorders</w:t>
            </w:r>
          </w:p>
        </w:tc>
        <w:tc>
          <w:tcPr>
            <w:tcW w:w="2485" w:type="pct"/>
            <w:shd w:val="clear" w:color="auto" w:fill="auto"/>
            <w:vAlign w:val="center"/>
          </w:tcPr>
          <w:p w:rsidR="00236478" w:rsidRPr="00236478" w:rsidRDefault="00236478" w:rsidP="00236478">
            <w:pPr>
              <w:spacing w:after="0"/>
              <w:jc w:val="left"/>
              <w:rPr>
                <w:szCs w:val="24"/>
                <w:lang w:val="en-US"/>
              </w:rPr>
            </w:pPr>
            <w:r w:rsidRPr="00236478">
              <w:rPr>
                <w:kern w:val="24"/>
                <w:szCs w:val="24"/>
                <w:lang w:val="en-US"/>
              </w:rPr>
              <w:t>Oropharyngeal pain</w:t>
            </w:r>
            <w:r w:rsidRPr="00236478">
              <w:rPr>
                <w:bCs/>
                <w:kern w:val="24"/>
                <w:szCs w:val="24"/>
                <w:lang w:val="en-US"/>
              </w:rPr>
              <w:t>†</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Common</w:t>
            </w:r>
          </w:p>
        </w:tc>
      </w:tr>
      <w:tr w:rsidR="00FC3B09" w:rsidRPr="00236478" w:rsidTr="00FC3B09">
        <w:tc>
          <w:tcPr>
            <w:tcW w:w="1334" w:type="pct"/>
            <w:shd w:val="clear" w:color="auto" w:fill="auto"/>
          </w:tcPr>
          <w:p w:rsidR="00236478" w:rsidRPr="00236478" w:rsidRDefault="00236478" w:rsidP="00236478">
            <w:pPr>
              <w:spacing w:after="0"/>
              <w:jc w:val="left"/>
              <w:rPr>
                <w:szCs w:val="24"/>
                <w:lang w:val="en-US"/>
              </w:rPr>
            </w:pPr>
            <w:r w:rsidRPr="00236478">
              <w:rPr>
                <w:bCs/>
                <w:kern w:val="24"/>
                <w:szCs w:val="24"/>
                <w:lang w:val="en-US"/>
              </w:rPr>
              <w:t>Gastrointestinal disorders</w:t>
            </w:r>
          </w:p>
        </w:tc>
        <w:tc>
          <w:tcPr>
            <w:tcW w:w="2485" w:type="pct"/>
            <w:shd w:val="clear" w:color="auto" w:fill="auto"/>
            <w:vAlign w:val="center"/>
          </w:tcPr>
          <w:p w:rsidR="00236478" w:rsidRPr="00236478" w:rsidRDefault="00236478" w:rsidP="00236478">
            <w:pPr>
              <w:spacing w:after="0"/>
              <w:jc w:val="left"/>
              <w:rPr>
                <w:szCs w:val="24"/>
                <w:lang w:val="en-US"/>
              </w:rPr>
            </w:pPr>
            <w:r w:rsidRPr="00236478">
              <w:rPr>
                <w:kern w:val="24"/>
                <w:szCs w:val="24"/>
                <w:lang w:val="en-US"/>
              </w:rPr>
              <w:t>Diarrhea</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Common </w:t>
            </w:r>
          </w:p>
        </w:tc>
      </w:tr>
      <w:tr w:rsidR="00FC3B09" w:rsidRPr="00236478" w:rsidTr="00FC3B09">
        <w:tc>
          <w:tcPr>
            <w:tcW w:w="1334" w:type="pct"/>
            <w:vMerge w:val="restart"/>
            <w:shd w:val="clear" w:color="auto" w:fill="auto"/>
          </w:tcPr>
          <w:p w:rsidR="00236478" w:rsidRPr="00236478" w:rsidRDefault="00236478" w:rsidP="00236478">
            <w:pPr>
              <w:spacing w:after="0"/>
              <w:jc w:val="left"/>
              <w:rPr>
                <w:szCs w:val="24"/>
                <w:lang w:val="en-US"/>
              </w:rPr>
            </w:pPr>
            <w:r w:rsidRPr="00236478">
              <w:rPr>
                <w:bCs/>
                <w:kern w:val="24"/>
                <w:szCs w:val="24"/>
                <w:lang w:val="en-US"/>
              </w:rPr>
              <w:t>Skin and subcutaneous tissue disorders</w:t>
            </w:r>
          </w:p>
          <w:p w:rsidR="00236478" w:rsidRPr="00236478" w:rsidRDefault="00236478" w:rsidP="00236478">
            <w:pPr>
              <w:spacing w:after="0"/>
              <w:jc w:val="left"/>
              <w:rPr>
                <w:szCs w:val="24"/>
                <w:lang w:val="en-US"/>
              </w:rPr>
            </w:pPr>
            <w:r w:rsidRPr="00236478">
              <w:rPr>
                <w:bCs/>
                <w:kern w:val="24"/>
                <w:szCs w:val="24"/>
                <w:lang w:val="en-US"/>
              </w:rPr>
              <w:t> </w:t>
            </w:r>
          </w:p>
          <w:p w:rsidR="00236478" w:rsidRPr="00236478" w:rsidRDefault="00236478" w:rsidP="00236478">
            <w:pPr>
              <w:spacing w:after="0"/>
              <w:jc w:val="left"/>
              <w:rPr>
                <w:szCs w:val="24"/>
                <w:lang w:val="en-US"/>
              </w:rPr>
            </w:pPr>
            <w:r w:rsidRPr="00236478">
              <w:rPr>
                <w:bCs/>
                <w:kern w:val="24"/>
                <w:szCs w:val="24"/>
                <w:lang w:val="en-US"/>
              </w:rPr>
              <w:t> </w:t>
            </w:r>
          </w:p>
          <w:p w:rsidR="00236478" w:rsidRPr="00236478" w:rsidRDefault="00236478" w:rsidP="00236478">
            <w:pPr>
              <w:spacing w:after="0"/>
              <w:jc w:val="left"/>
              <w:rPr>
                <w:szCs w:val="24"/>
                <w:lang w:val="en-US"/>
              </w:rPr>
            </w:pPr>
            <w:r w:rsidRPr="00236478">
              <w:rPr>
                <w:bCs/>
                <w:kern w:val="24"/>
                <w:szCs w:val="24"/>
                <w:lang w:val="en-US"/>
              </w:rPr>
              <w:t> </w:t>
            </w:r>
          </w:p>
        </w:tc>
        <w:tc>
          <w:tcPr>
            <w:tcW w:w="2485" w:type="pct"/>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Rash*†</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szCs w:val="24"/>
                <w:lang w:val="en-US"/>
              </w:rPr>
            </w:pPr>
            <w:r w:rsidRPr="00236478">
              <w:rPr>
                <w:kern w:val="24"/>
                <w:szCs w:val="24"/>
                <w:lang w:val="en-US"/>
              </w:rPr>
              <w:t>Eczema</w:t>
            </w:r>
            <w:r w:rsidRPr="00236478">
              <w:rPr>
                <w:bCs/>
                <w:kern w:val="24"/>
                <w:szCs w:val="24"/>
                <w:lang w:val="en-US"/>
              </w:rPr>
              <w:t>†</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bCs/>
                <w:kern w:val="24"/>
                <w:szCs w:val="24"/>
                <w:lang w:val="en-US"/>
              </w:rPr>
            </w:pPr>
          </w:p>
        </w:tc>
        <w:tc>
          <w:tcPr>
            <w:tcW w:w="2485" w:type="pct"/>
            <w:shd w:val="clear" w:color="auto" w:fill="auto"/>
            <w:vAlign w:val="center"/>
          </w:tcPr>
          <w:p w:rsidR="00236478" w:rsidRPr="00236478" w:rsidRDefault="00236478" w:rsidP="00236478">
            <w:pPr>
              <w:spacing w:after="0"/>
              <w:jc w:val="left"/>
              <w:rPr>
                <w:kern w:val="24"/>
                <w:szCs w:val="24"/>
                <w:lang w:val="en-US"/>
              </w:rPr>
            </w:pPr>
            <w:r w:rsidRPr="00236478">
              <w:rPr>
                <w:kern w:val="24"/>
                <w:szCs w:val="24"/>
                <w:lang w:val="en-US"/>
              </w:rPr>
              <w:t>Erythema</w:t>
            </w:r>
          </w:p>
        </w:tc>
        <w:tc>
          <w:tcPr>
            <w:tcW w:w="1181" w:type="pct"/>
            <w:shd w:val="clear" w:color="auto" w:fill="auto"/>
            <w:vAlign w:val="center"/>
          </w:tcPr>
          <w:p w:rsidR="00236478" w:rsidRPr="00236478" w:rsidRDefault="00236478" w:rsidP="00236478">
            <w:pPr>
              <w:spacing w:after="0"/>
              <w:jc w:val="center"/>
              <w:rPr>
                <w:kern w:val="24"/>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bCs/>
                <w:kern w:val="24"/>
                <w:szCs w:val="24"/>
                <w:lang w:val="en-US"/>
              </w:rPr>
            </w:pPr>
          </w:p>
        </w:tc>
        <w:tc>
          <w:tcPr>
            <w:tcW w:w="2485" w:type="pct"/>
            <w:shd w:val="clear" w:color="auto" w:fill="auto"/>
            <w:vAlign w:val="center"/>
          </w:tcPr>
          <w:p w:rsidR="00236478" w:rsidRPr="00236478" w:rsidRDefault="00236478" w:rsidP="00236478">
            <w:pPr>
              <w:spacing w:after="0"/>
              <w:jc w:val="left"/>
              <w:rPr>
                <w:kern w:val="24"/>
                <w:szCs w:val="24"/>
                <w:lang w:val="en-US"/>
              </w:rPr>
            </w:pPr>
            <w:r w:rsidRPr="00236478">
              <w:rPr>
                <w:kern w:val="24"/>
                <w:szCs w:val="24"/>
                <w:lang w:val="en-US"/>
              </w:rPr>
              <w:t>Pruritus</w:t>
            </w:r>
          </w:p>
        </w:tc>
        <w:tc>
          <w:tcPr>
            <w:tcW w:w="1181" w:type="pct"/>
            <w:shd w:val="clear" w:color="auto" w:fill="auto"/>
            <w:vAlign w:val="center"/>
          </w:tcPr>
          <w:p w:rsidR="00236478" w:rsidRPr="00236478" w:rsidRDefault="00236478" w:rsidP="00236478">
            <w:pPr>
              <w:spacing w:after="0"/>
              <w:jc w:val="center"/>
              <w:rPr>
                <w:kern w:val="24"/>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szCs w:val="24"/>
                <w:lang w:val="en-US"/>
              </w:rPr>
            </w:pPr>
          </w:p>
        </w:tc>
        <w:tc>
          <w:tcPr>
            <w:tcW w:w="2485" w:type="pct"/>
            <w:shd w:val="clear" w:color="auto" w:fill="auto"/>
            <w:vAlign w:val="center"/>
          </w:tcPr>
          <w:p w:rsidR="00236478" w:rsidRPr="00236478" w:rsidRDefault="00236478" w:rsidP="00236478">
            <w:pPr>
              <w:spacing w:after="0"/>
              <w:jc w:val="left"/>
              <w:rPr>
                <w:szCs w:val="24"/>
                <w:lang w:val="en-US"/>
              </w:rPr>
            </w:pPr>
            <w:r w:rsidRPr="00236478">
              <w:rPr>
                <w:kern w:val="24"/>
                <w:szCs w:val="24"/>
                <w:lang w:val="en-US"/>
              </w:rPr>
              <w:t>Acne</w:t>
            </w:r>
            <w:r w:rsidRPr="00236478">
              <w:rPr>
                <w:bCs/>
                <w:kern w:val="24"/>
                <w:szCs w:val="24"/>
                <w:lang w:val="en-US"/>
              </w:rPr>
              <w:t>†</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4F6448" w:rsidRDefault="00236478" w:rsidP="00236478">
            <w:pPr>
              <w:spacing w:after="0"/>
              <w:jc w:val="left"/>
              <w:rPr>
                <w:szCs w:val="24"/>
              </w:rPr>
            </w:pPr>
          </w:p>
        </w:tc>
        <w:tc>
          <w:tcPr>
            <w:tcW w:w="2485" w:type="pct"/>
            <w:shd w:val="clear" w:color="auto" w:fill="auto"/>
            <w:vAlign w:val="center"/>
          </w:tcPr>
          <w:p w:rsidR="00236478" w:rsidRPr="00236478" w:rsidRDefault="00236478" w:rsidP="00236478">
            <w:pPr>
              <w:spacing w:after="0"/>
              <w:jc w:val="left"/>
              <w:rPr>
                <w:szCs w:val="24"/>
                <w:lang w:val="en-US"/>
              </w:rPr>
            </w:pPr>
            <w:proofErr w:type="spellStart"/>
            <w:r w:rsidRPr="004F6448">
              <w:rPr>
                <w:kern w:val="24"/>
                <w:szCs w:val="24"/>
              </w:rPr>
              <w:t>Seborrhoeic</w:t>
            </w:r>
            <w:proofErr w:type="spellEnd"/>
            <w:r w:rsidRPr="00236478">
              <w:rPr>
                <w:kern w:val="24"/>
                <w:szCs w:val="24"/>
                <w:lang w:val="en-US"/>
              </w:rPr>
              <w:t xml:space="preserve"> dermatitis</w:t>
            </w:r>
            <w:r w:rsidRPr="00236478">
              <w:rPr>
                <w:bCs/>
                <w:kern w:val="24"/>
                <w:szCs w:val="24"/>
                <w:lang w:val="en-US"/>
              </w:rPr>
              <w:t>†</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bCs/>
                <w:kern w:val="24"/>
                <w:szCs w:val="24"/>
                <w:lang w:val="en-US"/>
              </w:rPr>
            </w:pPr>
          </w:p>
        </w:tc>
        <w:tc>
          <w:tcPr>
            <w:tcW w:w="2485" w:type="pct"/>
            <w:shd w:val="clear" w:color="auto" w:fill="auto"/>
            <w:vAlign w:val="center"/>
          </w:tcPr>
          <w:p w:rsidR="00236478" w:rsidRPr="00236478" w:rsidRDefault="00236478" w:rsidP="00236478">
            <w:pPr>
              <w:spacing w:after="0"/>
              <w:jc w:val="left"/>
              <w:rPr>
                <w:kern w:val="24"/>
                <w:szCs w:val="24"/>
                <w:lang w:val="en-US"/>
              </w:rPr>
            </w:pPr>
            <w:r w:rsidRPr="00236478">
              <w:rPr>
                <w:kern w:val="24"/>
                <w:szCs w:val="24"/>
                <w:lang w:val="en-US"/>
              </w:rPr>
              <w:t>Dry skin</w:t>
            </w:r>
          </w:p>
        </w:tc>
        <w:tc>
          <w:tcPr>
            <w:tcW w:w="1181" w:type="pct"/>
            <w:shd w:val="clear" w:color="auto" w:fill="auto"/>
            <w:vAlign w:val="center"/>
          </w:tcPr>
          <w:p w:rsidR="00236478" w:rsidRPr="00236478" w:rsidRDefault="00236478" w:rsidP="00236478">
            <w:pPr>
              <w:spacing w:after="0"/>
              <w:jc w:val="center"/>
              <w:rPr>
                <w:kern w:val="24"/>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bCs/>
                <w:kern w:val="24"/>
                <w:szCs w:val="24"/>
                <w:lang w:val="en-US"/>
              </w:rPr>
            </w:pPr>
          </w:p>
        </w:tc>
        <w:tc>
          <w:tcPr>
            <w:tcW w:w="2485" w:type="pct"/>
            <w:shd w:val="clear" w:color="auto" w:fill="auto"/>
            <w:vAlign w:val="center"/>
          </w:tcPr>
          <w:p w:rsidR="00236478" w:rsidRPr="00236478" w:rsidRDefault="00236478" w:rsidP="00236478">
            <w:pPr>
              <w:spacing w:after="0"/>
              <w:jc w:val="left"/>
              <w:rPr>
                <w:kern w:val="24"/>
                <w:szCs w:val="24"/>
                <w:lang w:val="en-US"/>
              </w:rPr>
            </w:pPr>
            <w:r w:rsidRPr="00236478">
              <w:rPr>
                <w:kern w:val="24"/>
                <w:szCs w:val="24"/>
                <w:lang w:val="en-US"/>
              </w:rPr>
              <w:t>Dermatitis</w:t>
            </w:r>
          </w:p>
        </w:tc>
        <w:tc>
          <w:tcPr>
            <w:tcW w:w="1181" w:type="pct"/>
            <w:shd w:val="clear" w:color="auto" w:fill="auto"/>
            <w:vAlign w:val="center"/>
          </w:tcPr>
          <w:p w:rsidR="00236478" w:rsidRPr="00236478" w:rsidRDefault="00236478" w:rsidP="00236478">
            <w:pPr>
              <w:spacing w:after="0"/>
              <w:jc w:val="center"/>
              <w:rPr>
                <w:kern w:val="24"/>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bCs/>
                <w:kern w:val="24"/>
                <w:szCs w:val="24"/>
                <w:lang w:val="en-US"/>
              </w:rPr>
            </w:pPr>
          </w:p>
        </w:tc>
        <w:tc>
          <w:tcPr>
            <w:tcW w:w="2485" w:type="pct"/>
            <w:shd w:val="clear" w:color="auto" w:fill="auto"/>
            <w:vAlign w:val="center"/>
          </w:tcPr>
          <w:p w:rsidR="00236478" w:rsidRPr="00236478" w:rsidRDefault="00236478" w:rsidP="00236478">
            <w:pPr>
              <w:spacing w:after="0"/>
              <w:jc w:val="left"/>
              <w:rPr>
                <w:kern w:val="24"/>
                <w:szCs w:val="24"/>
                <w:lang w:val="en-US"/>
              </w:rPr>
            </w:pPr>
            <w:r w:rsidRPr="00236478">
              <w:rPr>
                <w:kern w:val="24"/>
                <w:szCs w:val="24"/>
                <w:lang w:val="en-US"/>
              </w:rPr>
              <w:t>Dermatitis allergic</w:t>
            </w:r>
          </w:p>
        </w:tc>
        <w:tc>
          <w:tcPr>
            <w:tcW w:w="1181" w:type="pct"/>
            <w:shd w:val="clear" w:color="auto" w:fill="auto"/>
            <w:vAlign w:val="center"/>
          </w:tcPr>
          <w:p w:rsidR="00236478" w:rsidRPr="00236478" w:rsidRDefault="00236478" w:rsidP="00236478">
            <w:pPr>
              <w:spacing w:after="0"/>
              <w:jc w:val="center"/>
              <w:rPr>
                <w:kern w:val="24"/>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bCs/>
                <w:kern w:val="24"/>
                <w:szCs w:val="24"/>
                <w:lang w:val="en-US"/>
              </w:rPr>
            </w:pPr>
          </w:p>
        </w:tc>
        <w:tc>
          <w:tcPr>
            <w:tcW w:w="2485" w:type="pct"/>
            <w:shd w:val="clear" w:color="auto" w:fill="auto"/>
            <w:vAlign w:val="center"/>
          </w:tcPr>
          <w:p w:rsidR="00236478" w:rsidRPr="00236478" w:rsidRDefault="00236478" w:rsidP="00236478">
            <w:pPr>
              <w:spacing w:after="0"/>
              <w:jc w:val="left"/>
              <w:rPr>
                <w:kern w:val="24"/>
                <w:szCs w:val="24"/>
                <w:lang w:val="en-US"/>
              </w:rPr>
            </w:pPr>
            <w:r w:rsidRPr="00236478">
              <w:rPr>
                <w:kern w:val="24"/>
                <w:szCs w:val="24"/>
                <w:lang w:val="en-US"/>
              </w:rPr>
              <w:t>Rash</w:t>
            </w:r>
            <w:r w:rsidRPr="00116D6F">
              <w:rPr>
                <w:kern w:val="24"/>
                <w:szCs w:val="24"/>
                <w:lang w:val="en-US"/>
              </w:rPr>
              <w:t xml:space="preserve"> </w:t>
            </w:r>
            <w:proofErr w:type="spellStart"/>
            <w:r w:rsidRPr="00116D6F">
              <w:rPr>
                <w:kern w:val="24"/>
                <w:szCs w:val="24"/>
                <w:lang w:val="en-US"/>
              </w:rPr>
              <w:t>maculopapular</w:t>
            </w:r>
            <w:proofErr w:type="spellEnd"/>
          </w:p>
        </w:tc>
        <w:tc>
          <w:tcPr>
            <w:tcW w:w="1181" w:type="pct"/>
            <w:shd w:val="clear" w:color="auto" w:fill="auto"/>
            <w:vAlign w:val="center"/>
          </w:tcPr>
          <w:p w:rsidR="00236478" w:rsidRPr="00236478" w:rsidRDefault="00236478" w:rsidP="00236478">
            <w:pPr>
              <w:spacing w:after="0"/>
              <w:jc w:val="center"/>
              <w:rPr>
                <w:kern w:val="24"/>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bCs/>
                <w:kern w:val="24"/>
                <w:szCs w:val="24"/>
                <w:lang w:val="en-US"/>
              </w:rPr>
            </w:pPr>
          </w:p>
        </w:tc>
        <w:tc>
          <w:tcPr>
            <w:tcW w:w="2485" w:type="pct"/>
            <w:shd w:val="clear" w:color="auto" w:fill="auto"/>
            <w:vAlign w:val="center"/>
          </w:tcPr>
          <w:p w:rsidR="00236478" w:rsidRPr="00236478" w:rsidRDefault="00236478" w:rsidP="00236478">
            <w:pPr>
              <w:spacing w:after="0"/>
              <w:jc w:val="left"/>
              <w:rPr>
                <w:kern w:val="24"/>
                <w:szCs w:val="24"/>
                <w:lang w:val="en-US"/>
              </w:rPr>
            </w:pPr>
            <w:r w:rsidRPr="00236478">
              <w:rPr>
                <w:kern w:val="24"/>
                <w:szCs w:val="24"/>
                <w:lang w:val="en-US"/>
              </w:rPr>
              <w:t>Psoriasis</w:t>
            </w:r>
          </w:p>
        </w:tc>
        <w:tc>
          <w:tcPr>
            <w:tcW w:w="1181" w:type="pct"/>
            <w:shd w:val="clear" w:color="auto" w:fill="auto"/>
            <w:vAlign w:val="center"/>
          </w:tcPr>
          <w:p w:rsidR="00236478" w:rsidRPr="00236478" w:rsidRDefault="00236478" w:rsidP="00236478">
            <w:pPr>
              <w:spacing w:after="0"/>
              <w:jc w:val="center"/>
              <w:rPr>
                <w:kern w:val="24"/>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bCs/>
                <w:kern w:val="24"/>
                <w:szCs w:val="24"/>
                <w:lang w:val="en-US"/>
              </w:rPr>
            </w:pPr>
          </w:p>
        </w:tc>
        <w:tc>
          <w:tcPr>
            <w:tcW w:w="2485" w:type="pct"/>
            <w:shd w:val="clear" w:color="auto" w:fill="auto"/>
            <w:vAlign w:val="center"/>
          </w:tcPr>
          <w:p w:rsidR="00236478" w:rsidRPr="00236478" w:rsidRDefault="00236478" w:rsidP="00236478">
            <w:pPr>
              <w:spacing w:after="0"/>
              <w:jc w:val="left"/>
              <w:rPr>
                <w:kern w:val="24"/>
                <w:szCs w:val="24"/>
                <w:lang w:val="en-US"/>
              </w:rPr>
            </w:pPr>
            <w:r w:rsidRPr="00236478">
              <w:rPr>
                <w:kern w:val="24"/>
                <w:szCs w:val="24"/>
                <w:lang w:val="en-US"/>
              </w:rPr>
              <w:t>Skin exfoliation</w:t>
            </w:r>
          </w:p>
        </w:tc>
        <w:tc>
          <w:tcPr>
            <w:tcW w:w="1181" w:type="pct"/>
            <w:shd w:val="clear" w:color="auto" w:fill="auto"/>
            <w:vAlign w:val="center"/>
          </w:tcPr>
          <w:p w:rsidR="00236478" w:rsidRPr="00236478" w:rsidRDefault="00236478" w:rsidP="00236478">
            <w:pPr>
              <w:spacing w:after="0"/>
              <w:jc w:val="center"/>
              <w:rPr>
                <w:kern w:val="24"/>
                <w:szCs w:val="24"/>
                <w:lang w:val="en-US"/>
              </w:rPr>
            </w:pPr>
            <w:r w:rsidRPr="00236478">
              <w:rPr>
                <w:kern w:val="24"/>
                <w:szCs w:val="24"/>
                <w:lang w:val="en-US"/>
              </w:rPr>
              <w:t>Common</w:t>
            </w:r>
          </w:p>
        </w:tc>
      </w:tr>
      <w:tr w:rsidR="00FC3B09" w:rsidRPr="00236478" w:rsidTr="00FC3B09">
        <w:tc>
          <w:tcPr>
            <w:tcW w:w="1334" w:type="pct"/>
            <w:vMerge/>
            <w:shd w:val="clear" w:color="auto" w:fill="auto"/>
          </w:tcPr>
          <w:p w:rsidR="00236478" w:rsidRPr="00236478" w:rsidRDefault="00236478" w:rsidP="00236478">
            <w:pPr>
              <w:spacing w:after="0"/>
              <w:jc w:val="left"/>
              <w:rPr>
                <w:bCs/>
                <w:kern w:val="24"/>
                <w:szCs w:val="24"/>
                <w:lang w:val="en-US"/>
              </w:rPr>
            </w:pPr>
          </w:p>
        </w:tc>
        <w:tc>
          <w:tcPr>
            <w:tcW w:w="2485" w:type="pct"/>
            <w:shd w:val="clear" w:color="auto" w:fill="auto"/>
            <w:vAlign w:val="center"/>
          </w:tcPr>
          <w:p w:rsidR="00236478" w:rsidRPr="00236478" w:rsidRDefault="00236478" w:rsidP="00236478">
            <w:pPr>
              <w:spacing w:after="0"/>
              <w:jc w:val="left"/>
              <w:rPr>
                <w:kern w:val="24"/>
                <w:szCs w:val="24"/>
                <w:lang w:val="en-US"/>
              </w:rPr>
            </w:pPr>
            <w:proofErr w:type="spellStart"/>
            <w:r w:rsidRPr="00236478">
              <w:rPr>
                <w:kern w:val="24"/>
                <w:szCs w:val="24"/>
                <w:lang w:val="en-US"/>
              </w:rPr>
              <w:t>Exfoliative</w:t>
            </w:r>
            <w:proofErr w:type="spellEnd"/>
            <w:r w:rsidRPr="00236478">
              <w:rPr>
                <w:kern w:val="24"/>
                <w:szCs w:val="24"/>
                <w:lang w:val="en-US"/>
              </w:rPr>
              <w:t xml:space="preserve"> rash</w:t>
            </w:r>
          </w:p>
        </w:tc>
        <w:tc>
          <w:tcPr>
            <w:tcW w:w="1181" w:type="pct"/>
            <w:shd w:val="clear" w:color="auto" w:fill="auto"/>
            <w:vAlign w:val="center"/>
          </w:tcPr>
          <w:p w:rsidR="00236478" w:rsidRPr="00236478" w:rsidRDefault="00236478" w:rsidP="00236478">
            <w:pPr>
              <w:spacing w:after="0"/>
              <w:jc w:val="center"/>
              <w:rPr>
                <w:kern w:val="24"/>
                <w:szCs w:val="24"/>
                <w:lang w:val="en-US"/>
              </w:rPr>
            </w:pPr>
            <w:r w:rsidRPr="00236478">
              <w:rPr>
                <w:kern w:val="24"/>
                <w:szCs w:val="24"/>
                <w:lang w:val="en-US"/>
              </w:rPr>
              <w:t>Uncommon</w:t>
            </w:r>
          </w:p>
        </w:tc>
      </w:tr>
      <w:tr w:rsidR="00FC3B09" w:rsidRPr="00236478" w:rsidTr="00FC3B09">
        <w:tc>
          <w:tcPr>
            <w:tcW w:w="1334" w:type="pct"/>
            <w:vMerge/>
            <w:shd w:val="clear" w:color="auto" w:fill="auto"/>
          </w:tcPr>
          <w:p w:rsidR="00236478" w:rsidRPr="00236478" w:rsidRDefault="00236478" w:rsidP="00236478">
            <w:pPr>
              <w:spacing w:after="0"/>
              <w:jc w:val="left"/>
              <w:rPr>
                <w:bCs/>
                <w:kern w:val="24"/>
                <w:szCs w:val="24"/>
                <w:lang w:val="en-US"/>
              </w:rPr>
            </w:pPr>
          </w:p>
        </w:tc>
        <w:tc>
          <w:tcPr>
            <w:tcW w:w="2485" w:type="pct"/>
            <w:shd w:val="clear" w:color="auto" w:fill="auto"/>
            <w:vAlign w:val="center"/>
          </w:tcPr>
          <w:p w:rsidR="00236478" w:rsidRPr="00236478" w:rsidRDefault="00236478" w:rsidP="00236478">
            <w:pPr>
              <w:spacing w:after="0"/>
              <w:jc w:val="left"/>
              <w:rPr>
                <w:kern w:val="24"/>
                <w:szCs w:val="24"/>
                <w:lang w:val="en-US"/>
              </w:rPr>
            </w:pPr>
            <w:r w:rsidRPr="00236478">
              <w:rPr>
                <w:kern w:val="24"/>
                <w:szCs w:val="24"/>
                <w:lang w:val="en-US"/>
              </w:rPr>
              <w:t>Toxic skin eruption</w:t>
            </w:r>
          </w:p>
        </w:tc>
        <w:tc>
          <w:tcPr>
            <w:tcW w:w="1181" w:type="pct"/>
            <w:shd w:val="clear" w:color="auto" w:fill="auto"/>
            <w:vAlign w:val="center"/>
          </w:tcPr>
          <w:p w:rsidR="00236478" w:rsidRPr="00236478" w:rsidRDefault="00236478" w:rsidP="00236478">
            <w:pPr>
              <w:spacing w:after="0"/>
              <w:jc w:val="center"/>
              <w:rPr>
                <w:kern w:val="24"/>
                <w:szCs w:val="24"/>
                <w:lang w:val="en-US"/>
              </w:rPr>
            </w:pPr>
            <w:r w:rsidRPr="00236478">
              <w:rPr>
                <w:kern w:val="24"/>
                <w:szCs w:val="24"/>
                <w:lang w:val="en-US"/>
              </w:rPr>
              <w:t>Uncommon</w:t>
            </w:r>
          </w:p>
        </w:tc>
      </w:tr>
      <w:tr w:rsidR="00FC3B09" w:rsidRPr="00236478" w:rsidTr="00FC3B09">
        <w:tc>
          <w:tcPr>
            <w:tcW w:w="1334" w:type="pct"/>
            <w:vMerge/>
            <w:shd w:val="clear" w:color="auto" w:fill="auto"/>
          </w:tcPr>
          <w:p w:rsidR="00236478" w:rsidRPr="00236478" w:rsidRDefault="00236478" w:rsidP="00236478">
            <w:pPr>
              <w:spacing w:after="0"/>
              <w:jc w:val="left"/>
              <w:rPr>
                <w:bCs/>
                <w:kern w:val="24"/>
                <w:szCs w:val="24"/>
                <w:lang w:val="en-US"/>
              </w:rPr>
            </w:pPr>
          </w:p>
        </w:tc>
        <w:tc>
          <w:tcPr>
            <w:tcW w:w="2485" w:type="pct"/>
            <w:shd w:val="clear" w:color="auto" w:fill="auto"/>
            <w:vAlign w:val="center"/>
          </w:tcPr>
          <w:p w:rsidR="00236478" w:rsidRPr="00236478" w:rsidRDefault="00236478" w:rsidP="00236478">
            <w:pPr>
              <w:spacing w:after="0"/>
              <w:jc w:val="left"/>
              <w:rPr>
                <w:kern w:val="24"/>
                <w:szCs w:val="24"/>
                <w:lang w:val="en-US"/>
              </w:rPr>
            </w:pPr>
            <w:r w:rsidRPr="00236478">
              <w:rPr>
                <w:kern w:val="24"/>
                <w:szCs w:val="24"/>
                <w:lang w:val="en-US"/>
              </w:rPr>
              <w:t>Eczema nummular</w:t>
            </w:r>
          </w:p>
        </w:tc>
        <w:tc>
          <w:tcPr>
            <w:tcW w:w="1181" w:type="pct"/>
            <w:shd w:val="clear" w:color="auto" w:fill="auto"/>
            <w:vAlign w:val="center"/>
          </w:tcPr>
          <w:p w:rsidR="00236478" w:rsidRPr="00236478" w:rsidRDefault="00236478" w:rsidP="00236478">
            <w:pPr>
              <w:spacing w:after="0"/>
              <w:jc w:val="center"/>
              <w:rPr>
                <w:kern w:val="24"/>
                <w:szCs w:val="24"/>
                <w:lang w:val="en-US"/>
              </w:rPr>
            </w:pPr>
            <w:r w:rsidRPr="00236478">
              <w:rPr>
                <w:kern w:val="24"/>
                <w:szCs w:val="24"/>
                <w:lang w:val="en-US"/>
              </w:rPr>
              <w:t>Uncommon</w:t>
            </w:r>
          </w:p>
        </w:tc>
      </w:tr>
      <w:tr w:rsidR="00FC3B09" w:rsidRPr="00236478" w:rsidTr="00FC3B09">
        <w:tc>
          <w:tcPr>
            <w:tcW w:w="1334" w:type="pct"/>
            <w:shd w:val="clear" w:color="auto" w:fill="auto"/>
          </w:tcPr>
          <w:p w:rsidR="00236478" w:rsidRPr="00236478" w:rsidRDefault="00236478" w:rsidP="00236478">
            <w:pPr>
              <w:spacing w:after="0"/>
              <w:jc w:val="left"/>
              <w:rPr>
                <w:szCs w:val="24"/>
                <w:lang w:val="en-US"/>
              </w:rPr>
            </w:pPr>
            <w:r w:rsidRPr="00236478">
              <w:rPr>
                <w:bCs/>
                <w:kern w:val="24"/>
                <w:szCs w:val="24"/>
                <w:lang w:val="en-US"/>
              </w:rPr>
              <w:t>General disorders and administration site conditions</w:t>
            </w:r>
          </w:p>
        </w:tc>
        <w:tc>
          <w:tcPr>
            <w:tcW w:w="2485" w:type="pct"/>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Pyrexia*</w:t>
            </w:r>
          </w:p>
        </w:tc>
        <w:tc>
          <w:tcPr>
            <w:tcW w:w="1181" w:type="pct"/>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 Common</w:t>
            </w:r>
          </w:p>
        </w:tc>
      </w:tr>
      <w:tr w:rsidR="00D65483" w:rsidRPr="00236478" w:rsidTr="00D65483">
        <w:tc>
          <w:tcPr>
            <w:tcW w:w="1334" w:type="pct"/>
            <w:vMerge w:val="restart"/>
            <w:shd w:val="clear" w:color="auto" w:fill="auto"/>
          </w:tcPr>
          <w:p w:rsidR="00D65483" w:rsidRPr="00236478" w:rsidRDefault="00D65483" w:rsidP="00236478">
            <w:pPr>
              <w:spacing w:after="0"/>
              <w:jc w:val="left"/>
              <w:rPr>
                <w:szCs w:val="24"/>
                <w:lang w:val="en-US"/>
              </w:rPr>
            </w:pPr>
            <w:r w:rsidRPr="00236478">
              <w:rPr>
                <w:bCs/>
                <w:kern w:val="24"/>
                <w:szCs w:val="24"/>
                <w:lang w:val="en-US"/>
              </w:rPr>
              <w:t>Investigations </w:t>
            </w:r>
          </w:p>
        </w:tc>
        <w:tc>
          <w:tcPr>
            <w:tcW w:w="2485" w:type="pct"/>
            <w:vAlign w:val="center"/>
          </w:tcPr>
          <w:p w:rsidR="00D65483" w:rsidRPr="00D65483" w:rsidRDefault="00D65483" w:rsidP="00236478">
            <w:pPr>
              <w:spacing w:after="0"/>
              <w:jc w:val="left"/>
              <w:rPr>
                <w:szCs w:val="24"/>
                <w:lang w:val="en-US"/>
              </w:rPr>
            </w:pPr>
            <w:r w:rsidRPr="00D65483">
              <w:rPr>
                <w:szCs w:val="24"/>
                <w:lang w:val="en-US"/>
              </w:rPr>
              <w:t>Lymphocyte count decreased</w:t>
            </w:r>
          </w:p>
        </w:tc>
        <w:tc>
          <w:tcPr>
            <w:tcW w:w="1181" w:type="pct"/>
            <w:shd w:val="clear" w:color="auto" w:fill="auto"/>
            <w:vAlign w:val="center"/>
          </w:tcPr>
          <w:p w:rsidR="00D65483" w:rsidRPr="00D65483" w:rsidRDefault="00D65483" w:rsidP="009512B1">
            <w:pPr>
              <w:spacing w:after="0"/>
              <w:jc w:val="center"/>
              <w:rPr>
                <w:szCs w:val="24"/>
                <w:lang w:val="en-US"/>
              </w:rPr>
            </w:pPr>
            <w:r w:rsidRPr="00D65483">
              <w:rPr>
                <w:szCs w:val="24"/>
                <w:lang w:val="en-US"/>
              </w:rPr>
              <w:t>Common</w:t>
            </w:r>
          </w:p>
        </w:tc>
      </w:tr>
      <w:tr w:rsidR="00FC3B09" w:rsidRPr="00236478" w:rsidTr="009512B1">
        <w:tc>
          <w:tcPr>
            <w:tcW w:w="1334" w:type="pct"/>
            <w:vMerge/>
            <w:shd w:val="clear" w:color="auto" w:fill="auto"/>
          </w:tcPr>
          <w:p w:rsidR="00823AA6" w:rsidRPr="00236478" w:rsidRDefault="00823AA6" w:rsidP="00236478">
            <w:pPr>
              <w:spacing w:after="0"/>
              <w:jc w:val="left"/>
              <w:rPr>
                <w:bCs/>
                <w:kern w:val="24"/>
                <w:szCs w:val="24"/>
                <w:lang w:val="en-US"/>
              </w:rPr>
            </w:pPr>
          </w:p>
        </w:tc>
        <w:tc>
          <w:tcPr>
            <w:tcW w:w="2485" w:type="pct"/>
            <w:shd w:val="clear" w:color="auto" w:fill="auto"/>
            <w:vAlign w:val="center"/>
          </w:tcPr>
          <w:p w:rsidR="00823AA6" w:rsidRPr="00236478" w:rsidRDefault="00823AA6" w:rsidP="00236478">
            <w:pPr>
              <w:spacing w:after="0"/>
              <w:jc w:val="left"/>
              <w:rPr>
                <w:kern w:val="24"/>
                <w:szCs w:val="24"/>
                <w:lang w:val="en-US"/>
              </w:rPr>
            </w:pPr>
            <w:r w:rsidRPr="00236478">
              <w:rPr>
                <w:kern w:val="24"/>
                <w:szCs w:val="24"/>
                <w:lang w:val="en-US"/>
              </w:rPr>
              <w:t>ALT increased*</w:t>
            </w:r>
          </w:p>
        </w:tc>
        <w:tc>
          <w:tcPr>
            <w:tcW w:w="1181" w:type="pct"/>
            <w:shd w:val="clear" w:color="auto" w:fill="auto"/>
            <w:vAlign w:val="center"/>
          </w:tcPr>
          <w:p w:rsidR="00823AA6" w:rsidRPr="00236478" w:rsidRDefault="00823AA6" w:rsidP="00236478">
            <w:pPr>
              <w:spacing w:after="0"/>
              <w:jc w:val="center"/>
              <w:rPr>
                <w:szCs w:val="24"/>
                <w:lang w:val="en-US"/>
              </w:rPr>
            </w:pPr>
            <w:r w:rsidRPr="00236478">
              <w:rPr>
                <w:szCs w:val="24"/>
                <w:lang w:val="en-US"/>
              </w:rPr>
              <w:t>Common</w:t>
            </w:r>
          </w:p>
        </w:tc>
      </w:tr>
      <w:tr w:rsidR="00FC3B09" w:rsidRPr="00236478" w:rsidTr="00FC3B09">
        <w:tc>
          <w:tcPr>
            <w:tcW w:w="1334" w:type="pct"/>
            <w:vMerge/>
            <w:shd w:val="clear" w:color="auto" w:fill="auto"/>
          </w:tcPr>
          <w:p w:rsidR="00823AA6" w:rsidRPr="00236478" w:rsidRDefault="00823AA6" w:rsidP="00236478">
            <w:pPr>
              <w:spacing w:after="0"/>
              <w:jc w:val="left"/>
              <w:rPr>
                <w:szCs w:val="24"/>
                <w:lang w:val="en-US"/>
              </w:rPr>
            </w:pPr>
          </w:p>
        </w:tc>
        <w:tc>
          <w:tcPr>
            <w:tcW w:w="2485" w:type="pct"/>
            <w:shd w:val="clear" w:color="auto" w:fill="auto"/>
            <w:vAlign w:val="center"/>
          </w:tcPr>
          <w:p w:rsidR="00823AA6" w:rsidRPr="00236478" w:rsidRDefault="00823AA6" w:rsidP="00236478">
            <w:pPr>
              <w:spacing w:after="0"/>
              <w:jc w:val="left"/>
              <w:rPr>
                <w:szCs w:val="24"/>
                <w:lang w:val="en-US"/>
              </w:rPr>
            </w:pPr>
            <w:r w:rsidRPr="00236478">
              <w:rPr>
                <w:kern w:val="24"/>
                <w:szCs w:val="24"/>
                <w:lang w:val="en-US"/>
              </w:rPr>
              <w:t>AST increased*</w:t>
            </w:r>
          </w:p>
        </w:tc>
        <w:tc>
          <w:tcPr>
            <w:tcW w:w="1181" w:type="pct"/>
            <w:shd w:val="clear" w:color="auto" w:fill="auto"/>
            <w:vAlign w:val="center"/>
          </w:tcPr>
          <w:p w:rsidR="00823AA6" w:rsidRPr="00236478" w:rsidRDefault="00823AA6" w:rsidP="00236478">
            <w:pPr>
              <w:spacing w:after="0"/>
              <w:jc w:val="center"/>
              <w:rPr>
                <w:szCs w:val="24"/>
                <w:lang w:val="en-US"/>
              </w:rPr>
            </w:pPr>
            <w:r w:rsidRPr="00236478">
              <w:rPr>
                <w:szCs w:val="24"/>
                <w:lang w:val="en-US"/>
              </w:rPr>
              <w:t>Common</w:t>
            </w:r>
          </w:p>
        </w:tc>
      </w:tr>
      <w:tr w:rsidR="00FC3B09" w:rsidRPr="00236478" w:rsidTr="00FC3B09">
        <w:tc>
          <w:tcPr>
            <w:tcW w:w="1334" w:type="pct"/>
            <w:vMerge/>
            <w:shd w:val="clear" w:color="auto" w:fill="auto"/>
          </w:tcPr>
          <w:p w:rsidR="00823AA6" w:rsidRPr="00236478" w:rsidRDefault="00823AA6" w:rsidP="00236478">
            <w:pPr>
              <w:spacing w:after="0"/>
              <w:jc w:val="left"/>
              <w:rPr>
                <w:bCs/>
                <w:kern w:val="24"/>
                <w:szCs w:val="24"/>
                <w:lang w:val="en-US"/>
              </w:rPr>
            </w:pPr>
          </w:p>
        </w:tc>
        <w:tc>
          <w:tcPr>
            <w:tcW w:w="2485" w:type="pct"/>
            <w:shd w:val="clear" w:color="auto" w:fill="auto"/>
            <w:vAlign w:val="center"/>
          </w:tcPr>
          <w:p w:rsidR="00823AA6" w:rsidRPr="00236478" w:rsidRDefault="00823AA6" w:rsidP="00236478">
            <w:pPr>
              <w:spacing w:after="0"/>
              <w:jc w:val="left"/>
              <w:rPr>
                <w:kern w:val="24"/>
                <w:szCs w:val="24"/>
                <w:lang w:val="en-US"/>
              </w:rPr>
            </w:pPr>
            <w:r w:rsidRPr="00236478">
              <w:rPr>
                <w:kern w:val="24"/>
                <w:szCs w:val="24"/>
                <w:lang w:val="en-US"/>
              </w:rPr>
              <w:t>Liver function test abnormal</w:t>
            </w:r>
          </w:p>
        </w:tc>
        <w:tc>
          <w:tcPr>
            <w:tcW w:w="1181" w:type="pct"/>
            <w:shd w:val="clear" w:color="auto" w:fill="auto"/>
            <w:vAlign w:val="center"/>
          </w:tcPr>
          <w:p w:rsidR="00823AA6" w:rsidRPr="00236478" w:rsidRDefault="00823AA6" w:rsidP="00236478">
            <w:pPr>
              <w:spacing w:after="0"/>
              <w:jc w:val="center"/>
              <w:rPr>
                <w:szCs w:val="24"/>
                <w:lang w:val="en-US"/>
              </w:rPr>
            </w:pPr>
            <w:r w:rsidRPr="00236478">
              <w:rPr>
                <w:szCs w:val="24"/>
                <w:lang w:val="en-US"/>
              </w:rPr>
              <w:t>Common</w:t>
            </w:r>
          </w:p>
        </w:tc>
      </w:tr>
      <w:tr w:rsidR="00FC3B09" w:rsidRPr="00236478" w:rsidTr="00FC3B09">
        <w:tc>
          <w:tcPr>
            <w:tcW w:w="1334" w:type="pct"/>
            <w:vMerge/>
            <w:shd w:val="clear" w:color="auto" w:fill="auto"/>
          </w:tcPr>
          <w:p w:rsidR="00823AA6" w:rsidRPr="00236478" w:rsidRDefault="00823AA6" w:rsidP="00236478">
            <w:pPr>
              <w:spacing w:after="0"/>
              <w:jc w:val="left"/>
              <w:rPr>
                <w:bCs/>
                <w:kern w:val="24"/>
                <w:szCs w:val="24"/>
                <w:lang w:val="en-US"/>
              </w:rPr>
            </w:pPr>
          </w:p>
        </w:tc>
        <w:tc>
          <w:tcPr>
            <w:tcW w:w="2485" w:type="pct"/>
            <w:shd w:val="clear" w:color="auto" w:fill="auto"/>
            <w:vAlign w:val="center"/>
          </w:tcPr>
          <w:p w:rsidR="00823AA6" w:rsidRPr="00236478" w:rsidRDefault="00823AA6" w:rsidP="00236478">
            <w:pPr>
              <w:spacing w:after="0"/>
              <w:jc w:val="left"/>
              <w:rPr>
                <w:kern w:val="24"/>
                <w:szCs w:val="24"/>
                <w:lang w:val="en-US"/>
              </w:rPr>
            </w:pPr>
            <w:r w:rsidRPr="00236478">
              <w:rPr>
                <w:kern w:val="24"/>
                <w:szCs w:val="24"/>
                <w:lang w:val="en-US"/>
              </w:rPr>
              <w:t>Hepatic enzyme increased</w:t>
            </w:r>
          </w:p>
        </w:tc>
        <w:tc>
          <w:tcPr>
            <w:tcW w:w="1181" w:type="pct"/>
            <w:shd w:val="clear" w:color="auto" w:fill="auto"/>
            <w:vAlign w:val="center"/>
          </w:tcPr>
          <w:p w:rsidR="00823AA6" w:rsidRPr="00236478" w:rsidRDefault="00823AA6" w:rsidP="00236478">
            <w:pPr>
              <w:spacing w:after="0"/>
              <w:jc w:val="center"/>
              <w:rPr>
                <w:szCs w:val="24"/>
                <w:lang w:val="en-US"/>
              </w:rPr>
            </w:pPr>
            <w:r w:rsidRPr="00236478">
              <w:rPr>
                <w:szCs w:val="24"/>
                <w:lang w:val="en-US"/>
              </w:rPr>
              <w:t>Common</w:t>
            </w:r>
          </w:p>
        </w:tc>
      </w:tr>
    </w:tbl>
    <w:p w:rsidR="00236478" w:rsidRPr="00236478" w:rsidRDefault="00236478" w:rsidP="00236478">
      <w:pPr>
        <w:spacing w:after="0"/>
        <w:jc w:val="left"/>
        <w:rPr>
          <w:sz w:val="20"/>
          <w:lang w:val="en-US"/>
        </w:rPr>
      </w:pPr>
      <w:r w:rsidRPr="00236478">
        <w:rPr>
          <w:sz w:val="20"/>
          <w:lang w:val="en-US"/>
        </w:rPr>
        <w:t>*Observed with a ≥2 % higher incidence than placebo</w:t>
      </w:r>
    </w:p>
    <w:p w:rsidR="00236478" w:rsidRPr="00236478" w:rsidRDefault="00236478" w:rsidP="00236478">
      <w:pPr>
        <w:spacing w:after="0"/>
        <w:jc w:val="left"/>
        <w:rPr>
          <w:szCs w:val="24"/>
          <w:lang w:val="en-US"/>
        </w:rPr>
      </w:pPr>
      <w:r w:rsidRPr="00236478">
        <w:rPr>
          <w:sz w:val="20"/>
          <w:lang w:val="en-US"/>
        </w:rPr>
        <w:t>†Observed with a ≥2 % higher incidence than interferon beta</w:t>
      </w:r>
      <w:r w:rsidR="00792050">
        <w:rPr>
          <w:sz w:val="20"/>
          <w:lang w:val="en-US"/>
        </w:rPr>
        <w:t>-</w:t>
      </w:r>
      <w:r w:rsidRPr="00236478">
        <w:rPr>
          <w:sz w:val="20"/>
          <w:lang w:val="en-US"/>
        </w:rPr>
        <w:t>1a (IM)</w:t>
      </w:r>
    </w:p>
    <w:p w:rsidR="0034710B" w:rsidRPr="00236478" w:rsidRDefault="00236478" w:rsidP="00236478">
      <w:pPr>
        <w:spacing w:after="0"/>
        <w:jc w:val="left"/>
        <w:rPr>
          <w:szCs w:val="24"/>
          <w:u w:val="single"/>
          <w:lang w:val="en-US"/>
        </w:rPr>
      </w:pPr>
      <w:r w:rsidRPr="00236478">
        <w:rPr>
          <w:szCs w:val="24"/>
          <w:u w:val="single"/>
          <w:lang w:val="en-US"/>
        </w:rPr>
        <w:lastRenderedPageBreak/>
        <w:t xml:space="preserve">Table </w:t>
      </w:r>
      <w:r w:rsidR="004840A3">
        <w:rPr>
          <w:szCs w:val="24"/>
          <w:u w:val="single"/>
          <w:lang w:val="en-US"/>
        </w:rPr>
        <w:t>6</w:t>
      </w:r>
      <w:r w:rsidRPr="00236478">
        <w:rPr>
          <w:szCs w:val="24"/>
          <w:u w:val="single"/>
          <w:lang w:val="en-US"/>
        </w:rPr>
        <w:t>: Adverse Reacti</w:t>
      </w:r>
      <w:r w:rsidR="00491F45">
        <w:rPr>
          <w:szCs w:val="24"/>
          <w:u w:val="single"/>
          <w:lang w:val="en-US"/>
        </w:rPr>
        <w:t xml:space="preserve">ons in Study 1 reported at a ≥2 </w:t>
      </w:r>
      <w:r w:rsidRPr="00236478">
        <w:rPr>
          <w:szCs w:val="24"/>
          <w:u w:val="single"/>
          <w:lang w:val="en-US"/>
        </w:rPr>
        <w:t>% highe</w:t>
      </w:r>
      <w:r w:rsidR="00491F45">
        <w:rPr>
          <w:szCs w:val="24"/>
          <w:u w:val="single"/>
          <w:lang w:val="en-US"/>
        </w:rPr>
        <w:t xml:space="preserve">r incidence for </w:t>
      </w:r>
      <w:r w:rsidR="00FE4239">
        <w:rPr>
          <w:szCs w:val="24"/>
          <w:u w:val="single"/>
          <w:lang w:val="en-US"/>
        </w:rPr>
        <w:t>ZINBRYTA</w:t>
      </w:r>
      <w:r w:rsidR="00491F45">
        <w:rPr>
          <w:szCs w:val="24"/>
          <w:u w:val="single"/>
          <w:lang w:val="en-US"/>
        </w:rPr>
        <w:t xml:space="preserve"> 150 </w:t>
      </w:r>
      <w:r w:rsidRPr="00236478">
        <w:rPr>
          <w:szCs w:val="24"/>
          <w:u w:val="single"/>
          <w:lang w:val="en-US"/>
        </w:rPr>
        <w:t>mg compared to placebo</w:t>
      </w:r>
      <w:bookmarkStart w:id="0" w:name="_GoBack"/>
      <w:bookmarkEnd w:id="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984"/>
        <w:gridCol w:w="2127"/>
        <w:gridCol w:w="2268"/>
      </w:tblGrid>
      <w:tr w:rsidR="00236478" w:rsidRPr="00236478" w:rsidTr="00236478">
        <w:tc>
          <w:tcPr>
            <w:tcW w:w="3227" w:type="dxa"/>
            <w:shd w:val="clear" w:color="auto" w:fill="auto"/>
            <w:vAlign w:val="center"/>
          </w:tcPr>
          <w:p w:rsidR="00236478" w:rsidRPr="00236478" w:rsidRDefault="00236478" w:rsidP="00236478">
            <w:pPr>
              <w:spacing w:after="0"/>
              <w:jc w:val="left"/>
              <w:rPr>
                <w:b/>
                <w:szCs w:val="24"/>
                <w:lang w:val="en-US"/>
              </w:rPr>
            </w:pPr>
            <w:r w:rsidRPr="00236478">
              <w:rPr>
                <w:b/>
                <w:szCs w:val="24"/>
                <w:lang w:val="en-US"/>
              </w:rPr>
              <w:t>System Organ Class</w:t>
            </w:r>
          </w:p>
        </w:tc>
        <w:tc>
          <w:tcPr>
            <w:tcW w:w="1984" w:type="dxa"/>
            <w:shd w:val="clear" w:color="auto" w:fill="auto"/>
            <w:vAlign w:val="center"/>
          </w:tcPr>
          <w:p w:rsidR="00236478" w:rsidRPr="00236478" w:rsidRDefault="00236478" w:rsidP="00236478">
            <w:pPr>
              <w:spacing w:after="0"/>
              <w:jc w:val="left"/>
              <w:rPr>
                <w:b/>
                <w:szCs w:val="24"/>
                <w:lang w:val="en-US"/>
              </w:rPr>
            </w:pPr>
            <w:r w:rsidRPr="00236478">
              <w:rPr>
                <w:b/>
                <w:szCs w:val="24"/>
                <w:lang w:val="en-US"/>
              </w:rPr>
              <w:t>Adverse reaction</w:t>
            </w:r>
          </w:p>
        </w:tc>
        <w:tc>
          <w:tcPr>
            <w:tcW w:w="2127" w:type="dxa"/>
            <w:shd w:val="clear" w:color="auto" w:fill="auto"/>
          </w:tcPr>
          <w:p w:rsidR="00236478" w:rsidRPr="00236478" w:rsidRDefault="00236478" w:rsidP="00236478">
            <w:pPr>
              <w:spacing w:after="0"/>
              <w:jc w:val="center"/>
              <w:rPr>
                <w:b/>
                <w:szCs w:val="24"/>
                <w:lang w:val="en-US"/>
              </w:rPr>
            </w:pPr>
            <w:r w:rsidRPr="00236478">
              <w:rPr>
                <w:b/>
                <w:szCs w:val="24"/>
                <w:lang w:val="en-US"/>
              </w:rPr>
              <w:t>Placebo</w:t>
            </w:r>
          </w:p>
          <w:p w:rsidR="00236478" w:rsidRPr="00236478" w:rsidRDefault="00236478" w:rsidP="00236478">
            <w:pPr>
              <w:spacing w:after="0"/>
              <w:jc w:val="center"/>
              <w:rPr>
                <w:b/>
                <w:szCs w:val="24"/>
                <w:lang w:val="en-US"/>
              </w:rPr>
            </w:pPr>
            <w:r w:rsidRPr="00236478">
              <w:rPr>
                <w:b/>
                <w:szCs w:val="24"/>
                <w:lang w:val="en-US"/>
              </w:rPr>
              <w:t>N=204</w:t>
            </w:r>
          </w:p>
          <w:p w:rsidR="00236478" w:rsidRPr="00236478" w:rsidRDefault="00236478" w:rsidP="00236478">
            <w:pPr>
              <w:spacing w:after="0"/>
              <w:jc w:val="center"/>
              <w:rPr>
                <w:b/>
                <w:szCs w:val="24"/>
                <w:lang w:val="en-US"/>
              </w:rPr>
            </w:pPr>
            <w:r w:rsidRPr="00236478">
              <w:rPr>
                <w:b/>
                <w:szCs w:val="24"/>
                <w:lang w:val="en-US"/>
              </w:rPr>
              <w:t>%</w:t>
            </w:r>
          </w:p>
        </w:tc>
        <w:tc>
          <w:tcPr>
            <w:tcW w:w="2268" w:type="dxa"/>
            <w:shd w:val="clear" w:color="auto" w:fill="auto"/>
          </w:tcPr>
          <w:p w:rsidR="00236478" w:rsidRPr="00236478" w:rsidRDefault="00FE4239" w:rsidP="00236478">
            <w:pPr>
              <w:spacing w:after="0"/>
              <w:jc w:val="center"/>
              <w:rPr>
                <w:b/>
                <w:szCs w:val="24"/>
                <w:lang w:val="en-US"/>
              </w:rPr>
            </w:pPr>
            <w:r>
              <w:rPr>
                <w:b/>
                <w:szCs w:val="24"/>
                <w:lang w:val="en-US"/>
              </w:rPr>
              <w:t>ZINBRYTA</w:t>
            </w:r>
            <w:r w:rsidR="00236478" w:rsidRPr="00236478">
              <w:rPr>
                <w:b/>
                <w:szCs w:val="24"/>
                <w:lang w:val="en-US"/>
              </w:rPr>
              <w:t xml:space="preserve"> 150mg </w:t>
            </w:r>
          </w:p>
          <w:p w:rsidR="00236478" w:rsidRPr="00236478" w:rsidRDefault="00236478" w:rsidP="00236478">
            <w:pPr>
              <w:spacing w:after="0"/>
              <w:jc w:val="center"/>
              <w:rPr>
                <w:b/>
                <w:szCs w:val="24"/>
                <w:lang w:val="en-US"/>
              </w:rPr>
            </w:pPr>
            <w:r w:rsidRPr="00236478">
              <w:rPr>
                <w:b/>
                <w:szCs w:val="24"/>
                <w:lang w:val="en-US"/>
              </w:rPr>
              <w:t>N=208</w:t>
            </w:r>
          </w:p>
          <w:p w:rsidR="00236478" w:rsidRPr="00236478" w:rsidRDefault="00236478" w:rsidP="00236478">
            <w:pPr>
              <w:spacing w:after="0"/>
              <w:jc w:val="center"/>
              <w:rPr>
                <w:b/>
                <w:szCs w:val="24"/>
                <w:lang w:val="en-US"/>
              </w:rPr>
            </w:pPr>
            <w:r w:rsidRPr="00236478">
              <w:rPr>
                <w:b/>
                <w:szCs w:val="24"/>
                <w:lang w:val="en-US"/>
              </w:rPr>
              <w:t>%</w:t>
            </w:r>
          </w:p>
        </w:tc>
      </w:tr>
      <w:tr w:rsidR="00236478" w:rsidRPr="00236478" w:rsidTr="00236478">
        <w:tc>
          <w:tcPr>
            <w:tcW w:w="3227" w:type="dxa"/>
            <w:shd w:val="clear" w:color="auto" w:fill="auto"/>
          </w:tcPr>
          <w:p w:rsidR="00236478" w:rsidRPr="00236478" w:rsidRDefault="00236478" w:rsidP="00236478">
            <w:pPr>
              <w:spacing w:after="0"/>
              <w:jc w:val="left"/>
              <w:rPr>
                <w:szCs w:val="24"/>
                <w:lang w:val="en-US"/>
              </w:rPr>
            </w:pPr>
            <w:r w:rsidRPr="00236478">
              <w:rPr>
                <w:szCs w:val="24"/>
                <w:lang w:val="en-US"/>
              </w:rPr>
              <w:t>Infections and Infestations</w:t>
            </w:r>
          </w:p>
        </w:tc>
        <w:tc>
          <w:tcPr>
            <w:tcW w:w="1984" w:type="dxa"/>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Rhinitis</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1</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4</w:t>
            </w:r>
          </w:p>
        </w:tc>
      </w:tr>
      <w:tr w:rsidR="00236478" w:rsidRPr="00236478" w:rsidTr="00236478">
        <w:tc>
          <w:tcPr>
            <w:tcW w:w="3227" w:type="dxa"/>
            <w:shd w:val="clear" w:color="auto" w:fill="auto"/>
          </w:tcPr>
          <w:p w:rsidR="00236478" w:rsidRPr="00236478" w:rsidRDefault="00236478" w:rsidP="00236478">
            <w:pPr>
              <w:spacing w:after="0"/>
              <w:jc w:val="left"/>
              <w:rPr>
                <w:szCs w:val="24"/>
                <w:lang w:val="en-US"/>
              </w:rPr>
            </w:pPr>
            <w:r w:rsidRPr="00236478">
              <w:rPr>
                <w:bCs/>
                <w:kern w:val="24"/>
                <w:szCs w:val="24"/>
                <w:lang w:val="en-US"/>
              </w:rPr>
              <w:t>Blood and lymphatic system disorders</w:t>
            </w:r>
          </w:p>
        </w:tc>
        <w:tc>
          <w:tcPr>
            <w:tcW w:w="1984" w:type="dxa"/>
            <w:shd w:val="clear" w:color="auto" w:fill="auto"/>
            <w:vAlign w:val="center"/>
          </w:tcPr>
          <w:p w:rsidR="00236478" w:rsidRPr="00236478" w:rsidRDefault="00236478" w:rsidP="00236478">
            <w:pPr>
              <w:spacing w:after="0"/>
              <w:jc w:val="left"/>
              <w:rPr>
                <w:szCs w:val="24"/>
                <w:lang w:val="en-US"/>
              </w:rPr>
            </w:pPr>
            <w:r w:rsidRPr="00236478">
              <w:rPr>
                <w:kern w:val="24"/>
                <w:szCs w:val="24"/>
                <w:lang w:val="en-US"/>
              </w:rPr>
              <w:t>Anemia</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&lt;1</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3</w:t>
            </w:r>
          </w:p>
        </w:tc>
      </w:tr>
      <w:tr w:rsidR="00236478" w:rsidRPr="00236478" w:rsidTr="00236478">
        <w:tc>
          <w:tcPr>
            <w:tcW w:w="3227" w:type="dxa"/>
            <w:shd w:val="clear" w:color="auto" w:fill="auto"/>
          </w:tcPr>
          <w:p w:rsidR="00236478" w:rsidRPr="00236478" w:rsidRDefault="00236478" w:rsidP="00236478">
            <w:pPr>
              <w:spacing w:after="0"/>
              <w:jc w:val="left"/>
              <w:rPr>
                <w:szCs w:val="24"/>
                <w:lang w:val="en-US"/>
              </w:rPr>
            </w:pPr>
            <w:r w:rsidRPr="00236478">
              <w:rPr>
                <w:bCs/>
                <w:kern w:val="24"/>
                <w:szCs w:val="24"/>
                <w:lang w:val="en-US"/>
              </w:rPr>
              <w:t>Psychiatric disorders</w:t>
            </w:r>
          </w:p>
        </w:tc>
        <w:tc>
          <w:tcPr>
            <w:tcW w:w="1984" w:type="dxa"/>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Depression</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1</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5</w:t>
            </w:r>
          </w:p>
        </w:tc>
      </w:tr>
      <w:tr w:rsidR="00236478" w:rsidRPr="00236478" w:rsidTr="00236478">
        <w:tc>
          <w:tcPr>
            <w:tcW w:w="3227" w:type="dxa"/>
            <w:shd w:val="clear" w:color="auto" w:fill="auto"/>
          </w:tcPr>
          <w:p w:rsidR="00236478" w:rsidRPr="00236478" w:rsidRDefault="00236478" w:rsidP="00236478">
            <w:pPr>
              <w:spacing w:after="0"/>
              <w:jc w:val="left"/>
              <w:rPr>
                <w:szCs w:val="24"/>
                <w:lang w:val="en-US"/>
              </w:rPr>
            </w:pPr>
            <w:r w:rsidRPr="00236478">
              <w:rPr>
                <w:bCs/>
                <w:kern w:val="24"/>
                <w:szCs w:val="24"/>
                <w:lang w:val="en-US"/>
              </w:rPr>
              <w:t>Skin and subcutaneous tissue disorders</w:t>
            </w:r>
          </w:p>
        </w:tc>
        <w:tc>
          <w:tcPr>
            <w:tcW w:w="1984" w:type="dxa"/>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Rash</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3</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6</w:t>
            </w:r>
          </w:p>
        </w:tc>
      </w:tr>
      <w:tr w:rsidR="00236478" w:rsidRPr="00236478" w:rsidTr="00236478">
        <w:tc>
          <w:tcPr>
            <w:tcW w:w="3227" w:type="dxa"/>
            <w:shd w:val="clear" w:color="auto" w:fill="auto"/>
          </w:tcPr>
          <w:p w:rsidR="00236478" w:rsidRPr="00236478" w:rsidRDefault="00236478" w:rsidP="00236478">
            <w:pPr>
              <w:spacing w:after="0"/>
              <w:jc w:val="left"/>
              <w:rPr>
                <w:szCs w:val="24"/>
                <w:lang w:val="en-US"/>
              </w:rPr>
            </w:pPr>
            <w:r w:rsidRPr="00236478">
              <w:rPr>
                <w:bCs/>
                <w:kern w:val="24"/>
                <w:szCs w:val="24"/>
                <w:lang w:val="en-US"/>
              </w:rPr>
              <w:t>General disorders and administration site conditions</w:t>
            </w:r>
          </w:p>
        </w:tc>
        <w:tc>
          <w:tcPr>
            <w:tcW w:w="1984" w:type="dxa"/>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Pyrexia</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&lt;1</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3</w:t>
            </w:r>
          </w:p>
        </w:tc>
      </w:tr>
      <w:tr w:rsidR="00236478" w:rsidRPr="00236478" w:rsidTr="00236478">
        <w:tc>
          <w:tcPr>
            <w:tcW w:w="3227" w:type="dxa"/>
            <w:shd w:val="clear" w:color="auto" w:fill="auto"/>
          </w:tcPr>
          <w:p w:rsidR="00236478" w:rsidRPr="00236478" w:rsidRDefault="00236478" w:rsidP="00236478">
            <w:pPr>
              <w:spacing w:after="0"/>
              <w:jc w:val="left"/>
              <w:rPr>
                <w:szCs w:val="24"/>
                <w:lang w:val="en-US"/>
              </w:rPr>
            </w:pPr>
            <w:r w:rsidRPr="00236478">
              <w:rPr>
                <w:bCs/>
                <w:kern w:val="24"/>
                <w:szCs w:val="24"/>
                <w:lang w:val="en-US"/>
              </w:rPr>
              <w:t>Investigations</w:t>
            </w:r>
          </w:p>
        </w:tc>
        <w:tc>
          <w:tcPr>
            <w:tcW w:w="1984" w:type="dxa"/>
            <w:shd w:val="clear" w:color="auto" w:fill="auto"/>
            <w:vAlign w:val="center"/>
          </w:tcPr>
          <w:p w:rsidR="00236478" w:rsidRPr="00236478" w:rsidRDefault="00236478" w:rsidP="00236478">
            <w:pPr>
              <w:spacing w:after="0"/>
              <w:jc w:val="left"/>
              <w:rPr>
                <w:szCs w:val="24"/>
                <w:lang w:val="en-US"/>
              </w:rPr>
            </w:pPr>
            <w:r w:rsidRPr="00236478">
              <w:rPr>
                <w:kern w:val="24"/>
                <w:szCs w:val="24"/>
                <w:lang w:val="en-US"/>
              </w:rPr>
              <w:t>ALT increased</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2</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5</w:t>
            </w:r>
          </w:p>
        </w:tc>
      </w:tr>
      <w:tr w:rsidR="00C370F9" w:rsidRPr="00236478" w:rsidTr="00236478">
        <w:tc>
          <w:tcPr>
            <w:tcW w:w="3227" w:type="dxa"/>
            <w:shd w:val="clear" w:color="auto" w:fill="auto"/>
          </w:tcPr>
          <w:p w:rsidR="00C370F9" w:rsidRPr="00236478" w:rsidRDefault="00C370F9" w:rsidP="00236478">
            <w:pPr>
              <w:spacing w:after="0"/>
              <w:jc w:val="left"/>
              <w:rPr>
                <w:bCs/>
                <w:kern w:val="24"/>
                <w:szCs w:val="24"/>
                <w:lang w:val="en-US"/>
              </w:rPr>
            </w:pPr>
          </w:p>
        </w:tc>
        <w:tc>
          <w:tcPr>
            <w:tcW w:w="1984" w:type="dxa"/>
            <w:shd w:val="clear" w:color="auto" w:fill="auto"/>
            <w:vAlign w:val="center"/>
          </w:tcPr>
          <w:p w:rsidR="00C370F9" w:rsidRPr="00236478" w:rsidRDefault="00C370F9" w:rsidP="00236478">
            <w:pPr>
              <w:spacing w:after="0"/>
              <w:jc w:val="left"/>
              <w:rPr>
                <w:kern w:val="24"/>
                <w:szCs w:val="24"/>
                <w:lang w:val="en-US"/>
              </w:rPr>
            </w:pPr>
            <w:r>
              <w:rPr>
                <w:kern w:val="24"/>
                <w:szCs w:val="24"/>
                <w:lang w:val="en-US"/>
              </w:rPr>
              <w:t>AST</w:t>
            </w:r>
          </w:p>
        </w:tc>
        <w:tc>
          <w:tcPr>
            <w:tcW w:w="2127" w:type="dxa"/>
            <w:shd w:val="clear" w:color="auto" w:fill="auto"/>
            <w:vAlign w:val="center"/>
          </w:tcPr>
          <w:p w:rsidR="00C370F9" w:rsidRPr="00236478" w:rsidRDefault="00C370F9" w:rsidP="00236478">
            <w:pPr>
              <w:spacing w:after="0"/>
              <w:jc w:val="center"/>
              <w:rPr>
                <w:kern w:val="24"/>
                <w:szCs w:val="24"/>
                <w:lang w:val="en-US"/>
              </w:rPr>
            </w:pPr>
            <w:r w:rsidRPr="00C370F9">
              <w:rPr>
                <w:kern w:val="24"/>
                <w:szCs w:val="24"/>
                <w:lang w:val="en-US"/>
              </w:rPr>
              <w:t>&lt;1</w:t>
            </w:r>
          </w:p>
        </w:tc>
        <w:tc>
          <w:tcPr>
            <w:tcW w:w="2268" w:type="dxa"/>
            <w:shd w:val="clear" w:color="auto" w:fill="auto"/>
            <w:vAlign w:val="center"/>
          </w:tcPr>
          <w:p w:rsidR="00C370F9" w:rsidRPr="00236478" w:rsidRDefault="00C370F9" w:rsidP="00236478">
            <w:pPr>
              <w:spacing w:after="0"/>
              <w:jc w:val="center"/>
              <w:rPr>
                <w:kern w:val="24"/>
                <w:szCs w:val="24"/>
                <w:lang w:val="en-US"/>
              </w:rPr>
            </w:pPr>
            <w:r>
              <w:rPr>
                <w:kern w:val="24"/>
                <w:szCs w:val="24"/>
                <w:lang w:val="en-US"/>
              </w:rPr>
              <w:t>3</w:t>
            </w:r>
          </w:p>
        </w:tc>
      </w:tr>
    </w:tbl>
    <w:p w:rsidR="00236478" w:rsidRPr="00236478" w:rsidRDefault="00236478" w:rsidP="00236478">
      <w:pPr>
        <w:spacing w:after="0"/>
        <w:jc w:val="left"/>
        <w:rPr>
          <w:szCs w:val="24"/>
          <w:lang w:val="en-US"/>
        </w:rPr>
      </w:pPr>
    </w:p>
    <w:p w:rsidR="0034710B" w:rsidRPr="00236478" w:rsidRDefault="00236478" w:rsidP="00236478">
      <w:pPr>
        <w:spacing w:after="0"/>
        <w:jc w:val="left"/>
        <w:rPr>
          <w:szCs w:val="24"/>
          <w:u w:val="single"/>
          <w:lang w:val="en-US"/>
        </w:rPr>
      </w:pPr>
      <w:r w:rsidRPr="00236478">
        <w:rPr>
          <w:szCs w:val="24"/>
          <w:u w:val="single"/>
          <w:lang w:val="en-US"/>
        </w:rPr>
        <w:t xml:space="preserve">Table </w:t>
      </w:r>
      <w:r w:rsidR="00DF480B">
        <w:rPr>
          <w:szCs w:val="24"/>
          <w:u w:val="single"/>
          <w:lang w:val="en-US"/>
        </w:rPr>
        <w:t>7</w:t>
      </w:r>
      <w:r w:rsidRPr="00236478">
        <w:rPr>
          <w:szCs w:val="24"/>
          <w:u w:val="single"/>
          <w:lang w:val="en-US"/>
        </w:rPr>
        <w:t xml:space="preserve">: Adverse Reactions in Study 2 reported at a ≥2 % higher incidence for </w:t>
      </w:r>
      <w:r w:rsidR="00FE4239">
        <w:rPr>
          <w:szCs w:val="24"/>
          <w:u w:val="single"/>
          <w:lang w:val="en-US"/>
        </w:rPr>
        <w:t>ZINBRYTA</w:t>
      </w:r>
      <w:r w:rsidRPr="00236478">
        <w:rPr>
          <w:szCs w:val="24"/>
          <w:u w:val="single"/>
          <w:lang w:val="en-US"/>
        </w:rPr>
        <w:t xml:space="preserve"> 150</w:t>
      </w:r>
      <w:r w:rsidR="00491F45">
        <w:rPr>
          <w:szCs w:val="24"/>
          <w:u w:val="single"/>
          <w:lang w:val="en-US"/>
        </w:rPr>
        <w:t> mg compared to interferon beta-</w:t>
      </w:r>
      <w:r w:rsidRPr="00236478">
        <w:rPr>
          <w:szCs w:val="24"/>
          <w:u w:val="single"/>
          <w:lang w:val="en-US"/>
        </w:rPr>
        <w:t>1a (IM)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984"/>
        <w:gridCol w:w="2127"/>
        <w:gridCol w:w="2268"/>
      </w:tblGrid>
      <w:tr w:rsidR="00236478" w:rsidRPr="00236478" w:rsidTr="00236478">
        <w:tc>
          <w:tcPr>
            <w:tcW w:w="3227" w:type="dxa"/>
            <w:shd w:val="clear" w:color="auto" w:fill="auto"/>
            <w:vAlign w:val="center"/>
          </w:tcPr>
          <w:p w:rsidR="00236478" w:rsidRPr="00236478" w:rsidRDefault="00236478" w:rsidP="00236478">
            <w:pPr>
              <w:spacing w:after="0"/>
              <w:jc w:val="center"/>
              <w:rPr>
                <w:b/>
                <w:szCs w:val="24"/>
                <w:lang w:val="en-US"/>
              </w:rPr>
            </w:pPr>
            <w:r w:rsidRPr="00236478">
              <w:rPr>
                <w:b/>
                <w:szCs w:val="24"/>
                <w:lang w:val="en-US"/>
              </w:rPr>
              <w:t>System Organ Class</w:t>
            </w:r>
          </w:p>
        </w:tc>
        <w:tc>
          <w:tcPr>
            <w:tcW w:w="1984" w:type="dxa"/>
            <w:shd w:val="clear" w:color="auto" w:fill="auto"/>
            <w:vAlign w:val="center"/>
          </w:tcPr>
          <w:p w:rsidR="00236478" w:rsidRPr="00236478" w:rsidRDefault="00236478" w:rsidP="00236478">
            <w:pPr>
              <w:spacing w:after="0"/>
              <w:jc w:val="center"/>
              <w:rPr>
                <w:b/>
                <w:szCs w:val="24"/>
                <w:lang w:val="en-US"/>
              </w:rPr>
            </w:pPr>
            <w:r w:rsidRPr="00236478">
              <w:rPr>
                <w:b/>
                <w:szCs w:val="24"/>
                <w:lang w:val="en-US"/>
              </w:rPr>
              <w:t>Adverse reaction</w:t>
            </w:r>
          </w:p>
        </w:tc>
        <w:tc>
          <w:tcPr>
            <w:tcW w:w="2127" w:type="dxa"/>
            <w:shd w:val="clear" w:color="auto" w:fill="auto"/>
          </w:tcPr>
          <w:p w:rsidR="00236478" w:rsidRPr="00236478" w:rsidRDefault="00236478" w:rsidP="00236478">
            <w:pPr>
              <w:spacing w:after="0"/>
              <w:jc w:val="center"/>
              <w:rPr>
                <w:b/>
                <w:strike/>
                <w:szCs w:val="24"/>
                <w:lang w:val="en-US"/>
              </w:rPr>
            </w:pPr>
            <w:r w:rsidRPr="00236478">
              <w:rPr>
                <w:b/>
                <w:szCs w:val="24"/>
                <w:lang w:val="en-US"/>
              </w:rPr>
              <w:t>Interferon beta-1a (IM) 30 mcg</w:t>
            </w:r>
          </w:p>
          <w:p w:rsidR="00236478" w:rsidRPr="00236478" w:rsidRDefault="00236478" w:rsidP="00236478">
            <w:pPr>
              <w:spacing w:after="0"/>
              <w:jc w:val="center"/>
              <w:rPr>
                <w:b/>
                <w:szCs w:val="24"/>
                <w:lang w:val="en-US"/>
              </w:rPr>
            </w:pPr>
            <w:r w:rsidRPr="00236478">
              <w:rPr>
                <w:b/>
                <w:szCs w:val="24"/>
                <w:lang w:val="en-US"/>
              </w:rPr>
              <w:t>N=922</w:t>
            </w:r>
          </w:p>
          <w:p w:rsidR="00236478" w:rsidRPr="00236478" w:rsidRDefault="00236478" w:rsidP="00236478">
            <w:pPr>
              <w:spacing w:after="0"/>
              <w:jc w:val="center"/>
              <w:rPr>
                <w:b/>
                <w:szCs w:val="24"/>
                <w:lang w:val="en-US"/>
              </w:rPr>
            </w:pPr>
            <w:r w:rsidRPr="00236478">
              <w:rPr>
                <w:b/>
                <w:szCs w:val="24"/>
                <w:lang w:val="en-US"/>
              </w:rPr>
              <w:t>%</w:t>
            </w:r>
          </w:p>
        </w:tc>
        <w:tc>
          <w:tcPr>
            <w:tcW w:w="2268" w:type="dxa"/>
            <w:shd w:val="clear" w:color="auto" w:fill="auto"/>
          </w:tcPr>
          <w:p w:rsidR="00236478" w:rsidRPr="00236478" w:rsidRDefault="00FE4239" w:rsidP="00236478">
            <w:pPr>
              <w:spacing w:after="0"/>
              <w:jc w:val="center"/>
              <w:rPr>
                <w:b/>
                <w:szCs w:val="24"/>
                <w:lang w:val="en-US"/>
              </w:rPr>
            </w:pPr>
            <w:r>
              <w:rPr>
                <w:b/>
                <w:szCs w:val="24"/>
                <w:lang w:val="en-US"/>
              </w:rPr>
              <w:t>ZINBRYTA</w:t>
            </w:r>
            <w:r w:rsidR="00236478" w:rsidRPr="00236478">
              <w:rPr>
                <w:b/>
                <w:szCs w:val="24"/>
                <w:lang w:val="en-US"/>
              </w:rPr>
              <w:t xml:space="preserve"> 150 mg</w:t>
            </w:r>
          </w:p>
          <w:p w:rsidR="00236478" w:rsidRPr="00236478" w:rsidRDefault="00236478" w:rsidP="00236478">
            <w:pPr>
              <w:spacing w:after="0"/>
              <w:jc w:val="center"/>
              <w:rPr>
                <w:b/>
                <w:szCs w:val="24"/>
                <w:lang w:val="en-US"/>
              </w:rPr>
            </w:pPr>
            <w:r w:rsidRPr="00236478">
              <w:rPr>
                <w:b/>
                <w:szCs w:val="24"/>
                <w:lang w:val="en-US"/>
              </w:rPr>
              <w:t>N=919</w:t>
            </w:r>
          </w:p>
          <w:p w:rsidR="00236478" w:rsidRPr="00236478" w:rsidRDefault="00236478" w:rsidP="00236478">
            <w:pPr>
              <w:spacing w:after="0"/>
              <w:jc w:val="center"/>
              <w:rPr>
                <w:b/>
                <w:szCs w:val="24"/>
                <w:lang w:val="en-US"/>
              </w:rPr>
            </w:pPr>
            <w:r w:rsidRPr="00236478">
              <w:rPr>
                <w:b/>
                <w:szCs w:val="24"/>
                <w:lang w:val="en-US"/>
              </w:rPr>
              <w:t>%</w:t>
            </w:r>
          </w:p>
        </w:tc>
      </w:tr>
      <w:tr w:rsidR="00236478" w:rsidRPr="00236478" w:rsidTr="00236478">
        <w:tc>
          <w:tcPr>
            <w:tcW w:w="3227" w:type="dxa"/>
            <w:vMerge w:val="restart"/>
            <w:shd w:val="clear" w:color="auto" w:fill="auto"/>
          </w:tcPr>
          <w:p w:rsidR="00236478" w:rsidRPr="00236478" w:rsidRDefault="00236478" w:rsidP="00236478">
            <w:pPr>
              <w:spacing w:after="0"/>
              <w:jc w:val="left"/>
              <w:rPr>
                <w:szCs w:val="24"/>
                <w:lang w:val="en-US"/>
              </w:rPr>
            </w:pPr>
            <w:r w:rsidRPr="00236478">
              <w:rPr>
                <w:szCs w:val="24"/>
                <w:lang w:val="en-US"/>
              </w:rPr>
              <w:t>Infections and Infestations</w:t>
            </w:r>
          </w:p>
        </w:tc>
        <w:tc>
          <w:tcPr>
            <w:tcW w:w="1984" w:type="dxa"/>
            <w:shd w:val="clear" w:color="auto" w:fill="auto"/>
            <w:vAlign w:val="center"/>
          </w:tcPr>
          <w:p w:rsidR="00236478" w:rsidRPr="00236478" w:rsidRDefault="00236478" w:rsidP="00236478">
            <w:pPr>
              <w:spacing w:after="0"/>
              <w:jc w:val="left"/>
              <w:rPr>
                <w:szCs w:val="24"/>
                <w:lang w:val="en-US"/>
              </w:rPr>
            </w:pPr>
            <w:proofErr w:type="spellStart"/>
            <w:r w:rsidRPr="00236478">
              <w:rPr>
                <w:bCs/>
                <w:kern w:val="24"/>
                <w:szCs w:val="24"/>
                <w:lang w:val="en-US"/>
              </w:rPr>
              <w:t>Nasopharyngitis</w:t>
            </w:r>
            <w:proofErr w:type="spellEnd"/>
          </w:p>
        </w:tc>
        <w:tc>
          <w:tcPr>
            <w:tcW w:w="2127"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21</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25</w:t>
            </w:r>
          </w:p>
        </w:tc>
      </w:tr>
      <w:tr w:rsidR="00236478" w:rsidRPr="00236478" w:rsidTr="00236478">
        <w:tc>
          <w:tcPr>
            <w:tcW w:w="3227" w:type="dxa"/>
            <w:vMerge/>
            <w:shd w:val="clear" w:color="auto" w:fill="auto"/>
          </w:tcPr>
          <w:p w:rsidR="00236478" w:rsidRPr="00236478" w:rsidRDefault="00236478" w:rsidP="00236478">
            <w:pPr>
              <w:spacing w:after="0"/>
              <w:jc w:val="left"/>
              <w:rPr>
                <w:szCs w:val="24"/>
                <w:lang w:val="en-US"/>
              </w:rPr>
            </w:pPr>
          </w:p>
        </w:tc>
        <w:tc>
          <w:tcPr>
            <w:tcW w:w="1984" w:type="dxa"/>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Upper respiratory tract infection</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13</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16</w:t>
            </w:r>
          </w:p>
        </w:tc>
      </w:tr>
      <w:tr w:rsidR="00236478" w:rsidRPr="00236478" w:rsidTr="00236478">
        <w:tc>
          <w:tcPr>
            <w:tcW w:w="3227" w:type="dxa"/>
            <w:vMerge/>
            <w:shd w:val="clear" w:color="auto" w:fill="auto"/>
          </w:tcPr>
          <w:p w:rsidR="00236478" w:rsidRPr="00236478" w:rsidRDefault="00236478" w:rsidP="00236478">
            <w:pPr>
              <w:spacing w:after="0"/>
              <w:jc w:val="left"/>
              <w:rPr>
                <w:szCs w:val="24"/>
                <w:lang w:val="en-US"/>
              </w:rPr>
            </w:pPr>
          </w:p>
        </w:tc>
        <w:tc>
          <w:tcPr>
            <w:tcW w:w="1984" w:type="dxa"/>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Influenza</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6</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9</w:t>
            </w:r>
          </w:p>
        </w:tc>
      </w:tr>
      <w:tr w:rsidR="00236478" w:rsidRPr="00236478" w:rsidTr="00236478">
        <w:tc>
          <w:tcPr>
            <w:tcW w:w="3227" w:type="dxa"/>
            <w:vMerge/>
            <w:shd w:val="clear" w:color="auto" w:fill="auto"/>
          </w:tcPr>
          <w:p w:rsidR="00236478" w:rsidRPr="00236478" w:rsidRDefault="00236478" w:rsidP="00236478">
            <w:pPr>
              <w:spacing w:after="0"/>
              <w:jc w:val="left"/>
              <w:rPr>
                <w:szCs w:val="24"/>
                <w:lang w:val="en-US"/>
              </w:rPr>
            </w:pPr>
          </w:p>
        </w:tc>
        <w:tc>
          <w:tcPr>
            <w:tcW w:w="1984" w:type="dxa"/>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Tonsillitis</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2</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4</w:t>
            </w:r>
          </w:p>
        </w:tc>
      </w:tr>
      <w:tr w:rsidR="00236478" w:rsidRPr="00236478" w:rsidTr="00236478">
        <w:tc>
          <w:tcPr>
            <w:tcW w:w="3227" w:type="dxa"/>
            <w:shd w:val="clear" w:color="auto" w:fill="auto"/>
          </w:tcPr>
          <w:p w:rsidR="00236478" w:rsidRPr="00236478" w:rsidRDefault="00236478" w:rsidP="00236478">
            <w:pPr>
              <w:spacing w:after="0"/>
              <w:jc w:val="left"/>
              <w:rPr>
                <w:szCs w:val="24"/>
                <w:lang w:val="en-US"/>
              </w:rPr>
            </w:pPr>
            <w:r w:rsidRPr="00236478">
              <w:rPr>
                <w:bCs/>
                <w:kern w:val="24"/>
                <w:szCs w:val="24"/>
                <w:lang w:val="en-US"/>
              </w:rPr>
              <w:t>Blood and lymphatic system disorders</w:t>
            </w:r>
          </w:p>
        </w:tc>
        <w:tc>
          <w:tcPr>
            <w:tcW w:w="1984" w:type="dxa"/>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Lymphadenopathy</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&lt;1</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5</w:t>
            </w:r>
          </w:p>
        </w:tc>
      </w:tr>
      <w:tr w:rsidR="00236478" w:rsidRPr="00236478" w:rsidTr="00236478">
        <w:tc>
          <w:tcPr>
            <w:tcW w:w="3227" w:type="dxa"/>
            <w:shd w:val="clear" w:color="auto" w:fill="auto"/>
          </w:tcPr>
          <w:p w:rsidR="00236478" w:rsidRPr="00236478" w:rsidRDefault="00236478" w:rsidP="00236478">
            <w:pPr>
              <w:spacing w:after="0"/>
              <w:jc w:val="left"/>
              <w:rPr>
                <w:szCs w:val="24"/>
                <w:lang w:val="en-US"/>
              </w:rPr>
            </w:pPr>
            <w:r w:rsidRPr="00236478">
              <w:rPr>
                <w:bCs/>
                <w:kern w:val="24"/>
                <w:szCs w:val="24"/>
                <w:lang w:val="en-US"/>
              </w:rPr>
              <w:t>Respiratory, thoracic and mediastinal disorders</w:t>
            </w:r>
          </w:p>
        </w:tc>
        <w:tc>
          <w:tcPr>
            <w:tcW w:w="1984" w:type="dxa"/>
            <w:shd w:val="clear" w:color="auto" w:fill="auto"/>
            <w:vAlign w:val="center"/>
          </w:tcPr>
          <w:p w:rsidR="00236478" w:rsidRPr="00236478" w:rsidRDefault="00236478" w:rsidP="00236478">
            <w:pPr>
              <w:spacing w:after="0"/>
              <w:jc w:val="left"/>
              <w:rPr>
                <w:szCs w:val="24"/>
                <w:lang w:val="en-US"/>
              </w:rPr>
            </w:pPr>
            <w:r w:rsidRPr="00236478">
              <w:rPr>
                <w:kern w:val="24"/>
                <w:szCs w:val="24"/>
                <w:lang w:val="en-US"/>
              </w:rPr>
              <w:t>Oropharyngeal pain</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4</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8</w:t>
            </w:r>
          </w:p>
        </w:tc>
      </w:tr>
      <w:tr w:rsidR="00236478" w:rsidRPr="00236478" w:rsidTr="00236478">
        <w:tc>
          <w:tcPr>
            <w:tcW w:w="3227" w:type="dxa"/>
            <w:vMerge w:val="restart"/>
            <w:shd w:val="clear" w:color="auto" w:fill="auto"/>
          </w:tcPr>
          <w:p w:rsidR="00236478" w:rsidRPr="00236478" w:rsidRDefault="00236478" w:rsidP="00236478">
            <w:pPr>
              <w:spacing w:after="0"/>
              <w:jc w:val="left"/>
              <w:rPr>
                <w:szCs w:val="24"/>
                <w:lang w:val="en-US"/>
              </w:rPr>
            </w:pPr>
            <w:r w:rsidRPr="00236478">
              <w:rPr>
                <w:bCs/>
                <w:kern w:val="24"/>
                <w:szCs w:val="24"/>
                <w:lang w:val="en-US"/>
              </w:rPr>
              <w:t>Skin and subcutaneous tissue disorders</w:t>
            </w:r>
          </w:p>
          <w:p w:rsidR="00236478" w:rsidRPr="00236478" w:rsidRDefault="00236478" w:rsidP="00236478">
            <w:pPr>
              <w:spacing w:after="0"/>
              <w:jc w:val="left"/>
              <w:rPr>
                <w:szCs w:val="24"/>
                <w:lang w:val="en-US"/>
              </w:rPr>
            </w:pPr>
          </w:p>
        </w:tc>
        <w:tc>
          <w:tcPr>
            <w:tcW w:w="1984" w:type="dxa"/>
            <w:shd w:val="clear" w:color="auto" w:fill="auto"/>
            <w:vAlign w:val="center"/>
          </w:tcPr>
          <w:p w:rsidR="00236478" w:rsidRPr="00236478" w:rsidRDefault="00236478" w:rsidP="00236478">
            <w:pPr>
              <w:spacing w:after="0"/>
              <w:jc w:val="left"/>
              <w:rPr>
                <w:szCs w:val="24"/>
                <w:lang w:val="en-US"/>
              </w:rPr>
            </w:pPr>
            <w:r w:rsidRPr="00236478">
              <w:rPr>
                <w:bCs/>
                <w:kern w:val="24"/>
                <w:szCs w:val="24"/>
                <w:lang w:val="en-US"/>
              </w:rPr>
              <w:t>Rash</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3</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bCs/>
                <w:kern w:val="24"/>
                <w:szCs w:val="24"/>
                <w:lang w:val="en-US"/>
              </w:rPr>
              <w:t>7</w:t>
            </w:r>
          </w:p>
        </w:tc>
      </w:tr>
      <w:tr w:rsidR="00236478" w:rsidRPr="00236478" w:rsidTr="00236478">
        <w:tc>
          <w:tcPr>
            <w:tcW w:w="3227" w:type="dxa"/>
            <w:vMerge/>
            <w:shd w:val="clear" w:color="auto" w:fill="auto"/>
          </w:tcPr>
          <w:p w:rsidR="00236478" w:rsidRPr="00236478" w:rsidRDefault="00236478" w:rsidP="00236478">
            <w:pPr>
              <w:spacing w:after="0"/>
              <w:jc w:val="left"/>
              <w:rPr>
                <w:szCs w:val="24"/>
                <w:lang w:val="en-US"/>
              </w:rPr>
            </w:pPr>
          </w:p>
        </w:tc>
        <w:tc>
          <w:tcPr>
            <w:tcW w:w="1984" w:type="dxa"/>
            <w:shd w:val="clear" w:color="auto" w:fill="auto"/>
            <w:vAlign w:val="center"/>
          </w:tcPr>
          <w:p w:rsidR="00236478" w:rsidRPr="00236478" w:rsidRDefault="00236478" w:rsidP="00236478">
            <w:pPr>
              <w:spacing w:after="0"/>
              <w:jc w:val="left"/>
              <w:rPr>
                <w:szCs w:val="24"/>
                <w:lang w:val="en-US"/>
              </w:rPr>
            </w:pPr>
            <w:r w:rsidRPr="00236478">
              <w:rPr>
                <w:kern w:val="24"/>
                <w:szCs w:val="24"/>
                <w:lang w:val="en-US"/>
              </w:rPr>
              <w:t>Eczema</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1</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4</w:t>
            </w:r>
          </w:p>
        </w:tc>
      </w:tr>
      <w:tr w:rsidR="00236478" w:rsidRPr="00236478" w:rsidTr="00236478">
        <w:tc>
          <w:tcPr>
            <w:tcW w:w="3227" w:type="dxa"/>
            <w:vMerge/>
            <w:shd w:val="clear" w:color="auto" w:fill="auto"/>
          </w:tcPr>
          <w:p w:rsidR="00236478" w:rsidRPr="00236478" w:rsidRDefault="00236478" w:rsidP="00236478">
            <w:pPr>
              <w:spacing w:after="0"/>
              <w:jc w:val="left"/>
              <w:rPr>
                <w:szCs w:val="24"/>
                <w:lang w:val="en-US"/>
              </w:rPr>
            </w:pPr>
          </w:p>
        </w:tc>
        <w:tc>
          <w:tcPr>
            <w:tcW w:w="1984" w:type="dxa"/>
            <w:shd w:val="clear" w:color="auto" w:fill="auto"/>
            <w:vAlign w:val="center"/>
          </w:tcPr>
          <w:p w:rsidR="00236478" w:rsidRPr="00236478" w:rsidRDefault="00236478" w:rsidP="00236478">
            <w:pPr>
              <w:spacing w:after="0"/>
              <w:jc w:val="left"/>
              <w:rPr>
                <w:szCs w:val="24"/>
                <w:lang w:val="en-US"/>
              </w:rPr>
            </w:pPr>
            <w:r w:rsidRPr="00236478">
              <w:rPr>
                <w:kern w:val="24"/>
                <w:szCs w:val="24"/>
                <w:lang w:val="en-US"/>
              </w:rPr>
              <w:t>Acne</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&lt;1</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3</w:t>
            </w:r>
          </w:p>
        </w:tc>
      </w:tr>
      <w:tr w:rsidR="00236478" w:rsidRPr="00236478" w:rsidTr="00236478">
        <w:tc>
          <w:tcPr>
            <w:tcW w:w="3227" w:type="dxa"/>
            <w:vMerge/>
            <w:shd w:val="clear" w:color="auto" w:fill="auto"/>
          </w:tcPr>
          <w:p w:rsidR="00236478" w:rsidRPr="00236478" w:rsidRDefault="00236478" w:rsidP="00236478">
            <w:pPr>
              <w:spacing w:after="0"/>
              <w:jc w:val="left"/>
              <w:rPr>
                <w:szCs w:val="24"/>
                <w:lang w:val="en-US"/>
              </w:rPr>
            </w:pPr>
          </w:p>
        </w:tc>
        <w:tc>
          <w:tcPr>
            <w:tcW w:w="1984" w:type="dxa"/>
            <w:shd w:val="clear" w:color="auto" w:fill="auto"/>
            <w:vAlign w:val="center"/>
          </w:tcPr>
          <w:p w:rsidR="00236478" w:rsidRPr="00236478" w:rsidRDefault="00236478" w:rsidP="00236478">
            <w:pPr>
              <w:spacing w:after="0"/>
              <w:jc w:val="left"/>
              <w:rPr>
                <w:szCs w:val="24"/>
                <w:lang w:val="en-US"/>
              </w:rPr>
            </w:pPr>
            <w:proofErr w:type="spellStart"/>
            <w:r w:rsidRPr="00236478">
              <w:rPr>
                <w:kern w:val="24"/>
                <w:szCs w:val="24"/>
                <w:lang w:val="en-US"/>
              </w:rPr>
              <w:t>Seborrhoeic</w:t>
            </w:r>
            <w:proofErr w:type="spellEnd"/>
            <w:r w:rsidRPr="00236478">
              <w:rPr>
                <w:kern w:val="24"/>
                <w:szCs w:val="24"/>
                <w:lang w:val="en-US"/>
              </w:rPr>
              <w:t xml:space="preserve"> dermatitis</w:t>
            </w:r>
          </w:p>
        </w:tc>
        <w:tc>
          <w:tcPr>
            <w:tcW w:w="2127"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&lt;1</w:t>
            </w:r>
          </w:p>
        </w:tc>
        <w:tc>
          <w:tcPr>
            <w:tcW w:w="2268" w:type="dxa"/>
            <w:shd w:val="clear" w:color="auto" w:fill="auto"/>
            <w:vAlign w:val="center"/>
          </w:tcPr>
          <w:p w:rsidR="00236478" w:rsidRPr="00236478" w:rsidRDefault="00236478" w:rsidP="00236478">
            <w:pPr>
              <w:spacing w:after="0"/>
              <w:jc w:val="center"/>
              <w:rPr>
                <w:szCs w:val="24"/>
                <w:lang w:val="en-US"/>
              </w:rPr>
            </w:pPr>
            <w:r w:rsidRPr="00236478">
              <w:rPr>
                <w:kern w:val="24"/>
                <w:szCs w:val="24"/>
                <w:lang w:val="en-US"/>
              </w:rPr>
              <w:t>3</w:t>
            </w:r>
          </w:p>
        </w:tc>
      </w:tr>
    </w:tbl>
    <w:p w:rsidR="00236478" w:rsidRPr="00236478" w:rsidRDefault="00236478" w:rsidP="00236478">
      <w:pPr>
        <w:spacing w:after="0"/>
        <w:jc w:val="left"/>
        <w:rPr>
          <w:szCs w:val="24"/>
          <w:lang w:val="en-US"/>
        </w:rPr>
      </w:pPr>
    </w:p>
    <w:p w:rsidR="00D65483" w:rsidRPr="00E44819" w:rsidRDefault="00D65483" w:rsidP="00D65483">
      <w:r w:rsidRPr="00236478">
        <w:rPr>
          <w:szCs w:val="24"/>
          <w:lang w:val="en-US"/>
        </w:rPr>
        <w:t xml:space="preserve">Other clinically relevant adverse drug reactions observed at &lt;2% difference included pharyngitis, bronchitis, viral infection, respiratory tract infection, folliculitis, laryngitis, pneumonia, lymphadenitis, erythema, pruritus, dry skin, dermatitis, dermatitis allergic, rash </w:t>
      </w:r>
      <w:proofErr w:type="spellStart"/>
      <w:r w:rsidRPr="00236478">
        <w:rPr>
          <w:szCs w:val="24"/>
          <w:lang w:val="en-US"/>
        </w:rPr>
        <w:t>maculopapular</w:t>
      </w:r>
      <w:proofErr w:type="spellEnd"/>
      <w:r w:rsidRPr="00236478">
        <w:rPr>
          <w:szCs w:val="24"/>
          <w:lang w:val="en-US"/>
        </w:rPr>
        <w:t xml:space="preserve">, psoriasis, skin exfoliation, </w:t>
      </w:r>
      <w:proofErr w:type="spellStart"/>
      <w:r w:rsidRPr="00236478">
        <w:rPr>
          <w:szCs w:val="24"/>
          <w:lang w:val="en-US"/>
        </w:rPr>
        <w:t>exfoliative</w:t>
      </w:r>
      <w:proofErr w:type="spellEnd"/>
      <w:r w:rsidRPr="00236478">
        <w:rPr>
          <w:szCs w:val="24"/>
          <w:lang w:val="en-US"/>
        </w:rPr>
        <w:t xml:space="preserve"> rash, eczema nummular, toxic skin eruption, diarr</w:t>
      </w:r>
      <w:r w:rsidRPr="00D65483">
        <w:rPr>
          <w:szCs w:val="24"/>
          <w:lang w:val="en-US"/>
        </w:rPr>
        <w:t xml:space="preserve">hea, lymphocyte count decreased, </w:t>
      </w:r>
      <w:r w:rsidRPr="00236478">
        <w:rPr>
          <w:szCs w:val="24"/>
          <w:lang w:val="en-US"/>
        </w:rPr>
        <w:t>liver function test abnormal, and hepatic enzyme increased.</w:t>
      </w:r>
    </w:p>
    <w:p w:rsidR="00D65483" w:rsidRPr="00FB2653" w:rsidRDefault="00D65483" w:rsidP="00FB2653">
      <w:pPr>
        <w:rPr>
          <w:b/>
          <w:i/>
        </w:rPr>
      </w:pPr>
      <w:r w:rsidRPr="00D65483">
        <w:rPr>
          <w:b/>
          <w:i/>
        </w:rPr>
        <w:t>Lymphadenopathy</w:t>
      </w:r>
    </w:p>
    <w:p w:rsidR="00D65483" w:rsidRPr="00E44819" w:rsidRDefault="00D65483" w:rsidP="00D65483">
      <w:r w:rsidRPr="00D65483">
        <w:t>In clinical studies, ZINBRYTA increased the incidence of lymphadenopathy, with onset occurring throughout the treatment period. Discontinuation due to lymphadenopathy was &lt; 1% in ZINBRYTA-treated patients. The majority of patients with lymphadenopathy continued on treatment with ZINBRYTA, and the majority of cases resolved within 3 months.</w:t>
      </w:r>
    </w:p>
    <w:p w:rsidR="00491F45" w:rsidRPr="00FB2653" w:rsidRDefault="00D65483" w:rsidP="00FB2653">
      <w:pPr>
        <w:rPr>
          <w:b/>
          <w:i/>
        </w:rPr>
      </w:pPr>
      <w:r>
        <w:rPr>
          <w:b/>
          <w:i/>
        </w:rPr>
        <w:br w:type="page"/>
      </w:r>
      <w:r w:rsidR="00491F45" w:rsidRPr="00491F45">
        <w:rPr>
          <w:b/>
          <w:i/>
        </w:rPr>
        <w:lastRenderedPageBreak/>
        <w:t>Immunogenicity</w:t>
      </w:r>
    </w:p>
    <w:p w:rsidR="00491F45" w:rsidRDefault="00491F45" w:rsidP="00491F45">
      <w:r>
        <w:t xml:space="preserve">As with all therapeutic proteins, there is potential for patients to develop antibodies to </w:t>
      </w:r>
      <w:proofErr w:type="spellStart"/>
      <w:r>
        <w:t>daclizumab</w:t>
      </w:r>
      <w:proofErr w:type="spellEnd"/>
      <w:r>
        <w:t>. In the DECIDE study /Study 2, patients were tested for anti-drug (</w:t>
      </w:r>
      <w:proofErr w:type="spellStart"/>
      <w:r>
        <w:t>daclizumab</w:t>
      </w:r>
      <w:proofErr w:type="spellEnd"/>
      <w:r>
        <w:t>) antibodies (ADA) at week 4 and approximately every 3 months thereafter. Treatment-emergent ADAs and neutralizing antibodies (</w:t>
      </w:r>
      <w:proofErr w:type="spellStart"/>
      <w:r>
        <w:t>NAbs</w:t>
      </w:r>
      <w:proofErr w:type="spellEnd"/>
      <w:r>
        <w:t xml:space="preserve">) were observed in 19% (175/913) and 8% (71/913) of study patients, respectively. The majority of the treatment-emergent ADA responses were transient (12% [110/913]) and the remaining minority (7% [65/913]) were persistent. Treatment-emergent ADA and </w:t>
      </w:r>
      <w:proofErr w:type="spellStart"/>
      <w:r>
        <w:t>NAb</w:t>
      </w:r>
      <w:proofErr w:type="spellEnd"/>
      <w:r>
        <w:t xml:space="preserve"> responses predominantly occurred during the first year of treatment and their frequency declined with continued </w:t>
      </w:r>
      <w:r w:rsidR="00FE4239">
        <w:t>ZINBRYTA</w:t>
      </w:r>
      <w:r>
        <w:t xml:space="preserve"> treatment. </w:t>
      </w:r>
    </w:p>
    <w:p w:rsidR="00491F45" w:rsidRDefault="00491F45" w:rsidP="00491F45">
      <w:r>
        <w:t xml:space="preserve">In patients with </w:t>
      </w:r>
      <w:proofErr w:type="spellStart"/>
      <w:r>
        <w:t>NAbs</w:t>
      </w:r>
      <w:proofErr w:type="spellEnd"/>
      <w:r>
        <w:t xml:space="preserve">, </w:t>
      </w:r>
      <w:proofErr w:type="spellStart"/>
      <w:r>
        <w:t>daclizumab</w:t>
      </w:r>
      <w:proofErr w:type="spellEnd"/>
      <w:r>
        <w:t xml:space="preserve"> clearance was increased on average by 19% (see Pharmacokinetics). There was no apparent correlation of ADA or </w:t>
      </w:r>
      <w:proofErr w:type="spellStart"/>
      <w:r>
        <w:t>NAbs</w:t>
      </w:r>
      <w:proofErr w:type="spellEnd"/>
      <w:r>
        <w:t xml:space="preserve"> development to clinical response, adverse events, or </w:t>
      </w:r>
      <w:proofErr w:type="spellStart"/>
      <w:r>
        <w:t>pharmacodynamic</w:t>
      </w:r>
      <w:proofErr w:type="spellEnd"/>
      <w:r>
        <w:t xml:space="preserve"> profile of </w:t>
      </w:r>
      <w:proofErr w:type="spellStart"/>
      <w:r>
        <w:t>daclizumab</w:t>
      </w:r>
      <w:proofErr w:type="spellEnd"/>
      <w:r>
        <w:t>.</w:t>
      </w:r>
    </w:p>
    <w:p w:rsidR="00491F45" w:rsidRDefault="00491F45" w:rsidP="00491F45">
      <w:r>
        <w:t xml:space="preserve">The observed incidence of antibody positivity may be influenced by several factors including sample handling, timing of sample collection, number of time points evaluated, the sensitivity and specificity of the assay employed, concomitant medications and underlying disease. For these reasons, comparison of the incidence of antibodies to </w:t>
      </w:r>
      <w:r w:rsidR="00FE4239">
        <w:t>ZINBRYTA</w:t>
      </w:r>
      <w:r>
        <w:t xml:space="preserve"> with the incidence of antibodies to other products may be misleading.</w:t>
      </w:r>
    </w:p>
    <w:p w:rsidR="00812C64" w:rsidRPr="00FF13B1" w:rsidRDefault="00812C64" w:rsidP="00CC1938">
      <w:pPr>
        <w:pStyle w:val="PIHeading1"/>
      </w:pPr>
      <w:r w:rsidRPr="00FF13B1">
        <w:t>DOSAGE AND ADMINISTRATION</w:t>
      </w:r>
      <w:r w:rsidR="00EE1B2E" w:rsidRPr="00FF13B1">
        <w:t xml:space="preserve"> </w:t>
      </w:r>
    </w:p>
    <w:p w:rsidR="00D65483" w:rsidRDefault="00D65483" w:rsidP="00F07210">
      <w:pPr>
        <w:pStyle w:val="PINormal"/>
        <w:rPr>
          <w:szCs w:val="24"/>
        </w:rPr>
      </w:pPr>
      <w:r w:rsidRPr="00D65483">
        <w:rPr>
          <w:szCs w:val="24"/>
        </w:rPr>
        <w:t xml:space="preserve">ZINBRYTA should be </w:t>
      </w:r>
      <w:r w:rsidRPr="00D65483">
        <w:t xml:space="preserve">initiated by a </w:t>
      </w:r>
      <w:r w:rsidR="00AB2BA8">
        <w:t>neurologist</w:t>
      </w:r>
      <w:r w:rsidR="00AB2BA8" w:rsidRPr="00D65483">
        <w:t xml:space="preserve"> </w:t>
      </w:r>
      <w:r w:rsidRPr="00D65483">
        <w:t>experienced in the management of multiple sclerosis</w:t>
      </w:r>
      <w:r w:rsidRPr="00D65483">
        <w:rPr>
          <w:szCs w:val="24"/>
        </w:rPr>
        <w:t>.</w:t>
      </w:r>
    </w:p>
    <w:p w:rsidR="007541BD" w:rsidRPr="00590437" w:rsidRDefault="00AB2BA8" w:rsidP="00F07210">
      <w:pPr>
        <w:pStyle w:val="PINormal"/>
        <w:rPr>
          <w:b/>
          <w:szCs w:val="24"/>
        </w:rPr>
      </w:pPr>
      <w:r w:rsidRPr="00590437">
        <w:rPr>
          <w:b/>
          <w:szCs w:val="24"/>
        </w:rPr>
        <w:t xml:space="preserve">Prior to initiating ZINBRYTA, </w:t>
      </w:r>
      <w:r w:rsidR="007541BD" w:rsidRPr="00590437">
        <w:rPr>
          <w:b/>
          <w:szCs w:val="24"/>
        </w:rPr>
        <w:t>obtain and evaluate the following:</w:t>
      </w:r>
    </w:p>
    <w:p w:rsidR="00941CAB" w:rsidRPr="00590437" w:rsidRDefault="00941CAB" w:rsidP="00590437">
      <w:pPr>
        <w:pStyle w:val="PINormal"/>
        <w:rPr>
          <w:i/>
          <w:szCs w:val="24"/>
          <w:lang w:eastAsia="en-AU"/>
        </w:rPr>
      </w:pPr>
      <w:r w:rsidRPr="00590437">
        <w:rPr>
          <w:i/>
          <w:szCs w:val="24"/>
          <w:lang w:eastAsia="en-AU"/>
        </w:rPr>
        <w:t>Hepatic Assessment</w:t>
      </w:r>
    </w:p>
    <w:p w:rsidR="007541BD" w:rsidRPr="00275D7A" w:rsidRDefault="007541BD" w:rsidP="00590437">
      <w:pPr>
        <w:pStyle w:val="PINormal"/>
        <w:rPr>
          <w:szCs w:val="24"/>
          <w:lang w:eastAsia="en-AU"/>
        </w:rPr>
      </w:pPr>
      <w:r w:rsidRPr="004B13C1">
        <w:rPr>
          <w:szCs w:val="24"/>
          <w:lang w:eastAsia="en-AU"/>
        </w:rPr>
        <w:t>Serum transaminases (alanine aminotransferase (ALT) and aspartate aminotransferase (AST)</w:t>
      </w:r>
      <w:r w:rsidR="00275D7A">
        <w:rPr>
          <w:szCs w:val="24"/>
          <w:lang w:eastAsia="en-AU"/>
        </w:rPr>
        <w:t>)</w:t>
      </w:r>
      <w:r w:rsidRPr="004B13C1">
        <w:rPr>
          <w:szCs w:val="24"/>
          <w:lang w:eastAsia="en-AU"/>
        </w:rPr>
        <w:t xml:space="preserve"> and total bilirubin levels</w:t>
      </w:r>
      <w:r w:rsidRPr="00853EF8">
        <w:rPr>
          <w:szCs w:val="24"/>
          <w:lang w:eastAsia="en-AU"/>
        </w:rPr>
        <w:t>.</w:t>
      </w:r>
      <w:r>
        <w:rPr>
          <w:szCs w:val="24"/>
          <w:lang w:eastAsia="en-AU"/>
        </w:rPr>
        <w:t xml:space="preserve"> </w:t>
      </w:r>
      <w:r w:rsidRPr="007541BD">
        <w:rPr>
          <w:szCs w:val="24"/>
          <w:lang w:eastAsia="en-AU"/>
        </w:rPr>
        <w:t>Initiation of ZINBRYTA is contraindicated in patients with pre-existing hepatic disease or hepat</w:t>
      </w:r>
      <w:r w:rsidRPr="004B13C1">
        <w:rPr>
          <w:szCs w:val="24"/>
          <w:lang w:eastAsia="en-AU"/>
        </w:rPr>
        <w:t>ic impairment including ALT or AST at least 2 times the ULN</w:t>
      </w:r>
      <w:r w:rsidR="00933DF2">
        <w:rPr>
          <w:szCs w:val="24"/>
          <w:lang w:eastAsia="en-AU"/>
        </w:rPr>
        <w:t xml:space="preserve"> at baseline</w:t>
      </w:r>
      <w:r w:rsidRPr="004B13C1">
        <w:rPr>
          <w:szCs w:val="24"/>
          <w:lang w:eastAsia="en-AU"/>
        </w:rPr>
        <w:t xml:space="preserve"> (see C</w:t>
      </w:r>
      <w:r w:rsidR="00933DF2">
        <w:rPr>
          <w:szCs w:val="24"/>
          <w:lang w:eastAsia="en-AU"/>
        </w:rPr>
        <w:t>ONTRAINDICATIONS and PRECAUTIONS</w:t>
      </w:r>
      <w:r w:rsidRPr="004B13C1">
        <w:rPr>
          <w:szCs w:val="24"/>
          <w:lang w:eastAsia="en-AU"/>
        </w:rPr>
        <w:t>)</w:t>
      </w:r>
      <w:r w:rsidR="0034710B">
        <w:rPr>
          <w:szCs w:val="24"/>
          <w:lang w:eastAsia="en-AU"/>
        </w:rPr>
        <w:t>.</w:t>
      </w:r>
      <w:r w:rsidRPr="00853EF8">
        <w:rPr>
          <w:szCs w:val="24"/>
        </w:rPr>
        <w:t xml:space="preserve"> </w:t>
      </w:r>
    </w:p>
    <w:p w:rsidR="007541BD" w:rsidRPr="00590437" w:rsidRDefault="007541BD" w:rsidP="00590437">
      <w:pPr>
        <w:rPr>
          <w:i/>
          <w:szCs w:val="24"/>
          <w:lang w:eastAsia="en-AU"/>
        </w:rPr>
      </w:pPr>
      <w:r w:rsidRPr="00590437">
        <w:rPr>
          <w:i/>
          <w:szCs w:val="24"/>
          <w:lang w:eastAsia="en-AU"/>
        </w:rPr>
        <w:t xml:space="preserve">Assessment of </w:t>
      </w:r>
      <w:r w:rsidR="00132663">
        <w:rPr>
          <w:i/>
          <w:szCs w:val="24"/>
          <w:lang w:eastAsia="en-AU"/>
        </w:rPr>
        <w:t>T</w:t>
      </w:r>
      <w:r w:rsidRPr="00590437">
        <w:rPr>
          <w:i/>
          <w:lang w:eastAsia="en-AU"/>
        </w:rPr>
        <w:t xml:space="preserve">uberculosis and </w:t>
      </w:r>
      <w:r w:rsidR="00132663">
        <w:rPr>
          <w:i/>
          <w:lang w:eastAsia="en-AU"/>
        </w:rPr>
        <w:t>O</w:t>
      </w:r>
      <w:r w:rsidRPr="00590437">
        <w:rPr>
          <w:i/>
          <w:lang w:eastAsia="en-AU"/>
        </w:rPr>
        <w:t>ther</w:t>
      </w:r>
      <w:r w:rsidR="00132663">
        <w:rPr>
          <w:i/>
          <w:lang w:eastAsia="en-AU"/>
        </w:rPr>
        <w:t xml:space="preserve"> I</w:t>
      </w:r>
      <w:r w:rsidRPr="00590437">
        <w:rPr>
          <w:i/>
          <w:lang w:eastAsia="en-AU"/>
        </w:rPr>
        <w:t>nfections</w:t>
      </w:r>
    </w:p>
    <w:p w:rsidR="007541BD" w:rsidRPr="007541BD" w:rsidRDefault="004B5DD5" w:rsidP="0034710B">
      <w:pPr>
        <w:pStyle w:val="ListParagraph"/>
        <w:numPr>
          <w:ilvl w:val="0"/>
          <w:numId w:val="12"/>
        </w:numPr>
        <w:jc w:val="both"/>
        <w:rPr>
          <w:rFonts w:ascii="Times New Roman" w:hAnsi="Times New Roman"/>
          <w:sz w:val="24"/>
          <w:szCs w:val="24"/>
          <w:lang w:eastAsia="en-AU"/>
        </w:rPr>
      </w:pPr>
      <w:r>
        <w:rPr>
          <w:rFonts w:ascii="Times New Roman" w:hAnsi="Times New Roman"/>
          <w:sz w:val="24"/>
          <w:szCs w:val="24"/>
          <w:lang w:eastAsia="en-AU"/>
        </w:rPr>
        <w:t>P</w:t>
      </w:r>
      <w:r w:rsidR="007541BD" w:rsidRPr="007541BD">
        <w:rPr>
          <w:rFonts w:ascii="Times New Roman" w:hAnsi="Times New Roman"/>
          <w:sz w:val="24"/>
          <w:szCs w:val="24"/>
          <w:lang w:eastAsia="en-AU"/>
        </w:rPr>
        <w:t>atients at high risk for tuberculosis infection</w:t>
      </w:r>
      <w:r>
        <w:rPr>
          <w:rFonts w:ascii="Times New Roman" w:hAnsi="Times New Roman"/>
          <w:sz w:val="24"/>
          <w:szCs w:val="24"/>
          <w:lang w:eastAsia="en-AU"/>
        </w:rPr>
        <w:t xml:space="preserve"> should be evaluated</w:t>
      </w:r>
      <w:r w:rsidR="007541BD" w:rsidRPr="007541BD">
        <w:rPr>
          <w:rFonts w:ascii="Times New Roman" w:hAnsi="Times New Roman"/>
          <w:sz w:val="24"/>
          <w:szCs w:val="24"/>
          <w:lang w:eastAsia="en-AU"/>
        </w:rPr>
        <w:t xml:space="preserve"> prior to initiating treatment with ZINBRYTA (see PRECAUTIONS). For patients testing positive for tuberculosis, treat tuberculosis by standard medical practice prior to therapy with ZINBRYTA.</w:t>
      </w:r>
    </w:p>
    <w:p w:rsidR="004B5DD5" w:rsidRDefault="007541BD" w:rsidP="0034710B">
      <w:pPr>
        <w:pStyle w:val="ListParagraph"/>
        <w:numPr>
          <w:ilvl w:val="0"/>
          <w:numId w:val="12"/>
        </w:numPr>
        <w:jc w:val="both"/>
        <w:rPr>
          <w:rFonts w:ascii="Times New Roman" w:hAnsi="Times New Roman"/>
          <w:sz w:val="24"/>
          <w:szCs w:val="24"/>
          <w:lang w:eastAsia="en-AU"/>
        </w:rPr>
      </w:pPr>
      <w:r w:rsidRPr="007541BD">
        <w:rPr>
          <w:rFonts w:ascii="Times New Roman" w:hAnsi="Times New Roman"/>
          <w:sz w:val="24"/>
          <w:szCs w:val="24"/>
          <w:lang w:eastAsia="en-AU"/>
        </w:rPr>
        <w:t>Avoid initiating ZINBRYTA in patients with tuberculosis or other severe active infection (see PRECAUTIONS).</w:t>
      </w:r>
    </w:p>
    <w:p w:rsidR="004B5DD5" w:rsidRPr="00306BB2" w:rsidRDefault="007541BD" w:rsidP="0034710B">
      <w:pPr>
        <w:pStyle w:val="ListParagraph"/>
        <w:numPr>
          <w:ilvl w:val="0"/>
          <w:numId w:val="12"/>
        </w:numPr>
        <w:jc w:val="both"/>
        <w:rPr>
          <w:rFonts w:ascii="Times New Roman" w:hAnsi="Times New Roman"/>
          <w:sz w:val="24"/>
          <w:szCs w:val="24"/>
          <w:lang w:eastAsia="en-AU"/>
        </w:rPr>
      </w:pPr>
      <w:r w:rsidRPr="00306BB2">
        <w:rPr>
          <w:rFonts w:ascii="Times New Roman" w:hAnsi="Times New Roman"/>
          <w:sz w:val="24"/>
          <w:szCs w:val="24"/>
          <w:lang w:eastAsia="en-AU"/>
        </w:rPr>
        <w:t xml:space="preserve">Screen patients for Hepatitis B and C. ZINBRYTA is contraindicated in patients with </w:t>
      </w:r>
      <w:r w:rsidR="00975F7C">
        <w:rPr>
          <w:rFonts w:ascii="Times New Roman" w:hAnsi="Times New Roman"/>
          <w:sz w:val="24"/>
          <w:szCs w:val="24"/>
          <w:lang w:eastAsia="en-AU"/>
        </w:rPr>
        <w:br/>
      </w:r>
      <w:r w:rsidRPr="00306BB2">
        <w:rPr>
          <w:rFonts w:ascii="Times New Roman" w:hAnsi="Times New Roman"/>
          <w:sz w:val="24"/>
          <w:szCs w:val="24"/>
          <w:lang w:eastAsia="en-AU"/>
        </w:rPr>
        <w:t>pre-existing hepatic disease (see CONTRAINDICATIONS</w:t>
      </w:r>
      <w:r w:rsidR="00275D7A" w:rsidRPr="00306BB2">
        <w:rPr>
          <w:rFonts w:ascii="Times New Roman" w:hAnsi="Times New Roman"/>
          <w:sz w:val="24"/>
          <w:szCs w:val="24"/>
          <w:lang w:eastAsia="en-AU"/>
        </w:rPr>
        <w:t>)</w:t>
      </w:r>
      <w:r w:rsidR="00F663D1">
        <w:rPr>
          <w:rFonts w:ascii="Times New Roman" w:hAnsi="Times New Roman"/>
          <w:sz w:val="24"/>
          <w:szCs w:val="24"/>
          <w:lang w:eastAsia="en-AU"/>
        </w:rPr>
        <w:t>.</w:t>
      </w:r>
      <w:r w:rsidR="004B5DD5" w:rsidRPr="004B5DD5">
        <w:rPr>
          <w:szCs w:val="24"/>
        </w:rPr>
        <w:t xml:space="preserve"> </w:t>
      </w:r>
    </w:p>
    <w:p w:rsidR="00306BB2" w:rsidRPr="00306BB2" w:rsidRDefault="00306BB2" w:rsidP="0034710B">
      <w:pPr>
        <w:pStyle w:val="ListParagraph"/>
        <w:jc w:val="both"/>
        <w:rPr>
          <w:rFonts w:ascii="Times New Roman" w:hAnsi="Times New Roman"/>
          <w:sz w:val="24"/>
          <w:szCs w:val="24"/>
          <w:lang w:eastAsia="en-AU"/>
        </w:rPr>
      </w:pPr>
    </w:p>
    <w:p w:rsidR="00A171F7" w:rsidRPr="00590437" w:rsidRDefault="00306BB2" w:rsidP="004B5DD5">
      <w:pPr>
        <w:pStyle w:val="PINormal"/>
        <w:rPr>
          <w:b/>
          <w:szCs w:val="24"/>
        </w:rPr>
      </w:pPr>
      <w:r>
        <w:rPr>
          <w:szCs w:val="24"/>
        </w:rPr>
        <w:br w:type="page"/>
      </w:r>
      <w:r w:rsidRPr="00590437">
        <w:rPr>
          <w:b/>
          <w:szCs w:val="24"/>
        </w:rPr>
        <w:lastRenderedPageBreak/>
        <w:t>During therapy with ZINBRYTA</w:t>
      </w:r>
      <w:r w:rsidR="00590437">
        <w:rPr>
          <w:b/>
          <w:szCs w:val="24"/>
        </w:rPr>
        <w:t>:</w:t>
      </w:r>
    </w:p>
    <w:p w:rsidR="00306BB2" w:rsidRPr="004B5DD5" w:rsidRDefault="00306BB2" w:rsidP="0034710B">
      <w:pPr>
        <w:pStyle w:val="PINormal"/>
        <w:rPr>
          <w:szCs w:val="24"/>
          <w:lang w:eastAsia="en-AU"/>
        </w:rPr>
      </w:pPr>
      <w:r>
        <w:rPr>
          <w:szCs w:val="24"/>
        </w:rPr>
        <w:t xml:space="preserve">Test transaminase levels and total bilirubin monthly and assess before the next dose of ZINBRYTA. Follow transaminase levels and total bilirubin monthly for up to 4 months after the last dose of ZINBRYTA. As shown in Tables 4 and </w:t>
      </w:r>
      <w:r w:rsidR="00DF480B">
        <w:rPr>
          <w:szCs w:val="24"/>
        </w:rPr>
        <w:t>8</w:t>
      </w:r>
      <w:r>
        <w:rPr>
          <w:szCs w:val="24"/>
        </w:rPr>
        <w:t>, interruption or discontinuation of ZINBRYTA therapy is recommended for management of certain liver test abnormalities.</w:t>
      </w:r>
    </w:p>
    <w:p w:rsidR="007541BD" w:rsidRDefault="007541BD" w:rsidP="0034710B">
      <w:pPr>
        <w:pStyle w:val="ListParagraph"/>
        <w:ind w:left="0"/>
        <w:jc w:val="both"/>
        <w:rPr>
          <w:rFonts w:ascii="Times New Roman" w:hAnsi="Times New Roman"/>
          <w:sz w:val="24"/>
          <w:szCs w:val="24"/>
          <w:lang w:eastAsia="en-AU"/>
        </w:rPr>
      </w:pPr>
    </w:p>
    <w:p w:rsidR="007541BD" w:rsidRPr="001B2B3C" w:rsidRDefault="001B2B3C" w:rsidP="00590437">
      <w:pPr>
        <w:pStyle w:val="ListParagraph"/>
        <w:ind w:left="0"/>
        <w:rPr>
          <w:rFonts w:ascii="Times New Roman" w:hAnsi="Times New Roman"/>
          <w:sz w:val="24"/>
          <w:szCs w:val="24"/>
          <w:u w:val="single"/>
          <w:lang w:val="en-US"/>
        </w:rPr>
      </w:pPr>
      <w:r w:rsidRPr="001B2B3C">
        <w:rPr>
          <w:rFonts w:ascii="Times New Roman" w:hAnsi="Times New Roman"/>
          <w:sz w:val="24"/>
          <w:szCs w:val="24"/>
          <w:u w:val="single"/>
          <w:lang w:val="en-US"/>
        </w:rPr>
        <w:t xml:space="preserve">Table </w:t>
      </w:r>
      <w:r w:rsidR="00DF480B">
        <w:rPr>
          <w:rFonts w:ascii="Times New Roman" w:hAnsi="Times New Roman"/>
          <w:sz w:val="24"/>
          <w:szCs w:val="24"/>
          <w:u w:val="single"/>
          <w:lang w:val="en-US"/>
        </w:rPr>
        <w:t>8</w:t>
      </w:r>
      <w:r w:rsidRPr="001B2B3C">
        <w:rPr>
          <w:rFonts w:ascii="Times New Roman" w:hAnsi="Times New Roman"/>
          <w:sz w:val="24"/>
          <w:szCs w:val="24"/>
          <w:u w:val="single"/>
          <w:lang w:val="en-US"/>
        </w:rPr>
        <w:t xml:space="preserve">: </w:t>
      </w:r>
      <w:r w:rsidR="007541BD" w:rsidRPr="001B2B3C">
        <w:rPr>
          <w:rFonts w:ascii="Times New Roman" w:hAnsi="Times New Roman"/>
          <w:sz w:val="24"/>
          <w:szCs w:val="24"/>
          <w:u w:val="single"/>
          <w:lang w:val="en-US"/>
        </w:rPr>
        <w:t>ZINBRYTA treatment modification for liver abnormalities</w:t>
      </w:r>
    </w:p>
    <w:p w:rsidR="004B13C1" w:rsidRPr="004B13C1" w:rsidRDefault="004B13C1" w:rsidP="004B13C1">
      <w:pPr>
        <w:pStyle w:val="ListParagraph"/>
        <w:ind w:left="-142"/>
        <w:rPr>
          <w:rFonts w:ascii="Times New Roman" w:hAnsi="Times New Roman"/>
          <w:sz w:val="24"/>
          <w:szCs w:val="24"/>
          <w:lang w:eastAsia="en-A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723"/>
      </w:tblGrid>
      <w:tr w:rsidR="007541BD" w:rsidTr="00590437">
        <w:tc>
          <w:tcPr>
            <w:tcW w:w="4916" w:type="dxa"/>
            <w:shd w:val="clear" w:color="auto" w:fill="auto"/>
          </w:tcPr>
          <w:p w:rsidR="007541BD" w:rsidRPr="00CC2151" w:rsidRDefault="007541BD" w:rsidP="00C96622">
            <w:pPr>
              <w:rPr>
                <w:b/>
              </w:rPr>
            </w:pPr>
            <w:r w:rsidRPr="00CC2151">
              <w:rPr>
                <w:b/>
              </w:rPr>
              <w:t>Lab Value(s)</w:t>
            </w:r>
          </w:p>
        </w:tc>
        <w:tc>
          <w:tcPr>
            <w:tcW w:w="4723" w:type="dxa"/>
            <w:shd w:val="clear" w:color="auto" w:fill="auto"/>
          </w:tcPr>
          <w:p w:rsidR="007541BD" w:rsidRPr="00CC2151" w:rsidRDefault="007541BD" w:rsidP="00C96622">
            <w:pPr>
              <w:rPr>
                <w:b/>
              </w:rPr>
            </w:pPr>
            <w:r w:rsidRPr="00CC2151">
              <w:rPr>
                <w:b/>
              </w:rPr>
              <w:t>Recommendations</w:t>
            </w:r>
          </w:p>
        </w:tc>
      </w:tr>
      <w:tr w:rsidR="007541BD" w:rsidTr="00590437">
        <w:tc>
          <w:tcPr>
            <w:tcW w:w="4916" w:type="dxa"/>
            <w:shd w:val="clear" w:color="auto" w:fill="auto"/>
          </w:tcPr>
          <w:p w:rsidR="007541BD" w:rsidRDefault="007541BD" w:rsidP="00C96622">
            <w:r>
              <w:t>Confirmed ALT or AST &gt; 5 times ULN</w:t>
            </w:r>
          </w:p>
          <w:p w:rsidR="007541BD" w:rsidRDefault="007541BD" w:rsidP="00C96622">
            <w:pPr>
              <w:jc w:val="center"/>
            </w:pPr>
            <w:r>
              <w:t>OR</w:t>
            </w:r>
          </w:p>
          <w:p w:rsidR="007541BD" w:rsidRPr="0081750C" w:rsidRDefault="007541BD" w:rsidP="00C96622">
            <w:r>
              <w:t xml:space="preserve">Confirmed ALT or AST &gt; 3 times ULN </w:t>
            </w:r>
            <w:r w:rsidRPr="00CC2151">
              <w:rPr>
                <w:u w:val="single"/>
              </w:rPr>
              <w:t>and</w:t>
            </w:r>
            <w:r>
              <w:t xml:space="preserve"> bilirubin &gt; 2 times ULN</w:t>
            </w:r>
          </w:p>
        </w:tc>
        <w:tc>
          <w:tcPr>
            <w:tcW w:w="4723" w:type="dxa"/>
            <w:shd w:val="clear" w:color="auto" w:fill="auto"/>
          </w:tcPr>
          <w:p w:rsidR="007541BD" w:rsidRDefault="007541BD" w:rsidP="00C96622">
            <w:r w:rsidRPr="00CC2151">
              <w:rPr>
                <w:b/>
              </w:rPr>
              <w:t>Treatment discontinuation</w:t>
            </w:r>
          </w:p>
          <w:p w:rsidR="007541BD" w:rsidRPr="0081750C" w:rsidRDefault="007541BD" w:rsidP="00C96622">
            <w:r>
              <w:t>Re-initiation of therapy may be considered if other aetiologies are found, values have returned to normal and benefits to the patient of resuming therapy outweigh the risks.</w:t>
            </w:r>
          </w:p>
        </w:tc>
      </w:tr>
      <w:tr w:rsidR="007541BD" w:rsidTr="00590437">
        <w:tc>
          <w:tcPr>
            <w:tcW w:w="4916" w:type="dxa"/>
            <w:tcBorders>
              <w:bottom w:val="single" w:sz="4" w:space="0" w:color="auto"/>
            </w:tcBorders>
            <w:shd w:val="clear" w:color="auto" w:fill="auto"/>
          </w:tcPr>
          <w:p w:rsidR="007541BD" w:rsidRDefault="007541BD" w:rsidP="00C96622">
            <w:r>
              <w:t>ALT or AST &gt; 3 times ULN</w:t>
            </w:r>
          </w:p>
        </w:tc>
        <w:tc>
          <w:tcPr>
            <w:tcW w:w="4723" w:type="dxa"/>
            <w:tcBorders>
              <w:bottom w:val="single" w:sz="4" w:space="0" w:color="auto"/>
            </w:tcBorders>
            <w:shd w:val="clear" w:color="auto" w:fill="auto"/>
          </w:tcPr>
          <w:p w:rsidR="007541BD" w:rsidRDefault="007541BD" w:rsidP="00C96622">
            <w:r w:rsidRPr="00CC2151">
              <w:rPr>
                <w:b/>
              </w:rPr>
              <w:t>Treatment interruption and close monitoring</w:t>
            </w:r>
          </w:p>
          <w:p w:rsidR="007541BD" w:rsidRPr="0081750C" w:rsidRDefault="007541BD" w:rsidP="00C96622">
            <w:r>
              <w:t>Resume when ALT or AST have reached &lt; 2 times ULN</w:t>
            </w:r>
          </w:p>
        </w:tc>
      </w:tr>
      <w:tr w:rsidR="007541BD" w:rsidTr="00590437">
        <w:tc>
          <w:tcPr>
            <w:tcW w:w="4916" w:type="dxa"/>
            <w:tcBorders>
              <w:left w:val="nil"/>
              <w:bottom w:val="nil"/>
              <w:right w:val="nil"/>
            </w:tcBorders>
            <w:shd w:val="clear" w:color="auto" w:fill="auto"/>
          </w:tcPr>
          <w:p w:rsidR="007541BD" w:rsidRDefault="007541BD" w:rsidP="00C96622">
            <w:r w:rsidRPr="00D778BD">
              <w:rPr>
                <w:sz w:val="20"/>
              </w:rPr>
              <w:t>ULN – upper limit of normal</w:t>
            </w:r>
          </w:p>
        </w:tc>
        <w:tc>
          <w:tcPr>
            <w:tcW w:w="4723" w:type="dxa"/>
            <w:tcBorders>
              <w:left w:val="nil"/>
              <w:bottom w:val="nil"/>
              <w:right w:val="nil"/>
            </w:tcBorders>
            <w:shd w:val="clear" w:color="auto" w:fill="auto"/>
          </w:tcPr>
          <w:p w:rsidR="007541BD" w:rsidRDefault="007541BD" w:rsidP="00C96622"/>
        </w:tc>
      </w:tr>
    </w:tbl>
    <w:p w:rsidR="00F07210" w:rsidRDefault="00491F45" w:rsidP="00F07210">
      <w:pPr>
        <w:pStyle w:val="PINormal"/>
        <w:rPr>
          <w:bCs/>
          <w:szCs w:val="24"/>
          <w:lang w:val="en-US"/>
        </w:rPr>
      </w:pPr>
      <w:r w:rsidRPr="00491F45">
        <w:rPr>
          <w:bCs/>
          <w:szCs w:val="24"/>
          <w:lang w:val="en-US"/>
        </w:rPr>
        <w:t xml:space="preserve">The recommended dose of </w:t>
      </w:r>
      <w:r w:rsidR="00FE4239">
        <w:rPr>
          <w:bCs/>
          <w:szCs w:val="24"/>
          <w:lang w:val="en-US"/>
        </w:rPr>
        <w:t>ZINBRYTA</w:t>
      </w:r>
      <w:r w:rsidRPr="00491F45">
        <w:rPr>
          <w:bCs/>
          <w:szCs w:val="24"/>
          <w:lang w:val="en-US"/>
        </w:rPr>
        <w:t xml:space="preserve"> is 150 milligrams injected subcutaneously once a month.</w:t>
      </w:r>
    </w:p>
    <w:p w:rsidR="00491F45" w:rsidRDefault="00491F45" w:rsidP="00F07210">
      <w:pPr>
        <w:pStyle w:val="PINormal"/>
        <w:rPr>
          <w:b/>
        </w:rPr>
      </w:pPr>
      <w:r w:rsidRPr="00491F45">
        <w:rPr>
          <w:b/>
        </w:rPr>
        <w:t>Special Dosage Instructions</w:t>
      </w:r>
    </w:p>
    <w:p w:rsidR="00491F45" w:rsidRDefault="00FE4239" w:rsidP="00491F45">
      <w:r>
        <w:t>ZINBRYTA</w:t>
      </w:r>
      <w:r w:rsidR="00491F45">
        <w:t xml:space="preserve"> is for subcutaneous use.</w:t>
      </w:r>
    </w:p>
    <w:p w:rsidR="00491F45" w:rsidRDefault="00491F45" w:rsidP="00491F45">
      <w:r>
        <w:t>Patients should be trained in the proper technique for self-administering subcutaneous injection using the pre</w:t>
      </w:r>
      <w:r w:rsidR="00B82145">
        <w:t>-</w:t>
      </w:r>
      <w:r>
        <w:t>filled pen/pre</w:t>
      </w:r>
      <w:r w:rsidR="00B82145">
        <w:t>-</w:t>
      </w:r>
      <w:r>
        <w:t>filled syringe. The usual sites for subcutaneous injection include the thigh, abdomen, and back of the upper arm.</w:t>
      </w:r>
    </w:p>
    <w:p w:rsidR="00491F45" w:rsidRDefault="00491F45" w:rsidP="00491F45">
      <w:r>
        <w:t xml:space="preserve">Each </w:t>
      </w:r>
      <w:r w:rsidR="00FE4239">
        <w:t>ZINBRYTA</w:t>
      </w:r>
      <w:r>
        <w:t xml:space="preserve"> pre</w:t>
      </w:r>
      <w:r w:rsidR="00B82145">
        <w:t>-</w:t>
      </w:r>
      <w:r>
        <w:t>filled pen/pre</w:t>
      </w:r>
      <w:r w:rsidR="00B82145">
        <w:t>-</w:t>
      </w:r>
      <w:r>
        <w:t>filled syringe is provided with the needle pre</w:t>
      </w:r>
      <w:r w:rsidR="00B82145">
        <w:t>-</w:t>
      </w:r>
      <w:r>
        <w:t>attached. Pre</w:t>
      </w:r>
      <w:r w:rsidR="00B82145">
        <w:t>-</w:t>
      </w:r>
      <w:r>
        <w:t>filled pens/pre</w:t>
      </w:r>
      <w:r w:rsidR="00B82145">
        <w:t>-</w:t>
      </w:r>
      <w:r>
        <w:t xml:space="preserve">filled syringes contain a single dose only and should be discarded after use.  </w:t>
      </w:r>
    </w:p>
    <w:p w:rsidR="00491F45" w:rsidRPr="00491F45" w:rsidRDefault="00491F45" w:rsidP="00491F45">
      <w:pPr>
        <w:rPr>
          <w:b/>
          <w:i/>
        </w:rPr>
      </w:pPr>
      <w:r w:rsidRPr="00491F45">
        <w:rPr>
          <w:b/>
          <w:i/>
        </w:rPr>
        <w:t>Preparation</w:t>
      </w:r>
    </w:p>
    <w:p w:rsidR="00491F45" w:rsidRDefault="00491F45" w:rsidP="00491F45">
      <w:r>
        <w:t xml:space="preserve">Once removed from the refrigerator </w:t>
      </w:r>
      <w:r w:rsidR="00FE4239">
        <w:t>ZINBRYTA</w:t>
      </w:r>
      <w:r>
        <w:t xml:space="preserve"> should be allowed to warm to room temperature (about 30 minutes) prior to injection. External heat sources such as hot water must not be used to warm </w:t>
      </w:r>
      <w:r w:rsidR="00FE4239">
        <w:t>ZINBRYTA</w:t>
      </w:r>
      <w:r>
        <w:t>.</w:t>
      </w:r>
    </w:p>
    <w:p w:rsidR="00491F45" w:rsidRDefault="00FE4239" w:rsidP="00491F45">
      <w:r>
        <w:t>ZINBRYTA</w:t>
      </w:r>
      <w:r w:rsidR="00491F45">
        <w:t xml:space="preserve"> pre</w:t>
      </w:r>
      <w:r w:rsidR="00B82145">
        <w:t>-</w:t>
      </w:r>
      <w:r w:rsidR="00491F45">
        <w:t>filled pen/pre</w:t>
      </w:r>
      <w:r w:rsidR="00B82145">
        <w:t>-</w:t>
      </w:r>
      <w:r w:rsidR="00491F45">
        <w:t xml:space="preserve">filled syringe must not be used if the liquid is cloudy or contains floating particles. The liquid must be </w:t>
      </w:r>
      <w:r w:rsidR="002D719B">
        <w:t>colourless</w:t>
      </w:r>
      <w:r w:rsidR="00491F45">
        <w:t xml:space="preserve"> to slightly yellow.</w:t>
      </w:r>
    </w:p>
    <w:p w:rsidR="00491F45" w:rsidRPr="00491F45" w:rsidRDefault="00491F45" w:rsidP="00491F45">
      <w:pPr>
        <w:pStyle w:val="Heading3"/>
        <w:rPr>
          <w:i w:val="0"/>
          <w:iCs w:val="0"/>
        </w:rPr>
      </w:pPr>
      <w:r w:rsidRPr="00491F45">
        <w:rPr>
          <w:i w:val="0"/>
          <w:iCs w:val="0"/>
        </w:rPr>
        <w:t>Adults</w:t>
      </w:r>
    </w:p>
    <w:p w:rsidR="00491F45" w:rsidRDefault="00491F45" w:rsidP="00491F45">
      <w:r w:rsidRPr="004C11C7">
        <w:t>No special dosing instructions.</w:t>
      </w:r>
    </w:p>
    <w:p w:rsidR="00491F45" w:rsidRPr="00491F45" w:rsidRDefault="00491F45" w:rsidP="00491F45">
      <w:pPr>
        <w:pStyle w:val="Heading3"/>
        <w:rPr>
          <w:i w:val="0"/>
          <w:iCs w:val="0"/>
        </w:rPr>
      </w:pPr>
      <w:r w:rsidRPr="00491F45">
        <w:rPr>
          <w:i w:val="0"/>
          <w:iCs w:val="0"/>
        </w:rPr>
        <w:lastRenderedPageBreak/>
        <w:t>Patients with Renal Impairment</w:t>
      </w:r>
    </w:p>
    <w:p w:rsidR="00491F45" w:rsidRDefault="00FE4239" w:rsidP="00491F45">
      <w:r>
        <w:t>ZINBRYTA</w:t>
      </w:r>
      <w:r w:rsidR="00491F45">
        <w:t xml:space="preserve"> has not been studied in patients with renal impairment. As renal excretion is not a major route of </w:t>
      </w:r>
      <w:r>
        <w:t>ZINBRYTA</w:t>
      </w:r>
      <w:r w:rsidR="00491F45">
        <w:t xml:space="preserve"> elimination no dose adjustments are considered necessary (see Pharmacokinetics).</w:t>
      </w:r>
    </w:p>
    <w:p w:rsidR="00491F45" w:rsidRPr="00491F45" w:rsidRDefault="00491F45" w:rsidP="00491F45">
      <w:pPr>
        <w:pStyle w:val="Heading3"/>
        <w:rPr>
          <w:i w:val="0"/>
          <w:iCs w:val="0"/>
        </w:rPr>
      </w:pPr>
      <w:r w:rsidRPr="00491F45">
        <w:rPr>
          <w:i w:val="0"/>
          <w:iCs w:val="0"/>
        </w:rPr>
        <w:t>Patients with Hepatic Impairment</w:t>
      </w:r>
    </w:p>
    <w:p w:rsidR="00491F45" w:rsidRDefault="00FE4239" w:rsidP="00491F45">
      <w:r>
        <w:t>ZINBRYTA</w:t>
      </w:r>
      <w:r w:rsidR="00491F45">
        <w:t xml:space="preserve"> has not been studied in patients with hepatic impairment. </w:t>
      </w:r>
      <w:r w:rsidR="009C69DD">
        <w:t xml:space="preserve">ZINBRYTA is contraindicated in patients with pre-existing hepatic impairment </w:t>
      </w:r>
      <w:r w:rsidR="00091A3A">
        <w:t xml:space="preserve">(see </w:t>
      </w:r>
      <w:r w:rsidR="009C69DD">
        <w:t xml:space="preserve">CONTRAINDICATIONS and </w:t>
      </w:r>
      <w:r w:rsidR="00091A3A" w:rsidRPr="00091A3A">
        <w:rPr>
          <w:caps/>
        </w:rPr>
        <w:t>Precautions</w:t>
      </w:r>
      <w:r w:rsidR="00091A3A">
        <w:t>/</w:t>
      </w:r>
      <w:r w:rsidR="00491F45">
        <w:t xml:space="preserve">Patients </w:t>
      </w:r>
      <w:r w:rsidR="00091A3A">
        <w:t xml:space="preserve">with Hepatic Impairment and </w:t>
      </w:r>
      <w:r w:rsidR="00491F45">
        <w:t>Pharmacokinetics)</w:t>
      </w:r>
      <w:r w:rsidR="00975F7C">
        <w:t>.</w:t>
      </w:r>
    </w:p>
    <w:p w:rsidR="00491F45" w:rsidRPr="00491F45" w:rsidRDefault="00491F45" w:rsidP="00491F45">
      <w:pPr>
        <w:pStyle w:val="Heading3"/>
        <w:rPr>
          <w:i w:val="0"/>
          <w:iCs w:val="0"/>
        </w:rPr>
      </w:pPr>
      <w:r w:rsidRPr="00491F45">
        <w:rPr>
          <w:i w:val="0"/>
          <w:iCs w:val="0"/>
        </w:rPr>
        <w:t>Other</w:t>
      </w:r>
    </w:p>
    <w:p w:rsidR="00491F45" w:rsidRPr="00491F45" w:rsidRDefault="00491F45" w:rsidP="00491F45">
      <w:pPr>
        <w:rPr>
          <w:b/>
          <w:i/>
        </w:rPr>
      </w:pPr>
      <w:r w:rsidRPr="00491F45">
        <w:rPr>
          <w:b/>
          <w:i/>
        </w:rPr>
        <w:t xml:space="preserve">Missed </w:t>
      </w:r>
      <w:r w:rsidR="004646A5">
        <w:rPr>
          <w:b/>
          <w:i/>
        </w:rPr>
        <w:t>D</w:t>
      </w:r>
      <w:r w:rsidRPr="00491F45">
        <w:rPr>
          <w:b/>
          <w:i/>
        </w:rPr>
        <w:t xml:space="preserve">ose </w:t>
      </w:r>
    </w:p>
    <w:p w:rsidR="00491F45" w:rsidRPr="004522AB" w:rsidRDefault="00491F45" w:rsidP="004522AB">
      <w:pPr>
        <w:pStyle w:val="PINormal"/>
        <w:rPr>
          <w:szCs w:val="24"/>
          <w:lang w:val="en-US"/>
        </w:rPr>
      </w:pPr>
      <w:r w:rsidRPr="004522AB">
        <w:rPr>
          <w:szCs w:val="24"/>
          <w:lang w:val="en-US"/>
        </w:rPr>
        <w:t>In case a dose is missed and it is within 2 weeks of the missed dose, patients should be instructed to inject their missed dose as soon as it is remembered and then remain on their original monthly dosing schedule. If a dose is missed and it is more than 2 weeks from the missed dose, patients should skip the missed dose, wait to dose again until their next scheduled dose, and then remain on their original monthly dosing schedule. Only one dose should be administered at a time.</w:t>
      </w:r>
    </w:p>
    <w:p w:rsidR="00812C64" w:rsidRPr="00FF13B1" w:rsidRDefault="00812C64" w:rsidP="00CC1938">
      <w:pPr>
        <w:pStyle w:val="PIHeading1"/>
      </w:pPr>
      <w:r w:rsidRPr="00FF13B1">
        <w:t>OVERDOSAGE</w:t>
      </w:r>
      <w:r w:rsidR="003233A7" w:rsidRPr="00FF13B1">
        <w:t xml:space="preserve"> </w:t>
      </w:r>
    </w:p>
    <w:p w:rsidR="004522AB" w:rsidRPr="004522AB" w:rsidRDefault="004522AB" w:rsidP="004522AB">
      <w:pPr>
        <w:pStyle w:val="PINormal"/>
        <w:rPr>
          <w:szCs w:val="24"/>
          <w:lang w:val="en-US"/>
        </w:rPr>
      </w:pPr>
      <w:r w:rsidRPr="004522AB">
        <w:rPr>
          <w:szCs w:val="24"/>
          <w:lang w:val="en-US"/>
        </w:rPr>
        <w:t>Reported experience with overdose is limited.</w:t>
      </w:r>
    </w:p>
    <w:p w:rsidR="004522AB" w:rsidRPr="004522AB" w:rsidRDefault="004522AB" w:rsidP="004522AB">
      <w:pPr>
        <w:pStyle w:val="PINormal"/>
        <w:rPr>
          <w:szCs w:val="24"/>
          <w:lang w:val="en-US"/>
        </w:rPr>
      </w:pPr>
      <w:r w:rsidRPr="004522AB">
        <w:rPr>
          <w:szCs w:val="24"/>
          <w:lang w:val="en-US"/>
        </w:rPr>
        <w:t xml:space="preserve">The safety of doses above 300 mg SC and 400 mg intravenous (IV) have not been evaluated. Doses up to this level were well tolerated with no evidence of acute toxicity. </w:t>
      </w:r>
    </w:p>
    <w:p w:rsidR="004522AB" w:rsidRPr="004522AB" w:rsidRDefault="004522AB" w:rsidP="004522AB">
      <w:pPr>
        <w:pStyle w:val="PINormal"/>
        <w:rPr>
          <w:szCs w:val="24"/>
          <w:lang w:val="en-US"/>
        </w:rPr>
      </w:pPr>
      <w:r w:rsidRPr="004522AB">
        <w:rPr>
          <w:szCs w:val="24"/>
          <w:lang w:val="en-US"/>
        </w:rPr>
        <w:t xml:space="preserve">In case of overdose with </w:t>
      </w:r>
      <w:r w:rsidR="00FE4239">
        <w:rPr>
          <w:szCs w:val="24"/>
          <w:lang w:val="en-US"/>
        </w:rPr>
        <w:t>ZINBRYTA</w:t>
      </w:r>
      <w:r w:rsidRPr="004522AB">
        <w:rPr>
          <w:szCs w:val="24"/>
          <w:lang w:val="en-US"/>
        </w:rPr>
        <w:t>, the patient should be advised to seek medical attention if they experience any signs or symptoms of adverse reactions.</w:t>
      </w:r>
    </w:p>
    <w:p w:rsidR="00CC61C6" w:rsidRPr="007C47A4" w:rsidRDefault="00CC61C6" w:rsidP="003233A7">
      <w:pPr>
        <w:pStyle w:val="PINormal"/>
        <w:rPr>
          <w:szCs w:val="24"/>
        </w:rPr>
      </w:pPr>
      <w:r w:rsidRPr="007C47A4">
        <w:rPr>
          <w:szCs w:val="24"/>
        </w:rPr>
        <w:t>Contact the Poisons Information Centre on 13 11 26 for a</w:t>
      </w:r>
      <w:r w:rsidR="004522AB">
        <w:rPr>
          <w:szCs w:val="24"/>
        </w:rPr>
        <w:t>dvice on management of overdos</w:t>
      </w:r>
      <w:r w:rsidRPr="007C47A4">
        <w:rPr>
          <w:szCs w:val="24"/>
        </w:rPr>
        <w:t>e.</w:t>
      </w:r>
    </w:p>
    <w:p w:rsidR="00812C64" w:rsidRPr="00FF13B1" w:rsidRDefault="00812C64" w:rsidP="00CC1938">
      <w:pPr>
        <w:pStyle w:val="PIHeading1"/>
      </w:pPr>
      <w:r w:rsidRPr="00FF13B1">
        <w:t>PRESENTATION</w:t>
      </w:r>
      <w:r w:rsidR="00BA4894" w:rsidRPr="00FF13B1">
        <w:t xml:space="preserve"> AND STORAGE CONDITIONS</w:t>
      </w:r>
      <w:r w:rsidR="003233A7" w:rsidRPr="00FF13B1">
        <w:t xml:space="preserve"> </w:t>
      </w:r>
    </w:p>
    <w:p w:rsidR="00CC61C6" w:rsidRPr="00FF13B1" w:rsidRDefault="008F5062" w:rsidP="00CC61C6">
      <w:pPr>
        <w:pStyle w:val="PIHeading2"/>
      </w:pPr>
      <w:r w:rsidRPr="00FF13B1">
        <w:t xml:space="preserve">Pre-filled </w:t>
      </w:r>
      <w:r w:rsidR="004646A5">
        <w:t>P</w:t>
      </w:r>
      <w:r w:rsidRPr="00FF13B1">
        <w:t>en</w:t>
      </w:r>
    </w:p>
    <w:p w:rsidR="001E6791" w:rsidRDefault="00FE4239" w:rsidP="001E6791">
      <w:r>
        <w:t>ZINBRYTA</w:t>
      </w:r>
      <w:r w:rsidR="001E6791">
        <w:t xml:space="preserve"> is a sterile, </w:t>
      </w:r>
      <w:r w:rsidR="003F33C6">
        <w:t>colourless</w:t>
      </w:r>
      <w:r w:rsidR="001E6791">
        <w:t xml:space="preserve"> to slightly yellow, clear to slightly opalescent liquid in a pre-filled pen. A pre-filled syringe of </w:t>
      </w:r>
      <w:r>
        <w:t>ZINBRYTA</w:t>
      </w:r>
      <w:r w:rsidR="001E6791">
        <w:t xml:space="preserve"> is contained within a single-use, disposable, spring-powered injector. The syringe inside the pre-filled pen is a 1.0 mL pre-filled syringe made of glass (Type 1) with a </w:t>
      </w:r>
      <w:proofErr w:type="spellStart"/>
      <w:r w:rsidR="001E6791">
        <w:t>bromobutyl</w:t>
      </w:r>
      <w:proofErr w:type="spellEnd"/>
      <w:r w:rsidR="001E6791">
        <w:t xml:space="preserve"> rubber plunger stopper and thermoplastic rigid needle shield, containing 1.0 mL of solution. The rubber plunger stopper and rigid needle shield are not made with natural rubber latex or dry natural rubber. A 29 gauge, 0.5 </w:t>
      </w:r>
      <w:proofErr w:type="gramStart"/>
      <w:r w:rsidR="001E6791">
        <w:t>inch</w:t>
      </w:r>
      <w:proofErr w:type="gramEnd"/>
      <w:r w:rsidR="001E6791">
        <w:t xml:space="preserve"> staked needle is pre-affixed to the syringe. </w:t>
      </w:r>
    </w:p>
    <w:p w:rsidR="001E6791" w:rsidRDefault="001E6791" w:rsidP="001E6791">
      <w:r>
        <w:t>†Pack Size: Pack containing 1 or 3 pre-filled pen(s)</w:t>
      </w:r>
    </w:p>
    <w:p w:rsidR="008F5062" w:rsidRPr="00FF13B1" w:rsidRDefault="008F5062" w:rsidP="008F5062">
      <w:pPr>
        <w:pStyle w:val="PIHeading2"/>
      </w:pPr>
      <w:r w:rsidRPr="00FF13B1">
        <w:t xml:space="preserve">Pre-filled </w:t>
      </w:r>
      <w:r w:rsidR="004646A5">
        <w:t>S</w:t>
      </w:r>
      <w:r w:rsidRPr="00FF13B1">
        <w:t>yringe</w:t>
      </w:r>
    </w:p>
    <w:p w:rsidR="001E6791" w:rsidRDefault="00FE4239" w:rsidP="001E6791">
      <w:r>
        <w:t>ZINBRYTA</w:t>
      </w:r>
      <w:r w:rsidR="001E6791">
        <w:t xml:space="preserve"> is a sterile, </w:t>
      </w:r>
      <w:r w:rsidR="000021A8">
        <w:t>colourless</w:t>
      </w:r>
      <w:r w:rsidR="001E6791">
        <w:t xml:space="preserve"> to slightly yellow, clear to slightly opalescent liquid in a single-use pre-filled </w:t>
      </w:r>
      <w:r w:rsidR="00D65483">
        <w:t>syringe.</w:t>
      </w:r>
    </w:p>
    <w:p w:rsidR="00D65483" w:rsidRDefault="00D65483" w:rsidP="001E6791">
      <w:r>
        <w:lastRenderedPageBreak/>
        <w:t xml:space="preserve">ZINBRYTA is contained in </w:t>
      </w:r>
      <w:r w:rsidRPr="00D65483">
        <w:t>a</w:t>
      </w:r>
      <w:r>
        <w:t xml:space="preserve"> 1.0 mL single-use, disposable pre-filled syringe made of glass (Type 1) with a </w:t>
      </w:r>
      <w:proofErr w:type="spellStart"/>
      <w:r>
        <w:t>bromobutyl</w:t>
      </w:r>
      <w:proofErr w:type="spellEnd"/>
      <w:r>
        <w:t xml:space="preserve"> rubber plunger stopper and thermoplastic rigid needle shield. The pre-filled syringe contains 1.0 mL of solution. The rubber plunger stopper and rigid needle shield are not made with natural rubber latex or dry natural </w:t>
      </w:r>
      <w:r w:rsidRPr="003F33C6">
        <w:t>rubber. A</w:t>
      </w:r>
      <w:r>
        <w:t xml:space="preserve"> 29 gauge, 0.5 </w:t>
      </w:r>
      <w:proofErr w:type="gramStart"/>
      <w:r>
        <w:t>inch</w:t>
      </w:r>
      <w:proofErr w:type="gramEnd"/>
      <w:r>
        <w:t xml:space="preserve"> staked needle is pre-affixed to the syringe.</w:t>
      </w:r>
    </w:p>
    <w:p w:rsidR="001E6791" w:rsidRDefault="001E6791" w:rsidP="001E6791">
      <w:r>
        <w:t>†Pack Size: Pack containing 1 or 3 pre-filled syringe(s).</w:t>
      </w:r>
    </w:p>
    <w:p w:rsidR="001E6791" w:rsidRPr="00F66396" w:rsidRDefault="001E6791" w:rsidP="001E6791">
      <w:pPr>
        <w:rPr>
          <w:i/>
        </w:rPr>
      </w:pPr>
      <w:r>
        <w:t>†</w:t>
      </w:r>
      <w:r w:rsidRPr="001E6791">
        <w:rPr>
          <w:i/>
        </w:rPr>
        <w:t>Not all pack sizes</w:t>
      </w:r>
      <w:r w:rsidR="00116D6F">
        <w:rPr>
          <w:i/>
        </w:rPr>
        <w:t xml:space="preserve"> or presentations may be</w:t>
      </w:r>
      <w:r w:rsidRPr="001E6791">
        <w:rPr>
          <w:i/>
        </w:rPr>
        <w:t xml:space="preserve"> distributed.</w:t>
      </w:r>
    </w:p>
    <w:p w:rsidR="008F5062" w:rsidRDefault="008F5062" w:rsidP="008F5062">
      <w:pPr>
        <w:pStyle w:val="PIHeading2"/>
      </w:pPr>
      <w:r w:rsidRPr="00FF13B1">
        <w:t>Storage Conditions</w:t>
      </w:r>
    </w:p>
    <w:p w:rsidR="001E6791" w:rsidRPr="001E6791" w:rsidRDefault="001E6791" w:rsidP="001E6791">
      <w:proofErr w:type="gramStart"/>
      <w:r w:rsidRPr="001E6791">
        <w:t>Store in the original carton to protect from light.</w:t>
      </w:r>
      <w:proofErr w:type="gramEnd"/>
      <w:r w:rsidRPr="001E6791">
        <w:t xml:space="preserve"> </w:t>
      </w:r>
      <w:proofErr w:type="gramStart"/>
      <w:r w:rsidRPr="001E6791">
        <w:t xml:space="preserve">Store in a refrigerator between </w:t>
      </w:r>
      <w:r>
        <w:t>2</w:t>
      </w:r>
      <w:r w:rsidRPr="00EE54B7">
        <w:rPr>
          <w:vertAlign w:val="superscript"/>
        </w:rPr>
        <w:t>o</w:t>
      </w:r>
      <w:r>
        <w:t>C to 8</w:t>
      </w:r>
      <w:r w:rsidRPr="00EE54B7">
        <w:rPr>
          <w:vertAlign w:val="superscript"/>
        </w:rPr>
        <w:t>o</w:t>
      </w:r>
      <w:r>
        <w:t>C.</w:t>
      </w:r>
      <w:proofErr w:type="gramEnd"/>
      <w:r w:rsidRPr="001E6791">
        <w:t xml:space="preserve"> Do not freeze. Discard if it has been frozen.</w:t>
      </w:r>
    </w:p>
    <w:p w:rsidR="004522AB" w:rsidRDefault="00FE4239" w:rsidP="004522AB">
      <w:r>
        <w:t>ZINBRYTA</w:t>
      </w:r>
      <w:r w:rsidR="004522AB">
        <w:t xml:space="preserve"> should be at room temperature for administration. Remove </w:t>
      </w:r>
      <w:r>
        <w:t>ZINBRYTA</w:t>
      </w:r>
      <w:r w:rsidR="004522AB">
        <w:t xml:space="preserve"> from a refrigerator and allow </w:t>
      </w:r>
      <w:proofErr w:type="gramStart"/>
      <w:r w:rsidR="004522AB">
        <w:t>to reach</w:t>
      </w:r>
      <w:proofErr w:type="gramEnd"/>
      <w:r w:rsidR="004522AB">
        <w:t xml:space="preserve"> room temperature (about 30 minutes) prior to injection. Do not use external heat sources, such as hot water, to warm </w:t>
      </w:r>
      <w:r>
        <w:t>ZINBRYTA</w:t>
      </w:r>
      <w:r w:rsidR="004522AB">
        <w:t>.</w:t>
      </w:r>
    </w:p>
    <w:p w:rsidR="004522AB" w:rsidRDefault="00FE4239" w:rsidP="004522AB">
      <w:r>
        <w:t>ZINBRYTA</w:t>
      </w:r>
      <w:r w:rsidR="004522AB">
        <w:t xml:space="preserve"> can be stored, protected from light, at room temperature up to 30</w:t>
      </w:r>
      <w:r w:rsidR="004522AB" w:rsidRPr="00EE54B7">
        <w:rPr>
          <w:vertAlign w:val="superscript"/>
        </w:rPr>
        <w:t>o</w:t>
      </w:r>
      <w:r w:rsidR="004522AB">
        <w:t xml:space="preserve">C for 30 days. Do not place </w:t>
      </w:r>
      <w:r>
        <w:t>ZINBRYTA</w:t>
      </w:r>
      <w:r w:rsidR="004522AB">
        <w:t xml:space="preserve"> back into the refrigerator after warming to room temperature. If </w:t>
      </w:r>
      <w:r>
        <w:t>ZINBRYTA</w:t>
      </w:r>
      <w:r w:rsidR="004522AB">
        <w:t xml:space="preserve"> is at room temperature (up to 30</w:t>
      </w:r>
      <w:r w:rsidR="004522AB" w:rsidRPr="00EE54B7">
        <w:rPr>
          <w:vertAlign w:val="superscript"/>
        </w:rPr>
        <w:t>o</w:t>
      </w:r>
      <w:r w:rsidR="004522AB">
        <w:t>C) for more than 30 days it should be discarded.</w:t>
      </w:r>
    </w:p>
    <w:p w:rsidR="00D65483" w:rsidRPr="00D65483" w:rsidRDefault="00D65483" w:rsidP="004522AB">
      <w:r w:rsidRPr="00D65483">
        <w:t>ZINBRYTA is for single use in one patient only. Discard any residue.</w:t>
      </w:r>
    </w:p>
    <w:p w:rsidR="00812C64" w:rsidRPr="00FF13B1" w:rsidRDefault="00812C64" w:rsidP="00CC1938">
      <w:pPr>
        <w:pStyle w:val="PIHeading1"/>
      </w:pPr>
      <w:r w:rsidRPr="00FF13B1">
        <w:t xml:space="preserve">NAME AND ADDRESS OF </w:t>
      </w:r>
      <w:r w:rsidR="00773BA3" w:rsidRPr="00FF13B1">
        <w:t xml:space="preserve">the </w:t>
      </w:r>
      <w:r w:rsidRPr="00FF13B1">
        <w:t>SPONSOR</w:t>
      </w:r>
      <w:r w:rsidR="003233A7" w:rsidRPr="00FF13B1">
        <w:t xml:space="preserve"> </w:t>
      </w:r>
    </w:p>
    <w:p w:rsidR="00D65483" w:rsidRPr="00FF13B1" w:rsidRDefault="00D65483" w:rsidP="00D65483">
      <w:pPr>
        <w:pStyle w:val="PITableText"/>
        <w:rPr>
          <w:color w:val="auto"/>
        </w:rPr>
      </w:pPr>
      <w:proofErr w:type="spellStart"/>
      <w:r w:rsidRPr="00FF13B1">
        <w:rPr>
          <w:color w:val="auto"/>
        </w:rPr>
        <w:t>Biogen</w:t>
      </w:r>
      <w:proofErr w:type="spellEnd"/>
      <w:r w:rsidRPr="00FF13B1">
        <w:rPr>
          <w:color w:val="auto"/>
        </w:rPr>
        <w:t xml:space="preserve"> Australia Pty Ltd</w:t>
      </w:r>
    </w:p>
    <w:p w:rsidR="00D65483" w:rsidRPr="00FF13B1" w:rsidRDefault="00D65483" w:rsidP="00D65483">
      <w:pPr>
        <w:pStyle w:val="PITableText"/>
        <w:rPr>
          <w:color w:val="auto"/>
        </w:rPr>
      </w:pPr>
      <w:r w:rsidRPr="00FF13B1">
        <w:rPr>
          <w:color w:val="auto"/>
        </w:rPr>
        <w:t>ABN 30 095 760 115</w:t>
      </w:r>
    </w:p>
    <w:p w:rsidR="00D65483" w:rsidRPr="00D65483" w:rsidRDefault="00D65483" w:rsidP="00D65483">
      <w:pPr>
        <w:pStyle w:val="PITableText"/>
        <w:rPr>
          <w:color w:val="auto"/>
        </w:rPr>
      </w:pPr>
      <w:r w:rsidRPr="00D65483">
        <w:rPr>
          <w:color w:val="auto"/>
        </w:rPr>
        <w:t>Level 3</w:t>
      </w:r>
    </w:p>
    <w:p w:rsidR="00D65483" w:rsidRPr="00FF13B1" w:rsidRDefault="00D65483" w:rsidP="00D65483">
      <w:pPr>
        <w:pStyle w:val="PITableText"/>
        <w:rPr>
          <w:color w:val="auto"/>
        </w:rPr>
      </w:pPr>
      <w:r w:rsidRPr="00FF13B1">
        <w:rPr>
          <w:color w:val="auto"/>
        </w:rPr>
        <w:t>123 Epping Road</w:t>
      </w:r>
    </w:p>
    <w:p w:rsidR="00CC61C6" w:rsidRDefault="00D65483" w:rsidP="00D65483">
      <w:pPr>
        <w:pStyle w:val="PITableText"/>
        <w:rPr>
          <w:snapToGrid/>
          <w:color w:val="auto"/>
          <w:szCs w:val="20"/>
        </w:rPr>
      </w:pPr>
      <w:r w:rsidRPr="00FF13B1">
        <w:t>North Ryde NSW 2113</w:t>
      </w:r>
    </w:p>
    <w:p w:rsidR="00EC69FE" w:rsidRPr="00FF13B1" w:rsidRDefault="00894142" w:rsidP="00CC1938">
      <w:pPr>
        <w:pStyle w:val="PIHeading1"/>
      </w:pPr>
      <w:r w:rsidRPr="00FF13B1">
        <w:t>POISO</w:t>
      </w:r>
      <w:r w:rsidR="00EC69FE" w:rsidRPr="00FF13B1">
        <w:t>N SCHEDULE</w:t>
      </w:r>
      <w:r w:rsidR="00861B27" w:rsidRPr="00FF13B1">
        <w:t xml:space="preserve"> </w:t>
      </w:r>
    </w:p>
    <w:p w:rsidR="003233A7" w:rsidRPr="00FF13B1" w:rsidRDefault="002321D5" w:rsidP="003233A7">
      <w:pPr>
        <w:pStyle w:val="PINormal"/>
        <w:rPr>
          <w:szCs w:val="24"/>
        </w:rPr>
      </w:pPr>
      <w:r w:rsidRPr="00FF13B1">
        <w:rPr>
          <w:szCs w:val="24"/>
        </w:rPr>
        <w:t xml:space="preserve">Prescription Only Medicine </w:t>
      </w:r>
    </w:p>
    <w:p w:rsidR="0090693D" w:rsidRPr="00FF13B1" w:rsidRDefault="0090693D" w:rsidP="0090693D">
      <w:pPr>
        <w:pStyle w:val="PIHeading1"/>
      </w:pPr>
      <w:r w:rsidRPr="00FF13B1">
        <w:t xml:space="preserve">DATE OF first inclusion in the australian register of therapeutic goods </w:t>
      </w:r>
    </w:p>
    <w:p w:rsidR="00F26C63" w:rsidRPr="00FF13B1" w:rsidRDefault="00D56D8C" w:rsidP="00494681">
      <w:pPr>
        <w:pStyle w:val="PINormal"/>
      </w:pPr>
      <w:r>
        <w:rPr>
          <w:szCs w:val="24"/>
        </w:rPr>
        <w:t>22 September 2016</w:t>
      </w:r>
    </w:p>
    <w:sectPr w:rsidR="00F26C63" w:rsidRPr="00FF13B1" w:rsidSect="00A84336">
      <w:headerReference w:type="default" r:id="rId13"/>
      <w:footerReference w:type="default" r:id="rId14"/>
      <w:pgSz w:w="11906" w:h="16838" w:code="9"/>
      <w:pgMar w:top="297" w:right="849" w:bottom="709" w:left="1440"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365" w:rsidRDefault="00B87365">
      <w:r>
        <w:separator/>
      </w:r>
    </w:p>
  </w:endnote>
  <w:endnote w:type="continuationSeparator" w:id="0">
    <w:p w:rsidR="00B87365" w:rsidRDefault="00B8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DF" w:rsidRPr="00A97DF2" w:rsidRDefault="005621DF" w:rsidP="00A97DF2">
    <w:pPr>
      <w:pStyle w:val="Footer"/>
      <w:tabs>
        <w:tab w:val="clear" w:pos="9923"/>
        <w:tab w:val="right" w:pos="9617"/>
      </w:tabs>
    </w:pPr>
    <w:r w:rsidRPr="007F251F">
      <w:t xml:space="preserve">ZINBRYTA </w:t>
    </w:r>
    <w:r>
      <w:t xml:space="preserve">PI (version </w:t>
    </w:r>
    <w:r w:rsidRPr="002015F4">
      <w:t>10</w:t>
    </w:r>
    <w:r>
      <w:t>9</w:t>
    </w:r>
    <w:r w:rsidRPr="002015F4">
      <w:t>16</w:t>
    </w:r>
    <w:r>
      <w:t xml:space="preserve">) </w:t>
    </w:r>
    <w:r>
      <w:tab/>
      <w:t xml:space="preserve">Page </w:t>
    </w:r>
    <w:r>
      <w:rPr>
        <w:b/>
      </w:rPr>
      <w:fldChar w:fldCharType="begin"/>
    </w:r>
    <w:r>
      <w:rPr>
        <w:b/>
      </w:rPr>
      <w:instrText xml:space="preserve"> PAGE  \* Arabic  \* MERGEFORMAT </w:instrText>
    </w:r>
    <w:r>
      <w:rPr>
        <w:b/>
      </w:rPr>
      <w:fldChar w:fldCharType="separate"/>
    </w:r>
    <w:r w:rsidR="00A71AD9">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A71AD9">
      <w:rPr>
        <w:b/>
        <w:noProof/>
      </w:rPr>
      <w:t>23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365" w:rsidRDefault="00B87365">
      <w:r>
        <w:separator/>
      </w:r>
    </w:p>
  </w:footnote>
  <w:footnote w:type="continuationSeparator" w:id="0">
    <w:p w:rsidR="00B87365" w:rsidRDefault="00B87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A84336" w:rsidTr="008C38B7">
      <w:tc>
        <w:tcPr>
          <w:tcW w:w="8720" w:type="dxa"/>
          <w:shd w:val="clear" w:color="auto" w:fill="E4F2E0"/>
        </w:tcPr>
        <w:p w:rsidR="00A84336" w:rsidRPr="00D361CA" w:rsidRDefault="00A84336" w:rsidP="00A84336">
          <w:pPr>
            <w:spacing w:before="40" w:after="40"/>
            <w:rPr>
              <w:b/>
              <w:sz w:val="20"/>
            </w:rPr>
          </w:pPr>
          <w:r w:rsidRPr="00D361CA">
            <w:rPr>
              <w:b/>
              <w:sz w:val="20"/>
            </w:rPr>
            <w:t xml:space="preserve">Attachment 1: Product information for </w:t>
          </w:r>
          <w:proofErr w:type="spellStart"/>
          <w:r w:rsidRPr="00A84336">
            <w:rPr>
              <w:b/>
              <w:sz w:val="20"/>
            </w:rPr>
            <w:t>AusPAR</w:t>
          </w:r>
          <w:proofErr w:type="spellEnd"/>
          <w:r w:rsidRPr="00A84336">
            <w:rPr>
              <w:b/>
              <w:sz w:val="20"/>
            </w:rPr>
            <w:t xml:space="preserve"> </w:t>
          </w:r>
          <w:proofErr w:type="spellStart"/>
          <w:r w:rsidRPr="00A84336">
            <w:rPr>
              <w:b/>
              <w:sz w:val="20"/>
            </w:rPr>
            <w:t>Zinbryta</w:t>
          </w:r>
          <w:proofErr w:type="spellEnd"/>
          <w:r w:rsidRPr="00A84336">
            <w:rPr>
              <w:b/>
              <w:sz w:val="20"/>
            </w:rPr>
            <w:t xml:space="preserve"> </w:t>
          </w:r>
          <w:proofErr w:type="spellStart"/>
          <w:r w:rsidRPr="00A84336">
            <w:rPr>
              <w:b/>
              <w:sz w:val="20"/>
            </w:rPr>
            <w:t>Daclizumab</w:t>
          </w:r>
          <w:proofErr w:type="spellEnd"/>
          <w:r w:rsidRPr="00A84336">
            <w:rPr>
              <w:b/>
              <w:sz w:val="20"/>
            </w:rPr>
            <w:t xml:space="preserve"> </w:t>
          </w:r>
          <w:proofErr w:type="spellStart"/>
          <w:r w:rsidRPr="00A84336">
            <w:rPr>
              <w:b/>
              <w:sz w:val="20"/>
            </w:rPr>
            <w:t>Biogen</w:t>
          </w:r>
          <w:proofErr w:type="spellEnd"/>
          <w:r w:rsidRPr="00A84336">
            <w:rPr>
              <w:b/>
              <w:sz w:val="20"/>
            </w:rPr>
            <w:t xml:space="preserve"> Aust</w:t>
          </w:r>
          <w:r>
            <w:rPr>
              <w:b/>
              <w:sz w:val="20"/>
            </w:rPr>
            <w:t xml:space="preserve">ralia Pty Ltd PM-2015-01556-1-1 </w:t>
          </w:r>
          <w:r w:rsidRPr="00A84336">
            <w:rPr>
              <w:b/>
              <w:sz w:val="20"/>
            </w:rPr>
            <w:t>Final 4 May 2017</w:t>
          </w:r>
          <w:r>
            <w:rPr>
              <w:b/>
              <w:sz w:val="20"/>
            </w:rPr>
            <w:t xml:space="preserve"> </w:t>
          </w:r>
          <w:r w:rsidRPr="00D361CA">
            <w:rPr>
              <w:b/>
              <w:sz w:val="20"/>
            </w:rPr>
            <w:t xml:space="preserve">This Product Information was approved at the time this </w:t>
          </w:r>
          <w:proofErr w:type="spellStart"/>
          <w:r w:rsidRPr="00D361CA">
            <w:rPr>
              <w:b/>
              <w:sz w:val="20"/>
            </w:rPr>
            <w:t>AusPAR</w:t>
          </w:r>
          <w:proofErr w:type="spellEnd"/>
          <w:r w:rsidRPr="00D361CA">
            <w:rPr>
              <w:b/>
              <w:sz w:val="20"/>
            </w:rPr>
            <w:t xml:space="preserve"> was published.</w:t>
          </w:r>
        </w:p>
      </w:tc>
    </w:tr>
  </w:tbl>
  <w:p w:rsidR="00A84336" w:rsidRDefault="00A843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258D0CA"/>
    <w:lvl w:ilvl="0">
      <w:start w:val="1"/>
      <w:numFmt w:val="decimal"/>
      <w:lvlText w:val="%1."/>
      <w:lvlJc w:val="left"/>
      <w:pPr>
        <w:tabs>
          <w:tab w:val="num" w:pos="360"/>
        </w:tabs>
        <w:ind w:left="360" w:hanging="360"/>
      </w:pPr>
    </w:lvl>
  </w:abstractNum>
  <w:abstractNum w:abstractNumId="1">
    <w:nsid w:val="FFFFFF89"/>
    <w:multiLevelType w:val="singleLevel"/>
    <w:tmpl w:val="D9F8B6B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FD219CF"/>
    <w:multiLevelType w:val="hybridMultilevel"/>
    <w:tmpl w:val="BC28DA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nsid w:val="10C76155"/>
    <w:multiLevelType w:val="hybridMultilevel"/>
    <w:tmpl w:val="5B6829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28EA506D"/>
    <w:multiLevelType w:val="hybridMultilevel"/>
    <w:tmpl w:val="6792E7F8"/>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007384"/>
    <w:multiLevelType w:val="hybridMultilevel"/>
    <w:tmpl w:val="EE6AFB80"/>
    <w:lvl w:ilvl="0" w:tplc="5AEC8710">
      <w:start w:val="1"/>
      <w:numFmt w:val="bullet"/>
      <w:lvlText w:val="•"/>
      <w:lvlJc w:val="left"/>
      <w:pPr>
        <w:ind w:left="1080" w:hanging="360"/>
      </w:pPr>
      <w:rPr>
        <w:rFonts w:ascii="Calibri" w:eastAsia="Calibri" w:hAnsi="Calibri"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nsid w:val="417A2F6E"/>
    <w:multiLevelType w:val="hybridMultilevel"/>
    <w:tmpl w:val="57EC8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33919A2"/>
    <w:multiLevelType w:val="hybridMultilevel"/>
    <w:tmpl w:val="684EF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54951133"/>
    <w:multiLevelType w:val="hybridMultilevel"/>
    <w:tmpl w:val="25C68BD2"/>
    <w:lvl w:ilvl="0" w:tplc="FFFFFFFF">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68D35AD"/>
    <w:multiLevelType w:val="hybridMultilevel"/>
    <w:tmpl w:val="ED20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335231"/>
    <w:multiLevelType w:val="hybridMultilevel"/>
    <w:tmpl w:val="8E803D32"/>
    <w:lvl w:ilvl="0" w:tplc="F1F629E2">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A4773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6CAD7BF4"/>
    <w:multiLevelType w:val="hybridMultilevel"/>
    <w:tmpl w:val="3EE6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613C6F"/>
    <w:multiLevelType w:val="hybridMultilevel"/>
    <w:tmpl w:val="5AA0479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nsid w:val="7B536CA9"/>
    <w:multiLevelType w:val="hybridMultilevel"/>
    <w:tmpl w:val="73E813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936DB4"/>
    <w:multiLevelType w:val="hybridMultilevel"/>
    <w:tmpl w:val="057846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11"/>
  </w:num>
  <w:num w:numId="3">
    <w:abstractNumId w:val="1"/>
  </w:num>
  <w:num w:numId="4">
    <w:abstractNumId w:val="0"/>
  </w:num>
  <w:num w:numId="5">
    <w:abstractNumId w:val="4"/>
  </w:num>
  <w:num w:numId="6">
    <w:abstractNumId w:val="8"/>
  </w:num>
  <w:num w:numId="7">
    <w:abstractNumId w:val="12"/>
  </w:num>
  <w:num w:numId="8">
    <w:abstractNumId w:val="14"/>
  </w:num>
  <w:num w:numId="9">
    <w:abstractNumId w:val="9"/>
  </w:num>
  <w:num w:numId="10">
    <w:abstractNumId w:val="10"/>
  </w:num>
  <w:num w:numId="11">
    <w:abstractNumId w:val="2"/>
  </w:num>
  <w:num w:numId="12">
    <w:abstractNumId w:val="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5"/>
  </w:num>
  <w:num w:numId="16">
    <w:abstractNumId w:val="7"/>
  </w:num>
  <w:num w:numId="17">
    <w:abstractNumId w:val="15"/>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09"/>
    <w:rsid w:val="000021A8"/>
    <w:rsid w:val="00002DD3"/>
    <w:rsid w:val="000059C4"/>
    <w:rsid w:val="00011DDB"/>
    <w:rsid w:val="000129C7"/>
    <w:rsid w:val="0001398E"/>
    <w:rsid w:val="00020D3F"/>
    <w:rsid w:val="00030CED"/>
    <w:rsid w:val="000360B4"/>
    <w:rsid w:val="00037B14"/>
    <w:rsid w:val="00045242"/>
    <w:rsid w:val="000455C0"/>
    <w:rsid w:val="00056EF5"/>
    <w:rsid w:val="00065087"/>
    <w:rsid w:val="00070299"/>
    <w:rsid w:val="00080950"/>
    <w:rsid w:val="00091A3A"/>
    <w:rsid w:val="000B7BA3"/>
    <w:rsid w:val="000C1D2F"/>
    <w:rsid w:val="000C26CD"/>
    <w:rsid w:val="000C375C"/>
    <w:rsid w:val="000C47BE"/>
    <w:rsid w:val="000C6E1F"/>
    <w:rsid w:val="000C7EC7"/>
    <w:rsid w:val="000D2AC8"/>
    <w:rsid w:val="000D3474"/>
    <w:rsid w:val="000D7B5D"/>
    <w:rsid w:val="00106612"/>
    <w:rsid w:val="00110727"/>
    <w:rsid w:val="001112D0"/>
    <w:rsid w:val="00116D6F"/>
    <w:rsid w:val="00126F1C"/>
    <w:rsid w:val="001300A7"/>
    <w:rsid w:val="001303CF"/>
    <w:rsid w:val="00131EB2"/>
    <w:rsid w:val="00132663"/>
    <w:rsid w:val="00133353"/>
    <w:rsid w:val="001348DD"/>
    <w:rsid w:val="001353C2"/>
    <w:rsid w:val="00141391"/>
    <w:rsid w:val="00143BB7"/>
    <w:rsid w:val="00145222"/>
    <w:rsid w:val="00146C22"/>
    <w:rsid w:val="00151E39"/>
    <w:rsid w:val="00153091"/>
    <w:rsid w:val="00160022"/>
    <w:rsid w:val="001631F1"/>
    <w:rsid w:val="00164C27"/>
    <w:rsid w:val="00165B45"/>
    <w:rsid w:val="00167DDF"/>
    <w:rsid w:val="00167E8E"/>
    <w:rsid w:val="001700D1"/>
    <w:rsid w:val="001831F3"/>
    <w:rsid w:val="00185402"/>
    <w:rsid w:val="001920A7"/>
    <w:rsid w:val="00192A8A"/>
    <w:rsid w:val="001930F1"/>
    <w:rsid w:val="001933E0"/>
    <w:rsid w:val="0019436D"/>
    <w:rsid w:val="001A6D0E"/>
    <w:rsid w:val="001B2B3C"/>
    <w:rsid w:val="001B2FD7"/>
    <w:rsid w:val="001C06AB"/>
    <w:rsid w:val="001D2D10"/>
    <w:rsid w:val="001D4C61"/>
    <w:rsid w:val="001E1BAB"/>
    <w:rsid w:val="001E2B76"/>
    <w:rsid w:val="001E2C6D"/>
    <w:rsid w:val="001E6791"/>
    <w:rsid w:val="002015F4"/>
    <w:rsid w:val="002162E9"/>
    <w:rsid w:val="00224EBC"/>
    <w:rsid w:val="002321D5"/>
    <w:rsid w:val="00236478"/>
    <w:rsid w:val="002429EA"/>
    <w:rsid w:val="00245B32"/>
    <w:rsid w:val="00247407"/>
    <w:rsid w:val="00257773"/>
    <w:rsid w:val="00263534"/>
    <w:rsid w:val="0027001C"/>
    <w:rsid w:val="00271415"/>
    <w:rsid w:val="00275D7A"/>
    <w:rsid w:val="00282482"/>
    <w:rsid w:val="00285507"/>
    <w:rsid w:val="00287863"/>
    <w:rsid w:val="00290A56"/>
    <w:rsid w:val="00293DEE"/>
    <w:rsid w:val="0029432E"/>
    <w:rsid w:val="00295BF9"/>
    <w:rsid w:val="00297C4D"/>
    <w:rsid w:val="002B4016"/>
    <w:rsid w:val="002B7637"/>
    <w:rsid w:val="002C2230"/>
    <w:rsid w:val="002C3529"/>
    <w:rsid w:val="002D262E"/>
    <w:rsid w:val="002D719B"/>
    <w:rsid w:val="002E1094"/>
    <w:rsid w:val="002F0A40"/>
    <w:rsid w:val="002F3436"/>
    <w:rsid w:val="002F4E88"/>
    <w:rsid w:val="00300D64"/>
    <w:rsid w:val="003021F8"/>
    <w:rsid w:val="00306BB2"/>
    <w:rsid w:val="00306F04"/>
    <w:rsid w:val="00312C3E"/>
    <w:rsid w:val="003130E1"/>
    <w:rsid w:val="00313584"/>
    <w:rsid w:val="003233A7"/>
    <w:rsid w:val="00334899"/>
    <w:rsid w:val="0033795E"/>
    <w:rsid w:val="003465C5"/>
    <w:rsid w:val="0034710B"/>
    <w:rsid w:val="003536A9"/>
    <w:rsid w:val="00357EC8"/>
    <w:rsid w:val="00364A41"/>
    <w:rsid w:val="00373545"/>
    <w:rsid w:val="00374061"/>
    <w:rsid w:val="0038313E"/>
    <w:rsid w:val="00391703"/>
    <w:rsid w:val="003958E2"/>
    <w:rsid w:val="003A1B67"/>
    <w:rsid w:val="003A4C52"/>
    <w:rsid w:val="003C5BED"/>
    <w:rsid w:val="003C5F15"/>
    <w:rsid w:val="003E6C12"/>
    <w:rsid w:val="003F33C6"/>
    <w:rsid w:val="003F4491"/>
    <w:rsid w:val="00404A44"/>
    <w:rsid w:val="00407AA5"/>
    <w:rsid w:val="00414DD6"/>
    <w:rsid w:val="00420B27"/>
    <w:rsid w:val="004279A2"/>
    <w:rsid w:val="00432B2A"/>
    <w:rsid w:val="004333E6"/>
    <w:rsid w:val="00441347"/>
    <w:rsid w:val="00445524"/>
    <w:rsid w:val="004522AB"/>
    <w:rsid w:val="00457F69"/>
    <w:rsid w:val="004646A5"/>
    <w:rsid w:val="0046646E"/>
    <w:rsid w:val="00482580"/>
    <w:rsid w:val="004840A3"/>
    <w:rsid w:val="00484886"/>
    <w:rsid w:val="0048629E"/>
    <w:rsid w:val="00491F45"/>
    <w:rsid w:val="00492B14"/>
    <w:rsid w:val="00494681"/>
    <w:rsid w:val="004A1D00"/>
    <w:rsid w:val="004A77B9"/>
    <w:rsid w:val="004B13C1"/>
    <w:rsid w:val="004B5DD5"/>
    <w:rsid w:val="004C0FEB"/>
    <w:rsid w:val="004C174A"/>
    <w:rsid w:val="004C2EBA"/>
    <w:rsid w:val="004D1E74"/>
    <w:rsid w:val="004D2719"/>
    <w:rsid w:val="004D30AE"/>
    <w:rsid w:val="004D4165"/>
    <w:rsid w:val="004D7131"/>
    <w:rsid w:val="004E3546"/>
    <w:rsid w:val="004E3628"/>
    <w:rsid w:val="004F592A"/>
    <w:rsid w:val="004F6448"/>
    <w:rsid w:val="00503F4C"/>
    <w:rsid w:val="00511B4B"/>
    <w:rsid w:val="00513B8C"/>
    <w:rsid w:val="00514885"/>
    <w:rsid w:val="00514E4D"/>
    <w:rsid w:val="00515FD0"/>
    <w:rsid w:val="00521670"/>
    <w:rsid w:val="005225BA"/>
    <w:rsid w:val="00535A5B"/>
    <w:rsid w:val="005533D1"/>
    <w:rsid w:val="005560F7"/>
    <w:rsid w:val="00556CA3"/>
    <w:rsid w:val="0056167E"/>
    <w:rsid w:val="005621DF"/>
    <w:rsid w:val="00565C36"/>
    <w:rsid w:val="00573D65"/>
    <w:rsid w:val="00576064"/>
    <w:rsid w:val="005762EB"/>
    <w:rsid w:val="00582933"/>
    <w:rsid w:val="00590437"/>
    <w:rsid w:val="005A17CC"/>
    <w:rsid w:val="005A6941"/>
    <w:rsid w:val="005B7B58"/>
    <w:rsid w:val="005C6402"/>
    <w:rsid w:val="005C7C8F"/>
    <w:rsid w:val="005D0B75"/>
    <w:rsid w:val="005D11FA"/>
    <w:rsid w:val="005E2275"/>
    <w:rsid w:val="005E2408"/>
    <w:rsid w:val="005E706B"/>
    <w:rsid w:val="005E7224"/>
    <w:rsid w:val="005F2954"/>
    <w:rsid w:val="005F2C56"/>
    <w:rsid w:val="00602123"/>
    <w:rsid w:val="00605CDB"/>
    <w:rsid w:val="006209DC"/>
    <w:rsid w:val="006246B1"/>
    <w:rsid w:val="00625234"/>
    <w:rsid w:val="00626045"/>
    <w:rsid w:val="00627D5D"/>
    <w:rsid w:val="00633374"/>
    <w:rsid w:val="00636813"/>
    <w:rsid w:val="00641FC1"/>
    <w:rsid w:val="006444C6"/>
    <w:rsid w:val="006515D0"/>
    <w:rsid w:val="00656116"/>
    <w:rsid w:val="006607DE"/>
    <w:rsid w:val="00662BB9"/>
    <w:rsid w:val="00673C9A"/>
    <w:rsid w:val="00676E37"/>
    <w:rsid w:val="00680EA7"/>
    <w:rsid w:val="0069297F"/>
    <w:rsid w:val="00695EC9"/>
    <w:rsid w:val="006972EA"/>
    <w:rsid w:val="00697F63"/>
    <w:rsid w:val="006A1261"/>
    <w:rsid w:val="006C11CF"/>
    <w:rsid w:val="006C2C95"/>
    <w:rsid w:val="006C3AD4"/>
    <w:rsid w:val="006C71F9"/>
    <w:rsid w:val="006D191A"/>
    <w:rsid w:val="006D3F94"/>
    <w:rsid w:val="006D67DA"/>
    <w:rsid w:val="006E37B4"/>
    <w:rsid w:val="006E49DF"/>
    <w:rsid w:val="006F18BF"/>
    <w:rsid w:val="006F36A0"/>
    <w:rsid w:val="006F3A0E"/>
    <w:rsid w:val="00712751"/>
    <w:rsid w:val="0071589F"/>
    <w:rsid w:val="0072729A"/>
    <w:rsid w:val="00727ACB"/>
    <w:rsid w:val="007310AC"/>
    <w:rsid w:val="00737E25"/>
    <w:rsid w:val="007478DD"/>
    <w:rsid w:val="00751D0D"/>
    <w:rsid w:val="007541BD"/>
    <w:rsid w:val="00760C07"/>
    <w:rsid w:val="00765738"/>
    <w:rsid w:val="00773BA3"/>
    <w:rsid w:val="00774809"/>
    <w:rsid w:val="00786CDD"/>
    <w:rsid w:val="00792050"/>
    <w:rsid w:val="007924D1"/>
    <w:rsid w:val="00796BA2"/>
    <w:rsid w:val="00796F15"/>
    <w:rsid w:val="00797250"/>
    <w:rsid w:val="00797310"/>
    <w:rsid w:val="0079765A"/>
    <w:rsid w:val="007A3028"/>
    <w:rsid w:val="007A455B"/>
    <w:rsid w:val="007A6446"/>
    <w:rsid w:val="007A6C69"/>
    <w:rsid w:val="007B022D"/>
    <w:rsid w:val="007B7597"/>
    <w:rsid w:val="007C1689"/>
    <w:rsid w:val="007C2EB3"/>
    <w:rsid w:val="007C47A4"/>
    <w:rsid w:val="007D18C4"/>
    <w:rsid w:val="007E3214"/>
    <w:rsid w:val="007E4BA4"/>
    <w:rsid w:val="007E4FA0"/>
    <w:rsid w:val="007E50E3"/>
    <w:rsid w:val="007E57F8"/>
    <w:rsid w:val="007F108B"/>
    <w:rsid w:val="007F251F"/>
    <w:rsid w:val="0080297C"/>
    <w:rsid w:val="00807740"/>
    <w:rsid w:val="00810ACF"/>
    <w:rsid w:val="00812C64"/>
    <w:rsid w:val="0081750C"/>
    <w:rsid w:val="008224A6"/>
    <w:rsid w:val="00823AA6"/>
    <w:rsid w:val="00831E04"/>
    <w:rsid w:val="00832C92"/>
    <w:rsid w:val="00832EF5"/>
    <w:rsid w:val="00835A84"/>
    <w:rsid w:val="008450C9"/>
    <w:rsid w:val="00845D22"/>
    <w:rsid w:val="0084668E"/>
    <w:rsid w:val="00851B65"/>
    <w:rsid w:val="00853EF8"/>
    <w:rsid w:val="00853EFE"/>
    <w:rsid w:val="00856C8B"/>
    <w:rsid w:val="00861AC2"/>
    <w:rsid w:val="00861B27"/>
    <w:rsid w:val="00866193"/>
    <w:rsid w:val="0086670A"/>
    <w:rsid w:val="0086717B"/>
    <w:rsid w:val="008729B2"/>
    <w:rsid w:val="00872A28"/>
    <w:rsid w:val="00875B43"/>
    <w:rsid w:val="008775B0"/>
    <w:rsid w:val="0088129B"/>
    <w:rsid w:val="0088694D"/>
    <w:rsid w:val="00894142"/>
    <w:rsid w:val="00897C81"/>
    <w:rsid w:val="008A5EF8"/>
    <w:rsid w:val="008B31AC"/>
    <w:rsid w:val="008B5040"/>
    <w:rsid w:val="008B71DE"/>
    <w:rsid w:val="008B7407"/>
    <w:rsid w:val="008C6495"/>
    <w:rsid w:val="008D03A3"/>
    <w:rsid w:val="008D36B5"/>
    <w:rsid w:val="008E6031"/>
    <w:rsid w:val="008E6A87"/>
    <w:rsid w:val="008F1626"/>
    <w:rsid w:val="008F5062"/>
    <w:rsid w:val="00900396"/>
    <w:rsid w:val="0090203A"/>
    <w:rsid w:val="00902AE2"/>
    <w:rsid w:val="00905FA6"/>
    <w:rsid w:val="0090693D"/>
    <w:rsid w:val="00927D86"/>
    <w:rsid w:val="00931DDB"/>
    <w:rsid w:val="00933DF2"/>
    <w:rsid w:val="00941CAB"/>
    <w:rsid w:val="009512B1"/>
    <w:rsid w:val="009567E2"/>
    <w:rsid w:val="00960BB9"/>
    <w:rsid w:val="00960ED6"/>
    <w:rsid w:val="00965FAD"/>
    <w:rsid w:val="0097090B"/>
    <w:rsid w:val="00972DFD"/>
    <w:rsid w:val="00972E7E"/>
    <w:rsid w:val="00972FC5"/>
    <w:rsid w:val="00975F7C"/>
    <w:rsid w:val="00980616"/>
    <w:rsid w:val="00980E93"/>
    <w:rsid w:val="00981844"/>
    <w:rsid w:val="00983CF7"/>
    <w:rsid w:val="0098437F"/>
    <w:rsid w:val="00986ACF"/>
    <w:rsid w:val="00995621"/>
    <w:rsid w:val="00996E27"/>
    <w:rsid w:val="009C2F14"/>
    <w:rsid w:val="009C37B4"/>
    <w:rsid w:val="009C69DD"/>
    <w:rsid w:val="009C6C7A"/>
    <w:rsid w:val="009D0777"/>
    <w:rsid w:val="009D28F6"/>
    <w:rsid w:val="009E162F"/>
    <w:rsid w:val="009F092C"/>
    <w:rsid w:val="009F1840"/>
    <w:rsid w:val="00A002D8"/>
    <w:rsid w:val="00A03B09"/>
    <w:rsid w:val="00A13A51"/>
    <w:rsid w:val="00A171F7"/>
    <w:rsid w:val="00A242B2"/>
    <w:rsid w:val="00A25B4E"/>
    <w:rsid w:val="00A319B6"/>
    <w:rsid w:val="00A32E35"/>
    <w:rsid w:val="00A35C21"/>
    <w:rsid w:val="00A42845"/>
    <w:rsid w:val="00A447CA"/>
    <w:rsid w:val="00A54B81"/>
    <w:rsid w:val="00A61709"/>
    <w:rsid w:val="00A61C1C"/>
    <w:rsid w:val="00A71AD9"/>
    <w:rsid w:val="00A81634"/>
    <w:rsid w:val="00A84336"/>
    <w:rsid w:val="00A857AC"/>
    <w:rsid w:val="00A938CE"/>
    <w:rsid w:val="00A94AE1"/>
    <w:rsid w:val="00A97172"/>
    <w:rsid w:val="00A97DF2"/>
    <w:rsid w:val="00AA188C"/>
    <w:rsid w:val="00AA3820"/>
    <w:rsid w:val="00AA6F39"/>
    <w:rsid w:val="00AA755C"/>
    <w:rsid w:val="00AB0F22"/>
    <w:rsid w:val="00AB2BA8"/>
    <w:rsid w:val="00AB7EC1"/>
    <w:rsid w:val="00AC2961"/>
    <w:rsid w:val="00AC68E9"/>
    <w:rsid w:val="00AD28BC"/>
    <w:rsid w:val="00AD2B44"/>
    <w:rsid w:val="00AD5B20"/>
    <w:rsid w:val="00AD6110"/>
    <w:rsid w:val="00AE5EBD"/>
    <w:rsid w:val="00AF1FB3"/>
    <w:rsid w:val="00AF4060"/>
    <w:rsid w:val="00AF459C"/>
    <w:rsid w:val="00AF6D69"/>
    <w:rsid w:val="00B00C69"/>
    <w:rsid w:val="00B00DDA"/>
    <w:rsid w:val="00B041F6"/>
    <w:rsid w:val="00B10784"/>
    <w:rsid w:val="00B33A9D"/>
    <w:rsid w:val="00B34F2B"/>
    <w:rsid w:val="00B45711"/>
    <w:rsid w:val="00B6243E"/>
    <w:rsid w:val="00B6310E"/>
    <w:rsid w:val="00B63B49"/>
    <w:rsid w:val="00B701BF"/>
    <w:rsid w:val="00B71606"/>
    <w:rsid w:val="00B721AE"/>
    <w:rsid w:val="00B74F58"/>
    <w:rsid w:val="00B76628"/>
    <w:rsid w:val="00B82145"/>
    <w:rsid w:val="00B87365"/>
    <w:rsid w:val="00B90298"/>
    <w:rsid w:val="00B95960"/>
    <w:rsid w:val="00B96111"/>
    <w:rsid w:val="00B97D8A"/>
    <w:rsid w:val="00BA4894"/>
    <w:rsid w:val="00BA76B0"/>
    <w:rsid w:val="00BB0396"/>
    <w:rsid w:val="00BB1F40"/>
    <w:rsid w:val="00BB352D"/>
    <w:rsid w:val="00BC5FEB"/>
    <w:rsid w:val="00BD0E5B"/>
    <w:rsid w:val="00BD3F11"/>
    <w:rsid w:val="00BE45B2"/>
    <w:rsid w:val="00BE572E"/>
    <w:rsid w:val="00BF5BC4"/>
    <w:rsid w:val="00C000A6"/>
    <w:rsid w:val="00C025C2"/>
    <w:rsid w:val="00C06506"/>
    <w:rsid w:val="00C150A7"/>
    <w:rsid w:val="00C16949"/>
    <w:rsid w:val="00C176E8"/>
    <w:rsid w:val="00C22C1C"/>
    <w:rsid w:val="00C32E73"/>
    <w:rsid w:val="00C36474"/>
    <w:rsid w:val="00C370F9"/>
    <w:rsid w:val="00C53EB5"/>
    <w:rsid w:val="00C553CC"/>
    <w:rsid w:val="00C57C07"/>
    <w:rsid w:val="00C673DA"/>
    <w:rsid w:val="00C704BD"/>
    <w:rsid w:val="00C7073A"/>
    <w:rsid w:val="00C715C1"/>
    <w:rsid w:val="00C7315D"/>
    <w:rsid w:val="00C927EB"/>
    <w:rsid w:val="00C9469E"/>
    <w:rsid w:val="00C96622"/>
    <w:rsid w:val="00CB09DB"/>
    <w:rsid w:val="00CC1938"/>
    <w:rsid w:val="00CC2151"/>
    <w:rsid w:val="00CC2287"/>
    <w:rsid w:val="00CC2C7E"/>
    <w:rsid w:val="00CC61C6"/>
    <w:rsid w:val="00CD7935"/>
    <w:rsid w:val="00CE19A9"/>
    <w:rsid w:val="00CF1E2F"/>
    <w:rsid w:val="00D003E8"/>
    <w:rsid w:val="00D03F07"/>
    <w:rsid w:val="00D07C29"/>
    <w:rsid w:val="00D200D6"/>
    <w:rsid w:val="00D2081D"/>
    <w:rsid w:val="00D20B63"/>
    <w:rsid w:val="00D21D39"/>
    <w:rsid w:val="00D22067"/>
    <w:rsid w:val="00D26C39"/>
    <w:rsid w:val="00D27903"/>
    <w:rsid w:val="00D50C68"/>
    <w:rsid w:val="00D56D8C"/>
    <w:rsid w:val="00D62377"/>
    <w:rsid w:val="00D635F8"/>
    <w:rsid w:val="00D65483"/>
    <w:rsid w:val="00D737C4"/>
    <w:rsid w:val="00D73A95"/>
    <w:rsid w:val="00D7490E"/>
    <w:rsid w:val="00D75ED6"/>
    <w:rsid w:val="00D778BD"/>
    <w:rsid w:val="00D80451"/>
    <w:rsid w:val="00D8226D"/>
    <w:rsid w:val="00D85BBB"/>
    <w:rsid w:val="00D864AA"/>
    <w:rsid w:val="00D91167"/>
    <w:rsid w:val="00D9216B"/>
    <w:rsid w:val="00D925E3"/>
    <w:rsid w:val="00D933C5"/>
    <w:rsid w:val="00DA3337"/>
    <w:rsid w:val="00DA35EF"/>
    <w:rsid w:val="00DA7FA2"/>
    <w:rsid w:val="00DB2DF2"/>
    <w:rsid w:val="00DB3C60"/>
    <w:rsid w:val="00DB5D71"/>
    <w:rsid w:val="00DC6FEB"/>
    <w:rsid w:val="00DD1774"/>
    <w:rsid w:val="00DD55F4"/>
    <w:rsid w:val="00DE645D"/>
    <w:rsid w:val="00DF480B"/>
    <w:rsid w:val="00E02933"/>
    <w:rsid w:val="00E03E96"/>
    <w:rsid w:val="00E04B18"/>
    <w:rsid w:val="00E05958"/>
    <w:rsid w:val="00E06F84"/>
    <w:rsid w:val="00E1425E"/>
    <w:rsid w:val="00E142D2"/>
    <w:rsid w:val="00E26870"/>
    <w:rsid w:val="00E363C6"/>
    <w:rsid w:val="00E3745A"/>
    <w:rsid w:val="00E3766A"/>
    <w:rsid w:val="00E40FFA"/>
    <w:rsid w:val="00E41B08"/>
    <w:rsid w:val="00E43A22"/>
    <w:rsid w:val="00E5006B"/>
    <w:rsid w:val="00E621CA"/>
    <w:rsid w:val="00E66804"/>
    <w:rsid w:val="00E67017"/>
    <w:rsid w:val="00E7005E"/>
    <w:rsid w:val="00E71D87"/>
    <w:rsid w:val="00E76B19"/>
    <w:rsid w:val="00E8485F"/>
    <w:rsid w:val="00EB5127"/>
    <w:rsid w:val="00EB620A"/>
    <w:rsid w:val="00EB7BEC"/>
    <w:rsid w:val="00EC69FE"/>
    <w:rsid w:val="00ED3EE6"/>
    <w:rsid w:val="00EE1B2E"/>
    <w:rsid w:val="00EF11FD"/>
    <w:rsid w:val="00EF4A8F"/>
    <w:rsid w:val="00EF6DAD"/>
    <w:rsid w:val="00F01998"/>
    <w:rsid w:val="00F07210"/>
    <w:rsid w:val="00F100A6"/>
    <w:rsid w:val="00F1093D"/>
    <w:rsid w:val="00F12EA2"/>
    <w:rsid w:val="00F14A1E"/>
    <w:rsid w:val="00F20A23"/>
    <w:rsid w:val="00F21571"/>
    <w:rsid w:val="00F241A8"/>
    <w:rsid w:val="00F241F6"/>
    <w:rsid w:val="00F26C63"/>
    <w:rsid w:val="00F2757C"/>
    <w:rsid w:val="00F30F06"/>
    <w:rsid w:val="00F366FC"/>
    <w:rsid w:val="00F37A41"/>
    <w:rsid w:val="00F604CB"/>
    <w:rsid w:val="00F647C5"/>
    <w:rsid w:val="00F65A61"/>
    <w:rsid w:val="00F663D1"/>
    <w:rsid w:val="00F82651"/>
    <w:rsid w:val="00F84E15"/>
    <w:rsid w:val="00F91068"/>
    <w:rsid w:val="00F91638"/>
    <w:rsid w:val="00F939BD"/>
    <w:rsid w:val="00F948E7"/>
    <w:rsid w:val="00FA04F5"/>
    <w:rsid w:val="00FA18A0"/>
    <w:rsid w:val="00FA3A25"/>
    <w:rsid w:val="00FA6DC5"/>
    <w:rsid w:val="00FB0B25"/>
    <w:rsid w:val="00FB2653"/>
    <w:rsid w:val="00FC0B0B"/>
    <w:rsid w:val="00FC3B09"/>
    <w:rsid w:val="00FD4731"/>
    <w:rsid w:val="00FD575B"/>
    <w:rsid w:val="00FE1CD2"/>
    <w:rsid w:val="00FE4239"/>
    <w:rsid w:val="00FF13B1"/>
    <w:rsid w:val="00FF2548"/>
    <w:rsid w:val="00FF68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A8F"/>
    <w:pPr>
      <w:spacing w:after="240"/>
      <w:jc w:val="both"/>
    </w:pPr>
    <w:rPr>
      <w:sz w:val="24"/>
      <w:lang w:eastAsia="en-US"/>
    </w:rPr>
  </w:style>
  <w:style w:type="paragraph" w:styleId="Heading1">
    <w:name w:val="heading 1"/>
    <w:basedOn w:val="Normal"/>
    <w:next w:val="Normal"/>
    <w:semiHidden/>
    <w:qFormat/>
    <w:rsid w:val="003536A9"/>
    <w:pPr>
      <w:keepNext/>
      <w:spacing w:before="360" w:line="280" w:lineRule="exact"/>
      <w:outlineLvl w:val="0"/>
    </w:pPr>
    <w:rPr>
      <w:b/>
      <w:caps/>
      <w:kern w:val="28"/>
      <w:sz w:val="28"/>
    </w:rPr>
  </w:style>
  <w:style w:type="paragraph" w:styleId="Heading2">
    <w:name w:val="heading 2"/>
    <w:basedOn w:val="Normal"/>
    <w:next w:val="Normal"/>
    <w:semiHidden/>
    <w:qFormat/>
    <w:rsid w:val="003536A9"/>
    <w:pPr>
      <w:keepNext/>
      <w:spacing w:before="240" w:after="120" w:line="280" w:lineRule="exact"/>
      <w:outlineLvl w:val="1"/>
    </w:pPr>
    <w:rPr>
      <w:b/>
    </w:rPr>
  </w:style>
  <w:style w:type="paragraph" w:styleId="Heading3">
    <w:name w:val="heading 3"/>
    <w:basedOn w:val="Normal"/>
    <w:next w:val="Normal"/>
    <w:semiHidden/>
    <w:qFormat/>
    <w:rsid w:val="003536A9"/>
    <w:pPr>
      <w:keepNext/>
      <w:spacing w:before="120" w:after="120"/>
      <w:outlineLvl w:val="2"/>
    </w:pPr>
    <w:rPr>
      <w:b/>
      <w:i/>
      <w:iCs/>
    </w:rPr>
  </w:style>
  <w:style w:type="paragraph" w:styleId="Heading4">
    <w:name w:val="heading 4"/>
    <w:basedOn w:val="Normal"/>
    <w:next w:val="Normal"/>
    <w:semiHidden/>
    <w:qFormat/>
    <w:rsid w:val="003536A9"/>
    <w:pPr>
      <w:keepNext/>
      <w:outlineLvl w:val="3"/>
    </w:pPr>
    <w:rPr>
      <w:i/>
      <w:iCs/>
    </w:rPr>
  </w:style>
  <w:style w:type="paragraph" w:styleId="Heading5">
    <w:name w:val="heading 5"/>
    <w:basedOn w:val="Normal"/>
    <w:next w:val="Normal"/>
    <w:semiHidden/>
    <w:qFormat/>
    <w:rsid w:val="00662BB9"/>
    <w:pPr>
      <w:spacing w:before="240" w:after="60"/>
      <w:outlineLvl w:val="4"/>
    </w:pPr>
    <w:rPr>
      <w:b/>
      <w:bCs/>
      <w:i/>
      <w:iCs/>
      <w:sz w:val="26"/>
      <w:szCs w:val="26"/>
    </w:rPr>
  </w:style>
  <w:style w:type="paragraph" w:styleId="Heading8">
    <w:name w:val="heading 8"/>
    <w:basedOn w:val="Normal"/>
    <w:next w:val="Normal"/>
    <w:link w:val="Heading8Char"/>
    <w:semiHidden/>
    <w:unhideWhenUsed/>
    <w:qFormat/>
    <w:rsid w:val="006C71F9"/>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next w:val="Normal"/>
    <w:semiHidden/>
    <w:rsid w:val="003536A9"/>
    <w:pPr>
      <w:spacing w:before="240" w:after="360"/>
    </w:pPr>
    <w:rPr>
      <w:color w:val="000000"/>
    </w:rPr>
  </w:style>
  <w:style w:type="paragraph" w:customStyle="1" w:styleId="FigureFootnote">
    <w:name w:val="Figure Footnote"/>
    <w:basedOn w:val="Normal"/>
    <w:next w:val="Normal"/>
    <w:semiHidden/>
    <w:rsid w:val="003536A9"/>
    <w:pPr>
      <w:spacing w:before="240" w:after="360"/>
    </w:pPr>
    <w:rPr>
      <w:color w:val="000000"/>
    </w:rPr>
  </w:style>
  <w:style w:type="paragraph" w:customStyle="1" w:styleId="FigureTitle">
    <w:name w:val="Figure Title"/>
    <w:basedOn w:val="Normal"/>
    <w:next w:val="Figure"/>
    <w:semiHidden/>
    <w:rsid w:val="003536A9"/>
    <w:pPr>
      <w:keepNext/>
      <w:spacing w:before="360"/>
    </w:pPr>
    <w:rPr>
      <w:b/>
      <w:color w:val="000000"/>
    </w:rPr>
  </w:style>
  <w:style w:type="character" w:styleId="FootnoteReference">
    <w:name w:val="footnote reference"/>
    <w:semiHidden/>
    <w:rsid w:val="003536A9"/>
    <w:rPr>
      <w:sz w:val="24"/>
      <w:vertAlign w:val="superscript"/>
    </w:rPr>
  </w:style>
  <w:style w:type="paragraph" w:styleId="Header">
    <w:name w:val="header"/>
    <w:basedOn w:val="Normal"/>
    <w:link w:val="HeaderChar"/>
    <w:uiPriority w:val="99"/>
    <w:rsid w:val="003536A9"/>
    <w:pPr>
      <w:tabs>
        <w:tab w:val="center" w:pos="4153"/>
        <w:tab w:val="right" w:pos="8306"/>
      </w:tabs>
    </w:pPr>
  </w:style>
  <w:style w:type="paragraph" w:styleId="Footer">
    <w:name w:val="footer"/>
    <w:basedOn w:val="Normal"/>
    <w:link w:val="FooterChar"/>
    <w:uiPriority w:val="99"/>
    <w:rsid w:val="003536A9"/>
    <w:pPr>
      <w:pBdr>
        <w:top w:val="single" w:sz="6" w:space="1" w:color="auto"/>
      </w:pBdr>
      <w:tabs>
        <w:tab w:val="left" w:pos="9923"/>
      </w:tabs>
      <w:spacing w:after="0" w:line="280" w:lineRule="exact"/>
      <w:jc w:val="left"/>
    </w:pPr>
    <w:rPr>
      <w:sz w:val="20"/>
    </w:rPr>
  </w:style>
  <w:style w:type="table" w:styleId="TableGrid">
    <w:name w:val="Table Grid"/>
    <w:basedOn w:val="TableNormal"/>
    <w:uiPriority w:val="59"/>
    <w:rsid w:val="00DB5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Figure"/>
    <w:semiHidden/>
    <w:rsid w:val="003536A9"/>
    <w:pPr>
      <w:spacing w:before="0" w:after="0"/>
      <w:jc w:val="left"/>
    </w:pPr>
    <w:rPr>
      <w:snapToGrid w:val="0"/>
      <w:szCs w:val="24"/>
    </w:rPr>
  </w:style>
  <w:style w:type="paragraph" w:customStyle="1" w:styleId="TableHeading">
    <w:name w:val="Table Heading"/>
    <w:basedOn w:val="TableText"/>
    <w:semiHidden/>
    <w:rsid w:val="003536A9"/>
    <w:pPr>
      <w:keepNext/>
    </w:pPr>
    <w:rPr>
      <w:b/>
      <w:bCs/>
    </w:rPr>
  </w:style>
  <w:style w:type="character" w:styleId="Hyperlink">
    <w:name w:val="Hyperlink"/>
    <w:semiHidden/>
    <w:rsid w:val="003536A9"/>
    <w:rPr>
      <w:color w:val="auto"/>
      <w:u w:val="none"/>
    </w:rPr>
  </w:style>
  <w:style w:type="paragraph" w:styleId="ListNumber">
    <w:name w:val="List Number"/>
    <w:basedOn w:val="Normal"/>
    <w:semiHidden/>
    <w:rsid w:val="003536A9"/>
    <w:pPr>
      <w:numPr>
        <w:numId w:val="5"/>
      </w:numPr>
    </w:pPr>
  </w:style>
  <w:style w:type="paragraph" w:customStyle="1" w:styleId="TableTitle">
    <w:name w:val="Table Title"/>
    <w:basedOn w:val="FigureTitle"/>
    <w:next w:val="TableText"/>
    <w:semiHidden/>
    <w:rsid w:val="003536A9"/>
    <w:pPr>
      <w:spacing w:after="0"/>
      <w:jc w:val="left"/>
    </w:pPr>
    <w:rPr>
      <w:szCs w:val="24"/>
    </w:rPr>
  </w:style>
  <w:style w:type="paragraph" w:styleId="ListBullet">
    <w:name w:val="List Bullet"/>
    <w:basedOn w:val="Normal"/>
    <w:semiHidden/>
    <w:rsid w:val="003536A9"/>
    <w:pPr>
      <w:numPr>
        <w:numId w:val="3"/>
      </w:numPr>
    </w:pPr>
  </w:style>
  <w:style w:type="paragraph" w:styleId="Subtitle">
    <w:name w:val="Subtitle"/>
    <w:basedOn w:val="Normal"/>
    <w:link w:val="SubtitleChar"/>
    <w:qFormat/>
    <w:rsid w:val="003536A9"/>
    <w:pPr>
      <w:spacing w:after="60"/>
      <w:outlineLvl w:val="1"/>
    </w:pPr>
    <w:rPr>
      <w:b/>
      <w:sz w:val="32"/>
    </w:rPr>
  </w:style>
  <w:style w:type="paragraph" w:customStyle="1" w:styleId="TableFootnote">
    <w:name w:val="Table Footnote"/>
    <w:basedOn w:val="FigureFootnote"/>
    <w:next w:val="Normal"/>
    <w:semiHidden/>
    <w:rsid w:val="003536A9"/>
    <w:pPr>
      <w:spacing w:before="0" w:after="0"/>
      <w:jc w:val="left"/>
    </w:pPr>
    <w:rPr>
      <w:sz w:val="20"/>
      <w:szCs w:val="24"/>
    </w:rPr>
  </w:style>
  <w:style w:type="paragraph" w:customStyle="1" w:styleId="TableSpace">
    <w:name w:val="Table Space"/>
    <w:basedOn w:val="Figure"/>
    <w:next w:val="Normal"/>
    <w:semiHidden/>
    <w:rsid w:val="003536A9"/>
    <w:pPr>
      <w:spacing w:before="0" w:after="480"/>
      <w:jc w:val="left"/>
    </w:pPr>
    <w:rPr>
      <w:szCs w:val="24"/>
    </w:rPr>
  </w:style>
  <w:style w:type="paragraph" w:customStyle="1" w:styleId="TableTitleCont">
    <w:name w:val="Table Title Cont"/>
    <w:basedOn w:val="TableTitle"/>
    <w:next w:val="TableText"/>
    <w:semiHidden/>
    <w:rsid w:val="003536A9"/>
    <w:pPr>
      <w:spacing w:before="0"/>
    </w:pPr>
    <w:rPr>
      <w:b w:val="0"/>
    </w:rPr>
  </w:style>
  <w:style w:type="paragraph" w:styleId="Title">
    <w:name w:val="Title"/>
    <w:basedOn w:val="Normal"/>
    <w:semiHidden/>
    <w:qFormat/>
    <w:rsid w:val="003536A9"/>
    <w:pPr>
      <w:spacing w:before="240" w:after="60"/>
      <w:outlineLvl w:val="0"/>
    </w:pPr>
    <w:rPr>
      <w:b/>
      <w:kern w:val="28"/>
      <w:sz w:val="40"/>
    </w:rPr>
  </w:style>
  <w:style w:type="paragraph" w:styleId="BalloonText">
    <w:name w:val="Balloon Text"/>
    <w:basedOn w:val="Normal"/>
    <w:semiHidden/>
    <w:rsid w:val="00FD575B"/>
    <w:rPr>
      <w:rFonts w:ascii="Tahoma" w:hAnsi="Tahoma" w:cs="Tahoma"/>
      <w:sz w:val="16"/>
      <w:szCs w:val="16"/>
    </w:rPr>
  </w:style>
  <w:style w:type="character" w:styleId="CommentReference">
    <w:name w:val="annotation reference"/>
    <w:semiHidden/>
    <w:rsid w:val="00C57C07"/>
    <w:rPr>
      <w:sz w:val="16"/>
      <w:szCs w:val="16"/>
    </w:rPr>
  </w:style>
  <w:style w:type="paragraph" w:styleId="CommentText">
    <w:name w:val="annotation text"/>
    <w:basedOn w:val="Normal"/>
    <w:semiHidden/>
    <w:rsid w:val="00C57C07"/>
    <w:rPr>
      <w:sz w:val="20"/>
    </w:rPr>
  </w:style>
  <w:style w:type="paragraph" w:styleId="CommentSubject">
    <w:name w:val="annotation subject"/>
    <w:basedOn w:val="CommentText"/>
    <w:next w:val="CommentText"/>
    <w:semiHidden/>
    <w:rsid w:val="00C57C07"/>
    <w:rPr>
      <w:b/>
      <w:bCs/>
    </w:rPr>
  </w:style>
  <w:style w:type="character" w:styleId="PageNumber">
    <w:name w:val="page number"/>
    <w:basedOn w:val="DefaultParagraphFont"/>
    <w:semiHidden/>
    <w:rsid w:val="001B2FD7"/>
  </w:style>
  <w:style w:type="paragraph" w:customStyle="1" w:styleId="PITITLE">
    <w:name w:val="PI TITLE"/>
    <w:basedOn w:val="Title"/>
    <w:qFormat/>
    <w:rsid w:val="00CF1E2F"/>
  </w:style>
  <w:style w:type="paragraph" w:customStyle="1" w:styleId="PISubtitle">
    <w:name w:val="PI Subtitle"/>
    <w:basedOn w:val="Subtitle"/>
    <w:uiPriority w:val="1"/>
    <w:qFormat/>
    <w:rsid w:val="00CF1E2F"/>
  </w:style>
  <w:style w:type="paragraph" w:customStyle="1" w:styleId="PIHeading1">
    <w:name w:val="PI Heading 1"/>
    <w:basedOn w:val="Heading1"/>
    <w:uiPriority w:val="2"/>
    <w:qFormat/>
    <w:rsid w:val="00CF1E2F"/>
  </w:style>
  <w:style w:type="paragraph" w:customStyle="1" w:styleId="PINormal">
    <w:name w:val="PI Normal"/>
    <w:basedOn w:val="Normal"/>
    <w:uiPriority w:val="6"/>
    <w:qFormat/>
    <w:rsid w:val="00CF1E2F"/>
  </w:style>
  <w:style w:type="paragraph" w:customStyle="1" w:styleId="PIFigure">
    <w:name w:val="PI Figure"/>
    <w:basedOn w:val="Figure"/>
    <w:uiPriority w:val="7"/>
    <w:qFormat/>
    <w:rsid w:val="00CF1E2F"/>
  </w:style>
  <w:style w:type="paragraph" w:customStyle="1" w:styleId="PIHeading2">
    <w:name w:val="PI Heading 2"/>
    <w:basedOn w:val="Heading2"/>
    <w:uiPriority w:val="3"/>
    <w:qFormat/>
    <w:rsid w:val="00BB1F40"/>
  </w:style>
  <w:style w:type="paragraph" w:customStyle="1" w:styleId="PIHeading3">
    <w:name w:val="PI Heading 3"/>
    <w:basedOn w:val="Heading3"/>
    <w:uiPriority w:val="4"/>
    <w:qFormat/>
    <w:rsid w:val="00BB1F40"/>
  </w:style>
  <w:style w:type="paragraph" w:customStyle="1" w:styleId="PIHeading4">
    <w:name w:val="PI Heading 4"/>
    <w:basedOn w:val="Heading4"/>
    <w:uiPriority w:val="5"/>
    <w:qFormat/>
    <w:rsid w:val="00BB1F40"/>
    <w:pPr>
      <w:spacing w:before="120" w:after="120"/>
    </w:pPr>
  </w:style>
  <w:style w:type="paragraph" w:customStyle="1" w:styleId="PIFooter">
    <w:name w:val="PI Footer"/>
    <w:basedOn w:val="Footer"/>
    <w:uiPriority w:val="7"/>
    <w:qFormat/>
    <w:rsid w:val="00056EF5"/>
    <w:pPr>
      <w:tabs>
        <w:tab w:val="clear" w:pos="9923"/>
        <w:tab w:val="right" w:pos="8800"/>
      </w:tabs>
    </w:pPr>
  </w:style>
  <w:style w:type="paragraph" w:customStyle="1" w:styleId="PITableTitle">
    <w:name w:val="PI Table Title"/>
    <w:basedOn w:val="TableTitle"/>
    <w:uiPriority w:val="7"/>
    <w:qFormat/>
    <w:rsid w:val="00056EF5"/>
    <w:pPr>
      <w:keepLines/>
    </w:pPr>
  </w:style>
  <w:style w:type="paragraph" w:customStyle="1" w:styleId="PITableText">
    <w:name w:val="PI Table Text"/>
    <w:basedOn w:val="TableText"/>
    <w:uiPriority w:val="7"/>
    <w:qFormat/>
    <w:rsid w:val="00CC1938"/>
  </w:style>
  <w:style w:type="paragraph" w:customStyle="1" w:styleId="PITableSpace">
    <w:name w:val="PI Table Space"/>
    <w:basedOn w:val="TableSpace"/>
    <w:uiPriority w:val="7"/>
    <w:qFormat/>
    <w:rsid w:val="00CC1938"/>
    <w:pPr>
      <w:spacing w:after="120"/>
    </w:pPr>
  </w:style>
  <w:style w:type="paragraph" w:customStyle="1" w:styleId="PITableFootnote">
    <w:name w:val="PI Table Footnote"/>
    <w:basedOn w:val="TableFootnote"/>
    <w:uiPriority w:val="7"/>
    <w:qFormat/>
    <w:rsid w:val="00CC1938"/>
    <w:pPr>
      <w:spacing w:after="240"/>
    </w:pPr>
  </w:style>
  <w:style w:type="paragraph" w:customStyle="1" w:styleId="HeaderTitle">
    <w:name w:val="Header Title"/>
    <w:basedOn w:val="Normal"/>
    <w:rsid w:val="00F647C5"/>
    <w:pPr>
      <w:spacing w:after="120"/>
      <w:jc w:val="center"/>
    </w:pPr>
    <w:rPr>
      <w:rFonts w:ascii="Arial" w:hAnsi="Arial"/>
      <w:b/>
      <w:szCs w:val="24"/>
      <w:lang w:val="en-US"/>
    </w:rPr>
  </w:style>
  <w:style w:type="paragraph" w:customStyle="1" w:styleId="HeaderSubtitle">
    <w:name w:val="Header Subtitle"/>
    <w:basedOn w:val="Normal"/>
    <w:rsid w:val="00F647C5"/>
    <w:pPr>
      <w:spacing w:before="120" w:after="120"/>
    </w:pPr>
    <w:rPr>
      <w:rFonts w:ascii="Arial" w:hAnsi="Arial"/>
      <w:b/>
      <w:sz w:val="18"/>
      <w:lang w:val="en-US"/>
    </w:rPr>
  </w:style>
  <w:style w:type="paragraph" w:customStyle="1" w:styleId="HeaderText">
    <w:name w:val="Header Text"/>
    <w:basedOn w:val="HeaderSubtitle"/>
    <w:rsid w:val="00F647C5"/>
    <w:rPr>
      <w:b w:val="0"/>
    </w:rPr>
  </w:style>
  <w:style w:type="character" w:customStyle="1" w:styleId="SubtitleChar">
    <w:name w:val="Subtitle Char"/>
    <w:link w:val="Subtitle"/>
    <w:rsid w:val="00FB0B25"/>
    <w:rPr>
      <w:b/>
      <w:sz w:val="32"/>
      <w:lang w:eastAsia="en-US"/>
    </w:rPr>
  </w:style>
  <w:style w:type="character" w:customStyle="1" w:styleId="PITradename">
    <w:name w:val="PI Tradename"/>
    <w:basedOn w:val="SubtitleChar"/>
    <w:rsid w:val="00FB0B25"/>
    <w:rPr>
      <w:b/>
      <w:sz w:val="32"/>
      <w:lang w:eastAsia="en-US"/>
    </w:rPr>
  </w:style>
  <w:style w:type="character" w:customStyle="1" w:styleId="PIRegisteredTrademarkSign">
    <w:name w:val="PI Registered Trademark Sign"/>
    <w:rsid w:val="00FB0B25"/>
    <w:rPr>
      <w:b/>
      <w:sz w:val="32"/>
      <w:vertAlign w:val="superscript"/>
      <w:lang w:eastAsia="en-US"/>
    </w:rPr>
  </w:style>
  <w:style w:type="character" w:customStyle="1" w:styleId="HeaderChar">
    <w:name w:val="Header Char"/>
    <w:link w:val="Header"/>
    <w:uiPriority w:val="99"/>
    <w:rsid w:val="00A97DF2"/>
    <w:rPr>
      <w:sz w:val="24"/>
      <w:lang w:val="en-AU"/>
    </w:rPr>
  </w:style>
  <w:style w:type="paragraph" w:customStyle="1" w:styleId="GTCTitle">
    <w:name w:val="GTC Title"/>
    <w:basedOn w:val="Normal"/>
    <w:rsid w:val="00290A56"/>
    <w:pPr>
      <w:spacing w:before="120" w:after="120"/>
    </w:pPr>
    <w:rPr>
      <w:rFonts w:ascii="Arial" w:hAnsi="Arial" w:cs="Arial"/>
      <w:b/>
      <w:bCs/>
      <w:sz w:val="36"/>
      <w:szCs w:val="36"/>
      <w:lang w:val="en-US"/>
    </w:rPr>
  </w:style>
  <w:style w:type="paragraph" w:customStyle="1" w:styleId="C-TableHeader">
    <w:name w:val="C-Table Header"/>
    <w:next w:val="C-TableText"/>
    <w:link w:val="C-TableHeaderChar"/>
    <w:rsid w:val="00290A56"/>
    <w:pPr>
      <w:keepNext/>
      <w:spacing w:before="60" w:after="60"/>
    </w:pPr>
    <w:rPr>
      <w:b/>
      <w:sz w:val="22"/>
      <w:lang w:val="en-US" w:eastAsia="en-US"/>
    </w:rPr>
  </w:style>
  <w:style w:type="paragraph" w:customStyle="1" w:styleId="C-TableText">
    <w:name w:val="C-Table Text"/>
    <w:link w:val="C-TableTextChar"/>
    <w:rsid w:val="00290A56"/>
    <w:pPr>
      <w:spacing w:before="60" w:after="60"/>
    </w:pPr>
    <w:rPr>
      <w:sz w:val="22"/>
      <w:lang w:val="en-US" w:eastAsia="en-US"/>
    </w:rPr>
  </w:style>
  <w:style w:type="character" w:customStyle="1" w:styleId="C-TableTextChar">
    <w:name w:val="C-Table Text Char"/>
    <w:link w:val="C-TableText"/>
    <w:rsid w:val="00290A56"/>
    <w:rPr>
      <w:sz w:val="22"/>
    </w:rPr>
  </w:style>
  <w:style w:type="character" w:customStyle="1" w:styleId="C-TableHeaderChar">
    <w:name w:val="C-Table Header Char"/>
    <w:link w:val="C-TableHeader"/>
    <w:rsid w:val="00290A56"/>
    <w:rPr>
      <w:b/>
      <w:sz w:val="22"/>
    </w:rPr>
  </w:style>
  <w:style w:type="paragraph" w:styleId="BlockText">
    <w:name w:val="Block Text"/>
    <w:basedOn w:val="Normal"/>
    <w:rsid w:val="00290A56"/>
    <w:pPr>
      <w:widowControl w:val="0"/>
      <w:autoSpaceDE w:val="0"/>
      <w:autoSpaceDN w:val="0"/>
      <w:spacing w:after="120"/>
      <w:ind w:left="1440" w:right="1440"/>
      <w:jc w:val="left"/>
    </w:pPr>
    <w:rPr>
      <w:szCs w:val="24"/>
      <w:lang w:val="en-US"/>
    </w:rPr>
  </w:style>
  <w:style w:type="paragraph" w:customStyle="1" w:styleId="CM33">
    <w:name w:val="CM33"/>
    <w:basedOn w:val="Normal"/>
    <w:next w:val="Normal"/>
    <w:uiPriority w:val="99"/>
    <w:rsid w:val="00A002D8"/>
    <w:pPr>
      <w:autoSpaceDE w:val="0"/>
      <w:autoSpaceDN w:val="0"/>
      <w:adjustRightInd w:val="0"/>
      <w:spacing w:after="250"/>
      <w:jc w:val="left"/>
    </w:pPr>
    <w:rPr>
      <w:rFonts w:ascii="Arial" w:eastAsia="Calibri" w:hAnsi="Arial" w:cs="Arial"/>
      <w:szCs w:val="24"/>
      <w:lang w:val="en-US"/>
    </w:rPr>
  </w:style>
  <w:style w:type="paragraph" w:customStyle="1" w:styleId="CM11">
    <w:name w:val="CM11"/>
    <w:basedOn w:val="Normal"/>
    <w:next w:val="Normal"/>
    <w:uiPriority w:val="99"/>
    <w:rsid w:val="00A002D8"/>
    <w:pPr>
      <w:autoSpaceDE w:val="0"/>
      <w:autoSpaceDN w:val="0"/>
      <w:adjustRightInd w:val="0"/>
      <w:spacing w:after="0" w:line="256" w:lineRule="atLeast"/>
      <w:jc w:val="left"/>
    </w:pPr>
    <w:rPr>
      <w:rFonts w:ascii="Arial" w:eastAsia="Calibri" w:hAnsi="Arial" w:cs="Arial"/>
      <w:szCs w:val="24"/>
      <w:lang w:val="en-US"/>
    </w:rPr>
  </w:style>
  <w:style w:type="paragraph" w:customStyle="1" w:styleId="GTCBodyText">
    <w:name w:val="GTC Body Text"/>
    <w:basedOn w:val="Normal"/>
    <w:rsid w:val="00A002D8"/>
    <w:pPr>
      <w:spacing w:before="240" w:line="300" w:lineRule="auto"/>
    </w:pPr>
    <w:rPr>
      <w:szCs w:val="24"/>
      <w:lang w:val="en-US"/>
    </w:rPr>
  </w:style>
  <w:style w:type="paragraph" w:customStyle="1" w:styleId="C-BodyText">
    <w:name w:val="C-Body Text"/>
    <w:link w:val="C-BodyTextChar"/>
    <w:rsid w:val="00A002D8"/>
    <w:pPr>
      <w:spacing w:before="120" w:after="120" w:line="280" w:lineRule="atLeast"/>
    </w:pPr>
    <w:rPr>
      <w:sz w:val="24"/>
      <w:lang w:val="en-US" w:eastAsia="en-US"/>
    </w:rPr>
  </w:style>
  <w:style w:type="character" w:customStyle="1" w:styleId="C-BodyTextChar">
    <w:name w:val="C-Body Text Char"/>
    <w:link w:val="C-BodyText"/>
    <w:rsid w:val="00A002D8"/>
    <w:rPr>
      <w:sz w:val="24"/>
    </w:rPr>
  </w:style>
  <w:style w:type="character" w:customStyle="1" w:styleId="FooterChar">
    <w:name w:val="Footer Char"/>
    <w:link w:val="Footer"/>
    <w:uiPriority w:val="99"/>
    <w:rsid w:val="00B00C69"/>
    <w:rPr>
      <w:lang w:val="en-AU"/>
    </w:rPr>
  </w:style>
  <w:style w:type="paragraph" w:customStyle="1" w:styleId="atictdelete">
    <w:name w:val="atictdelete"/>
    <w:basedOn w:val="Normal"/>
    <w:rsid w:val="00FF2548"/>
    <w:pPr>
      <w:spacing w:before="100" w:beforeAutospacing="1" w:after="100" w:afterAutospacing="1"/>
      <w:jc w:val="left"/>
    </w:pPr>
    <w:rPr>
      <w:strike/>
      <w:color w:val="FF0000"/>
      <w:szCs w:val="24"/>
      <w:lang w:val="en-US"/>
    </w:rPr>
  </w:style>
  <w:style w:type="paragraph" w:styleId="Revision">
    <w:name w:val="Revision"/>
    <w:hidden/>
    <w:uiPriority w:val="99"/>
    <w:semiHidden/>
    <w:rsid w:val="00727ACB"/>
    <w:rPr>
      <w:sz w:val="24"/>
      <w:lang w:eastAsia="en-US"/>
    </w:rPr>
  </w:style>
  <w:style w:type="character" w:customStyle="1" w:styleId="Heading8Char">
    <w:name w:val="Heading 8 Char"/>
    <w:link w:val="Heading8"/>
    <w:semiHidden/>
    <w:rsid w:val="006C71F9"/>
    <w:rPr>
      <w:rFonts w:ascii="Calibri" w:eastAsia="Times New Roman" w:hAnsi="Calibri" w:cs="Times New Roman"/>
      <w:i/>
      <w:iCs/>
      <w:sz w:val="24"/>
      <w:szCs w:val="24"/>
      <w:lang w:eastAsia="en-US"/>
    </w:rPr>
  </w:style>
  <w:style w:type="paragraph" w:styleId="ListParagraph">
    <w:name w:val="List Paragraph"/>
    <w:basedOn w:val="Normal"/>
    <w:uiPriority w:val="34"/>
    <w:qFormat/>
    <w:rsid w:val="007541BD"/>
    <w:pPr>
      <w:spacing w:after="0"/>
      <w:ind w:left="720"/>
      <w:jc w:val="left"/>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A8F"/>
    <w:pPr>
      <w:spacing w:after="240"/>
      <w:jc w:val="both"/>
    </w:pPr>
    <w:rPr>
      <w:sz w:val="24"/>
      <w:lang w:eastAsia="en-US"/>
    </w:rPr>
  </w:style>
  <w:style w:type="paragraph" w:styleId="Heading1">
    <w:name w:val="heading 1"/>
    <w:basedOn w:val="Normal"/>
    <w:next w:val="Normal"/>
    <w:semiHidden/>
    <w:qFormat/>
    <w:rsid w:val="003536A9"/>
    <w:pPr>
      <w:keepNext/>
      <w:spacing w:before="360" w:line="280" w:lineRule="exact"/>
      <w:outlineLvl w:val="0"/>
    </w:pPr>
    <w:rPr>
      <w:b/>
      <w:caps/>
      <w:kern w:val="28"/>
      <w:sz w:val="28"/>
    </w:rPr>
  </w:style>
  <w:style w:type="paragraph" w:styleId="Heading2">
    <w:name w:val="heading 2"/>
    <w:basedOn w:val="Normal"/>
    <w:next w:val="Normal"/>
    <w:semiHidden/>
    <w:qFormat/>
    <w:rsid w:val="003536A9"/>
    <w:pPr>
      <w:keepNext/>
      <w:spacing w:before="240" w:after="120" w:line="280" w:lineRule="exact"/>
      <w:outlineLvl w:val="1"/>
    </w:pPr>
    <w:rPr>
      <w:b/>
    </w:rPr>
  </w:style>
  <w:style w:type="paragraph" w:styleId="Heading3">
    <w:name w:val="heading 3"/>
    <w:basedOn w:val="Normal"/>
    <w:next w:val="Normal"/>
    <w:semiHidden/>
    <w:qFormat/>
    <w:rsid w:val="003536A9"/>
    <w:pPr>
      <w:keepNext/>
      <w:spacing w:before="120" w:after="120"/>
      <w:outlineLvl w:val="2"/>
    </w:pPr>
    <w:rPr>
      <w:b/>
      <w:i/>
      <w:iCs/>
    </w:rPr>
  </w:style>
  <w:style w:type="paragraph" w:styleId="Heading4">
    <w:name w:val="heading 4"/>
    <w:basedOn w:val="Normal"/>
    <w:next w:val="Normal"/>
    <w:semiHidden/>
    <w:qFormat/>
    <w:rsid w:val="003536A9"/>
    <w:pPr>
      <w:keepNext/>
      <w:outlineLvl w:val="3"/>
    </w:pPr>
    <w:rPr>
      <w:i/>
      <w:iCs/>
    </w:rPr>
  </w:style>
  <w:style w:type="paragraph" w:styleId="Heading5">
    <w:name w:val="heading 5"/>
    <w:basedOn w:val="Normal"/>
    <w:next w:val="Normal"/>
    <w:semiHidden/>
    <w:qFormat/>
    <w:rsid w:val="00662BB9"/>
    <w:pPr>
      <w:spacing w:before="240" w:after="60"/>
      <w:outlineLvl w:val="4"/>
    </w:pPr>
    <w:rPr>
      <w:b/>
      <w:bCs/>
      <w:i/>
      <w:iCs/>
      <w:sz w:val="26"/>
      <w:szCs w:val="26"/>
    </w:rPr>
  </w:style>
  <w:style w:type="paragraph" w:styleId="Heading8">
    <w:name w:val="heading 8"/>
    <w:basedOn w:val="Normal"/>
    <w:next w:val="Normal"/>
    <w:link w:val="Heading8Char"/>
    <w:semiHidden/>
    <w:unhideWhenUsed/>
    <w:qFormat/>
    <w:rsid w:val="006C71F9"/>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next w:val="Normal"/>
    <w:semiHidden/>
    <w:rsid w:val="003536A9"/>
    <w:pPr>
      <w:spacing w:before="240" w:after="360"/>
    </w:pPr>
    <w:rPr>
      <w:color w:val="000000"/>
    </w:rPr>
  </w:style>
  <w:style w:type="paragraph" w:customStyle="1" w:styleId="FigureFootnote">
    <w:name w:val="Figure Footnote"/>
    <w:basedOn w:val="Normal"/>
    <w:next w:val="Normal"/>
    <w:semiHidden/>
    <w:rsid w:val="003536A9"/>
    <w:pPr>
      <w:spacing w:before="240" w:after="360"/>
    </w:pPr>
    <w:rPr>
      <w:color w:val="000000"/>
    </w:rPr>
  </w:style>
  <w:style w:type="paragraph" w:customStyle="1" w:styleId="FigureTitle">
    <w:name w:val="Figure Title"/>
    <w:basedOn w:val="Normal"/>
    <w:next w:val="Figure"/>
    <w:semiHidden/>
    <w:rsid w:val="003536A9"/>
    <w:pPr>
      <w:keepNext/>
      <w:spacing w:before="360"/>
    </w:pPr>
    <w:rPr>
      <w:b/>
      <w:color w:val="000000"/>
    </w:rPr>
  </w:style>
  <w:style w:type="character" w:styleId="FootnoteReference">
    <w:name w:val="footnote reference"/>
    <w:semiHidden/>
    <w:rsid w:val="003536A9"/>
    <w:rPr>
      <w:sz w:val="24"/>
      <w:vertAlign w:val="superscript"/>
    </w:rPr>
  </w:style>
  <w:style w:type="paragraph" w:styleId="Header">
    <w:name w:val="header"/>
    <w:basedOn w:val="Normal"/>
    <w:link w:val="HeaderChar"/>
    <w:uiPriority w:val="99"/>
    <w:rsid w:val="003536A9"/>
    <w:pPr>
      <w:tabs>
        <w:tab w:val="center" w:pos="4153"/>
        <w:tab w:val="right" w:pos="8306"/>
      </w:tabs>
    </w:pPr>
  </w:style>
  <w:style w:type="paragraph" w:styleId="Footer">
    <w:name w:val="footer"/>
    <w:basedOn w:val="Normal"/>
    <w:link w:val="FooterChar"/>
    <w:uiPriority w:val="99"/>
    <w:rsid w:val="003536A9"/>
    <w:pPr>
      <w:pBdr>
        <w:top w:val="single" w:sz="6" w:space="1" w:color="auto"/>
      </w:pBdr>
      <w:tabs>
        <w:tab w:val="left" w:pos="9923"/>
      </w:tabs>
      <w:spacing w:after="0" w:line="280" w:lineRule="exact"/>
      <w:jc w:val="left"/>
    </w:pPr>
    <w:rPr>
      <w:sz w:val="20"/>
    </w:rPr>
  </w:style>
  <w:style w:type="table" w:styleId="TableGrid">
    <w:name w:val="Table Grid"/>
    <w:basedOn w:val="TableNormal"/>
    <w:uiPriority w:val="59"/>
    <w:rsid w:val="00DB5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Figure"/>
    <w:semiHidden/>
    <w:rsid w:val="003536A9"/>
    <w:pPr>
      <w:spacing w:before="0" w:after="0"/>
      <w:jc w:val="left"/>
    </w:pPr>
    <w:rPr>
      <w:snapToGrid w:val="0"/>
      <w:szCs w:val="24"/>
    </w:rPr>
  </w:style>
  <w:style w:type="paragraph" w:customStyle="1" w:styleId="TableHeading">
    <w:name w:val="Table Heading"/>
    <w:basedOn w:val="TableText"/>
    <w:semiHidden/>
    <w:rsid w:val="003536A9"/>
    <w:pPr>
      <w:keepNext/>
    </w:pPr>
    <w:rPr>
      <w:b/>
      <w:bCs/>
    </w:rPr>
  </w:style>
  <w:style w:type="character" w:styleId="Hyperlink">
    <w:name w:val="Hyperlink"/>
    <w:semiHidden/>
    <w:rsid w:val="003536A9"/>
    <w:rPr>
      <w:color w:val="auto"/>
      <w:u w:val="none"/>
    </w:rPr>
  </w:style>
  <w:style w:type="paragraph" w:styleId="ListNumber">
    <w:name w:val="List Number"/>
    <w:basedOn w:val="Normal"/>
    <w:semiHidden/>
    <w:rsid w:val="003536A9"/>
    <w:pPr>
      <w:numPr>
        <w:numId w:val="5"/>
      </w:numPr>
    </w:pPr>
  </w:style>
  <w:style w:type="paragraph" w:customStyle="1" w:styleId="TableTitle">
    <w:name w:val="Table Title"/>
    <w:basedOn w:val="FigureTitle"/>
    <w:next w:val="TableText"/>
    <w:semiHidden/>
    <w:rsid w:val="003536A9"/>
    <w:pPr>
      <w:spacing w:after="0"/>
      <w:jc w:val="left"/>
    </w:pPr>
    <w:rPr>
      <w:szCs w:val="24"/>
    </w:rPr>
  </w:style>
  <w:style w:type="paragraph" w:styleId="ListBullet">
    <w:name w:val="List Bullet"/>
    <w:basedOn w:val="Normal"/>
    <w:semiHidden/>
    <w:rsid w:val="003536A9"/>
    <w:pPr>
      <w:numPr>
        <w:numId w:val="3"/>
      </w:numPr>
    </w:pPr>
  </w:style>
  <w:style w:type="paragraph" w:styleId="Subtitle">
    <w:name w:val="Subtitle"/>
    <w:basedOn w:val="Normal"/>
    <w:link w:val="SubtitleChar"/>
    <w:qFormat/>
    <w:rsid w:val="003536A9"/>
    <w:pPr>
      <w:spacing w:after="60"/>
      <w:outlineLvl w:val="1"/>
    </w:pPr>
    <w:rPr>
      <w:b/>
      <w:sz w:val="32"/>
    </w:rPr>
  </w:style>
  <w:style w:type="paragraph" w:customStyle="1" w:styleId="TableFootnote">
    <w:name w:val="Table Footnote"/>
    <w:basedOn w:val="FigureFootnote"/>
    <w:next w:val="Normal"/>
    <w:semiHidden/>
    <w:rsid w:val="003536A9"/>
    <w:pPr>
      <w:spacing w:before="0" w:after="0"/>
      <w:jc w:val="left"/>
    </w:pPr>
    <w:rPr>
      <w:sz w:val="20"/>
      <w:szCs w:val="24"/>
    </w:rPr>
  </w:style>
  <w:style w:type="paragraph" w:customStyle="1" w:styleId="TableSpace">
    <w:name w:val="Table Space"/>
    <w:basedOn w:val="Figure"/>
    <w:next w:val="Normal"/>
    <w:semiHidden/>
    <w:rsid w:val="003536A9"/>
    <w:pPr>
      <w:spacing w:before="0" w:after="480"/>
      <w:jc w:val="left"/>
    </w:pPr>
    <w:rPr>
      <w:szCs w:val="24"/>
    </w:rPr>
  </w:style>
  <w:style w:type="paragraph" w:customStyle="1" w:styleId="TableTitleCont">
    <w:name w:val="Table Title Cont"/>
    <w:basedOn w:val="TableTitle"/>
    <w:next w:val="TableText"/>
    <w:semiHidden/>
    <w:rsid w:val="003536A9"/>
    <w:pPr>
      <w:spacing w:before="0"/>
    </w:pPr>
    <w:rPr>
      <w:b w:val="0"/>
    </w:rPr>
  </w:style>
  <w:style w:type="paragraph" w:styleId="Title">
    <w:name w:val="Title"/>
    <w:basedOn w:val="Normal"/>
    <w:semiHidden/>
    <w:qFormat/>
    <w:rsid w:val="003536A9"/>
    <w:pPr>
      <w:spacing w:before="240" w:after="60"/>
      <w:outlineLvl w:val="0"/>
    </w:pPr>
    <w:rPr>
      <w:b/>
      <w:kern w:val="28"/>
      <w:sz w:val="40"/>
    </w:rPr>
  </w:style>
  <w:style w:type="paragraph" w:styleId="BalloonText">
    <w:name w:val="Balloon Text"/>
    <w:basedOn w:val="Normal"/>
    <w:semiHidden/>
    <w:rsid w:val="00FD575B"/>
    <w:rPr>
      <w:rFonts w:ascii="Tahoma" w:hAnsi="Tahoma" w:cs="Tahoma"/>
      <w:sz w:val="16"/>
      <w:szCs w:val="16"/>
    </w:rPr>
  </w:style>
  <w:style w:type="character" w:styleId="CommentReference">
    <w:name w:val="annotation reference"/>
    <w:semiHidden/>
    <w:rsid w:val="00C57C07"/>
    <w:rPr>
      <w:sz w:val="16"/>
      <w:szCs w:val="16"/>
    </w:rPr>
  </w:style>
  <w:style w:type="paragraph" w:styleId="CommentText">
    <w:name w:val="annotation text"/>
    <w:basedOn w:val="Normal"/>
    <w:semiHidden/>
    <w:rsid w:val="00C57C07"/>
    <w:rPr>
      <w:sz w:val="20"/>
    </w:rPr>
  </w:style>
  <w:style w:type="paragraph" w:styleId="CommentSubject">
    <w:name w:val="annotation subject"/>
    <w:basedOn w:val="CommentText"/>
    <w:next w:val="CommentText"/>
    <w:semiHidden/>
    <w:rsid w:val="00C57C07"/>
    <w:rPr>
      <w:b/>
      <w:bCs/>
    </w:rPr>
  </w:style>
  <w:style w:type="character" w:styleId="PageNumber">
    <w:name w:val="page number"/>
    <w:basedOn w:val="DefaultParagraphFont"/>
    <w:semiHidden/>
    <w:rsid w:val="001B2FD7"/>
  </w:style>
  <w:style w:type="paragraph" w:customStyle="1" w:styleId="PITITLE">
    <w:name w:val="PI TITLE"/>
    <w:basedOn w:val="Title"/>
    <w:qFormat/>
    <w:rsid w:val="00CF1E2F"/>
  </w:style>
  <w:style w:type="paragraph" w:customStyle="1" w:styleId="PISubtitle">
    <w:name w:val="PI Subtitle"/>
    <w:basedOn w:val="Subtitle"/>
    <w:uiPriority w:val="1"/>
    <w:qFormat/>
    <w:rsid w:val="00CF1E2F"/>
  </w:style>
  <w:style w:type="paragraph" w:customStyle="1" w:styleId="PIHeading1">
    <w:name w:val="PI Heading 1"/>
    <w:basedOn w:val="Heading1"/>
    <w:uiPriority w:val="2"/>
    <w:qFormat/>
    <w:rsid w:val="00CF1E2F"/>
  </w:style>
  <w:style w:type="paragraph" w:customStyle="1" w:styleId="PINormal">
    <w:name w:val="PI Normal"/>
    <w:basedOn w:val="Normal"/>
    <w:uiPriority w:val="6"/>
    <w:qFormat/>
    <w:rsid w:val="00CF1E2F"/>
  </w:style>
  <w:style w:type="paragraph" w:customStyle="1" w:styleId="PIFigure">
    <w:name w:val="PI Figure"/>
    <w:basedOn w:val="Figure"/>
    <w:uiPriority w:val="7"/>
    <w:qFormat/>
    <w:rsid w:val="00CF1E2F"/>
  </w:style>
  <w:style w:type="paragraph" w:customStyle="1" w:styleId="PIHeading2">
    <w:name w:val="PI Heading 2"/>
    <w:basedOn w:val="Heading2"/>
    <w:uiPriority w:val="3"/>
    <w:qFormat/>
    <w:rsid w:val="00BB1F40"/>
  </w:style>
  <w:style w:type="paragraph" w:customStyle="1" w:styleId="PIHeading3">
    <w:name w:val="PI Heading 3"/>
    <w:basedOn w:val="Heading3"/>
    <w:uiPriority w:val="4"/>
    <w:qFormat/>
    <w:rsid w:val="00BB1F40"/>
  </w:style>
  <w:style w:type="paragraph" w:customStyle="1" w:styleId="PIHeading4">
    <w:name w:val="PI Heading 4"/>
    <w:basedOn w:val="Heading4"/>
    <w:uiPriority w:val="5"/>
    <w:qFormat/>
    <w:rsid w:val="00BB1F40"/>
    <w:pPr>
      <w:spacing w:before="120" w:after="120"/>
    </w:pPr>
  </w:style>
  <w:style w:type="paragraph" w:customStyle="1" w:styleId="PIFooter">
    <w:name w:val="PI Footer"/>
    <w:basedOn w:val="Footer"/>
    <w:uiPriority w:val="7"/>
    <w:qFormat/>
    <w:rsid w:val="00056EF5"/>
    <w:pPr>
      <w:tabs>
        <w:tab w:val="clear" w:pos="9923"/>
        <w:tab w:val="right" w:pos="8800"/>
      </w:tabs>
    </w:pPr>
  </w:style>
  <w:style w:type="paragraph" w:customStyle="1" w:styleId="PITableTitle">
    <w:name w:val="PI Table Title"/>
    <w:basedOn w:val="TableTitle"/>
    <w:uiPriority w:val="7"/>
    <w:qFormat/>
    <w:rsid w:val="00056EF5"/>
    <w:pPr>
      <w:keepLines/>
    </w:pPr>
  </w:style>
  <w:style w:type="paragraph" w:customStyle="1" w:styleId="PITableText">
    <w:name w:val="PI Table Text"/>
    <w:basedOn w:val="TableText"/>
    <w:uiPriority w:val="7"/>
    <w:qFormat/>
    <w:rsid w:val="00CC1938"/>
  </w:style>
  <w:style w:type="paragraph" w:customStyle="1" w:styleId="PITableSpace">
    <w:name w:val="PI Table Space"/>
    <w:basedOn w:val="TableSpace"/>
    <w:uiPriority w:val="7"/>
    <w:qFormat/>
    <w:rsid w:val="00CC1938"/>
    <w:pPr>
      <w:spacing w:after="120"/>
    </w:pPr>
  </w:style>
  <w:style w:type="paragraph" w:customStyle="1" w:styleId="PITableFootnote">
    <w:name w:val="PI Table Footnote"/>
    <w:basedOn w:val="TableFootnote"/>
    <w:uiPriority w:val="7"/>
    <w:qFormat/>
    <w:rsid w:val="00CC1938"/>
    <w:pPr>
      <w:spacing w:after="240"/>
    </w:pPr>
  </w:style>
  <w:style w:type="paragraph" w:customStyle="1" w:styleId="HeaderTitle">
    <w:name w:val="Header Title"/>
    <w:basedOn w:val="Normal"/>
    <w:rsid w:val="00F647C5"/>
    <w:pPr>
      <w:spacing w:after="120"/>
      <w:jc w:val="center"/>
    </w:pPr>
    <w:rPr>
      <w:rFonts w:ascii="Arial" w:hAnsi="Arial"/>
      <w:b/>
      <w:szCs w:val="24"/>
      <w:lang w:val="en-US"/>
    </w:rPr>
  </w:style>
  <w:style w:type="paragraph" w:customStyle="1" w:styleId="HeaderSubtitle">
    <w:name w:val="Header Subtitle"/>
    <w:basedOn w:val="Normal"/>
    <w:rsid w:val="00F647C5"/>
    <w:pPr>
      <w:spacing w:before="120" w:after="120"/>
    </w:pPr>
    <w:rPr>
      <w:rFonts w:ascii="Arial" w:hAnsi="Arial"/>
      <w:b/>
      <w:sz w:val="18"/>
      <w:lang w:val="en-US"/>
    </w:rPr>
  </w:style>
  <w:style w:type="paragraph" w:customStyle="1" w:styleId="HeaderText">
    <w:name w:val="Header Text"/>
    <w:basedOn w:val="HeaderSubtitle"/>
    <w:rsid w:val="00F647C5"/>
    <w:rPr>
      <w:b w:val="0"/>
    </w:rPr>
  </w:style>
  <w:style w:type="character" w:customStyle="1" w:styleId="SubtitleChar">
    <w:name w:val="Subtitle Char"/>
    <w:link w:val="Subtitle"/>
    <w:rsid w:val="00FB0B25"/>
    <w:rPr>
      <w:b/>
      <w:sz w:val="32"/>
      <w:lang w:eastAsia="en-US"/>
    </w:rPr>
  </w:style>
  <w:style w:type="character" w:customStyle="1" w:styleId="PITradename">
    <w:name w:val="PI Tradename"/>
    <w:basedOn w:val="SubtitleChar"/>
    <w:rsid w:val="00FB0B25"/>
    <w:rPr>
      <w:b/>
      <w:sz w:val="32"/>
      <w:lang w:eastAsia="en-US"/>
    </w:rPr>
  </w:style>
  <w:style w:type="character" w:customStyle="1" w:styleId="PIRegisteredTrademarkSign">
    <w:name w:val="PI Registered Trademark Sign"/>
    <w:rsid w:val="00FB0B25"/>
    <w:rPr>
      <w:b/>
      <w:sz w:val="32"/>
      <w:vertAlign w:val="superscript"/>
      <w:lang w:eastAsia="en-US"/>
    </w:rPr>
  </w:style>
  <w:style w:type="character" w:customStyle="1" w:styleId="HeaderChar">
    <w:name w:val="Header Char"/>
    <w:link w:val="Header"/>
    <w:uiPriority w:val="99"/>
    <w:rsid w:val="00A97DF2"/>
    <w:rPr>
      <w:sz w:val="24"/>
      <w:lang w:val="en-AU"/>
    </w:rPr>
  </w:style>
  <w:style w:type="paragraph" w:customStyle="1" w:styleId="GTCTitle">
    <w:name w:val="GTC Title"/>
    <w:basedOn w:val="Normal"/>
    <w:rsid w:val="00290A56"/>
    <w:pPr>
      <w:spacing w:before="120" w:after="120"/>
    </w:pPr>
    <w:rPr>
      <w:rFonts w:ascii="Arial" w:hAnsi="Arial" w:cs="Arial"/>
      <w:b/>
      <w:bCs/>
      <w:sz w:val="36"/>
      <w:szCs w:val="36"/>
      <w:lang w:val="en-US"/>
    </w:rPr>
  </w:style>
  <w:style w:type="paragraph" w:customStyle="1" w:styleId="C-TableHeader">
    <w:name w:val="C-Table Header"/>
    <w:next w:val="C-TableText"/>
    <w:link w:val="C-TableHeaderChar"/>
    <w:rsid w:val="00290A56"/>
    <w:pPr>
      <w:keepNext/>
      <w:spacing w:before="60" w:after="60"/>
    </w:pPr>
    <w:rPr>
      <w:b/>
      <w:sz w:val="22"/>
      <w:lang w:val="en-US" w:eastAsia="en-US"/>
    </w:rPr>
  </w:style>
  <w:style w:type="paragraph" w:customStyle="1" w:styleId="C-TableText">
    <w:name w:val="C-Table Text"/>
    <w:link w:val="C-TableTextChar"/>
    <w:rsid w:val="00290A56"/>
    <w:pPr>
      <w:spacing w:before="60" w:after="60"/>
    </w:pPr>
    <w:rPr>
      <w:sz w:val="22"/>
      <w:lang w:val="en-US" w:eastAsia="en-US"/>
    </w:rPr>
  </w:style>
  <w:style w:type="character" w:customStyle="1" w:styleId="C-TableTextChar">
    <w:name w:val="C-Table Text Char"/>
    <w:link w:val="C-TableText"/>
    <w:rsid w:val="00290A56"/>
    <w:rPr>
      <w:sz w:val="22"/>
    </w:rPr>
  </w:style>
  <w:style w:type="character" w:customStyle="1" w:styleId="C-TableHeaderChar">
    <w:name w:val="C-Table Header Char"/>
    <w:link w:val="C-TableHeader"/>
    <w:rsid w:val="00290A56"/>
    <w:rPr>
      <w:b/>
      <w:sz w:val="22"/>
    </w:rPr>
  </w:style>
  <w:style w:type="paragraph" w:styleId="BlockText">
    <w:name w:val="Block Text"/>
    <w:basedOn w:val="Normal"/>
    <w:rsid w:val="00290A56"/>
    <w:pPr>
      <w:widowControl w:val="0"/>
      <w:autoSpaceDE w:val="0"/>
      <w:autoSpaceDN w:val="0"/>
      <w:spacing w:after="120"/>
      <w:ind w:left="1440" w:right="1440"/>
      <w:jc w:val="left"/>
    </w:pPr>
    <w:rPr>
      <w:szCs w:val="24"/>
      <w:lang w:val="en-US"/>
    </w:rPr>
  </w:style>
  <w:style w:type="paragraph" w:customStyle="1" w:styleId="CM33">
    <w:name w:val="CM33"/>
    <w:basedOn w:val="Normal"/>
    <w:next w:val="Normal"/>
    <w:uiPriority w:val="99"/>
    <w:rsid w:val="00A002D8"/>
    <w:pPr>
      <w:autoSpaceDE w:val="0"/>
      <w:autoSpaceDN w:val="0"/>
      <w:adjustRightInd w:val="0"/>
      <w:spacing w:after="250"/>
      <w:jc w:val="left"/>
    </w:pPr>
    <w:rPr>
      <w:rFonts w:ascii="Arial" w:eastAsia="Calibri" w:hAnsi="Arial" w:cs="Arial"/>
      <w:szCs w:val="24"/>
      <w:lang w:val="en-US"/>
    </w:rPr>
  </w:style>
  <w:style w:type="paragraph" w:customStyle="1" w:styleId="CM11">
    <w:name w:val="CM11"/>
    <w:basedOn w:val="Normal"/>
    <w:next w:val="Normal"/>
    <w:uiPriority w:val="99"/>
    <w:rsid w:val="00A002D8"/>
    <w:pPr>
      <w:autoSpaceDE w:val="0"/>
      <w:autoSpaceDN w:val="0"/>
      <w:adjustRightInd w:val="0"/>
      <w:spacing w:after="0" w:line="256" w:lineRule="atLeast"/>
      <w:jc w:val="left"/>
    </w:pPr>
    <w:rPr>
      <w:rFonts w:ascii="Arial" w:eastAsia="Calibri" w:hAnsi="Arial" w:cs="Arial"/>
      <w:szCs w:val="24"/>
      <w:lang w:val="en-US"/>
    </w:rPr>
  </w:style>
  <w:style w:type="paragraph" w:customStyle="1" w:styleId="GTCBodyText">
    <w:name w:val="GTC Body Text"/>
    <w:basedOn w:val="Normal"/>
    <w:rsid w:val="00A002D8"/>
    <w:pPr>
      <w:spacing w:before="240" w:line="300" w:lineRule="auto"/>
    </w:pPr>
    <w:rPr>
      <w:szCs w:val="24"/>
      <w:lang w:val="en-US"/>
    </w:rPr>
  </w:style>
  <w:style w:type="paragraph" w:customStyle="1" w:styleId="C-BodyText">
    <w:name w:val="C-Body Text"/>
    <w:link w:val="C-BodyTextChar"/>
    <w:rsid w:val="00A002D8"/>
    <w:pPr>
      <w:spacing w:before="120" w:after="120" w:line="280" w:lineRule="atLeast"/>
    </w:pPr>
    <w:rPr>
      <w:sz w:val="24"/>
      <w:lang w:val="en-US" w:eastAsia="en-US"/>
    </w:rPr>
  </w:style>
  <w:style w:type="character" w:customStyle="1" w:styleId="C-BodyTextChar">
    <w:name w:val="C-Body Text Char"/>
    <w:link w:val="C-BodyText"/>
    <w:rsid w:val="00A002D8"/>
    <w:rPr>
      <w:sz w:val="24"/>
    </w:rPr>
  </w:style>
  <w:style w:type="character" w:customStyle="1" w:styleId="FooterChar">
    <w:name w:val="Footer Char"/>
    <w:link w:val="Footer"/>
    <w:uiPriority w:val="99"/>
    <w:rsid w:val="00B00C69"/>
    <w:rPr>
      <w:lang w:val="en-AU"/>
    </w:rPr>
  </w:style>
  <w:style w:type="paragraph" w:customStyle="1" w:styleId="atictdelete">
    <w:name w:val="atictdelete"/>
    <w:basedOn w:val="Normal"/>
    <w:rsid w:val="00FF2548"/>
    <w:pPr>
      <w:spacing w:before="100" w:beforeAutospacing="1" w:after="100" w:afterAutospacing="1"/>
      <w:jc w:val="left"/>
    </w:pPr>
    <w:rPr>
      <w:strike/>
      <w:color w:val="FF0000"/>
      <w:szCs w:val="24"/>
      <w:lang w:val="en-US"/>
    </w:rPr>
  </w:style>
  <w:style w:type="paragraph" w:styleId="Revision">
    <w:name w:val="Revision"/>
    <w:hidden/>
    <w:uiPriority w:val="99"/>
    <w:semiHidden/>
    <w:rsid w:val="00727ACB"/>
    <w:rPr>
      <w:sz w:val="24"/>
      <w:lang w:eastAsia="en-US"/>
    </w:rPr>
  </w:style>
  <w:style w:type="character" w:customStyle="1" w:styleId="Heading8Char">
    <w:name w:val="Heading 8 Char"/>
    <w:link w:val="Heading8"/>
    <w:semiHidden/>
    <w:rsid w:val="006C71F9"/>
    <w:rPr>
      <w:rFonts w:ascii="Calibri" w:eastAsia="Times New Roman" w:hAnsi="Calibri" w:cs="Times New Roman"/>
      <w:i/>
      <w:iCs/>
      <w:sz w:val="24"/>
      <w:szCs w:val="24"/>
      <w:lang w:eastAsia="en-US"/>
    </w:rPr>
  </w:style>
  <w:style w:type="paragraph" w:styleId="ListParagraph">
    <w:name w:val="List Paragraph"/>
    <w:basedOn w:val="Normal"/>
    <w:uiPriority w:val="34"/>
    <w:qFormat/>
    <w:rsid w:val="007541BD"/>
    <w:pPr>
      <w:spacing w:after="0"/>
      <w:ind w:left="72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0177">
      <w:bodyDiv w:val="1"/>
      <w:marLeft w:val="0"/>
      <w:marRight w:val="0"/>
      <w:marTop w:val="0"/>
      <w:marBottom w:val="0"/>
      <w:divBdr>
        <w:top w:val="none" w:sz="0" w:space="0" w:color="auto"/>
        <w:left w:val="none" w:sz="0" w:space="0" w:color="auto"/>
        <w:bottom w:val="none" w:sz="0" w:space="0" w:color="auto"/>
        <w:right w:val="none" w:sz="0" w:space="0" w:color="auto"/>
      </w:divBdr>
    </w:div>
    <w:div w:id="84889390">
      <w:bodyDiv w:val="1"/>
      <w:marLeft w:val="0"/>
      <w:marRight w:val="0"/>
      <w:marTop w:val="0"/>
      <w:marBottom w:val="0"/>
      <w:divBdr>
        <w:top w:val="none" w:sz="0" w:space="0" w:color="auto"/>
        <w:left w:val="none" w:sz="0" w:space="0" w:color="auto"/>
        <w:bottom w:val="none" w:sz="0" w:space="0" w:color="auto"/>
        <w:right w:val="none" w:sz="0" w:space="0" w:color="auto"/>
      </w:divBdr>
    </w:div>
    <w:div w:id="97800029">
      <w:bodyDiv w:val="1"/>
      <w:marLeft w:val="0"/>
      <w:marRight w:val="0"/>
      <w:marTop w:val="0"/>
      <w:marBottom w:val="0"/>
      <w:divBdr>
        <w:top w:val="none" w:sz="0" w:space="0" w:color="auto"/>
        <w:left w:val="none" w:sz="0" w:space="0" w:color="auto"/>
        <w:bottom w:val="none" w:sz="0" w:space="0" w:color="auto"/>
        <w:right w:val="none" w:sz="0" w:space="0" w:color="auto"/>
      </w:divBdr>
    </w:div>
    <w:div w:id="111363318">
      <w:bodyDiv w:val="1"/>
      <w:marLeft w:val="0"/>
      <w:marRight w:val="0"/>
      <w:marTop w:val="0"/>
      <w:marBottom w:val="0"/>
      <w:divBdr>
        <w:top w:val="none" w:sz="0" w:space="0" w:color="auto"/>
        <w:left w:val="none" w:sz="0" w:space="0" w:color="auto"/>
        <w:bottom w:val="none" w:sz="0" w:space="0" w:color="auto"/>
        <w:right w:val="none" w:sz="0" w:space="0" w:color="auto"/>
      </w:divBdr>
    </w:div>
    <w:div w:id="237322469">
      <w:bodyDiv w:val="1"/>
      <w:marLeft w:val="0"/>
      <w:marRight w:val="0"/>
      <w:marTop w:val="0"/>
      <w:marBottom w:val="0"/>
      <w:divBdr>
        <w:top w:val="none" w:sz="0" w:space="0" w:color="auto"/>
        <w:left w:val="none" w:sz="0" w:space="0" w:color="auto"/>
        <w:bottom w:val="none" w:sz="0" w:space="0" w:color="auto"/>
        <w:right w:val="none" w:sz="0" w:space="0" w:color="auto"/>
      </w:divBdr>
    </w:div>
    <w:div w:id="312755735">
      <w:bodyDiv w:val="1"/>
      <w:marLeft w:val="0"/>
      <w:marRight w:val="0"/>
      <w:marTop w:val="0"/>
      <w:marBottom w:val="0"/>
      <w:divBdr>
        <w:top w:val="none" w:sz="0" w:space="0" w:color="auto"/>
        <w:left w:val="none" w:sz="0" w:space="0" w:color="auto"/>
        <w:bottom w:val="none" w:sz="0" w:space="0" w:color="auto"/>
        <w:right w:val="none" w:sz="0" w:space="0" w:color="auto"/>
      </w:divBdr>
    </w:div>
    <w:div w:id="386033503">
      <w:bodyDiv w:val="1"/>
      <w:marLeft w:val="0"/>
      <w:marRight w:val="0"/>
      <w:marTop w:val="0"/>
      <w:marBottom w:val="0"/>
      <w:divBdr>
        <w:top w:val="none" w:sz="0" w:space="0" w:color="auto"/>
        <w:left w:val="none" w:sz="0" w:space="0" w:color="auto"/>
        <w:bottom w:val="none" w:sz="0" w:space="0" w:color="auto"/>
        <w:right w:val="none" w:sz="0" w:space="0" w:color="auto"/>
      </w:divBdr>
    </w:div>
    <w:div w:id="423649145">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639304635">
      <w:bodyDiv w:val="1"/>
      <w:marLeft w:val="0"/>
      <w:marRight w:val="0"/>
      <w:marTop w:val="0"/>
      <w:marBottom w:val="0"/>
      <w:divBdr>
        <w:top w:val="none" w:sz="0" w:space="0" w:color="auto"/>
        <w:left w:val="none" w:sz="0" w:space="0" w:color="auto"/>
        <w:bottom w:val="none" w:sz="0" w:space="0" w:color="auto"/>
        <w:right w:val="none" w:sz="0" w:space="0" w:color="auto"/>
      </w:divBdr>
    </w:div>
    <w:div w:id="681971732">
      <w:bodyDiv w:val="1"/>
      <w:marLeft w:val="0"/>
      <w:marRight w:val="0"/>
      <w:marTop w:val="0"/>
      <w:marBottom w:val="0"/>
      <w:divBdr>
        <w:top w:val="none" w:sz="0" w:space="0" w:color="auto"/>
        <w:left w:val="none" w:sz="0" w:space="0" w:color="auto"/>
        <w:bottom w:val="none" w:sz="0" w:space="0" w:color="auto"/>
        <w:right w:val="none" w:sz="0" w:space="0" w:color="auto"/>
      </w:divBdr>
    </w:div>
    <w:div w:id="683823565">
      <w:bodyDiv w:val="1"/>
      <w:marLeft w:val="0"/>
      <w:marRight w:val="0"/>
      <w:marTop w:val="0"/>
      <w:marBottom w:val="0"/>
      <w:divBdr>
        <w:top w:val="none" w:sz="0" w:space="0" w:color="auto"/>
        <w:left w:val="none" w:sz="0" w:space="0" w:color="auto"/>
        <w:bottom w:val="none" w:sz="0" w:space="0" w:color="auto"/>
        <w:right w:val="none" w:sz="0" w:space="0" w:color="auto"/>
      </w:divBdr>
    </w:div>
    <w:div w:id="759326574">
      <w:bodyDiv w:val="1"/>
      <w:marLeft w:val="0"/>
      <w:marRight w:val="0"/>
      <w:marTop w:val="0"/>
      <w:marBottom w:val="0"/>
      <w:divBdr>
        <w:top w:val="none" w:sz="0" w:space="0" w:color="auto"/>
        <w:left w:val="none" w:sz="0" w:space="0" w:color="auto"/>
        <w:bottom w:val="none" w:sz="0" w:space="0" w:color="auto"/>
        <w:right w:val="none" w:sz="0" w:space="0" w:color="auto"/>
      </w:divBdr>
    </w:div>
    <w:div w:id="835153601">
      <w:bodyDiv w:val="1"/>
      <w:marLeft w:val="0"/>
      <w:marRight w:val="0"/>
      <w:marTop w:val="0"/>
      <w:marBottom w:val="0"/>
      <w:divBdr>
        <w:top w:val="none" w:sz="0" w:space="0" w:color="auto"/>
        <w:left w:val="none" w:sz="0" w:space="0" w:color="auto"/>
        <w:bottom w:val="none" w:sz="0" w:space="0" w:color="auto"/>
        <w:right w:val="none" w:sz="0" w:space="0" w:color="auto"/>
      </w:divBdr>
    </w:div>
    <w:div w:id="850878128">
      <w:bodyDiv w:val="1"/>
      <w:marLeft w:val="0"/>
      <w:marRight w:val="0"/>
      <w:marTop w:val="0"/>
      <w:marBottom w:val="0"/>
      <w:divBdr>
        <w:top w:val="none" w:sz="0" w:space="0" w:color="auto"/>
        <w:left w:val="none" w:sz="0" w:space="0" w:color="auto"/>
        <w:bottom w:val="none" w:sz="0" w:space="0" w:color="auto"/>
        <w:right w:val="none" w:sz="0" w:space="0" w:color="auto"/>
      </w:divBdr>
    </w:div>
    <w:div w:id="919757756">
      <w:bodyDiv w:val="1"/>
      <w:marLeft w:val="0"/>
      <w:marRight w:val="0"/>
      <w:marTop w:val="0"/>
      <w:marBottom w:val="0"/>
      <w:divBdr>
        <w:top w:val="none" w:sz="0" w:space="0" w:color="auto"/>
        <w:left w:val="none" w:sz="0" w:space="0" w:color="auto"/>
        <w:bottom w:val="none" w:sz="0" w:space="0" w:color="auto"/>
        <w:right w:val="none" w:sz="0" w:space="0" w:color="auto"/>
      </w:divBdr>
    </w:div>
    <w:div w:id="920020239">
      <w:bodyDiv w:val="1"/>
      <w:marLeft w:val="0"/>
      <w:marRight w:val="0"/>
      <w:marTop w:val="0"/>
      <w:marBottom w:val="0"/>
      <w:divBdr>
        <w:top w:val="none" w:sz="0" w:space="0" w:color="auto"/>
        <w:left w:val="none" w:sz="0" w:space="0" w:color="auto"/>
        <w:bottom w:val="none" w:sz="0" w:space="0" w:color="auto"/>
        <w:right w:val="none" w:sz="0" w:space="0" w:color="auto"/>
      </w:divBdr>
    </w:div>
    <w:div w:id="1049651502">
      <w:bodyDiv w:val="1"/>
      <w:marLeft w:val="0"/>
      <w:marRight w:val="0"/>
      <w:marTop w:val="0"/>
      <w:marBottom w:val="0"/>
      <w:divBdr>
        <w:top w:val="none" w:sz="0" w:space="0" w:color="auto"/>
        <w:left w:val="none" w:sz="0" w:space="0" w:color="auto"/>
        <w:bottom w:val="none" w:sz="0" w:space="0" w:color="auto"/>
        <w:right w:val="none" w:sz="0" w:space="0" w:color="auto"/>
      </w:divBdr>
    </w:div>
    <w:div w:id="1124233845">
      <w:bodyDiv w:val="1"/>
      <w:marLeft w:val="0"/>
      <w:marRight w:val="0"/>
      <w:marTop w:val="0"/>
      <w:marBottom w:val="0"/>
      <w:divBdr>
        <w:top w:val="none" w:sz="0" w:space="0" w:color="auto"/>
        <w:left w:val="none" w:sz="0" w:space="0" w:color="auto"/>
        <w:bottom w:val="none" w:sz="0" w:space="0" w:color="auto"/>
        <w:right w:val="none" w:sz="0" w:space="0" w:color="auto"/>
      </w:divBdr>
    </w:div>
    <w:div w:id="1473329921">
      <w:bodyDiv w:val="1"/>
      <w:marLeft w:val="0"/>
      <w:marRight w:val="0"/>
      <w:marTop w:val="0"/>
      <w:marBottom w:val="0"/>
      <w:divBdr>
        <w:top w:val="none" w:sz="0" w:space="0" w:color="auto"/>
        <w:left w:val="none" w:sz="0" w:space="0" w:color="auto"/>
        <w:bottom w:val="none" w:sz="0" w:space="0" w:color="auto"/>
        <w:right w:val="none" w:sz="0" w:space="0" w:color="auto"/>
      </w:divBdr>
    </w:div>
    <w:div w:id="1579945354">
      <w:bodyDiv w:val="1"/>
      <w:marLeft w:val="0"/>
      <w:marRight w:val="0"/>
      <w:marTop w:val="0"/>
      <w:marBottom w:val="0"/>
      <w:divBdr>
        <w:top w:val="none" w:sz="0" w:space="0" w:color="auto"/>
        <w:left w:val="none" w:sz="0" w:space="0" w:color="auto"/>
        <w:bottom w:val="none" w:sz="0" w:space="0" w:color="auto"/>
        <w:right w:val="none" w:sz="0" w:space="0" w:color="auto"/>
      </w:divBdr>
    </w:div>
    <w:div w:id="1718776031">
      <w:bodyDiv w:val="1"/>
      <w:marLeft w:val="0"/>
      <w:marRight w:val="0"/>
      <w:marTop w:val="0"/>
      <w:marBottom w:val="0"/>
      <w:divBdr>
        <w:top w:val="none" w:sz="0" w:space="0" w:color="auto"/>
        <w:left w:val="none" w:sz="0" w:space="0" w:color="auto"/>
        <w:bottom w:val="none" w:sz="0" w:space="0" w:color="auto"/>
        <w:right w:val="none" w:sz="0" w:space="0" w:color="auto"/>
      </w:divBdr>
    </w:div>
    <w:div w:id="1741751613">
      <w:bodyDiv w:val="1"/>
      <w:marLeft w:val="0"/>
      <w:marRight w:val="0"/>
      <w:marTop w:val="0"/>
      <w:marBottom w:val="0"/>
      <w:divBdr>
        <w:top w:val="none" w:sz="0" w:space="0" w:color="auto"/>
        <w:left w:val="none" w:sz="0" w:space="0" w:color="auto"/>
        <w:bottom w:val="none" w:sz="0" w:space="0" w:color="auto"/>
        <w:right w:val="none" w:sz="0" w:space="0" w:color="auto"/>
      </w:divBdr>
    </w:div>
    <w:div w:id="1750301141">
      <w:bodyDiv w:val="1"/>
      <w:marLeft w:val="0"/>
      <w:marRight w:val="0"/>
      <w:marTop w:val="0"/>
      <w:marBottom w:val="0"/>
      <w:divBdr>
        <w:top w:val="none" w:sz="0" w:space="0" w:color="auto"/>
        <w:left w:val="none" w:sz="0" w:space="0" w:color="auto"/>
        <w:bottom w:val="none" w:sz="0" w:space="0" w:color="auto"/>
        <w:right w:val="none" w:sz="0" w:space="0" w:color="auto"/>
      </w:divBdr>
    </w:div>
    <w:div w:id="1801995549">
      <w:bodyDiv w:val="1"/>
      <w:marLeft w:val="0"/>
      <w:marRight w:val="0"/>
      <w:marTop w:val="0"/>
      <w:marBottom w:val="0"/>
      <w:divBdr>
        <w:top w:val="none" w:sz="0" w:space="0" w:color="auto"/>
        <w:left w:val="none" w:sz="0" w:space="0" w:color="auto"/>
        <w:bottom w:val="none" w:sz="0" w:space="0" w:color="auto"/>
        <w:right w:val="none" w:sz="0" w:space="0" w:color="auto"/>
      </w:divBdr>
    </w:div>
    <w:div w:id="1821799259">
      <w:bodyDiv w:val="1"/>
      <w:marLeft w:val="0"/>
      <w:marRight w:val="0"/>
      <w:marTop w:val="0"/>
      <w:marBottom w:val="0"/>
      <w:divBdr>
        <w:top w:val="none" w:sz="0" w:space="0" w:color="auto"/>
        <w:left w:val="none" w:sz="0" w:space="0" w:color="auto"/>
        <w:bottom w:val="none" w:sz="0" w:space="0" w:color="auto"/>
        <w:right w:val="none" w:sz="0" w:space="0" w:color="auto"/>
      </w:divBdr>
    </w:div>
    <w:div w:id="2018120746">
      <w:bodyDiv w:val="1"/>
      <w:marLeft w:val="0"/>
      <w:marRight w:val="0"/>
      <w:marTop w:val="0"/>
      <w:marBottom w:val="0"/>
      <w:divBdr>
        <w:top w:val="none" w:sz="0" w:space="0" w:color="auto"/>
        <w:left w:val="none" w:sz="0" w:space="0" w:color="auto"/>
        <w:bottom w:val="none" w:sz="0" w:space="0" w:color="auto"/>
        <w:right w:val="none" w:sz="0" w:space="0" w:color="auto"/>
      </w:divBdr>
    </w:div>
    <w:div w:id="2022388008">
      <w:bodyDiv w:val="1"/>
      <w:marLeft w:val="0"/>
      <w:marRight w:val="0"/>
      <w:marTop w:val="0"/>
      <w:marBottom w:val="0"/>
      <w:divBdr>
        <w:top w:val="none" w:sz="0" w:space="0" w:color="auto"/>
        <w:left w:val="none" w:sz="0" w:space="0" w:color="auto"/>
        <w:bottom w:val="none" w:sz="0" w:space="0" w:color="auto"/>
        <w:right w:val="none" w:sz="0" w:space="0" w:color="auto"/>
      </w:divBdr>
    </w:div>
    <w:div w:id="2040542509">
      <w:bodyDiv w:val="1"/>
      <w:marLeft w:val="0"/>
      <w:marRight w:val="0"/>
      <w:marTop w:val="0"/>
      <w:marBottom w:val="0"/>
      <w:divBdr>
        <w:top w:val="none" w:sz="0" w:space="0" w:color="auto"/>
        <w:left w:val="none" w:sz="0" w:space="0" w:color="auto"/>
        <w:bottom w:val="none" w:sz="0" w:space="0" w:color="auto"/>
        <w:right w:val="none" w:sz="0" w:space="0" w:color="auto"/>
      </w:divBdr>
    </w:div>
    <w:div w:id="2061249116">
      <w:bodyDiv w:val="1"/>
      <w:marLeft w:val="0"/>
      <w:marRight w:val="0"/>
      <w:marTop w:val="0"/>
      <w:marBottom w:val="0"/>
      <w:divBdr>
        <w:top w:val="none" w:sz="0" w:space="0" w:color="auto"/>
        <w:left w:val="none" w:sz="0" w:space="0" w:color="auto"/>
        <w:bottom w:val="none" w:sz="0" w:space="0" w:color="auto"/>
        <w:right w:val="none" w:sz="0" w:space="0" w:color="auto"/>
      </w:divBdr>
    </w:div>
    <w:div w:id="2088530049">
      <w:bodyDiv w:val="1"/>
      <w:marLeft w:val="0"/>
      <w:marRight w:val="0"/>
      <w:marTop w:val="0"/>
      <w:marBottom w:val="0"/>
      <w:divBdr>
        <w:top w:val="none" w:sz="0" w:space="0" w:color="auto"/>
        <w:left w:val="none" w:sz="0" w:space="0" w:color="auto"/>
        <w:bottom w:val="none" w:sz="0" w:space="0" w:color="auto"/>
        <w:right w:val="none" w:sz="0" w:space="0" w:color="auto"/>
      </w:divBdr>
    </w:div>
    <w:div w:id="21374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B416D-FD51-4391-87E3-8DDFFDA7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6768</Words>
  <Characters>38609</Characters>
  <Application>Microsoft Office Word</Application>
  <DocSecurity>0</DocSecurity>
  <Lines>1160</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Daclizumab</dc:title>
  <dc:subject>Prescription medicines</dc:subject>
  <dc:creator>Biogen Australia Pty Ltd</dc:creator>
  <cp:keywords>AusPARs</cp:keywords>
  <cp:lastModifiedBy>MORENO, David</cp:lastModifiedBy>
  <cp:revision>4</cp:revision>
  <cp:lastPrinted>2016-09-23T01:47:00Z</cp:lastPrinted>
  <dcterms:created xsi:type="dcterms:W3CDTF">2017-04-19T00:24:00Z</dcterms:created>
  <dcterms:modified xsi:type="dcterms:W3CDTF">2017-05-11T03:49:00Z</dcterms:modified>
</cp:coreProperties>
</file>