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7A" w:rsidRPr="001A30C9" w:rsidRDefault="00BF087A">
      <w:pPr>
        <w:jc w:val="center"/>
        <w:rPr>
          <w:b/>
          <w:bCs/>
          <w:sz w:val="28"/>
          <w:szCs w:val="28"/>
        </w:rPr>
      </w:pPr>
      <w:r w:rsidRPr="001A30C9">
        <w:rPr>
          <w:b/>
          <w:bCs/>
          <w:sz w:val="28"/>
          <w:szCs w:val="28"/>
        </w:rPr>
        <w:t>Product Information</w:t>
      </w:r>
    </w:p>
    <w:p w:rsidR="00BF087A" w:rsidRDefault="00BF087A">
      <w:pPr>
        <w:jc w:val="center"/>
        <w:rPr>
          <w:b/>
          <w:bCs/>
        </w:rPr>
      </w:pPr>
    </w:p>
    <w:p w:rsidR="00BF087A" w:rsidRPr="0075276E" w:rsidRDefault="00BF087A">
      <w:pPr>
        <w:jc w:val="center"/>
        <w:rPr>
          <w:b/>
          <w:bCs/>
          <w:sz w:val="28"/>
        </w:rPr>
      </w:pPr>
      <w:r w:rsidRPr="0075276E">
        <w:rPr>
          <w:b/>
          <w:bCs/>
          <w:sz w:val="28"/>
        </w:rPr>
        <w:t>VALOID</w:t>
      </w:r>
      <w:r w:rsidRPr="0075276E">
        <w:rPr>
          <w:sz w:val="28"/>
          <w:vertAlign w:val="superscript"/>
          <w:lang w:eastAsia="en-GB"/>
        </w:rPr>
        <w:t>TM</w:t>
      </w:r>
      <w:r w:rsidRPr="0075276E">
        <w:rPr>
          <w:b/>
          <w:bCs/>
          <w:sz w:val="28"/>
        </w:rPr>
        <w:t xml:space="preserve"> </w:t>
      </w:r>
    </w:p>
    <w:p w:rsidR="00BF087A" w:rsidRPr="001E5808" w:rsidRDefault="00BF087A">
      <w:pPr>
        <w:rPr>
          <w:b/>
          <w:bCs/>
        </w:rPr>
      </w:pPr>
    </w:p>
    <w:p w:rsidR="00BF087A" w:rsidRPr="001E5808" w:rsidRDefault="00BF087A">
      <w:pPr>
        <w:rPr>
          <w:b/>
          <w:bCs/>
        </w:rPr>
      </w:pPr>
    </w:p>
    <w:p w:rsidR="00BF087A" w:rsidRPr="00471034" w:rsidRDefault="00BF087A" w:rsidP="00DD69B2">
      <w:pPr>
        <w:pStyle w:val="Heading1"/>
        <w:rPr>
          <w:sz w:val="28"/>
          <w:szCs w:val="28"/>
        </w:rPr>
      </w:pPr>
    </w:p>
    <w:p w:rsidR="00B11443" w:rsidRDefault="00B11443" w:rsidP="009D0605">
      <w:pPr>
        <w:pStyle w:val="Heading1"/>
        <w:rPr>
          <w:sz w:val="28"/>
          <w:szCs w:val="28"/>
        </w:rPr>
      </w:pPr>
      <w:r>
        <w:rPr>
          <w:sz w:val="28"/>
          <w:szCs w:val="28"/>
        </w:rPr>
        <w:t>Name of the Medicine</w:t>
      </w:r>
    </w:p>
    <w:p w:rsidR="00B11443" w:rsidRPr="00B11443" w:rsidRDefault="0075276E" w:rsidP="00B11443">
      <w:pPr>
        <w:rPr>
          <w:sz w:val="20"/>
          <w:lang w:eastAsia="en-US"/>
        </w:rPr>
      </w:pPr>
      <w:r>
        <w:rPr>
          <w:lang w:eastAsia="en-US"/>
        </w:rPr>
        <w:t>VALOID</w:t>
      </w:r>
      <w:r w:rsidR="00B11443">
        <w:rPr>
          <w:lang w:eastAsia="en-US"/>
        </w:rPr>
        <w:t xml:space="preserve"> injection contains 50mg c</w:t>
      </w:r>
      <w:r w:rsidR="00B11443" w:rsidRPr="00B11443">
        <w:rPr>
          <w:bCs/>
          <w:iCs/>
          <w:sz w:val="22"/>
          <w:szCs w:val="27"/>
          <w:lang w:eastAsia="zh-CN"/>
        </w:rPr>
        <w:t xml:space="preserve">yclizine lactate </w:t>
      </w:r>
      <w:r w:rsidR="00B11443">
        <w:rPr>
          <w:bCs/>
          <w:iCs/>
          <w:sz w:val="22"/>
          <w:szCs w:val="27"/>
          <w:lang w:eastAsia="zh-CN"/>
        </w:rPr>
        <w:t>and has the following structural formula</w:t>
      </w:r>
    </w:p>
    <w:p w:rsidR="00B11443" w:rsidRPr="00B11443" w:rsidRDefault="00B11443" w:rsidP="00B11443">
      <w:pPr>
        <w:rPr>
          <w:lang w:eastAsia="en-US"/>
        </w:rPr>
      </w:pPr>
    </w:p>
    <w:p w:rsidR="00BF087A" w:rsidRPr="00AC5CD4" w:rsidRDefault="00626CB4" w:rsidP="00471034">
      <w:pPr>
        <w:jc w:val="center"/>
        <w:rPr>
          <w:lang w:eastAsia="en-US"/>
        </w:rPr>
      </w:pPr>
      <w:r>
        <w:rPr>
          <w:noProof/>
        </w:rPr>
        <w:drawing>
          <wp:inline distT="0" distB="0" distL="0" distR="0">
            <wp:extent cx="217170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1495425"/>
                    </a:xfrm>
                    <a:prstGeom prst="rect">
                      <a:avLst/>
                    </a:prstGeom>
                    <a:noFill/>
                    <a:ln>
                      <a:noFill/>
                    </a:ln>
                  </pic:spPr>
                </pic:pic>
              </a:graphicData>
            </a:graphic>
          </wp:inline>
        </w:drawing>
      </w:r>
    </w:p>
    <w:p w:rsidR="00BF087A" w:rsidRPr="00646EB9" w:rsidRDefault="00BF087A" w:rsidP="00471034">
      <w:pPr>
        <w:keepNext/>
        <w:rPr>
          <w:lang w:val="pt-PT"/>
        </w:rPr>
      </w:pPr>
      <w:r w:rsidRPr="00646EB9">
        <w:rPr>
          <w:lang w:val="pt-PT"/>
        </w:rPr>
        <w:t>Molecular formula</w:t>
      </w:r>
      <w:r w:rsidRPr="00646EB9">
        <w:rPr>
          <w:lang w:val="pt-PT"/>
        </w:rPr>
        <w:tab/>
        <w:t>C</w:t>
      </w:r>
      <w:r w:rsidRPr="00646EB9">
        <w:rPr>
          <w:vertAlign w:val="subscript"/>
          <w:lang w:val="pt-PT"/>
        </w:rPr>
        <w:t>18</w:t>
      </w:r>
      <w:r w:rsidRPr="00646EB9">
        <w:rPr>
          <w:lang w:val="pt-PT"/>
        </w:rPr>
        <w:t>H</w:t>
      </w:r>
      <w:r w:rsidRPr="00646EB9">
        <w:rPr>
          <w:vertAlign w:val="subscript"/>
          <w:lang w:val="pt-PT"/>
        </w:rPr>
        <w:t>22</w:t>
      </w:r>
      <w:r w:rsidRPr="00646EB9">
        <w:rPr>
          <w:lang w:val="pt-PT"/>
        </w:rPr>
        <w:t>N</w:t>
      </w:r>
      <w:r w:rsidRPr="00646EB9">
        <w:rPr>
          <w:vertAlign w:val="subscript"/>
          <w:lang w:val="pt-PT"/>
        </w:rPr>
        <w:t>2</w:t>
      </w:r>
      <w:r w:rsidRPr="00646EB9">
        <w:rPr>
          <w:lang w:val="pt-PT"/>
        </w:rPr>
        <w:t xml:space="preserve"> </w:t>
      </w:r>
    </w:p>
    <w:p w:rsidR="00BF087A" w:rsidRPr="00646EB9" w:rsidRDefault="00BF087A" w:rsidP="00471034">
      <w:pPr>
        <w:keepNext/>
        <w:rPr>
          <w:lang w:val="pt-PT"/>
        </w:rPr>
      </w:pPr>
      <w:r w:rsidRPr="00646EB9">
        <w:rPr>
          <w:lang w:val="pt-PT"/>
        </w:rPr>
        <w:t>Molecular weight</w:t>
      </w:r>
      <w:r w:rsidRPr="00646EB9">
        <w:rPr>
          <w:lang w:val="pt-PT"/>
        </w:rPr>
        <w:tab/>
      </w:r>
      <w:r w:rsidRPr="00646EB9">
        <w:rPr>
          <w:lang w:val="pt-PT"/>
        </w:rPr>
        <w:tab/>
        <w:t>266</w:t>
      </w:r>
    </w:p>
    <w:p w:rsidR="00BF087A" w:rsidRPr="00AC5CD4" w:rsidRDefault="00BF087A" w:rsidP="00471034">
      <w:pPr>
        <w:keepNext/>
      </w:pPr>
      <w:r w:rsidRPr="00AC5CD4">
        <w:t>CAS no.</w:t>
      </w:r>
      <w:r w:rsidRPr="00AC5CD4">
        <w:tab/>
      </w:r>
      <w:r w:rsidRPr="00AC5CD4">
        <w:tab/>
      </w:r>
      <w:r w:rsidRPr="00AC5CD4">
        <w:tab/>
        <w:t>82-92-8</w:t>
      </w:r>
    </w:p>
    <w:p w:rsidR="00B11443" w:rsidRDefault="00B11443" w:rsidP="00B11443">
      <w:pPr>
        <w:pStyle w:val="Heading1"/>
        <w:rPr>
          <w:sz w:val="28"/>
          <w:szCs w:val="28"/>
        </w:rPr>
      </w:pPr>
    </w:p>
    <w:p w:rsidR="00B11443" w:rsidRPr="00B11443" w:rsidRDefault="00B11443" w:rsidP="00B11443">
      <w:pPr>
        <w:rPr>
          <w:lang w:eastAsia="en-US"/>
        </w:rPr>
      </w:pPr>
    </w:p>
    <w:p w:rsidR="00B11443" w:rsidRPr="00471034" w:rsidRDefault="00791165" w:rsidP="00B11443">
      <w:pPr>
        <w:pStyle w:val="Heading1"/>
        <w:rPr>
          <w:sz w:val="28"/>
          <w:szCs w:val="28"/>
        </w:rPr>
      </w:pPr>
      <w:r>
        <w:rPr>
          <w:sz w:val="28"/>
          <w:szCs w:val="28"/>
        </w:rPr>
        <w:t>D</w:t>
      </w:r>
      <w:r w:rsidR="00B11443" w:rsidRPr="00471034">
        <w:rPr>
          <w:sz w:val="28"/>
          <w:szCs w:val="28"/>
        </w:rPr>
        <w:t>escription</w:t>
      </w:r>
    </w:p>
    <w:p w:rsidR="00BF087A" w:rsidRDefault="00BF087A" w:rsidP="00D03D7D">
      <w:pPr>
        <w:pStyle w:val="NormalWeb"/>
      </w:pPr>
      <w:r w:rsidRPr="00AC5CD4">
        <w:t>Cyclizine is a piperazine-derivative antihistamine used as an anti-emetic agent when given as cyclizine lactate solution by intravenous injection.   Cyclizine is a water soluble, bitter, white crystalline, solid</w:t>
      </w:r>
      <w:r w:rsidR="0023452D">
        <w:t>,</w:t>
      </w:r>
      <w:r w:rsidRPr="00AC5CD4">
        <w:t xml:space="preserve"> with </w:t>
      </w:r>
      <w:r w:rsidR="0023452D">
        <w:t>pKa1 = 2.16 and pKa 2 = 8.05.  </w:t>
      </w:r>
      <w:r w:rsidRPr="00AC5CD4">
        <w:t xml:space="preserve"> VALOID injection is a clear, colourless solution for injection </w:t>
      </w:r>
      <w:r w:rsidR="00782807">
        <w:t xml:space="preserve">with a pH of 3.3 to 3.7 </w:t>
      </w:r>
      <w:r w:rsidR="0023452D">
        <w:t xml:space="preserve">which </w:t>
      </w:r>
      <w:r w:rsidRPr="00AC5CD4">
        <w:t>contain</w:t>
      </w:r>
      <w:r w:rsidR="0023452D">
        <w:t xml:space="preserve">s </w:t>
      </w:r>
      <w:r w:rsidRPr="00AC5CD4">
        <w:t>cyclizine, lactic acid and water for injection.   Each 1 mL ampoule contains 50 mg cyclizine lactate.</w:t>
      </w:r>
    </w:p>
    <w:p w:rsidR="004C24EA" w:rsidRDefault="004C24EA" w:rsidP="009D0605">
      <w:pPr>
        <w:pStyle w:val="Heading1"/>
        <w:rPr>
          <w:sz w:val="28"/>
          <w:szCs w:val="28"/>
        </w:rPr>
      </w:pPr>
    </w:p>
    <w:p w:rsidR="00BF087A" w:rsidRPr="00AC5CD4" w:rsidRDefault="00BF087A" w:rsidP="009D0605">
      <w:pPr>
        <w:pStyle w:val="Heading1"/>
      </w:pPr>
      <w:r w:rsidRPr="00471034">
        <w:rPr>
          <w:sz w:val="28"/>
          <w:szCs w:val="28"/>
        </w:rPr>
        <w:t>Pharmacology</w:t>
      </w:r>
    </w:p>
    <w:p w:rsidR="00BF087A" w:rsidRPr="0073599C" w:rsidRDefault="00BF087A" w:rsidP="009D0605">
      <w:pPr>
        <w:pStyle w:val="Heading2"/>
        <w:rPr>
          <w:rFonts w:ascii="Times New Roman" w:hAnsi="Times New Roman" w:cs="Times New Roman"/>
          <w:sz w:val="24"/>
          <w:szCs w:val="24"/>
        </w:rPr>
      </w:pPr>
      <w:r w:rsidRPr="0073599C">
        <w:rPr>
          <w:rFonts w:ascii="Times New Roman" w:hAnsi="Times New Roman" w:cs="Times New Roman"/>
          <w:sz w:val="22"/>
          <w:szCs w:val="22"/>
        </w:rPr>
        <w:t>Pharmacokinetics</w:t>
      </w:r>
      <w:r w:rsidRPr="0073599C">
        <w:rPr>
          <w:rFonts w:ascii="Times New Roman" w:hAnsi="Times New Roman" w:cs="Times New Roman"/>
          <w:sz w:val="24"/>
          <w:szCs w:val="24"/>
        </w:rPr>
        <w:t>:</w:t>
      </w:r>
    </w:p>
    <w:p w:rsidR="00BF087A" w:rsidRDefault="00BF087A" w:rsidP="009D0605">
      <w:pPr>
        <w:pStyle w:val="NormalWeb"/>
      </w:pPr>
      <w:r w:rsidRPr="00AC5CD4">
        <w:t xml:space="preserve">In healthy adult volunteers </w:t>
      </w:r>
      <w:r w:rsidR="00A65007">
        <w:t>the following data were obtained from 6 subjects given a si</w:t>
      </w:r>
      <w:r w:rsidR="003D58DE">
        <w:t xml:space="preserve">ngle bolus intravenous </w:t>
      </w:r>
      <w:r w:rsidR="009472D2">
        <w:t xml:space="preserve">25mg </w:t>
      </w:r>
      <w:r w:rsidR="003D58DE">
        <w:t>dose</w:t>
      </w:r>
      <w:r w:rsidR="009472D2">
        <w:t xml:space="preserve"> of cyclizine lactate</w:t>
      </w:r>
      <w:r w:rsidR="003D58DE">
        <w:t>.</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tblPr>
      <w:tblGrid>
        <w:gridCol w:w="920"/>
        <w:gridCol w:w="1011"/>
        <w:gridCol w:w="909"/>
        <w:gridCol w:w="917"/>
        <w:gridCol w:w="910"/>
        <w:gridCol w:w="910"/>
        <w:gridCol w:w="910"/>
        <w:gridCol w:w="916"/>
        <w:gridCol w:w="931"/>
        <w:gridCol w:w="908"/>
      </w:tblGrid>
      <w:tr w:rsidR="00C23D35" w:rsidRPr="00C23D35" w:rsidTr="00E56A28">
        <w:tc>
          <w:tcPr>
            <w:tcW w:w="924" w:type="dxa"/>
          </w:tcPr>
          <w:p w:rsidR="00A65007" w:rsidRPr="00C23D35" w:rsidRDefault="00A65007" w:rsidP="009D0605">
            <w:pPr>
              <w:pStyle w:val="NormalWeb"/>
              <w:rPr>
                <w:sz w:val="22"/>
                <w:szCs w:val="22"/>
              </w:rPr>
            </w:pPr>
            <w:r w:rsidRPr="00C23D35">
              <w:rPr>
                <w:sz w:val="22"/>
                <w:szCs w:val="22"/>
              </w:rPr>
              <w:t>Subject</w:t>
            </w:r>
          </w:p>
        </w:tc>
        <w:tc>
          <w:tcPr>
            <w:tcW w:w="924" w:type="dxa"/>
          </w:tcPr>
          <w:p w:rsidR="00A65007" w:rsidRPr="00C23D35" w:rsidRDefault="00A65007" w:rsidP="009D0605">
            <w:pPr>
              <w:pStyle w:val="NormalWeb"/>
              <w:rPr>
                <w:rStyle w:val="def"/>
                <w:sz w:val="22"/>
                <w:szCs w:val="22"/>
                <w:vertAlign w:val="subscript"/>
              </w:rPr>
            </w:pPr>
            <w:r w:rsidRPr="00C23D35">
              <w:rPr>
                <w:rStyle w:val="def"/>
                <w:sz w:val="22"/>
                <w:szCs w:val="22"/>
              </w:rPr>
              <w:t>AUC</w:t>
            </w:r>
            <w:r w:rsidRPr="00C23D35">
              <w:rPr>
                <w:rStyle w:val="def"/>
                <w:sz w:val="22"/>
                <w:szCs w:val="22"/>
                <w:vertAlign w:val="subscript"/>
              </w:rPr>
              <w:t>0–∞</w:t>
            </w:r>
          </w:p>
          <w:p w:rsidR="00FC1AC5" w:rsidRPr="00C23D35" w:rsidRDefault="00FC1AC5" w:rsidP="009D0605">
            <w:pPr>
              <w:pStyle w:val="NormalWeb"/>
              <w:rPr>
                <w:sz w:val="22"/>
                <w:szCs w:val="22"/>
              </w:rPr>
            </w:pPr>
            <w:r w:rsidRPr="00C23D35">
              <w:rPr>
                <w:rStyle w:val="def"/>
                <w:sz w:val="22"/>
                <w:szCs w:val="22"/>
              </w:rPr>
              <w:t>mcg/L*h</w:t>
            </w:r>
          </w:p>
        </w:tc>
        <w:tc>
          <w:tcPr>
            <w:tcW w:w="924" w:type="dxa"/>
          </w:tcPr>
          <w:p w:rsidR="00FC1AC5" w:rsidRPr="00C23D35" w:rsidRDefault="00FC1AC5" w:rsidP="009D0605">
            <w:pPr>
              <w:pStyle w:val="NormalWeb"/>
              <w:rPr>
                <w:sz w:val="22"/>
                <w:szCs w:val="22"/>
              </w:rPr>
            </w:pPr>
            <w:r w:rsidRPr="00C23D35">
              <w:rPr>
                <w:sz w:val="22"/>
                <w:szCs w:val="22"/>
              </w:rPr>
              <w:t xml:space="preserve">MRT </w:t>
            </w:r>
          </w:p>
          <w:p w:rsidR="00A65007" w:rsidRPr="00C23D35" w:rsidRDefault="00FC1AC5" w:rsidP="009D0605">
            <w:pPr>
              <w:pStyle w:val="NormalWeb"/>
              <w:rPr>
                <w:sz w:val="22"/>
                <w:szCs w:val="22"/>
              </w:rPr>
            </w:pPr>
            <w:r w:rsidRPr="00C23D35">
              <w:rPr>
                <w:sz w:val="22"/>
                <w:szCs w:val="22"/>
              </w:rPr>
              <w:t>h</w:t>
            </w:r>
          </w:p>
        </w:tc>
        <w:tc>
          <w:tcPr>
            <w:tcW w:w="924" w:type="dxa"/>
          </w:tcPr>
          <w:p w:rsidR="00A65007" w:rsidRPr="00C23D35" w:rsidRDefault="00C23D35" w:rsidP="009D0605">
            <w:pPr>
              <w:pStyle w:val="NormalWeb"/>
              <w:rPr>
                <w:sz w:val="22"/>
                <w:szCs w:val="22"/>
              </w:rPr>
            </w:pPr>
            <w:r w:rsidRPr="00C23D35">
              <w:rPr>
                <w:sz w:val="22"/>
                <w:szCs w:val="22"/>
              </w:rPr>
              <w:t>λ</w:t>
            </w:r>
            <w:r w:rsidR="00FC1AC5" w:rsidRPr="00C23D35">
              <w:rPr>
                <w:sz w:val="22"/>
                <w:szCs w:val="22"/>
                <w:vertAlign w:val="subscript"/>
              </w:rPr>
              <w:t>2</w:t>
            </w:r>
          </w:p>
          <w:p w:rsidR="00FC1AC5" w:rsidRPr="00C23D35" w:rsidRDefault="00FC1AC5" w:rsidP="009D0605">
            <w:pPr>
              <w:pStyle w:val="NormalWeb"/>
              <w:rPr>
                <w:sz w:val="22"/>
                <w:szCs w:val="22"/>
              </w:rPr>
            </w:pPr>
            <w:r w:rsidRPr="00C23D35">
              <w:rPr>
                <w:sz w:val="22"/>
                <w:szCs w:val="22"/>
              </w:rPr>
              <w:t>h</w:t>
            </w:r>
            <w:r w:rsidRPr="00C23D35">
              <w:rPr>
                <w:sz w:val="22"/>
                <w:szCs w:val="22"/>
                <w:vertAlign w:val="superscript"/>
              </w:rPr>
              <w:t>-1</w:t>
            </w:r>
          </w:p>
        </w:tc>
        <w:tc>
          <w:tcPr>
            <w:tcW w:w="924" w:type="dxa"/>
          </w:tcPr>
          <w:p w:rsidR="00A65007" w:rsidRPr="00C23D35" w:rsidRDefault="00052BDB" w:rsidP="009D0605">
            <w:pPr>
              <w:pStyle w:val="NormalWeb"/>
              <w:rPr>
                <w:sz w:val="22"/>
                <w:szCs w:val="22"/>
              </w:rPr>
            </w:pPr>
            <w:r>
              <w:rPr>
                <w:sz w:val="22"/>
                <w:szCs w:val="22"/>
              </w:rPr>
              <w:t>t</w:t>
            </w:r>
            <w:r w:rsidR="00FC1AC5" w:rsidRPr="00C23D35">
              <w:rPr>
                <w:sz w:val="22"/>
                <w:szCs w:val="22"/>
                <w:vertAlign w:val="subscript"/>
              </w:rPr>
              <w:t>1/2</w:t>
            </w:r>
          </w:p>
          <w:p w:rsidR="00FC1AC5" w:rsidRPr="00C23D35" w:rsidRDefault="00FC1AC5" w:rsidP="009D0605">
            <w:pPr>
              <w:pStyle w:val="NormalWeb"/>
              <w:rPr>
                <w:sz w:val="22"/>
                <w:szCs w:val="22"/>
              </w:rPr>
            </w:pPr>
            <w:r w:rsidRPr="00C23D35">
              <w:rPr>
                <w:sz w:val="22"/>
                <w:szCs w:val="22"/>
              </w:rPr>
              <w:t>h</w:t>
            </w:r>
          </w:p>
        </w:tc>
        <w:tc>
          <w:tcPr>
            <w:tcW w:w="924" w:type="dxa"/>
          </w:tcPr>
          <w:p w:rsidR="00C23D35" w:rsidRPr="00C23D35" w:rsidRDefault="00052BDB" w:rsidP="00C23D35">
            <w:pPr>
              <w:pStyle w:val="NormalWeb"/>
              <w:rPr>
                <w:sz w:val="22"/>
                <w:szCs w:val="22"/>
                <w:vertAlign w:val="subscript"/>
              </w:rPr>
            </w:pPr>
            <w:r>
              <w:rPr>
                <w:sz w:val="22"/>
                <w:szCs w:val="22"/>
              </w:rPr>
              <w:t>V</w:t>
            </w:r>
            <w:r w:rsidR="00C23D35" w:rsidRPr="00C23D35">
              <w:rPr>
                <w:sz w:val="22"/>
                <w:szCs w:val="22"/>
                <w:vertAlign w:val="subscript"/>
              </w:rPr>
              <w:t>ss</w:t>
            </w:r>
          </w:p>
          <w:p w:rsidR="00A65007" w:rsidRPr="00C23D35" w:rsidRDefault="00C23D35" w:rsidP="00C23D35">
            <w:pPr>
              <w:pStyle w:val="NormalWeb"/>
              <w:rPr>
                <w:sz w:val="22"/>
                <w:szCs w:val="22"/>
              </w:rPr>
            </w:pPr>
            <w:r w:rsidRPr="00C23D35">
              <w:rPr>
                <w:sz w:val="22"/>
                <w:szCs w:val="22"/>
              </w:rPr>
              <w:t>L/kg</w:t>
            </w:r>
          </w:p>
        </w:tc>
        <w:tc>
          <w:tcPr>
            <w:tcW w:w="924" w:type="dxa"/>
          </w:tcPr>
          <w:p w:rsidR="00FC1AC5" w:rsidRDefault="00C23D35" w:rsidP="009D0605">
            <w:pPr>
              <w:pStyle w:val="NormalWeb"/>
              <w:rPr>
                <w:sz w:val="22"/>
                <w:szCs w:val="22"/>
              </w:rPr>
            </w:pPr>
            <w:r>
              <w:rPr>
                <w:sz w:val="22"/>
                <w:szCs w:val="22"/>
              </w:rPr>
              <w:t>V</w:t>
            </w:r>
            <w:r w:rsidRPr="00C23D35">
              <w:rPr>
                <w:sz w:val="22"/>
                <w:szCs w:val="22"/>
                <w:vertAlign w:val="subscript"/>
              </w:rPr>
              <w:t>z</w:t>
            </w:r>
          </w:p>
          <w:p w:rsidR="00C23D35" w:rsidRPr="00C23D35" w:rsidRDefault="00C23D35" w:rsidP="009D0605">
            <w:pPr>
              <w:pStyle w:val="NormalWeb"/>
              <w:rPr>
                <w:sz w:val="22"/>
                <w:szCs w:val="22"/>
              </w:rPr>
            </w:pPr>
            <w:r>
              <w:rPr>
                <w:sz w:val="22"/>
                <w:szCs w:val="22"/>
              </w:rPr>
              <w:t>L/kg</w:t>
            </w:r>
          </w:p>
        </w:tc>
        <w:tc>
          <w:tcPr>
            <w:tcW w:w="924" w:type="dxa"/>
          </w:tcPr>
          <w:p w:rsidR="00A65007" w:rsidRPr="00C23D35" w:rsidRDefault="00FC1AC5" w:rsidP="009D0605">
            <w:pPr>
              <w:pStyle w:val="NormalWeb"/>
              <w:rPr>
                <w:sz w:val="22"/>
                <w:szCs w:val="22"/>
              </w:rPr>
            </w:pPr>
            <w:r w:rsidRPr="00C23D35">
              <w:rPr>
                <w:sz w:val="22"/>
                <w:szCs w:val="22"/>
              </w:rPr>
              <w:t>C</w:t>
            </w:r>
            <w:r w:rsidR="0023452D">
              <w:rPr>
                <w:sz w:val="22"/>
                <w:szCs w:val="22"/>
              </w:rPr>
              <w:t>l</w:t>
            </w:r>
            <w:r w:rsidR="00C23D35">
              <w:rPr>
                <w:sz w:val="22"/>
                <w:szCs w:val="22"/>
                <w:vertAlign w:val="subscript"/>
              </w:rPr>
              <w:t>TOT</w:t>
            </w:r>
          </w:p>
          <w:p w:rsidR="00FC1AC5" w:rsidRPr="00C23D35" w:rsidRDefault="00FC1AC5" w:rsidP="009D0605">
            <w:pPr>
              <w:pStyle w:val="NormalWeb"/>
              <w:rPr>
                <w:sz w:val="22"/>
                <w:szCs w:val="22"/>
              </w:rPr>
            </w:pPr>
            <w:r w:rsidRPr="00C23D35">
              <w:rPr>
                <w:sz w:val="22"/>
                <w:szCs w:val="22"/>
              </w:rPr>
              <w:t>L/h/kg</w:t>
            </w:r>
          </w:p>
        </w:tc>
        <w:tc>
          <w:tcPr>
            <w:tcW w:w="925" w:type="dxa"/>
          </w:tcPr>
          <w:p w:rsidR="00FC1AC5" w:rsidRPr="00C23D35" w:rsidRDefault="00FC1AC5" w:rsidP="009D0605">
            <w:pPr>
              <w:pStyle w:val="NormalWeb"/>
              <w:rPr>
                <w:sz w:val="22"/>
                <w:szCs w:val="22"/>
              </w:rPr>
            </w:pPr>
            <w:r w:rsidRPr="00C23D35">
              <w:rPr>
                <w:sz w:val="22"/>
                <w:szCs w:val="22"/>
              </w:rPr>
              <w:t>Cl</w:t>
            </w:r>
            <w:r w:rsidRPr="00C23D35">
              <w:rPr>
                <w:sz w:val="22"/>
                <w:szCs w:val="22"/>
                <w:vertAlign w:val="subscript"/>
              </w:rPr>
              <w:t>g</w:t>
            </w:r>
          </w:p>
        </w:tc>
        <w:tc>
          <w:tcPr>
            <w:tcW w:w="925" w:type="dxa"/>
          </w:tcPr>
          <w:p w:rsidR="00A65007" w:rsidRPr="00C23D35" w:rsidRDefault="00C23D35" w:rsidP="009D0605">
            <w:pPr>
              <w:pStyle w:val="NormalWeb"/>
              <w:rPr>
                <w:sz w:val="22"/>
                <w:szCs w:val="22"/>
              </w:rPr>
            </w:pPr>
            <w:r w:rsidRPr="00C23D35">
              <w:rPr>
                <w:sz w:val="22"/>
                <w:szCs w:val="22"/>
              </w:rPr>
              <w:t>% dose in urine</w:t>
            </w:r>
          </w:p>
        </w:tc>
      </w:tr>
      <w:tr w:rsidR="00C23D35" w:rsidRPr="00C23D35" w:rsidTr="00E56A28">
        <w:tc>
          <w:tcPr>
            <w:tcW w:w="924" w:type="dxa"/>
          </w:tcPr>
          <w:p w:rsidR="00A65007" w:rsidRPr="00C23D35" w:rsidRDefault="00C23D35" w:rsidP="009D0605">
            <w:pPr>
              <w:pStyle w:val="NormalWeb"/>
              <w:rPr>
                <w:sz w:val="22"/>
                <w:szCs w:val="22"/>
              </w:rPr>
            </w:pPr>
            <w:r>
              <w:rPr>
                <w:sz w:val="22"/>
                <w:szCs w:val="22"/>
              </w:rPr>
              <w:t>Mean</w:t>
            </w:r>
          </w:p>
        </w:tc>
        <w:tc>
          <w:tcPr>
            <w:tcW w:w="924" w:type="dxa"/>
          </w:tcPr>
          <w:p w:rsidR="00A65007" w:rsidRPr="00C23D35" w:rsidRDefault="00C23D35" w:rsidP="009D0605">
            <w:pPr>
              <w:pStyle w:val="NormalWeb"/>
              <w:rPr>
                <w:sz w:val="22"/>
                <w:szCs w:val="22"/>
              </w:rPr>
            </w:pPr>
            <w:r>
              <w:rPr>
                <w:sz w:val="22"/>
                <w:szCs w:val="22"/>
              </w:rPr>
              <w:t>273.53</w:t>
            </w:r>
          </w:p>
        </w:tc>
        <w:tc>
          <w:tcPr>
            <w:tcW w:w="924" w:type="dxa"/>
          </w:tcPr>
          <w:p w:rsidR="00A65007" w:rsidRPr="00C23D35" w:rsidRDefault="00C23D35" w:rsidP="009D0605">
            <w:pPr>
              <w:pStyle w:val="NormalWeb"/>
              <w:rPr>
                <w:sz w:val="22"/>
                <w:szCs w:val="22"/>
              </w:rPr>
            </w:pPr>
            <w:r>
              <w:rPr>
                <w:sz w:val="22"/>
                <w:szCs w:val="22"/>
              </w:rPr>
              <w:t>15.46</w:t>
            </w:r>
          </w:p>
        </w:tc>
        <w:tc>
          <w:tcPr>
            <w:tcW w:w="924" w:type="dxa"/>
          </w:tcPr>
          <w:p w:rsidR="00A65007" w:rsidRPr="00C23D35" w:rsidRDefault="00C23D35" w:rsidP="009D0605">
            <w:pPr>
              <w:pStyle w:val="NormalWeb"/>
              <w:rPr>
                <w:sz w:val="22"/>
                <w:szCs w:val="22"/>
              </w:rPr>
            </w:pPr>
            <w:r>
              <w:rPr>
                <w:sz w:val="22"/>
                <w:szCs w:val="22"/>
              </w:rPr>
              <w:t>0.0537</w:t>
            </w:r>
          </w:p>
        </w:tc>
        <w:tc>
          <w:tcPr>
            <w:tcW w:w="924" w:type="dxa"/>
          </w:tcPr>
          <w:p w:rsidR="00A65007" w:rsidRPr="00C23D35" w:rsidRDefault="00C23D35" w:rsidP="009D0605">
            <w:pPr>
              <w:pStyle w:val="NormalWeb"/>
              <w:rPr>
                <w:sz w:val="22"/>
                <w:szCs w:val="22"/>
              </w:rPr>
            </w:pPr>
            <w:r>
              <w:rPr>
                <w:sz w:val="22"/>
                <w:szCs w:val="22"/>
              </w:rPr>
              <w:t>13.53</w:t>
            </w:r>
          </w:p>
        </w:tc>
        <w:tc>
          <w:tcPr>
            <w:tcW w:w="924" w:type="dxa"/>
          </w:tcPr>
          <w:p w:rsidR="00A65007" w:rsidRPr="00C23D35" w:rsidRDefault="00C23D35" w:rsidP="009D0605">
            <w:pPr>
              <w:pStyle w:val="NormalWeb"/>
              <w:rPr>
                <w:sz w:val="22"/>
                <w:szCs w:val="22"/>
              </w:rPr>
            </w:pPr>
            <w:r>
              <w:rPr>
                <w:sz w:val="22"/>
                <w:szCs w:val="22"/>
              </w:rPr>
              <w:t>13.43</w:t>
            </w:r>
          </w:p>
        </w:tc>
        <w:tc>
          <w:tcPr>
            <w:tcW w:w="924" w:type="dxa"/>
          </w:tcPr>
          <w:p w:rsidR="00A65007" w:rsidRPr="00C23D35" w:rsidRDefault="00C23D35" w:rsidP="009D0605">
            <w:pPr>
              <w:pStyle w:val="NormalWeb"/>
              <w:rPr>
                <w:sz w:val="22"/>
                <w:szCs w:val="22"/>
              </w:rPr>
            </w:pPr>
            <w:r>
              <w:rPr>
                <w:sz w:val="22"/>
                <w:szCs w:val="22"/>
              </w:rPr>
              <w:t>16.50</w:t>
            </w:r>
          </w:p>
        </w:tc>
        <w:tc>
          <w:tcPr>
            <w:tcW w:w="924" w:type="dxa"/>
          </w:tcPr>
          <w:p w:rsidR="00A65007" w:rsidRPr="00C23D35" w:rsidRDefault="00C23D35" w:rsidP="009D0605">
            <w:pPr>
              <w:pStyle w:val="NormalWeb"/>
              <w:rPr>
                <w:sz w:val="22"/>
                <w:szCs w:val="22"/>
              </w:rPr>
            </w:pPr>
            <w:r>
              <w:rPr>
                <w:sz w:val="22"/>
                <w:szCs w:val="22"/>
              </w:rPr>
              <w:t>0.870</w:t>
            </w:r>
          </w:p>
        </w:tc>
        <w:tc>
          <w:tcPr>
            <w:tcW w:w="925" w:type="dxa"/>
          </w:tcPr>
          <w:p w:rsidR="00A65007" w:rsidRPr="00C23D35" w:rsidRDefault="00C23D35" w:rsidP="009D0605">
            <w:pPr>
              <w:pStyle w:val="NormalWeb"/>
              <w:rPr>
                <w:sz w:val="22"/>
                <w:szCs w:val="22"/>
              </w:rPr>
            </w:pPr>
            <w:r>
              <w:rPr>
                <w:sz w:val="22"/>
                <w:szCs w:val="22"/>
              </w:rPr>
              <w:t>0.00418</w:t>
            </w:r>
          </w:p>
        </w:tc>
        <w:tc>
          <w:tcPr>
            <w:tcW w:w="925" w:type="dxa"/>
          </w:tcPr>
          <w:p w:rsidR="00A65007" w:rsidRPr="00C23D35" w:rsidRDefault="00C23D35" w:rsidP="009D0605">
            <w:pPr>
              <w:pStyle w:val="NormalWeb"/>
              <w:rPr>
                <w:sz w:val="22"/>
                <w:szCs w:val="22"/>
              </w:rPr>
            </w:pPr>
            <w:r>
              <w:rPr>
                <w:sz w:val="22"/>
                <w:szCs w:val="22"/>
              </w:rPr>
              <w:t>0.55</w:t>
            </w:r>
          </w:p>
        </w:tc>
      </w:tr>
      <w:tr w:rsidR="00C23D35" w:rsidRPr="00C23D35" w:rsidTr="00E56A28">
        <w:tc>
          <w:tcPr>
            <w:tcW w:w="924" w:type="dxa"/>
          </w:tcPr>
          <w:p w:rsidR="00A65007" w:rsidRPr="00C23D35" w:rsidRDefault="00C23D35" w:rsidP="009D0605">
            <w:pPr>
              <w:pStyle w:val="NormalWeb"/>
              <w:rPr>
                <w:sz w:val="22"/>
                <w:szCs w:val="22"/>
              </w:rPr>
            </w:pPr>
            <w:r>
              <w:rPr>
                <w:sz w:val="22"/>
                <w:szCs w:val="22"/>
              </w:rPr>
              <w:t>SD</w:t>
            </w:r>
          </w:p>
        </w:tc>
        <w:tc>
          <w:tcPr>
            <w:tcW w:w="924" w:type="dxa"/>
          </w:tcPr>
          <w:p w:rsidR="00A65007" w:rsidRPr="00C23D35" w:rsidRDefault="00C23D35" w:rsidP="009D0605">
            <w:pPr>
              <w:pStyle w:val="NormalWeb"/>
              <w:rPr>
                <w:sz w:val="22"/>
                <w:szCs w:val="22"/>
              </w:rPr>
            </w:pPr>
            <w:r>
              <w:rPr>
                <w:sz w:val="22"/>
                <w:szCs w:val="22"/>
              </w:rPr>
              <w:t>32.53</w:t>
            </w:r>
          </w:p>
        </w:tc>
        <w:tc>
          <w:tcPr>
            <w:tcW w:w="924" w:type="dxa"/>
          </w:tcPr>
          <w:p w:rsidR="00A65007" w:rsidRPr="00C23D35" w:rsidRDefault="00C23D35" w:rsidP="009D0605">
            <w:pPr>
              <w:pStyle w:val="NormalWeb"/>
              <w:rPr>
                <w:sz w:val="22"/>
                <w:szCs w:val="22"/>
              </w:rPr>
            </w:pPr>
            <w:r>
              <w:rPr>
                <w:sz w:val="22"/>
                <w:szCs w:val="22"/>
              </w:rPr>
              <w:t>2.40</w:t>
            </w:r>
          </w:p>
        </w:tc>
        <w:tc>
          <w:tcPr>
            <w:tcW w:w="924" w:type="dxa"/>
          </w:tcPr>
          <w:p w:rsidR="00A65007" w:rsidRPr="00C23D35" w:rsidRDefault="00C23D35" w:rsidP="009D0605">
            <w:pPr>
              <w:pStyle w:val="NormalWeb"/>
              <w:rPr>
                <w:sz w:val="22"/>
                <w:szCs w:val="22"/>
              </w:rPr>
            </w:pPr>
            <w:r>
              <w:rPr>
                <w:sz w:val="22"/>
                <w:szCs w:val="22"/>
              </w:rPr>
              <w:t>0.0077</w:t>
            </w:r>
          </w:p>
        </w:tc>
        <w:tc>
          <w:tcPr>
            <w:tcW w:w="924" w:type="dxa"/>
          </w:tcPr>
          <w:p w:rsidR="00A65007" w:rsidRPr="00C23D35" w:rsidRDefault="00C23D35" w:rsidP="009D0605">
            <w:pPr>
              <w:pStyle w:val="NormalWeb"/>
              <w:rPr>
                <w:sz w:val="22"/>
                <w:szCs w:val="22"/>
              </w:rPr>
            </w:pPr>
            <w:r>
              <w:rPr>
                <w:sz w:val="22"/>
                <w:szCs w:val="22"/>
              </w:rPr>
              <w:t>2.33</w:t>
            </w:r>
          </w:p>
        </w:tc>
        <w:tc>
          <w:tcPr>
            <w:tcW w:w="924" w:type="dxa"/>
          </w:tcPr>
          <w:p w:rsidR="00A65007" w:rsidRPr="00C23D35" w:rsidRDefault="00C23D35" w:rsidP="009D0605">
            <w:pPr>
              <w:pStyle w:val="NormalWeb"/>
              <w:rPr>
                <w:sz w:val="22"/>
                <w:szCs w:val="22"/>
              </w:rPr>
            </w:pPr>
            <w:r>
              <w:rPr>
                <w:sz w:val="22"/>
                <w:szCs w:val="22"/>
              </w:rPr>
              <w:t>2.51</w:t>
            </w:r>
          </w:p>
        </w:tc>
        <w:tc>
          <w:tcPr>
            <w:tcW w:w="924" w:type="dxa"/>
          </w:tcPr>
          <w:p w:rsidR="00A65007" w:rsidRPr="00C23D35" w:rsidRDefault="00C23D35" w:rsidP="009D0605">
            <w:pPr>
              <w:pStyle w:val="NormalWeb"/>
              <w:rPr>
                <w:sz w:val="22"/>
                <w:szCs w:val="22"/>
              </w:rPr>
            </w:pPr>
            <w:r>
              <w:rPr>
                <w:sz w:val="22"/>
                <w:szCs w:val="22"/>
              </w:rPr>
              <w:t>3.33</w:t>
            </w:r>
          </w:p>
        </w:tc>
        <w:tc>
          <w:tcPr>
            <w:tcW w:w="924" w:type="dxa"/>
          </w:tcPr>
          <w:p w:rsidR="00A65007" w:rsidRPr="00C23D35" w:rsidRDefault="00C23D35" w:rsidP="009D0605">
            <w:pPr>
              <w:pStyle w:val="NormalWeb"/>
              <w:rPr>
                <w:sz w:val="22"/>
                <w:szCs w:val="22"/>
              </w:rPr>
            </w:pPr>
            <w:r>
              <w:rPr>
                <w:sz w:val="22"/>
                <w:szCs w:val="22"/>
              </w:rPr>
              <w:t>0.105</w:t>
            </w:r>
          </w:p>
        </w:tc>
        <w:tc>
          <w:tcPr>
            <w:tcW w:w="925" w:type="dxa"/>
          </w:tcPr>
          <w:p w:rsidR="00A65007" w:rsidRPr="00C23D35" w:rsidRDefault="00C23D35" w:rsidP="009D0605">
            <w:pPr>
              <w:pStyle w:val="NormalWeb"/>
              <w:rPr>
                <w:sz w:val="22"/>
                <w:szCs w:val="22"/>
              </w:rPr>
            </w:pPr>
            <w:r>
              <w:rPr>
                <w:sz w:val="22"/>
                <w:szCs w:val="22"/>
              </w:rPr>
              <w:t>0.00244</w:t>
            </w:r>
          </w:p>
        </w:tc>
        <w:tc>
          <w:tcPr>
            <w:tcW w:w="925" w:type="dxa"/>
          </w:tcPr>
          <w:p w:rsidR="00A65007" w:rsidRPr="00C23D35" w:rsidRDefault="00C23D35" w:rsidP="009D0605">
            <w:pPr>
              <w:pStyle w:val="NormalWeb"/>
              <w:rPr>
                <w:sz w:val="22"/>
                <w:szCs w:val="22"/>
              </w:rPr>
            </w:pPr>
            <w:r>
              <w:rPr>
                <w:sz w:val="22"/>
                <w:szCs w:val="22"/>
              </w:rPr>
              <w:t>0.25</w:t>
            </w:r>
          </w:p>
        </w:tc>
      </w:tr>
    </w:tbl>
    <w:p w:rsidR="00BF087A" w:rsidRPr="00AC5CD4" w:rsidRDefault="00BF087A" w:rsidP="008925C1">
      <w:pPr>
        <w:pStyle w:val="NormalWeb"/>
      </w:pPr>
      <w:r w:rsidRPr="00AC5CD4">
        <w:lastRenderedPageBreak/>
        <w:t xml:space="preserve">The N-demethylated derivative, norcyclizine, has been identified as a metabolite of cyclizine. </w:t>
      </w:r>
    </w:p>
    <w:p w:rsidR="00BF087A" w:rsidRPr="00AC5CD4" w:rsidRDefault="00BF087A" w:rsidP="009D0605">
      <w:pPr>
        <w:pStyle w:val="NormalWeb"/>
      </w:pPr>
      <w:r w:rsidRPr="00AC5CD4">
        <w:t>Norcyclizine has little antihistaminic (H</w:t>
      </w:r>
      <w:r w:rsidRPr="00471034">
        <w:rPr>
          <w:vertAlign w:val="subscript"/>
        </w:rPr>
        <w:t>1</w:t>
      </w:r>
      <w:r w:rsidRPr="00AC5CD4">
        <w:t xml:space="preserve">) activity compared to cyclizine and has a plasma elimination half life of approximately </w:t>
      </w:r>
      <w:r w:rsidR="0036286A">
        <w:t>14</w:t>
      </w:r>
      <w:r w:rsidR="0036286A" w:rsidRPr="00AC5CD4">
        <w:t xml:space="preserve"> </w:t>
      </w:r>
      <w:r w:rsidRPr="00AC5CD4">
        <w:t>hours.</w:t>
      </w:r>
    </w:p>
    <w:p w:rsidR="00054AEC" w:rsidRDefault="00BF087A" w:rsidP="009D0605">
      <w:pPr>
        <w:pStyle w:val="NormalWeb"/>
      </w:pPr>
      <w:r w:rsidRPr="00AC5CD4">
        <w:t xml:space="preserve">After a single dose of 50mg cyclizine </w:t>
      </w:r>
      <w:r w:rsidR="00D03D7D">
        <w:t xml:space="preserve">lactate </w:t>
      </w:r>
      <w:r w:rsidRPr="00AC5CD4">
        <w:t>given to a single adult male volunteer, urine collected over the following 24 hours contained less than 1% of the total dose administered.</w:t>
      </w:r>
    </w:p>
    <w:p w:rsidR="00BF087A" w:rsidRPr="00AC5CD4" w:rsidRDefault="00BF087A" w:rsidP="009D0605">
      <w:pPr>
        <w:pStyle w:val="NormalWeb"/>
      </w:pPr>
    </w:p>
    <w:p w:rsidR="00BF087A" w:rsidRPr="00471034" w:rsidRDefault="00BF087A" w:rsidP="009D0605">
      <w:pPr>
        <w:pStyle w:val="Heading2"/>
        <w:rPr>
          <w:rFonts w:ascii="Times New Roman" w:hAnsi="Times New Roman" w:cs="Times New Roman"/>
          <w:sz w:val="22"/>
          <w:szCs w:val="22"/>
        </w:rPr>
      </w:pPr>
      <w:r w:rsidRPr="00471034">
        <w:rPr>
          <w:rFonts w:ascii="Times New Roman" w:hAnsi="Times New Roman" w:cs="Times New Roman"/>
          <w:sz w:val="22"/>
          <w:szCs w:val="22"/>
        </w:rPr>
        <w:t>Pharmacodynamics/Mechanism of action:</w:t>
      </w:r>
    </w:p>
    <w:p w:rsidR="00BF087A" w:rsidRPr="00AC5CD4" w:rsidRDefault="00BF087A" w:rsidP="009D0605">
      <w:pPr>
        <w:pStyle w:val="NormalWeb"/>
      </w:pPr>
      <w:r w:rsidRPr="00471034">
        <w:rPr>
          <w:u w:val="single"/>
        </w:rPr>
        <w:t>ATC Code: R60AE03</w:t>
      </w:r>
    </w:p>
    <w:p w:rsidR="00BF087A" w:rsidRPr="00AC5CD4" w:rsidRDefault="00BF087A" w:rsidP="009D0605">
      <w:pPr>
        <w:pStyle w:val="NormalWeb"/>
      </w:pPr>
      <w:r w:rsidRPr="00471034">
        <w:rPr>
          <w:u w:val="single"/>
        </w:rPr>
        <w:t>Pharmacotherapeutic Group: Piperazine derivatives</w:t>
      </w:r>
    </w:p>
    <w:p w:rsidR="00BF087A" w:rsidRPr="00AC5CD4" w:rsidRDefault="00BF087A" w:rsidP="0024060C">
      <w:pPr>
        <w:pStyle w:val="NormalWeb"/>
      </w:pPr>
      <w:r w:rsidRPr="00AC5CD4">
        <w:t>Cyclizine is a histamine H</w:t>
      </w:r>
      <w:r w:rsidRPr="00471034">
        <w:rPr>
          <w:vertAlign w:val="subscript"/>
        </w:rPr>
        <w:t>1</w:t>
      </w:r>
      <w:r w:rsidRPr="00AC5CD4">
        <w:t xml:space="preserve"> receptor antagonist of the piperazine class</w:t>
      </w:r>
      <w:r w:rsidR="00E56A28">
        <w:t xml:space="preserve">. </w:t>
      </w:r>
      <w:r w:rsidRPr="00AC5CD4">
        <w:t xml:space="preserve"> It possesses anticholinergic and antiemetic properties. The exact mechanism by which cyclizine can prevent or suppress both nausea and vomiting from various causes is unknown. </w:t>
      </w:r>
    </w:p>
    <w:p w:rsidR="00204DDA" w:rsidRDefault="00204DDA" w:rsidP="009D0605">
      <w:pPr>
        <w:pStyle w:val="Heading1"/>
        <w:rPr>
          <w:sz w:val="28"/>
          <w:szCs w:val="28"/>
        </w:rPr>
      </w:pPr>
    </w:p>
    <w:p w:rsidR="00BF087A" w:rsidRPr="00471034" w:rsidRDefault="00BF087A" w:rsidP="009D0605">
      <w:pPr>
        <w:pStyle w:val="Heading1"/>
        <w:rPr>
          <w:sz w:val="28"/>
          <w:szCs w:val="28"/>
        </w:rPr>
      </w:pPr>
      <w:r w:rsidRPr="00471034">
        <w:rPr>
          <w:sz w:val="28"/>
          <w:szCs w:val="28"/>
        </w:rPr>
        <w:t>Clinical Trials</w:t>
      </w:r>
    </w:p>
    <w:p w:rsidR="009472D2" w:rsidRPr="009472D2" w:rsidRDefault="009472D2" w:rsidP="009472D2">
      <w:pPr>
        <w:pStyle w:val="ListParagraph"/>
        <w:adjustRightInd w:val="0"/>
        <w:snapToGrid w:val="0"/>
        <w:spacing w:after="240" w:line="240" w:lineRule="atLeast"/>
        <w:ind w:left="0"/>
        <w:rPr>
          <w:rFonts w:ascii="Times New Roman" w:hAnsi="Times New Roman"/>
          <w:b/>
          <w:sz w:val="24"/>
          <w:szCs w:val="24"/>
        </w:rPr>
      </w:pPr>
      <w:r w:rsidRPr="009472D2">
        <w:rPr>
          <w:rFonts w:ascii="Times New Roman" w:hAnsi="Times New Roman"/>
          <w:bCs/>
          <w:sz w:val="24"/>
          <w:szCs w:val="24"/>
        </w:rPr>
        <w:t>The principal studies were conducted in young female patients only and may include data from older studies that may not align with current anaesthetic regimens and practice.</w:t>
      </w:r>
    </w:p>
    <w:p w:rsidR="008B42AE" w:rsidRPr="008B42AE" w:rsidRDefault="00464284" w:rsidP="00791165">
      <w:pPr>
        <w:autoSpaceDE w:val="0"/>
        <w:autoSpaceDN w:val="0"/>
        <w:adjustRightInd w:val="0"/>
        <w:spacing w:before="100" w:beforeAutospacing="1" w:after="84"/>
        <w:rPr>
          <w:iCs/>
          <w:szCs w:val="22"/>
          <w:lang w:eastAsia="zh-CN"/>
        </w:rPr>
      </w:pPr>
      <w:r>
        <w:rPr>
          <w:iCs/>
          <w:szCs w:val="22"/>
          <w:lang w:eastAsia="zh-CN"/>
        </w:rPr>
        <w:t>A Cochrane review of Drug</w:t>
      </w:r>
      <w:r w:rsidR="00204DDA" w:rsidRPr="008B42AE">
        <w:rPr>
          <w:iCs/>
          <w:szCs w:val="22"/>
          <w:lang w:eastAsia="zh-CN"/>
        </w:rPr>
        <w:t>s for Preventing Post-operative Nausea and Vomiting (PONV) was conducted. This systematic review included randomised, controlled trials that compared a drug with placebo or another drug prevention of PONV, or compared doses or timing of administration and reported PONV as an outcome. Studies of treatment for established PONV were excluded. Study drug could be given pre-operatively, at induction of anaesthesia, intra-operatively or post-operatively (before nausea and vomiting had occurred</w:t>
      </w:r>
      <w:r w:rsidR="00A04647">
        <w:rPr>
          <w:iCs/>
          <w:szCs w:val="22"/>
          <w:lang w:eastAsia="zh-CN"/>
        </w:rPr>
        <w:t>)</w:t>
      </w:r>
      <w:r w:rsidR="00204DDA" w:rsidRPr="008B42AE">
        <w:rPr>
          <w:iCs/>
          <w:szCs w:val="22"/>
          <w:lang w:eastAsia="zh-CN"/>
        </w:rPr>
        <w:t>. Studies in the review could include participants undergoing general anaesthesia</w:t>
      </w:r>
      <w:r w:rsidR="008B42AE" w:rsidRPr="008B42AE">
        <w:rPr>
          <w:iCs/>
          <w:szCs w:val="22"/>
          <w:lang w:eastAsia="zh-CN"/>
        </w:rPr>
        <w:t xml:space="preserve">, regional </w:t>
      </w:r>
      <w:r w:rsidR="00204DDA" w:rsidRPr="008B42AE">
        <w:rPr>
          <w:iCs/>
          <w:szCs w:val="22"/>
          <w:lang w:eastAsia="zh-CN"/>
        </w:rPr>
        <w:t>anaesthesia or sedation. Overall the rev</w:t>
      </w:r>
      <w:r w:rsidR="008B42AE" w:rsidRPr="008B42AE">
        <w:rPr>
          <w:iCs/>
          <w:szCs w:val="22"/>
          <w:lang w:eastAsia="zh-CN"/>
        </w:rPr>
        <w:t>i</w:t>
      </w:r>
      <w:r w:rsidR="00204DDA" w:rsidRPr="008B42AE">
        <w:rPr>
          <w:iCs/>
          <w:szCs w:val="22"/>
          <w:lang w:eastAsia="zh-CN"/>
        </w:rPr>
        <w:t xml:space="preserve">ew </w:t>
      </w:r>
      <w:r w:rsidR="008B42AE" w:rsidRPr="008B42AE">
        <w:rPr>
          <w:iCs/>
          <w:szCs w:val="22"/>
          <w:lang w:eastAsia="zh-CN"/>
        </w:rPr>
        <w:t>included 737</w:t>
      </w:r>
      <w:r w:rsidR="00F43EDE">
        <w:rPr>
          <w:iCs/>
          <w:szCs w:val="22"/>
          <w:lang w:eastAsia="zh-CN"/>
        </w:rPr>
        <w:t xml:space="preserve"> </w:t>
      </w:r>
      <w:r w:rsidR="00204DDA" w:rsidRPr="008B42AE">
        <w:rPr>
          <w:iCs/>
          <w:szCs w:val="22"/>
          <w:lang w:eastAsia="zh-CN"/>
        </w:rPr>
        <w:t>studies involving 103,237 people. 60 different medications were ide</w:t>
      </w:r>
      <w:r w:rsidR="008B42AE" w:rsidRPr="008B42AE">
        <w:rPr>
          <w:iCs/>
          <w:szCs w:val="22"/>
          <w:lang w:eastAsia="zh-CN"/>
        </w:rPr>
        <w:t>ntified, including cyclizine. A medication was considered</w:t>
      </w:r>
      <w:r w:rsidR="00204DDA" w:rsidRPr="008B42AE">
        <w:rPr>
          <w:iCs/>
          <w:szCs w:val="22"/>
          <w:lang w:eastAsia="zh-CN"/>
        </w:rPr>
        <w:t xml:space="preserve"> effective if it </w:t>
      </w:r>
      <w:r w:rsidR="008B42AE" w:rsidRPr="008B42AE">
        <w:rPr>
          <w:iCs/>
          <w:szCs w:val="22"/>
          <w:lang w:eastAsia="zh-CN"/>
        </w:rPr>
        <w:t xml:space="preserve">achieved statistically </w:t>
      </w:r>
      <w:r w:rsidR="00204DDA" w:rsidRPr="008B42AE">
        <w:rPr>
          <w:iCs/>
          <w:szCs w:val="22"/>
          <w:lang w:eastAsia="zh-CN"/>
        </w:rPr>
        <w:t>signif</w:t>
      </w:r>
      <w:r w:rsidR="008B42AE" w:rsidRPr="008B42AE">
        <w:rPr>
          <w:iCs/>
          <w:szCs w:val="22"/>
          <w:lang w:eastAsia="zh-CN"/>
        </w:rPr>
        <w:t xml:space="preserve">icant benefits when compared to </w:t>
      </w:r>
      <w:r w:rsidR="00204DDA" w:rsidRPr="008B42AE">
        <w:rPr>
          <w:iCs/>
          <w:szCs w:val="22"/>
          <w:lang w:eastAsia="zh-CN"/>
        </w:rPr>
        <w:t xml:space="preserve">placebo for all </w:t>
      </w:r>
      <w:r w:rsidR="008B42AE" w:rsidRPr="008B42AE">
        <w:rPr>
          <w:iCs/>
          <w:szCs w:val="22"/>
          <w:lang w:eastAsia="zh-CN"/>
        </w:rPr>
        <w:t>f</w:t>
      </w:r>
      <w:r w:rsidR="00204DDA" w:rsidRPr="008B42AE">
        <w:rPr>
          <w:iCs/>
          <w:szCs w:val="22"/>
          <w:lang w:eastAsia="zh-CN"/>
        </w:rPr>
        <w:t>o</w:t>
      </w:r>
      <w:r w:rsidR="008B42AE" w:rsidRPr="008B42AE">
        <w:rPr>
          <w:iCs/>
          <w:szCs w:val="22"/>
          <w:lang w:eastAsia="zh-CN"/>
        </w:rPr>
        <w:t>u</w:t>
      </w:r>
      <w:r w:rsidR="00F43EDE">
        <w:rPr>
          <w:iCs/>
          <w:szCs w:val="22"/>
          <w:lang w:eastAsia="zh-CN"/>
        </w:rPr>
        <w:t>r of the</w:t>
      </w:r>
      <w:r w:rsidR="008B42AE" w:rsidRPr="008B42AE">
        <w:rPr>
          <w:iCs/>
          <w:szCs w:val="22"/>
          <w:lang w:eastAsia="zh-CN"/>
        </w:rPr>
        <w:t xml:space="preserve"> following outcomes: nausea, vomiting, </w:t>
      </w:r>
      <w:r w:rsidR="00204DDA" w:rsidRPr="008B42AE">
        <w:rPr>
          <w:iCs/>
          <w:szCs w:val="22"/>
          <w:lang w:eastAsia="zh-CN"/>
        </w:rPr>
        <w:t>nausea or vomiting; and use of</w:t>
      </w:r>
      <w:r w:rsidR="008B42AE" w:rsidRPr="008B42AE">
        <w:rPr>
          <w:iCs/>
          <w:szCs w:val="22"/>
          <w:lang w:eastAsia="zh-CN"/>
        </w:rPr>
        <w:t xml:space="preserve"> rescue anti-emetic. </w:t>
      </w:r>
    </w:p>
    <w:p w:rsidR="00204DDA" w:rsidRPr="008B42AE" w:rsidRDefault="00204DDA" w:rsidP="00791165">
      <w:pPr>
        <w:autoSpaceDE w:val="0"/>
        <w:autoSpaceDN w:val="0"/>
        <w:adjustRightInd w:val="0"/>
        <w:spacing w:before="100" w:beforeAutospacing="1" w:after="84"/>
        <w:rPr>
          <w:sz w:val="22"/>
          <w:szCs w:val="22"/>
        </w:rPr>
      </w:pPr>
      <w:r w:rsidRPr="008B42AE">
        <w:rPr>
          <w:iCs/>
          <w:szCs w:val="22"/>
          <w:lang w:eastAsia="zh-CN"/>
        </w:rPr>
        <w:t xml:space="preserve">Efficacy in </w:t>
      </w:r>
      <w:r w:rsidR="008B42AE" w:rsidRPr="008B42AE">
        <w:rPr>
          <w:iCs/>
          <w:szCs w:val="22"/>
          <w:lang w:eastAsia="zh-CN"/>
        </w:rPr>
        <w:t>prevention of PONV was demonstrated</w:t>
      </w:r>
      <w:r w:rsidR="00F43EDE">
        <w:rPr>
          <w:iCs/>
          <w:szCs w:val="22"/>
          <w:lang w:eastAsia="zh-CN"/>
        </w:rPr>
        <w:t xml:space="preserve"> for 8 of these 60 drugs, </w:t>
      </w:r>
      <w:r w:rsidR="008B42AE" w:rsidRPr="008B42AE">
        <w:rPr>
          <w:iCs/>
          <w:szCs w:val="22"/>
          <w:lang w:eastAsia="zh-CN"/>
        </w:rPr>
        <w:t>in</w:t>
      </w:r>
      <w:r w:rsidRPr="008B42AE">
        <w:rPr>
          <w:iCs/>
          <w:szCs w:val="22"/>
          <w:lang w:eastAsia="zh-CN"/>
        </w:rPr>
        <w:t>cluding cyclizine. The</w:t>
      </w:r>
      <w:r w:rsidR="00464284">
        <w:rPr>
          <w:iCs/>
          <w:szCs w:val="22"/>
          <w:lang w:eastAsia="zh-CN"/>
        </w:rPr>
        <w:t xml:space="preserve"> r</w:t>
      </w:r>
      <w:r w:rsidRPr="008B42AE">
        <w:rPr>
          <w:iCs/>
          <w:szCs w:val="22"/>
          <w:lang w:eastAsia="zh-CN"/>
        </w:rPr>
        <w:t>eview incl</w:t>
      </w:r>
      <w:r w:rsidR="008B42AE" w:rsidRPr="008B42AE">
        <w:rPr>
          <w:iCs/>
          <w:szCs w:val="22"/>
          <w:lang w:eastAsia="zh-CN"/>
        </w:rPr>
        <w:t>ud</w:t>
      </w:r>
      <w:r w:rsidRPr="008B42AE">
        <w:rPr>
          <w:iCs/>
          <w:szCs w:val="22"/>
          <w:lang w:eastAsia="zh-CN"/>
        </w:rPr>
        <w:t xml:space="preserve">ed 10 </w:t>
      </w:r>
      <w:r w:rsidR="00464284">
        <w:rPr>
          <w:iCs/>
          <w:szCs w:val="22"/>
          <w:lang w:eastAsia="zh-CN"/>
        </w:rPr>
        <w:t xml:space="preserve">studies </w:t>
      </w:r>
      <w:r w:rsidR="008B42AE" w:rsidRPr="008B42AE">
        <w:rPr>
          <w:iCs/>
          <w:szCs w:val="22"/>
          <w:lang w:eastAsia="zh-CN"/>
        </w:rPr>
        <w:t>that assessed the effic</w:t>
      </w:r>
      <w:r w:rsidR="00F43EDE">
        <w:rPr>
          <w:iCs/>
          <w:szCs w:val="22"/>
          <w:lang w:eastAsia="zh-CN"/>
        </w:rPr>
        <w:t>acy</w:t>
      </w:r>
      <w:r w:rsidR="008B42AE" w:rsidRPr="008B42AE">
        <w:rPr>
          <w:iCs/>
          <w:szCs w:val="22"/>
          <w:lang w:eastAsia="zh-CN"/>
        </w:rPr>
        <w:t xml:space="preserve"> and safety of </w:t>
      </w:r>
      <w:r w:rsidRPr="008B42AE">
        <w:rPr>
          <w:iCs/>
          <w:szCs w:val="22"/>
          <w:lang w:eastAsia="zh-CN"/>
        </w:rPr>
        <w:t>cy</w:t>
      </w:r>
      <w:r w:rsidR="008B42AE" w:rsidRPr="008B42AE">
        <w:rPr>
          <w:iCs/>
          <w:szCs w:val="22"/>
          <w:lang w:eastAsia="zh-CN"/>
        </w:rPr>
        <w:t xml:space="preserve">clizine. Compared with placebo, </w:t>
      </w:r>
      <w:r w:rsidRPr="008B42AE">
        <w:rPr>
          <w:iCs/>
          <w:szCs w:val="22"/>
          <w:lang w:eastAsia="zh-CN"/>
        </w:rPr>
        <w:t>cyclizine had a Re</w:t>
      </w:r>
      <w:r w:rsidR="008B42AE" w:rsidRPr="008B42AE">
        <w:rPr>
          <w:iCs/>
          <w:szCs w:val="22"/>
          <w:lang w:eastAsia="zh-CN"/>
        </w:rPr>
        <w:t>lative Risk</w:t>
      </w:r>
      <w:r w:rsidRPr="008B42AE">
        <w:rPr>
          <w:iCs/>
          <w:szCs w:val="22"/>
          <w:lang w:eastAsia="zh-CN"/>
        </w:rPr>
        <w:t xml:space="preserve"> </w:t>
      </w:r>
      <w:r w:rsidR="008B42AE" w:rsidRPr="008B42AE">
        <w:rPr>
          <w:iCs/>
          <w:szCs w:val="22"/>
          <w:lang w:eastAsia="zh-CN"/>
        </w:rPr>
        <w:t xml:space="preserve">of 0.65 (95%CI </w:t>
      </w:r>
      <w:r w:rsidR="00B64CB5">
        <w:rPr>
          <w:iCs/>
          <w:szCs w:val="22"/>
          <w:lang w:eastAsia="zh-CN"/>
        </w:rPr>
        <w:t>0.47</w:t>
      </w:r>
      <w:r w:rsidR="00B64CB5">
        <w:rPr>
          <w:iCs/>
          <w:szCs w:val="22"/>
          <w:lang w:eastAsia="zh-CN"/>
        </w:rPr>
        <w:noBreakHyphen/>
      </w:r>
      <w:r w:rsidRPr="008B42AE">
        <w:rPr>
          <w:iCs/>
          <w:szCs w:val="22"/>
          <w:lang w:eastAsia="zh-CN"/>
        </w:rPr>
        <w:t>0.</w:t>
      </w:r>
      <w:r w:rsidR="008B42AE" w:rsidRPr="008B42AE">
        <w:rPr>
          <w:iCs/>
          <w:szCs w:val="22"/>
          <w:lang w:eastAsia="zh-CN"/>
        </w:rPr>
        <w:t>90)</w:t>
      </w:r>
      <w:r w:rsidRPr="008B42AE">
        <w:rPr>
          <w:iCs/>
          <w:szCs w:val="22"/>
          <w:lang w:eastAsia="zh-CN"/>
        </w:rPr>
        <w:t xml:space="preserve"> </w:t>
      </w:r>
      <w:r w:rsidR="008B42AE" w:rsidRPr="008B42AE">
        <w:rPr>
          <w:iCs/>
          <w:szCs w:val="22"/>
          <w:lang w:eastAsia="zh-CN"/>
        </w:rPr>
        <w:t xml:space="preserve">for </w:t>
      </w:r>
      <w:r w:rsidR="00A04647">
        <w:rPr>
          <w:iCs/>
          <w:szCs w:val="22"/>
          <w:lang w:eastAsia="zh-CN"/>
        </w:rPr>
        <w:t>nausea, 0.57 (95%CI 0.43</w:t>
      </w:r>
      <w:r w:rsidR="00B64CB5">
        <w:rPr>
          <w:iCs/>
          <w:szCs w:val="22"/>
          <w:lang w:eastAsia="zh-CN"/>
        </w:rPr>
        <w:softHyphen/>
      </w:r>
      <w:r w:rsidR="00B64CB5">
        <w:rPr>
          <w:iCs/>
          <w:szCs w:val="22"/>
          <w:lang w:eastAsia="zh-CN"/>
        </w:rPr>
        <w:softHyphen/>
      </w:r>
      <w:r w:rsidR="00B64CB5">
        <w:rPr>
          <w:iCs/>
          <w:szCs w:val="22"/>
          <w:lang w:eastAsia="zh-CN"/>
        </w:rPr>
        <w:noBreakHyphen/>
      </w:r>
      <w:r w:rsidR="008B42AE" w:rsidRPr="008B42AE">
        <w:rPr>
          <w:iCs/>
          <w:szCs w:val="22"/>
          <w:lang w:eastAsia="zh-CN"/>
        </w:rPr>
        <w:t xml:space="preserve">0.75) for </w:t>
      </w:r>
      <w:r w:rsidRPr="008B42AE">
        <w:rPr>
          <w:iCs/>
          <w:szCs w:val="22"/>
          <w:lang w:eastAsia="zh-CN"/>
        </w:rPr>
        <w:t>vomi</w:t>
      </w:r>
      <w:r w:rsidR="008B42AE" w:rsidRPr="008B42AE">
        <w:rPr>
          <w:iCs/>
          <w:szCs w:val="22"/>
          <w:lang w:eastAsia="zh-CN"/>
        </w:rPr>
        <w:t>ti</w:t>
      </w:r>
      <w:r w:rsidRPr="008B42AE">
        <w:rPr>
          <w:iCs/>
          <w:szCs w:val="22"/>
          <w:lang w:eastAsia="zh-CN"/>
        </w:rPr>
        <w:t xml:space="preserve">ng </w:t>
      </w:r>
      <w:r w:rsidR="008B42AE" w:rsidRPr="008B42AE">
        <w:rPr>
          <w:rFonts w:eastAsia="HiddenHorzOCR"/>
          <w:szCs w:val="22"/>
          <w:lang w:eastAsia="zh-CN"/>
        </w:rPr>
        <w:t>an</w:t>
      </w:r>
      <w:r w:rsidR="00B64CB5">
        <w:rPr>
          <w:rFonts w:eastAsia="HiddenHorzOCR"/>
          <w:szCs w:val="22"/>
          <w:lang w:eastAsia="zh-CN"/>
        </w:rPr>
        <w:t>d 0.68 (95%CI 0.58</w:t>
      </w:r>
      <w:r w:rsidR="00B64CB5">
        <w:rPr>
          <w:rFonts w:eastAsia="HiddenHorzOCR"/>
          <w:szCs w:val="22"/>
          <w:lang w:eastAsia="zh-CN"/>
        </w:rPr>
        <w:noBreakHyphen/>
      </w:r>
      <w:r w:rsidR="008B42AE" w:rsidRPr="008B42AE">
        <w:rPr>
          <w:rFonts w:eastAsia="HiddenHorzOCR"/>
          <w:szCs w:val="22"/>
          <w:lang w:eastAsia="zh-CN"/>
        </w:rPr>
        <w:t>0.80) for nausea o</w:t>
      </w:r>
      <w:r w:rsidR="00B64CB5">
        <w:rPr>
          <w:rFonts w:eastAsia="HiddenHorzOCR"/>
          <w:szCs w:val="22"/>
          <w:lang w:eastAsia="zh-CN"/>
        </w:rPr>
        <w:t>r vomiting and 0.27 (95% CI0.14</w:t>
      </w:r>
      <w:r w:rsidR="00B64CB5">
        <w:rPr>
          <w:rFonts w:eastAsia="HiddenHorzOCR"/>
          <w:szCs w:val="22"/>
          <w:lang w:eastAsia="zh-CN"/>
        </w:rPr>
        <w:noBreakHyphen/>
      </w:r>
      <w:r w:rsidR="008B42AE" w:rsidRPr="008B42AE">
        <w:rPr>
          <w:rFonts w:eastAsia="HiddenHorzOCR"/>
          <w:szCs w:val="22"/>
          <w:lang w:eastAsia="zh-CN"/>
        </w:rPr>
        <w:t>0.62) for rescue antiemetic</w:t>
      </w:r>
      <w:r w:rsidR="008B42AE" w:rsidRPr="008B42AE">
        <w:rPr>
          <w:rFonts w:eastAsia="HiddenHorzOCR"/>
          <w:sz w:val="22"/>
          <w:szCs w:val="22"/>
          <w:lang w:eastAsia="zh-CN"/>
        </w:rPr>
        <w:t>.</w:t>
      </w:r>
    </w:p>
    <w:p w:rsidR="00BF087A" w:rsidRPr="00AC5CD4" w:rsidRDefault="00BF087A" w:rsidP="008B42AE">
      <w:pPr>
        <w:spacing w:line="220" w:lineRule="exact"/>
        <w:rPr>
          <w:lang w:eastAsia="en-US"/>
        </w:rPr>
      </w:pPr>
    </w:p>
    <w:p w:rsidR="00BF087A" w:rsidRPr="00AC5CD4" w:rsidRDefault="00BF087A" w:rsidP="009D0605">
      <w:pPr>
        <w:rPr>
          <w:lang w:eastAsia="en-US"/>
        </w:rPr>
      </w:pPr>
      <w:r w:rsidRPr="00471034">
        <w:rPr>
          <w:b/>
        </w:rPr>
        <w:t>Summary Results on the Prevention of drug therapy related nausea and vomiting</w:t>
      </w:r>
    </w:p>
    <w:p w:rsidR="00BF087A" w:rsidRDefault="00BF087A" w:rsidP="009D0605">
      <w:pPr>
        <w:rPr>
          <w:lang w:eastAsia="en-US"/>
        </w:rPr>
      </w:pPr>
      <w:r w:rsidRPr="00AC5CD4">
        <w:rPr>
          <w:lang w:eastAsia="en-US"/>
        </w:rPr>
        <w:lastRenderedPageBreak/>
        <w:t>A study was carried out to compare the effectiveness of standard single-dose dexamethasone (n=30)</w:t>
      </w:r>
      <w:r>
        <w:rPr>
          <w:lang w:eastAsia="en-US"/>
        </w:rPr>
        <w:t xml:space="preserve"> </w:t>
      </w:r>
      <w:r w:rsidRPr="00AC5CD4">
        <w:rPr>
          <w:lang w:eastAsia="en-US"/>
        </w:rPr>
        <w:t>and cyclizine</w:t>
      </w:r>
      <w:r>
        <w:rPr>
          <w:lang w:eastAsia="en-US"/>
        </w:rPr>
        <w:t xml:space="preserve"> </w:t>
      </w:r>
      <w:r w:rsidRPr="00AC5CD4">
        <w:rPr>
          <w:lang w:eastAsia="en-US"/>
        </w:rPr>
        <w:t>(n=30) on PONV in women receiving spinal morphine and fentanyl for caesarean section under general anaesthesia. In relation to nausea severity scales</w:t>
      </w:r>
      <w:r w:rsidR="00F43EDE">
        <w:rPr>
          <w:lang w:eastAsia="en-US"/>
        </w:rPr>
        <w:t xml:space="preserve">, </w:t>
      </w:r>
      <w:r w:rsidRPr="00AC5CD4">
        <w:rPr>
          <w:lang w:eastAsia="en-US"/>
        </w:rPr>
        <w:t>cyclizine was found to be superior to placebo (n=30) at 3 and 6 hours and superior to dexamethasone. With respect to vomiting episodes, cyclizine was found to be superior at 3 and 6 hours versus placebo</w:t>
      </w:r>
      <w:r>
        <w:rPr>
          <w:lang w:eastAsia="en-US"/>
        </w:rPr>
        <w:t xml:space="preserve"> and at 3 hours versus dexameth</w:t>
      </w:r>
      <w:r w:rsidRPr="00AC5CD4">
        <w:rPr>
          <w:lang w:eastAsia="en-US"/>
        </w:rPr>
        <w:t xml:space="preserve">asone. </w:t>
      </w:r>
    </w:p>
    <w:p w:rsidR="00BF087A" w:rsidRPr="00AC5CD4" w:rsidRDefault="00BF087A" w:rsidP="009D0605">
      <w:pPr>
        <w:rPr>
          <w:lang w:eastAsia="en-US"/>
        </w:rPr>
      </w:pPr>
    </w:p>
    <w:p w:rsidR="00BF087A" w:rsidRDefault="00BF087A" w:rsidP="009D0605">
      <w:pPr>
        <w:rPr>
          <w:lang w:eastAsia="en-US"/>
        </w:rPr>
      </w:pPr>
      <w:r w:rsidRPr="00AC5CD4">
        <w:rPr>
          <w:lang w:eastAsia="en-US"/>
        </w:rPr>
        <w:t xml:space="preserve">A study was carried out to examine the anti-emetic effect of cyclizine compared to droperidol when included in a patient-controlled analgesia regime. No statistically significant differences between groups was found, results were closely similar and better than historical controls leading to author conclusion that  “... we have shown cyclizine to be as effective as droperidol in the prevention of PONV when included in a PCA infusion of morphine.”  </w:t>
      </w:r>
    </w:p>
    <w:p w:rsidR="00BF087A" w:rsidRPr="00AC5CD4" w:rsidRDefault="00BF087A" w:rsidP="009D0605">
      <w:pPr>
        <w:rPr>
          <w:lang w:eastAsia="en-US"/>
        </w:rPr>
      </w:pPr>
    </w:p>
    <w:p w:rsidR="00BF087A" w:rsidRDefault="00BF087A" w:rsidP="009D0605">
      <w:pPr>
        <w:rPr>
          <w:lang w:eastAsia="en-US"/>
        </w:rPr>
      </w:pPr>
      <w:r w:rsidRPr="00AC5CD4">
        <w:rPr>
          <w:lang w:eastAsia="en-US"/>
        </w:rPr>
        <w:t>A prospective randomised, double-blind study compared the (antiemetic) effects of cyclizine and perphenazine in reducing the emetic effects of morphine and pethidine. Cyclizine reduced sickness after pethidine pre-operatively p &lt; 0.0001.  Cyclizine reduced post-operative vomiting and nausea after morphine 10 mg, p &lt; 0.001 and pethidine 100 mg, p &lt; 0.0001. Cyclizine reduced PONV after morphine 15 mg (p &lt; 0.0005).</w:t>
      </w:r>
    </w:p>
    <w:p w:rsidR="00BF087A" w:rsidRPr="00AC5CD4" w:rsidRDefault="00BF087A" w:rsidP="009D0605">
      <w:pPr>
        <w:rPr>
          <w:lang w:eastAsia="en-US"/>
        </w:rPr>
      </w:pPr>
    </w:p>
    <w:p w:rsidR="00BF087A" w:rsidRPr="00464284" w:rsidRDefault="00BF087A" w:rsidP="009D0605">
      <w:pPr>
        <w:pStyle w:val="Heading1"/>
        <w:rPr>
          <w:sz w:val="28"/>
        </w:rPr>
      </w:pPr>
      <w:r w:rsidRPr="00464284">
        <w:rPr>
          <w:sz w:val="28"/>
        </w:rPr>
        <w:t>Indications</w:t>
      </w:r>
    </w:p>
    <w:p w:rsidR="00BF087A" w:rsidRPr="00AC5CD4" w:rsidRDefault="00BF087A" w:rsidP="00175A3A">
      <w:pPr>
        <w:spacing w:before="100" w:beforeAutospacing="1" w:after="75"/>
        <w:rPr>
          <w:lang w:eastAsia="en-GB"/>
        </w:rPr>
      </w:pPr>
      <w:r w:rsidRPr="00471034">
        <w:rPr>
          <w:color w:val="000000"/>
          <w:lang w:val="en-GB" w:eastAsia="en-GB"/>
        </w:rPr>
        <w:t xml:space="preserve">VALOID is indicated for the prevention of nausea and vomiting </w:t>
      </w:r>
      <w:r w:rsidRPr="00AC5CD4">
        <w:rPr>
          <w:lang w:eastAsia="en-GB"/>
        </w:rPr>
        <w:t>in the post-operative period</w:t>
      </w:r>
    </w:p>
    <w:p w:rsidR="00791165" w:rsidRDefault="00791165" w:rsidP="009D0605">
      <w:pPr>
        <w:pStyle w:val="Heading1"/>
        <w:rPr>
          <w:sz w:val="28"/>
          <w:szCs w:val="28"/>
        </w:rPr>
      </w:pPr>
      <w:bookmarkStart w:id="0" w:name="_GoBack"/>
      <w:bookmarkEnd w:id="0"/>
    </w:p>
    <w:p w:rsidR="00BF087A" w:rsidRPr="00AC5CD4" w:rsidRDefault="00BF087A" w:rsidP="009D0605">
      <w:pPr>
        <w:pStyle w:val="Heading1"/>
      </w:pPr>
      <w:r w:rsidRPr="00471034">
        <w:rPr>
          <w:sz w:val="28"/>
          <w:szCs w:val="28"/>
        </w:rPr>
        <w:t>Contraindications</w:t>
      </w:r>
    </w:p>
    <w:p w:rsidR="00791165" w:rsidRDefault="00BF087A" w:rsidP="00471034">
      <w:pPr>
        <w:spacing w:before="100" w:beforeAutospacing="1" w:after="75"/>
        <w:rPr>
          <w:color w:val="000000"/>
          <w:lang w:val="en-GB" w:eastAsia="en-GB"/>
        </w:rPr>
      </w:pPr>
      <w:r w:rsidRPr="00471034">
        <w:rPr>
          <w:color w:val="000000"/>
          <w:lang w:val="en-GB" w:eastAsia="en-GB"/>
        </w:rPr>
        <w:t>VALOID should not be given to individuals with known hypersensitivity to cyclizine.</w:t>
      </w:r>
    </w:p>
    <w:p w:rsidR="007E20BB" w:rsidRDefault="009472D2" w:rsidP="009472D2">
      <w:pPr>
        <w:spacing w:before="100" w:beforeAutospacing="1" w:after="75"/>
        <w:rPr>
          <w:color w:val="000000"/>
          <w:lang w:val="en-GB" w:eastAsia="en-GB"/>
        </w:rPr>
      </w:pPr>
      <w:r w:rsidRPr="009472D2">
        <w:rPr>
          <w:color w:val="000000"/>
          <w:lang w:val="en-GB" w:eastAsia="en-GB"/>
        </w:rPr>
        <w:t>VALOID should not be given to patients who have severe heart failure.  In such patients, cyclizine may cause a fall in cardiac output associated with increases in heart rate, mean arterial pressure and pulmonary wedge pressure.</w:t>
      </w:r>
    </w:p>
    <w:p w:rsidR="004C62FF" w:rsidRDefault="004C62FF" w:rsidP="009D0605">
      <w:pPr>
        <w:pStyle w:val="Heading1"/>
        <w:rPr>
          <w:sz w:val="28"/>
          <w:szCs w:val="28"/>
        </w:rPr>
      </w:pPr>
    </w:p>
    <w:p w:rsidR="00BF087A" w:rsidRDefault="00BF087A" w:rsidP="009D0605">
      <w:pPr>
        <w:pStyle w:val="Heading1"/>
        <w:rPr>
          <w:sz w:val="28"/>
          <w:szCs w:val="28"/>
        </w:rPr>
      </w:pPr>
      <w:r w:rsidRPr="00471034">
        <w:rPr>
          <w:sz w:val="28"/>
          <w:szCs w:val="28"/>
        </w:rPr>
        <w:t>Precautions</w:t>
      </w:r>
    </w:p>
    <w:p w:rsidR="005A3B24" w:rsidRPr="00F0196F" w:rsidRDefault="005A3B24" w:rsidP="005A3B24">
      <w:pPr>
        <w:autoSpaceDE w:val="0"/>
        <w:autoSpaceDN w:val="0"/>
        <w:adjustRightInd w:val="0"/>
        <w:rPr>
          <w:rFonts w:ascii="Arial" w:hAnsi="Arial" w:cs="Arial"/>
          <w:i/>
          <w:iCs/>
          <w:color w:val="929292"/>
          <w:sz w:val="19"/>
          <w:szCs w:val="19"/>
          <w:u w:val="single"/>
          <w:lang w:eastAsia="zh-CN"/>
        </w:rPr>
      </w:pPr>
    </w:p>
    <w:p w:rsidR="005A3B24" w:rsidRPr="00F0196F" w:rsidRDefault="005A3B24" w:rsidP="005A3B24">
      <w:pPr>
        <w:autoSpaceDE w:val="0"/>
        <w:autoSpaceDN w:val="0"/>
        <w:adjustRightInd w:val="0"/>
        <w:rPr>
          <w:iCs/>
          <w:u w:val="single"/>
          <w:lang w:eastAsia="zh-CN"/>
        </w:rPr>
      </w:pPr>
      <w:r w:rsidRPr="00F0196F">
        <w:rPr>
          <w:iCs/>
          <w:u w:val="single"/>
          <w:lang w:eastAsia="zh-CN"/>
        </w:rPr>
        <w:t>Anticholinergic effects</w:t>
      </w:r>
    </w:p>
    <w:p w:rsidR="005A3B24" w:rsidRPr="009E7EC7" w:rsidRDefault="005A3B24" w:rsidP="005A3B24">
      <w:pPr>
        <w:autoSpaceDE w:val="0"/>
        <w:autoSpaceDN w:val="0"/>
        <w:adjustRightInd w:val="0"/>
        <w:rPr>
          <w:iCs/>
          <w:lang w:eastAsia="zh-CN"/>
        </w:rPr>
      </w:pPr>
      <w:r w:rsidRPr="009E7EC7">
        <w:rPr>
          <w:iCs/>
          <w:lang w:eastAsia="zh-CN"/>
        </w:rPr>
        <w:t>Cyclizine has anticholinergic effects and may precipitate pre-existing conditions that are likely to be exacerbated by anticholinergic activity, such as urinary retention or</w:t>
      </w:r>
      <w:r w:rsidR="00F43EDE">
        <w:rPr>
          <w:iCs/>
          <w:lang w:eastAsia="zh-CN"/>
        </w:rPr>
        <w:t xml:space="preserve"> obstruction, </w:t>
      </w:r>
      <w:r w:rsidRPr="009E7EC7">
        <w:rPr>
          <w:iCs/>
          <w:lang w:eastAsia="zh-CN"/>
        </w:rPr>
        <w:t xml:space="preserve">angle-closure glaucoma, untreated intraocular hypertension, or uncontrolled primary open-angle glaucoma. It may also </w:t>
      </w:r>
      <w:r w:rsidRPr="009E7EC7">
        <w:rPr>
          <w:rFonts w:eastAsia="HiddenHorzOCR"/>
          <w:lang w:eastAsia="zh-CN"/>
        </w:rPr>
        <w:t>exacerbate gastroin</w:t>
      </w:r>
      <w:r w:rsidRPr="009E7EC7">
        <w:rPr>
          <w:iCs/>
          <w:lang w:eastAsia="zh-CN"/>
        </w:rPr>
        <w:t>testinal obstructive disorders and cause dry mouth and constipation.</w:t>
      </w:r>
    </w:p>
    <w:p w:rsidR="005A3B24" w:rsidRPr="009E7EC7" w:rsidRDefault="005A3B24" w:rsidP="005A3B24">
      <w:pPr>
        <w:autoSpaceDE w:val="0"/>
        <w:autoSpaceDN w:val="0"/>
        <w:adjustRightInd w:val="0"/>
        <w:rPr>
          <w:iCs/>
          <w:lang w:eastAsia="zh-CN"/>
        </w:rPr>
      </w:pPr>
    </w:p>
    <w:p w:rsidR="00BF087A" w:rsidRPr="009E7EC7" w:rsidRDefault="005A3B24" w:rsidP="009E7EC7">
      <w:pPr>
        <w:autoSpaceDE w:val="0"/>
        <w:autoSpaceDN w:val="0"/>
        <w:adjustRightInd w:val="0"/>
        <w:rPr>
          <w:iCs/>
          <w:lang w:eastAsia="zh-CN"/>
        </w:rPr>
      </w:pPr>
      <w:r w:rsidRPr="009E7EC7">
        <w:rPr>
          <w:iCs/>
          <w:lang w:eastAsia="zh-CN"/>
        </w:rPr>
        <w:t>It has been suggested that the anticho</w:t>
      </w:r>
      <w:r w:rsidR="0023452D">
        <w:rPr>
          <w:iCs/>
          <w:lang w:eastAsia="zh-CN"/>
        </w:rPr>
        <w:t>l</w:t>
      </w:r>
      <w:r w:rsidRPr="009E7EC7">
        <w:rPr>
          <w:iCs/>
          <w:lang w:eastAsia="zh-CN"/>
        </w:rPr>
        <w:t>inergic effe</w:t>
      </w:r>
      <w:r w:rsidR="0023452D">
        <w:rPr>
          <w:iCs/>
          <w:lang w:eastAsia="zh-CN"/>
        </w:rPr>
        <w:t>c</w:t>
      </w:r>
      <w:r w:rsidRPr="009E7EC7">
        <w:rPr>
          <w:iCs/>
          <w:lang w:eastAsia="zh-CN"/>
        </w:rPr>
        <w:t>t of antihistamines such as cyclizine may reduc</w:t>
      </w:r>
      <w:r w:rsidR="009E7EC7">
        <w:rPr>
          <w:iCs/>
          <w:lang w:eastAsia="zh-CN"/>
        </w:rPr>
        <w:t>e</w:t>
      </w:r>
      <w:r w:rsidRPr="009E7EC7">
        <w:rPr>
          <w:iCs/>
          <w:lang w:eastAsia="zh-CN"/>
        </w:rPr>
        <w:t xml:space="preserve"> the volume and cause thickening of bronchial secretions, resulting in obstructi</w:t>
      </w:r>
      <w:r w:rsidR="009E7EC7">
        <w:rPr>
          <w:iCs/>
          <w:lang w:eastAsia="zh-CN"/>
        </w:rPr>
        <w:t>o</w:t>
      </w:r>
      <w:r w:rsidRPr="009E7EC7">
        <w:rPr>
          <w:iCs/>
          <w:lang w:eastAsia="zh-CN"/>
        </w:rPr>
        <w:t xml:space="preserve">n of </w:t>
      </w:r>
      <w:r w:rsidRPr="009E7EC7">
        <w:rPr>
          <w:iCs/>
          <w:lang w:eastAsia="zh-CN"/>
        </w:rPr>
        <w:lastRenderedPageBreak/>
        <w:t xml:space="preserve">respiratory tract.  Cyclizine should be administered cautiously in patients with asthma or chronic obstructive pulmonary disease. </w:t>
      </w:r>
    </w:p>
    <w:p w:rsidR="00FD6564" w:rsidRPr="00F0196F" w:rsidRDefault="004C6CB7" w:rsidP="00471034">
      <w:pPr>
        <w:spacing w:before="100" w:beforeAutospacing="1" w:after="75"/>
        <w:rPr>
          <w:color w:val="000000"/>
          <w:u w:val="single"/>
          <w:lang w:val="en-GB" w:eastAsia="en-GB"/>
        </w:rPr>
      </w:pPr>
      <w:r w:rsidRPr="00F0196F">
        <w:rPr>
          <w:color w:val="000000"/>
          <w:u w:val="single"/>
          <w:lang w:val="en-GB" w:eastAsia="en-GB"/>
        </w:rPr>
        <w:t>Cardiovascular effects</w:t>
      </w:r>
    </w:p>
    <w:p w:rsidR="00BF087A" w:rsidRPr="00471034" w:rsidRDefault="00BF087A" w:rsidP="004C62FF">
      <w:pPr>
        <w:spacing w:after="75"/>
        <w:rPr>
          <w:color w:val="000000"/>
          <w:lang w:val="en-GB" w:eastAsia="en-GB"/>
        </w:rPr>
      </w:pPr>
      <w:r w:rsidRPr="00471034">
        <w:rPr>
          <w:color w:val="000000"/>
          <w:lang w:val="en-GB" w:eastAsia="en-GB"/>
        </w:rPr>
        <w:t xml:space="preserve">Cyclizine should </w:t>
      </w:r>
      <w:r w:rsidR="00883680">
        <w:rPr>
          <w:color w:val="000000"/>
          <w:lang w:val="en-GB" w:eastAsia="en-GB"/>
        </w:rPr>
        <w:t xml:space="preserve">not </w:t>
      </w:r>
      <w:r w:rsidRPr="00471034">
        <w:rPr>
          <w:color w:val="000000"/>
          <w:lang w:val="en-GB" w:eastAsia="en-GB"/>
        </w:rPr>
        <w:t xml:space="preserve">be used in patients with severe heart failure. In such patients, cyclizine may cause a fall in cardiac output associated with increases in heart rate, mean arterial pressure and pulmonary wedge pressure. </w:t>
      </w:r>
    </w:p>
    <w:p w:rsidR="00FC659F" w:rsidRPr="00F0196F" w:rsidRDefault="00FC659F" w:rsidP="00471034">
      <w:pPr>
        <w:spacing w:before="100" w:beforeAutospacing="1" w:after="75"/>
        <w:rPr>
          <w:color w:val="000000"/>
          <w:u w:val="single"/>
          <w:lang w:val="en-GB" w:eastAsia="en-GB"/>
        </w:rPr>
      </w:pPr>
      <w:r w:rsidRPr="00F0196F">
        <w:rPr>
          <w:color w:val="000000"/>
          <w:u w:val="single"/>
          <w:lang w:val="en-GB" w:eastAsia="en-GB"/>
        </w:rPr>
        <w:t>Use in porphyria</w:t>
      </w:r>
    </w:p>
    <w:p w:rsidR="00BF087A" w:rsidRPr="00471034" w:rsidRDefault="00BF087A" w:rsidP="004C62FF">
      <w:pPr>
        <w:spacing w:after="75"/>
        <w:rPr>
          <w:color w:val="000000"/>
          <w:lang w:val="en-GB" w:eastAsia="en-GB"/>
        </w:rPr>
      </w:pPr>
      <w:r w:rsidRPr="00471034">
        <w:rPr>
          <w:color w:val="000000"/>
          <w:lang w:val="en-GB" w:eastAsia="en-GB"/>
        </w:rPr>
        <w:t xml:space="preserve">Cyclizine should be avoided in porphyria. </w:t>
      </w:r>
    </w:p>
    <w:p w:rsidR="00FC659F" w:rsidRPr="00F0196F" w:rsidRDefault="00FC659F" w:rsidP="00471034">
      <w:pPr>
        <w:spacing w:before="100" w:beforeAutospacing="1" w:after="75"/>
        <w:rPr>
          <w:color w:val="000000"/>
          <w:u w:val="single"/>
          <w:lang w:val="en-GB" w:eastAsia="en-GB"/>
        </w:rPr>
      </w:pPr>
      <w:r w:rsidRPr="00F0196F">
        <w:rPr>
          <w:color w:val="000000"/>
          <w:u w:val="single"/>
          <w:lang w:val="en-GB" w:eastAsia="en-GB"/>
        </w:rPr>
        <w:t>Nervous system</w:t>
      </w:r>
    </w:p>
    <w:p w:rsidR="00FC659F" w:rsidRDefault="00FC659F" w:rsidP="004C62FF">
      <w:pPr>
        <w:spacing w:after="75"/>
        <w:rPr>
          <w:color w:val="000000"/>
          <w:lang w:val="en-GB" w:eastAsia="en-GB"/>
        </w:rPr>
      </w:pPr>
      <w:r>
        <w:rPr>
          <w:color w:val="000000"/>
          <w:lang w:val="en-GB" w:eastAsia="en-GB"/>
        </w:rPr>
        <w:t>Nervous system side effects of c</w:t>
      </w:r>
      <w:r w:rsidR="009E7EC7">
        <w:rPr>
          <w:color w:val="000000"/>
          <w:lang w:val="en-GB" w:eastAsia="en-GB"/>
        </w:rPr>
        <w:t>y</w:t>
      </w:r>
      <w:r>
        <w:rPr>
          <w:color w:val="000000"/>
          <w:lang w:val="en-GB" w:eastAsia="en-GB"/>
        </w:rPr>
        <w:t>clizine have included drowsiness and sedation in many patients.  Motor skills may be impaired. Cyclizine may also cause restlessness, excitation, nervousness and insomnia. Extrapyramidal effects may occur and dystonic reactions have been reported after single doses of cyclizine</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There have been reports of abuse of cyclizine, either oral or intravenous, for its euphoric or hallucinatory effects. The concomitant misuse of VALOID with large amounts of alcohol is particularly dangerous, since the antiemetic effect of cyclizine may increase the toxicity of alcohol. </w:t>
      </w:r>
    </w:p>
    <w:p w:rsidR="00BF087A" w:rsidRPr="00471034" w:rsidRDefault="00BF087A" w:rsidP="00471034">
      <w:pPr>
        <w:spacing w:before="100" w:beforeAutospacing="1" w:after="75"/>
        <w:rPr>
          <w:color w:val="000000"/>
          <w:lang w:val="en-GB" w:eastAsia="en-GB"/>
        </w:rPr>
      </w:pPr>
      <w:r w:rsidRPr="00471034">
        <w:rPr>
          <w:color w:val="000000"/>
          <w:lang w:val="en-GB" w:eastAsia="en-GB"/>
        </w:rPr>
        <w:t>There have been isolated case reports of transient paralysis occurring in patients using intravenous cyclizine. Two of the patients mentioned in these reports had an underlying neuromuscular disorder. Thus intravenous cyclizine should be used with caution in all patients in general, and in patients with underlying neuromuscular disorders in particular.</w:t>
      </w:r>
    </w:p>
    <w:p w:rsidR="00BF087A" w:rsidRDefault="00BF087A" w:rsidP="00471034">
      <w:pPr>
        <w:spacing w:before="100" w:beforeAutospacing="1" w:after="75"/>
        <w:rPr>
          <w:color w:val="000000"/>
          <w:lang w:eastAsia="en-GB"/>
        </w:rPr>
      </w:pPr>
      <w:r w:rsidRPr="00471034">
        <w:rPr>
          <w:color w:val="000000"/>
          <w:lang w:eastAsia="en-GB"/>
        </w:rPr>
        <w:t xml:space="preserve">Studies designed to detect drowsiness did not reveal sedation in healthy adults who took a single </w:t>
      </w:r>
      <w:r w:rsidRPr="00471034">
        <w:rPr>
          <w:color w:val="000000"/>
          <w:u w:val="single"/>
          <w:lang w:eastAsia="en-GB"/>
        </w:rPr>
        <w:t>oral</w:t>
      </w:r>
      <w:r w:rsidRPr="00471034">
        <w:rPr>
          <w:color w:val="000000"/>
          <w:lang w:eastAsia="en-GB"/>
        </w:rPr>
        <w:t xml:space="preserve"> therapeutic dose (50 mg) of cyclizine</w:t>
      </w:r>
      <w:r w:rsidR="00792D1D">
        <w:rPr>
          <w:color w:val="000000"/>
          <w:lang w:eastAsia="en-GB"/>
        </w:rPr>
        <w:t xml:space="preserve"> lactate</w:t>
      </w:r>
      <w:r w:rsidR="00F43EDE">
        <w:rPr>
          <w:color w:val="000000"/>
          <w:lang w:eastAsia="en-GB"/>
        </w:rPr>
        <w:t>. S</w:t>
      </w:r>
      <w:r w:rsidRPr="00471034">
        <w:rPr>
          <w:color w:val="000000"/>
          <w:lang w:eastAsia="en-GB"/>
        </w:rPr>
        <w:t xml:space="preserve">edation of short duration was reported by subjects receiving intravenous cyclizine. Patients should not drive or operate machinery until they have determined their own response. </w:t>
      </w:r>
    </w:p>
    <w:p w:rsidR="00BF087A" w:rsidRPr="00780689" w:rsidRDefault="00BF087A" w:rsidP="009D0605">
      <w:pPr>
        <w:rPr>
          <w:lang w:eastAsia="en-GB"/>
        </w:rPr>
      </w:pPr>
      <w:r w:rsidRPr="00780689">
        <w:rPr>
          <w:lang w:eastAsia="en-GB"/>
        </w:rPr>
        <w:t>Although there are no data available, patients should be cautioned that VALOID may have additive effects with alcohol and other central nervous system depressants, e.g. hypnotics and tranquillisers.</w:t>
      </w:r>
    </w:p>
    <w:p w:rsidR="00BF087A" w:rsidRPr="00780689" w:rsidRDefault="00BF087A" w:rsidP="00471034">
      <w:pPr>
        <w:spacing w:before="100" w:beforeAutospacing="1" w:after="75"/>
        <w:rPr>
          <w:lang w:val="en-GB" w:eastAsia="en-GB"/>
        </w:rPr>
      </w:pPr>
      <w:r w:rsidRPr="00780689">
        <w:rPr>
          <w:lang w:val="en-GB" w:eastAsia="en-GB"/>
        </w:rPr>
        <w:t xml:space="preserve">In studies in which atropine has been used </w:t>
      </w:r>
      <w:r w:rsidR="00F43EDE">
        <w:rPr>
          <w:lang w:val="en-GB" w:eastAsia="en-GB"/>
        </w:rPr>
        <w:t xml:space="preserve">as </w:t>
      </w:r>
      <w:r w:rsidRPr="00780689">
        <w:rPr>
          <w:lang w:val="en-GB" w:eastAsia="en-GB"/>
        </w:rPr>
        <w:t xml:space="preserve">part of the anaesthetic regime, cyclizine has been found to be not effective in treating PONV. This may be due to </w:t>
      </w:r>
      <w:r w:rsidRPr="00780689">
        <w:rPr>
          <w:bCs/>
        </w:rPr>
        <w:t xml:space="preserve">the central anti-cholinergic activity of atropine affecting the anti-emetic effect of cyclizine.  </w:t>
      </w:r>
    </w:p>
    <w:p w:rsidR="00792D1D" w:rsidRDefault="00792D1D" w:rsidP="009D0605">
      <w:pPr>
        <w:pStyle w:val="Heading2"/>
        <w:rPr>
          <w:rFonts w:ascii="Times New Roman" w:hAnsi="Times New Roman" w:cs="Times New Roman"/>
          <w:sz w:val="22"/>
          <w:szCs w:val="22"/>
        </w:rPr>
      </w:pPr>
    </w:p>
    <w:p w:rsidR="00792D1D" w:rsidRPr="00F0196F" w:rsidRDefault="00792D1D" w:rsidP="009D0605">
      <w:pPr>
        <w:pStyle w:val="Heading2"/>
        <w:rPr>
          <w:rFonts w:ascii="Times New Roman" w:hAnsi="Times New Roman" w:cs="Times New Roman"/>
          <w:b w:val="0"/>
          <w:bCs w:val="0"/>
          <w:sz w:val="24"/>
          <w:szCs w:val="23"/>
          <w:u w:val="single"/>
          <w:lang w:eastAsia="zh-CN"/>
        </w:rPr>
      </w:pPr>
      <w:r w:rsidRPr="00F0196F">
        <w:rPr>
          <w:rFonts w:ascii="Times New Roman" w:hAnsi="Times New Roman" w:cs="Times New Roman"/>
          <w:b w:val="0"/>
          <w:bCs w:val="0"/>
          <w:sz w:val="24"/>
          <w:szCs w:val="23"/>
          <w:u w:val="single"/>
          <w:lang w:eastAsia="zh-CN"/>
        </w:rPr>
        <w:t>Effects on fertility</w:t>
      </w:r>
    </w:p>
    <w:p w:rsidR="00792D1D" w:rsidRDefault="00792D1D" w:rsidP="00792D1D">
      <w:pPr>
        <w:autoSpaceDE w:val="0"/>
        <w:autoSpaceDN w:val="0"/>
        <w:adjustRightInd w:val="0"/>
        <w:rPr>
          <w:sz w:val="22"/>
          <w:szCs w:val="22"/>
          <w:lang w:eastAsia="zh-CN"/>
        </w:rPr>
      </w:pPr>
      <w:r w:rsidRPr="00792D1D">
        <w:rPr>
          <w:szCs w:val="22"/>
          <w:lang w:eastAsia="zh-CN"/>
        </w:rPr>
        <w:t>The effects of cyclizine on human fertility are unknown. There are no adequate nonclinical studies of the effects of cyclizine on fertility</w:t>
      </w:r>
      <w:r>
        <w:rPr>
          <w:sz w:val="22"/>
          <w:szCs w:val="22"/>
          <w:lang w:eastAsia="zh-CN"/>
        </w:rPr>
        <w:t>.</w:t>
      </w:r>
    </w:p>
    <w:p w:rsidR="009E7EC7" w:rsidRPr="00F0196F" w:rsidRDefault="009E7EC7" w:rsidP="009D0605">
      <w:pPr>
        <w:pStyle w:val="Heading2"/>
        <w:rPr>
          <w:rFonts w:ascii="Times New Roman" w:hAnsi="Times New Roman" w:cs="Times New Roman"/>
          <w:b w:val="0"/>
          <w:sz w:val="24"/>
          <w:szCs w:val="24"/>
          <w:u w:val="single"/>
        </w:rPr>
      </w:pPr>
    </w:p>
    <w:p w:rsidR="003702B8" w:rsidRDefault="00BF087A" w:rsidP="009D0605">
      <w:pPr>
        <w:pStyle w:val="Heading2"/>
        <w:rPr>
          <w:rFonts w:ascii="Times New Roman" w:hAnsi="Times New Roman" w:cs="Times New Roman"/>
          <w:b w:val="0"/>
          <w:sz w:val="24"/>
          <w:szCs w:val="24"/>
          <w:u w:val="single"/>
        </w:rPr>
      </w:pPr>
      <w:r w:rsidRPr="00F0196F">
        <w:rPr>
          <w:rFonts w:ascii="Times New Roman" w:hAnsi="Times New Roman" w:cs="Times New Roman"/>
          <w:b w:val="0"/>
          <w:sz w:val="24"/>
          <w:szCs w:val="24"/>
          <w:u w:val="single"/>
        </w:rPr>
        <w:t>Use in pregnancy</w:t>
      </w:r>
      <w:r w:rsidR="007E20BB">
        <w:rPr>
          <w:rFonts w:ascii="Times New Roman" w:hAnsi="Times New Roman" w:cs="Times New Roman"/>
          <w:b w:val="0"/>
          <w:sz w:val="24"/>
          <w:szCs w:val="24"/>
          <w:u w:val="single"/>
        </w:rPr>
        <w:t xml:space="preserve"> (Category B3)</w:t>
      </w:r>
    </w:p>
    <w:p w:rsidR="00BF087A" w:rsidRPr="00031BE3" w:rsidRDefault="00031BE3" w:rsidP="00031BE3">
      <w:pPr>
        <w:autoSpaceDE w:val="0"/>
        <w:autoSpaceDN w:val="0"/>
        <w:adjustRightInd w:val="0"/>
        <w:rPr>
          <w:iCs/>
        </w:rPr>
      </w:pPr>
      <w:r w:rsidRPr="00031BE3">
        <w:rPr>
          <w:lang w:eastAsia="zh-CN"/>
        </w:rPr>
        <w:t>Administration of cyclizine to rat, mice and rabbits during gestation was associated with malformations including cleft palate and various</w:t>
      </w:r>
      <w:r w:rsidR="00EF7A79">
        <w:rPr>
          <w:lang w:eastAsia="zh-CN"/>
        </w:rPr>
        <w:t xml:space="preserve"> cephalic abnormalities; the no-</w:t>
      </w:r>
      <w:r w:rsidRPr="00031BE3">
        <w:rPr>
          <w:lang w:eastAsia="zh-CN"/>
        </w:rPr>
        <w:t xml:space="preserve">effect doses determined in rats and rabbits were 50 and 25 mg/kg/day, respectively. </w:t>
      </w:r>
      <w:r w:rsidR="00DE3BE3" w:rsidRPr="00DE3BE3">
        <w:rPr>
          <w:lang w:eastAsia="zh-CN"/>
        </w:rPr>
        <w:t>There has been no systematic assessment of the safety of cyclizine in pregnancy in humans therefore the use of VALOID in pregnancy is not recommended.</w:t>
      </w:r>
      <w:r w:rsidR="00DE3BE3">
        <w:rPr>
          <w:lang w:eastAsia="zh-CN"/>
        </w:rPr>
        <w:t xml:space="preserve"> </w:t>
      </w:r>
    </w:p>
    <w:p w:rsidR="009E7EC7" w:rsidRDefault="009E7EC7" w:rsidP="009D0605">
      <w:pPr>
        <w:pStyle w:val="Heading2"/>
        <w:rPr>
          <w:rFonts w:ascii="Times New Roman" w:hAnsi="Times New Roman" w:cs="Times New Roman"/>
          <w:sz w:val="24"/>
          <w:szCs w:val="24"/>
        </w:rPr>
      </w:pPr>
    </w:p>
    <w:p w:rsidR="00BF087A" w:rsidRPr="00AF6382" w:rsidRDefault="00BF087A" w:rsidP="009D0605">
      <w:pPr>
        <w:pStyle w:val="Heading2"/>
        <w:rPr>
          <w:rFonts w:ascii="Times New Roman" w:hAnsi="Times New Roman" w:cs="Times New Roman"/>
          <w:b w:val="0"/>
          <w:sz w:val="24"/>
          <w:szCs w:val="24"/>
          <w:u w:val="single"/>
        </w:rPr>
      </w:pPr>
      <w:r w:rsidRPr="00AF6382">
        <w:rPr>
          <w:rFonts w:ascii="Times New Roman" w:hAnsi="Times New Roman" w:cs="Times New Roman"/>
          <w:b w:val="0"/>
          <w:sz w:val="24"/>
          <w:szCs w:val="24"/>
          <w:u w:val="single"/>
        </w:rPr>
        <w:t>Use in lactation</w:t>
      </w:r>
    </w:p>
    <w:p w:rsidR="00FD6564" w:rsidRPr="00FD6564" w:rsidRDefault="00FD6564" w:rsidP="004C62FF">
      <w:pPr>
        <w:spacing w:after="75"/>
        <w:rPr>
          <w:lang w:eastAsia="en-US"/>
        </w:rPr>
      </w:pPr>
      <w:r w:rsidRPr="00AF6382">
        <w:rPr>
          <w:rFonts w:ascii="Arial" w:hAnsi="Arial" w:cs="Arial"/>
          <w:lang w:eastAsia="zh-CN"/>
        </w:rPr>
        <w:t xml:space="preserve">It </w:t>
      </w:r>
      <w:r w:rsidRPr="00AF6382">
        <w:rPr>
          <w:lang w:eastAsia="zh-CN"/>
        </w:rPr>
        <w:t>is not known whether cyclizine and/or its metabolites are excreted in human milk. The use of VALOID in breastfeeding women is not recommended</w:t>
      </w:r>
      <w:r>
        <w:rPr>
          <w:sz w:val="22"/>
          <w:szCs w:val="22"/>
          <w:lang w:eastAsia="zh-CN"/>
        </w:rPr>
        <w:t xml:space="preserve">. </w:t>
      </w:r>
    </w:p>
    <w:p w:rsidR="009E7EC7" w:rsidRDefault="009E7EC7" w:rsidP="009E7EC7">
      <w:pPr>
        <w:pStyle w:val="Heading2"/>
        <w:rPr>
          <w:rFonts w:ascii="Times New Roman" w:hAnsi="Times New Roman" w:cs="Times New Roman"/>
          <w:sz w:val="22"/>
          <w:szCs w:val="22"/>
        </w:rPr>
      </w:pPr>
    </w:p>
    <w:p w:rsidR="009E7EC7" w:rsidRPr="00C6160D" w:rsidRDefault="009E7EC7" w:rsidP="009E7EC7">
      <w:pPr>
        <w:pStyle w:val="Heading2"/>
        <w:rPr>
          <w:rFonts w:ascii="Times New Roman" w:hAnsi="Times New Roman" w:cs="Times New Roman"/>
          <w:b w:val="0"/>
          <w:sz w:val="24"/>
          <w:szCs w:val="22"/>
          <w:u w:val="single"/>
        </w:rPr>
      </w:pPr>
      <w:r w:rsidRPr="00C6160D">
        <w:rPr>
          <w:rFonts w:ascii="Times New Roman" w:hAnsi="Times New Roman" w:cs="Times New Roman"/>
          <w:b w:val="0"/>
          <w:sz w:val="24"/>
          <w:szCs w:val="22"/>
          <w:u w:val="single"/>
        </w:rPr>
        <w:t>Paediatric Use</w:t>
      </w:r>
    </w:p>
    <w:p w:rsidR="009E7EC7" w:rsidRDefault="009E7EC7" w:rsidP="009E7EC7">
      <w:pPr>
        <w:rPr>
          <w:lang w:eastAsia="en-US"/>
        </w:rPr>
      </w:pPr>
      <w:r>
        <w:rPr>
          <w:lang w:eastAsia="en-US"/>
        </w:rPr>
        <w:t xml:space="preserve">The safety and effectiveness of cyclizine in the treatment of post-operative nausea and vomiting has not been assessed.  Children may be more sensitive to the anticholinergic side effects of cyclizine. Use is not recommended. </w:t>
      </w:r>
    </w:p>
    <w:p w:rsidR="004C62FF" w:rsidRPr="00F0196F" w:rsidRDefault="009E7EC7" w:rsidP="009E7EC7">
      <w:pPr>
        <w:spacing w:before="100" w:beforeAutospacing="1" w:after="75"/>
        <w:rPr>
          <w:color w:val="000000"/>
          <w:lang w:val="en-GB" w:eastAsia="en-GB"/>
        </w:rPr>
      </w:pPr>
      <w:r w:rsidRPr="00F0196F">
        <w:rPr>
          <w:color w:val="000000"/>
          <w:u w:val="single"/>
          <w:lang w:val="en-GB" w:eastAsia="en-GB"/>
        </w:rPr>
        <w:t>Use in the Elderly</w:t>
      </w:r>
      <w:r w:rsidRPr="00F0196F">
        <w:rPr>
          <w:color w:val="000000"/>
          <w:lang w:val="en-GB" w:eastAsia="en-GB"/>
        </w:rPr>
        <w:t xml:space="preserve"> </w:t>
      </w:r>
    </w:p>
    <w:p w:rsidR="004C62FF" w:rsidRDefault="009E7EC7" w:rsidP="004C62FF">
      <w:pPr>
        <w:spacing w:after="75"/>
        <w:rPr>
          <w:u w:val="single"/>
        </w:rPr>
      </w:pPr>
      <w:r w:rsidRPr="00471034">
        <w:rPr>
          <w:color w:val="000000"/>
          <w:lang w:val="en-GB" w:eastAsia="en-GB"/>
        </w:rPr>
        <w:t>There have been no specific studies of VALOID in the elderly. Experience has indicated that normal adult dosage is appropriate.</w:t>
      </w:r>
    </w:p>
    <w:p w:rsidR="004C62FF" w:rsidRDefault="004C62FF" w:rsidP="004C62FF">
      <w:pPr>
        <w:spacing w:before="100" w:beforeAutospacing="1" w:after="75"/>
        <w:rPr>
          <w:u w:val="single"/>
        </w:rPr>
      </w:pPr>
    </w:p>
    <w:p w:rsidR="004C62FF" w:rsidRDefault="004C62FF" w:rsidP="004C62FF">
      <w:pPr>
        <w:spacing w:before="100" w:beforeAutospacing="1" w:after="75"/>
        <w:rPr>
          <w:u w:val="single"/>
        </w:rPr>
      </w:pPr>
    </w:p>
    <w:p w:rsidR="004C62FF" w:rsidRDefault="009E7EC7" w:rsidP="004C62FF">
      <w:pPr>
        <w:spacing w:before="100" w:beforeAutospacing="1" w:after="75"/>
      </w:pPr>
      <w:r w:rsidRPr="00F0196F">
        <w:rPr>
          <w:u w:val="single"/>
        </w:rPr>
        <w:t>Genotoxicity</w:t>
      </w:r>
    </w:p>
    <w:p w:rsidR="00F5633F" w:rsidRDefault="009E7EC7" w:rsidP="004C62FF">
      <w:pPr>
        <w:spacing w:after="75"/>
      </w:pPr>
      <w:r>
        <w:t xml:space="preserve">In bacterial reverse mutation assays, cyclizine </w:t>
      </w:r>
      <w:r w:rsidRPr="00C54B91">
        <w:rPr>
          <w:i/>
        </w:rPr>
        <w:t>per se</w:t>
      </w:r>
      <w:r>
        <w:t xml:space="preserve"> was negative in all tested strains, while nitrosated cyclizine was positive in some strains.  No other genotoxicity studies have been conducted with cyclizine. </w:t>
      </w:r>
    </w:p>
    <w:p w:rsidR="009472D2" w:rsidRDefault="009472D2" w:rsidP="00FD6564">
      <w:pPr>
        <w:autoSpaceDE w:val="0"/>
        <w:autoSpaceDN w:val="0"/>
        <w:adjustRightInd w:val="0"/>
      </w:pPr>
    </w:p>
    <w:p w:rsidR="009472D2" w:rsidRPr="009472D2" w:rsidRDefault="009472D2" w:rsidP="00FD6564">
      <w:pPr>
        <w:autoSpaceDE w:val="0"/>
        <w:autoSpaceDN w:val="0"/>
        <w:adjustRightInd w:val="0"/>
        <w:rPr>
          <w:u w:val="single"/>
        </w:rPr>
      </w:pPr>
      <w:r w:rsidRPr="009472D2">
        <w:rPr>
          <w:u w:val="single"/>
        </w:rPr>
        <w:t>Effects on ability to drive and operative machines</w:t>
      </w:r>
    </w:p>
    <w:p w:rsidR="009472D2" w:rsidRDefault="009472D2" w:rsidP="009472D2">
      <w:pPr>
        <w:autoSpaceDE w:val="0"/>
        <w:autoSpaceDN w:val="0"/>
        <w:adjustRightInd w:val="0"/>
      </w:pPr>
      <w:r>
        <w:t xml:space="preserve">Patients given intravenous cyclizine should not drive or operate machinery until they have determined their own response. </w:t>
      </w:r>
    </w:p>
    <w:p w:rsidR="007E20BB" w:rsidRDefault="007E20BB" w:rsidP="009472D2">
      <w:pPr>
        <w:autoSpaceDE w:val="0"/>
        <w:autoSpaceDN w:val="0"/>
        <w:adjustRightInd w:val="0"/>
      </w:pPr>
    </w:p>
    <w:p w:rsidR="009472D2" w:rsidRDefault="009472D2" w:rsidP="009472D2">
      <w:pPr>
        <w:autoSpaceDE w:val="0"/>
        <w:autoSpaceDN w:val="0"/>
        <w:adjustRightInd w:val="0"/>
      </w:pPr>
      <w:r>
        <w:t>Although there are no data available, patients should be cautioned that VALOID may have additive effects with alcohol and other central nervous system depressants, e.g. anaesthetic agents, hypnotics and tranquillizers.</w:t>
      </w:r>
    </w:p>
    <w:p w:rsidR="00BF087A" w:rsidRPr="00C54B91" w:rsidRDefault="00BF087A" w:rsidP="00FD6564">
      <w:pPr>
        <w:spacing w:before="100" w:beforeAutospacing="1" w:after="75"/>
      </w:pPr>
      <w:r w:rsidRPr="00C54B91">
        <w:rPr>
          <w:b/>
        </w:rPr>
        <w:t>Interaction with other medicines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VALOID may have additive effects with alcohol and other central nervous system depressants e.g. hypnotics, tranquilisers, anaesthetics. </w:t>
      </w:r>
    </w:p>
    <w:p w:rsidR="00C54B91" w:rsidRDefault="00BF087A" w:rsidP="00471034">
      <w:pPr>
        <w:spacing w:before="100" w:beforeAutospacing="1" w:after="75"/>
        <w:rPr>
          <w:color w:val="000000"/>
          <w:lang w:val="en-GB" w:eastAsia="en-GB"/>
        </w:rPr>
      </w:pPr>
      <w:r w:rsidRPr="00471034">
        <w:rPr>
          <w:color w:val="000000"/>
          <w:lang w:val="en-GB" w:eastAsia="en-GB"/>
        </w:rPr>
        <w:t xml:space="preserve">VALOID enhances the soporific effect of pethidine. </w:t>
      </w:r>
      <w:r w:rsidR="00C54B91">
        <w:rPr>
          <w:color w:val="000000"/>
          <w:lang w:val="en-GB" w:eastAsia="en-GB"/>
        </w:rPr>
        <w:t xml:space="preserve"> In nonclinical studies, cyclizine potentiated the antiociceptive effects of pentazocine and morphine in rodents. </w:t>
      </w:r>
    </w:p>
    <w:p w:rsidR="00BF087A" w:rsidRPr="00471034" w:rsidRDefault="00BF087A" w:rsidP="00471034">
      <w:pPr>
        <w:spacing w:before="100" w:beforeAutospacing="1" w:after="75"/>
        <w:rPr>
          <w:color w:val="000000"/>
          <w:lang w:val="en-GB" w:eastAsia="en-GB"/>
        </w:rPr>
      </w:pPr>
      <w:r w:rsidRPr="00471034">
        <w:rPr>
          <w:color w:val="000000"/>
          <w:lang w:val="en-GB" w:eastAsia="en-GB"/>
        </w:rPr>
        <w:t>Because of its anticholinergic activity, cyclizine may enhance the side-effects of other anticholinergic drugs.</w:t>
      </w:r>
    </w:p>
    <w:p w:rsidR="00BF087A" w:rsidRDefault="00BF087A" w:rsidP="00471034">
      <w:pPr>
        <w:spacing w:before="100" w:beforeAutospacing="1" w:after="75"/>
        <w:rPr>
          <w:bCs/>
        </w:rPr>
      </w:pPr>
      <w:r w:rsidRPr="00471034">
        <w:rPr>
          <w:color w:val="000000"/>
          <w:lang w:val="en-GB" w:eastAsia="en-GB"/>
        </w:rPr>
        <w:t xml:space="preserve">In studies in which atropine has been used part of the anaesthetic regime, cyclizine has been found to be not effective in treating PONV. This may be due to </w:t>
      </w:r>
      <w:r w:rsidRPr="00471034">
        <w:rPr>
          <w:bCs/>
        </w:rPr>
        <w:t xml:space="preserve">the central anti-cholinergic activity of atropine affecting the anti-emetic effect of cyclizine.  </w:t>
      </w:r>
    </w:p>
    <w:p w:rsidR="00C54B91" w:rsidRDefault="00C54B91" w:rsidP="00471034">
      <w:pPr>
        <w:spacing w:before="100" w:beforeAutospacing="1" w:after="75"/>
        <w:rPr>
          <w:color w:val="000000"/>
          <w:lang w:val="en-GB" w:eastAsia="en-GB"/>
        </w:rPr>
      </w:pPr>
      <w:r>
        <w:rPr>
          <w:i/>
          <w:color w:val="000000"/>
          <w:lang w:val="en-GB" w:eastAsia="en-GB"/>
        </w:rPr>
        <w:t>In vitro</w:t>
      </w:r>
      <w:r>
        <w:rPr>
          <w:color w:val="000000"/>
          <w:lang w:val="en-GB" w:eastAsia="en-GB"/>
        </w:rPr>
        <w:t xml:space="preserve"> studies using human liver preparations identified a we</w:t>
      </w:r>
      <w:r w:rsidR="00EF7A79">
        <w:rPr>
          <w:color w:val="000000"/>
          <w:lang w:val="en-GB" w:eastAsia="en-GB"/>
        </w:rPr>
        <w:t>a</w:t>
      </w:r>
      <w:r>
        <w:rPr>
          <w:color w:val="000000"/>
          <w:lang w:val="en-GB" w:eastAsia="en-GB"/>
        </w:rPr>
        <w:t>k inhibitory effect of cyclizine on CYP2D6 (IC</w:t>
      </w:r>
      <w:r w:rsidRPr="00C54B91">
        <w:rPr>
          <w:color w:val="000000"/>
          <w:vertAlign w:val="subscript"/>
          <w:lang w:val="en-GB" w:eastAsia="en-GB"/>
        </w:rPr>
        <w:t>50</w:t>
      </w:r>
      <w:r>
        <w:rPr>
          <w:color w:val="000000"/>
          <w:lang w:val="en-GB" w:eastAsia="en-GB"/>
        </w:rPr>
        <w:t xml:space="preserve"> 109µM) which is unlikely to be clinically relevant, and moderate inhibitory activity on estrone sulfotransferase at a concentration (IC</w:t>
      </w:r>
      <w:r w:rsidRPr="00C54B91">
        <w:rPr>
          <w:color w:val="000000"/>
          <w:vertAlign w:val="subscript"/>
          <w:lang w:val="en-GB" w:eastAsia="en-GB"/>
        </w:rPr>
        <w:t>50</w:t>
      </w:r>
      <w:r>
        <w:rPr>
          <w:color w:val="000000"/>
          <w:lang w:val="en-GB" w:eastAsia="en-GB"/>
        </w:rPr>
        <w:t xml:space="preserve"> 0.44µM) close to clinical plasma concentrations, although the clinical significance is not known.</w:t>
      </w:r>
    </w:p>
    <w:p w:rsidR="004C24EA" w:rsidRDefault="004C24EA" w:rsidP="009D0605">
      <w:pPr>
        <w:pStyle w:val="Heading1"/>
        <w:rPr>
          <w:sz w:val="28"/>
          <w:szCs w:val="28"/>
        </w:rPr>
      </w:pPr>
    </w:p>
    <w:p w:rsidR="00BF087A" w:rsidRDefault="00BF087A" w:rsidP="009D0605">
      <w:pPr>
        <w:pStyle w:val="Heading1"/>
        <w:rPr>
          <w:sz w:val="28"/>
          <w:szCs w:val="28"/>
        </w:rPr>
      </w:pPr>
      <w:r w:rsidRPr="00471034">
        <w:rPr>
          <w:sz w:val="28"/>
          <w:szCs w:val="28"/>
        </w:rPr>
        <w:t>Adverse</w:t>
      </w:r>
      <w:r w:rsidRPr="00AC5CD4">
        <w:t xml:space="preserve"> </w:t>
      </w:r>
      <w:r w:rsidR="00791165">
        <w:rPr>
          <w:sz w:val="28"/>
          <w:szCs w:val="28"/>
        </w:rPr>
        <w:t>effects</w:t>
      </w:r>
    </w:p>
    <w:p w:rsidR="00A80C7B" w:rsidRDefault="00A80C7B" w:rsidP="00A80C7B">
      <w:pPr>
        <w:rPr>
          <w:lang w:eastAsia="en-US"/>
        </w:rPr>
      </w:pPr>
      <w:r>
        <w:rPr>
          <w:lang w:eastAsia="en-US"/>
        </w:rPr>
        <w:t xml:space="preserve">The incidence of adverse effects due to cyclizine alone has not been examined in clinical trials and the incidence of adverse events listed in this section has not been accurately determined.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Blood and lymphatic system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Agranulocytosis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Cardiac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Tachycardia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Eye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Blurred vision, oculogyric crisis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Gastrointestinal system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Dryness of the mouth, nose and throat, constipation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General disorders and administration site conditions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Asthenia </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Injection site reactions including vein tracking, erythema, pain, thrombophlebitis and blisters. A sensation of heaviness, chills and pruritus have been reported rarely. </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Anaphylaxis has been recorded following intravenous administration of cyclizine co-administered with </w:t>
      </w:r>
      <w:r w:rsidRPr="009B2CF8">
        <w:rPr>
          <w:lang w:val="en-GB" w:eastAsia="en-GB"/>
        </w:rPr>
        <w:t>propanidid</w:t>
      </w:r>
      <w:r w:rsidRPr="00471034">
        <w:rPr>
          <w:color w:val="000000"/>
          <w:lang w:val="en-GB" w:eastAsia="en-GB"/>
        </w:rPr>
        <w:t xml:space="preserve"> in the same syringe.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Hepatobiliary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Hepatic dysfunction, hypersensitivity hepatitis, cholestatic jaundice and cholestatic hepatitis have occurred in association with cyclizine.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Immune system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Hypersensitivity reactions, including anaphylaxis have occurred.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Musculoskeletal and connective tissue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Twitching, muscle spasms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Nervous system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Effects on the central nervous system have been reported with cyclizine</w:t>
      </w:r>
      <w:r w:rsidR="00F43EDE">
        <w:rPr>
          <w:color w:val="000000"/>
          <w:lang w:val="en-GB" w:eastAsia="en-GB"/>
        </w:rPr>
        <w:t>. T</w:t>
      </w:r>
      <w:r w:rsidRPr="00471034">
        <w:rPr>
          <w:color w:val="000000"/>
          <w:lang w:val="en-GB" w:eastAsia="en-GB"/>
        </w:rPr>
        <w:t xml:space="preserve">hese include somnolence, headache, dystonia, dyskinesia, extrapyramidal motor disturbances, tremor, convulsions, dizziness, decreased consciousness, transient speech disorders, paraesthesia and generalised chorea. </w:t>
      </w:r>
    </w:p>
    <w:p w:rsidR="00BF087A" w:rsidRPr="00471034" w:rsidRDefault="00BF087A" w:rsidP="00471034">
      <w:pPr>
        <w:spacing w:before="100" w:beforeAutospacing="1" w:after="75"/>
        <w:rPr>
          <w:color w:val="000000"/>
          <w:lang w:val="en-GB" w:eastAsia="en-GB"/>
        </w:rPr>
      </w:pPr>
      <w:r w:rsidRPr="00471034">
        <w:rPr>
          <w:color w:val="000000"/>
          <w:lang w:val="en-GB" w:eastAsia="en-GB"/>
        </w:rPr>
        <w:t>There have been rare case reports of patients experiencing depressed levels of consciousness/loss of consciousness. The use of cyclizine has been associated with cases of transient paralysis following administration of the intravenous formulation of the medicine. The onset of paralysis is usually within minutes of administration, affects the limbs, and fully resolves within hours of discontinuation of the medicine.</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Psychiatric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Disorientation, restlessness or agitation, nervousness, insomnia and auditory and visual hallucinations have been reported, particularly when dosage recommendations have been exceeded.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Renal and urinary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Urinary retention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Respiratory, thoracic and mediastinal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Bronchospasm, apnoea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Skin and subcutaneous tissue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Urticaria, pruritus, drug rash, angioedema, allergic skin reactions, fixed drug eruption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Vascular disorders</w:t>
      </w:r>
    </w:p>
    <w:p w:rsidR="00BF087A" w:rsidRPr="00471034" w:rsidRDefault="00BF087A" w:rsidP="00471034">
      <w:pPr>
        <w:spacing w:before="100" w:beforeAutospacing="1" w:after="75"/>
        <w:rPr>
          <w:color w:val="000000"/>
          <w:lang w:val="en-GB" w:eastAsia="en-GB"/>
        </w:rPr>
      </w:pPr>
      <w:r w:rsidRPr="00471034">
        <w:rPr>
          <w:color w:val="000000"/>
          <w:lang w:val="en-GB" w:eastAsia="en-GB"/>
        </w:rPr>
        <w:t>Hypertension, hypotension</w:t>
      </w:r>
    </w:p>
    <w:p w:rsidR="00951AEE" w:rsidRDefault="00951AEE" w:rsidP="009D0605">
      <w:pPr>
        <w:pStyle w:val="Heading1"/>
        <w:rPr>
          <w:sz w:val="28"/>
          <w:szCs w:val="28"/>
        </w:rPr>
      </w:pPr>
    </w:p>
    <w:p w:rsidR="00BF087A" w:rsidRDefault="00BF087A" w:rsidP="009D0605">
      <w:pPr>
        <w:pStyle w:val="Heading1"/>
        <w:rPr>
          <w:sz w:val="28"/>
          <w:szCs w:val="28"/>
        </w:rPr>
      </w:pPr>
      <w:r w:rsidRPr="00471034">
        <w:rPr>
          <w:sz w:val="28"/>
          <w:szCs w:val="28"/>
        </w:rPr>
        <w:t>Dosage</w:t>
      </w:r>
      <w:r w:rsidR="00951AEE">
        <w:rPr>
          <w:sz w:val="28"/>
          <w:szCs w:val="28"/>
        </w:rPr>
        <w:t xml:space="preserve"> and administration </w:t>
      </w:r>
    </w:p>
    <w:p w:rsidR="003702B8" w:rsidRPr="003702B8" w:rsidRDefault="003702B8" w:rsidP="003702B8">
      <w:pPr>
        <w:pStyle w:val="Heading4"/>
        <w:jc w:val="both"/>
        <w:rPr>
          <w:b w:val="0"/>
          <w:sz w:val="24"/>
          <w:szCs w:val="24"/>
        </w:rPr>
      </w:pPr>
      <w:r w:rsidRPr="003702B8">
        <w:rPr>
          <w:b w:val="0"/>
          <w:sz w:val="24"/>
          <w:szCs w:val="24"/>
        </w:rPr>
        <w:t>Treatment with VALOID should commence within first 24 hours of surgery and should not continue beyond 48 hours.</w:t>
      </w:r>
    </w:p>
    <w:p w:rsidR="003702B8" w:rsidRDefault="003702B8" w:rsidP="003702B8">
      <w:pPr>
        <w:pStyle w:val="Heading4"/>
        <w:jc w:val="both"/>
        <w:rPr>
          <w:sz w:val="24"/>
          <w:szCs w:val="24"/>
        </w:rPr>
      </w:pPr>
      <w:r w:rsidRPr="003702B8">
        <w:rPr>
          <w:b w:val="0"/>
          <w:sz w:val="24"/>
          <w:szCs w:val="24"/>
        </w:rPr>
        <w:t xml:space="preserve">There are no data on the use of VALOID in the treatment of established post-operative nausea and vomiting.  </w:t>
      </w:r>
    </w:p>
    <w:p w:rsidR="00BF087A" w:rsidRPr="00951AEE" w:rsidRDefault="00BF087A" w:rsidP="00471034">
      <w:pPr>
        <w:pStyle w:val="Heading4"/>
        <w:jc w:val="both"/>
        <w:rPr>
          <w:b w:val="0"/>
          <w:sz w:val="24"/>
          <w:szCs w:val="24"/>
        </w:rPr>
      </w:pPr>
      <w:r w:rsidRPr="00471034">
        <w:rPr>
          <w:sz w:val="24"/>
          <w:szCs w:val="24"/>
        </w:rPr>
        <w:t xml:space="preserve">Route of Administration: </w:t>
      </w:r>
      <w:r w:rsidRPr="00951AEE">
        <w:rPr>
          <w:b w:val="0"/>
          <w:sz w:val="24"/>
          <w:szCs w:val="24"/>
        </w:rPr>
        <w:t>intravenous</w:t>
      </w:r>
    </w:p>
    <w:p w:rsidR="00BF087A" w:rsidRPr="00471034" w:rsidRDefault="00BF087A" w:rsidP="00471034">
      <w:pPr>
        <w:pStyle w:val="Heading4"/>
        <w:jc w:val="both"/>
        <w:rPr>
          <w:sz w:val="24"/>
          <w:szCs w:val="24"/>
        </w:rPr>
      </w:pPr>
      <w:r w:rsidRPr="00471034">
        <w:rPr>
          <w:sz w:val="24"/>
          <w:szCs w:val="24"/>
        </w:rPr>
        <w:t>Adults</w:t>
      </w:r>
    </w:p>
    <w:p w:rsidR="00BF087A" w:rsidRPr="00AC5CD4" w:rsidRDefault="00BF087A" w:rsidP="00471034">
      <w:pPr>
        <w:jc w:val="both"/>
      </w:pPr>
      <w:r w:rsidRPr="00AC5CD4">
        <w:t>50 mg intravenously up to three times daily.</w:t>
      </w:r>
    </w:p>
    <w:p w:rsidR="00BF087A" w:rsidRPr="00AC5CD4" w:rsidRDefault="00BF087A" w:rsidP="00471034">
      <w:pPr>
        <w:jc w:val="both"/>
      </w:pPr>
      <w:r w:rsidRPr="00AC5CD4">
        <w:t xml:space="preserve">When used intravenously, </w:t>
      </w:r>
      <w:r>
        <w:t>VALOID</w:t>
      </w:r>
      <w:r w:rsidRPr="00AC5CD4">
        <w:t xml:space="preserve"> should be injected slowly into the bloodstream, with only minimal withdrawal of blood into the syringe.</w:t>
      </w:r>
    </w:p>
    <w:p w:rsidR="00BF087A" w:rsidRPr="00AC5CD4" w:rsidRDefault="00BF087A" w:rsidP="00471034">
      <w:pPr>
        <w:pStyle w:val="BodyTextIndent2"/>
        <w:spacing w:line="240" w:lineRule="auto"/>
        <w:ind w:left="0"/>
      </w:pPr>
      <w:r w:rsidRPr="00AC5CD4">
        <w:t>For the prevention of postoperative nausea and vomiting, administer the first dose by slow intravenous injection 20 minutes before the anticipated end of surgery.</w:t>
      </w:r>
    </w:p>
    <w:p w:rsidR="00EF7A79" w:rsidRDefault="00EF7A79" w:rsidP="009D0605">
      <w:pPr>
        <w:pStyle w:val="Heading1"/>
        <w:rPr>
          <w:sz w:val="28"/>
          <w:szCs w:val="28"/>
        </w:rPr>
      </w:pPr>
    </w:p>
    <w:p w:rsidR="00BF087A" w:rsidRPr="00AC5CD4" w:rsidRDefault="00BF087A" w:rsidP="009D0605">
      <w:pPr>
        <w:pStyle w:val="Heading1"/>
      </w:pPr>
      <w:r w:rsidRPr="00471034">
        <w:rPr>
          <w:sz w:val="28"/>
          <w:szCs w:val="28"/>
        </w:rPr>
        <w:t>Overdosage</w:t>
      </w:r>
    </w:p>
    <w:p w:rsidR="00BF087A" w:rsidRPr="00471034" w:rsidRDefault="00BF087A" w:rsidP="00471034">
      <w:pPr>
        <w:spacing w:before="100" w:beforeAutospacing="1" w:after="75"/>
        <w:rPr>
          <w:color w:val="000000"/>
          <w:lang w:val="en-GB" w:eastAsia="en-GB"/>
        </w:rPr>
      </w:pPr>
      <w:bookmarkStart w:id="1" w:name="PHARMACOLOGICAL_PROPS"/>
      <w:bookmarkEnd w:id="1"/>
      <w:r w:rsidRPr="00471034">
        <w:rPr>
          <w:color w:val="000000"/>
          <w:u w:val="single"/>
          <w:lang w:val="en-GB" w:eastAsia="en-GB"/>
        </w:rPr>
        <w:t>Symptoms</w:t>
      </w:r>
      <w:r w:rsidRPr="00471034">
        <w:rPr>
          <w:color w:val="000000"/>
          <w:lang w:val="en-GB" w:eastAsia="en-GB"/>
        </w:rPr>
        <w:t xml:space="preserve"> </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Symptoms of acute toxicity from cyclizine arise from peripheral anticholinergic effects and effects on the central nervous system. </w:t>
      </w:r>
    </w:p>
    <w:p w:rsidR="00BF087A" w:rsidRPr="00471034" w:rsidRDefault="00BF087A" w:rsidP="00471034">
      <w:pPr>
        <w:spacing w:before="100" w:beforeAutospacing="1" w:after="75"/>
        <w:rPr>
          <w:color w:val="000000"/>
          <w:lang w:val="en-GB" w:eastAsia="en-GB"/>
        </w:rPr>
      </w:pPr>
      <w:r w:rsidRPr="00471034">
        <w:rPr>
          <w:color w:val="000000"/>
          <w:lang w:val="en-GB" w:eastAsia="en-GB"/>
        </w:rPr>
        <w:t xml:space="preserve">Peripheral anticholinergic symptoms include, dry mouth, nose and throat, blurred vision, tachycardia and urinary retention. Central nervous system effects include drowsiness, dizziness, incoordination, ataxia, weakness, hyperexcitability, disorientation, impaired judgement, hallucinations, hyperkinesia, extrapyramidal motor disturbances, convulsions, hyperpyrexia and respiratory depression. </w:t>
      </w:r>
    </w:p>
    <w:p w:rsidR="00BF087A" w:rsidRPr="00471034" w:rsidRDefault="00BF087A" w:rsidP="00471034">
      <w:pPr>
        <w:spacing w:before="100" w:beforeAutospacing="1" w:after="75"/>
        <w:rPr>
          <w:color w:val="000000"/>
          <w:lang w:val="en-GB" w:eastAsia="en-GB"/>
        </w:rPr>
      </w:pPr>
      <w:r w:rsidRPr="00471034">
        <w:rPr>
          <w:color w:val="000000"/>
          <w:u w:val="single"/>
          <w:lang w:val="en-GB" w:eastAsia="en-GB"/>
        </w:rPr>
        <w:t>Treatment</w:t>
      </w:r>
    </w:p>
    <w:p w:rsidR="00BF087A" w:rsidRPr="00AC5CD4" w:rsidRDefault="00BF087A" w:rsidP="009D0605">
      <w:r w:rsidRPr="00471034">
        <w:rPr>
          <w:color w:val="000000"/>
          <w:lang w:val="en-GB" w:eastAsia="en-GB"/>
        </w:rPr>
        <w:t>In the management of acute overdosage with VALOID, supportive measures for respiration and circulation should be performed if necessary. Convulsions should be controlled in the usual way with parenteral anticonvulsant therapy.</w:t>
      </w:r>
      <w:r w:rsidRPr="00AC5CD4">
        <w:t xml:space="preserve"> </w:t>
      </w:r>
    </w:p>
    <w:p w:rsidR="00BF087A" w:rsidRPr="00AC5CD4" w:rsidRDefault="00BF087A" w:rsidP="009D0605">
      <w:r w:rsidRPr="00AC5CD4">
        <w:t>In case of overdose, immediately contact the Poisons Information Centre (in Australia, call 13 11 26 for advice).</w:t>
      </w:r>
    </w:p>
    <w:p w:rsidR="00951AEE" w:rsidRDefault="00951AEE" w:rsidP="009D0605">
      <w:pPr>
        <w:pStyle w:val="Heading1"/>
        <w:rPr>
          <w:sz w:val="28"/>
          <w:szCs w:val="28"/>
        </w:rPr>
      </w:pPr>
    </w:p>
    <w:p w:rsidR="00BF087A" w:rsidRPr="00AC5CD4" w:rsidRDefault="00BF087A" w:rsidP="009D0605">
      <w:pPr>
        <w:pStyle w:val="Heading1"/>
      </w:pPr>
      <w:r w:rsidRPr="00471034">
        <w:rPr>
          <w:sz w:val="28"/>
          <w:szCs w:val="28"/>
        </w:rPr>
        <w:t>Presentation</w:t>
      </w:r>
      <w:r w:rsidR="00951AEE">
        <w:rPr>
          <w:sz w:val="28"/>
          <w:szCs w:val="28"/>
        </w:rPr>
        <w:t xml:space="preserve"> and storage conditions</w:t>
      </w:r>
    </w:p>
    <w:p w:rsidR="00BF087A" w:rsidRPr="00AC5CD4" w:rsidRDefault="00BF087A" w:rsidP="00471034">
      <w:pPr>
        <w:jc w:val="both"/>
      </w:pPr>
      <w:r w:rsidRPr="00AC5CD4">
        <w:t>1m</w:t>
      </w:r>
      <w:r w:rsidR="00792D1D">
        <w:t>L</w:t>
      </w:r>
      <w:r w:rsidRPr="00AC5CD4">
        <w:t xml:space="preserve"> neutral glass ampoules. Five ampoules in a carton.</w:t>
      </w:r>
    </w:p>
    <w:p w:rsidR="00792D1D" w:rsidRPr="00951AEE" w:rsidRDefault="00951AEE" w:rsidP="00471034">
      <w:pPr>
        <w:jc w:val="both"/>
      </w:pPr>
      <w:r>
        <w:t xml:space="preserve">Each mL contains </w:t>
      </w:r>
      <w:r w:rsidRPr="00AC5CD4">
        <w:t>50 mg cyclizine lactat</w:t>
      </w:r>
      <w:r>
        <w:t>e</w:t>
      </w:r>
    </w:p>
    <w:p w:rsidR="00951AEE" w:rsidRDefault="00951AEE" w:rsidP="00471034">
      <w:pPr>
        <w:jc w:val="both"/>
        <w:rPr>
          <w:b/>
        </w:rPr>
      </w:pPr>
    </w:p>
    <w:p w:rsidR="00BF087A" w:rsidRPr="00471034" w:rsidRDefault="00BF087A" w:rsidP="00471034">
      <w:pPr>
        <w:jc w:val="both"/>
        <w:rPr>
          <w:b/>
        </w:rPr>
      </w:pPr>
      <w:r w:rsidRPr="00471034">
        <w:rPr>
          <w:b/>
        </w:rPr>
        <w:t>Shelf Life</w:t>
      </w:r>
    </w:p>
    <w:p w:rsidR="00BF087A" w:rsidRPr="00AC5CD4" w:rsidRDefault="00BF087A" w:rsidP="00471034">
      <w:pPr>
        <w:jc w:val="both"/>
      </w:pPr>
      <w:bookmarkStart w:id="2" w:name="ShelfLife"/>
      <w:bookmarkEnd w:id="2"/>
      <w:r w:rsidRPr="00AC5CD4">
        <w:t>Four years</w:t>
      </w:r>
    </w:p>
    <w:p w:rsidR="00792D1D" w:rsidRDefault="00792D1D" w:rsidP="00471034">
      <w:pPr>
        <w:jc w:val="both"/>
        <w:rPr>
          <w:b/>
        </w:rPr>
      </w:pPr>
    </w:p>
    <w:p w:rsidR="00BF087A" w:rsidRPr="00471034" w:rsidRDefault="00BF087A" w:rsidP="00471034">
      <w:pPr>
        <w:jc w:val="both"/>
        <w:rPr>
          <w:b/>
        </w:rPr>
      </w:pPr>
      <w:r w:rsidRPr="00471034">
        <w:rPr>
          <w:b/>
        </w:rPr>
        <w:t>Special Precautions for Storage</w:t>
      </w:r>
    </w:p>
    <w:p w:rsidR="00BF087A" w:rsidRPr="00AC5CD4" w:rsidRDefault="00BF087A" w:rsidP="00471034">
      <w:pPr>
        <w:jc w:val="both"/>
      </w:pPr>
      <w:bookmarkStart w:id="3" w:name="Storage"/>
      <w:bookmarkEnd w:id="3"/>
      <w:r w:rsidRPr="00AC5CD4">
        <w:t>Store below 25ºC</w:t>
      </w:r>
    </w:p>
    <w:p w:rsidR="00BF087A" w:rsidRPr="00AC5CD4" w:rsidRDefault="00BF087A" w:rsidP="00471034">
      <w:pPr>
        <w:jc w:val="both"/>
      </w:pPr>
      <w:r w:rsidRPr="00AC5CD4">
        <w:t>Protect from light, keep the ampoule in the outer carton.</w:t>
      </w:r>
    </w:p>
    <w:p w:rsidR="00BF087A" w:rsidRPr="00471034" w:rsidRDefault="00BF087A" w:rsidP="009D0605">
      <w:pPr>
        <w:pStyle w:val="NormalWeb"/>
        <w:rPr>
          <w:lang w:val="en-AU"/>
        </w:rPr>
      </w:pPr>
      <w:r w:rsidRPr="00471034">
        <w:rPr>
          <w:lang w:val="en-AU"/>
        </w:rPr>
        <w:t xml:space="preserve">AUST R </w:t>
      </w:r>
      <w:r w:rsidR="004C7A84">
        <w:rPr>
          <w:lang w:val="en-AU"/>
        </w:rPr>
        <w:t>180894</w:t>
      </w:r>
    </w:p>
    <w:p w:rsidR="00BF087A" w:rsidRPr="00471034" w:rsidRDefault="00BF087A" w:rsidP="009D0605">
      <w:pPr>
        <w:rPr>
          <w:b/>
          <w:bCs/>
          <w:sz w:val="28"/>
          <w:szCs w:val="28"/>
        </w:rPr>
      </w:pPr>
      <w:r w:rsidRPr="00471034">
        <w:rPr>
          <w:b/>
          <w:bCs/>
          <w:sz w:val="28"/>
          <w:szCs w:val="28"/>
        </w:rPr>
        <w:t>Name and address of sponsor</w:t>
      </w:r>
    </w:p>
    <w:p w:rsidR="00BF087A" w:rsidRPr="00471034" w:rsidRDefault="00BF087A" w:rsidP="009D0605">
      <w:pPr>
        <w:rPr>
          <w:bCs/>
        </w:rPr>
      </w:pPr>
      <w:r w:rsidRPr="00471034">
        <w:rPr>
          <w:bCs/>
        </w:rPr>
        <w:t>Link Medical Products Pty Ltd</w:t>
      </w:r>
    </w:p>
    <w:p w:rsidR="00BF087A" w:rsidRPr="00AC5CD4" w:rsidRDefault="00BF087A" w:rsidP="009D0605">
      <w:r w:rsidRPr="00AC5CD4">
        <w:t xml:space="preserve">5 Apollo </w:t>
      </w:r>
      <w:r>
        <w:t>St.</w:t>
      </w:r>
    </w:p>
    <w:p w:rsidR="00BF087A" w:rsidRPr="00AC5CD4" w:rsidRDefault="00BF087A" w:rsidP="009D0605">
      <w:r w:rsidRPr="00AC5CD4">
        <w:t>Warriewood, NSW 2102</w:t>
      </w:r>
    </w:p>
    <w:p w:rsidR="00951AEE" w:rsidRDefault="00951AEE" w:rsidP="009D0605">
      <w:pPr>
        <w:rPr>
          <w:b/>
          <w:sz w:val="28"/>
          <w:szCs w:val="28"/>
        </w:rPr>
      </w:pPr>
    </w:p>
    <w:p w:rsidR="00BF087A" w:rsidRPr="00471034" w:rsidRDefault="00BF087A" w:rsidP="009D0605">
      <w:pPr>
        <w:rPr>
          <w:b/>
          <w:sz w:val="28"/>
          <w:szCs w:val="28"/>
        </w:rPr>
      </w:pPr>
      <w:r w:rsidRPr="00471034">
        <w:rPr>
          <w:b/>
          <w:sz w:val="28"/>
          <w:szCs w:val="28"/>
        </w:rPr>
        <w:t xml:space="preserve">Poison schedule </w:t>
      </w:r>
      <w:r w:rsidR="004C7A84">
        <w:rPr>
          <w:b/>
          <w:sz w:val="28"/>
          <w:szCs w:val="28"/>
        </w:rPr>
        <w:t>of the medicine</w:t>
      </w:r>
    </w:p>
    <w:p w:rsidR="00BF087A" w:rsidRPr="00AC5CD4" w:rsidRDefault="00BF087A" w:rsidP="009D0605">
      <w:r w:rsidRPr="00AC5CD4">
        <w:t>Prescription only medicine - S4</w:t>
      </w:r>
    </w:p>
    <w:p w:rsidR="00951AEE" w:rsidRDefault="00951AEE" w:rsidP="009D0605">
      <w:pPr>
        <w:rPr>
          <w:b/>
          <w:sz w:val="28"/>
          <w:szCs w:val="28"/>
        </w:rPr>
      </w:pPr>
    </w:p>
    <w:p w:rsidR="00BF087A" w:rsidRPr="00471034" w:rsidRDefault="00BF087A" w:rsidP="009D0605">
      <w:pPr>
        <w:rPr>
          <w:b/>
          <w:sz w:val="28"/>
          <w:szCs w:val="28"/>
        </w:rPr>
      </w:pPr>
      <w:r w:rsidRPr="00471034">
        <w:rPr>
          <w:b/>
          <w:sz w:val="28"/>
          <w:szCs w:val="28"/>
        </w:rPr>
        <w:t xml:space="preserve">Date of </w:t>
      </w:r>
      <w:r w:rsidR="00D71F50">
        <w:rPr>
          <w:b/>
          <w:sz w:val="28"/>
          <w:szCs w:val="28"/>
        </w:rPr>
        <w:t>fi</w:t>
      </w:r>
      <w:r w:rsidR="00005D5B">
        <w:rPr>
          <w:b/>
          <w:sz w:val="28"/>
          <w:szCs w:val="28"/>
        </w:rPr>
        <w:t>r</w:t>
      </w:r>
      <w:r w:rsidR="00D71F50">
        <w:rPr>
          <w:b/>
          <w:sz w:val="28"/>
          <w:szCs w:val="28"/>
        </w:rPr>
        <w:t>st inclusion in the Australian Register of Therapeutic Goods (the ARTG)</w:t>
      </w:r>
    </w:p>
    <w:p w:rsidR="00BF087A" w:rsidRPr="00AC5CD4" w:rsidRDefault="00C239A0" w:rsidP="009D0605">
      <w:r>
        <w:t>19 June 2012</w:t>
      </w:r>
    </w:p>
    <w:p w:rsidR="00BF087A" w:rsidRPr="001E5808" w:rsidRDefault="00BF087A" w:rsidP="00054AEC"/>
    <w:sectPr w:rsidR="00BF087A" w:rsidRPr="001E5808" w:rsidSect="0092384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99C" w:rsidRDefault="0073599C">
      <w:r>
        <w:separator/>
      </w:r>
    </w:p>
  </w:endnote>
  <w:endnote w:type="continuationSeparator" w:id="0">
    <w:p w:rsidR="0073599C" w:rsidRDefault="00735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27" w:rsidRDefault="00EA32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99C" w:rsidRDefault="0073599C" w:rsidP="006F6940">
    <w:pPr>
      <w:pStyle w:val="Footer"/>
      <w:jc w:val="center"/>
    </w:pPr>
    <w:r>
      <w:t xml:space="preserve">- </w:t>
    </w:r>
    <w:r w:rsidR="001829DB">
      <w:fldChar w:fldCharType="begin"/>
    </w:r>
    <w:r>
      <w:instrText xml:space="preserve"> PAGE </w:instrText>
    </w:r>
    <w:r w:rsidR="001829DB">
      <w:fldChar w:fldCharType="separate"/>
    </w:r>
    <w:r w:rsidR="00EA3227">
      <w:rPr>
        <w:noProof/>
      </w:rPr>
      <w:t>1</w:t>
    </w:r>
    <w:r w:rsidR="001829DB">
      <w:rPr>
        <w:noProof/>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27" w:rsidRDefault="00EA32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99C" w:rsidRDefault="0073599C">
      <w:r>
        <w:separator/>
      </w:r>
    </w:p>
  </w:footnote>
  <w:footnote w:type="continuationSeparator" w:id="0">
    <w:p w:rsidR="0073599C" w:rsidRDefault="00735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27" w:rsidRDefault="00EA32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7EB" w:rsidRPr="00D361CA" w:rsidRDefault="00F257EB" w:rsidP="00F257EB">
    <w:pPr>
      <w:pStyle w:val="ListBullet"/>
      <w:numPr>
        <w:ilvl w:val="0"/>
        <w:numId w:val="0"/>
      </w:numPr>
      <w:ind w:left="360" w:hanging="360"/>
    </w:pPr>
  </w:p>
  <w:tbl>
    <w:tblPr>
      <w:tblStyle w:val="TableGrid"/>
      <w:tblW w:w="0" w:type="auto"/>
      <w:shd w:val="clear" w:color="auto" w:fill="E4F2E0"/>
      <w:tblLook w:val="04A0"/>
    </w:tblPr>
    <w:tblGrid>
      <w:gridCol w:w="8720"/>
    </w:tblGrid>
    <w:tr w:rsidR="00F257EB" w:rsidTr="004D47AD">
      <w:tc>
        <w:tcPr>
          <w:tcW w:w="8720" w:type="dxa"/>
          <w:shd w:val="clear" w:color="auto" w:fill="E4F2E0"/>
        </w:tcPr>
        <w:p w:rsidR="00F257EB" w:rsidRPr="00D361CA" w:rsidRDefault="00F257EB" w:rsidP="004D47AD">
          <w:pPr>
            <w:spacing w:before="40" w:after="40"/>
            <w:rPr>
              <w:b/>
              <w:sz w:val="20"/>
              <w:szCs w:val="20"/>
            </w:rPr>
          </w:pPr>
          <w:r w:rsidRPr="00D361CA">
            <w:rPr>
              <w:b/>
              <w:sz w:val="20"/>
              <w:szCs w:val="20"/>
            </w:rPr>
            <w:t>Attach</w:t>
          </w:r>
          <w:r>
            <w:rPr>
              <w:b/>
              <w:sz w:val="20"/>
              <w:szCs w:val="20"/>
            </w:rPr>
            <w:t>ment 1: Product information for AusPAR Valoid c</w:t>
          </w:r>
          <w:r w:rsidRPr="00F257EB">
            <w:rPr>
              <w:b/>
              <w:sz w:val="20"/>
              <w:szCs w:val="20"/>
            </w:rPr>
            <w:t>yclizine lactate Link Medical Products Pty Ltd PM-2010-03573-3-1  Final 15 January 2013</w:t>
          </w:r>
          <w:r w:rsidRPr="00D361CA">
            <w:rPr>
              <w:b/>
              <w:sz w:val="20"/>
              <w:szCs w:val="20"/>
            </w:rPr>
            <w:t>. This Product Information was approved at the time this AusPAR was published.</w:t>
          </w:r>
        </w:p>
      </w:tc>
    </w:tr>
  </w:tbl>
  <w:p w:rsidR="00F257EB" w:rsidRDefault="00F257EB" w:rsidP="00767CB1">
    <w:pPr>
      <w:pStyle w:val="Header"/>
      <w:rPr>
        <w:sz w:val="20"/>
        <w:szCs w:val="20"/>
      </w:rPr>
    </w:pPr>
  </w:p>
  <w:p w:rsidR="00767CB1" w:rsidRDefault="0073599C" w:rsidP="00767CB1">
    <w:pPr>
      <w:pStyle w:val="Header"/>
      <w:rPr>
        <w:sz w:val="20"/>
        <w:szCs w:val="20"/>
      </w:rPr>
    </w:pPr>
    <w:r w:rsidRPr="006F6940">
      <w:rPr>
        <w:sz w:val="20"/>
        <w:szCs w:val="20"/>
      </w:rPr>
      <w:t>V</w:t>
    </w:r>
    <w:r>
      <w:rPr>
        <w:sz w:val="20"/>
        <w:szCs w:val="20"/>
      </w:rPr>
      <w:t>ALOID</w:t>
    </w:r>
    <w:r w:rsidRPr="006F6940">
      <w:rPr>
        <w:sz w:val="20"/>
        <w:szCs w:val="20"/>
      </w:rPr>
      <w:t xml:space="preserve"> </w:t>
    </w:r>
    <w:r>
      <w:rPr>
        <w:sz w:val="20"/>
        <w:szCs w:val="20"/>
      </w:rPr>
      <w:t>c</w:t>
    </w:r>
    <w:r w:rsidRPr="006F6940">
      <w:rPr>
        <w:sz w:val="20"/>
        <w:szCs w:val="20"/>
      </w:rPr>
      <w:t>ycli</w:t>
    </w:r>
    <w:r>
      <w:rPr>
        <w:sz w:val="20"/>
        <w:szCs w:val="20"/>
      </w:rPr>
      <w:t>zi</w:t>
    </w:r>
    <w:r w:rsidRPr="006F6940">
      <w:rPr>
        <w:sz w:val="20"/>
        <w:szCs w:val="20"/>
      </w:rPr>
      <w:t>ne lactate</w:t>
    </w:r>
    <w:r w:rsidR="00767CB1">
      <w:rPr>
        <w:sz w:val="20"/>
        <w:szCs w:val="20"/>
      </w:rPr>
      <w:tab/>
    </w:r>
    <w:r w:rsidR="00767CB1" w:rsidRPr="006F6940">
      <w:rPr>
        <w:sz w:val="20"/>
        <w:szCs w:val="20"/>
      </w:rPr>
      <w:t>Product Information</w:t>
    </w:r>
  </w:p>
  <w:p w:rsidR="0073599C" w:rsidRDefault="00767CB1" w:rsidP="00767CB1">
    <w:pPr>
      <w:pStyle w:val="Header"/>
      <w:rPr>
        <w:sz w:val="20"/>
        <w:szCs w:val="20"/>
      </w:rPr>
    </w:pPr>
    <w:r>
      <w:rPr>
        <w:sz w:val="20"/>
        <w:szCs w:val="20"/>
      </w:rPr>
      <w:t>Injection 50mg/mL</w:t>
    </w:r>
    <w:r w:rsidR="0073599C">
      <w:rPr>
        <w:sz w:val="20"/>
        <w:szCs w:val="20"/>
      </w:rPr>
      <w:tab/>
    </w:r>
  </w:p>
  <w:p w:rsidR="0073599C" w:rsidRPr="006F6940" w:rsidRDefault="0073599C" w:rsidP="00767CB1">
    <w:pPr>
      <w:pStyle w:val="Header"/>
      <w:pBdr>
        <w:bottom w:val="single" w:sz="4" w:space="0" w:color="auto"/>
      </w:pBdr>
      <w:rPr>
        <w:sz w:val="20"/>
        <w:szCs w:val="20"/>
      </w:rPr>
    </w:pPr>
    <w:r>
      <w:rPr>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27" w:rsidRDefault="00EA32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55C8"/>
    <w:multiLevelType w:val="hybridMultilevel"/>
    <w:tmpl w:val="58D8CBDE"/>
    <w:lvl w:ilvl="0" w:tplc="D5D6143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3CEB4BDE"/>
    <w:multiLevelType w:val="hybridMultilevel"/>
    <w:tmpl w:val="AB0EAAE8"/>
    <w:lvl w:ilvl="0" w:tplc="D5D6143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nsid w:val="52066FEF"/>
    <w:multiLevelType w:val="hybridMultilevel"/>
    <w:tmpl w:val="EFD09A9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nsid w:val="71C569BB"/>
    <w:multiLevelType w:val="hybridMultilevel"/>
    <w:tmpl w:val="232CD6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Formatting/>
  <w:defaultTabStop w:val="567"/>
  <w:doNotHyphenateCaps/>
  <w:drawingGridHorizontalSpacing w:val="57"/>
  <w:displayHorizontalDrawingGridEvery w:val="0"/>
  <w:displayVerticalDrawingGridEvery w:val="0"/>
  <w:noPunctuationKerning/>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rsids>
    <w:rsidRoot w:val="00FA3F1E"/>
    <w:rsid w:val="00001A4E"/>
    <w:rsid w:val="00005D5B"/>
    <w:rsid w:val="00031BE3"/>
    <w:rsid w:val="0003203D"/>
    <w:rsid w:val="0005099D"/>
    <w:rsid w:val="00052BDB"/>
    <w:rsid w:val="00054AEC"/>
    <w:rsid w:val="000A0A2B"/>
    <w:rsid w:val="000A3E72"/>
    <w:rsid w:val="000D0659"/>
    <w:rsid w:val="000D098B"/>
    <w:rsid w:val="000D619F"/>
    <w:rsid w:val="000E71D9"/>
    <w:rsid w:val="000E78A1"/>
    <w:rsid w:val="001241F3"/>
    <w:rsid w:val="001242E6"/>
    <w:rsid w:val="00126424"/>
    <w:rsid w:val="001438FB"/>
    <w:rsid w:val="00147FA4"/>
    <w:rsid w:val="00160DA9"/>
    <w:rsid w:val="00163DE2"/>
    <w:rsid w:val="00175A3A"/>
    <w:rsid w:val="001829DB"/>
    <w:rsid w:val="00195972"/>
    <w:rsid w:val="001A30C9"/>
    <w:rsid w:val="001A35B6"/>
    <w:rsid w:val="001D1605"/>
    <w:rsid w:val="001D3F9F"/>
    <w:rsid w:val="001E411F"/>
    <w:rsid w:val="001E5808"/>
    <w:rsid w:val="001F250E"/>
    <w:rsid w:val="001F672E"/>
    <w:rsid w:val="00201A1F"/>
    <w:rsid w:val="00204DDA"/>
    <w:rsid w:val="00205CB3"/>
    <w:rsid w:val="002075B5"/>
    <w:rsid w:val="0021779F"/>
    <w:rsid w:val="00224D30"/>
    <w:rsid w:val="0023452D"/>
    <w:rsid w:val="0024060B"/>
    <w:rsid w:val="0024060C"/>
    <w:rsid w:val="00246289"/>
    <w:rsid w:val="002720FD"/>
    <w:rsid w:val="00291736"/>
    <w:rsid w:val="00292CD6"/>
    <w:rsid w:val="00296782"/>
    <w:rsid w:val="002A66B8"/>
    <w:rsid w:val="002A6E22"/>
    <w:rsid w:val="002B1A27"/>
    <w:rsid w:val="002C407D"/>
    <w:rsid w:val="002D3DEE"/>
    <w:rsid w:val="002E32FA"/>
    <w:rsid w:val="002F0C3A"/>
    <w:rsid w:val="003461DE"/>
    <w:rsid w:val="0035174C"/>
    <w:rsid w:val="0035436B"/>
    <w:rsid w:val="0036286A"/>
    <w:rsid w:val="003702B8"/>
    <w:rsid w:val="00373E32"/>
    <w:rsid w:val="003751B3"/>
    <w:rsid w:val="00391C69"/>
    <w:rsid w:val="003A633B"/>
    <w:rsid w:val="003C4704"/>
    <w:rsid w:val="003C7C26"/>
    <w:rsid w:val="003D216B"/>
    <w:rsid w:val="003D4C8E"/>
    <w:rsid w:val="003D58DE"/>
    <w:rsid w:val="003E3D1B"/>
    <w:rsid w:val="003E5630"/>
    <w:rsid w:val="003E7C40"/>
    <w:rsid w:val="003F3AA4"/>
    <w:rsid w:val="003F6E45"/>
    <w:rsid w:val="003F72C7"/>
    <w:rsid w:val="00402407"/>
    <w:rsid w:val="00415E07"/>
    <w:rsid w:val="00417782"/>
    <w:rsid w:val="00451F53"/>
    <w:rsid w:val="00464284"/>
    <w:rsid w:val="00471034"/>
    <w:rsid w:val="004A150A"/>
    <w:rsid w:val="004C24EA"/>
    <w:rsid w:val="004C62FF"/>
    <w:rsid w:val="004C6CB7"/>
    <w:rsid w:val="004C7A84"/>
    <w:rsid w:val="004D4F65"/>
    <w:rsid w:val="004D7F50"/>
    <w:rsid w:val="004E65E7"/>
    <w:rsid w:val="004F29BE"/>
    <w:rsid w:val="004F3D53"/>
    <w:rsid w:val="00503E58"/>
    <w:rsid w:val="00522D23"/>
    <w:rsid w:val="00533A61"/>
    <w:rsid w:val="00557167"/>
    <w:rsid w:val="00564E8B"/>
    <w:rsid w:val="005720E0"/>
    <w:rsid w:val="005A3B24"/>
    <w:rsid w:val="005B459E"/>
    <w:rsid w:val="005C6785"/>
    <w:rsid w:val="005D0F57"/>
    <w:rsid w:val="005D44E8"/>
    <w:rsid w:val="005F76C6"/>
    <w:rsid w:val="00604522"/>
    <w:rsid w:val="00612917"/>
    <w:rsid w:val="00620C64"/>
    <w:rsid w:val="00625326"/>
    <w:rsid w:val="00626CB4"/>
    <w:rsid w:val="0063441F"/>
    <w:rsid w:val="006465E5"/>
    <w:rsid w:val="00646EB9"/>
    <w:rsid w:val="0065584F"/>
    <w:rsid w:val="006629BE"/>
    <w:rsid w:val="006A385C"/>
    <w:rsid w:val="006A5EF0"/>
    <w:rsid w:val="006B2D64"/>
    <w:rsid w:val="006B70B6"/>
    <w:rsid w:val="006C59FC"/>
    <w:rsid w:val="006F6940"/>
    <w:rsid w:val="0071728F"/>
    <w:rsid w:val="00723991"/>
    <w:rsid w:val="0073599C"/>
    <w:rsid w:val="00741E2F"/>
    <w:rsid w:val="00742E86"/>
    <w:rsid w:val="0075276E"/>
    <w:rsid w:val="00756669"/>
    <w:rsid w:val="00757FF6"/>
    <w:rsid w:val="00760C9F"/>
    <w:rsid w:val="00767CB1"/>
    <w:rsid w:val="00776345"/>
    <w:rsid w:val="00780689"/>
    <w:rsid w:val="00782807"/>
    <w:rsid w:val="00791165"/>
    <w:rsid w:val="00792D1D"/>
    <w:rsid w:val="00797621"/>
    <w:rsid w:val="007A47AF"/>
    <w:rsid w:val="007C0049"/>
    <w:rsid w:val="007C05FB"/>
    <w:rsid w:val="007D5EC4"/>
    <w:rsid w:val="007E20BB"/>
    <w:rsid w:val="007F090E"/>
    <w:rsid w:val="00815373"/>
    <w:rsid w:val="0082284A"/>
    <w:rsid w:val="008437AE"/>
    <w:rsid w:val="008557DC"/>
    <w:rsid w:val="00862D7B"/>
    <w:rsid w:val="00872F78"/>
    <w:rsid w:val="00877635"/>
    <w:rsid w:val="00883680"/>
    <w:rsid w:val="008925C1"/>
    <w:rsid w:val="008B3159"/>
    <w:rsid w:val="008B42AE"/>
    <w:rsid w:val="008C2439"/>
    <w:rsid w:val="008C6A69"/>
    <w:rsid w:val="008E56A2"/>
    <w:rsid w:val="008E68A0"/>
    <w:rsid w:val="008F0F52"/>
    <w:rsid w:val="008F727C"/>
    <w:rsid w:val="00921C0E"/>
    <w:rsid w:val="00923846"/>
    <w:rsid w:val="00942F81"/>
    <w:rsid w:val="00945E88"/>
    <w:rsid w:val="00947275"/>
    <w:rsid w:val="009472D2"/>
    <w:rsid w:val="00951AEE"/>
    <w:rsid w:val="00954CCD"/>
    <w:rsid w:val="00973970"/>
    <w:rsid w:val="00973AB5"/>
    <w:rsid w:val="009A65CC"/>
    <w:rsid w:val="009B2CF8"/>
    <w:rsid w:val="009B4C45"/>
    <w:rsid w:val="009D0605"/>
    <w:rsid w:val="009D6B3E"/>
    <w:rsid w:val="009E2F9A"/>
    <w:rsid w:val="009E7EC7"/>
    <w:rsid w:val="009F3650"/>
    <w:rsid w:val="00A04647"/>
    <w:rsid w:val="00A118BA"/>
    <w:rsid w:val="00A255ED"/>
    <w:rsid w:val="00A32459"/>
    <w:rsid w:val="00A44443"/>
    <w:rsid w:val="00A65007"/>
    <w:rsid w:val="00A751D5"/>
    <w:rsid w:val="00A80C7B"/>
    <w:rsid w:val="00A942E0"/>
    <w:rsid w:val="00AA6999"/>
    <w:rsid w:val="00AA7E59"/>
    <w:rsid w:val="00AB746B"/>
    <w:rsid w:val="00AC5CD4"/>
    <w:rsid w:val="00AF6382"/>
    <w:rsid w:val="00AF68D9"/>
    <w:rsid w:val="00B06BA9"/>
    <w:rsid w:val="00B11443"/>
    <w:rsid w:val="00B16835"/>
    <w:rsid w:val="00B34970"/>
    <w:rsid w:val="00B54AED"/>
    <w:rsid w:val="00B6326A"/>
    <w:rsid w:val="00B64CB5"/>
    <w:rsid w:val="00B70B2D"/>
    <w:rsid w:val="00B71FD5"/>
    <w:rsid w:val="00B80866"/>
    <w:rsid w:val="00B96359"/>
    <w:rsid w:val="00BB7F53"/>
    <w:rsid w:val="00BC3380"/>
    <w:rsid w:val="00BE010E"/>
    <w:rsid w:val="00BF087A"/>
    <w:rsid w:val="00C1182B"/>
    <w:rsid w:val="00C239A0"/>
    <w:rsid w:val="00C23D35"/>
    <w:rsid w:val="00C269D9"/>
    <w:rsid w:val="00C34789"/>
    <w:rsid w:val="00C450A8"/>
    <w:rsid w:val="00C54B91"/>
    <w:rsid w:val="00C6160D"/>
    <w:rsid w:val="00C67155"/>
    <w:rsid w:val="00C67586"/>
    <w:rsid w:val="00CA465E"/>
    <w:rsid w:val="00CB1BE0"/>
    <w:rsid w:val="00CD0D0D"/>
    <w:rsid w:val="00CD40B0"/>
    <w:rsid w:val="00CE21A2"/>
    <w:rsid w:val="00CE7FE8"/>
    <w:rsid w:val="00D03D7D"/>
    <w:rsid w:val="00D10DB2"/>
    <w:rsid w:val="00D1107D"/>
    <w:rsid w:val="00D32089"/>
    <w:rsid w:val="00D36E25"/>
    <w:rsid w:val="00D4567D"/>
    <w:rsid w:val="00D47ADE"/>
    <w:rsid w:val="00D51EA6"/>
    <w:rsid w:val="00D56C79"/>
    <w:rsid w:val="00D649F3"/>
    <w:rsid w:val="00D71117"/>
    <w:rsid w:val="00D71F50"/>
    <w:rsid w:val="00DC3C70"/>
    <w:rsid w:val="00DD5707"/>
    <w:rsid w:val="00DD69B2"/>
    <w:rsid w:val="00DE3BE3"/>
    <w:rsid w:val="00DF2A4E"/>
    <w:rsid w:val="00DF5E00"/>
    <w:rsid w:val="00E066F5"/>
    <w:rsid w:val="00E13B82"/>
    <w:rsid w:val="00E3171C"/>
    <w:rsid w:val="00E56A28"/>
    <w:rsid w:val="00E73D95"/>
    <w:rsid w:val="00E74A02"/>
    <w:rsid w:val="00E816CD"/>
    <w:rsid w:val="00EA3227"/>
    <w:rsid w:val="00EA3359"/>
    <w:rsid w:val="00EF7A79"/>
    <w:rsid w:val="00F0196F"/>
    <w:rsid w:val="00F0796D"/>
    <w:rsid w:val="00F11AEE"/>
    <w:rsid w:val="00F257EB"/>
    <w:rsid w:val="00F271E5"/>
    <w:rsid w:val="00F43EDE"/>
    <w:rsid w:val="00F47DF7"/>
    <w:rsid w:val="00F54B9D"/>
    <w:rsid w:val="00F5633F"/>
    <w:rsid w:val="00F74785"/>
    <w:rsid w:val="00F763C9"/>
    <w:rsid w:val="00F8624C"/>
    <w:rsid w:val="00F920B5"/>
    <w:rsid w:val="00F960F2"/>
    <w:rsid w:val="00FA0DDB"/>
    <w:rsid w:val="00FA3B4C"/>
    <w:rsid w:val="00FA3F1E"/>
    <w:rsid w:val="00FC1AC5"/>
    <w:rsid w:val="00FC659F"/>
    <w:rsid w:val="00FD1E50"/>
    <w:rsid w:val="00FD6564"/>
    <w:rsid w:val="00FF232C"/>
    <w:rsid w:val="00FF2498"/>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qFormat="1"/>
    <w:lsdException w:name="List Bullet 2" w:qFormat="1"/>
    <w:lsdException w:name="List Bullet 3"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46"/>
    <w:rPr>
      <w:sz w:val="24"/>
      <w:szCs w:val="24"/>
      <w:lang w:eastAsia="en-AU"/>
    </w:rPr>
  </w:style>
  <w:style w:type="paragraph" w:styleId="Heading1">
    <w:name w:val="heading 1"/>
    <w:basedOn w:val="Normal"/>
    <w:next w:val="Normal"/>
    <w:link w:val="Heading1Char"/>
    <w:uiPriority w:val="99"/>
    <w:qFormat/>
    <w:rsid w:val="00923846"/>
    <w:pPr>
      <w:keepNext/>
      <w:outlineLvl w:val="0"/>
    </w:pPr>
    <w:rPr>
      <w:b/>
      <w:bCs/>
      <w:lang w:eastAsia="en-US"/>
    </w:rPr>
  </w:style>
  <w:style w:type="paragraph" w:styleId="Heading2">
    <w:name w:val="heading 2"/>
    <w:basedOn w:val="Normal"/>
    <w:next w:val="Normal"/>
    <w:link w:val="Heading2Char"/>
    <w:uiPriority w:val="99"/>
    <w:qFormat/>
    <w:rsid w:val="00923846"/>
    <w:pPr>
      <w:keepNext/>
      <w:outlineLvl w:val="1"/>
    </w:pPr>
    <w:rPr>
      <w:rFonts w:ascii="Arial" w:hAnsi="Arial" w:cs="Arial"/>
      <w:b/>
      <w:bCs/>
      <w:sz w:val="20"/>
      <w:szCs w:val="20"/>
      <w:lang w:eastAsia="en-US"/>
    </w:rPr>
  </w:style>
  <w:style w:type="paragraph" w:styleId="Heading3">
    <w:name w:val="heading 3"/>
    <w:basedOn w:val="Normal"/>
    <w:next w:val="Normal"/>
    <w:link w:val="Heading3Char"/>
    <w:uiPriority w:val="99"/>
    <w:qFormat/>
    <w:locked/>
    <w:rsid w:val="004177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A255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846"/>
    <w:rPr>
      <w:rFonts w:ascii="Cambria" w:hAnsi="Cambria" w:cs="Times New Roman"/>
      <w:b/>
      <w:bCs/>
      <w:kern w:val="32"/>
      <w:sz w:val="32"/>
      <w:szCs w:val="32"/>
      <w:lang w:val="en-AU" w:eastAsia="en-AU"/>
    </w:rPr>
  </w:style>
  <w:style w:type="character" w:customStyle="1" w:styleId="Heading2Char">
    <w:name w:val="Heading 2 Char"/>
    <w:basedOn w:val="DefaultParagraphFont"/>
    <w:link w:val="Heading2"/>
    <w:uiPriority w:val="99"/>
    <w:semiHidden/>
    <w:locked/>
    <w:rsid w:val="00923846"/>
    <w:rPr>
      <w:rFonts w:ascii="Cambria" w:hAnsi="Cambria" w:cs="Times New Roman"/>
      <w:b/>
      <w:bCs/>
      <w:i/>
      <w:iCs/>
      <w:sz w:val="28"/>
      <w:szCs w:val="28"/>
      <w:lang w:val="en-AU" w:eastAsia="en-AU"/>
    </w:rPr>
  </w:style>
  <w:style w:type="character" w:customStyle="1" w:styleId="Heading3Char">
    <w:name w:val="Heading 3 Char"/>
    <w:basedOn w:val="DefaultParagraphFont"/>
    <w:link w:val="Heading3"/>
    <w:uiPriority w:val="99"/>
    <w:semiHidden/>
    <w:locked/>
    <w:rsid w:val="00C450A8"/>
    <w:rPr>
      <w:rFonts w:ascii="Cambria" w:hAnsi="Cambria" w:cs="Times New Roman"/>
      <w:b/>
      <w:bCs/>
      <w:sz w:val="26"/>
      <w:szCs w:val="26"/>
      <w:lang w:val="en-AU" w:eastAsia="en-AU"/>
    </w:rPr>
  </w:style>
  <w:style w:type="character" w:customStyle="1" w:styleId="Heading4Char">
    <w:name w:val="Heading 4 Char"/>
    <w:basedOn w:val="DefaultParagraphFont"/>
    <w:link w:val="Heading4"/>
    <w:uiPriority w:val="99"/>
    <w:semiHidden/>
    <w:locked/>
    <w:rsid w:val="00923846"/>
    <w:rPr>
      <w:rFonts w:ascii="Calibri" w:hAnsi="Calibri" w:cs="Times New Roman"/>
      <w:b/>
      <w:bCs/>
      <w:sz w:val="28"/>
      <w:szCs w:val="28"/>
    </w:rPr>
  </w:style>
  <w:style w:type="paragraph" w:styleId="BodyText">
    <w:name w:val="Body Text"/>
    <w:basedOn w:val="Normal"/>
    <w:link w:val="BodyTextChar"/>
    <w:uiPriority w:val="99"/>
    <w:rsid w:val="00923846"/>
    <w:rPr>
      <w:rFonts w:ascii="Arial" w:hAnsi="Arial" w:cs="Arial"/>
      <w:b/>
      <w:bCs/>
      <w:sz w:val="20"/>
      <w:szCs w:val="20"/>
      <w:lang w:eastAsia="en-US"/>
    </w:rPr>
  </w:style>
  <w:style w:type="character" w:customStyle="1" w:styleId="BodyTextChar">
    <w:name w:val="Body Text Char"/>
    <w:basedOn w:val="DefaultParagraphFont"/>
    <w:link w:val="BodyText"/>
    <w:uiPriority w:val="99"/>
    <w:semiHidden/>
    <w:locked/>
    <w:rsid w:val="00923846"/>
    <w:rPr>
      <w:rFonts w:cs="Times New Roman"/>
      <w:sz w:val="24"/>
      <w:szCs w:val="24"/>
      <w:lang w:val="en-AU" w:eastAsia="en-AU"/>
    </w:rPr>
  </w:style>
  <w:style w:type="paragraph" w:styleId="BalloonText">
    <w:name w:val="Balloon Text"/>
    <w:basedOn w:val="Normal"/>
    <w:link w:val="BalloonTextChar"/>
    <w:uiPriority w:val="99"/>
    <w:semiHidden/>
    <w:rsid w:val="009238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3846"/>
    <w:rPr>
      <w:rFonts w:ascii="Tahoma" w:hAnsi="Tahoma" w:cs="Tahoma"/>
      <w:sz w:val="16"/>
      <w:szCs w:val="16"/>
      <w:lang w:val="en-AU" w:eastAsia="en-AU"/>
    </w:rPr>
  </w:style>
  <w:style w:type="paragraph" w:styleId="Header">
    <w:name w:val="header"/>
    <w:basedOn w:val="Normal"/>
    <w:link w:val="HeaderChar"/>
    <w:uiPriority w:val="99"/>
    <w:rsid w:val="00923846"/>
    <w:pPr>
      <w:tabs>
        <w:tab w:val="center" w:pos="4320"/>
        <w:tab w:val="right" w:pos="8640"/>
      </w:tabs>
    </w:pPr>
  </w:style>
  <w:style w:type="character" w:customStyle="1" w:styleId="HeaderChar">
    <w:name w:val="Header Char"/>
    <w:basedOn w:val="DefaultParagraphFont"/>
    <w:link w:val="Header"/>
    <w:uiPriority w:val="99"/>
    <w:semiHidden/>
    <w:locked/>
    <w:rsid w:val="00923846"/>
    <w:rPr>
      <w:rFonts w:cs="Times New Roman"/>
      <w:sz w:val="24"/>
      <w:szCs w:val="24"/>
      <w:lang w:val="en-AU" w:eastAsia="en-AU"/>
    </w:rPr>
  </w:style>
  <w:style w:type="paragraph" w:styleId="Footer">
    <w:name w:val="footer"/>
    <w:basedOn w:val="Normal"/>
    <w:link w:val="FooterChar"/>
    <w:uiPriority w:val="99"/>
    <w:rsid w:val="00923846"/>
    <w:pPr>
      <w:tabs>
        <w:tab w:val="center" w:pos="4320"/>
        <w:tab w:val="right" w:pos="8640"/>
      </w:tabs>
    </w:pPr>
  </w:style>
  <w:style w:type="character" w:customStyle="1" w:styleId="FooterChar">
    <w:name w:val="Footer Char"/>
    <w:basedOn w:val="DefaultParagraphFont"/>
    <w:link w:val="Footer"/>
    <w:uiPriority w:val="99"/>
    <w:semiHidden/>
    <w:locked/>
    <w:rsid w:val="00923846"/>
    <w:rPr>
      <w:rFonts w:cs="Times New Roman"/>
      <w:sz w:val="24"/>
      <w:szCs w:val="24"/>
      <w:lang w:val="en-AU" w:eastAsia="en-AU"/>
    </w:rPr>
  </w:style>
  <w:style w:type="paragraph" w:styleId="NormalWeb">
    <w:name w:val="Normal (Web)"/>
    <w:basedOn w:val="Normal"/>
    <w:uiPriority w:val="99"/>
    <w:rsid w:val="00CD0D0D"/>
    <w:pPr>
      <w:spacing w:before="100" w:beforeAutospacing="1" w:after="84"/>
    </w:pPr>
    <w:rPr>
      <w:color w:val="000000"/>
      <w:lang w:val="en-GB" w:eastAsia="en-GB"/>
    </w:rPr>
  </w:style>
  <w:style w:type="table" w:styleId="TableGrid">
    <w:name w:val="Table Grid"/>
    <w:basedOn w:val="TableNormal"/>
    <w:uiPriority w:val="59"/>
    <w:locked/>
    <w:rsid w:val="002462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semiHidden/>
    <w:locked/>
    <w:rsid w:val="00246289"/>
    <w:pPr>
      <w:tabs>
        <w:tab w:val="left" w:pos="1200"/>
        <w:tab w:val="right" w:leader="dot" w:pos="8302"/>
        <w:tab w:val="left" w:leader="dot" w:pos="8364"/>
        <w:tab w:val="left" w:leader="dot" w:pos="8647"/>
      </w:tabs>
      <w:ind w:left="851" w:hanging="851"/>
    </w:pPr>
    <w:rPr>
      <w:noProof/>
      <w:lang w:val="en-GB" w:eastAsia="en-US"/>
    </w:rPr>
  </w:style>
  <w:style w:type="paragraph" w:styleId="ListParagraph">
    <w:name w:val="List Paragraph"/>
    <w:basedOn w:val="Normal"/>
    <w:uiPriority w:val="34"/>
    <w:qFormat/>
    <w:rsid w:val="002720FD"/>
    <w:pPr>
      <w:spacing w:after="200" w:line="276" w:lineRule="auto"/>
      <w:ind w:left="720"/>
      <w:contextualSpacing/>
    </w:pPr>
    <w:rPr>
      <w:rFonts w:ascii="Calibri" w:hAnsi="Calibri"/>
      <w:sz w:val="22"/>
      <w:szCs w:val="22"/>
      <w:lang w:val="en-GB" w:eastAsia="en-US"/>
    </w:rPr>
  </w:style>
  <w:style w:type="paragraph" w:styleId="BodyTextIndent2">
    <w:name w:val="Body Text Indent 2"/>
    <w:basedOn w:val="Normal"/>
    <w:link w:val="BodyTextIndent2Char"/>
    <w:uiPriority w:val="99"/>
    <w:rsid w:val="00A255E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23846"/>
    <w:rPr>
      <w:rFonts w:cs="Times New Roman"/>
      <w:sz w:val="24"/>
      <w:szCs w:val="24"/>
    </w:rPr>
  </w:style>
  <w:style w:type="character" w:styleId="CommentReference">
    <w:name w:val="annotation reference"/>
    <w:basedOn w:val="DefaultParagraphFont"/>
    <w:uiPriority w:val="99"/>
    <w:semiHidden/>
    <w:rsid w:val="00291736"/>
    <w:rPr>
      <w:rFonts w:cs="Times New Roman"/>
      <w:sz w:val="16"/>
      <w:szCs w:val="16"/>
    </w:rPr>
  </w:style>
  <w:style w:type="paragraph" w:styleId="CommentText">
    <w:name w:val="annotation text"/>
    <w:basedOn w:val="Normal"/>
    <w:link w:val="CommentTextChar"/>
    <w:uiPriority w:val="99"/>
    <w:semiHidden/>
    <w:rsid w:val="00291736"/>
    <w:rPr>
      <w:sz w:val="20"/>
      <w:szCs w:val="20"/>
    </w:rPr>
  </w:style>
  <w:style w:type="character" w:customStyle="1" w:styleId="CommentTextChar">
    <w:name w:val="Comment Text Char"/>
    <w:basedOn w:val="DefaultParagraphFont"/>
    <w:link w:val="CommentText"/>
    <w:uiPriority w:val="99"/>
    <w:semiHidden/>
    <w:locked/>
    <w:rsid w:val="00BC3380"/>
    <w:rPr>
      <w:rFonts w:cs="Times New Roman"/>
      <w:sz w:val="20"/>
      <w:szCs w:val="20"/>
      <w:lang w:val="en-AU" w:eastAsia="en-AU"/>
    </w:rPr>
  </w:style>
  <w:style w:type="paragraph" w:styleId="CommentSubject">
    <w:name w:val="annotation subject"/>
    <w:basedOn w:val="CommentText"/>
    <w:next w:val="CommentText"/>
    <w:link w:val="CommentSubjectChar"/>
    <w:uiPriority w:val="99"/>
    <w:semiHidden/>
    <w:rsid w:val="00291736"/>
    <w:rPr>
      <w:b/>
      <w:bCs/>
    </w:rPr>
  </w:style>
  <w:style w:type="character" w:customStyle="1" w:styleId="CommentSubjectChar">
    <w:name w:val="Comment Subject Char"/>
    <w:basedOn w:val="CommentTextChar"/>
    <w:link w:val="CommentSubject"/>
    <w:uiPriority w:val="99"/>
    <w:semiHidden/>
    <w:locked/>
    <w:rsid w:val="00BC3380"/>
    <w:rPr>
      <w:rFonts w:cs="Times New Roman"/>
      <w:b/>
      <w:bCs/>
      <w:sz w:val="20"/>
      <w:szCs w:val="20"/>
      <w:lang w:val="en-AU" w:eastAsia="en-AU"/>
    </w:rPr>
  </w:style>
  <w:style w:type="character" w:customStyle="1" w:styleId="longtext1">
    <w:name w:val="long_text1"/>
    <w:basedOn w:val="DefaultParagraphFont"/>
    <w:uiPriority w:val="99"/>
    <w:rsid w:val="00417782"/>
    <w:rPr>
      <w:rFonts w:cs="Times New Roman"/>
      <w:sz w:val="20"/>
      <w:szCs w:val="20"/>
    </w:rPr>
  </w:style>
  <w:style w:type="character" w:customStyle="1" w:styleId="def">
    <w:name w:val="def"/>
    <w:basedOn w:val="DefaultParagraphFont"/>
    <w:rsid w:val="00A65007"/>
  </w:style>
  <w:style w:type="paragraph" w:styleId="ListBullet">
    <w:name w:val="List Bullet"/>
    <w:basedOn w:val="Normal"/>
    <w:uiPriority w:val="99"/>
    <w:qFormat/>
    <w:rsid w:val="00F257EB"/>
    <w:pPr>
      <w:numPr>
        <w:numId w:val="5"/>
      </w:numPr>
      <w:spacing w:before="120" w:after="180" w:line="240" w:lineRule="atLeast"/>
    </w:pPr>
    <w:rPr>
      <w:rFonts w:ascii="Cambria" w:eastAsia="Cambria" w:hAnsi="Cambria"/>
      <w:sz w:val="22"/>
      <w:szCs w:val="22"/>
      <w:lang w:eastAsia="en-US"/>
    </w:rPr>
  </w:style>
  <w:style w:type="paragraph" w:styleId="ListBullet2">
    <w:name w:val="List Bullet 2"/>
    <w:basedOn w:val="Normal"/>
    <w:uiPriority w:val="99"/>
    <w:qFormat/>
    <w:rsid w:val="00F257EB"/>
    <w:pPr>
      <w:numPr>
        <w:ilvl w:val="1"/>
        <w:numId w:val="5"/>
      </w:numPr>
      <w:spacing w:before="120" w:after="180" w:line="240" w:lineRule="atLeast"/>
    </w:pPr>
    <w:rPr>
      <w:rFonts w:ascii="Cambria" w:eastAsia="Cambria" w:hAnsi="Cambria"/>
      <w:sz w:val="22"/>
      <w:szCs w:val="22"/>
      <w:lang w:eastAsia="en-US"/>
    </w:rPr>
  </w:style>
  <w:style w:type="paragraph" w:styleId="ListBullet3">
    <w:name w:val="List Bullet 3"/>
    <w:basedOn w:val="Normal"/>
    <w:uiPriority w:val="99"/>
    <w:qFormat/>
    <w:rsid w:val="00F257EB"/>
    <w:pPr>
      <w:numPr>
        <w:ilvl w:val="2"/>
        <w:numId w:val="5"/>
      </w:numPr>
      <w:spacing w:before="120" w:after="180" w:line="240" w:lineRule="atLeast"/>
    </w:pPr>
    <w:rPr>
      <w:rFonts w:ascii="Cambria" w:eastAsia="Cambria" w:hAnsi="Cambria"/>
      <w:sz w:val="22"/>
      <w:szCs w:val="22"/>
      <w:lang w:eastAsia="en-US"/>
    </w:rPr>
  </w:style>
  <w:style w:type="numbering" w:customStyle="1" w:styleId="ListBullets">
    <w:name w:val="ListBullets"/>
    <w:uiPriority w:val="99"/>
    <w:locked/>
    <w:rsid w:val="00F257EB"/>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46"/>
    <w:rPr>
      <w:sz w:val="24"/>
      <w:szCs w:val="24"/>
      <w:lang w:eastAsia="en-AU"/>
    </w:rPr>
  </w:style>
  <w:style w:type="paragraph" w:styleId="Heading1">
    <w:name w:val="heading 1"/>
    <w:basedOn w:val="Normal"/>
    <w:next w:val="Normal"/>
    <w:link w:val="Heading1Char"/>
    <w:uiPriority w:val="99"/>
    <w:qFormat/>
    <w:rsid w:val="00923846"/>
    <w:pPr>
      <w:keepNext/>
      <w:outlineLvl w:val="0"/>
    </w:pPr>
    <w:rPr>
      <w:b/>
      <w:bCs/>
      <w:lang w:eastAsia="en-US"/>
    </w:rPr>
  </w:style>
  <w:style w:type="paragraph" w:styleId="Heading2">
    <w:name w:val="heading 2"/>
    <w:basedOn w:val="Normal"/>
    <w:next w:val="Normal"/>
    <w:link w:val="Heading2Char"/>
    <w:uiPriority w:val="99"/>
    <w:qFormat/>
    <w:rsid w:val="00923846"/>
    <w:pPr>
      <w:keepNext/>
      <w:outlineLvl w:val="1"/>
    </w:pPr>
    <w:rPr>
      <w:rFonts w:ascii="Arial" w:hAnsi="Arial" w:cs="Arial"/>
      <w:b/>
      <w:bCs/>
      <w:sz w:val="20"/>
      <w:szCs w:val="20"/>
      <w:lang w:eastAsia="en-US"/>
    </w:rPr>
  </w:style>
  <w:style w:type="paragraph" w:styleId="Heading3">
    <w:name w:val="heading 3"/>
    <w:basedOn w:val="Normal"/>
    <w:next w:val="Normal"/>
    <w:link w:val="Heading3Char"/>
    <w:uiPriority w:val="99"/>
    <w:qFormat/>
    <w:locked/>
    <w:rsid w:val="0041778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A255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3846"/>
    <w:rPr>
      <w:rFonts w:ascii="Cambria" w:hAnsi="Cambria" w:cs="Times New Roman"/>
      <w:b/>
      <w:bCs/>
      <w:kern w:val="32"/>
      <w:sz w:val="32"/>
      <w:szCs w:val="32"/>
      <w:lang w:val="en-AU" w:eastAsia="en-AU"/>
    </w:rPr>
  </w:style>
  <w:style w:type="character" w:customStyle="1" w:styleId="Heading2Char">
    <w:name w:val="Heading 2 Char"/>
    <w:basedOn w:val="DefaultParagraphFont"/>
    <w:link w:val="Heading2"/>
    <w:uiPriority w:val="99"/>
    <w:semiHidden/>
    <w:locked/>
    <w:rsid w:val="00923846"/>
    <w:rPr>
      <w:rFonts w:ascii="Cambria" w:hAnsi="Cambria" w:cs="Times New Roman"/>
      <w:b/>
      <w:bCs/>
      <w:i/>
      <w:iCs/>
      <w:sz w:val="28"/>
      <w:szCs w:val="28"/>
      <w:lang w:val="en-AU" w:eastAsia="en-AU"/>
    </w:rPr>
  </w:style>
  <w:style w:type="character" w:customStyle="1" w:styleId="Heading3Char">
    <w:name w:val="Heading 3 Char"/>
    <w:basedOn w:val="DefaultParagraphFont"/>
    <w:link w:val="Heading3"/>
    <w:uiPriority w:val="99"/>
    <w:semiHidden/>
    <w:locked/>
    <w:rsid w:val="00C450A8"/>
    <w:rPr>
      <w:rFonts w:ascii="Cambria" w:hAnsi="Cambria" w:cs="Times New Roman"/>
      <w:b/>
      <w:bCs/>
      <w:sz w:val="26"/>
      <w:szCs w:val="26"/>
      <w:lang w:val="en-AU" w:eastAsia="en-AU"/>
    </w:rPr>
  </w:style>
  <w:style w:type="character" w:customStyle="1" w:styleId="Heading4Char">
    <w:name w:val="Heading 4 Char"/>
    <w:basedOn w:val="DefaultParagraphFont"/>
    <w:link w:val="Heading4"/>
    <w:uiPriority w:val="99"/>
    <w:semiHidden/>
    <w:locked/>
    <w:rsid w:val="00923846"/>
    <w:rPr>
      <w:rFonts w:ascii="Calibri" w:hAnsi="Calibri" w:cs="Times New Roman"/>
      <w:b/>
      <w:bCs/>
      <w:sz w:val="28"/>
      <w:szCs w:val="28"/>
    </w:rPr>
  </w:style>
  <w:style w:type="paragraph" w:styleId="BodyText">
    <w:name w:val="Body Text"/>
    <w:basedOn w:val="Normal"/>
    <w:link w:val="BodyTextChar"/>
    <w:uiPriority w:val="99"/>
    <w:rsid w:val="00923846"/>
    <w:rPr>
      <w:rFonts w:ascii="Arial" w:hAnsi="Arial" w:cs="Arial"/>
      <w:b/>
      <w:bCs/>
      <w:sz w:val="20"/>
      <w:szCs w:val="20"/>
      <w:lang w:eastAsia="en-US"/>
    </w:rPr>
  </w:style>
  <w:style w:type="character" w:customStyle="1" w:styleId="BodyTextChar">
    <w:name w:val="Body Text Char"/>
    <w:basedOn w:val="DefaultParagraphFont"/>
    <w:link w:val="BodyText"/>
    <w:uiPriority w:val="99"/>
    <w:semiHidden/>
    <w:locked/>
    <w:rsid w:val="00923846"/>
    <w:rPr>
      <w:rFonts w:cs="Times New Roman"/>
      <w:sz w:val="24"/>
      <w:szCs w:val="24"/>
      <w:lang w:val="en-AU" w:eastAsia="en-AU"/>
    </w:rPr>
  </w:style>
  <w:style w:type="paragraph" w:styleId="BalloonText">
    <w:name w:val="Balloon Text"/>
    <w:basedOn w:val="Normal"/>
    <w:link w:val="BalloonTextChar"/>
    <w:uiPriority w:val="99"/>
    <w:semiHidden/>
    <w:rsid w:val="009238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3846"/>
    <w:rPr>
      <w:rFonts w:ascii="Tahoma" w:hAnsi="Tahoma" w:cs="Tahoma"/>
      <w:sz w:val="16"/>
      <w:szCs w:val="16"/>
      <w:lang w:val="en-AU" w:eastAsia="en-AU"/>
    </w:rPr>
  </w:style>
  <w:style w:type="paragraph" w:styleId="Header">
    <w:name w:val="header"/>
    <w:basedOn w:val="Normal"/>
    <w:link w:val="HeaderChar"/>
    <w:uiPriority w:val="99"/>
    <w:rsid w:val="00923846"/>
    <w:pPr>
      <w:tabs>
        <w:tab w:val="center" w:pos="4320"/>
        <w:tab w:val="right" w:pos="8640"/>
      </w:tabs>
    </w:pPr>
  </w:style>
  <w:style w:type="character" w:customStyle="1" w:styleId="HeaderChar">
    <w:name w:val="Header Char"/>
    <w:basedOn w:val="DefaultParagraphFont"/>
    <w:link w:val="Header"/>
    <w:uiPriority w:val="99"/>
    <w:semiHidden/>
    <w:locked/>
    <w:rsid w:val="00923846"/>
    <w:rPr>
      <w:rFonts w:cs="Times New Roman"/>
      <w:sz w:val="24"/>
      <w:szCs w:val="24"/>
      <w:lang w:val="en-AU" w:eastAsia="en-AU"/>
    </w:rPr>
  </w:style>
  <w:style w:type="paragraph" w:styleId="Footer">
    <w:name w:val="footer"/>
    <w:basedOn w:val="Normal"/>
    <w:link w:val="FooterChar"/>
    <w:uiPriority w:val="99"/>
    <w:rsid w:val="00923846"/>
    <w:pPr>
      <w:tabs>
        <w:tab w:val="center" w:pos="4320"/>
        <w:tab w:val="right" w:pos="8640"/>
      </w:tabs>
    </w:pPr>
  </w:style>
  <w:style w:type="character" w:customStyle="1" w:styleId="FooterChar">
    <w:name w:val="Footer Char"/>
    <w:basedOn w:val="DefaultParagraphFont"/>
    <w:link w:val="Footer"/>
    <w:uiPriority w:val="99"/>
    <w:semiHidden/>
    <w:locked/>
    <w:rsid w:val="00923846"/>
    <w:rPr>
      <w:rFonts w:cs="Times New Roman"/>
      <w:sz w:val="24"/>
      <w:szCs w:val="24"/>
      <w:lang w:val="en-AU" w:eastAsia="en-AU"/>
    </w:rPr>
  </w:style>
  <w:style w:type="paragraph" w:styleId="NormalWeb">
    <w:name w:val="Normal (Web)"/>
    <w:basedOn w:val="Normal"/>
    <w:uiPriority w:val="99"/>
    <w:rsid w:val="00CD0D0D"/>
    <w:pPr>
      <w:spacing w:before="100" w:beforeAutospacing="1" w:after="84"/>
    </w:pPr>
    <w:rPr>
      <w:color w:val="000000"/>
      <w:lang w:val="en-GB" w:eastAsia="en-GB"/>
    </w:rPr>
  </w:style>
  <w:style w:type="table" w:styleId="TableGrid">
    <w:name w:val="Table Grid"/>
    <w:basedOn w:val="TableNormal"/>
    <w:uiPriority w:val="99"/>
    <w:locked/>
    <w:rsid w:val="002462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99"/>
    <w:semiHidden/>
    <w:locked/>
    <w:rsid w:val="00246289"/>
    <w:pPr>
      <w:tabs>
        <w:tab w:val="left" w:pos="1200"/>
        <w:tab w:val="right" w:leader="dot" w:pos="8302"/>
        <w:tab w:val="left" w:leader="dot" w:pos="8364"/>
        <w:tab w:val="left" w:leader="dot" w:pos="8647"/>
      </w:tabs>
      <w:ind w:left="851" w:hanging="851"/>
    </w:pPr>
    <w:rPr>
      <w:noProof/>
      <w:lang w:val="en-GB" w:eastAsia="en-US"/>
    </w:rPr>
  </w:style>
  <w:style w:type="paragraph" w:styleId="ListParagraph">
    <w:name w:val="List Paragraph"/>
    <w:basedOn w:val="Normal"/>
    <w:uiPriority w:val="34"/>
    <w:qFormat/>
    <w:rsid w:val="002720FD"/>
    <w:pPr>
      <w:spacing w:after="200" w:line="276" w:lineRule="auto"/>
      <w:ind w:left="720"/>
      <w:contextualSpacing/>
    </w:pPr>
    <w:rPr>
      <w:rFonts w:ascii="Calibri" w:hAnsi="Calibri"/>
      <w:sz w:val="22"/>
      <w:szCs w:val="22"/>
      <w:lang w:val="en-GB" w:eastAsia="en-US"/>
    </w:rPr>
  </w:style>
  <w:style w:type="paragraph" w:styleId="BodyTextIndent2">
    <w:name w:val="Body Text Indent 2"/>
    <w:basedOn w:val="Normal"/>
    <w:link w:val="BodyTextIndent2Char"/>
    <w:uiPriority w:val="99"/>
    <w:rsid w:val="00A255E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923846"/>
    <w:rPr>
      <w:rFonts w:cs="Times New Roman"/>
      <w:sz w:val="24"/>
      <w:szCs w:val="24"/>
    </w:rPr>
  </w:style>
  <w:style w:type="character" w:styleId="CommentReference">
    <w:name w:val="annotation reference"/>
    <w:basedOn w:val="DefaultParagraphFont"/>
    <w:uiPriority w:val="99"/>
    <w:semiHidden/>
    <w:rsid w:val="00291736"/>
    <w:rPr>
      <w:rFonts w:cs="Times New Roman"/>
      <w:sz w:val="16"/>
      <w:szCs w:val="16"/>
    </w:rPr>
  </w:style>
  <w:style w:type="paragraph" w:styleId="CommentText">
    <w:name w:val="annotation text"/>
    <w:basedOn w:val="Normal"/>
    <w:link w:val="CommentTextChar"/>
    <w:uiPriority w:val="99"/>
    <w:semiHidden/>
    <w:rsid w:val="00291736"/>
    <w:rPr>
      <w:sz w:val="20"/>
      <w:szCs w:val="20"/>
    </w:rPr>
  </w:style>
  <w:style w:type="character" w:customStyle="1" w:styleId="CommentTextChar">
    <w:name w:val="Comment Text Char"/>
    <w:basedOn w:val="DefaultParagraphFont"/>
    <w:link w:val="CommentText"/>
    <w:uiPriority w:val="99"/>
    <w:semiHidden/>
    <w:locked/>
    <w:rsid w:val="00BC3380"/>
    <w:rPr>
      <w:rFonts w:cs="Times New Roman"/>
      <w:sz w:val="20"/>
      <w:szCs w:val="20"/>
      <w:lang w:val="en-AU" w:eastAsia="en-AU"/>
    </w:rPr>
  </w:style>
  <w:style w:type="paragraph" w:styleId="CommentSubject">
    <w:name w:val="annotation subject"/>
    <w:basedOn w:val="CommentText"/>
    <w:next w:val="CommentText"/>
    <w:link w:val="CommentSubjectChar"/>
    <w:uiPriority w:val="99"/>
    <w:semiHidden/>
    <w:rsid w:val="00291736"/>
    <w:rPr>
      <w:b/>
      <w:bCs/>
    </w:rPr>
  </w:style>
  <w:style w:type="character" w:customStyle="1" w:styleId="CommentSubjectChar">
    <w:name w:val="Comment Subject Char"/>
    <w:basedOn w:val="CommentTextChar"/>
    <w:link w:val="CommentSubject"/>
    <w:uiPriority w:val="99"/>
    <w:semiHidden/>
    <w:locked/>
    <w:rsid w:val="00BC3380"/>
    <w:rPr>
      <w:rFonts w:cs="Times New Roman"/>
      <w:b/>
      <w:bCs/>
      <w:sz w:val="20"/>
      <w:szCs w:val="20"/>
      <w:lang w:val="en-AU" w:eastAsia="en-AU"/>
    </w:rPr>
  </w:style>
  <w:style w:type="character" w:customStyle="1" w:styleId="longtext1">
    <w:name w:val="long_text1"/>
    <w:basedOn w:val="DefaultParagraphFont"/>
    <w:uiPriority w:val="99"/>
    <w:rsid w:val="00417782"/>
    <w:rPr>
      <w:rFonts w:cs="Times New Roman"/>
      <w:sz w:val="20"/>
      <w:szCs w:val="20"/>
    </w:rPr>
  </w:style>
  <w:style w:type="character" w:customStyle="1" w:styleId="def">
    <w:name w:val="def"/>
    <w:basedOn w:val="DefaultParagraphFont"/>
    <w:rsid w:val="00A65007"/>
  </w:style>
</w:styles>
</file>

<file path=word/webSettings.xml><?xml version="1.0" encoding="utf-8"?>
<w:webSettings xmlns:r="http://schemas.openxmlformats.org/officeDocument/2006/relationships" xmlns:w="http://schemas.openxmlformats.org/wordprocessingml/2006/main">
  <w:divs>
    <w:div w:id="2080207236">
      <w:marLeft w:val="0"/>
      <w:marRight w:val="0"/>
      <w:marTop w:val="0"/>
      <w:marBottom w:val="0"/>
      <w:divBdr>
        <w:top w:val="none" w:sz="0" w:space="0" w:color="auto"/>
        <w:left w:val="none" w:sz="0" w:space="0" w:color="auto"/>
        <w:bottom w:val="none" w:sz="0" w:space="0" w:color="auto"/>
        <w:right w:val="none" w:sz="0" w:space="0" w:color="auto"/>
      </w:divBdr>
      <w:divsChild>
        <w:div w:id="2080207238">
          <w:marLeft w:val="0"/>
          <w:marRight w:val="0"/>
          <w:marTop w:val="100"/>
          <w:marBottom w:val="100"/>
          <w:divBdr>
            <w:top w:val="single" w:sz="6" w:space="0" w:color="E0E0E0"/>
            <w:left w:val="single" w:sz="6" w:space="4" w:color="E0E0E0"/>
            <w:bottom w:val="single" w:sz="6" w:space="0" w:color="E0E0E0"/>
            <w:right w:val="single" w:sz="6" w:space="4" w:color="E0E0E0"/>
          </w:divBdr>
          <w:divsChild>
            <w:div w:id="2080207240">
              <w:marLeft w:val="0"/>
              <w:marRight w:val="0"/>
              <w:marTop w:val="0"/>
              <w:marBottom w:val="0"/>
              <w:divBdr>
                <w:top w:val="none" w:sz="0" w:space="0" w:color="auto"/>
                <w:left w:val="none" w:sz="0" w:space="0" w:color="auto"/>
                <w:bottom w:val="none" w:sz="0" w:space="0" w:color="auto"/>
                <w:right w:val="none" w:sz="0" w:space="0" w:color="auto"/>
              </w:divBdr>
              <w:divsChild>
                <w:div w:id="2080207242">
                  <w:marLeft w:val="0"/>
                  <w:marRight w:val="0"/>
                  <w:marTop w:val="0"/>
                  <w:marBottom w:val="0"/>
                  <w:divBdr>
                    <w:top w:val="none" w:sz="0" w:space="0" w:color="auto"/>
                    <w:left w:val="none" w:sz="0" w:space="0" w:color="auto"/>
                    <w:bottom w:val="none" w:sz="0" w:space="0" w:color="auto"/>
                    <w:right w:val="none" w:sz="0" w:space="0" w:color="auto"/>
                  </w:divBdr>
                  <w:divsChild>
                    <w:div w:id="2080207244">
                      <w:marLeft w:val="0"/>
                      <w:marRight w:val="0"/>
                      <w:marTop w:val="0"/>
                      <w:marBottom w:val="0"/>
                      <w:divBdr>
                        <w:top w:val="none" w:sz="0" w:space="0" w:color="auto"/>
                        <w:left w:val="none" w:sz="0" w:space="0" w:color="auto"/>
                        <w:bottom w:val="none" w:sz="0" w:space="0" w:color="auto"/>
                        <w:right w:val="none" w:sz="0" w:space="0" w:color="auto"/>
                      </w:divBdr>
                      <w:divsChild>
                        <w:div w:id="2080207239">
                          <w:marLeft w:val="0"/>
                          <w:marRight w:val="0"/>
                          <w:marTop w:val="0"/>
                          <w:marBottom w:val="0"/>
                          <w:divBdr>
                            <w:top w:val="none" w:sz="0" w:space="0" w:color="auto"/>
                            <w:left w:val="none" w:sz="0" w:space="0" w:color="auto"/>
                            <w:bottom w:val="none" w:sz="0" w:space="0" w:color="auto"/>
                            <w:right w:val="none" w:sz="0" w:space="0" w:color="auto"/>
                          </w:divBdr>
                          <w:divsChild>
                            <w:div w:id="2080207237">
                              <w:marLeft w:val="0"/>
                              <w:marRight w:val="0"/>
                              <w:marTop w:val="0"/>
                              <w:marBottom w:val="0"/>
                              <w:divBdr>
                                <w:top w:val="none" w:sz="0" w:space="0" w:color="auto"/>
                                <w:left w:val="none" w:sz="0" w:space="0" w:color="auto"/>
                                <w:bottom w:val="none" w:sz="0" w:space="0" w:color="auto"/>
                                <w:right w:val="none" w:sz="0" w:space="0" w:color="auto"/>
                              </w:divBdr>
                              <w:divsChild>
                                <w:div w:id="2080207243">
                                  <w:marLeft w:val="0"/>
                                  <w:marRight w:val="0"/>
                                  <w:marTop w:val="0"/>
                                  <w:marBottom w:val="0"/>
                                  <w:divBdr>
                                    <w:top w:val="none" w:sz="0" w:space="0" w:color="auto"/>
                                    <w:left w:val="none" w:sz="0" w:space="0" w:color="auto"/>
                                    <w:bottom w:val="none" w:sz="0" w:space="0" w:color="auto"/>
                                    <w:right w:val="none" w:sz="0" w:space="0" w:color="auto"/>
                                  </w:divBdr>
                                  <w:divsChild>
                                    <w:div w:id="2080207241">
                                      <w:marLeft w:val="0"/>
                                      <w:marRight w:val="0"/>
                                      <w:marTop w:val="0"/>
                                      <w:marBottom w:val="0"/>
                                      <w:divBdr>
                                        <w:top w:val="none" w:sz="0" w:space="0" w:color="auto"/>
                                        <w:left w:val="none" w:sz="0" w:space="0" w:color="auto"/>
                                        <w:bottom w:val="none" w:sz="0" w:space="0" w:color="auto"/>
                                        <w:right w:val="none" w:sz="0" w:space="0" w:color="auto"/>
                                      </w:divBdr>
                                      <w:divsChild>
                                        <w:div w:id="20802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84D6-6C40-4499-9DFC-9475F127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2170</Words>
  <Characters>13238</Characters>
  <Application>Microsoft Office Word</Application>
  <DocSecurity>0</DocSecurity>
  <Lines>322</Lines>
  <Paragraphs>197</Paragraphs>
  <ScaleCrop>false</ScaleCrop>
  <HeadingPairs>
    <vt:vector size="2" baseType="variant">
      <vt:variant>
        <vt:lpstr>Title</vt:lpstr>
      </vt:variant>
      <vt:variant>
        <vt:i4>1</vt:i4>
      </vt:variant>
    </vt:vector>
  </HeadingPairs>
  <TitlesOfParts>
    <vt:vector size="1" baseType="lpstr">
      <vt:lpstr>PI template</vt:lpstr>
    </vt:vector>
  </TitlesOfParts>
  <Company>Therapeutic Goods Administration</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AusPAR Valoid cyclizine lactate Link Medical Products Pty Ltd PM-2010-03573-3-1  Final 15 January 2013</dc:title>
  <dc:subject>prescription medicine regulation</dc:subject>
  <dc:creator>Therapeutic Goods Administration</dc:creator>
  <cp:lastModifiedBy>Wrigley, Andrew</cp:lastModifiedBy>
  <cp:revision>4</cp:revision>
  <cp:lastPrinted>2012-06-08T04:08:00Z</cp:lastPrinted>
  <dcterms:created xsi:type="dcterms:W3CDTF">2013-01-16T00:40:00Z</dcterms:created>
  <dcterms:modified xsi:type="dcterms:W3CDTF">2013-03-06T00:20:00Z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