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4A" w:rsidRPr="00F171BC" w:rsidRDefault="00F0464A" w:rsidP="00F0464A">
      <w:pPr>
        <w:pStyle w:val="PITITLE"/>
        <w:spacing w:before="0" w:after="240"/>
        <w:rPr>
          <w:color w:val="000000"/>
        </w:rPr>
      </w:pPr>
      <w:r w:rsidRPr="00F171BC">
        <w:rPr>
          <w:color w:val="000000"/>
        </w:rPr>
        <w:t>PRODUCT INFORMATIO</w:t>
      </w:r>
      <w:bookmarkStart w:id="0" w:name="_GoBack"/>
      <w:bookmarkEnd w:id="0"/>
      <w:r w:rsidRPr="00F171BC">
        <w:rPr>
          <w:color w:val="000000"/>
        </w:rPr>
        <w:t xml:space="preserve">N </w:t>
      </w:r>
    </w:p>
    <w:p w:rsidR="00F0464A" w:rsidRPr="00044BB2" w:rsidRDefault="00F0464A" w:rsidP="00F0464A">
      <w:pPr>
        <w:pStyle w:val="PISubtitle"/>
        <w:rPr>
          <w:color w:val="000000"/>
          <w:szCs w:val="32"/>
        </w:rPr>
      </w:pPr>
      <w:r w:rsidRPr="00044BB2">
        <w:rPr>
          <w:rStyle w:val="PITradename"/>
          <w:color w:val="000000"/>
          <w:szCs w:val="32"/>
        </w:rPr>
        <w:t>XALKORI</w:t>
      </w:r>
      <w:r w:rsidR="00B60D1F">
        <w:rPr>
          <w:rStyle w:val="PIRegisteredTrademarkSign"/>
          <w:color w:val="000000"/>
          <w:szCs w:val="32"/>
        </w:rPr>
        <w:t>®</w:t>
      </w:r>
      <w:r w:rsidRPr="00044BB2">
        <w:rPr>
          <w:color w:val="000000"/>
          <w:szCs w:val="32"/>
        </w:rPr>
        <w:t xml:space="preserve"> (crizotinib) </w:t>
      </w:r>
    </w:p>
    <w:p w:rsidR="00F0464A" w:rsidRPr="00F171BC" w:rsidRDefault="00F0464A" w:rsidP="00F0464A">
      <w:pPr>
        <w:pStyle w:val="PIHeading1"/>
        <w:rPr>
          <w:color w:val="000000"/>
        </w:rPr>
      </w:pPr>
      <w:r w:rsidRPr="00F171BC">
        <w:rPr>
          <w:color w:val="000000"/>
        </w:rPr>
        <w:t xml:space="preserve">Name of THE medicine </w:t>
      </w:r>
    </w:p>
    <w:p w:rsidR="00F0464A" w:rsidRDefault="00F0464A" w:rsidP="00F0464A">
      <w:pPr>
        <w:pStyle w:val="PINormal"/>
      </w:pPr>
      <w:r>
        <w:t>Australian Approved Name (AAN): Crizotinib</w:t>
      </w:r>
    </w:p>
    <w:p w:rsidR="00F0464A" w:rsidRPr="0065627A" w:rsidRDefault="00F0464A" w:rsidP="00F0464A">
      <w:pPr>
        <w:pStyle w:val="PITableText"/>
      </w:pPr>
      <w:r>
        <w:t>Chemical Structure:</w:t>
      </w:r>
    </w:p>
    <w:p w:rsidR="00F0464A" w:rsidRPr="00F00FFD" w:rsidRDefault="00A01242" w:rsidP="00F0464A">
      <w:pPr>
        <w:pStyle w:val="PINormal"/>
        <w:spacing w:before="120"/>
        <w:ind w:left="1678" w:hanging="1678"/>
        <w:jc w:val="left"/>
        <w:rPr>
          <w:rFonts w:eastAsia="TimesNewRoman"/>
          <w:lang w:eastAsia="en-AU"/>
        </w:rPr>
      </w:pPr>
      <w:r>
        <w:rPr>
          <w:noProof/>
          <w:lang w:eastAsia="en-AU"/>
        </w:rPr>
        <w:drawing>
          <wp:anchor distT="0" distB="0" distL="36195" distR="36195" simplePos="0" relativeHeight="251657216" behindDoc="1" locked="0" layoutInCell="1" allowOverlap="0">
            <wp:simplePos x="0" y="0"/>
            <wp:positionH relativeFrom="column">
              <wp:align>center</wp:align>
            </wp:positionH>
            <wp:positionV relativeFrom="paragraph">
              <wp:posOffset>0</wp:posOffset>
            </wp:positionV>
            <wp:extent cx="2000250" cy="244792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464A" w:rsidRPr="00F00FFD">
        <w:t>Chemical Name:</w:t>
      </w:r>
      <w:r w:rsidR="00F0464A" w:rsidRPr="00F00FFD">
        <w:tab/>
      </w:r>
      <w:r w:rsidR="00F0464A" w:rsidRPr="00F00FFD">
        <w:rPr>
          <w:rFonts w:eastAsia="TimesNewRoman"/>
          <w:lang w:eastAsia="en-AU"/>
        </w:rPr>
        <w:t>(</w:t>
      </w:r>
      <w:r w:rsidR="00F0464A" w:rsidRPr="00F00FFD">
        <w:rPr>
          <w:rFonts w:eastAsia="TimesNewRoman,Italic"/>
          <w:i/>
          <w:iCs/>
          <w:lang w:eastAsia="en-AU"/>
        </w:rPr>
        <w:t>R</w:t>
      </w:r>
      <w:r w:rsidR="00F0464A" w:rsidRPr="00F00FFD">
        <w:rPr>
          <w:rFonts w:eastAsia="TimesNewRoman"/>
          <w:lang w:eastAsia="en-AU"/>
        </w:rPr>
        <w:t>)-3-[1-(2,6-Dichloro-3-fluorophenyl)ethoxy]-5-[1-(piperidin-4-yl)-1</w:t>
      </w:r>
      <w:r w:rsidR="00F0464A" w:rsidRPr="00F00FFD">
        <w:rPr>
          <w:rFonts w:eastAsia="TimesNewRoman,Italic"/>
          <w:i/>
          <w:iCs/>
          <w:lang w:eastAsia="en-AU"/>
        </w:rPr>
        <w:t>H</w:t>
      </w:r>
      <w:r w:rsidR="00F0464A" w:rsidRPr="00F00FFD">
        <w:rPr>
          <w:rFonts w:eastAsia="TimesNewRoman"/>
          <w:lang w:eastAsia="en-AU"/>
        </w:rPr>
        <w:t>-pyrazol-4-yl]pyridin-2-amine</w:t>
      </w:r>
    </w:p>
    <w:p w:rsidR="00F0464A" w:rsidRPr="0065627A" w:rsidRDefault="00F0464A" w:rsidP="00F0464A">
      <w:pPr>
        <w:pStyle w:val="Paragraph"/>
        <w:tabs>
          <w:tab w:val="left" w:pos="2410"/>
        </w:tabs>
        <w:rPr>
          <w:lang w:val="pt-BR"/>
        </w:rPr>
      </w:pPr>
      <w:r w:rsidRPr="0065627A">
        <w:rPr>
          <w:lang w:val="pt-BR"/>
        </w:rPr>
        <w:t>Molecular Formula:</w:t>
      </w:r>
      <w:r>
        <w:rPr>
          <w:lang w:val="pt-BR"/>
        </w:rPr>
        <w:tab/>
      </w:r>
      <w:r w:rsidRPr="0065627A">
        <w:rPr>
          <w:lang w:val="pt-BR"/>
        </w:rPr>
        <w:t>C</w:t>
      </w:r>
      <w:r w:rsidRPr="0065627A">
        <w:rPr>
          <w:vertAlign w:val="subscript"/>
          <w:lang w:val="pt-BR"/>
        </w:rPr>
        <w:t>21</w:t>
      </w:r>
      <w:r w:rsidRPr="0065627A">
        <w:rPr>
          <w:lang w:val="pt-BR"/>
        </w:rPr>
        <w:t>H</w:t>
      </w:r>
      <w:r w:rsidRPr="0065627A">
        <w:rPr>
          <w:vertAlign w:val="subscript"/>
          <w:lang w:val="pt-BR"/>
        </w:rPr>
        <w:t>22</w:t>
      </w:r>
      <w:r w:rsidRPr="0065627A">
        <w:rPr>
          <w:lang w:val="pt-BR"/>
        </w:rPr>
        <w:t>Cl</w:t>
      </w:r>
      <w:r w:rsidRPr="0065627A">
        <w:rPr>
          <w:vertAlign w:val="subscript"/>
          <w:lang w:val="pt-BR"/>
        </w:rPr>
        <w:t>2</w:t>
      </w:r>
      <w:r w:rsidRPr="0065627A">
        <w:rPr>
          <w:lang w:val="pt-BR"/>
        </w:rPr>
        <w:t>FN</w:t>
      </w:r>
      <w:r w:rsidRPr="0065627A">
        <w:rPr>
          <w:vertAlign w:val="subscript"/>
          <w:lang w:val="pt-BR"/>
        </w:rPr>
        <w:t>5</w:t>
      </w:r>
      <w:r w:rsidRPr="0065627A">
        <w:rPr>
          <w:lang w:val="pt-BR"/>
        </w:rPr>
        <w:t>O</w:t>
      </w:r>
      <w:r>
        <w:rPr>
          <w:lang w:val="pt-BR"/>
        </w:rPr>
        <w:t xml:space="preserve">  </w:t>
      </w:r>
    </w:p>
    <w:p w:rsidR="00F0464A" w:rsidRPr="007B644A" w:rsidRDefault="00F0464A" w:rsidP="00F0464A">
      <w:pPr>
        <w:pStyle w:val="Paragraph"/>
        <w:tabs>
          <w:tab w:val="left" w:pos="2410"/>
        </w:tabs>
        <w:rPr>
          <w:lang w:val="pt-BR"/>
        </w:rPr>
      </w:pPr>
      <w:r w:rsidRPr="0065627A">
        <w:rPr>
          <w:lang w:val="pt-BR"/>
        </w:rPr>
        <w:t>Molecular Weight</w:t>
      </w:r>
      <w:r w:rsidRPr="007B644A">
        <w:rPr>
          <w:lang w:val="pt-BR"/>
        </w:rPr>
        <w:t>:</w:t>
      </w:r>
      <w:r>
        <w:rPr>
          <w:lang w:val="pt-BR"/>
        </w:rPr>
        <w:tab/>
      </w:r>
      <w:r w:rsidRPr="007B644A">
        <w:rPr>
          <w:lang w:val="pt-BR"/>
        </w:rPr>
        <w:t>450.34 Daltons</w:t>
      </w:r>
    </w:p>
    <w:p w:rsidR="00F0464A" w:rsidRDefault="00F0464A" w:rsidP="00F0464A">
      <w:pPr>
        <w:pStyle w:val="PINormal"/>
        <w:tabs>
          <w:tab w:val="left" w:pos="2410"/>
        </w:tabs>
      </w:pPr>
      <w:r w:rsidRPr="0065627A">
        <w:t>CAS Registry Number:</w:t>
      </w:r>
      <w:r>
        <w:t xml:space="preserve"> </w:t>
      </w:r>
      <w:r>
        <w:tab/>
      </w:r>
      <w:r w:rsidRPr="00F804D8">
        <w:t>877399-52-5</w:t>
      </w:r>
      <w:r>
        <w:t xml:space="preserve">  </w:t>
      </w:r>
    </w:p>
    <w:p w:rsidR="00F0464A" w:rsidRPr="00F171BC" w:rsidRDefault="00F0464A" w:rsidP="00F0464A">
      <w:pPr>
        <w:pStyle w:val="PIHeading1"/>
        <w:rPr>
          <w:color w:val="000000"/>
        </w:rPr>
      </w:pPr>
      <w:r w:rsidRPr="00F171BC">
        <w:rPr>
          <w:color w:val="000000"/>
        </w:rPr>
        <w:t xml:space="preserve">DESCRIPTION </w:t>
      </w:r>
    </w:p>
    <w:p w:rsidR="00F0464A" w:rsidRPr="000F5BBF" w:rsidRDefault="00F0464A" w:rsidP="00D62EC5">
      <w:pPr>
        <w:pStyle w:val="PINormal"/>
        <w:keepLines/>
      </w:pPr>
      <w:r w:rsidRPr="000F5BBF">
        <w:t xml:space="preserve">Crizotinib is a white to pale yellow powder with a pKa of 9.4 (piperidinium cation) and 5.6 (pyridinium cation).  The solubility of crizotinib in aqueous media decreases over the range pH 1.6 to pH 8.2 from greater than 10 mg/mL to less than 0.1 mg/mL.  The log of the distribution coefficient (octanol/water) at pH 7.4 is 1.65. </w:t>
      </w:r>
    </w:p>
    <w:p w:rsidR="00F0464A" w:rsidRPr="000F5BBF" w:rsidRDefault="00F0464A" w:rsidP="00D62EC5">
      <w:pPr>
        <w:pStyle w:val="PINormal"/>
        <w:keepLines/>
      </w:pPr>
      <w:r w:rsidRPr="000F5BBF">
        <w:t xml:space="preserve">XALKORI is supplied as hard gelatin capsules containing 200 mg or 250 mg of crizotinib and the following inactive ingredients: microcrystalline cellulose, </w:t>
      </w:r>
      <w:r w:rsidRPr="000F5BBF">
        <w:rPr>
          <w:szCs w:val="22"/>
        </w:rPr>
        <w:t xml:space="preserve">anhydrous calcium hydrogen phosphate, </w:t>
      </w:r>
      <w:r w:rsidRPr="000F5BBF">
        <w:t>sodium starch glycollate</w:t>
      </w:r>
      <w:r w:rsidRPr="000F5BBF">
        <w:rPr>
          <w:szCs w:val="22"/>
        </w:rPr>
        <w:t>, magnesium stearate and</w:t>
      </w:r>
      <w:r w:rsidR="00777E5E">
        <w:rPr>
          <w:szCs w:val="22"/>
        </w:rPr>
        <w:t xml:space="preserve"> </w:t>
      </w:r>
      <w:r w:rsidR="00C305DA">
        <w:rPr>
          <w:szCs w:val="22"/>
        </w:rPr>
        <w:t>colloidal anhydrous silica</w:t>
      </w:r>
      <w:r w:rsidRPr="000F5BBF">
        <w:t xml:space="preserve">. </w:t>
      </w:r>
    </w:p>
    <w:p w:rsidR="00F0464A" w:rsidRPr="000F5BBF" w:rsidRDefault="00F0464A" w:rsidP="00D62EC5">
      <w:pPr>
        <w:pStyle w:val="PINormal"/>
        <w:keepLines/>
        <w:rPr>
          <w:rFonts w:eastAsia="TimesNewRoman,Bold"/>
        </w:rPr>
      </w:pPr>
      <w:r w:rsidRPr="000F5BBF">
        <w:t xml:space="preserve">The capsules are differentiated by size, colour and printing.  The capsule shells for the 200 mg strength consist of a pink opaque cap and white opaque body and the capsule shells for the 250 mg strength consist of a pink opaque cap and body.  The pink opaque capsule shell components contain gelatin, titanium dioxide and iron oxide red.  The white opaque capsule shell components contain gelatin and titanium dioxide.  The capsule shells are printed with black printing ink. </w:t>
      </w:r>
    </w:p>
    <w:p w:rsidR="00A56014" w:rsidRPr="00F171BC" w:rsidRDefault="00A56014" w:rsidP="00A56014">
      <w:pPr>
        <w:pStyle w:val="PIHeading1"/>
        <w:rPr>
          <w:color w:val="000000"/>
        </w:rPr>
      </w:pPr>
      <w:r w:rsidRPr="00F171BC">
        <w:rPr>
          <w:color w:val="000000"/>
        </w:rPr>
        <w:lastRenderedPageBreak/>
        <w:t xml:space="preserve">PHARMACOLOGY </w:t>
      </w:r>
    </w:p>
    <w:p w:rsidR="00A56014" w:rsidRPr="000F5BBF" w:rsidRDefault="00A56014" w:rsidP="00A56014">
      <w:pPr>
        <w:pStyle w:val="PIHeading2"/>
        <w:rPr>
          <w:szCs w:val="28"/>
        </w:rPr>
      </w:pPr>
      <w:r w:rsidRPr="000F5BBF">
        <w:t>Pharmacodynamics</w:t>
      </w:r>
      <w:r w:rsidRPr="000F5BBF">
        <w:rPr>
          <w:szCs w:val="22"/>
        </w:rPr>
        <w:t xml:space="preserve"> </w:t>
      </w:r>
    </w:p>
    <w:p w:rsidR="00A56014" w:rsidRPr="00583CB4" w:rsidRDefault="00A56014" w:rsidP="00D62EC5">
      <w:pPr>
        <w:pStyle w:val="PINormal"/>
        <w:keepLines/>
        <w:rPr>
          <w:szCs w:val="24"/>
        </w:rPr>
      </w:pPr>
      <w:r w:rsidRPr="00583CB4">
        <w:rPr>
          <w:szCs w:val="22"/>
        </w:rPr>
        <w:t>Crizotinib is a</w:t>
      </w:r>
      <w:r w:rsidR="00170F60">
        <w:rPr>
          <w:szCs w:val="22"/>
        </w:rPr>
        <w:t>n</w:t>
      </w:r>
      <w:r w:rsidRPr="00583CB4">
        <w:rPr>
          <w:szCs w:val="22"/>
        </w:rPr>
        <w:t xml:space="preserve"> inhibitor of the ALK receptor tyrosine kinase (RTK) and its oncogenic variants (i.e., ALK fusion events)</w:t>
      </w:r>
      <w:r w:rsidRPr="00891EFC">
        <w:t>.</w:t>
      </w:r>
      <w:r w:rsidRPr="00AC6F56">
        <w:rPr>
          <w:rFonts w:eastAsia="TimesNewRoman"/>
          <w:color w:val="000000"/>
        </w:rPr>
        <w:t xml:space="preserve">  </w:t>
      </w:r>
      <w:r w:rsidRPr="00583CB4">
        <w:rPr>
          <w:szCs w:val="22"/>
        </w:rPr>
        <w:t>Crizotinib is also an inhibitor of the Hepatocyte Growth Factor Receptor (HGFR, c-Met) RTK.</w:t>
      </w:r>
      <w:r w:rsidRPr="000D5917">
        <w:rPr>
          <w:rFonts w:eastAsia="TimesNewRoman"/>
          <w:color w:val="3333FF"/>
        </w:rPr>
        <w:t xml:space="preserve"> </w:t>
      </w:r>
      <w:r>
        <w:rPr>
          <w:szCs w:val="22"/>
        </w:rPr>
        <w:t xml:space="preserve"> </w:t>
      </w:r>
      <w:r w:rsidRPr="00583CB4">
        <w:rPr>
          <w:szCs w:val="22"/>
        </w:rPr>
        <w:t xml:space="preserve">Crizotinib demonstrated concentration-dependent inhibition of the kinase activity of ALK and c-Met in biochemical assays and inhibited phosphorylation and modulated kinase-dependent phenotypes in cell-based assays. </w:t>
      </w:r>
      <w:r>
        <w:rPr>
          <w:szCs w:val="22"/>
        </w:rPr>
        <w:t xml:space="preserve"> </w:t>
      </w:r>
      <w:r w:rsidRPr="00583CB4">
        <w:rPr>
          <w:szCs w:val="22"/>
        </w:rPr>
        <w:t xml:space="preserve">Crizotinib demonstrated growth inhibitory activity and induced apoptosis in tumour cell lines exhibiting ALK fusion events (including EML4-ALK and NPM-ALK). </w:t>
      </w:r>
      <w:r>
        <w:rPr>
          <w:szCs w:val="22"/>
        </w:rPr>
        <w:t xml:space="preserve"> </w:t>
      </w:r>
      <w:r w:rsidRPr="00583CB4">
        <w:rPr>
          <w:szCs w:val="22"/>
        </w:rPr>
        <w:t>Crizotinib demonstrated antitumour activity in mice bearing tumour xenografts that expressed ALK fusion proteins</w:t>
      </w:r>
      <w:r w:rsidRPr="00AC6F56">
        <w:rPr>
          <w:rFonts w:eastAsia="TimesNewRoman"/>
          <w:color w:val="000000"/>
        </w:rPr>
        <w:t>.</w:t>
      </w:r>
      <w:r w:rsidRPr="00583CB4">
        <w:rPr>
          <w:szCs w:val="22"/>
        </w:rPr>
        <w:t xml:space="preserve"> </w:t>
      </w:r>
      <w:r>
        <w:rPr>
          <w:szCs w:val="22"/>
        </w:rPr>
        <w:t xml:space="preserve"> </w:t>
      </w:r>
      <w:r w:rsidRPr="00583CB4">
        <w:rPr>
          <w:szCs w:val="22"/>
        </w:rPr>
        <w:t xml:space="preserve">The antitumour efficacy of crizotinib was dose-dependent and correlated to pharmacodynamic inhibition of phosphorylation of ALK fusion proteins (including EML4-ALK and NPM-ALK) in tumours </w:t>
      </w:r>
      <w:r w:rsidRPr="00E26EF0">
        <w:rPr>
          <w:i/>
          <w:szCs w:val="22"/>
        </w:rPr>
        <w:t>in vivo</w:t>
      </w:r>
      <w:r w:rsidRPr="00583CB4">
        <w:rPr>
          <w:szCs w:val="22"/>
        </w:rPr>
        <w:t>.</w:t>
      </w:r>
    </w:p>
    <w:p w:rsidR="00A56014" w:rsidRPr="00F171BC" w:rsidRDefault="00A56014" w:rsidP="00A56014">
      <w:pPr>
        <w:pStyle w:val="PIHeading2"/>
        <w:rPr>
          <w:color w:val="000000"/>
        </w:rPr>
      </w:pPr>
      <w:r w:rsidRPr="00F171BC">
        <w:rPr>
          <w:color w:val="000000"/>
        </w:rPr>
        <w:t xml:space="preserve">Pharmacokinetics </w:t>
      </w:r>
    </w:p>
    <w:p w:rsidR="00A56014" w:rsidRPr="00F171BC" w:rsidRDefault="00A56014" w:rsidP="00A56014">
      <w:pPr>
        <w:pStyle w:val="PIHeading3"/>
        <w:rPr>
          <w:color w:val="000000"/>
        </w:rPr>
      </w:pPr>
      <w:r w:rsidRPr="00F171BC">
        <w:rPr>
          <w:color w:val="000000"/>
        </w:rPr>
        <w:t xml:space="preserve">Absorption </w:t>
      </w:r>
    </w:p>
    <w:p w:rsidR="00A56014" w:rsidRPr="0050007E" w:rsidRDefault="00A56014" w:rsidP="00D62EC5">
      <w:pPr>
        <w:pStyle w:val="PINormal"/>
        <w:keepLines/>
        <w:rPr>
          <w:color w:val="000000"/>
        </w:rPr>
      </w:pPr>
      <w:r w:rsidRPr="009B633D">
        <w:t>Following oral single dose administration in the fasted state, crizotinib is absorbed with median time to achieve peak concentrations of 4 to 6 hours</w:t>
      </w:r>
      <w:r>
        <w:rPr>
          <w:color w:val="000000"/>
        </w:rPr>
        <w:t>.</w:t>
      </w:r>
      <w:r w:rsidRPr="009B633D">
        <w:t xml:space="preserve">  Following crizotinib 250 mg twice daily, steady-state was reached within 15 days and remained stable with a median accumulation ratio of 4.8</w:t>
      </w:r>
      <w:r>
        <w:rPr>
          <w:color w:val="000000"/>
        </w:rPr>
        <w:t>.</w:t>
      </w:r>
      <w:r w:rsidRPr="009B633D">
        <w:t xml:space="preserve">  The absolute bioavailability of crizotinib was determined to be 43% (range 32% to 66%) following the administration of a single 250 mg oral dose</w:t>
      </w:r>
      <w:r>
        <w:rPr>
          <w:color w:val="000000"/>
        </w:rPr>
        <w:t>.</w:t>
      </w:r>
    </w:p>
    <w:p w:rsidR="00A56014" w:rsidRPr="00B30C3C" w:rsidRDefault="00A56014" w:rsidP="00D62EC5">
      <w:pPr>
        <w:pStyle w:val="PINormal"/>
        <w:keepLines/>
        <w:rPr>
          <w:b/>
        </w:rPr>
      </w:pPr>
      <w:r w:rsidRPr="009B633D">
        <w:t>A high-fat meal reduced crizotinib AUC</w:t>
      </w:r>
      <w:r w:rsidRPr="00FF360B">
        <w:rPr>
          <w:vertAlign w:val="subscript"/>
        </w:rPr>
        <w:t>inf</w:t>
      </w:r>
      <w:r w:rsidRPr="009B633D">
        <w:t xml:space="preserve"> and C</w:t>
      </w:r>
      <w:r w:rsidRPr="00FF360B">
        <w:rPr>
          <w:vertAlign w:val="subscript"/>
        </w:rPr>
        <w:t>max</w:t>
      </w:r>
      <w:r w:rsidRPr="009B633D">
        <w:t xml:space="preserve"> by approximately 14% when a 250 mg single dose was given to healthy volunteers.  Crizotinib can be administered with or without food</w:t>
      </w:r>
      <w:r w:rsidR="00AE72B6" w:rsidRPr="009B633D">
        <w:t>.</w:t>
      </w:r>
    </w:p>
    <w:p w:rsidR="00A56014" w:rsidRPr="00F171BC" w:rsidRDefault="00A56014" w:rsidP="00A56014">
      <w:pPr>
        <w:pStyle w:val="PIHeading3"/>
        <w:rPr>
          <w:color w:val="000000"/>
        </w:rPr>
      </w:pPr>
      <w:r w:rsidRPr="00F171BC">
        <w:rPr>
          <w:color w:val="000000"/>
        </w:rPr>
        <w:t xml:space="preserve">Distribution </w:t>
      </w:r>
    </w:p>
    <w:p w:rsidR="00A56014" w:rsidRPr="00AC6F56" w:rsidRDefault="00A56014" w:rsidP="00D62EC5">
      <w:pPr>
        <w:pStyle w:val="PINormal"/>
        <w:keepLines/>
        <w:rPr>
          <w:color w:val="000000"/>
        </w:rPr>
      </w:pPr>
      <w:r w:rsidRPr="000F5BBF">
        <w:t xml:space="preserve">The geometric mean volume of distribution (Vss) of crizotinib was 1772 L following intravenous administration of a 50 mg dose, indicating extensive distribution into tissues from </w:t>
      </w:r>
      <w:r w:rsidRPr="000333D7">
        <w:t>the plasma</w:t>
      </w:r>
      <w:r>
        <w:rPr>
          <w:color w:val="000000"/>
        </w:rPr>
        <w:t>.</w:t>
      </w:r>
    </w:p>
    <w:p w:rsidR="00A56014" w:rsidRPr="00AC6F56" w:rsidRDefault="00A56014" w:rsidP="00D62EC5">
      <w:pPr>
        <w:pStyle w:val="Default"/>
        <w:keepLines/>
        <w:jc w:val="both"/>
        <w:rPr>
          <w:szCs w:val="20"/>
        </w:rPr>
      </w:pPr>
      <w:r w:rsidRPr="000333D7">
        <w:t xml:space="preserve">Binding of crizotinib to human plasma proteins </w:t>
      </w:r>
      <w:r w:rsidRPr="004440DC">
        <w:rPr>
          <w:i/>
        </w:rPr>
        <w:t>in vitro</w:t>
      </w:r>
      <w:r w:rsidRPr="000333D7">
        <w:t xml:space="preserve"> is 91%</w:t>
      </w:r>
      <w:r w:rsidR="00F71327">
        <w:t>;</w:t>
      </w:r>
      <w:r w:rsidRPr="000333D7">
        <w:t xml:space="preserve"> </w:t>
      </w:r>
      <w:r w:rsidR="00F71327">
        <w:t xml:space="preserve">in the </w:t>
      </w:r>
      <w:r w:rsidR="00F71327" w:rsidRPr="004440DC">
        <w:rPr>
          <w:i/>
        </w:rPr>
        <w:t>in vitro</w:t>
      </w:r>
      <w:r w:rsidR="00F71327" w:rsidRPr="000333D7">
        <w:t xml:space="preserve"> </w:t>
      </w:r>
      <w:r w:rsidR="00F71327">
        <w:t>study</w:t>
      </w:r>
      <w:r w:rsidR="00883B01" w:rsidRPr="000F70AD">
        <w:t>,</w:t>
      </w:r>
      <w:r w:rsidR="00F71327">
        <w:t xml:space="preserve"> there was variability in the fraction of unbound crizotinib at a clinically relevant concentration</w:t>
      </w:r>
      <w:r>
        <w:rPr>
          <w:rFonts w:eastAsia="TimesNewRoman"/>
          <w:lang w:eastAsia="en-US"/>
        </w:rPr>
        <w:t>.</w:t>
      </w:r>
      <w:r w:rsidRPr="000333D7">
        <w:rPr>
          <w:rFonts w:eastAsia="TimesNewRoman"/>
        </w:rPr>
        <w:t xml:space="preserve"> </w:t>
      </w:r>
      <w:r w:rsidRPr="000333D7">
        <w:t xml:space="preserve"> </w:t>
      </w:r>
      <w:r w:rsidRPr="004440DC">
        <w:rPr>
          <w:i/>
        </w:rPr>
        <w:t>In vitro</w:t>
      </w:r>
      <w:r w:rsidRPr="000333D7">
        <w:t xml:space="preserve"> studies suggest that crizotinib is a substrate for P</w:t>
      </w:r>
      <w:r w:rsidR="00C72375">
        <w:noBreakHyphen/>
      </w:r>
      <w:r w:rsidRPr="000333D7">
        <w:t>glycoprotein (P</w:t>
      </w:r>
      <w:r w:rsidRPr="000333D7">
        <w:noBreakHyphen/>
        <w:t>gp)</w:t>
      </w:r>
      <w:r w:rsidRPr="00AC6F56">
        <w:rPr>
          <w:rFonts w:eastAsia="TimesNewRoman"/>
          <w:lang w:eastAsia="en-US"/>
        </w:rPr>
        <w:t>.</w:t>
      </w:r>
      <w:r w:rsidRPr="000D5917">
        <w:rPr>
          <w:rFonts w:eastAsia="TimesNewRoman"/>
          <w:color w:val="3333FF"/>
          <w:lang w:eastAsia="en-US"/>
        </w:rPr>
        <w:t xml:space="preserve"> </w:t>
      </w:r>
      <w:r w:rsidRPr="000333D7">
        <w:rPr>
          <w:rFonts w:eastAsia="TimesNewRoman"/>
        </w:rPr>
        <w:t xml:space="preserve"> The blood-to-plasma concentration ratio is approximately 1</w:t>
      </w:r>
      <w:r>
        <w:rPr>
          <w:rFonts w:eastAsia="TimesNewRoman"/>
          <w:lang w:eastAsia="en-US"/>
        </w:rPr>
        <w:t>.</w:t>
      </w:r>
    </w:p>
    <w:p w:rsidR="00A56014" w:rsidRPr="00F171BC" w:rsidRDefault="00A56014" w:rsidP="00A56014">
      <w:pPr>
        <w:pStyle w:val="PIHeading3"/>
        <w:rPr>
          <w:color w:val="000000"/>
        </w:rPr>
      </w:pPr>
      <w:r w:rsidRPr="00F171BC">
        <w:rPr>
          <w:color w:val="000000"/>
        </w:rPr>
        <w:t xml:space="preserve">Metabolism </w:t>
      </w:r>
    </w:p>
    <w:p w:rsidR="00A56014" w:rsidRPr="000333D7" w:rsidRDefault="00A56014" w:rsidP="00D62EC5">
      <w:pPr>
        <w:pStyle w:val="PINormal"/>
        <w:keepLines/>
      </w:pPr>
      <w:r w:rsidRPr="004440DC">
        <w:rPr>
          <w:i/>
        </w:rPr>
        <w:t>In vitro</w:t>
      </w:r>
      <w:r w:rsidRPr="000333D7">
        <w:t xml:space="preserve"> studies demonstrated that CYP3A4/5 were the major enzymes involved in the metabolic clearance of crizotinib</w:t>
      </w:r>
      <w:r>
        <w:rPr>
          <w:rFonts w:eastAsia="TimesNewRoman"/>
          <w:color w:val="000000"/>
          <w:szCs w:val="24"/>
        </w:rPr>
        <w:t>.</w:t>
      </w:r>
      <w:r w:rsidRPr="000D5917">
        <w:rPr>
          <w:rFonts w:eastAsia="TimesNewRoman"/>
          <w:color w:val="3333FF"/>
          <w:szCs w:val="24"/>
        </w:rPr>
        <w:t xml:space="preserve"> </w:t>
      </w:r>
      <w:r w:rsidRPr="000333D7">
        <w:t xml:space="preserve"> The primary metabolic pathways in humans were oxidation of the piperidine ring to crizotinib lactam and O</w:t>
      </w:r>
      <w:r w:rsidRPr="000333D7">
        <w:noBreakHyphen/>
        <w:t>dealkylation, with subsequent Phase 2 conjugation of O</w:t>
      </w:r>
      <w:r w:rsidRPr="000333D7">
        <w:noBreakHyphen/>
        <w:t>dealkylated metabolites</w:t>
      </w:r>
      <w:r>
        <w:rPr>
          <w:color w:val="000000"/>
          <w:szCs w:val="24"/>
        </w:rPr>
        <w:t>.</w:t>
      </w:r>
      <w:r w:rsidRPr="000D5917">
        <w:rPr>
          <w:color w:val="3333FF"/>
          <w:szCs w:val="24"/>
        </w:rPr>
        <w:t xml:space="preserve">  </w:t>
      </w:r>
    </w:p>
    <w:p w:rsidR="00A56014" w:rsidRPr="000F5BBF" w:rsidRDefault="00A56014" w:rsidP="00A56014">
      <w:pPr>
        <w:pStyle w:val="PINormal"/>
        <w:rPr>
          <w:szCs w:val="24"/>
        </w:rPr>
      </w:pPr>
      <w:r w:rsidRPr="004440DC">
        <w:rPr>
          <w:i/>
        </w:rPr>
        <w:t>In vitro</w:t>
      </w:r>
      <w:r w:rsidRPr="000333D7">
        <w:t xml:space="preserve"> studies in human liver microsomes demonstrated that crizotinib is a time-dependent inhibitor of </w:t>
      </w:r>
      <w:r w:rsidR="00C72375">
        <w:t xml:space="preserve">CYP2B6 and </w:t>
      </w:r>
      <w:r w:rsidRPr="000333D7">
        <w:t>CYP3A</w:t>
      </w:r>
      <w:r>
        <w:rPr>
          <w:color w:val="000000"/>
          <w:szCs w:val="23"/>
        </w:rPr>
        <w:t>.</w:t>
      </w:r>
      <w:r w:rsidRPr="000F5BBF">
        <w:rPr>
          <w:szCs w:val="23"/>
        </w:rPr>
        <w:t xml:space="preserve"> </w:t>
      </w:r>
    </w:p>
    <w:p w:rsidR="00A56014" w:rsidRPr="007A5009" w:rsidRDefault="0001187F" w:rsidP="00A56014">
      <w:pPr>
        <w:pStyle w:val="PIHeading3"/>
        <w:rPr>
          <w:i w:val="0"/>
          <w:color w:val="000000"/>
        </w:rPr>
      </w:pPr>
      <w:r>
        <w:rPr>
          <w:color w:val="000000"/>
        </w:rPr>
        <w:lastRenderedPageBreak/>
        <w:t>Excretion</w:t>
      </w:r>
      <w:r w:rsidRPr="00F171BC">
        <w:rPr>
          <w:color w:val="000000"/>
        </w:rPr>
        <w:t xml:space="preserve"> </w:t>
      </w:r>
    </w:p>
    <w:p w:rsidR="00A56014" w:rsidRPr="004440DC" w:rsidRDefault="00A56014" w:rsidP="00A56014">
      <w:pPr>
        <w:pStyle w:val="PINormal"/>
        <w:rPr>
          <w:rFonts w:eastAsia="MS Mincho"/>
          <w:szCs w:val="22"/>
        </w:rPr>
      </w:pPr>
      <w:r w:rsidRPr="004440DC">
        <w:rPr>
          <w:rFonts w:eastAsia="MS Mincho"/>
          <w:szCs w:val="22"/>
        </w:rPr>
        <w:t>Following single doses of crizotinib</w:t>
      </w:r>
      <w:r w:rsidRPr="004440DC">
        <w:rPr>
          <w:szCs w:val="22"/>
        </w:rPr>
        <w:t>,</w:t>
      </w:r>
      <w:r w:rsidRPr="004440DC">
        <w:rPr>
          <w:rFonts w:eastAsia="MS Mincho"/>
          <w:szCs w:val="22"/>
        </w:rPr>
        <w:t xml:space="preserve"> the apparent plasma</w:t>
      </w:r>
      <w:r w:rsidRPr="004440DC">
        <w:rPr>
          <w:rFonts w:eastAsia="MS Mincho"/>
        </w:rPr>
        <w:t xml:space="preserve"> </w:t>
      </w:r>
      <w:r w:rsidRPr="004440DC">
        <w:rPr>
          <w:rFonts w:eastAsia="MS Mincho"/>
          <w:szCs w:val="22"/>
        </w:rPr>
        <w:t>terminal half life of criz</w:t>
      </w:r>
      <w:r>
        <w:rPr>
          <w:rFonts w:eastAsia="MS Mincho"/>
          <w:szCs w:val="22"/>
        </w:rPr>
        <w:t>otinib was 42 hours in patients</w:t>
      </w:r>
      <w:r>
        <w:rPr>
          <w:color w:val="000000"/>
        </w:rPr>
        <w:t>.</w:t>
      </w:r>
      <w:r w:rsidRPr="004440DC">
        <w:t xml:space="preserve">  </w:t>
      </w:r>
    </w:p>
    <w:p w:rsidR="00A56014" w:rsidRPr="004440DC" w:rsidRDefault="00A56014" w:rsidP="00D62EC5">
      <w:pPr>
        <w:pStyle w:val="PINormal"/>
        <w:keepLines/>
      </w:pPr>
      <w:r w:rsidRPr="004440DC">
        <w:rPr>
          <w:szCs w:val="22"/>
        </w:rPr>
        <w:t>Following the administration of a single 250 mg radiolabelled crizotinib dose to healthy subjects, 63% and 22% of the administered dose was recovered in faeces and urine, respectively.  Unchanged crizotinib represented approximately 53% and 2.3% of the administered dose in faeces and urine, respectively</w:t>
      </w:r>
      <w:r w:rsidR="00E661F5" w:rsidRPr="001F0DCC">
        <w:t>.</w:t>
      </w:r>
      <w:r w:rsidRPr="004440DC">
        <w:t xml:space="preserve">  </w:t>
      </w:r>
    </w:p>
    <w:p w:rsidR="00A56014" w:rsidRPr="00D56E53" w:rsidRDefault="00A56014" w:rsidP="00D62EC5">
      <w:pPr>
        <w:pStyle w:val="PINormal"/>
        <w:keepLines/>
        <w:rPr>
          <w:szCs w:val="22"/>
        </w:rPr>
      </w:pPr>
      <w:r w:rsidRPr="004440DC">
        <w:t>The mean apparent clearance (CL/F) of crizotinib was lower at steady state (60 L/hr) after 250 mg twice daily than that after a single 250 mg oral dose (100 L/hr), which was likely due to autoinhibition of CYP3A by crizotinib after multiple dosing</w:t>
      </w:r>
      <w:r>
        <w:rPr>
          <w:color w:val="000000"/>
        </w:rPr>
        <w:t>.</w:t>
      </w:r>
      <w:r w:rsidRPr="009C23B5">
        <w:t xml:space="preserve">  </w:t>
      </w:r>
    </w:p>
    <w:p w:rsidR="00A56014" w:rsidRPr="00F171BC" w:rsidRDefault="007D6DA6" w:rsidP="00A56014">
      <w:pPr>
        <w:pStyle w:val="PIHeading3"/>
        <w:rPr>
          <w:color w:val="000000"/>
        </w:rPr>
      </w:pPr>
      <w:r>
        <w:rPr>
          <w:color w:val="000000"/>
        </w:rPr>
        <w:t xml:space="preserve">Pharmacokinetics in </w:t>
      </w:r>
      <w:r w:rsidR="00A56014" w:rsidRPr="00F171BC">
        <w:rPr>
          <w:color w:val="000000"/>
        </w:rPr>
        <w:t xml:space="preserve">Special </w:t>
      </w:r>
      <w:r>
        <w:rPr>
          <w:color w:val="000000"/>
        </w:rPr>
        <w:t>Patient Groups</w:t>
      </w:r>
      <w:r w:rsidR="00A56014" w:rsidRPr="00F171BC">
        <w:rPr>
          <w:color w:val="000000"/>
        </w:rPr>
        <w:t xml:space="preserve"> </w:t>
      </w:r>
    </w:p>
    <w:p w:rsidR="00A56014" w:rsidRPr="00F171BC" w:rsidRDefault="00A56014" w:rsidP="00A56014">
      <w:pPr>
        <w:pStyle w:val="PIHeading4"/>
        <w:rPr>
          <w:i w:val="0"/>
          <w:color w:val="000000"/>
        </w:rPr>
      </w:pPr>
      <w:r w:rsidRPr="00F171BC">
        <w:rPr>
          <w:color w:val="000000"/>
        </w:rPr>
        <w:t xml:space="preserve">Hepatic </w:t>
      </w:r>
      <w:r w:rsidRPr="006163A3">
        <w:t>Insufficiency</w:t>
      </w:r>
      <w:r w:rsidRPr="006163A3">
        <w:rPr>
          <w:szCs w:val="28"/>
        </w:rPr>
        <w:t xml:space="preserve"> </w:t>
      </w:r>
    </w:p>
    <w:p w:rsidR="00D62EC5" w:rsidRDefault="0001187F" w:rsidP="00D62EC5">
      <w:pPr>
        <w:pStyle w:val="PINormal"/>
        <w:keepLines/>
      </w:pPr>
      <w:r w:rsidRPr="008559DB">
        <w:rPr>
          <w:rFonts w:eastAsia="Batang"/>
          <w:color w:val="000000"/>
          <w:lang w:eastAsia="zh-CN"/>
        </w:rPr>
        <w:t>As crizotinib is extensively metaboli</w:t>
      </w:r>
      <w:r w:rsidR="00BC6108">
        <w:rPr>
          <w:rFonts w:eastAsia="Batang"/>
          <w:color w:val="000000"/>
          <w:lang w:eastAsia="zh-CN"/>
        </w:rPr>
        <w:t>s</w:t>
      </w:r>
      <w:r w:rsidRPr="008559DB">
        <w:rPr>
          <w:rFonts w:eastAsia="Batang"/>
          <w:color w:val="000000"/>
          <w:lang w:eastAsia="zh-CN"/>
        </w:rPr>
        <w:t xml:space="preserve">ed in the liver, hepatic impairment is likely to increase plasma crizotinib concentrations. </w:t>
      </w:r>
      <w:r w:rsidR="00BC6108">
        <w:rPr>
          <w:rFonts w:eastAsia="Batang"/>
          <w:color w:val="000000"/>
          <w:lang w:eastAsia="zh-CN"/>
        </w:rPr>
        <w:t xml:space="preserve"> </w:t>
      </w:r>
      <w:r w:rsidRPr="008559DB">
        <w:rPr>
          <w:rFonts w:eastAsia="Batang"/>
          <w:color w:val="000000"/>
          <w:lang w:eastAsia="zh-CN"/>
        </w:rPr>
        <w:t>However</w:t>
      </w:r>
      <w:r>
        <w:rPr>
          <w:rFonts w:eastAsia="Batang"/>
          <w:color w:val="000000"/>
          <w:lang w:eastAsia="zh-CN"/>
        </w:rPr>
        <w:t xml:space="preserve">, </w:t>
      </w:r>
      <w:r w:rsidR="00BC6108">
        <w:rPr>
          <w:rFonts w:eastAsia="Batang"/>
        </w:rPr>
        <w:t>c</w:t>
      </w:r>
      <w:r w:rsidR="008E2567" w:rsidRPr="00AD44D7">
        <w:rPr>
          <w:rFonts w:eastAsia="Batang"/>
        </w:rPr>
        <w:t xml:space="preserve">rizotinib has not been studied in patients with hepatic impairment.  Clinical studies that were conducted excluded patients with </w:t>
      </w:r>
      <w:r w:rsidR="004417C6">
        <w:rPr>
          <w:rFonts w:eastAsia="Batang"/>
        </w:rPr>
        <w:t>alanine aminotransferase (</w:t>
      </w:r>
      <w:r w:rsidR="008E2567" w:rsidRPr="00AD44D7">
        <w:rPr>
          <w:rFonts w:eastAsia="Batang"/>
        </w:rPr>
        <w:t>ALT</w:t>
      </w:r>
      <w:r w:rsidR="004417C6">
        <w:rPr>
          <w:rFonts w:eastAsia="Batang"/>
        </w:rPr>
        <w:t>)</w:t>
      </w:r>
      <w:r w:rsidR="008E2567" w:rsidRPr="00AD44D7">
        <w:rPr>
          <w:rFonts w:eastAsia="Batang"/>
        </w:rPr>
        <w:t xml:space="preserve"> or </w:t>
      </w:r>
      <w:r w:rsidR="004417C6">
        <w:rPr>
          <w:rFonts w:eastAsia="Batang"/>
        </w:rPr>
        <w:t>aspartate aminotransferase (</w:t>
      </w:r>
      <w:r w:rsidR="008E2567" w:rsidRPr="00AD44D7">
        <w:rPr>
          <w:rFonts w:eastAsia="Batang"/>
        </w:rPr>
        <w:t>AST</w:t>
      </w:r>
      <w:r w:rsidR="004417C6">
        <w:rPr>
          <w:rFonts w:eastAsia="Batang"/>
        </w:rPr>
        <w:t>)</w:t>
      </w:r>
      <w:r w:rsidR="008E2567" w:rsidRPr="00AD44D7">
        <w:rPr>
          <w:rFonts w:eastAsia="Batang"/>
        </w:rPr>
        <w:t xml:space="preserve"> &gt;2.5 x ULN or, if due to underlying malignancy, &gt;5.0 x ULN or with total bilirubin &gt;1.5 x </w:t>
      </w:r>
      <w:r w:rsidR="008E2567" w:rsidRPr="00554E84">
        <w:rPr>
          <w:rFonts w:eastAsia="Batang"/>
        </w:rPr>
        <w:t>ULN</w:t>
      </w:r>
      <w:r w:rsidR="00AD44D7">
        <w:t>.</w:t>
      </w:r>
      <w:r w:rsidR="00547379">
        <w:t xml:space="preserve">  </w:t>
      </w:r>
    </w:p>
    <w:p w:rsidR="00A56014" w:rsidRPr="006163A3" w:rsidRDefault="00A56014" w:rsidP="00DC49AC">
      <w:pPr>
        <w:pStyle w:val="PIHeading4"/>
      </w:pPr>
      <w:r w:rsidRPr="006163A3">
        <w:t>Renal Insufficiency</w:t>
      </w:r>
      <w:r w:rsidRPr="006163A3">
        <w:rPr>
          <w:szCs w:val="28"/>
        </w:rPr>
        <w:t xml:space="preserve"> </w:t>
      </w:r>
    </w:p>
    <w:p w:rsidR="00317BFF" w:rsidRDefault="006538F6" w:rsidP="00D62EC5">
      <w:pPr>
        <w:pStyle w:val="PINormal"/>
        <w:keepLines/>
      </w:pPr>
      <w:r w:rsidRPr="00B42595">
        <w:t>Patients with mild (</w:t>
      </w:r>
      <w:r w:rsidRPr="00352CCA">
        <w:t>creatinine</w:t>
      </w:r>
      <w:r>
        <w:t> </w:t>
      </w:r>
      <w:r w:rsidRPr="00352CCA">
        <w:t>clearance</w:t>
      </w:r>
      <w:r>
        <w:t> </w:t>
      </w:r>
      <w:r w:rsidRPr="00352CCA">
        <w:t>[CLcr]</w:t>
      </w:r>
      <w:r>
        <w:t> </w:t>
      </w:r>
      <w:r w:rsidR="00084F79">
        <w:t xml:space="preserve">60 to </w:t>
      </w:r>
      <w:r w:rsidRPr="00B42595">
        <w:t>&lt;90</w:t>
      </w:r>
      <w:r>
        <w:t> </w:t>
      </w:r>
      <w:r w:rsidRPr="00B42595">
        <w:t>mL/min) and moderate (</w:t>
      </w:r>
      <w:r>
        <w:t>CLcr </w:t>
      </w:r>
      <w:r w:rsidR="0020721A" w:rsidRPr="00B42595">
        <w:t>30</w:t>
      </w:r>
      <w:r w:rsidR="0020721A">
        <w:t xml:space="preserve"> to </w:t>
      </w:r>
      <w:r w:rsidRPr="00B42595">
        <w:t>&lt;60</w:t>
      </w:r>
      <w:r>
        <w:t> </w:t>
      </w:r>
      <w:r w:rsidRPr="00B42595">
        <w:t xml:space="preserve">mL/min) renal impairment were enrolled in </w:t>
      </w:r>
      <w:r>
        <w:t>single-arm Studies 1001 and 1005</w:t>
      </w:r>
      <w:r w:rsidRPr="00B42595">
        <w:t>.</w:t>
      </w:r>
      <w:r>
        <w:t xml:space="preserve"> </w:t>
      </w:r>
      <w:r w:rsidRPr="00B42595">
        <w:t xml:space="preserve"> The effect of renal function</w:t>
      </w:r>
      <w:r>
        <w:t>,</w:t>
      </w:r>
      <w:r w:rsidRPr="00B42595">
        <w:t xml:space="preserve"> as measured by baseline CLcr on</w:t>
      </w:r>
      <w:r>
        <w:t xml:space="preserve"> observed</w:t>
      </w:r>
      <w:r w:rsidRPr="00B42595">
        <w:t xml:space="preserve"> crizo</w:t>
      </w:r>
      <w:r>
        <w:t>t</w:t>
      </w:r>
      <w:r w:rsidRPr="00B42595">
        <w:t xml:space="preserve">inib </w:t>
      </w:r>
      <w:r>
        <w:t>steady state trough concentrations</w:t>
      </w:r>
      <w:r w:rsidRPr="00B42595">
        <w:t xml:space="preserve"> (C</w:t>
      </w:r>
      <w:r w:rsidRPr="00B42595">
        <w:rPr>
          <w:vertAlign w:val="subscript"/>
        </w:rPr>
        <w:t>trough,</w:t>
      </w:r>
      <w:r>
        <w:rPr>
          <w:vertAlign w:val="subscript"/>
        </w:rPr>
        <w:t xml:space="preserve"> </w:t>
      </w:r>
      <w:r w:rsidRPr="00B42595">
        <w:rPr>
          <w:vertAlign w:val="subscript"/>
        </w:rPr>
        <w:t>ss</w:t>
      </w:r>
      <w:r w:rsidRPr="00B42595">
        <w:t>) was evaluated</w:t>
      </w:r>
      <w:r>
        <w:t xml:space="preserve">.  </w:t>
      </w:r>
    </w:p>
    <w:p w:rsidR="006538F6" w:rsidRPr="00352CCA" w:rsidRDefault="00715C74" w:rsidP="00D62EC5">
      <w:pPr>
        <w:pStyle w:val="PINormal"/>
        <w:keepLines/>
      </w:pPr>
      <w:r w:rsidRPr="00715C74">
        <w:t>N</w:t>
      </w:r>
      <w:r w:rsidR="006538F6" w:rsidRPr="00715C74">
        <w:t xml:space="preserve">o starting dose adjustment is recommended for patients with mild or moderate renal impairment.  </w:t>
      </w:r>
      <w:r w:rsidR="006538F6" w:rsidRPr="00317BFF">
        <w:t xml:space="preserve">An adjustment of the dose of crizotinib is recommended when administering crizotinib to patients with severe renal impairment </w:t>
      </w:r>
      <w:r w:rsidR="00B60E44" w:rsidRPr="00317BFF">
        <w:t xml:space="preserve">(CLcr &lt;30 mL/min) </w:t>
      </w:r>
      <w:r w:rsidR="006538F6" w:rsidRPr="00317BFF">
        <w:t>not requiring peritoneal dialysis or h</w:t>
      </w:r>
      <w:r w:rsidR="00A04257">
        <w:t>a</w:t>
      </w:r>
      <w:r w:rsidR="006538F6" w:rsidRPr="00317BFF">
        <w:t xml:space="preserve">emodialysis (see DOSAGE AND ADMINISTRATION – Dose Modification – </w:t>
      </w:r>
      <w:r w:rsidR="006538F6" w:rsidRPr="00317BFF">
        <w:rPr>
          <w:i/>
        </w:rPr>
        <w:t>Renal Impairment</w:t>
      </w:r>
      <w:r w:rsidR="006538F6" w:rsidRPr="00317BFF">
        <w:t>).</w:t>
      </w:r>
    </w:p>
    <w:p w:rsidR="00037DE6" w:rsidRPr="00715C74" w:rsidRDefault="00037DE6" w:rsidP="002921D8">
      <w:pPr>
        <w:pStyle w:val="PIHeading4"/>
      </w:pPr>
      <w:r w:rsidRPr="00715C74">
        <w:t>Age</w:t>
      </w:r>
    </w:p>
    <w:p w:rsidR="00037DE6" w:rsidRPr="00715C74" w:rsidRDefault="00715C74" w:rsidP="00037DE6">
      <w:pPr>
        <w:pStyle w:val="Paragraph"/>
      </w:pPr>
      <w:r>
        <w:t>A</w:t>
      </w:r>
      <w:r w:rsidR="00037DE6" w:rsidRPr="00715C74">
        <w:t xml:space="preserve">ge has no effect on crizotinib pharmacokinetics. </w:t>
      </w:r>
    </w:p>
    <w:p w:rsidR="00037DE6" w:rsidRPr="00715C74" w:rsidRDefault="00037DE6" w:rsidP="002921D8">
      <w:pPr>
        <w:pStyle w:val="PIHeading4"/>
      </w:pPr>
      <w:r w:rsidRPr="00715C74">
        <w:t xml:space="preserve">Body weight and gender  </w:t>
      </w:r>
    </w:p>
    <w:p w:rsidR="00037DE6" w:rsidRPr="009E27C2" w:rsidRDefault="00715C74" w:rsidP="00037DE6">
      <w:pPr>
        <w:pStyle w:val="PINormal"/>
        <w:keepLines/>
        <w:rPr>
          <w:color w:val="000000"/>
          <w:szCs w:val="24"/>
        </w:rPr>
      </w:pPr>
      <w:r>
        <w:t>T</w:t>
      </w:r>
      <w:r w:rsidR="00037DE6" w:rsidRPr="00715C74">
        <w:t xml:space="preserve">here </w:t>
      </w:r>
      <w:r w:rsidR="00162B03">
        <w:t>i</w:t>
      </w:r>
      <w:r w:rsidR="00037DE6" w:rsidRPr="00715C74">
        <w:t>s no clinically meaningful effect of body weight or gender on crizotinib pharmacokinetics.</w:t>
      </w:r>
    </w:p>
    <w:p w:rsidR="00A56014" w:rsidRPr="00F171BC" w:rsidRDefault="00A56014" w:rsidP="002921D8">
      <w:pPr>
        <w:pStyle w:val="PIHeading4"/>
        <w:rPr>
          <w:i w:val="0"/>
          <w:color w:val="000000"/>
        </w:rPr>
      </w:pPr>
      <w:r>
        <w:rPr>
          <w:color w:val="000000"/>
        </w:rPr>
        <w:t>Ethni</w:t>
      </w:r>
      <w:r w:rsidRPr="00F171BC">
        <w:rPr>
          <w:color w:val="000000"/>
        </w:rPr>
        <w:t>c</w:t>
      </w:r>
      <w:r>
        <w:rPr>
          <w:color w:val="000000"/>
        </w:rPr>
        <w:t>ity</w:t>
      </w:r>
      <w:r w:rsidRPr="006163A3">
        <w:rPr>
          <w:szCs w:val="28"/>
        </w:rPr>
        <w:t xml:space="preserve"> </w:t>
      </w:r>
    </w:p>
    <w:p w:rsidR="00A56014" w:rsidRPr="003D5953" w:rsidRDefault="00A56014" w:rsidP="002921D8">
      <w:pPr>
        <w:pStyle w:val="PINormal"/>
        <w:keepLines/>
      </w:pPr>
      <w:r w:rsidRPr="00EC6E7B">
        <w:t>After</w:t>
      </w:r>
      <w:r w:rsidRPr="00B30C3C">
        <w:t xml:space="preserve"> 250</w:t>
      </w:r>
      <w:r>
        <w:t> </w:t>
      </w:r>
      <w:r w:rsidRPr="00B30C3C">
        <w:t>mg twice daily dosing</w:t>
      </w:r>
      <w:r>
        <w:t>,</w:t>
      </w:r>
      <w:r w:rsidRPr="00B30C3C">
        <w:t xml:space="preserve"> steady-state crizotinib C</w:t>
      </w:r>
      <w:r w:rsidRPr="00B30C3C">
        <w:rPr>
          <w:vertAlign w:val="subscript"/>
        </w:rPr>
        <w:t>max</w:t>
      </w:r>
      <w:r w:rsidRPr="00B30C3C">
        <w:t xml:space="preserve"> and AUC</w:t>
      </w:r>
      <w:r w:rsidRPr="00B30C3C">
        <w:rPr>
          <w:rFonts w:ascii="Symbol" w:hAnsi="Symbol"/>
          <w:vertAlign w:val="subscript"/>
        </w:rPr>
        <w:t></w:t>
      </w:r>
      <w:r w:rsidRPr="00B30C3C">
        <w:t xml:space="preserve"> in Asian patients were 1.57- (90% CI: 1.16-2.13) and 1.50- (90% CI: 1.10</w:t>
      </w:r>
      <w:r w:rsidRPr="00B30C3C">
        <w:noBreakHyphen/>
        <w:t>2.04) fold those seen in non</w:t>
      </w:r>
      <w:r>
        <w:t xml:space="preserve">-Asian patients, </w:t>
      </w:r>
      <w:r w:rsidRPr="003D5953">
        <w:t>respectively</w:t>
      </w:r>
      <w:r>
        <w:rPr>
          <w:color w:val="000000"/>
        </w:rPr>
        <w:t>.</w:t>
      </w:r>
      <w:r w:rsidRPr="003D5953">
        <w:t xml:space="preserve">  </w:t>
      </w:r>
    </w:p>
    <w:p w:rsidR="00B051E8" w:rsidRPr="00B87623" w:rsidRDefault="00B051E8" w:rsidP="005A58C5">
      <w:pPr>
        <w:pStyle w:val="PIHeading3"/>
        <w:rPr>
          <w:color w:val="000000"/>
        </w:rPr>
      </w:pPr>
      <w:r w:rsidRPr="00B87623">
        <w:rPr>
          <w:color w:val="000000"/>
        </w:rPr>
        <w:lastRenderedPageBreak/>
        <w:t>Cardiac Electrophysiology</w:t>
      </w:r>
      <w:r w:rsidR="004475BA" w:rsidRPr="00B87623">
        <w:rPr>
          <w:color w:val="000000"/>
        </w:rPr>
        <w:t xml:space="preserve"> </w:t>
      </w:r>
    </w:p>
    <w:p w:rsidR="00B051E8" w:rsidRPr="00B87623" w:rsidRDefault="00B051E8" w:rsidP="00D62EC5">
      <w:pPr>
        <w:pStyle w:val="PINormal"/>
        <w:keepLines/>
        <w:rPr>
          <w:color w:val="000000"/>
          <w:kern w:val="32"/>
        </w:rPr>
      </w:pPr>
      <w:r w:rsidRPr="00B87623">
        <w:rPr>
          <w:color w:val="000000"/>
          <w:kern w:val="32"/>
        </w:rPr>
        <w:t xml:space="preserve">The QT interval prolongation potential of crizotinib was assessed in all patients who received crizotinib 250 mg twice daily.  Serial ECGs in triplicate were collected following a single dose and at steady-state to evaluate the effect of crizotinib on QT intervals.  </w:t>
      </w:r>
      <w:r w:rsidR="00037DE6">
        <w:rPr>
          <w:color w:val="000000"/>
          <w:kern w:val="32"/>
        </w:rPr>
        <w:t xml:space="preserve">Sixteen of </w:t>
      </w:r>
      <w:r w:rsidR="00173FE5">
        <w:rPr>
          <w:color w:val="000000"/>
          <w:kern w:val="32"/>
        </w:rPr>
        <w:t>1196</w:t>
      </w:r>
      <w:r w:rsidR="00037DE6">
        <w:rPr>
          <w:color w:val="000000"/>
          <w:kern w:val="32"/>
        </w:rPr>
        <w:t> patients (1.</w:t>
      </w:r>
      <w:r w:rsidR="00173FE5">
        <w:rPr>
          <w:color w:val="000000"/>
          <w:kern w:val="32"/>
        </w:rPr>
        <w:t>3</w:t>
      </w:r>
      <w:r w:rsidR="00037DE6">
        <w:rPr>
          <w:color w:val="000000"/>
          <w:kern w:val="32"/>
        </w:rPr>
        <w:t>%)</w:t>
      </w:r>
      <w:r w:rsidRPr="00B87623">
        <w:rPr>
          <w:color w:val="000000"/>
          <w:kern w:val="32"/>
        </w:rPr>
        <w:t xml:space="preserve"> were found to have QTcF (corrected QT by the Fridericia method) </w:t>
      </w:r>
      <w:r w:rsidR="00DF5DF1">
        <w:t>≥</w:t>
      </w:r>
      <w:r w:rsidRPr="00B87623">
        <w:rPr>
          <w:color w:val="000000"/>
          <w:kern w:val="32"/>
        </w:rPr>
        <w:t xml:space="preserve">500 msec and </w:t>
      </w:r>
      <w:r w:rsidR="00037DE6">
        <w:rPr>
          <w:color w:val="000000"/>
          <w:kern w:val="32"/>
        </w:rPr>
        <w:t xml:space="preserve">51 of </w:t>
      </w:r>
      <w:r w:rsidR="00970571">
        <w:rPr>
          <w:color w:val="000000"/>
          <w:kern w:val="32"/>
        </w:rPr>
        <w:t>1165</w:t>
      </w:r>
      <w:r w:rsidR="00B9709E">
        <w:rPr>
          <w:color w:val="000000"/>
          <w:kern w:val="32"/>
        </w:rPr>
        <w:t> </w:t>
      </w:r>
      <w:r w:rsidR="00037DE6">
        <w:rPr>
          <w:color w:val="000000"/>
          <w:kern w:val="32"/>
        </w:rPr>
        <w:t>patients (4.4%)</w:t>
      </w:r>
      <w:r w:rsidRPr="00B87623">
        <w:rPr>
          <w:color w:val="000000"/>
          <w:kern w:val="32"/>
        </w:rPr>
        <w:t xml:space="preserve"> had an increase from baseline QTcF </w:t>
      </w:r>
      <w:r w:rsidR="00DF5DF1">
        <w:t>≥</w:t>
      </w:r>
      <w:r w:rsidRPr="00B87623">
        <w:rPr>
          <w:color w:val="000000"/>
          <w:kern w:val="32"/>
        </w:rPr>
        <w:t>60 msec by automated machine-read evaluation of ECG</w:t>
      </w:r>
      <w:r w:rsidR="00AC6F56" w:rsidRPr="00F91C14">
        <w:rPr>
          <w:color w:val="000000"/>
        </w:rPr>
        <w:t>.</w:t>
      </w:r>
      <w:r w:rsidR="003D5953" w:rsidRPr="00B87623">
        <w:rPr>
          <w:color w:val="000000"/>
        </w:rPr>
        <w:t xml:space="preserve">  </w:t>
      </w:r>
      <w:r w:rsidRPr="00B87623">
        <w:rPr>
          <w:color w:val="000000"/>
          <w:kern w:val="32"/>
        </w:rPr>
        <w:t>A central tendency analysis of the QTcF data demonstrated that the highest upper bound of the two-sided 90% CI for QTcF was &lt;15 msec at the protocol pre</w:t>
      </w:r>
      <w:r w:rsidRPr="00B87623">
        <w:rPr>
          <w:color w:val="000000"/>
          <w:kern w:val="32"/>
        </w:rPr>
        <w:noBreakHyphen/>
        <w:t>specified time points.  A pharmacokinetic/pharmacodynamic analysis suggested a relationship between crizotinib plasma concentration and QTc</w:t>
      </w:r>
      <w:r w:rsidR="00F91C14">
        <w:rPr>
          <w:rFonts w:eastAsia="TimesNewRoman"/>
          <w:color w:val="000000"/>
          <w:lang w:eastAsia="en-AU"/>
        </w:rPr>
        <w:t>.</w:t>
      </w:r>
    </w:p>
    <w:p w:rsidR="00826EBE" w:rsidRPr="00F171BC" w:rsidRDefault="00826EBE" w:rsidP="00826EBE">
      <w:pPr>
        <w:pStyle w:val="PIHeading1"/>
        <w:rPr>
          <w:color w:val="000000"/>
        </w:rPr>
      </w:pPr>
      <w:r w:rsidRPr="00F171BC">
        <w:rPr>
          <w:color w:val="000000"/>
        </w:rPr>
        <w:t xml:space="preserve">CLINICAL TRIALS </w:t>
      </w:r>
    </w:p>
    <w:p w:rsidR="00D528F1" w:rsidRPr="007510AC" w:rsidRDefault="00D528F1" w:rsidP="00D62EC5">
      <w:pPr>
        <w:pStyle w:val="PIHeading2"/>
      </w:pPr>
      <w:r w:rsidRPr="00C65B88">
        <w:t>Randomi</w:t>
      </w:r>
      <w:r>
        <w:t>s</w:t>
      </w:r>
      <w:r w:rsidRPr="00C65B88">
        <w:t>ed Phase 3 Study 1007</w:t>
      </w:r>
    </w:p>
    <w:p w:rsidR="00D528F1" w:rsidRDefault="00D528F1" w:rsidP="00F44BA1">
      <w:pPr>
        <w:pStyle w:val="PINormal"/>
      </w:pPr>
      <w:r w:rsidRPr="00E32B87">
        <w:t xml:space="preserve">The use of single-agent crizotinib in the treatment of ALK-positive advanced NSCLC </w:t>
      </w:r>
      <w:r w:rsidRPr="001A457F">
        <w:t xml:space="preserve">with or without brain metastases </w:t>
      </w:r>
      <w:r w:rsidRPr="00E32B87">
        <w:t>was investigated in a multicent</w:t>
      </w:r>
      <w:r w:rsidR="00F37A9B">
        <w:t>re</w:t>
      </w:r>
      <w:r w:rsidRPr="00E32B87">
        <w:t xml:space="preserve">, </w:t>
      </w:r>
      <w:r>
        <w:t xml:space="preserve">multinational, </w:t>
      </w:r>
      <w:r w:rsidRPr="00E32B87">
        <w:t>randomi</w:t>
      </w:r>
      <w:r w:rsidR="00F37A9B">
        <w:t>s</w:t>
      </w:r>
      <w:r w:rsidRPr="00E32B87">
        <w:t>ed</w:t>
      </w:r>
      <w:r>
        <w:t>, open-label</w:t>
      </w:r>
      <w:r w:rsidRPr="00E32B87">
        <w:t xml:space="preserve"> Phase 3 study (Study 1</w:t>
      </w:r>
      <w:r>
        <w:t>007</w:t>
      </w:r>
      <w:r w:rsidRPr="00E32B87">
        <w:t xml:space="preserve">). </w:t>
      </w:r>
      <w:r w:rsidR="00387437">
        <w:t xml:space="preserve"> </w:t>
      </w:r>
      <w:r>
        <w:t xml:space="preserve">The primary objective </w:t>
      </w:r>
      <w:r w:rsidRPr="00532F36">
        <w:t xml:space="preserve">of this study was </w:t>
      </w:r>
      <w:r>
        <w:t xml:space="preserve">to demonstrate that crizotinib 250 mg orally twice daily was superior to standard-of-care chemotherapy (pemetrexed </w:t>
      </w:r>
      <w:r w:rsidRPr="00E32B87">
        <w:t>500</w:t>
      </w:r>
      <w:r>
        <w:t> mg</w:t>
      </w:r>
      <w:r w:rsidRPr="00E32B87">
        <w:t>/m</w:t>
      </w:r>
      <w:r w:rsidRPr="00E32B87">
        <w:rPr>
          <w:vertAlign w:val="superscript"/>
        </w:rPr>
        <w:t>2</w:t>
      </w:r>
      <w:r w:rsidRPr="00E32B87">
        <w:t xml:space="preserve"> </w:t>
      </w:r>
      <w:r>
        <w:t xml:space="preserve">or docetaxel </w:t>
      </w:r>
      <w:r w:rsidRPr="00E32B87">
        <w:t>75</w:t>
      </w:r>
      <w:r>
        <w:t> mg</w:t>
      </w:r>
      <w:r w:rsidRPr="00E32B87">
        <w:t>/m</w:t>
      </w:r>
      <w:r w:rsidRPr="00E32B87">
        <w:rPr>
          <w:vertAlign w:val="superscript"/>
        </w:rPr>
        <w:t>2</w:t>
      </w:r>
      <w:r>
        <w:t xml:space="preserve">) intravenously (IV) every 21 days in prolonging Progression-Free Survival (PFS) in patients with ALK-positive advanced NSCLC </w:t>
      </w:r>
      <w:r w:rsidRPr="00317BFF">
        <w:t xml:space="preserve">who had received </w:t>
      </w:r>
      <w:r w:rsidR="00CE2496" w:rsidRPr="00317BFF">
        <w:t xml:space="preserve">one </w:t>
      </w:r>
      <w:r w:rsidRPr="00317BFF">
        <w:t>prior chemotherapy regimen.</w:t>
      </w:r>
      <w:r w:rsidR="00387437" w:rsidRPr="00317BFF">
        <w:t xml:space="preserve"> </w:t>
      </w:r>
      <w:r w:rsidRPr="00317BFF">
        <w:t xml:space="preserve"> Patients were required to have ALK-</w:t>
      </w:r>
      <w:r w:rsidRPr="00E32B87">
        <w:t xml:space="preserve">positive </w:t>
      </w:r>
      <w:r>
        <w:t>NSCLC</w:t>
      </w:r>
      <w:r w:rsidRPr="00E32B87">
        <w:t xml:space="preserve"> as identified by FISH prior to </w:t>
      </w:r>
      <w:r>
        <w:t>randomi</w:t>
      </w:r>
      <w:r w:rsidR="00387437">
        <w:t>s</w:t>
      </w:r>
      <w:r>
        <w:t>ation</w:t>
      </w:r>
      <w:r w:rsidRPr="00E32B87">
        <w:t xml:space="preserve">. </w:t>
      </w:r>
      <w:r w:rsidR="00387437">
        <w:t xml:space="preserve"> </w:t>
      </w:r>
      <w:r w:rsidRPr="00E32B87">
        <w:t>Patients randomi</w:t>
      </w:r>
      <w:r w:rsidR="00387437">
        <w:t>s</w:t>
      </w:r>
      <w:r w:rsidRPr="00E32B87">
        <w:t>ed to chemotherapy could cross</w:t>
      </w:r>
      <w:r>
        <w:t xml:space="preserve"> </w:t>
      </w:r>
      <w:r w:rsidRPr="00E32B87">
        <w:t xml:space="preserve">over to </w:t>
      </w:r>
      <w:r>
        <w:t xml:space="preserve">receive </w:t>
      </w:r>
      <w:r w:rsidRPr="00E32B87">
        <w:t xml:space="preserve">crizotinib </w:t>
      </w:r>
      <w:r>
        <w:t xml:space="preserve">in Study 1005 </w:t>
      </w:r>
      <w:r w:rsidRPr="00E32B87">
        <w:t xml:space="preserve">upon </w:t>
      </w:r>
      <w:r w:rsidR="002921D8" w:rsidRPr="005C281D">
        <w:t>Response Evaluation Criteria in Solid Tumors (</w:t>
      </w:r>
      <w:r w:rsidRPr="00E32B87">
        <w:t>RECIST</w:t>
      </w:r>
      <w:r w:rsidR="002921D8">
        <w:t>)</w:t>
      </w:r>
      <w:r w:rsidRPr="00E32B87">
        <w:t>-defined disease progression confirmed by independent radiology review</w:t>
      </w:r>
      <w:r>
        <w:t xml:space="preserve"> (IRR)</w:t>
      </w:r>
      <w:r w:rsidRPr="00E32B87">
        <w:t>.</w:t>
      </w:r>
      <w:r>
        <w:t xml:space="preserve"> </w:t>
      </w:r>
      <w:r w:rsidR="00387437">
        <w:t xml:space="preserve"> </w:t>
      </w:r>
      <w:r w:rsidRPr="00E32B87">
        <w:t xml:space="preserve">The primary efficacy endpoint was PFS with disease progression events determined by </w:t>
      </w:r>
      <w:r>
        <w:t>IRR</w:t>
      </w:r>
      <w:r w:rsidRPr="00E32B87">
        <w:t xml:space="preserve">. </w:t>
      </w:r>
      <w:r w:rsidR="00387437">
        <w:t xml:space="preserve"> </w:t>
      </w:r>
      <w:r w:rsidRPr="00E32B87">
        <w:t xml:space="preserve">Secondary endpoints included </w:t>
      </w:r>
      <w:r>
        <w:rPr>
          <w:rFonts w:eastAsia="TimesNewRoman"/>
        </w:rPr>
        <w:t>O</w:t>
      </w:r>
      <w:r w:rsidRPr="00E32B87">
        <w:rPr>
          <w:rFonts w:eastAsia="TimesNewRoman"/>
        </w:rPr>
        <w:t xml:space="preserve">bjective </w:t>
      </w:r>
      <w:r>
        <w:rPr>
          <w:rFonts w:eastAsia="TimesNewRoman"/>
        </w:rPr>
        <w:t>R</w:t>
      </w:r>
      <w:r w:rsidRPr="00E32B87">
        <w:rPr>
          <w:rFonts w:eastAsia="TimesNewRoman"/>
        </w:rPr>
        <w:t xml:space="preserve">esponse </w:t>
      </w:r>
      <w:r>
        <w:rPr>
          <w:rFonts w:eastAsia="TimesNewRoman"/>
        </w:rPr>
        <w:t>R</w:t>
      </w:r>
      <w:r w:rsidRPr="00E32B87">
        <w:rPr>
          <w:rFonts w:eastAsia="TimesNewRoman"/>
        </w:rPr>
        <w:t xml:space="preserve">ate (ORR) as determined by </w:t>
      </w:r>
      <w:r>
        <w:rPr>
          <w:rFonts w:eastAsia="TimesNewRoman"/>
        </w:rPr>
        <w:t>IRR</w:t>
      </w:r>
      <w:r w:rsidRPr="00E32B87">
        <w:rPr>
          <w:rFonts w:eastAsia="TimesNewRoman"/>
        </w:rPr>
        <w:t xml:space="preserve">, </w:t>
      </w:r>
      <w:r>
        <w:rPr>
          <w:rFonts w:eastAsia="TimesNewRoman"/>
        </w:rPr>
        <w:t>D</w:t>
      </w:r>
      <w:r w:rsidRPr="00E32B87">
        <w:rPr>
          <w:rFonts w:eastAsia="TimesNewRoman"/>
        </w:rPr>
        <w:t xml:space="preserve">uration of </w:t>
      </w:r>
      <w:r>
        <w:rPr>
          <w:rFonts w:eastAsia="TimesNewRoman"/>
        </w:rPr>
        <w:t>R</w:t>
      </w:r>
      <w:r w:rsidRPr="00E32B87">
        <w:rPr>
          <w:rFonts w:eastAsia="TimesNewRoman"/>
        </w:rPr>
        <w:t xml:space="preserve">esponse (DR), </w:t>
      </w:r>
      <w:r>
        <w:rPr>
          <w:rFonts w:eastAsia="TimesNewRoman"/>
        </w:rPr>
        <w:t>O</w:t>
      </w:r>
      <w:r w:rsidRPr="00E32B87">
        <w:rPr>
          <w:rFonts w:eastAsia="TimesNewRoman"/>
        </w:rPr>
        <w:t xml:space="preserve">verall </w:t>
      </w:r>
      <w:r>
        <w:rPr>
          <w:rFonts w:eastAsia="TimesNewRoman"/>
        </w:rPr>
        <w:t>S</w:t>
      </w:r>
      <w:r w:rsidRPr="00E32B87">
        <w:rPr>
          <w:rFonts w:eastAsia="TimesNewRoman"/>
        </w:rPr>
        <w:t xml:space="preserve">urvival (OS) and </w:t>
      </w:r>
      <w:r>
        <w:rPr>
          <w:rFonts w:eastAsia="TimesNewRoman"/>
        </w:rPr>
        <w:t>P</w:t>
      </w:r>
      <w:r w:rsidRPr="00E32B87">
        <w:rPr>
          <w:rFonts w:eastAsia="TimesNewRoman"/>
        </w:rPr>
        <w:t>atient-</w:t>
      </w:r>
      <w:r>
        <w:rPr>
          <w:rFonts w:eastAsia="TimesNewRoman"/>
        </w:rPr>
        <w:t>R</w:t>
      </w:r>
      <w:r w:rsidRPr="00E32B87">
        <w:rPr>
          <w:rFonts w:eastAsia="TimesNewRoman"/>
        </w:rPr>
        <w:t xml:space="preserve">eported </w:t>
      </w:r>
      <w:r>
        <w:rPr>
          <w:rFonts w:eastAsia="TimesNewRoman"/>
        </w:rPr>
        <w:t>O</w:t>
      </w:r>
      <w:r w:rsidRPr="00E32B87">
        <w:rPr>
          <w:rFonts w:eastAsia="TimesNewRoman"/>
        </w:rPr>
        <w:t>utcomes (PRO).</w:t>
      </w:r>
      <w:r w:rsidR="00387437">
        <w:rPr>
          <w:rFonts w:eastAsia="TimesNewRoman"/>
        </w:rPr>
        <w:t xml:space="preserve"> </w:t>
      </w:r>
      <w:r w:rsidRPr="007F00AD">
        <w:rPr>
          <w:rFonts w:eastAsia="TimesNewRoman"/>
        </w:rPr>
        <w:t xml:space="preserve"> </w:t>
      </w:r>
      <w:r w:rsidRPr="00E32B87">
        <w:t xml:space="preserve">The full analysis population for Study </w:t>
      </w:r>
      <w:r>
        <w:t>1007</w:t>
      </w:r>
      <w:r w:rsidRPr="00E32B87">
        <w:t xml:space="preserve"> included 347 patients with ALK-positive</w:t>
      </w:r>
      <w:r w:rsidRPr="001A457F">
        <w:t xml:space="preserve"> advanced NSCLC</w:t>
      </w:r>
      <w:r>
        <w:t xml:space="preserve">. </w:t>
      </w:r>
      <w:r w:rsidR="00387437">
        <w:t xml:space="preserve"> </w:t>
      </w:r>
      <w:r>
        <w:t>One hundred seventy-three (173) patients were randomi</w:t>
      </w:r>
      <w:r w:rsidR="00387437">
        <w:t>s</w:t>
      </w:r>
      <w:r>
        <w:t xml:space="preserve">ed to the crizotinib arm (172 patients received crizotinib) </w:t>
      </w:r>
      <w:r w:rsidRPr="00BD6D10">
        <w:t xml:space="preserve">and 174 </w:t>
      </w:r>
      <w:r>
        <w:t xml:space="preserve">patients </w:t>
      </w:r>
      <w:r w:rsidRPr="00BD6D10">
        <w:t>were randomi</w:t>
      </w:r>
      <w:r w:rsidR="00387437">
        <w:t>s</w:t>
      </w:r>
      <w:r w:rsidRPr="00BD6D10">
        <w:t>ed to the chemotherapy arm</w:t>
      </w:r>
      <w:r w:rsidR="00387437">
        <w:t>,</w:t>
      </w:r>
      <w:r w:rsidRPr="00BD6D10">
        <w:t xml:space="preserve"> (99 [58%] patients received pemetrexed and 72 [42%] patients received docetaxel).</w:t>
      </w:r>
      <w:r w:rsidR="00387437">
        <w:t xml:space="preserve">  </w:t>
      </w:r>
      <w:r>
        <w:t>Randomi</w:t>
      </w:r>
      <w:r w:rsidR="00387437">
        <w:t>s</w:t>
      </w:r>
      <w:r>
        <w:t>ation was stratified by ECOG performance status</w:t>
      </w:r>
      <w:r w:rsidR="008E6B6C">
        <w:t xml:space="preserve"> (PS)</w:t>
      </w:r>
      <w:r>
        <w:t xml:space="preserve"> (0-1, 2), brain metastases (present, absent) and prior EGFR tyrosine kinase inhibitor treatment (yes, no). </w:t>
      </w:r>
      <w:r w:rsidR="00387437">
        <w:t xml:space="preserve"> </w:t>
      </w:r>
      <w:r w:rsidRPr="001A457F">
        <w:t xml:space="preserve">The median </w:t>
      </w:r>
      <w:r>
        <w:t>duration of study treatment</w:t>
      </w:r>
      <w:r w:rsidRPr="001A457F">
        <w:t xml:space="preserve"> was </w:t>
      </w:r>
      <w:r>
        <w:t>31</w:t>
      </w:r>
      <w:r w:rsidR="00387437">
        <w:t> </w:t>
      </w:r>
      <w:r w:rsidRPr="001A457F">
        <w:t>weeks</w:t>
      </w:r>
      <w:r>
        <w:t xml:space="preserve"> in the crizotinib arm as compared to 12</w:t>
      </w:r>
      <w:r w:rsidR="00387437">
        <w:t> </w:t>
      </w:r>
      <w:r>
        <w:t>weeks in the chemotherapy arm</w:t>
      </w:r>
      <w:r w:rsidRPr="001A457F">
        <w:t>.</w:t>
      </w:r>
      <w:r>
        <w:t xml:space="preserve"> </w:t>
      </w:r>
    </w:p>
    <w:p w:rsidR="00D528F1" w:rsidRDefault="00D528F1" w:rsidP="00D62EC5">
      <w:pPr>
        <w:pStyle w:val="PINormal"/>
        <w:keepLines/>
      </w:pPr>
      <w:r w:rsidRPr="00BD6D10">
        <w:t xml:space="preserve">Patients could continue treatment as assigned beyond the time of RECIST-defined disease progression, as assessed by IRR, at the discretion of the investigator if the patient was </w:t>
      </w:r>
      <w:r>
        <w:t>still</w:t>
      </w:r>
      <w:r w:rsidRPr="00BD6D10">
        <w:t xml:space="preserve"> experiencing clinical benefit. </w:t>
      </w:r>
      <w:r w:rsidR="00387437">
        <w:t xml:space="preserve"> </w:t>
      </w:r>
      <w:r w:rsidRPr="00BD6D10">
        <w:t xml:space="preserve">Fifty eight of 84 (69%) crizotinib-treated patients and 17 of 119 </w:t>
      </w:r>
      <w:r>
        <w:t xml:space="preserve">(14%) </w:t>
      </w:r>
      <w:r w:rsidRPr="00BD6D10">
        <w:t>chemotherapy-treated patients continued treatment for at least 3 weeks after objective disease progression.</w:t>
      </w:r>
      <w:r w:rsidR="00387437">
        <w:t xml:space="preserve"> </w:t>
      </w:r>
    </w:p>
    <w:p w:rsidR="00D528F1" w:rsidRDefault="00D528F1" w:rsidP="00F44BA1">
      <w:pPr>
        <w:pStyle w:val="PINormal"/>
      </w:pPr>
      <w:r>
        <w:t>Key demographic and baseline characteristics for patients in this study were comparable between the crizotinib and chemotherapy arms as shown in Table</w:t>
      </w:r>
      <w:r w:rsidR="00DE3C7A">
        <w:t> 1</w:t>
      </w:r>
      <w:r>
        <w:t>.</w:t>
      </w:r>
      <w:r w:rsidR="00387437">
        <w:t xml:space="preserve"> </w:t>
      </w:r>
    </w:p>
    <w:p w:rsidR="00D528F1" w:rsidRPr="00235557" w:rsidRDefault="00D528F1" w:rsidP="00DE3C7A">
      <w:pPr>
        <w:pStyle w:val="Paragraph"/>
        <w:keepNext/>
        <w:spacing w:after="120"/>
        <w:ind w:left="992" w:hanging="992"/>
        <w:rPr>
          <w:b/>
        </w:rPr>
      </w:pPr>
      <w:r w:rsidRPr="00235557">
        <w:rPr>
          <w:b/>
        </w:rPr>
        <w:lastRenderedPageBreak/>
        <w:t xml:space="preserve">Table </w:t>
      </w:r>
      <w:r w:rsidR="00DE3C7A">
        <w:rPr>
          <w:b/>
        </w:rPr>
        <w:t>1</w:t>
      </w:r>
      <w:r>
        <w:rPr>
          <w:b/>
        </w:rPr>
        <w:t>.</w:t>
      </w:r>
      <w:r>
        <w:rPr>
          <w:b/>
        </w:rPr>
        <w:tab/>
      </w:r>
      <w:r w:rsidRPr="00235557">
        <w:rPr>
          <w:b/>
        </w:rPr>
        <w:t xml:space="preserve">Demographic and Disease Characteristics in </w:t>
      </w:r>
      <w:r>
        <w:rPr>
          <w:b/>
        </w:rPr>
        <w:t>Randomi</w:t>
      </w:r>
      <w:r w:rsidR="00387437">
        <w:rPr>
          <w:b/>
        </w:rPr>
        <w:t>s</w:t>
      </w:r>
      <w:r>
        <w:rPr>
          <w:b/>
        </w:rPr>
        <w:t xml:space="preserve">ed Phase 3 </w:t>
      </w:r>
      <w:r w:rsidRPr="001E69A9">
        <w:rPr>
          <w:b/>
        </w:rPr>
        <w:t>Study</w:t>
      </w:r>
      <w:r>
        <w:rPr>
          <w:b/>
        </w:rPr>
        <w:t> </w:t>
      </w:r>
      <w:r w:rsidRPr="001E69A9">
        <w:rPr>
          <w:b/>
        </w:rPr>
        <w:t>1</w:t>
      </w:r>
      <w:r>
        <w:rPr>
          <w:b/>
        </w:rPr>
        <w:t>007 (Full Analysis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688"/>
        <w:gridCol w:w="1620"/>
        <w:gridCol w:w="1750"/>
        <w:tblGridChange w:id="1">
          <w:tblGrid>
            <w:gridCol w:w="5688"/>
            <w:gridCol w:w="1620"/>
            <w:gridCol w:w="1750"/>
          </w:tblGrid>
        </w:tblGridChange>
      </w:tblGrid>
      <w:tr w:rsidR="00D528F1" w:rsidRPr="00C51EC4" w:rsidTr="0022384F">
        <w:trPr>
          <w:tblHeader/>
        </w:trPr>
        <w:tc>
          <w:tcPr>
            <w:tcW w:w="5688" w:type="dxa"/>
          </w:tcPr>
          <w:p w:rsidR="00D528F1" w:rsidRPr="00C51EC4" w:rsidRDefault="00D528F1" w:rsidP="00317BFF">
            <w:pPr>
              <w:pStyle w:val="Paragraph"/>
              <w:keepNext/>
              <w:spacing w:before="20" w:after="20"/>
            </w:pPr>
            <w:r w:rsidRPr="00C51EC4">
              <w:rPr>
                <w:b/>
              </w:rPr>
              <w:t>Characteristics</w:t>
            </w:r>
          </w:p>
        </w:tc>
        <w:tc>
          <w:tcPr>
            <w:tcW w:w="1620" w:type="dxa"/>
          </w:tcPr>
          <w:p w:rsidR="00D528F1" w:rsidRPr="00C51EC4" w:rsidRDefault="00D528F1" w:rsidP="00317BFF">
            <w:pPr>
              <w:pStyle w:val="Paragraph"/>
              <w:keepNext/>
              <w:spacing w:before="20" w:after="20"/>
              <w:jc w:val="center"/>
            </w:pPr>
            <w:r>
              <w:rPr>
                <w:b/>
              </w:rPr>
              <w:t>Crizotinib</w:t>
            </w:r>
          </w:p>
          <w:p w:rsidR="00D528F1" w:rsidRPr="00C51EC4" w:rsidRDefault="00D528F1" w:rsidP="00317BFF">
            <w:pPr>
              <w:pStyle w:val="Paragraph"/>
              <w:keepNext/>
              <w:spacing w:before="20" w:after="20"/>
              <w:jc w:val="center"/>
            </w:pPr>
            <w:r w:rsidRPr="00C51EC4">
              <w:t>N=</w:t>
            </w:r>
            <w:r>
              <w:t>173</w:t>
            </w:r>
          </w:p>
        </w:tc>
        <w:tc>
          <w:tcPr>
            <w:tcW w:w="1750" w:type="dxa"/>
          </w:tcPr>
          <w:p w:rsidR="00D528F1" w:rsidRDefault="00D528F1" w:rsidP="00317BFF">
            <w:pPr>
              <w:pStyle w:val="Paragraph"/>
              <w:keepNext/>
              <w:spacing w:before="20" w:after="20"/>
              <w:jc w:val="center"/>
            </w:pPr>
            <w:r>
              <w:rPr>
                <w:b/>
              </w:rPr>
              <w:t>Chemotherapy</w:t>
            </w:r>
          </w:p>
          <w:p w:rsidR="00D528F1" w:rsidRPr="00C51EC4" w:rsidRDefault="00D528F1" w:rsidP="00317BFF">
            <w:pPr>
              <w:pStyle w:val="Paragraph"/>
              <w:keepNext/>
              <w:spacing w:before="20" w:after="20"/>
              <w:jc w:val="center"/>
            </w:pPr>
            <w:r w:rsidRPr="00C51EC4">
              <w:t>N=</w:t>
            </w:r>
            <w:r>
              <w:t>174</w:t>
            </w:r>
          </w:p>
        </w:tc>
      </w:tr>
      <w:tr w:rsidR="00D528F1" w:rsidTr="0022384F">
        <w:tc>
          <w:tcPr>
            <w:tcW w:w="5688" w:type="dxa"/>
          </w:tcPr>
          <w:p w:rsidR="00D528F1" w:rsidRDefault="00D528F1" w:rsidP="00317BFF">
            <w:pPr>
              <w:pStyle w:val="Paragraph"/>
              <w:keepNext/>
              <w:spacing w:before="20" w:after="20"/>
            </w:pPr>
            <w:r>
              <w:t>Sex, n (%)</w:t>
            </w:r>
          </w:p>
          <w:p w:rsidR="00D528F1" w:rsidRDefault="00D528F1" w:rsidP="00317BFF">
            <w:pPr>
              <w:pStyle w:val="Paragraph"/>
              <w:keepNext/>
              <w:spacing w:before="20" w:after="20"/>
            </w:pPr>
            <w:r>
              <w:tab/>
              <w:t>Male</w:t>
            </w:r>
          </w:p>
          <w:p w:rsidR="00D528F1" w:rsidRDefault="00D528F1" w:rsidP="00317BFF">
            <w:pPr>
              <w:pStyle w:val="Paragraph"/>
              <w:keepNext/>
              <w:spacing w:before="20" w:after="20"/>
            </w:pPr>
            <w:r>
              <w:tab/>
              <w:t>Female</w:t>
            </w:r>
          </w:p>
        </w:tc>
        <w:tc>
          <w:tcPr>
            <w:tcW w:w="1620" w:type="dxa"/>
          </w:tcPr>
          <w:p w:rsidR="007E0BA9" w:rsidRDefault="007E0BA9" w:rsidP="00317BFF">
            <w:pPr>
              <w:pStyle w:val="Paragraph"/>
              <w:keepNext/>
              <w:spacing w:before="20" w:after="20"/>
              <w:jc w:val="center"/>
            </w:pPr>
          </w:p>
          <w:p w:rsidR="00D528F1" w:rsidRDefault="00D528F1" w:rsidP="00317BFF">
            <w:pPr>
              <w:pStyle w:val="Paragraph"/>
              <w:keepNext/>
              <w:spacing w:before="20" w:after="20"/>
              <w:jc w:val="center"/>
            </w:pPr>
            <w:r>
              <w:t>75 (43)</w:t>
            </w:r>
            <w:r>
              <w:br/>
              <w:t>98 (57)</w:t>
            </w:r>
          </w:p>
        </w:tc>
        <w:tc>
          <w:tcPr>
            <w:tcW w:w="1750" w:type="dxa"/>
          </w:tcPr>
          <w:p w:rsidR="007E0BA9" w:rsidRDefault="007E0BA9" w:rsidP="00317BFF">
            <w:pPr>
              <w:pStyle w:val="Paragraph"/>
              <w:keepNext/>
              <w:spacing w:before="20" w:after="20"/>
              <w:jc w:val="center"/>
            </w:pPr>
          </w:p>
          <w:p w:rsidR="00D528F1" w:rsidRDefault="00D528F1" w:rsidP="00317BFF">
            <w:pPr>
              <w:pStyle w:val="Paragraph"/>
              <w:keepNext/>
              <w:spacing w:before="20" w:after="20"/>
              <w:jc w:val="center"/>
            </w:pPr>
            <w:r>
              <w:t>78 (45)</w:t>
            </w:r>
            <w:r>
              <w:br/>
              <w:t>96 (55)</w:t>
            </w:r>
          </w:p>
        </w:tc>
      </w:tr>
      <w:tr w:rsidR="00D528F1" w:rsidTr="0022384F">
        <w:tc>
          <w:tcPr>
            <w:tcW w:w="5688" w:type="dxa"/>
          </w:tcPr>
          <w:p w:rsidR="00D528F1" w:rsidRDefault="00D528F1" w:rsidP="00766FFE">
            <w:pPr>
              <w:pStyle w:val="Paragraph"/>
              <w:spacing w:before="20" w:after="20"/>
            </w:pPr>
            <w:r>
              <w:t>Age (years), n (%)</w:t>
            </w:r>
          </w:p>
          <w:p w:rsidR="00D528F1" w:rsidRDefault="00D528F1" w:rsidP="00766FFE">
            <w:pPr>
              <w:pStyle w:val="Paragraph"/>
              <w:spacing w:before="20" w:after="20"/>
            </w:pPr>
            <w:r>
              <w:tab/>
              <w:t xml:space="preserve">Median (range) </w:t>
            </w:r>
          </w:p>
          <w:p w:rsidR="00D528F1" w:rsidRDefault="00D528F1" w:rsidP="00766FFE">
            <w:pPr>
              <w:pStyle w:val="Paragraph"/>
              <w:spacing w:before="20" w:after="20"/>
            </w:pPr>
            <w:r>
              <w:tab/>
              <w:t>&lt;65 years</w:t>
            </w:r>
          </w:p>
          <w:p w:rsidR="00D528F1" w:rsidRDefault="00D528F1" w:rsidP="00766FFE">
            <w:pPr>
              <w:pStyle w:val="Paragraph"/>
              <w:spacing w:before="20" w:after="20"/>
            </w:pPr>
            <w:r>
              <w:tab/>
            </w:r>
            <w:r w:rsidRPr="00074BA4">
              <w:rPr>
                <w:u w:val="single"/>
              </w:rPr>
              <w:t>&gt;</w:t>
            </w:r>
            <w:r>
              <w:t>65 years</w:t>
            </w:r>
          </w:p>
        </w:tc>
        <w:tc>
          <w:tcPr>
            <w:tcW w:w="162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51 (22-81)</w:t>
            </w:r>
            <w:r>
              <w:br/>
              <w:t>146 (84)</w:t>
            </w:r>
            <w:r>
              <w:br/>
              <w:t>27 (16)</w:t>
            </w:r>
          </w:p>
        </w:tc>
        <w:tc>
          <w:tcPr>
            <w:tcW w:w="175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49 (24-85)</w:t>
            </w:r>
            <w:r>
              <w:br/>
              <w:t>151 (87)</w:t>
            </w:r>
            <w:r>
              <w:br/>
              <w:t>23 (13)</w:t>
            </w:r>
          </w:p>
        </w:tc>
      </w:tr>
      <w:tr w:rsidR="00D528F1" w:rsidTr="0022384F">
        <w:tc>
          <w:tcPr>
            <w:tcW w:w="5688" w:type="dxa"/>
          </w:tcPr>
          <w:p w:rsidR="00D528F1" w:rsidRDefault="00D528F1" w:rsidP="00766FFE">
            <w:pPr>
              <w:pStyle w:val="Paragraph"/>
              <w:spacing w:before="20" w:after="20"/>
            </w:pPr>
            <w:r>
              <w:t>Race, n (%)</w:t>
            </w:r>
          </w:p>
          <w:p w:rsidR="00D528F1" w:rsidRDefault="00D528F1" w:rsidP="00766FFE">
            <w:pPr>
              <w:pStyle w:val="Paragraph"/>
              <w:spacing w:before="20" w:after="20"/>
            </w:pPr>
            <w:r>
              <w:tab/>
              <w:t>White</w:t>
            </w:r>
          </w:p>
          <w:p w:rsidR="00D528F1" w:rsidRDefault="00D528F1" w:rsidP="00766FFE">
            <w:pPr>
              <w:pStyle w:val="Paragraph"/>
              <w:spacing w:before="20" w:after="20"/>
            </w:pPr>
            <w:r>
              <w:tab/>
              <w:t>Black</w:t>
            </w:r>
          </w:p>
          <w:p w:rsidR="00D528F1" w:rsidRDefault="00D528F1" w:rsidP="00766FFE">
            <w:pPr>
              <w:pStyle w:val="Paragraph"/>
              <w:spacing w:before="20" w:after="20"/>
            </w:pPr>
            <w:r>
              <w:tab/>
              <w:t>Asian</w:t>
            </w:r>
          </w:p>
          <w:p w:rsidR="00D528F1" w:rsidRDefault="00D528F1" w:rsidP="00766FFE">
            <w:pPr>
              <w:pStyle w:val="Paragraph"/>
              <w:spacing w:before="20" w:after="20"/>
            </w:pPr>
            <w:r>
              <w:tab/>
              <w:t>Other</w:t>
            </w:r>
          </w:p>
        </w:tc>
        <w:tc>
          <w:tcPr>
            <w:tcW w:w="162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90 (52)</w:t>
            </w:r>
            <w:r>
              <w:br/>
              <w:t>2 (1)</w:t>
            </w:r>
            <w:r>
              <w:br/>
              <w:t>79 (46)</w:t>
            </w:r>
            <w:r>
              <w:br/>
              <w:t>2 (1)</w:t>
            </w:r>
          </w:p>
        </w:tc>
        <w:tc>
          <w:tcPr>
            <w:tcW w:w="175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91 (52)</w:t>
            </w:r>
            <w:r>
              <w:br/>
              <w:t>3 (2)</w:t>
            </w:r>
            <w:r>
              <w:br/>
              <w:t>78 (45)</w:t>
            </w:r>
            <w:r>
              <w:br/>
              <w:t>2 (1)</w:t>
            </w:r>
          </w:p>
        </w:tc>
      </w:tr>
      <w:tr w:rsidR="00D528F1" w:rsidTr="0022384F">
        <w:tc>
          <w:tcPr>
            <w:tcW w:w="5688" w:type="dxa"/>
          </w:tcPr>
          <w:p w:rsidR="00D528F1" w:rsidRPr="00777E5E" w:rsidRDefault="00D528F1" w:rsidP="00766FFE">
            <w:pPr>
              <w:pStyle w:val="Paragraph"/>
              <w:spacing w:before="20" w:after="20"/>
            </w:pPr>
            <w:r>
              <w:t xml:space="preserve">Smoking </w:t>
            </w:r>
            <w:r w:rsidR="0040102B">
              <w:t>S</w:t>
            </w:r>
            <w:r>
              <w:t>tatus, n (%)</w:t>
            </w:r>
          </w:p>
          <w:p w:rsidR="00D528F1" w:rsidRDefault="00D528F1" w:rsidP="00766FFE">
            <w:pPr>
              <w:pStyle w:val="Paragraph"/>
              <w:spacing w:before="20" w:after="20"/>
            </w:pPr>
            <w:r>
              <w:tab/>
              <w:t>Never smoked</w:t>
            </w:r>
          </w:p>
          <w:p w:rsidR="00D528F1" w:rsidRDefault="00D528F1" w:rsidP="00766FFE">
            <w:pPr>
              <w:pStyle w:val="Paragraph"/>
              <w:spacing w:before="20" w:after="20"/>
            </w:pPr>
            <w:r>
              <w:tab/>
              <w:t>Ex-smoker</w:t>
            </w:r>
          </w:p>
          <w:p w:rsidR="00D528F1" w:rsidRDefault="00D528F1" w:rsidP="00766FFE">
            <w:pPr>
              <w:pStyle w:val="Paragraph"/>
              <w:spacing w:before="20" w:after="20"/>
            </w:pPr>
            <w:r>
              <w:tab/>
              <w:t>Current smoker</w:t>
            </w:r>
          </w:p>
          <w:p w:rsidR="00D528F1" w:rsidRDefault="00D528F1" w:rsidP="00766FFE">
            <w:pPr>
              <w:pStyle w:val="Paragraph"/>
              <w:spacing w:before="20" w:after="20"/>
            </w:pPr>
            <w:r>
              <w:tab/>
              <w:t>Not reported</w:t>
            </w:r>
          </w:p>
        </w:tc>
        <w:tc>
          <w:tcPr>
            <w:tcW w:w="1620" w:type="dxa"/>
          </w:tcPr>
          <w:p w:rsidR="007E0BA9" w:rsidRDefault="007E0BA9" w:rsidP="00766FFE">
            <w:pPr>
              <w:spacing w:before="20" w:after="20"/>
              <w:jc w:val="center"/>
            </w:pPr>
          </w:p>
          <w:p w:rsidR="00D528F1" w:rsidRDefault="00D528F1" w:rsidP="00766FFE">
            <w:pPr>
              <w:spacing w:before="20" w:after="20"/>
              <w:jc w:val="center"/>
            </w:pPr>
            <w:r>
              <w:t>108 (62)</w:t>
            </w:r>
            <w:r>
              <w:br/>
              <w:t>59 (34)</w:t>
            </w:r>
            <w:r>
              <w:br/>
              <w:t>5 (3)</w:t>
            </w:r>
          </w:p>
          <w:p w:rsidR="00D528F1" w:rsidRDefault="00D528F1" w:rsidP="00766FFE">
            <w:pPr>
              <w:spacing w:before="20" w:after="20"/>
              <w:jc w:val="center"/>
            </w:pPr>
            <w:r>
              <w:t>1 (&lt;1)</w:t>
            </w:r>
          </w:p>
        </w:tc>
        <w:tc>
          <w:tcPr>
            <w:tcW w:w="1750" w:type="dxa"/>
          </w:tcPr>
          <w:p w:rsidR="007E0BA9" w:rsidRDefault="007E0BA9" w:rsidP="00766FFE">
            <w:pPr>
              <w:spacing w:before="20" w:after="20"/>
              <w:jc w:val="center"/>
            </w:pPr>
          </w:p>
          <w:p w:rsidR="00D528F1" w:rsidRDefault="00D528F1" w:rsidP="00766FFE">
            <w:pPr>
              <w:spacing w:before="20" w:after="20"/>
              <w:jc w:val="center"/>
            </w:pPr>
            <w:r>
              <w:t>111 (64)</w:t>
            </w:r>
            <w:r>
              <w:br/>
              <w:t>54 (31)</w:t>
            </w:r>
            <w:r>
              <w:br/>
              <w:t>9 (5)</w:t>
            </w:r>
          </w:p>
          <w:p w:rsidR="00D528F1" w:rsidRDefault="00D528F1" w:rsidP="00766FFE">
            <w:pPr>
              <w:spacing w:before="20" w:after="20"/>
              <w:jc w:val="center"/>
            </w:pPr>
            <w:r>
              <w:t>0</w:t>
            </w:r>
          </w:p>
        </w:tc>
      </w:tr>
      <w:tr w:rsidR="00D528F1" w:rsidTr="0022384F">
        <w:tc>
          <w:tcPr>
            <w:tcW w:w="5688" w:type="dxa"/>
          </w:tcPr>
          <w:p w:rsidR="00C53128" w:rsidRDefault="00D528F1" w:rsidP="00766FFE">
            <w:pPr>
              <w:pStyle w:val="Paragraph"/>
              <w:spacing w:before="20" w:after="20"/>
            </w:pPr>
            <w:r w:rsidRPr="00EA4D20">
              <w:t>Disease Stage</w:t>
            </w:r>
            <w:r w:rsidR="00C53128">
              <w:t>, n (%)</w:t>
            </w:r>
          </w:p>
          <w:p w:rsidR="00D528F1" w:rsidRPr="00EA4D20" w:rsidRDefault="00D528F1" w:rsidP="00766FFE">
            <w:pPr>
              <w:pStyle w:val="Paragraph"/>
              <w:spacing w:before="20" w:after="20"/>
            </w:pPr>
            <w:r w:rsidRPr="00EA4D20">
              <w:tab/>
              <w:t>Locally advanced</w:t>
            </w:r>
          </w:p>
          <w:p w:rsidR="00D528F1" w:rsidRPr="00EA4D20" w:rsidRDefault="00D528F1" w:rsidP="00766FFE">
            <w:pPr>
              <w:pStyle w:val="Paragraph"/>
              <w:spacing w:before="20" w:after="20"/>
            </w:pPr>
            <w:r w:rsidRPr="00EA4D20">
              <w:tab/>
              <w:t>Metastatic</w:t>
            </w:r>
            <w:r>
              <w:br/>
            </w:r>
            <w:r>
              <w:tab/>
              <w:t>Not reported</w:t>
            </w:r>
          </w:p>
        </w:tc>
        <w:tc>
          <w:tcPr>
            <w:tcW w:w="1620" w:type="dxa"/>
          </w:tcPr>
          <w:p w:rsidR="007E0BA9" w:rsidRDefault="007E0BA9" w:rsidP="00766FFE">
            <w:pPr>
              <w:pStyle w:val="Paragraph"/>
              <w:spacing w:before="20" w:after="20"/>
              <w:jc w:val="center"/>
              <w:rPr>
                <w:vertAlign w:val="superscript"/>
              </w:rPr>
            </w:pPr>
          </w:p>
          <w:p w:rsidR="00D528F1" w:rsidRPr="00124A26" w:rsidRDefault="00D528F1" w:rsidP="00766FFE">
            <w:pPr>
              <w:pStyle w:val="Paragraph"/>
              <w:spacing w:before="20" w:after="20"/>
              <w:jc w:val="center"/>
              <w:rPr>
                <w:vertAlign w:val="superscript"/>
              </w:rPr>
            </w:pPr>
            <w:r>
              <w:t>7 (4)</w:t>
            </w:r>
            <w:r>
              <w:br/>
              <w:t>165 (95)</w:t>
            </w:r>
            <w:r>
              <w:br/>
              <w:t>1 (&lt;1)</w:t>
            </w:r>
          </w:p>
        </w:tc>
        <w:tc>
          <w:tcPr>
            <w:tcW w:w="175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16 (9)</w:t>
            </w:r>
            <w:r>
              <w:br/>
              <w:t>158 (91)</w:t>
            </w:r>
            <w:r>
              <w:br/>
              <w:t>0</w:t>
            </w:r>
          </w:p>
        </w:tc>
      </w:tr>
      <w:tr w:rsidR="00D528F1" w:rsidTr="0022384F">
        <w:tc>
          <w:tcPr>
            <w:tcW w:w="5688" w:type="dxa"/>
          </w:tcPr>
          <w:p w:rsidR="00D528F1" w:rsidRPr="00074BA4" w:rsidRDefault="00D528F1" w:rsidP="00766FFE">
            <w:pPr>
              <w:pStyle w:val="Paragraph"/>
              <w:spacing w:before="20" w:after="20"/>
              <w:rPr>
                <w:lang w:val="it-IT"/>
              </w:rPr>
            </w:pPr>
            <w:r w:rsidRPr="00074BA4">
              <w:rPr>
                <w:lang w:val="it-IT"/>
              </w:rPr>
              <w:t xml:space="preserve">Histological </w:t>
            </w:r>
            <w:r w:rsidR="0040102B">
              <w:rPr>
                <w:lang w:val="it-IT"/>
              </w:rPr>
              <w:t>C</w:t>
            </w:r>
            <w:r w:rsidRPr="00074BA4">
              <w:rPr>
                <w:lang w:val="it-IT"/>
              </w:rPr>
              <w:t>lassification</w:t>
            </w:r>
            <w:r w:rsidR="00C53128">
              <w:t>, n (%)</w:t>
            </w:r>
          </w:p>
          <w:p w:rsidR="00D528F1" w:rsidRPr="00074BA4" w:rsidRDefault="00D528F1" w:rsidP="00766FFE">
            <w:pPr>
              <w:pStyle w:val="Paragraph"/>
              <w:spacing w:before="20" w:after="20"/>
              <w:rPr>
                <w:lang w:val="it-IT"/>
              </w:rPr>
            </w:pPr>
            <w:r w:rsidRPr="00074BA4">
              <w:rPr>
                <w:lang w:val="it-IT"/>
              </w:rPr>
              <w:tab/>
              <w:t>Adenocarcinoma</w:t>
            </w:r>
          </w:p>
          <w:p w:rsidR="00D528F1" w:rsidRPr="00074BA4" w:rsidRDefault="00D528F1" w:rsidP="00766FFE">
            <w:pPr>
              <w:pStyle w:val="Paragraph"/>
              <w:spacing w:before="20" w:after="20"/>
              <w:rPr>
                <w:lang w:val="it-IT"/>
              </w:rPr>
            </w:pPr>
            <w:r w:rsidRPr="00074BA4">
              <w:rPr>
                <w:lang w:val="it-IT"/>
              </w:rPr>
              <w:tab/>
            </w:r>
            <w:r>
              <w:rPr>
                <w:lang w:val="it-IT"/>
              </w:rPr>
              <w:t>Squamous</w:t>
            </w:r>
            <w:r w:rsidRPr="00074BA4">
              <w:rPr>
                <w:lang w:val="it-IT"/>
              </w:rPr>
              <w:t xml:space="preserve"> cell carcinoma</w:t>
            </w:r>
          </w:p>
          <w:p w:rsidR="00D528F1" w:rsidRDefault="00D528F1" w:rsidP="00766FFE">
            <w:pPr>
              <w:pStyle w:val="Paragraph"/>
              <w:spacing w:before="20" w:after="20"/>
            </w:pPr>
            <w:r w:rsidRPr="00074BA4">
              <w:rPr>
                <w:lang w:val="it-IT"/>
              </w:rPr>
              <w:tab/>
            </w:r>
            <w:r>
              <w:t>Large cell carcinoma</w:t>
            </w:r>
          </w:p>
          <w:p w:rsidR="00D528F1" w:rsidRDefault="00D528F1" w:rsidP="00766FFE">
            <w:pPr>
              <w:pStyle w:val="Paragraph"/>
              <w:spacing w:before="20" w:after="20"/>
            </w:pPr>
            <w:r>
              <w:tab/>
              <w:t>Adenosquamous carcinoma</w:t>
            </w:r>
          </w:p>
          <w:p w:rsidR="00D528F1" w:rsidRDefault="00D528F1" w:rsidP="00766FFE">
            <w:pPr>
              <w:pStyle w:val="Paragraph"/>
              <w:spacing w:before="20" w:after="20"/>
            </w:pPr>
            <w:r>
              <w:tab/>
              <w:t>Other</w:t>
            </w:r>
            <w:r>
              <w:br/>
            </w:r>
            <w:r>
              <w:tab/>
              <w:t>Not reported</w:t>
            </w:r>
          </w:p>
        </w:tc>
        <w:tc>
          <w:tcPr>
            <w:tcW w:w="162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163 (94)</w:t>
            </w:r>
            <w:r>
              <w:br/>
              <w:t>0</w:t>
            </w:r>
            <w:r>
              <w:br/>
              <w:t>1 (&lt;1)</w:t>
            </w:r>
            <w:r>
              <w:br/>
              <w:t>4 (2)</w:t>
            </w:r>
            <w:r>
              <w:br/>
              <w:t>4 (2)</w:t>
            </w:r>
            <w:r>
              <w:br/>
              <w:t>1 (&lt;1)</w:t>
            </w:r>
          </w:p>
        </w:tc>
        <w:tc>
          <w:tcPr>
            <w:tcW w:w="175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160 (92)</w:t>
            </w:r>
            <w:r>
              <w:br/>
              <w:t>3 (2)</w:t>
            </w:r>
            <w:r>
              <w:br/>
              <w:t>1 (&lt;1)</w:t>
            </w:r>
            <w:r>
              <w:br/>
              <w:t>3 (2)</w:t>
            </w:r>
            <w:r>
              <w:br/>
              <w:t>7 (4)</w:t>
            </w:r>
            <w:r>
              <w:br/>
              <w:t>0</w:t>
            </w:r>
          </w:p>
        </w:tc>
      </w:tr>
      <w:tr w:rsidR="00D528F1" w:rsidTr="0022384F">
        <w:tc>
          <w:tcPr>
            <w:tcW w:w="5688" w:type="dxa"/>
          </w:tcPr>
          <w:p w:rsidR="00D528F1" w:rsidRDefault="00D528F1" w:rsidP="00766FFE">
            <w:pPr>
              <w:pStyle w:val="Paragraph"/>
              <w:spacing w:before="20" w:after="20"/>
              <w:rPr>
                <w:lang w:val="it-IT"/>
              </w:rPr>
            </w:pPr>
            <w:r>
              <w:rPr>
                <w:lang w:val="it-IT"/>
              </w:rPr>
              <w:t>Brain Metastases, n (%)</w:t>
            </w:r>
          </w:p>
          <w:p w:rsidR="00D528F1" w:rsidRDefault="00D528F1" w:rsidP="00766FFE">
            <w:pPr>
              <w:pStyle w:val="Paragraph"/>
              <w:spacing w:before="20" w:after="20"/>
              <w:rPr>
                <w:lang w:val="it-IT"/>
              </w:rPr>
            </w:pPr>
            <w:r>
              <w:rPr>
                <w:lang w:val="it-IT"/>
              </w:rPr>
              <w:tab/>
              <w:t>Present</w:t>
            </w:r>
          </w:p>
          <w:p w:rsidR="00D528F1" w:rsidRPr="00074BA4" w:rsidRDefault="00D528F1" w:rsidP="00766FFE">
            <w:pPr>
              <w:pStyle w:val="Paragraph"/>
              <w:spacing w:before="20" w:after="20"/>
              <w:rPr>
                <w:lang w:val="it-IT"/>
              </w:rPr>
            </w:pPr>
            <w:r>
              <w:rPr>
                <w:lang w:val="it-IT"/>
              </w:rPr>
              <w:tab/>
              <w:t>Absent</w:t>
            </w:r>
          </w:p>
        </w:tc>
        <w:tc>
          <w:tcPr>
            <w:tcW w:w="162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60 (35)</w:t>
            </w:r>
            <w:r>
              <w:br/>
              <w:t>113 (65)</w:t>
            </w:r>
          </w:p>
        </w:tc>
        <w:tc>
          <w:tcPr>
            <w:tcW w:w="175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60 (34)</w:t>
            </w:r>
            <w:r>
              <w:br/>
              <w:t>114 (66)</w:t>
            </w:r>
          </w:p>
        </w:tc>
      </w:tr>
      <w:tr w:rsidR="00D528F1" w:rsidTr="0022384F">
        <w:tc>
          <w:tcPr>
            <w:tcW w:w="5688" w:type="dxa"/>
          </w:tcPr>
          <w:p w:rsidR="00D528F1" w:rsidRDefault="00D528F1" w:rsidP="00766FFE">
            <w:pPr>
              <w:pStyle w:val="Paragraph"/>
              <w:spacing w:before="20" w:after="20"/>
              <w:rPr>
                <w:lang w:val="it-IT"/>
              </w:rPr>
            </w:pPr>
            <w:r>
              <w:rPr>
                <w:lang w:val="it-IT"/>
              </w:rPr>
              <w:t>Prior EGFR TKI Therapy, n (%)</w:t>
            </w:r>
          </w:p>
          <w:p w:rsidR="00D528F1" w:rsidRDefault="00D528F1" w:rsidP="00766FFE">
            <w:pPr>
              <w:pStyle w:val="Paragraph"/>
              <w:spacing w:before="20" w:after="20"/>
              <w:rPr>
                <w:lang w:val="it-IT"/>
              </w:rPr>
            </w:pPr>
            <w:r>
              <w:rPr>
                <w:lang w:val="it-IT"/>
              </w:rPr>
              <w:tab/>
              <w:t>Yes</w:t>
            </w:r>
          </w:p>
          <w:p w:rsidR="00D528F1" w:rsidRDefault="00D528F1" w:rsidP="00766FFE">
            <w:pPr>
              <w:pStyle w:val="Paragraph"/>
              <w:spacing w:before="20" w:after="20"/>
              <w:rPr>
                <w:lang w:val="it-IT"/>
              </w:rPr>
            </w:pPr>
            <w:r>
              <w:rPr>
                <w:lang w:val="it-IT"/>
              </w:rPr>
              <w:tab/>
              <w:t>No</w:t>
            </w:r>
          </w:p>
        </w:tc>
        <w:tc>
          <w:tcPr>
            <w:tcW w:w="162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20 (12)</w:t>
            </w:r>
            <w:r>
              <w:br/>
              <w:t>153 (88)</w:t>
            </w:r>
          </w:p>
        </w:tc>
        <w:tc>
          <w:tcPr>
            <w:tcW w:w="1750" w:type="dxa"/>
          </w:tcPr>
          <w:p w:rsidR="007E0BA9" w:rsidRDefault="007E0BA9" w:rsidP="00766FFE">
            <w:pPr>
              <w:pStyle w:val="Paragraph"/>
              <w:spacing w:before="20" w:after="20"/>
              <w:jc w:val="center"/>
            </w:pPr>
          </w:p>
          <w:p w:rsidR="00D528F1" w:rsidRDefault="00D528F1" w:rsidP="00766FFE">
            <w:pPr>
              <w:pStyle w:val="Paragraph"/>
              <w:spacing w:before="20" w:after="20"/>
              <w:jc w:val="center"/>
            </w:pPr>
            <w:r>
              <w:t>21 (12)</w:t>
            </w:r>
            <w:r>
              <w:br/>
              <w:t>153 (88)</w:t>
            </w:r>
          </w:p>
        </w:tc>
      </w:tr>
      <w:tr w:rsidR="00D528F1" w:rsidTr="0022384F">
        <w:tc>
          <w:tcPr>
            <w:tcW w:w="5688" w:type="dxa"/>
          </w:tcPr>
          <w:p w:rsidR="00D528F1" w:rsidRDefault="00D528F1" w:rsidP="00766FFE">
            <w:pPr>
              <w:pStyle w:val="Paragraph"/>
              <w:spacing w:before="20" w:after="20"/>
            </w:pPr>
            <w:r>
              <w:t xml:space="preserve">ECOG </w:t>
            </w:r>
            <w:r w:rsidR="0040102B">
              <w:t>PS</w:t>
            </w:r>
            <w:r>
              <w:t>, n (%)</w:t>
            </w:r>
          </w:p>
          <w:p w:rsidR="00D528F1" w:rsidRDefault="00D528F1" w:rsidP="00766FFE">
            <w:pPr>
              <w:pStyle w:val="Paragraph"/>
              <w:spacing w:before="20" w:after="20"/>
            </w:pPr>
            <w:r>
              <w:tab/>
              <w:t>0</w:t>
            </w:r>
          </w:p>
          <w:p w:rsidR="00D528F1" w:rsidRDefault="00D528F1" w:rsidP="00766FFE">
            <w:pPr>
              <w:pStyle w:val="Paragraph"/>
              <w:spacing w:before="20" w:after="20"/>
            </w:pPr>
            <w:r>
              <w:tab/>
              <w:t>1</w:t>
            </w:r>
          </w:p>
          <w:p w:rsidR="00D528F1" w:rsidRDefault="00D528F1" w:rsidP="00766FFE">
            <w:pPr>
              <w:pStyle w:val="Paragraph"/>
              <w:spacing w:before="20" w:after="20"/>
            </w:pPr>
            <w:r>
              <w:tab/>
              <w:t>2</w:t>
            </w:r>
          </w:p>
          <w:p w:rsidR="00D528F1" w:rsidRDefault="00D528F1" w:rsidP="00766FFE">
            <w:pPr>
              <w:pStyle w:val="Paragraph"/>
              <w:spacing w:before="20" w:after="20"/>
            </w:pPr>
            <w:r>
              <w:tab/>
              <w:t>Not reported</w:t>
            </w:r>
          </w:p>
        </w:tc>
        <w:tc>
          <w:tcPr>
            <w:tcW w:w="1620" w:type="dxa"/>
          </w:tcPr>
          <w:p w:rsidR="007E0BA9" w:rsidRDefault="007E0BA9" w:rsidP="00766FFE">
            <w:pPr>
              <w:spacing w:before="20" w:after="20"/>
              <w:jc w:val="center"/>
            </w:pPr>
          </w:p>
          <w:p w:rsidR="00D528F1" w:rsidRDefault="00D528F1" w:rsidP="00766FFE">
            <w:pPr>
              <w:spacing w:before="20" w:after="20"/>
              <w:jc w:val="center"/>
            </w:pPr>
            <w:r>
              <w:t>72 (42)</w:t>
            </w:r>
            <w:r>
              <w:br/>
              <w:t>84 (49)</w:t>
            </w:r>
            <w:r>
              <w:br/>
              <w:t>16 (9)</w:t>
            </w:r>
            <w:r w:rsidR="00A972BE">
              <w:br/>
            </w:r>
            <w:r>
              <w:t>1 (&lt;1)</w:t>
            </w:r>
          </w:p>
        </w:tc>
        <w:tc>
          <w:tcPr>
            <w:tcW w:w="1750" w:type="dxa"/>
          </w:tcPr>
          <w:p w:rsidR="007E0BA9" w:rsidRDefault="007E0BA9" w:rsidP="00766FFE">
            <w:pPr>
              <w:spacing w:before="20" w:after="20"/>
              <w:jc w:val="center"/>
            </w:pPr>
          </w:p>
          <w:p w:rsidR="00D528F1" w:rsidRDefault="00D528F1" w:rsidP="00766FFE">
            <w:pPr>
              <w:spacing w:before="20" w:after="20"/>
              <w:jc w:val="center"/>
            </w:pPr>
            <w:r>
              <w:t>65 (37)</w:t>
            </w:r>
            <w:r>
              <w:br/>
              <w:t>95 (55)</w:t>
            </w:r>
            <w:r>
              <w:br/>
              <w:t>14 (8)</w:t>
            </w:r>
            <w:r w:rsidR="00A972BE">
              <w:br/>
            </w:r>
            <w:r>
              <w:t>0</w:t>
            </w:r>
          </w:p>
        </w:tc>
      </w:tr>
    </w:tbl>
    <w:p w:rsidR="00D528F1" w:rsidRDefault="00D528F1" w:rsidP="00162B03">
      <w:pPr>
        <w:pStyle w:val="Paragraph"/>
        <w:spacing w:after="0"/>
      </w:pPr>
    </w:p>
    <w:p w:rsidR="009C2E12" w:rsidRPr="00D42C25" w:rsidRDefault="009C2E12" w:rsidP="009C2E12">
      <w:pPr>
        <w:pStyle w:val="PINormal"/>
      </w:pPr>
      <w:r w:rsidRPr="00317BFF">
        <w:lastRenderedPageBreak/>
        <w:t>The following information is from a preliminary analysis.  At the cut-off point, 343 of the 347 randomised subjects had received study treatment (172 crizotinib; 171 chemotherapy).  Of these, 113 were receiving on-going treatment at the data cut-off point (85 crizotinib; 28 chemotherapy).</w:t>
      </w:r>
    </w:p>
    <w:p w:rsidR="00D528F1" w:rsidRDefault="00D528F1" w:rsidP="0000512F">
      <w:pPr>
        <w:pStyle w:val="PINormal"/>
        <w:keepLines/>
      </w:pPr>
      <w:r>
        <w:t xml:space="preserve">Crizotinib significantly prolonged PFS compared to chemotherapy as assessed by IRR. </w:t>
      </w:r>
      <w:r w:rsidR="00D25109">
        <w:t xml:space="preserve"> The median PFS was 7.7 </w:t>
      </w:r>
      <w:r>
        <w:t>months for patients randomi</w:t>
      </w:r>
      <w:r w:rsidR="00D25109">
        <w:t>s</w:t>
      </w:r>
      <w:r>
        <w:t>ed to crizotinib and 3.0 months for patients randomi</w:t>
      </w:r>
      <w:r w:rsidR="00D25109">
        <w:t>s</w:t>
      </w:r>
      <w:r>
        <w:t xml:space="preserve">ed to chemotherapy. </w:t>
      </w:r>
      <w:r w:rsidR="00D25109">
        <w:t xml:space="preserve"> </w:t>
      </w:r>
      <w:r>
        <w:t>The hazard ratio was 0.487 with a p-value of &lt;0.0001 (1-sided, based on stratified log-rank test).</w:t>
      </w:r>
      <w:r w:rsidR="00D25109">
        <w:t xml:space="preserve"> </w:t>
      </w:r>
      <w:r>
        <w:t xml:space="preserve"> The median PFS for patients treated with crizotinib was 7.7</w:t>
      </w:r>
      <w:r w:rsidR="00D25109">
        <w:t> months and 4.2 </w:t>
      </w:r>
      <w:r>
        <w:t>months for patients treated with pemetrexed.</w:t>
      </w:r>
      <w:r w:rsidR="00D25109">
        <w:t xml:space="preserve"> </w:t>
      </w:r>
      <w:r>
        <w:t xml:space="preserve"> The hazard ratio was 0.589 with a p-value of 0.0004 (1-sided, based on stratified log-rank test). </w:t>
      </w:r>
      <w:r w:rsidR="00D25109">
        <w:t xml:space="preserve"> </w:t>
      </w:r>
      <w:r>
        <w:t xml:space="preserve">The median PFS for patients treated with crizotinib was 7.7 months and 2.6 months for patients treated with docetaxel. </w:t>
      </w:r>
      <w:r w:rsidR="00D25109">
        <w:t xml:space="preserve"> </w:t>
      </w:r>
      <w:r>
        <w:t>The hazard ratio was 0.298 with a p-value of &lt;0.0001 (1-sided stratified log-rank test)</w:t>
      </w:r>
      <w:r w:rsidR="00D25109">
        <w:t xml:space="preserve">. </w:t>
      </w:r>
    </w:p>
    <w:p w:rsidR="00D528F1" w:rsidRDefault="00D528F1" w:rsidP="0000512F">
      <w:pPr>
        <w:pStyle w:val="PINormal"/>
        <w:keepLines/>
      </w:pPr>
      <w:r>
        <w:t xml:space="preserve">Crizotinib also significantly improved IRR-assessed ORR as compared to chemotherapy with a p-value of &lt;0.0001 (2-sided stratified test). </w:t>
      </w:r>
      <w:r w:rsidR="00F37A9B">
        <w:t xml:space="preserve"> </w:t>
      </w:r>
      <w:r>
        <w:t>The ORR for patients randomi</w:t>
      </w:r>
      <w:r w:rsidR="00F37A9B">
        <w:t>s</w:t>
      </w:r>
      <w:r>
        <w:t>ed to crizotinib was 65% (95% CI: 58%, 72%) and for patients randomi</w:t>
      </w:r>
      <w:r w:rsidR="00F37A9B">
        <w:t>s</w:t>
      </w:r>
      <w:r>
        <w:t>ed to chemotherapy was 20% (95% CI: 14%, 26%).</w:t>
      </w:r>
      <w:r w:rsidR="00F37A9B">
        <w:t xml:space="preserve"> </w:t>
      </w:r>
      <w:r>
        <w:t>The ORR for patients treated with crizotinib was 66% (95% CI: 58%, 73%) and 29% (95% CI: 21%, 39%) for patients treated with pemetrexed, with a p-value of &lt;0.0001 (2</w:t>
      </w:r>
      <w:r w:rsidR="00F37A9B">
        <w:noBreakHyphen/>
      </w:r>
      <w:r>
        <w:t>sided stratification test).</w:t>
      </w:r>
      <w:r w:rsidR="00F37A9B">
        <w:t xml:space="preserve"> </w:t>
      </w:r>
      <w:r>
        <w:t xml:space="preserve"> The ORR for patients treated with crizotinib was 66% (95% CI: 58%, 73%) and 7% (95% CI: 2%, 16%) for patients treated with docetaxel, with a p-value of &lt;0.0001 (2-sided stratified test).</w:t>
      </w:r>
      <w:r w:rsidR="00F37A9B">
        <w:t xml:space="preserve"> </w:t>
      </w:r>
    </w:p>
    <w:p w:rsidR="00D528F1" w:rsidRDefault="00D528F1" w:rsidP="00937474">
      <w:pPr>
        <w:pStyle w:val="PINormal"/>
      </w:pPr>
      <w:r>
        <w:t>Median DR was 3</w:t>
      </w:r>
      <w:r w:rsidR="004356BB">
        <w:t>2.1</w:t>
      </w:r>
      <w:r>
        <w:t xml:space="preserve"> weeks (95% CI: 2</w:t>
      </w:r>
      <w:r w:rsidR="004356BB">
        <w:t>6.4</w:t>
      </w:r>
      <w:r>
        <w:t xml:space="preserve"> weeks, 4</w:t>
      </w:r>
      <w:r w:rsidR="004356BB">
        <w:t>2.3</w:t>
      </w:r>
      <w:r>
        <w:t xml:space="preserve"> weeks) in the crizotinib arm and 24.4 weeks (95% CI: 15.0 weeks, 36.0 weeks) in the chemotherapy arm.</w:t>
      </w:r>
      <w:r w:rsidR="00F37A9B">
        <w:t xml:space="preserve"> </w:t>
      </w:r>
    </w:p>
    <w:p w:rsidR="009C2E12" w:rsidRPr="009C2E12" w:rsidRDefault="009C2E12" w:rsidP="009C2E12">
      <w:pPr>
        <w:pStyle w:val="PINormal"/>
      </w:pPr>
      <w:r w:rsidRPr="009C2E12">
        <w:t>The median OS with crizotinib was 20.3 months and 22.8 months with chemotherapy.  OS data were, however, not mature at the time of analysis, as only approximately 40% of the number of protocol-specified events had been reached.  The OS analysis was not adjusted for the potentially confounding effects of crossover to subsequent therapy outside of Study 1007.  Of the 174 patients in the chemotherapy arm, 112 (64.4%) patients subsequently received crizotinib treatment.</w:t>
      </w:r>
    </w:p>
    <w:p w:rsidR="00D528F1" w:rsidRDefault="00D528F1" w:rsidP="009C2E12">
      <w:pPr>
        <w:pStyle w:val="PINormal"/>
        <w:rPr>
          <w:b/>
        </w:rPr>
      </w:pPr>
      <w:r>
        <w:t>E</w:t>
      </w:r>
      <w:r w:rsidRPr="001A457F">
        <w:t>fficacy data from Stud</w:t>
      </w:r>
      <w:r>
        <w:t>y 1007 are</w:t>
      </w:r>
      <w:r w:rsidRPr="001A457F">
        <w:t xml:space="preserve"> </w:t>
      </w:r>
      <w:r>
        <w:t>summari</w:t>
      </w:r>
      <w:r w:rsidR="0002396C">
        <w:t>s</w:t>
      </w:r>
      <w:r>
        <w:t>ed</w:t>
      </w:r>
      <w:r w:rsidRPr="001A457F">
        <w:t xml:space="preserve"> in Table</w:t>
      </w:r>
      <w:r w:rsidR="00F37A9B">
        <w:t> 2</w:t>
      </w:r>
      <w:r>
        <w:t xml:space="preserve"> and the Kaplan-Meier curve for PFS is shown in Figure</w:t>
      </w:r>
      <w:r w:rsidR="0002396C">
        <w:t> </w:t>
      </w:r>
      <w:r>
        <w:t>1</w:t>
      </w:r>
      <w:r w:rsidRPr="001A457F">
        <w:t>.</w:t>
      </w:r>
      <w:r w:rsidR="00F37A9B">
        <w:rPr>
          <w:b/>
        </w:rPr>
        <w:t xml:space="preserve"> </w:t>
      </w:r>
    </w:p>
    <w:p w:rsidR="00D528F1" w:rsidRPr="00235557" w:rsidRDefault="00D528F1" w:rsidP="00E2205F">
      <w:pPr>
        <w:pStyle w:val="Paragraph"/>
        <w:keepNext/>
        <w:tabs>
          <w:tab w:val="left" w:pos="993"/>
        </w:tabs>
        <w:spacing w:after="120"/>
        <w:ind w:left="993" w:hanging="993"/>
        <w:rPr>
          <w:b/>
        </w:rPr>
      </w:pPr>
      <w:r w:rsidRPr="00235557">
        <w:rPr>
          <w:b/>
        </w:rPr>
        <w:t xml:space="preserve">Table </w:t>
      </w:r>
      <w:r w:rsidR="00F37A9B">
        <w:rPr>
          <w:b/>
        </w:rPr>
        <w:t>2</w:t>
      </w:r>
      <w:r>
        <w:rPr>
          <w:b/>
        </w:rPr>
        <w:t>.</w:t>
      </w:r>
      <w:r>
        <w:rPr>
          <w:b/>
        </w:rPr>
        <w:tab/>
        <w:t>ALK-Positive Advanced NSCLC Efficacy Results from Randomi</w:t>
      </w:r>
      <w:r w:rsidR="0086106B">
        <w:rPr>
          <w:b/>
        </w:rPr>
        <w:t>s</w:t>
      </w:r>
      <w:r>
        <w:rPr>
          <w:b/>
        </w:rPr>
        <w:t>ed Phase 3 Study 1007 (Full Analysis Population)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880"/>
        <w:gridCol w:w="2880"/>
      </w:tblGrid>
      <w:tr w:rsidR="00D528F1" w:rsidRPr="00504751" w:rsidTr="0022384F">
        <w:trPr>
          <w:trHeight w:val="255"/>
        </w:trPr>
        <w:tc>
          <w:tcPr>
            <w:tcW w:w="3528" w:type="dxa"/>
          </w:tcPr>
          <w:p w:rsidR="00D528F1" w:rsidRPr="009B5C31" w:rsidRDefault="00D528F1" w:rsidP="00363C4A">
            <w:pPr>
              <w:pStyle w:val="Paragraph"/>
              <w:keepNext/>
              <w:spacing w:before="20" w:after="20"/>
            </w:pPr>
            <w:r w:rsidRPr="009B5C31">
              <w:rPr>
                <w:b/>
                <w:bCs/>
              </w:rPr>
              <w:t>Efficacy Parameter</w:t>
            </w:r>
          </w:p>
        </w:tc>
        <w:tc>
          <w:tcPr>
            <w:tcW w:w="2880" w:type="dxa"/>
          </w:tcPr>
          <w:p w:rsidR="00D528F1" w:rsidRPr="005C5900" w:rsidRDefault="00D528F1" w:rsidP="00363C4A">
            <w:pPr>
              <w:pStyle w:val="Paragraph"/>
              <w:keepNext/>
              <w:spacing w:before="20" w:after="20"/>
              <w:jc w:val="center"/>
              <w:rPr>
                <w:b/>
                <w:bCs/>
              </w:rPr>
            </w:pPr>
            <w:r w:rsidRPr="005C5900">
              <w:rPr>
                <w:b/>
                <w:bCs/>
              </w:rPr>
              <w:t>Crizotinib</w:t>
            </w:r>
          </w:p>
          <w:p w:rsidR="00D528F1" w:rsidRPr="005C5900" w:rsidRDefault="00D528F1" w:rsidP="00363C4A">
            <w:pPr>
              <w:pStyle w:val="Paragraph"/>
              <w:keepNext/>
              <w:spacing w:before="20" w:after="20"/>
              <w:jc w:val="center"/>
              <w:rPr>
                <w:b/>
              </w:rPr>
            </w:pPr>
            <w:r w:rsidRPr="005C5900">
              <w:rPr>
                <w:b/>
              </w:rPr>
              <w:t>(N=173)</w:t>
            </w:r>
          </w:p>
        </w:tc>
        <w:tc>
          <w:tcPr>
            <w:tcW w:w="2880" w:type="dxa"/>
          </w:tcPr>
          <w:p w:rsidR="00D528F1" w:rsidRPr="009B5C31" w:rsidRDefault="00D528F1" w:rsidP="00363C4A">
            <w:pPr>
              <w:pStyle w:val="Paragraph"/>
              <w:keepNext/>
              <w:spacing w:before="20" w:after="20"/>
              <w:jc w:val="center"/>
            </w:pPr>
            <w:r>
              <w:rPr>
                <w:b/>
                <w:bCs/>
              </w:rPr>
              <w:t>Chemotherapy</w:t>
            </w:r>
            <w:r>
              <w:rPr>
                <w:b/>
                <w:bCs/>
              </w:rPr>
              <w:br/>
              <w:t>(N=174)</w:t>
            </w:r>
          </w:p>
        </w:tc>
      </w:tr>
      <w:tr w:rsidR="00D528F1" w:rsidRPr="00061029" w:rsidTr="0022384F">
        <w:trPr>
          <w:trHeight w:val="255"/>
        </w:trPr>
        <w:tc>
          <w:tcPr>
            <w:tcW w:w="3528" w:type="dxa"/>
          </w:tcPr>
          <w:p w:rsidR="00D528F1" w:rsidRPr="00061029" w:rsidRDefault="00D528F1" w:rsidP="00363C4A">
            <w:pPr>
              <w:pStyle w:val="Paragraph"/>
              <w:keepNext/>
              <w:spacing w:before="60" w:after="60"/>
            </w:pPr>
            <w:r>
              <w:t xml:space="preserve">  </w:t>
            </w:r>
            <w:r w:rsidRPr="00061029">
              <w:t>PFS</w:t>
            </w:r>
            <w:r>
              <w:t xml:space="preserve"> </w:t>
            </w:r>
            <w:r w:rsidRPr="00061029">
              <w:t>[median (95% CI)]</w:t>
            </w:r>
            <w:r>
              <w:t xml:space="preserve"> months</w:t>
            </w:r>
          </w:p>
        </w:tc>
        <w:tc>
          <w:tcPr>
            <w:tcW w:w="2880" w:type="dxa"/>
          </w:tcPr>
          <w:p w:rsidR="00D528F1" w:rsidRPr="00061029" w:rsidRDefault="00D528F1" w:rsidP="00363C4A">
            <w:pPr>
              <w:pStyle w:val="Paragraph"/>
              <w:keepNext/>
              <w:spacing w:before="60" w:after="60"/>
              <w:jc w:val="center"/>
            </w:pPr>
            <w:r>
              <w:t>7.7 (6.0, 8.8)</w:t>
            </w:r>
          </w:p>
        </w:tc>
        <w:tc>
          <w:tcPr>
            <w:tcW w:w="2880" w:type="dxa"/>
          </w:tcPr>
          <w:p w:rsidR="00D528F1" w:rsidRDefault="00D528F1" w:rsidP="00363C4A">
            <w:pPr>
              <w:pStyle w:val="Paragraph"/>
              <w:keepNext/>
              <w:spacing w:before="60" w:after="60"/>
              <w:jc w:val="center"/>
            </w:pPr>
            <w:r>
              <w:t>3.0 (2.6, 4.3)</w:t>
            </w:r>
          </w:p>
        </w:tc>
      </w:tr>
      <w:tr w:rsidR="00D528F1" w:rsidRPr="00061029" w:rsidTr="0022384F">
        <w:trPr>
          <w:trHeight w:val="255"/>
        </w:trPr>
        <w:tc>
          <w:tcPr>
            <w:tcW w:w="3528" w:type="dxa"/>
          </w:tcPr>
          <w:p w:rsidR="00D528F1" w:rsidRPr="00061029" w:rsidRDefault="00D528F1" w:rsidP="00363C4A">
            <w:pPr>
              <w:pStyle w:val="Paragraph"/>
              <w:spacing w:before="60" w:after="60"/>
            </w:pPr>
            <w:r w:rsidRPr="00061029">
              <w:t xml:space="preserve">  </w:t>
            </w:r>
            <w:r>
              <w:t xml:space="preserve">ORR </w:t>
            </w:r>
            <w:r w:rsidRPr="00061029">
              <w:t>[% (95% CI)]</w:t>
            </w:r>
          </w:p>
        </w:tc>
        <w:tc>
          <w:tcPr>
            <w:tcW w:w="2880" w:type="dxa"/>
          </w:tcPr>
          <w:p w:rsidR="00D528F1" w:rsidRPr="00061029" w:rsidRDefault="00D528F1" w:rsidP="00363C4A">
            <w:pPr>
              <w:pStyle w:val="Paragraph"/>
              <w:spacing w:before="60" w:after="60"/>
              <w:jc w:val="center"/>
            </w:pPr>
            <w:r>
              <w:t>65 (58, 72)</w:t>
            </w:r>
          </w:p>
        </w:tc>
        <w:tc>
          <w:tcPr>
            <w:tcW w:w="2880" w:type="dxa"/>
          </w:tcPr>
          <w:p w:rsidR="00D528F1" w:rsidRDefault="00D528F1" w:rsidP="00363C4A">
            <w:pPr>
              <w:pStyle w:val="Paragraph"/>
              <w:spacing w:before="60" w:after="60"/>
              <w:jc w:val="center"/>
            </w:pPr>
            <w:r>
              <w:t>20 (14, 26)</w:t>
            </w:r>
          </w:p>
        </w:tc>
      </w:tr>
    </w:tbl>
    <w:p w:rsidR="00DE3C7A" w:rsidRDefault="00DE3C7A" w:rsidP="00DE3C7A">
      <w:pPr>
        <w:pStyle w:val="Paragraph"/>
        <w:spacing w:after="0"/>
        <w:ind w:left="992" w:hanging="992"/>
        <w:rPr>
          <w:b/>
        </w:rPr>
      </w:pPr>
    </w:p>
    <w:p w:rsidR="00D528F1" w:rsidRDefault="00A01242" w:rsidP="009E1C29">
      <w:pPr>
        <w:pStyle w:val="Paragraph"/>
        <w:keepLines/>
        <w:spacing w:after="0"/>
        <w:ind w:left="992" w:hanging="992"/>
      </w:pPr>
      <w:r>
        <w:rPr>
          <w:noProof/>
          <w:lang w:val="en-AU" w:eastAsia="en-AU"/>
        </w:rPr>
        <w:lastRenderedPageBreak/>
        <w:drawing>
          <wp:anchor distT="0" distB="0" distL="114300" distR="114300" simplePos="0" relativeHeight="251658240" behindDoc="1" locked="0" layoutInCell="1" allowOverlap="1">
            <wp:simplePos x="0" y="0"/>
            <wp:positionH relativeFrom="column">
              <wp:posOffset>-41275</wp:posOffset>
            </wp:positionH>
            <wp:positionV relativeFrom="paragraph">
              <wp:posOffset>494030</wp:posOffset>
            </wp:positionV>
            <wp:extent cx="5866130" cy="3726815"/>
            <wp:effectExtent l="0" t="0" r="1270" b="6985"/>
            <wp:wrapTight wrapText="bothSides">
              <wp:wrapPolygon edited="0">
                <wp:start x="0" y="0"/>
                <wp:lineTo x="0" y="21530"/>
                <wp:lineTo x="21535" y="21530"/>
                <wp:lineTo x="21535" y="0"/>
                <wp:lineTo x="0" y="0"/>
              </wp:wrapPolygon>
            </wp:wrapTight>
            <wp:docPr id="7" name="Picture 1" descr="C:\Documents and Settings\MeadeM01\Local Settings\Temporary Internet Files\Content.Word\PROFILE 1007 PFS B-W_2012-Nov-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eadeM01\Local Settings\Temporary Internet Files\Content.Word\PROFILE 1007 PFS B-W_2012-Nov-2.tif"/>
                    <pic:cNvPicPr>
                      <a:picLocks noChangeAspect="1" noChangeArrowheads="1"/>
                    </pic:cNvPicPr>
                  </pic:nvPicPr>
                  <pic:blipFill>
                    <a:blip r:embed="rId10" cstate="print">
                      <a:extLst>
                        <a:ext uri="{28A0092B-C50C-407E-A947-70E740481C1C}">
                          <a14:useLocalDpi xmlns:a14="http://schemas.microsoft.com/office/drawing/2010/main" val="0"/>
                        </a:ext>
                      </a:extLst>
                    </a:blip>
                    <a:srcRect t="13245"/>
                    <a:stretch>
                      <a:fillRect/>
                    </a:stretch>
                  </pic:blipFill>
                  <pic:spPr bwMode="auto">
                    <a:xfrm>
                      <a:off x="0" y="0"/>
                      <a:ext cx="5866130" cy="372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D528F1">
        <w:rPr>
          <w:b/>
        </w:rPr>
        <w:t>Figure 1.</w:t>
      </w:r>
      <w:r w:rsidR="00D528F1">
        <w:rPr>
          <w:b/>
        </w:rPr>
        <w:tab/>
      </w:r>
      <w:r w:rsidR="00D528F1" w:rsidRPr="00B1053A">
        <w:rPr>
          <w:b/>
        </w:rPr>
        <w:t>Kaplan-Meier Curves for P</w:t>
      </w:r>
      <w:r w:rsidR="00D528F1">
        <w:rPr>
          <w:b/>
        </w:rPr>
        <w:t>rogression-</w:t>
      </w:r>
      <w:r w:rsidR="00D528F1" w:rsidRPr="00B1053A">
        <w:rPr>
          <w:b/>
        </w:rPr>
        <w:t>F</w:t>
      </w:r>
      <w:r w:rsidR="00D528F1">
        <w:rPr>
          <w:b/>
        </w:rPr>
        <w:t>ree Survival</w:t>
      </w:r>
      <w:r w:rsidR="00D528F1" w:rsidRPr="00B1053A">
        <w:rPr>
          <w:b/>
        </w:rPr>
        <w:t xml:space="preserve"> by Treatment Arm in </w:t>
      </w:r>
      <w:r w:rsidR="00D528F1">
        <w:rPr>
          <w:b/>
        </w:rPr>
        <w:t>Randomi</w:t>
      </w:r>
      <w:r w:rsidR="004665D5">
        <w:rPr>
          <w:b/>
        </w:rPr>
        <w:t>s</w:t>
      </w:r>
      <w:r w:rsidR="00D528F1">
        <w:rPr>
          <w:b/>
        </w:rPr>
        <w:t xml:space="preserve">ed Phase 3 </w:t>
      </w:r>
      <w:r w:rsidR="00D528F1" w:rsidRPr="00B1053A">
        <w:rPr>
          <w:b/>
        </w:rPr>
        <w:t>Study 1</w:t>
      </w:r>
      <w:r w:rsidR="00D528F1">
        <w:rPr>
          <w:b/>
        </w:rPr>
        <w:t>007 (Full Analysis Population)</w:t>
      </w:r>
      <w:r w:rsidR="00D528F1" w:rsidRPr="00B1053A">
        <w:rPr>
          <w:b/>
        </w:rPr>
        <w:t xml:space="preserve"> </w:t>
      </w:r>
    </w:p>
    <w:p w:rsidR="000E1FAF" w:rsidRDefault="000E1FAF" w:rsidP="000E1FAF">
      <w:pPr>
        <w:pStyle w:val="PINormal"/>
        <w:spacing w:after="0"/>
      </w:pPr>
    </w:p>
    <w:p w:rsidR="00D528F1" w:rsidRPr="000E1FAF" w:rsidRDefault="00D528F1" w:rsidP="0000512F">
      <w:pPr>
        <w:pStyle w:val="PINormal"/>
        <w:keepLines/>
      </w:pPr>
      <w:r w:rsidRPr="00252255">
        <w:t xml:space="preserve">Time to Deterioration (TTD) was pre-specified as the first occurrence of a </w:t>
      </w:r>
      <w:r w:rsidR="00DF5DF1">
        <w:t>≥</w:t>
      </w:r>
      <w:r w:rsidRPr="00252255">
        <w:t>10-point increase in scores from baseline in symptoms of pain (</w:t>
      </w:r>
      <w:r>
        <w:t>EORTC QLQ-</w:t>
      </w:r>
      <w:r w:rsidRPr="00252255">
        <w:t>LC13 pain in chest), cough (</w:t>
      </w:r>
      <w:r>
        <w:t>EORTC QLQ-</w:t>
      </w:r>
      <w:r w:rsidR="00A843EC">
        <w:t>LC13 cough)</w:t>
      </w:r>
      <w:r w:rsidRPr="00252255">
        <w:t xml:space="preserve"> or dyspn</w:t>
      </w:r>
      <w:r w:rsidR="00ED738E">
        <w:t>o</w:t>
      </w:r>
      <w:r w:rsidRPr="00252255">
        <w:t>ea (</w:t>
      </w:r>
      <w:r>
        <w:t>EORTC QLQ-</w:t>
      </w:r>
      <w:r w:rsidRPr="00252255">
        <w:t>LC13 dyspn</w:t>
      </w:r>
      <w:r w:rsidR="00ED738E">
        <w:t>o</w:t>
      </w:r>
      <w:r w:rsidRPr="00252255">
        <w:t xml:space="preserve">ea). </w:t>
      </w:r>
      <w:r w:rsidR="00A843EC">
        <w:t xml:space="preserve"> </w:t>
      </w:r>
      <w:r w:rsidRPr="00252255">
        <w:t>The median TTD in patient</w:t>
      </w:r>
      <w:r>
        <w:t>-</w:t>
      </w:r>
      <w:r w:rsidRPr="00252255">
        <w:t>reported pain in chest, dyspn</w:t>
      </w:r>
      <w:r w:rsidR="00ED738E">
        <w:t>o</w:t>
      </w:r>
      <w:r w:rsidR="00E032E7">
        <w:t>ea</w:t>
      </w:r>
      <w:r w:rsidRPr="00252255">
        <w:t xml:space="preserve"> or cough </w:t>
      </w:r>
      <w:r w:rsidR="00E032E7">
        <w:t>as a composite endpoint was 5.6 </w:t>
      </w:r>
      <w:r w:rsidRPr="00252255">
        <w:t>months (95% CI: 3.4</w:t>
      </w:r>
      <w:r>
        <w:t xml:space="preserve"> months,</w:t>
      </w:r>
      <w:r w:rsidRPr="00252255">
        <w:t xml:space="preserve"> 11.0</w:t>
      </w:r>
      <w:r>
        <w:t xml:space="preserve"> months</w:t>
      </w:r>
      <w:r w:rsidRPr="00252255">
        <w:t>) in the crizotinib arm compared to 1.4 months (95% CI: 1.0</w:t>
      </w:r>
      <w:r>
        <w:t xml:space="preserve"> months,</w:t>
      </w:r>
      <w:r w:rsidRPr="00252255">
        <w:t xml:space="preserve"> 1.8</w:t>
      </w:r>
      <w:r>
        <w:t xml:space="preserve"> months</w:t>
      </w:r>
      <w:r w:rsidRPr="00252255">
        <w:t xml:space="preserve">) in the chemotherapy arm. </w:t>
      </w:r>
      <w:r w:rsidR="00A843EC">
        <w:t xml:space="preserve"> </w:t>
      </w:r>
      <w:r w:rsidRPr="00252255">
        <w:t xml:space="preserve">Treatment with crizotinib was associated with a significantly longer </w:t>
      </w:r>
      <w:r>
        <w:t>TTD</w:t>
      </w:r>
      <w:r w:rsidRPr="00252255">
        <w:t xml:space="preserve"> in the symptoms of pain in chest, dyspn</w:t>
      </w:r>
      <w:r w:rsidR="00ED738E">
        <w:t>o</w:t>
      </w:r>
      <w:r w:rsidRPr="00252255">
        <w:t>ea or cough compared to chemotherapy (hazard ratio 0.53</w:t>
      </w:r>
      <w:r>
        <w:t>5</w:t>
      </w:r>
      <w:r w:rsidRPr="00252255">
        <w:t>; 95% CI: 0.404</w:t>
      </w:r>
      <w:r>
        <w:t>,</w:t>
      </w:r>
      <w:r w:rsidRPr="00252255">
        <w:t xml:space="preserve"> 0.7</w:t>
      </w:r>
      <w:r>
        <w:t>09</w:t>
      </w:r>
      <w:r w:rsidRPr="00252255">
        <w:t>; Hochber</w:t>
      </w:r>
      <w:r>
        <w:t>g adjusted log-rank p&lt;0.0001).</w:t>
      </w:r>
      <w:r w:rsidR="00DE3C7A" w:rsidRPr="00252255">
        <w:t xml:space="preserve"> </w:t>
      </w:r>
      <w:r w:rsidR="000E1FAF">
        <w:t xml:space="preserve"> </w:t>
      </w:r>
      <w:r w:rsidR="002C18B4" w:rsidRPr="002C18B4">
        <w:t>The Kaplan-Meier Plot of TTD in pain in chest, dyspn</w:t>
      </w:r>
      <w:r w:rsidR="00A00A44">
        <w:t>o</w:t>
      </w:r>
      <w:r w:rsidR="002C18B4" w:rsidRPr="002C18B4">
        <w:t>ea or cough as a composite endpoint by arm for the patient-reported outcome evaluable population is shown in Figure 2.</w:t>
      </w:r>
    </w:p>
    <w:p w:rsidR="00D528F1" w:rsidRPr="00252255" w:rsidRDefault="00D528F1" w:rsidP="0000512F">
      <w:pPr>
        <w:pStyle w:val="PINormal"/>
        <w:keepLines/>
      </w:pPr>
      <w:r w:rsidRPr="00252255">
        <w:t xml:space="preserve">The change from baseline </w:t>
      </w:r>
      <w:r>
        <w:t xml:space="preserve">scores </w:t>
      </w:r>
      <w:r w:rsidRPr="00252255">
        <w:t>was found to be significantly different between the 2</w:t>
      </w:r>
      <w:r>
        <w:t> </w:t>
      </w:r>
      <w:r w:rsidRPr="00252255">
        <w:t xml:space="preserve">treatment arms, with a significantly greater improvement observed </w:t>
      </w:r>
      <w:r>
        <w:t xml:space="preserve">in global quality of life </w:t>
      </w:r>
      <w:r w:rsidRPr="00252255">
        <w:t>in the crizotinib arm compared to the chemotherapy arm (overall difference in change from baseline</w:t>
      </w:r>
      <w:r>
        <w:t xml:space="preserve"> scores</w:t>
      </w:r>
      <w:r w:rsidRPr="00252255">
        <w:t xml:space="preserve"> 9.8</w:t>
      </w:r>
      <w:r>
        <w:t>4</w:t>
      </w:r>
      <w:r w:rsidRPr="00252255">
        <w:t>;</w:t>
      </w:r>
      <w:r>
        <w:t xml:space="preserve"> </w:t>
      </w:r>
      <w:r w:rsidRPr="00252255">
        <w:t>p&lt;0.0001).</w:t>
      </w:r>
      <w:r w:rsidR="00DE3C7A" w:rsidRPr="00252255">
        <w:t xml:space="preserve"> </w:t>
      </w:r>
    </w:p>
    <w:p w:rsidR="00D528F1" w:rsidRDefault="00D528F1" w:rsidP="00E2205F">
      <w:pPr>
        <w:pStyle w:val="Paragraph"/>
        <w:keepNext/>
        <w:spacing w:after="0"/>
        <w:ind w:left="993" w:hanging="993"/>
        <w:rPr>
          <w:b/>
        </w:rPr>
      </w:pPr>
      <w:r>
        <w:rPr>
          <w:b/>
        </w:rPr>
        <w:lastRenderedPageBreak/>
        <w:t>Figure 2.</w:t>
      </w:r>
      <w:r>
        <w:rPr>
          <w:b/>
        </w:rPr>
        <w:tab/>
      </w:r>
      <w:r w:rsidRPr="00B1053A">
        <w:rPr>
          <w:b/>
        </w:rPr>
        <w:t xml:space="preserve">Kaplan-Meier </w:t>
      </w:r>
      <w:r>
        <w:rPr>
          <w:b/>
        </w:rPr>
        <w:t>Plot of</w:t>
      </w:r>
      <w:r w:rsidRPr="00B1053A">
        <w:rPr>
          <w:b/>
        </w:rPr>
        <w:t xml:space="preserve"> </w:t>
      </w:r>
      <w:r w:rsidRPr="00942CBB">
        <w:rPr>
          <w:b/>
        </w:rPr>
        <w:t>Time to Deterioration in Pain (in Chest), Dyspn</w:t>
      </w:r>
      <w:r w:rsidR="00ED738E">
        <w:rPr>
          <w:b/>
        </w:rPr>
        <w:t>o</w:t>
      </w:r>
      <w:r w:rsidRPr="00942CBB">
        <w:rPr>
          <w:b/>
        </w:rPr>
        <w:t xml:space="preserve">ea or Cough </w:t>
      </w:r>
      <w:r>
        <w:rPr>
          <w:b/>
        </w:rPr>
        <w:t>(Composite Endpoint) by Arm (Patient-Reported Outcome Evaluable Population)</w:t>
      </w:r>
      <w:r w:rsidR="002C18B4" w:rsidRPr="002C18B4">
        <w:rPr>
          <w:b/>
        </w:rPr>
        <w:t xml:space="preserve"> </w:t>
      </w:r>
      <w:r w:rsidR="002C18B4">
        <w:rPr>
          <w:b/>
        </w:rPr>
        <w:t xml:space="preserve">in </w:t>
      </w:r>
      <w:r w:rsidR="002C18B4" w:rsidRPr="002C18B4">
        <w:rPr>
          <w:b/>
        </w:rPr>
        <w:t>Study 1007</w:t>
      </w:r>
      <w:r w:rsidR="000E1FAF">
        <w:rPr>
          <w:b/>
        </w:rPr>
        <w:t>.</w:t>
      </w:r>
    </w:p>
    <w:p w:rsidR="00D528F1" w:rsidRPr="00942CBB" w:rsidRDefault="00A01242" w:rsidP="00D528F1">
      <w:pPr>
        <w:pStyle w:val="Paragraph"/>
        <w:keepNext/>
        <w:rPr>
          <w:b/>
        </w:rPr>
      </w:pPr>
      <w:r>
        <w:rPr>
          <w:noProof/>
          <w:lang w:val="en-AU" w:eastAsia="en-AU"/>
        </w:rPr>
        <w:drawing>
          <wp:inline distT="0" distB="0" distL="0" distR="0">
            <wp:extent cx="5939790" cy="3759835"/>
            <wp:effectExtent l="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759835"/>
                    </a:xfrm>
                    <a:prstGeom prst="rect">
                      <a:avLst/>
                    </a:prstGeom>
                    <a:noFill/>
                    <a:ln>
                      <a:noFill/>
                    </a:ln>
                  </pic:spPr>
                </pic:pic>
              </a:graphicData>
            </a:graphic>
          </wp:inline>
        </w:drawing>
      </w:r>
    </w:p>
    <w:p w:rsidR="001E6140" w:rsidRDefault="001E6140" w:rsidP="001E6140">
      <w:pPr>
        <w:pStyle w:val="PIHeading2"/>
        <w:keepNext w:val="0"/>
        <w:spacing w:before="0" w:after="0"/>
      </w:pPr>
    </w:p>
    <w:p w:rsidR="00D528F1" w:rsidRPr="00937474" w:rsidRDefault="00D528F1" w:rsidP="00937474">
      <w:pPr>
        <w:pStyle w:val="PIHeading2"/>
      </w:pPr>
      <w:r w:rsidRPr="00937474">
        <w:t>Single-Arm Studies in ALK-Positive Advanced NSCLC</w:t>
      </w:r>
    </w:p>
    <w:p w:rsidR="00EB202F" w:rsidRDefault="00EB202F" w:rsidP="0000512F">
      <w:pPr>
        <w:pStyle w:val="PINormal"/>
        <w:keepLines/>
      </w:pPr>
      <w:r w:rsidRPr="00B87623">
        <w:rPr>
          <w:color w:val="000000"/>
        </w:rPr>
        <w:t xml:space="preserve">The use of single-agent </w:t>
      </w:r>
      <w:r w:rsidR="002921D8">
        <w:rPr>
          <w:color w:val="000000"/>
        </w:rPr>
        <w:t xml:space="preserve">crizotinib </w:t>
      </w:r>
      <w:r w:rsidRPr="00B87623">
        <w:rPr>
          <w:color w:val="000000"/>
        </w:rPr>
        <w:t>in the treatment of ALK-positive advanced NSCLC with or</w:t>
      </w:r>
      <w:r w:rsidRPr="00B30C3C">
        <w:t xml:space="preserve"> without brain metastases was investigated in </w:t>
      </w:r>
      <w:r>
        <w:t>two multicent</w:t>
      </w:r>
      <w:r w:rsidRPr="00B30C3C">
        <w:t>r</w:t>
      </w:r>
      <w:r>
        <w:t>e</w:t>
      </w:r>
      <w:r w:rsidRPr="00B30C3C">
        <w:t xml:space="preserve">, </w:t>
      </w:r>
      <w:r w:rsidR="002921D8" w:rsidRPr="005C281D">
        <w:t>multinational</w:t>
      </w:r>
      <w:r w:rsidR="002921D8">
        <w:t>,</w:t>
      </w:r>
      <w:r w:rsidR="002921D8" w:rsidRPr="00B30C3C">
        <w:t xml:space="preserve"> </w:t>
      </w:r>
      <w:r w:rsidRPr="00B30C3C">
        <w:t>single</w:t>
      </w:r>
      <w:r w:rsidRPr="00B30C3C">
        <w:noBreakHyphen/>
        <w:t xml:space="preserve">arm studies (Studies </w:t>
      </w:r>
      <w:r w:rsidR="009C6520" w:rsidRPr="009C6520">
        <w:t>1001</w:t>
      </w:r>
      <w:r w:rsidRPr="00B30C3C">
        <w:t xml:space="preserve"> and </w:t>
      </w:r>
      <w:r w:rsidR="009C6520" w:rsidRPr="009C6520">
        <w:t>1005</w:t>
      </w:r>
      <w:r w:rsidRPr="00B30C3C">
        <w:t xml:space="preserve">).  Patients enrolled into these studies had </w:t>
      </w:r>
      <w:r>
        <w:t>received</w:t>
      </w:r>
      <w:r w:rsidRPr="00B30C3C">
        <w:t xml:space="preserve"> prior </w:t>
      </w:r>
      <w:r>
        <w:t xml:space="preserve">systemic </w:t>
      </w:r>
      <w:r w:rsidRPr="00B30C3C">
        <w:t xml:space="preserve">therapy, with the exception of </w:t>
      </w:r>
      <w:r w:rsidR="001E128C">
        <w:t>24</w:t>
      </w:r>
      <w:r w:rsidR="002921D8">
        <w:t> </w:t>
      </w:r>
      <w:r w:rsidRPr="00B30C3C">
        <w:t xml:space="preserve">patients in Study </w:t>
      </w:r>
      <w:r w:rsidR="009C6520" w:rsidRPr="009C6520">
        <w:t>1001</w:t>
      </w:r>
      <w:r w:rsidRPr="00B30C3C">
        <w:t xml:space="preserve"> who had no prior systemic treatment for </w:t>
      </w:r>
      <w:r>
        <w:t xml:space="preserve">locally </w:t>
      </w:r>
      <w:r w:rsidRPr="00B30C3C">
        <w:t xml:space="preserve">advanced or metastatic disease.  The primary efficacy endpoint in both studies was ORR according to RECIST.  Secondary endpoints included Time to </w:t>
      </w:r>
      <w:r>
        <w:t>Tumour</w:t>
      </w:r>
      <w:r w:rsidRPr="00B30C3C">
        <w:t xml:space="preserve"> Response (TTR), DR, Disease Control Rate</w:t>
      </w:r>
      <w:r>
        <w:t xml:space="preserve"> (DCR)</w:t>
      </w:r>
      <w:r w:rsidRPr="00B30C3C">
        <w:t>, PFS and OS.</w:t>
      </w:r>
    </w:p>
    <w:p w:rsidR="00EB202F" w:rsidRDefault="00EB202F" w:rsidP="00EB202F">
      <w:pPr>
        <w:pStyle w:val="PINormal"/>
      </w:pPr>
      <w:r w:rsidRPr="00B16170">
        <w:t>Patients received 250</w:t>
      </w:r>
      <w:r w:rsidR="00DB3156">
        <w:t> </w:t>
      </w:r>
      <w:r w:rsidRPr="00B16170">
        <w:t>mg of crizotinib orally twice daily.</w:t>
      </w:r>
      <w:r>
        <w:t xml:space="preserve">  </w:t>
      </w:r>
      <w:r w:rsidRPr="00B16170">
        <w:t xml:space="preserve">Demographic and disease characteristics for Studies </w:t>
      </w:r>
      <w:r w:rsidR="009C6520" w:rsidRPr="009C6520">
        <w:t>1001</w:t>
      </w:r>
      <w:r w:rsidRPr="00B16170">
        <w:t xml:space="preserve"> and </w:t>
      </w:r>
      <w:r w:rsidR="009C6520" w:rsidRPr="009C6520">
        <w:t>1005</w:t>
      </w:r>
      <w:r w:rsidRPr="00B16170">
        <w:t xml:space="preserve"> are provided in </w:t>
      </w:r>
      <w:r w:rsidR="00E2205F">
        <w:t>Table</w:t>
      </w:r>
      <w:r w:rsidR="00D13EB3">
        <w:t> </w:t>
      </w:r>
      <w:r w:rsidR="002921D8">
        <w:t>3</w:t>
      </w:r>
      <w:r w:rsidRPr="00B16170">
        <w:t xml:space="preserve">.  </w:t>
      </w:r>
    </w:p>
    <w:p w:rsidR="00FF360B" w:rsidRPr="00DB3156" w:rsidRDefault="00FF360B" w:rsidP="00FF360B">
      <w:pPr>
        <w:pStyle w:val="PITableTitle"/>
      </w:pPr>
      <w:r w:rsidRPr="00DB3156">
        <w:rPr>
          <w:rStyle w:val="TableText12"/>
        </w:rPr>
        <w:lastRenderedPageBreak/>
        <w:t xml:space="preserve">Table </w:t>
      </w:r>
      <w:r>
        <w:rPr>
          <w:rStyle w:val="TableText12"/>
        </w:rPr>
        <w:t>3</w:t>
      </w:r>
      <w:r w:rsidRPr="00DB3156">
        <w:rPr>
          <w:rStyle w:val="TableText12"/>
        </w:rPr>
        <w:t xml:space="preserve">.  Demographic and Disease Characteristics in Studies </w:t>
      </w:r>
      <w:r>
        <w:rPr>
          <w:rStyle w:val="TableText12"/>
        </w:rPr>
        <w:t>1001</w:t>
      </w:r>
      <w:r w:rsidRPr="00DB3156">
        <w:rPr>
          <w:rStyle w:val="TableText12"/>
        </w:rPr>
        <w:t xml:space="preserve"> and </w:t>
      </w:r>
      <w:r>
        <w:rPr>
          <w:rStyle w:val="TableText12"/>
        </w:rPr>
        <w:t>1005</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943"/>
        <w:gridCol w:w="1686"/>
        <w:gridCol w:w="1559"/>
        <w:tblGridChange w:id="2">
          <w:tblGrid>
            <w:gridCol w:w="4943"/>
            <w:gridCol w:w="1686"/>
            <w:gridCol w:w="1559"/>
          </w:tblGrid>
        </w:tblGridChange>
      </w:tblGrid>
      <w:tr w:rsidR="00FF360B" w:rsidRPr="00DE5639" w:rsidTr="0040102B">
        <w:trPr>
          <w:trHeight w:val="544"/>
        </w:trPr>
        <w:tc>
          <w:tcPr>
            <w:tcW w:w="4943" w:type="dxa"/>
            <w:vAlign w:val="center"/>
          </w:tcPr>
          <w:p w:rsidR="00FF360B" w:rsidRPr="00E53B2B" w:rsidRDefault="00FF360B" w:rsidP="0040102B">
            <w:pPr>
              <w:pStyle w:val="PITableText"/>
              <w:keepNext/>
              <w:rPr>
                <w:b/>
              </w:rPr>
            </w:pPr>
            <w:r w:rsidRPr="00E53B2B">
              <w:rPr>
                <w:b/>
              </w:rPr>
              <w:t>Characteristics</w:t>
            </w:r>
          </w:p>
        </w:tc>
        <w:tc>
          <w:tcPr>
            <w:tcW w:w="1686" w:type="dxa"/>
          </w:tcPr>
          <w:p w:rsidR="00FF360B" w:rsidRPr="00401890" w:rsidRDefault="00FF360B" w:rsidP="0040102B">
            <w:pPr>
              <w:pStyle w:val="PITableText"/>
              <w:keepNext/>
              <w:jc w:val="center"/>
              <w:rPr>
                <w:b/>
              </w:rPr>
            </w:pPr>
            <w:r w:rsidRPr="00401890">
              <w:rPr>
                <w:b/>
              </w:rPr>
              <w:t xml:space="preserve">Study </w:t>
            </w:r>
            <w:r>
              <w:rPr>
                <w:b/>
              </w:rPr>
              <w:t>1001</w:t>
            </w:r>
          </w:p>
          <w:p w:rsidR="00FF360B" w:rsidRPr="00401890" w:rsidRDefault="00FF360B" w:rsidP="0040102B">
            <w:pPr>
              <w:pStyle w:val="PITableText"/>
              <w:keepNext/>
              <w:jc w:val="center"/>
              <w:rPr>
                <w:b/>
              </w:rPr>
            </w:pPr>
            <w:r w:rsidRPr="00401890">
              <w:rPr>
                <w:b/>
              </w:rPr>
              <w:t>N=</w:t>
            </w:r>
            <w:r>
              <w:rPr>
                <w:b/>
              </w:rPr>
              <w:t>149</w:t>
            </w:r>
          </w:p>
        </w:tc>
        <w:tc>
          <w:tcPr>
            <w:tcW w:w="1559" w:type="dxa"/>
          </w:tcPr>
          <w:p w:rsidR="00FF360B" w:rsidRPr="00DE5639" w:rsidRDefault="00FF360B" w:rsidP="0040102B">
            <w:pPr>
              <w:pStyle w:val="PITableText"/>
              <w:keepNext/>
              <w:jc w:val="center"/>
              <w:rPr>
                <w:b/>
              </w:rPr>
            </w:pPr>
            <w:r w:rsidRPr="00DE5639">
              <w:rPr>
                <w:b/>
              </w:rPr>
              <w:t xml:space="preserve">Study </w:t>
            </w:r>
            <w:r>
              <w:rPr>
                <w:b/>
              </w:rPr>
              <w:t>1005</w:t>
            </w:r>
          </w:p>
          <w:p w:rsidR="00FF360B" w:rsidRPr="00DE5639" w:rsidDel="002C18B4" w:rsidRDefault="00FF360B" w:rsidP="0040102B">
            <w:pPr>
              <w:pStyle w:val="PITableText"/>
              <w:keepNext/>
              <w:jc w:val="center"/>
              <w:rPr>
                <w:b/>
              </w:rPr>
            </w:pPr>
            <w:r w:rsidRPr="00DE5639">
              <w:rPr>
                <w:b/>
              </w:rPr>
              <w:t>N=</w:t>
            </w:r>
            <w:r>
              <w:rPr>
                <w:b/>
              </w:rPr>
              <w:t>261</w:t>
            </w:r>
          </w:p>
        </w:tc>
      </w:tr>
      <w:tr w:rsidR="00FF360B" w:rsidTr="0040102B">
        <w:trPr>
          <w:trHeight w:val="834"/>
        </w:trPr>
        <w:tc>
          <w:tcPr>
            <w:tcW w:w="4943" w:type="dxa"/>
          </w:tcPr>
          <w:p w:rsidR="00FF360B" w:rsidRDefault="00FF360B" w:rsidP="0040102B">
            <w:pPr>
              <w:pStyle w:val="PITableText"/>
              <w:keepNext/>
              <w:tabs>
                <w:tab w:val="left" w:pos="426"/>
              </w:tabs>
            </w:pPr>
            <w:r>
              <w:t>Sex, n (%)</w:t>
            </w:r>
          </w:p>
          <w:p w:rsidR="00FF360B" w:rsidRDefault="00FF360B" w:rsidP="0040102B">
            <w:pPr>
              <w:pStyle w:val="PITableText"/>
              <w:tabs>
                <w:tab w:val="left" w:pos="426"/>
              </w:tabs>
            </w:pPr>
            <w:r>
              <w:tab/>
              <w:t>Male</w:t>
            </w:r>
          </w:p>
          <w:p w:rsidR="00FF360B" w:rsidRDefault="00FF360B" w:rsidP="0040102B">
            <w:pPr>
              <w:pStyle w:val="PITableText"/>
              <w:tabs>
                <w:tab w:val="left" w:pos="426"/>
              </w:tabs>
            </w:pPr>
            <w:r>
              <w:tab/>
              <w:t>Female</w:t>
            </w:r>
          </w:p>
        </w:tc>
        <w:tc>
          <w:tcPr>
            <w:tcW w:w="1686" w:type="dxa"/>
          </w:tcPr>
          <w:p w:rsidR="00FF360B" w:rsidRPr="00401890" w:rsidRDefault="00FF360B" w:rsidP="0040102B">
            <w:pPr>
              <w:pStyle w:val="PITableText"/>
              <w:jc w:val="center"/>
            </w:pPr>
          </w:p>
          <w:p w:rsidR="00FF360B" w:rsidRPr="00401890" w:rsidRDefault="00FF360B" w:rsidP="0040102B">
            <w:pPr>
              <w:pStyle w:val="PITableText"/>
              <w:jc w:val="center"/>
            </w:pPr>
            <w:r w:rsidRPr="00401890">
              <w:t>73 (49)</w:t>
            </w:r>
          </w:p>
          <w:p w:rsidR="00FF360B" w:rsidRPr="00401890" w:rsidRDefault="00FF360B" w:rsidP="0040102B">
            <w:pPr>
              <w:pStyle w:val="PITableText"/>
              <w:jc w:val="center"/>
            </w:pPr>
            <w:r w:rsidRPr="00401890">
              <w:t>76 (51)</w:t>
            </w:r>
          </w:p>
        </w:tc>
        <w:tc>
          <w:tcPr>
            <w:tcW w:w="1559" w:type="dxa"/>
          </w:tcPr>
          <w:p w:rsidR="00FF360B" w:rsidRDefault="00FF360B" w:rsidP="0040102B">
            <w:pPr>
              <w:pStyle w:val="PITableText"/>
              <w:jc w:val="center"/>
            </w:pPr>
          </w:p>
          <w:p w:rsidR="00FF360B" w:rsidRDefault="00FF360B" w:rsidP="0040102B">
            <w:pPr>
              <w:pStyle w:val="PITableText"/>
              <w:jc w:val="center"/>
            </w:pPr>
            <w:r>
              <w:t>119 (46)</w:t>
            </w:r>
          </w:p>
          <w:p w:rsidR="00FF360B" w:rsidDel="002C18B4" w:rsidRDefault="00FF360B" w:rsidP="0040102B">
            <w:pPr>
              <w:pStyle w:val="Paragraph"/>
              <w:spacing w:after="0"/>
              <w:jc w:val="center"/>
            </w:pPr>
            <w:r>
              <w:t>142 (54)</w:t>
            </w:r>
          </w:p>
        </w:tc>
      </w:tr>
      <w:tr w:rsidR="00FF360B" w:rsidTr="0040102B">
        <w:trPr>
          <w:trHeight w:val="1100"/>
        </w:trPr>
        <w:tc>
          <w:tcPr>
            <w:tcW w:w="4943" w:type="dxa"/>
          </w:tcPr>
          <w:p w:rsidR="00FF360B" w:rsidRDefault="00FF360B" w:rsidP="0040102B">
            <w:pPr>
              <w:pStyle w:val="PITableText"/>
              <w:keepNext/>
              <w:tabs>
                <w:tab w:val="left" w:pos="426"/>
              </w:tabs>
            </w:pPr>
            <w:r>
              <w:t>Age (years), n (%)</w:t>
            </w:r>
          </w:p>
          <w:p w:rsidR="00FF360B" w:rsidRDefault="00FF360B" w:rsidP="0040102B">
            <w:pPr>
              <w:pStyle w:val="PITableText"/>
              <w:tabs>
                <w:tab w:val="left" w:pos="426"/>
              </w:tabs>
            </w:pPr>
            <w:r>
              <w:tab/>
              <w:t xml:space="preserve">Median (range) </w:t>
            </w:r>
          </w:p>
          <w:p w:rsidR="00FF360B" w:rsidRDefault="00FF360B" w:rsidP="0040102B">
            <w:pPr>
              <w:pStyle w:val="PITableText"/>
              <w:tabs>
                <w:tab w:val="left" w:pos="426"/>
              </w:tabs>
            </w:pPr>
            <w:r>
              <w:tab/>
              <w:t>&lt;65 years</w:t>
            </w:r>
          </w:p>
          <w:p w:rsidR="00FF360B" w:rsidRDefault="00FF360B" w:rsidP="0040102B">
            <w:pPr>
              <w:pStyle w:val="PITableText"/>
              <w:tabs>
                <w:tab w:val="left" w:pos="426"/>
              </w:tabs>
            </w:pPr>
            <w:r>
              <w:tab/>
            </w:r>
            <w:r w:rsidRPr="00CD17EC">
              <w:rPr>
                <w:u w:val="single"/>
              </w:rPr>
              <w:t>&gt;</w:t>
            </w:r>
            <w:r>
              <w:t>65 years</w:t>
            </w:r>
          </w:p>
        </w:tc>
        <w:tc>
          <w:tcPr>
            <w:tcW w:w="1686" w:type="dxa"/>
          </w:tcPr>
          <w:p w:rsidR="00FF360B" w:rsidRPr="00401890" w:rsidRDefault="00FF360B" w:rsidP="0040102B">
            <w:pPr>
              <w:pStyle w:val="PITableText"/>
              <w:jc w:val="center"/>
            </w:pPr>
          </w:p>
          <w:p w:rsidR="00FF360B" w:rsidRPr="00401890" w:rsidRDefault="00FF360B" w:rsidP="0040102B">
            <w:pPr>
              <w:pStyle w:val="PITableText"/>
              <w:jc w:val="center"/>
            </w:pPr>
            <w:r w:rsidRPr="00401890">
              <w:t>52 (21-86)</w:t>
            </w:r>
          </w:p>
          <w:p w:rsidR="00FF360B" w:rsidRPr="00401890" w:rsidRDefault="00FF360B" w:rsidP="0040102B">
            <w:pPr>
              <w:pStyle w:val="PITableText"/>
              <w:jc w:val="center"/>
            </w:pPr>
            <w:r w:rsidRPr="00401890">
              <w:t>129 (87)</w:t>
            </w:r>
          </w:p>
          <w:p w:rsidR="00FF360B" w:rsidRPr="00401890" w:rsidRDefault="00FF360B" w:rsidP="0040102B">
            <w:pPr>
              <w:pStyle w:val="PITableText"/>
              <w:jc w:val="center"/>
            </w:pPr>
            <w:r w:rsidRPr="00401890">
              <w:t>20 (13)</w:t>
            </w:r>
          </w:p>
        </w:tc>
        <w:tc>
          <w:tcPr>
            <w:tcW w:w="1559" w:type="dxa"/>
          </w:tcPr>
          <w:p w:rsidR="00FF360B" w:rsidRDefault="00FF360B" w:rsidP="0040102B">
            <w:pPr>
              <w:pStyle w:val="PITableText"/>
              <w:jc w:val="center"/>
            </w:pPr>
          </w:p>
          <w:p w:rsidR="00FF360B" w:rsidRDefault="00FF360B" w:rsidP="0040102B">
            <w:pPr>
              <w:pStyle w:val="PITableText"/>
              <w:jc w:val="center"/>
            </w:pPr>
            <w:r>
              <w:t>52 (24-82)</w:t>
            </w:r>
          </w:p>
          <w:p w:rsidR="00FF360B" w:rsidRDefault="00FF360B" w:rsidP="0040102B">
            <w:pPr>
              <w:pStyle w:val="PITableText"/>
              <w:jc w:val="center"/>
            </w:pPr>
            <w:r>
              <w:t>231 (89)</w:t>
            </w:r>
          </w:p>
          <w:p w:rsidR="00FF360B" w:rsidDel="002C18B4" w:rsidRDefault="00FF360B" w:rsidP="0040102B">
            <w:pPr>
              <w:pStyle w:val="Paragraph"/>
              <w:spacing w:after="0"/>
              <w:jc w:val="center"/>
            </w:pPr>
            <w:r>
              <w:t>30 (11)</w:t>
            </w:r>
          </w:p>
        </w:tc>
      </w:tr>
      <w:tr w:rsidR="00FF360B" w:rsidTr="0040102B">
        <w:trPr>
          <w:trHeight w:val="1390"/>
        </w:trPr>
        <w:tc>
          <w:tcPr>
            <w:tcW w:w="4943" w:type="dxa"/>
          </w:tcPr>
          <w:p w:rsidR="00FF360B" w:rsidRDefault="00FF360B" w:rsidP="0040102B">
            <w:pPr>
              <w:pStyle w:val="PITableText"/>
              <w:keepNext/>
              <w:tabs>
                <w:tab w:val="left" w:pos="426"/>
              </w:tabs>
            </w:pPr>
            <w:r>
              <w:t>Race, n (%)</w:t>
            </w:r>
          </w:p>
          <w:p w:rsidR="00FF360B" w:rsidRDefault="00FF360B" w:rsidP="0040102B">
            <w:pPr>
              <w:pStyle w:val="PITableText"/>
              <w:tabs>
                <w:tab w:val="left" w:pos="426"/>
              </w:tabs>
            </w:pPr>
            <w:r>
              <w:tab/>
              <w:t>White</w:t>
            </w:r>
          </w:p>
          <w:p w:rsidR="00FF360B" w:rsidRDefault="00FF360B" w:rsidP="0040102B">
            <w:pPr>
              <w:pStyle w:val="PITableText"/>
              <w:tabs>
                <w:tab w:val="left" w:pos="426"/>
              </w:tabs>
            </w:pPr>
            <w:r>
              <w:tab/>
              <w:t>Black</w:t>
            </w:r>
          </w:p>
          <w:p w:rsidR="00FF360B" w:rsidRDefault="00FF360B" w:rsidP="0040102B">
            <w:pPr>
              <w:pStyle w:val="PITableText"/>
              <w:tabs>
                <w:tab w:val="left" w:pos="426"/>
              </w:tabs>
            </w:pPr>
            <w:r>
              <w:tab/>
              <w:t>Asian</w:t>
            </w:r>
          </w:p>
          <w:p w:rsidR="00FF360B" w:rsidRDefault="00FF360B" w:rsidP="0040102B">
            <w:pPr>
              <w:pStyle w:val="PITableText"/>
              <w:tabs>
                <w:tab w:val="left" w:pos="426"/>
              </w:tabs>
            </w:pPr>
            <w:r>
              <w:tab/>
              <w:t>Other</w:t>
            </w:r>
          </w:p>
        </w:tc>
        <w:tc>
          <w:tcPr>
            <w:tcW w:w="1686" w:type="dxa"/>
          </w:tcPr>
          <w:p w:rsidR="00FF360B" w:rsidRPr="00401890" w:rsidRDefault="00FF360B" w:rsidP="0040102B">
            <w:pPr>
              <w:pStyle w:val="PITableText"/>
              <w:jc w:val="center"/>
            </w:pPr>
          </w:p>
          <w:p w:rsidR="00FF360B" w:rsidRPr="00401890" w:rsidRDefault="00FF360B" w:rsidP="0040102B">
            <w:pPr>
              <w:pStyle w:val="PITableText"/>
              <w:jc w:val="center"/>
            </w:pPr>
            <w:r w:rsidRPr="00401890">
              <w:t>95 (64)</w:t>
            </w:r>
          </w:p>
          <w:p w:rsidR="00FF360B" w:rsidRPr="00401890" w:rsidRDefault="00FF360B" w:rsidP="0040102B">
            <w:pPr>
              <w:pStyle w:val="PITableText"/>
              <w:jc w:val="center"/>
            </w:pPr>
            <w:r w:rsidRPr="00401890">
              <w:t>5 (3)</w:t>
            </w:r>
          </w:p>
          <w:p w:rsidR="00FF360B" w:rsidRPr="00401890" w:rsidRDefault="00FF360B" w:rsidP="0040102B">
            <w:pPr>
              <w:pStyle w:val="PITableText"/>
              <w:jc w:val="center"/>
            </w:pPr>
            <w:r w:rsidRPr="00401890">
              <w:t>41 (28)</w:t>
            </w:r>
          </w:p>
          <w:p w:rsidR="00FF360B" w:rsidRPr="00401890" w:rsidRDefault="00FF360B" w:rsidP="0040102B">
            <w:pPr>
              <w:pStyle w:val="PITableText"/>
              <w:jc w:val="center"/>
            </w:pPr>
            <w:r w:rsidRPr="00401890">
              <w:t>8 (5)</w:t>
            </w:r>
          </w:p>
        </w:tc>
        <w:tc>
          <w:tcPr>
            <w:tcW w:w="1559" w:type="dxa"/>
          </w:tcPr>
          <w:p w:rsidR="00FF360B" w:rsidRDefault="00FF360B" w:rsidP="0040102B">
            <w:pPr>
              <w:pStyle w:val="PITableText"/>
              <w:jc w:val="center"/>
            </w:pPr>
          </w:p>
          <w:p w:rsidR="00FF360B" w:rsidRDefault="00FF360B" w:rsidP="0040102B">
            <w:pPr>
              <w:pStyle w:val="PITableText"/>
              <w:jc w:val="center"/>
            </w:pPr>
            <w:r>
              <w:t>152 (58)</w:t>
            </w:r>
          </w:p>
          <w:p w:rsidR="00FF360B" w:rsidRDefault="00FF360B" w:rsidP="0040102B">
            <w:pPr>
              <w:pStyle w:val="PITableText"/>
              <w:jc w:val="center"/>
            </w:pPr>
            <w:r>
              <w:t>8 (3)</w:t>
            </w:r>
          </w:p>
          <w:p w:rsidR="00FF360B" w:rsidRDefault="00FF360B" w:rsidP="0040102B">
            <w:pPr>
              <w:pStyle w:val="PITableText"/>
              <w:jc w:val="center"/>
            </w:pPr>
            <w:r>
              <w:t>96 (37)</w:t>
            </w:r>
          </w:p>
          <w:p w:rsidR="00FF360B" w:rsidDel="002C18B4" w:rsidRDefault="00FF360B" w:rsidP="0040102B">
            <w:pPr>
              <w:pStyle w:val="Paragraph"/>
              <w:spacing w:after="0"/>
              <w:jc w:val="center"/>
            </w:pPr>
            <w:r>
              <w:t>5 (2)</w:t>
            </w:r>
          </w:p>
        </w:tc>
      </w:tr>
      <w:tr w:rsidR="00FF360B" w:rsidTr="0040102B">
        <w:trPr>
          <w:trHeight w:val="1113"/>
        </w:trPr>
        <w:tc>
          <w:tcPr>
            <w:tcW w:w="4943" w:type="dxa"/>
          </w:tcPr>
          <w:p w:rsidR="00FF360B" w:rsidRDefault="00FF360B" w:rsidP="0040102B">
            <w:pPr>
              <w:pStyle w:val="PITableText"/>
              <w:keepNext/>
              <w:tabs>
                <w:tab w:val="left" w:pos="426"/>
              </w:tabs>
            </w:pPr>
            <w:r>
              <w:t xml:space="preserve">Smoking </w:t>
            </w:r>
            <w:r w:rsidR="0040102B">
              <w:t>S</w:t>
            </w:r>
            <w:r>
              <w:t>tatus, n (%)</w:t>
            </w:r>
            <w:r w:rsidRPr="000F3025">
              <w:rPr>
                <w:vertAlign w:val="superscript"/>
              </w:rPr>
              <w:t>a</w:t>
            </w:r>
          </w:p>
          <w:p w:rsidR="00FF360B" w:rsidRDefault="00FF360B" w:rsidP="0040102B">
            <w:pPr>
              <w:pStyle w:val="PITableText"/>
              <w:tabs>
                <w:tab w:val="left" w:pos="426"/>
              </w:tabs>
            </w:pPr>
            <w:r>
              <w:tab/>
              <w:t>Never smoked</w:t>
            </w:r>
          </w:p>
          <w:p w:rsidR="00FF360B" w:rsidRDefault="00FF360B" w:rsidP="0040102B">
            <w:pPr>
              <w:pStyle w:val="PITableText"/>
              <w:tabs>
                <w:tab w:val="left" w:pos="426"/>
              </w:tabs>
            </w:pPr>
            <w:r>
              <w:tab/>
              <w:t>Former smoker</w:t>
            </w:r>
          </w:p>
          <w:p w:rsidR="00FF360B" w:rsidRDefault="00FF360B" w:rsidP="0040102B">
            <w:pPr>
              <w:pStyle w:val="PITableText"/>
              <w:tabs>
                <w:tab w:val="left" w:pos="426"/>
              </w:tabs>
            </w:pPr>
            <w:r>
              <w:tab/>
              <w:t>Current smoker</w:t>
            </w:r>
          </w:p>
        </w:tc>
        <w:tc>
          <w:tcPr>
            <w:tcW w:w="1686" w:type="dxa"/>
          </w:tcPr>
          <w:p w:rsidR="00FF360B" w:rsidRPr="00401890" w:rsidRDefault="00FF360B" w:rsidP="0040102B">
            <w:pPr>
              <w:pStyle w:val="PITableText"/>
              <w:jc w:val="center"/>
            </w:pPr>
          </w:p>
          <w:p w:rsidR="00FF360B" w:rsidRPr="00401890" w:rsidRDefault="00FF360B" w:rsidP="0040102B">
            <w:pPr>
              <w:pStyle w:val="PITableText"/>
              <w:jc w:val="center"/>
            </w:pPr>
            <w:r w:rsidRPr="00401890">
              <w:t>106 (71)</w:t>
            </w:r>
          </w:p>
          <w:p w:rsidR="00FF360B" w:rsidRPr="00401890" w:rsidRDefault="00FF360B" w:rsidP="0040102B">
            <w:pPr>
              <w:pStyle w:val="PITableText"/>
              <w:jc w:val="center"/>
            </w:pPr>
            <w:r w:rsidRPr="00401890">
              <w:t>42 (28)</w:t>
            </w:r>
          </w:p>
          <w:p w:rsidR="00FF360B" w:rsidRPr="00401890" w:rsidRDefault="00FF360B" w:rsidP="0040102B">
            <w:pPr>
              <w:pStyle w:val="PITableText"/>
              <w:jc w:val="center"/>
            </w:pPr>
            <w:r w:rsidRPr="00401890">
              <w:t>1 (1)</w:t>
            </w:r>
          </w:p>
        </w:tc>
        <w:tc>
          <w:tcPr>
            <w:tcW w:w="1559" w:type="dxa"/>
          </w:tcPr>
          <w:p w:rsidR="00FF360B" w:rsidRDefault="00FF360B" w:rsidP="0040102B">
            <w:pPr>
              <w:pStyle w:val="PITableText"/>
              <w:jc w:val="center"/>
            </w:pPr>
          </w:p>
          <w:p w:rsidR="00FF360B" w:rsidRDefault="00FF360B" w:rsidP="0040102B">
            <w:pPr>
              <w:pStyle w:val="PITableText"/>
              <w:jc w:val="center"/>
            </w:pPr>
            <w:r>
              <w:t>176 (67)</w:t>
            </w:r>
          </w:p>
          <w:p w:rsidR="00FF360B" w:rsidRDefault="00FF360B" w:rsidP="0040102B">
            <w:pPr>
              <w:pStyle w:val="PITableText"/>
              <w:jc w:val="center"/>
            </w:pPr>
            <w:r>
              <w:t>73 (28)</w:t>
            </w:r>
          </w:p>
          <w:p w:rsidR="00FF360B" w:rsidDel="002C18B4" w:rsidRDefault="00FF360B" w:rsidP="0040102B">
            <w:pPr>
              <w:pStyle w:val="Paragraph"/>
              <w:spacing w:after="0"/>
              <w:jc w:val="center"/>
            </w:pPr>
            <w:r>
              <w:t>12 (5)</w:t>
            </w:r>
          </w:p>
        </w:tc>
      </w:tr>
      <w:tr w:rsidR="00FF360B" w:rsidTr="0040102B">
        <w:trPr>
          <w:trHeight w:val="834"/>
        </w:trPr>
        <w:tc>
          <w:tcPr>
            <w:tcW w:w="4943" w:type="dxa"/>
          </w:tcPr>
          <w:p w:rsidR="00FF360B" w:rsidRPr="0033736C" w:rsidRDefault="00FF360B" w:rsidP="0040102B">
            <w:pPr>
              <w:pStyle w:val="PITableText"/>
              <w:keepNext/>
              <w:tabs>
                <w:tab w:val="left" w:pos="426"/>
              </w:tabs>
            </w:pPr>
            <w:r w:rsidRPr="0033736C">
              <w:t>Disease Stage</w:t>
            </w:r>
            <w:r w:rsidR="00C53128">
              <w:t>, n (%)</w:t>
            </w:r>
          </w:p>
          <w:p w:rsidR="00FF360B" w:rsidRPr="0033736C" w:rsidRDefault="00FF360B" w:rsidP="0040102B">
            <w:pPr>
              <w:pStyle w:val="PITableText"/>
              <w:tabs>
                <w:tab w:val="left" w:pos="426"/>
              </w:tabs>
            </w:pPr>
            <w:r w:rsidRPr="0033736C">
              <w:tab/>
              <w:t>Locally advanced</w:t>
            </w:r>
          </w:p>
          <w:p w:rsidR="00FF360B" w:rsidRPr="0033736C" w:rsidRDefault="00FF360B" w:rsidP="0040102B">
            <w:pPr>
              <w:pStyle w:val="PITableText"/>
              <w:tabs>
                <w:tab w:val="left" w:pos="426"/>
              </w:tabs>
            </w:pPr>
            <w:r w:rsidRPr="0033736C">
              <w:tab/>
              <w:t>Metastatic</w:t>
            </w:r>
          </w:p>
        </w:tc>
        <w:tc>
          <w:tcPr>
            <w:tcW w:w="1686" w:type="dxa"/>
          </w:tcPr>
          <w:p w:rsidR="00FF360B" w:rsidRPr="00DB094B" w:rsidRDefault="00FF360B" w:rsidP="0040102B">
            <w:pPr>
              <w:pStyle w:val="PITableText"/>
              <w:jc w:val="center"/>
            </w:pPr>
          </w:p>
          <w:p w:rsidR="00FF360B" w:rsidRPr="00DB094B" w:rsidRDefault="00FF360B" w:rsidP="0040102B">
            <w:pPr>
              <w:pStyle w:val="PITableText"/>
              <w:jc w:val="center"/>
              <w:rPr>
                <w:vertAlign w:val="superscript"/>
              </w:rPr>
            </w:pPr>
            <w:r w:rsidRPr="00DB094B">
              <w:t>9 (6)</w:t>
            </w:r>
          </w:p>
          <w:p w:rsidR="00FF360B" w:rsidRPr="00DB094B" w:rsidRDefault="00FF360B" w:rsidP="0040102B">
            <w:pPr>
              <w:pStyle w:val="PITableText"/>
              <w:jc w:val="center"/>
              <w:rPr>
                <w:vertAlign w:val="superscript"/>
              </w:rPr>
            </w:pPr>
            <w:r w:rsidRPr="00DB094B">
              <w:t>140 (96)</w:t>
            </w:r>
          </w:p>
        </w:tc>
        <w:tc>
          <w:tcPr>
            <w:tcW w:w="1559" w:type="dxa"/>
          </w:tcPr>
          <w:p w:rsidR="00FF360B" w:rsidRDefault="00FF360B" w:rsidP="0040102B">
            <w:pPr>
              <w:pStyle w:val="PITableText"/>
              <w:jc w:val="center"/>
            </w:pPr>
          </w:p>
          <w:p w:rsidR="00FF360B" w:rsidRDefault="00FF360B" w:rsidP="0040102B">
            <w:pPr>
              <w:pStyle w:val="PITableText"/>
              <w:jc w:val="center"/>
            </w:pPr>
            <w:r>
              <w:t>21 (8)</w:t>
            </w:r>
          </w:p>
          <w:p w:rsidR="00FF360B" w:rsidDel="002C18B4" w:rsidRDefault="00FF360B" w:rsidP="0040102B">
            <w:pPr>
              <w:pStyle w:val="Paragraph"/>
              <w:spacing w:after="0"/>
              <w:jc w:val="center"/>
            </w:pPr>
            <w:r>
              <w:t>240 (92)</w:t>
            </w:r>
          </w:p>
        </w:tc>
      </w:tr>
      <w:tr w:rsidR="00FF360B" w:rsidTr="0040102B">
        <w:trPr>
          <w:trHeight w:val="1657"/>
        </w:trPr>
        <w:tc>
          <w:tcPr>
            <w:tcW w:w="4943" w:type="dxa"/>
          </w:tcPr>
          <w:p w:rsidR="00FF360B" w:rsidRPr="00CD17EC" w:rsidRDefault="00FF360B" w:rsidP="0040102B">
            <w:pPr>
              <w:pStyle w:val="PITableText"/>
              <w:keepNext/>
              <w:tabs>
                <w:tab w:val="left" w:pos="426"/>
              </w:tabs>
              <w:rPr>
                <w:lang w:val="it-IT"/>
              </w:rPr>
            </w:pPr>
            <w:r w:rsidRPr="00CD17EC">
              <w:rPr>
                <w:lang w:val="it-IT"/>
              </w:rPr>
              <w:t xml:space="preserve">Histological </w:t>
            </w:r>
            <w:r w:rsidR="0040102B">
              <w:rPr>
                <w:lang w:val="it-IT"/>
              </w:rPr>
              <w:t>C</w:t>
            </w:r>
            <w:r w:rsidRPr="00CD17EC">
              <w:rPr>
                <w:lang w:val="it-IT"/>
              </w:rPr>
              <w:t>lassification</w:t>
            </w:r>
            <w:r w:rsidR="00C53128">
              <w:t>, n (%)</w:t>
            </w:r>
          </w:p>
          <w:p w:rsidR="00FF360B" w:rsidRPr="00CD17EC" w:rsidRDefault="00FF360B" w:rsidP="0040102B">
            <w:pPr>
              <w:pStyle w:val="PITableText"/>
              <w:tabs>
                <w:tab w:val="left" w:pos="426"/>
              </w:tabs>
              <w:rPr>
                <w:lang w:val="it-IT"/>
              </w:rPr>
            </w:pPr>
            <w:r w:rsidRPr="00CD17EC">
              <w:rPr>
                <w:lang w:val="it-IT"/>
              </w:rPr>
              <w:tab/>
              <w:t>Adenocarcinoma</w:t>
            </w:r>
          </w:p>
          <w:p w:rsidR="00FF360B" w:rsidRPr="00CD17EC" w:rsidRDefault="00FF360B" w:rsidP="0040102B">
            <w:pPr>
              <w:pStyle w:val="PITableText"/>
              <w:tabs>
                <w:tab w:val="left" w:pos="426"/>
              </w:tabs>
              <w:rPr>
                <w:lang w:val="it-IT"/>
              </w:rPr>
            </w:pPr>
            <w:r w:rsidRPr="00CD17EC">
              <w:rPr>
                <w:lang w:val="it-IT"/>
              </w:rPr>
              <w:tab/>
              <w:t>Large cell carcinoma</w:t>
            </w:r>
          </w:p>
          <w:p w:rsidR="00FF360B" w:rsidRDefault="00FF360B" w:rsidP="0040102B">
            <w:pPr>
              <w:pStyle w:val="PITableText"/>
              <w:tabs>
                <w:tab w:val="left" w:pos="426"/>
              </w:tabs>
            </w:pPr>
            <w:r w:rsidRPr="00CD17EC">
              <w:rPr>
                <w:lang w:val="it-IT"/>
              </w:rPr>
              <w:tab/>
            </w:r>
            <w:r>
              <w:t>Squamous cell carcinoma</w:t>
            </w:r>
          </w:p>
          <w:p w:rsidR="00FF360B" w:rsidRDefault="00FF360B" w:rsidP="0040102B">
            <w:pPr>
              <w:pStyle w:val="PITableText"/>
              <w:tabs>
                <w:tab w:val="left" w:pos="426"/>
              </w:tabs>
            </w:pPr>
            <w:r>
              <w:tab/>
              <w:t>Adenosquamous carcinoma</w:t>
            </w:r>
          </w:p>
          <w:p w:rsidR="00FF360B" w:rsidRDefault="00FF360B" w:rsidP="0040102B">
            <w:pPr>
              <w:pStyle w:val="PITableText"/>
              <w:tabs>
                <w:tab w:val="left" w:pos="426"/>
              </w:tabs>
            </w:pPr>
            <w:r>
              <w:tab/>
              <w:t>Other</w:t>
            </w:r>
          </w:p>
        </w:tc>
        <w:tc>
          <w:tcPr>
            <w:tcW w:w="1686" w:type="dxa"/>
          </w:tcPr>
          <w:p w:rsidR="00FF360B" w:rsidRPr="00DB094B" w:rsidRDefault="00FF360B" w:rsidP="0040102B">
            <w:pPr>
              <w:pStyle w:val="PITableText"/>
              <w:jc w:val="center"/>
            </w:pPr>
          </w:p>
          <w:p w:rsidR="00FF360B" w:rsidRPr="00DB094B" w:rsidRDefault="00FF360B" w:rsidP="0040102B">
            <w:pPr>
              <w:pStyle w:val="PITableText"/>
              <w:jc w:val="center"/>
            </w:pPr>
            <w:r w:rsidRPr="00DB094B">
              <w:t>144 (97)</w:t>
            </w:r>
          </w:p>
          <w:p w:rsidR="00FF360B" w:rsidRPr="00DB094B" w:rsidRDefault="00FF360B" w:rsidP="0040102B">
            <w:pPr>
              <w:pStyle w:val="PITableText"/>
              <w:jc w:val="center"/>
            </w:pPr>
            <w:r w:rsidRPr="00DB094B">
              <w:t>1 (1)</w:t>
            </w:r>
          </w:p>
          <w:p w:rsidR="00FF360B" w:rsidRPr="00DB094B" w:rsidRDefault="00FF360B" w:rsidP="0040102B">
            <w:pPr>
              <w:pStyle w:val="PITableText"/>
              <w:jc w:val="center"/>
            </w:pPr>
            <w:r w:rsidRPr="00DB094B">
              <w:t>2 (1)</w:t>
            </w:r>
          </w:p>
          <w:p w:rsidR="00FF360B" w:rsidRPr="00DB094B" w:rsidRDefault="00FF360B" w:rsidP="0040102B">
            <w:pPr>
              <w:pStyle w:val="PITableText"/>
              <w:jc w:val="center"/>
            </w:pPr>
            <w:r w:rsidRPr="00DB094B">
              <w:t>0 (0)</w:t>
            </w:r>
          </w:p>
          <w:p w:rsidR="00FF360B" w:rsidRPr="00DB094B" w:rsidRDefault="00FF360B" w:rsidP="0040102B">
            <w:pPr>
              <w:pStyle w:val="PITableText"/>
              <w:jc w:val="center"/>
            </w:pPr>
            <w:r w:rsidRPr="00DB094B">
              <w:t>2 (1)</w:t>
            </w:r>
          </w:p>
        </w:tc>
        <w:tc>
          <w:tcPr>
            <w:tcW w:w="1559" w:type="dxa"/>
          </w:tcPr>
          <w:p w:rsidR="00FF360B" w:rsidRDefault="00FF360B" w:rsidP="0040102B">
            <w:pPr>
              <w:pStyle w:val="PITableText"/>
              <w:jc w:val="center"/>
            </w:pPr>
          </w:p>
          <w:p w:rsidR="00FF360B" w:rsidRDefault="00FF360B" w:rsidP="0040102B">
            <w:pPr>
              <w:pStyle w:val="PITableText"/>
              <w:jc w:val="center"/>
            </w:pPr>
            <w:r>
              <w:t>242 (93)</w:t>
            </w:r>
          </w:p>
          <w:p w:rsidR="00FF360B" w:rsidRDefault="00FF360B" w:rsidP="0040102B">
            <w:pPr>
              <w:pStyle w:val="PITableText"/>
              <w:jc w:val="center"/>
            </w:pPr>
            <w:r>
              <w:t>4 (2)</w:t>
            </w:r>
          </w:p>
          <w:p w:rsidR="00FF360B" w:rsidRDefault="00FF360B" w:rsidP="0040102B">
            <w:pPr>
              <w:pStyle w:val="PITableText"/>
              <w:jc w:val="center"/>
            </w:pPr>
            <w:r>
              <w:t>3 (1)</w:t>
            </w:r>
          </w:p>
          <w:p w:rsidR="00FF360B" w:rsidRDefault="00FF360B" w:rsidP="0040102B">
            <w:pPr>
              <w:pStyle w:val="PITableText"/>
              <w:jc w:val="center"/>
            </w:pPr>
            <w:r>
              <w:t>3 (1)</w:t>
            </w:r>
          </w:p>
          <w:p w:rsidR="00FF360B" w:rsidDel="002C18B4" w:rsidRDefault="00FF360B" w:rsidP="0040102B">
            <w:pPr>
              <w:pStyle w:val="Paragraph"/>
              <w:spacing w:after="0"/>
              <w:jc w:val="center"/>
            </w:pPr>
            <w:r>
              <w:t>9 (3)</w:t>
            </w:r>
          </w:p>
        </w:tc>
      </w:tr>
      <w:tr w:rsidR="00FF360B" w:rsidTr="0040102B">
        <w:trPr>
          <w:trHeight w:val="728"/>
        </w:trPr>
        <w:tc>
          <w:tcPr>
            <w:tcW w:w="4943" w:type="dxa"/>
          </w:tcPr>
          <w:p w:rsidR="00FF360B" w:rsidRPr="000F3025" w:rsidRDefault="00FF360B" w:rsidP="0040102B">
            <w:pPr>
              <w:pStyle w:val="PITableText"/>
              <w:tabs>
                <w:tab w:val="left" w:pos="426"/>
              </w:tabs>
            </w:pPr>
            <w:r w:rsidRPr="000F3025">
              <w:t xml:space="preserve">ECOG PS at </w:t>
            </w:r>
            <w:r w:rsidR="0040102B">
              <w:t>B</w:t>
            </w:r>
            <w:r w:rsidRPr="000F3025">
              <w:t>aseline, n (%)</w:t>
            </w:r>
          </w:p>
          <w:p w:rsidR="00FF360B" w:rsidRPr="000F3025" w:rsidRDefault="00FF360B" w:rsidP="0040102B">
            <w:pPr>
              <w:pStyle w:val="PITableText"/>
              <w:tabs>
                <w:tab w:val="left" w:pos="426"/>
              </w:tabs>
            </w:pPr>
            <w:r w:rsidRPr="000F3025">
              <w:tab/>
              <w:t>0</w:t>
            </w:r>
          </w:p>
          <w:p w:rsidR="00FF360B" w:rsidRPr="000F3025" w:rsidRDefault="00FF360B" w:rsidP="0040102B">
            <w:pPr>
              <w:pStyle w:val="PITableText"/>
              <w:tabs>
                <w:tab w:val="left" w:pos="426"/>
              </w:tabs>
            </w:pPr>
            <w:r w:rsidRPr="000F3025">
              <w:tab/>
              <w:t>1</w:t>
            </w:r>
          </w:p>
          <w:p w:rsidR="00FF360B" w:rsidRPr="000F3025" w:rsidRDefault="00FF360B" w:rsidP="0040102B">
            <w:pPr>
              <w:pStyle w:val="PITableText"/>
              <w:tabs>
                <w:tab w:val="left" w:pos="426"/>
              </w:tabs>
              <w:rPr>
                <w:highlight w:val="yellow"/>
              </w:rPr>
            </w:pPr>
            <w:r w:rsidRPr="000F3025">
              <w:tab/>
              <w:t>2 – 3</w:t>
            </w:r>
            <w:r>
              <w:rPr>
                <w:vertAlign w:val="superscript"/>
              </w:rPr>
              <w:t>b</w:t>
            </w:r>
          </w:p>
        </w:tc>
        <w:tc>
          <w:tcPr>
            <w:tcW w:w="1686" w:type="dxa"/>
          </w:tcPr>
          <w:p w:rsidR="00FF360B" w:rsidRPr="0034791B" w:rsidRDefault="00FF360B" w:rsidP="0040102B">
            <w:pPr>
              <w:pStyle w:val="PITableText"/>
              <w:jc w:val="center"/>
              <w:rPr>
                <w:highlight w:val="yellow"/>
              </w:rPr>
            </w:pPr>
          </w:p>
          <w:p w:rsidR="00FF360B" w:rsidRPr="000F3025" w:rsidRDefault="00FF360B" w:rsidP="0040102B">
            <w:pPr>
              <w:pStyle w:val="PITableText"/>
              <w:jc w:val="center"/>
            </w:pPr>
            <w:r w:rsidRPr="000F3025">
              <w:t>56 (38)</w:t>
            </w:r>
          </w:p>
          <w:p w:rsidR="00FF360B" w:rsidRPr="000F3025" w:rsidRDefault="00FF360B" w:rsidP="0040102B">
            <w:pPr>
              <w:pStyle w:val="PITableText"/>
              <w:jc w:val="center"/>
            </w:pPr>
            <w:r w:rsidRPr="000F3025">
              <w:t>75 (50)</w:t>
            </w:r>
          </w:p>
          <w:p w:rsidR="00FF360B" w:rsidRPr="0034791B" w:rsidRDefault="00FF360B" w:rsidP="0040102B">
            <w:pPr>
              <w:pStyle w:val="PITableText"/>
              <w:jc w:val="center"/>
              <w:rPr>
                <w:highlight w:val="yellow"/>
              </w:rPr>
            </w:pPr>
            <w:r>
              <w:t>18</w:t>
            </w:r>
            <w:r w:rsidRPr="00A32391">
              <w:t xml:space="preserve"> (</w:t>
            </w:r>
            <w:r>
              <w:t>12</w:t>
            </w:r>
            <w:r w:rsidRPr="00A32391">
              <w:t>)</w:t>
            </w:r>
            <w:r w:rsidDel="0033765E">
              <w:t xml:space="preserve"> </w:t>
            </w:r>
          </w:p>
        </w:tc>
        <w:tc>
          <w:tcPr>
            <w:tcW w:w="1559" w:type="dxa"/>
          </w:tcPr>
          <w:p w:rsidR="00FF360B" w:rsidRDefault="00FF360B" w:rsidP="0040102B">
            <w:pPr>
              <w:pStyle w:val="PITableText"/>
              <w:jc w:val="center"/>
            </w:pPr>
          </w:p>
          <w:p w:rsidR="00FF360B" w:rsidRDefault="00FF360B" w:rsidP="0040102B">
            <w:pPr>
              <w:pStyle w:val="PITableText"/>
              <w:jc w:val="center"/>
            </w:pPr>
            <w:r>
              <w:t>67 (26)</w:t>
            </w:r>
          </w:p>
          <w:p w:rsidR="00FF360B" w:rsidRDefault="00FF360B" w:rsidP="0040102B">
            <w:pPr>
              <w:pStyle w:val="PITableText"/>
              <w:jc w:val="center"/>
            </w:pPr>
            <w:r>
              <w:t>147 (56)</w:t>
            </w:r>
          </w:p>
          <w:p w:rsidR="00FF360B" w:rsidDel="002C18B4" w:rsidRDefault="00FF360B" w:rsidP="0040102B">
            <w:pPr>
              <w:pStyle w:val="Paragraph"/>
              <w:spacing w:after="0"/>
              <w:jc w:val="center"/>
            </w:pPr>
            <w:r>
              <w:t>47 (18)</w:t>
            </w:r>
          </w:p>
        </w:tc>
      </w:tr>
      <w:tr w:rsidR="00FF360B" w:rsidTr="0040102B">
        <w:trPr>
          <w:trHeight w:val="1100"/>
        </w:trPr>
        <w:tc>
          <w:tcPr>
            <w:tcW w:w="4943" w:type="dxa"/>
          </w:tcPr>
          <w:p w:rsidR="00FF360B" w:rsidRDefault="00FF360B" w:rsidP="0040102B">
            <w:pPr>
              <w:pStyle w:val="PITableText"/>
              <w:tabs>
                <w:tab w:val="left" w:pos="426"/>
              </w:tabs>
            </w:pPr>
            <w:r>
              <w:t>Prior Radiation Therapy</w:t>
            </w:r>
          </w:p>
          <w:p w:rsidR="00FF360B" w:rsidRDefault="00FF360B" w:rsidP="0040102B">
            <w:pPr>
              <w:pStyle w:val="PITableText"/>
              <w:tabs>
                <w:tab w:val="left" w:pos="426"/>
              </w:tabs>
            </w:pPr>
            <w:r>
              <w:tab/>
              <w:t>No</w:t>
            </w:r>
          </w:p>
          <w:p w:rsidR="00FF360B" w:rsidRDefault="00FF360B" w:rsidP="0040102B">
            <w:pPr>
              <w:pStyle w:val="PITableText"/>
              <w:tabs>
                <w:tab w:val="left" w:pos="426"/>
              </w:tabs>
            </w:pPr>
            <w:r>
              <w:tab/>
              <w:t>Yes</w:t>
            </w:r>
          </w:p>
          <w:p w:rsidR="00FF360B" w:rsidRDefault="00FF360B" w:rsidP="0040102B">
            <w:pPr>
              <w:pStyle w:val="PITableText"/>
              <w:tabs>
                <w:tab w:val="left" w:pos="426"/>
              </w:tabs>
            </w:pPr>
            <w:r>
              <w:tab/>
              <w:t>Not Reported</w:t>
            </w:r>
          </w:p>
        </w:tc>
        <w:tc>
          <w:tcPr>
            <w:tcW w:w="1686" w:type="dxa"/>
          </w:tcPr>
          <w:p w:rsidR="00FF360B" w:rsidRPr="00DB094B" w:rsidRDefault="00FF360B" w:rsidP="0040102B">
            <w:pPr>
              <w:pStyle w:val="PITableText"/>
              <w:jc w:val="center"/>
            </w:pPr>
          </w:p>
          <w:p w:rsidR="00FF360B" w:rsidRPr="00DB094B" w:rsidRDefault="00FF360B" w:rsidP="0040102B">
            <w:pPr>
              <w:pStyle w:val="PITableText"/>
              <w:jc w:val="center"/>
            </w:pPr>
            <w:r w:rsidRPr="00DB094B">
              <w:t>63 (42)</w:t>
            </w:r>
          </w:p>
          <w:p w:rsidR="00FF360B" w:rsidRPr="00DB094B" w:rsidRDefault="00FF360B" w:rsidP="0040102B">
            <w:pPr>
              <w:pStyle w:val="PITableText"/>
              <w:jc w:val="center"/>
            </w:pPr>
            <w:r w:rsidRPr="00DB094B">
              <w:t>86 (</w:t>
            </w:r>
            <w:r>
              <w:t>58</w:t>
            </w:r>
            <w:r w:rsidRPr="00DB094B">
              <w:t>)</w:t>
            </w:r>
          </w:p>
          <w:p w:rsidR="00FF360B" w:rsidRPr="00DB094B" w:rsidRDefault="00FF360B" w:rsidP="0040102B">
            <w:pPr>
              <w:pStyle w:val="PITableText"/>
              <w:jc w:val="center"/>
            </w:pPr>
            <w:r w:rsidRPr="00DB094B">
              <w:t>0 (0)</w:t>
            </w:r>
          </w:p>
        </w:tc>
        <w:tc>
          <w:tcPr>
            <w:tcW w:w="1559" w:type="dxa"/>
          </w:tcPr>
          <w:p w:rsidR="00FF360B" w:rsidRDefault="00FF360B" w:rsidP="0040102B">
            <w:pPr>
              <w:pStyle w:val="PITableText"/>
              <w:jc w:val="center"/>
            </w:pPr>
          </w:p>
          <w:p w:rsidR="00FF360B" w:rsidRDefault="00FF360B" w:rsidP="0040102B">
            <w:pPr>
              <w:pStyle w:val="PITableText"/>
              <w:jc w:val="center"/>
            </w:pPr>
            <w:r>
              <w:t>107 (41)</w:t>
            </w:r>
          </w:p>
          <w:p w:rsidR="00FF360B" w:rsidRDefault="00FF360B" w:rsidP="0040102B">
            <w:pPr>
              <w:pStyle w:val="PITableText"/>
              <w:jc w:val="center"/>
            </w:pPr>
            <w:r>
              <w:t>153 (59)</w:t>
            </w:r>
          </w:p>
          <w:p w:rsidR="00FF360B" w:rsidDel="002C18B4" w:rsidRDefault="00FF360B" w:rsidP="0040102B">
            <w:pPr>
              <w:pStyle w:val="Paragraph"/>
              <w:spacing w:after="0"/>
              <w:jc w:val="center"/>
            </w:pPr>
            <w:r>
              <w:t>1 (1)</w:t>
            </w:r>
          </w:p>
        </w:tc>
      </w:tr>
      <w:tr w:rsidR="00FF360B" w:rsidTr="0040102B">
        <w:trPr>
          <w:trHeight w:val="1703"/>
        </w:trPr>
        <w:tc>
          <w:tcPr>
            <w:tcW w:w="4943" w:type="dxa"/>
          </w:tcPr>
          <w:p w:rsidR="00FF360B" w:rsidRPr="00415FA5" w:rsidRDefault="00FF360B" w:rsidP="0040102B">
            <w:pPr>
              <w:pStyle w:val="PITableText"/>
              <w:keepNext/>
              <w:rPr>
                <w:rStyle w:val="TableText9"/>
                <w:sz w:val="24"/>
              </w:rPr>
            </w:pPr>
            <w:r w:rsidRPr="00415FA5">
              <w:rPr>
                <w:rStyle w:val="TableText9"/>
                <w:sz w:val="24"/>
              </w:rPr>
              <w:t>Prior Systemic Therapy for Advanced Disease</w:t>
            </w:r>
          </w:p>
          <w:p w:rsidR="00FF360B" w:rsidRPr="00415FA5" w:rsidRDefault="00FF360B" w:rsidP="0040102B">
            <w:pPr>
              <w:pStyle w:val="PITableText"/>
              <w:tabs>
                <w:tab w:val="left" w:pos="426"/>
              </w:tabs>
              <w:rPr>
                <w:rStyle w:val="TableText9"/>
                <w:sz w:val="24"/>
              </w:rPr>
            </w:pPr>
            <w:r w:rsidRPr="00415FA5">
              <w:rPr>
                <w:rStyle w:val="TableText9"/>
                <w:sz w:val="24"/>
              </w:rPr>
              <w:t xml:space="preserve">   Number of Advanced/Metastatic Regimens</w:t>
            </w:r>
          </w:p>
          <w:p w:rsidR="00FF360B" w:rsidRPr="0034791B" w:rsidRDefault="00FF360B" w:rsidP="0040102B">
            <w:pPr>
              <w:pStyle w:val="PITableText"/>
              <w:tabs>
                <w:tab w:val="left" w:pos="426"/>
              </w:tabs>
              <w:rPr>
                <w:rStyle w:val="TableText9"/>
                <w:sz w:val="24"/>
              </w:rPr>
            </w:pPr>
            <w:r w:rsidRPr="00415FA5">
              <w:rPr>
                <w:rStyle w:val="TableText9"/>
                <w:sz w:val="24"/>
              </w:rPr>
              <w:tab/>
            </w:r>
            <w:r w:rsidRPr="0034791B">
              <w:rPr>
                <w:rStyle w:val="TableText9"/>
                <w:sz w:val="24"/>
              </w:rPr>
              <w:t>0</w:t>
            </w:r>
          </w:p>
          <w:p w:rsidR="00FF360B" w:rsidRPr="0034791B" w:rsidRDefault="00FF360B" w:rsidP="0040102B">
            <w:pPr>
              <w:pStyle w:val="PITableText"/>
              <w:tabs>
                <w:tab w:val="left" w:pos="426"/>
              </w:tabs>
              <w:rPr>
                <w:rStyle w:val="TableText9"/>
                <w:sz w:val="24"/>
              </w:rPr>
            </w:pPr>
            <w:r w:rsidRPr="0034791B">
              <w:rPr>
                <w:rStyle w:val="TableText9"/>
                <w:sz w:val="24"/>
              </w:rPr>
              <w:tab/>
              <w:t>1</w:t>
            </w:r>
          </w:p>
          <w:p w:rsidR="00FF360B" w:rsidRPr="0034791B" w:rsidRDefault="00FF360B" w:rsidP="0040102B">
            <w:pPr>
              <w:pStyle w:val="PITableText"/>
              <w:tabs>
                <w:tab w:val="left" w:pos="426"/>
              </w:tabs>
              <w:rPr>
                <w:rStyle w:val="TableText9"/>
                <w:sz w:val="24"/>
              </w:rPr>
            </w:pPr>
            <w:r w:rsidRPr="0034791B">
              <w:rPr>
                <w:rStyle w:val="TableText9"/>
                <w:sz w:val="24"/>
              </w:rPr>
              <w:tab/>
              <w:t>2</w:t>
            </w:r>
          </w:p>
          <w:p w:rsidR="00FF360B" w:rsidRPr="00E53B2B" w:rsidRDefault="00FF360B" w:rsidP="0040102B">
            <w:pPr>
              <w:pStyle w:val="PITableText"/>
              <w:tabs>
                <w:tab w:val="left" w:pos="426"/>
              </w:tabs>
              <w:spacing w:after="20"/>
              <w:rPr>
                <w:rStyle w:val="TableText9"/>
              </w:rPr>
            </w:pPr>
            <w:r w:rsidRPr="00415FA5">
              <w:rPr>
                <w:rStyle w:val="TableText9"/>
                <w:sz w:val="24"/>
              </w:rPr>
              <w:tab/>
            </w:r>
            <w:r w:rsidRPr="00415FA5">
              <w:rPr>
                <w:rStyle w:val="TableText9"/>
                <w:sz w:val="24"/>
                <w:u w:val="single"/>
              </w:rPr>
              <w:t>&gt;</w:t>
            </w:r>
            <w:r w:rsidRPr="00415FA5">
              <w:rPr>
                <w:rStyle w:val="TableText9"/>
                <w:sz w:val="24"/>
              </w:rPr>
              <w:t>3</w:t>
            </w:r>
          </w:p>
        </w:tc>
        <w:tc>
          <w:tcPr>
            <w:tcW w:w="1686" w:type="dxa"/>
          </w:tcPr>
          <w:p w:rsidR="00FF360B" w:rsidRPr="00DB094B" w:rsidRDefault="00FF360B" w:rsidP="0040102B">
            <w:pPr>
              <w:pStyle w:val="PITableText"/>
              <w:jc w:val="center"/>
              <w:rPr>
                <w:rStyle w:val="TableText9"/>
                <w:sz w:val="24"/>
              </w:rPr>
            </w:pPr>
          </w:p>
          <w:p w:rsidR="00FF360B" w:rsidRPr="00DB094B" w:rsidRDefault="00FF360B" w:rsidP="0040102B">
            <w:pPr>
              <w:pStyle w:val="PITableText"/>
              <w:jc w:val="center"/>
              <w:rPr>
                <w:rStyle w:val="TableText9"/>
                <w:sz w:val="24"/>
              </w:rPr>
            </w:pPr>
          </w:p>
          <w:p w:rsidR="00FF360B" w:rsidRPr="00DB094B" w:rsidRDefault="00FF360B" w:rsidP="0040102B">
            <w:pPr>
              <w:pStyle w:val="PITableText"/>
              <w:jc w:val="center"/>
              <w:rPr>
                <w:rStyle w:val="TableText9"/>
                <w:sz w:val="24"/>
              </w:rPr>
            </w:pPr>
            <w:r w:rsidRPr="00DB094B">
              <w:rPr>
                <w:rStyle w:val="TableText9"/>
                <w:sz w:val="24"/>
              </w:rPr>
              <w:t>24 (16)</w:t>
            </w:r>
          </w:p>
          <w:p w:rsidR="00FF360B" w:rsidRPr="00DB094B" w:rsidRDefault="00FF360B" w:rsidP="0040102B">
            <w:pPr>
              <w:pStyle w:val="PITableText"/>
              <w:jc w:val="center"/>
              <w:rPr>
                <w:rStyle w:val="TableText9"/>
                <w:sz w:val="24"/>
              </w:rPr>
            </w:pPr>
            <w:r w:rsidRPr="00DB094B">
              <w:rPr>
                <w:rStyle w:val="TableText9"/>
                <w:sz w:val="24"/>
              </w:rPr>
              <w:t>47 (32)</w:t>
            </w:r>
          </w:p>
          <w:p w:rsidR="00FF360B" w:rsidRPr="00DB094B" w:rsidRDefault="00FF360B" w:rsidP="0040102B">
            <w:pPr>
              <w:pStyle w:val="PITableText"/>
              <w:jc w:val="center"/>
              <w:rPr>
                <w:rStyle w:val="TableText9"/>
                <w:sz w:val="24"/>
              </w:rPr>
            </w:pPr>
            <w:r w:rsidRPr="00DB094B">
              <w:rPr>
                <w:rStyle w:val="TableText9"/>
                <w:sz w:val="24"/>
              </w:rPr>
              <w:t>31 (21)</w:t>
            </w:r>
          </w:p>
          <w:p w:rsidR="00FF360B" w:rsidRPr="00DB094B" w:rsidRDefault="00FF360B" w:rsidP="0040102B">
            <w:pPr>
              <w:pStyle w:val="PITableText"/>
              <w:jc w:val="center"/>
              <w:rPr>
                <w:rStyle w:val="TableText9"/>
                <w:sz w:val="24"/>
              </w:rPr>
            </w:pPr>
            <w:r w:rsidRPr="00DB094B">
              <w:rPr>
                <w:rStyle w:val="TableText9"/>
                <w:sz w:val="24"/>
              </w:rPr>
              <w:t>47 (32)</w:t>
            </w:r>
          </w:p>
        </w:tc>
        <w:tc>
          <w:tcPr>
            <w:tcW w:w="1559" w:type="dxa"/>
          </w:tcPr>
          <w:p w:rsidR="00FF360B" w:rsidRPr="00ED6724" w:rsidRDefault="00FF360B" w:rsidP="0040102B">
            <w:pPr>
              <w:pStyle w:val="PITableText"/>
              <w:jc w:val="center"/>
              <w:rPr>
                <w:rStyle w:val="TableText9"/>
                <w:sz w:val="24"/>
              </w:rPr>
            </w:pPr>
          </w:p>
          <w:p w:rsidR="00FF360B" w:rsidRPr="00ED6724" w:rsidRDefault="00FF360B" w:rsidP="0040102B">
            <w:pPr>
              <w:pStyle w:val="PITableText"/>
              <w:jc w:val="center"/>
              <w:rPr>
                <w:rStyle w:val="TableText9"/>
                <w:sz w:val="24"/>
              </w:rPr>
            </w:pPr>
          </w:p>
          <w:p w:rsidR="00FF360B" w:rsidRPr="00ED6724" w:rsidRDefault="00FF360B" w:rsidP="0040102B">
            <w:pPr>
              <w:pStyle w:val="PITableText"/>
              <w:jc w:val="center"/>
              <w:rPr>
                <w:rStyle w:val="TableText9"/>
                <w:sz w:val="24"/>
              </w:rPr>
            </w:pPr>
            <w:r w:rsidRPr="00ED6724">
              <w:rPr>
                <w:rStyle w:val="TableText9"/>
                <w:sz w:val="24"/>
              </w:rPr>
              <w:t>0</w:t>
            </w:r>
            <w:r>
              <w:rPr>
                <w:rStyle w:val="TableText9"/>
                <w:sz w:val="24"/>
              </w:rPr>
              <w:t xml:space="preserve"> (0)</w:t>
            </w:r>
          </w:p>
          <w:p w:rsidR="00FF360B" w:rsidRPr="00ED6724" w:rsidRDefault="00FF360B" w:rsidP="0040102B">
            <w:pPr>
              <w:pStyle w:val="PITableText"/>
              <w:jc w:val="center"/>
              <w:rPr>
                <w:rStyle w:val="TableText9"/>
                <w:sz w:val="24"/>
              </w:rPr>
            </w:pPr>
            <w:r>
              <w:rPr>
                <w:rStyle w:val="TableText9"/>
                <w:sz w:val="24"/>
              </w:rPr>
              <w:t>27</w:t>
            </w:r>
            <w:r w:rsidRPr="00ED6724">
              <w:rPr>
                <w:rStyle w:val="TableText9"/>
                <w:sz w:val="24"/>
              </w:rPr>
              <w:t xml:space="preserve"> (</w:t>
            </w:r>
            <w:r>
              <w:rPr>
                <w:rStyle w:val="TableText9"/>
                <w:sz w:val="24"/>
              </w:rPr>
              <w:t>10</w:t>
            </w:r>
            <w:r w:rsidRPr="00ED6724">
              <w:rPr>
                <w:rStyle w:val="TableText9"/>
                <w:sz w:val="24"/>
              </w:rPr>
              <w:t>)</w:t>
            </w:r>
          </w:p>
          <w:p w:rsidR="00FF360B" w:rsidRPr="00ED6724" w:rsidRDefault="00FF360B" w:rsidP="0040102B">
            <w:pPr>
              <w:pStyle w:val="PITableText"/>
              <w:jc w:val="center"/>
              <w:rPr>
                <w:rStyle w:val="TableText9"/>
                <w:sz w:val="24"/>
              </w:rPr>
            </w:pPr>
            <w:r>
              <w:rPr>
                <w:rStyle w:val="TableText9"/>
                <w:sz w:val="24"/>
              </w:rPr>
              <w:t>90</w:t>
            </w:r>
            <w:r w:rsidRPr="00ED6724">
              <w:rPr>
                <w:rStyle w:val="TableText9"/>
                <w:sz w:val="24"/>
              </w:rPr>
              <w:t xml:space="preserve"> (</w:t>
            </w:r>
            <w:r>
              <w:rPr>
                <w:rStyle w:val="TableText9"/>
                <w:sz w:val="24"/>
              </w:rPr>
              <w:t>35</w:t>
            </w:r>
            <w:r w:rsidRPr="00ED6724">
              <w:rPr>
                <w:rStyle w:val="TableText9"/>
                <w:sz w:val="24"/>
              </w:rPr>
              <w:t>)</w:t>
            </w:r>
          </w:p>
          <w:p w:rsidR="00FF360B" w:rsidDel="002C18B4" w:rsidRDefault="00FF360B" w:rsidP="0040102B">
            <w:pPr>
              <w:pStyle w:val="Paragraph"/>
              <w:spacing w:after="0"/>
              <w:jc w:val="center"/>
            </w:pPr>
            <w:r>
              <w:rPr>
                <w:rStyle w:val="TableText9"/>
                <w:sz w:val="24"/>
              </w:rPr>
              <w:t>144</w:t>
            </w:r>
            <w:r w:rsidRPr="00ED6724">
              <w:rPr>
                <w:rStyle w:val="TableText9"/>
                <w:sz w:val="24"/>
              </w:rPr>
              <w:t xml:space="preserve"> (</w:t>
            </w:r>
            <w:r>
              <w:rPr>
                <w:rStyle w:val="TableText9"/>
                <w:sz w:val="24"/>
              </w:rPr>
              <w:t>55</w:t>
            </w:r>
            <w:r w:rsidRPr="00ED6724">
              <w:rPr>
                <w:rStyle w:val="TableText9"/>
                <w:sz w:val="24"/>
              </w:rPr>
              <w:t>)</w:t>
            </w:r>
          </w:p>
        </w:tc>
      </w:tr>
    </w:tbl>
    <w:p w:rsidR="00FF360B" w:rsidRDefault="00FF360B" w:rsidP="00FF360B">
      <w:pPr>
        <w:pStyle w:val="PITableFootnote"/>
        <w:spacing w:after="0"/>
        <w:ind w:left="142" w:hanging="142"/>
        <w:rPr>
          <w:szCs w:val="20"/>
        </w:rPr>
      </w:pPr>
      <w:r w:rsidRPr="000F3025">
        <w:rPr>
          <w:vertAlign w:val="superscript"/>
        </w:rPr>
        <w:t>a</w:t>
      </w:r>
      <w:r w:rsidRPr="000F3025">
        <w:t xml:space="preserve"> </w:t>
      </w:r>
      <w:r>
        <w:tab/>
      </w:r>
      <w:r>
        <w:rPr>
          <w:szCs w:val="20"/>
        </w:rPr>
        <w:t>Smoking status was determined by investigator</w:t>
      </w:r>
    </w:p>
    <w:p w:rsidR="00FF360B" w:rsidRPr="003A4A12" w:rsidRDefault="00FF360B" w:rsidP="00FF360B">
      <w:pPr>
        <w:pStyle w:val="PITableFootnote"/>
        <w:ind w:left="142" w:hanging="142"/>
        <w:rPr>
          <w:szCs w:val="20"/>
        </w:rPr>
      </w:pPr>
      <w:r>
        <w:rPr>
          <w:vertAlign w:val="superscript"/>
        </w:rPr>
        <w:t>b</w:t>
      </w:r>
      <w:r w:rsidRPr="000F3025">
        <w:rPr>
          <w:szCs w:val="20"/>
        </w:rPr>
        <w:t xml:space="preserve"> </w:t>
      </w:r>
      <w:r>
        <w:rPr>
          <w:szCs w:val="20"/>
        </w:rPr>
        <w:tab/>
      </w:r>
      <w:r w:rsidRPr="000F3025">
        <w:rPr>
          <w:szCs w:val="20"/>
        </w:rPr>
        <w:t>Includes 1 patient with an ECOG PS of 1 at screening but was 3 at baseline</w:t>
      </w:r>
    </w:p>
    <w:p w:rsidR="008A46E8" w:rsidRDefault="008A46E8" w:rsidP="00096A09">
      <w:pPr>
        <w:pStyle w:val="PINormal"/>
        <w:keepLines/>
      </w:pPr>
      <w:r w:rsidRPr="00B30C3C">
        <w:t xml:space="preserve">In Study </w:t>
      </w:r>
      <w:r w:rsidR="009C6520" w:rsidRPr="009C6520">
        <w:t>1001</w:t>
      </w:r>
      <w:r w:rsidRPr="00B30C3C">
        <w:t xml:space="preserve">, patients with advanced NSCLC were required to have ALK-positive </w:t>
      </w:r>
      <w:r>
        <w:t>tumour</w:t>
      </w:r>
      <w:r w:rsidRPr="00B30C3C">
        <w:t xml:space="preserve">s prior to entering the clinical trial.  ALK-positive NSCLC was identified using a number </w:t>
      </w:r>
      <w:r>
        <w:t>of local clinical trial assays.</w:t>
      </w:r>
    </w:p>
    <w:p w:rsidR="008A46E8" w:rsidRPr="00B87623" w:rsidRDefault="008A46E8" w:rsidP="00096A09">
      <w:pPr>
        <w:pStyle w:val="PINormal"/>
        <w:keepLines/>
        <w:rPr>
          <w:color w:val="000000"/>
        </w:rPr>
      </w:pPr>
      <w:r w:rsidRPr="007A5EEE">
        <w:rPr>
          <w:color w:val="000000"/>
        </w:rPr>
        <w:lastRenderedPageBreak/>
        <w:t xml:space="preserve">One hundred </w:t>
      </w:r>
      <w:r w:rsidR="00DB094B" w:rsidRPr="007A5EEE">
        <w:rPr>
          <w:color w:val="000000"/>
        </w:rPr>
        <w:t xml:space="preserve">forty-nine </w:t>
      </w:r>
      <w:r w:rsidRPr="007A5EEE">
        <w:rPr>
          <w:color w:val="000000"/>
        </w:rPr>
        <w:t>patients with ALK-positive advanced NSCLC were enrolled into Study</w:t>
      </w:r>
      <w:r w:rsidR="00ED6724" w:rsidRPr="007A5EEE">
        <w:rPr>
          <w:color w:val="000000"/>
        </w:rPr>
        <w:t> </w:t>
      </w:r>
      <w:r w:rsidR="00821A7E">
        <w:rPr>
          <w:color w:val="000000"/>
        </w:rPr>
        <w:t>1001</w:t>
      </w:r>
      <w:r w:rsidRPr="007A5EEE">
        <w:rPr>
          <w:color w:val="000000"/>
        </w:rPr>
        <w:t xml:space="preserve"> at the time of data cutoff.  The medi</w:t>
      </w:r>
      <w:r w:rsidR="00ED6724" w:rsidRPr="007A5EEE">
        <w:rPr>
          <w:color w:val="000000"/>
        </w:rPr>
        <w:t xml:space="preserve">an duration of treatment was </w:t>
      </w:r>
      <w:r w:rsidR="007A5EEE" w:rsidRPr="007A5EEE">
        <w:rPr>
          <w:color w:val="000000"/>
        </w:rPr>
        <w:t>43</w:t>
      </w:r>
      <w:r w:rsidR="00ED6724" w:rsidRPr="007A5EEE">
        <w:rPr>
          <w:color w:val="000000"/>
        </w:rPr>
        <w:t> </w:t>
      </w:r>
      <w:r w:rsidRPr="007A5EEE">
        <w:rPr>
          <w:color w:val="000000"/>
        </w:rPr>
        <w:t xml:space="preserve">weeks.  There were </w:t>
      </w:r>
      <w:r w:rsidR="007A5EEE" w:rsidRPr="007A5EEE">
        <w:rPr>
          <w:color w:val="000000"/>
        </w:rPr>
        <w:t>3</w:t>
      </w:r>
      <w:r w:rsidRPr="007A5EEE">
        <w:rPr>
          <w:color w:val="000000"/>
        </w:rPr>
        <w:t xml:space="preserve"> complete responses and </w:t>
      </w:r>
      <w:r w:rsidR="007A5EEE" w:rsidRPr="007A5EEE">
        <w:rPr>
          <w:color w:val="000000"/>
        </w:rPr>
        <w:t>85</w:t>
      </w:r>
      <w:r w:rsidRPr="007A5EEE">
        <w:rPr>
          <w:color w:val="000000"/>
        </w:rPr>
        <w:t xml:space="preserve"> partial responses for an ORR of 6</w:t>
      </w:r>
      <w:r w:rsidR="007A5EEE" w:rsidRPr="007A5EEE">
        <w:rPr>
          <w:color w:val="000000"/>
        </w:rPr>
        <w:t>2</w:t>
      </w:r>
      <w:r w:rsidR="00ED6724" w:rsidRPr="007A5EEE">
        <w:rPr>
          <w:color w:val="000000"/>
        </w:rPr>
        <w:t xml:space="preserve">%.  </w:t>
      </w:r>
      <w:r w:rsidR="00CA5387" w:rsidRPr="007A5EEE">
        <w:rPr>
          <w:color w:val="000000"/>
        </w:rPr>
        <w:t xml:space="preserve">The median </w:t>
      </w:r>
      <w:r w:rsidR="004C0E53" w:rsidRPr="007A5EEE">
        <w:rPr>
          <w:color w:val="000000"/>
        </w:rPr>
        <w:t xml:space="preserve">response duration was </w:t>
      </w:r>
      <w:r w:rsidR="007A5EEE" w:rsidRPr="007A5EEE">
        <w:rPr>
          <w:color w:val="000000"/>
        </w:rPr>
        <w:t>49</w:t>
      </w:r>
      <w:r w:rsidR="004C0E53" w:rsidRPr="007A5EEE">
        <w:rPr>
          <w:color w:val="000000"/>
        </w:rPr>
        <w:t xml:space="preserve">.1 weeks.  </w:t>
      </w:r>
      <w:r w:rsidR="00ED6724" w:rsidRPr="00914C15">
        <w:rPr>
          <w:color w:val="000000"/>
        </w:rPr>
        <w:t>The</w:t>
      </w:r>
      <w:r w:rsidR="00520081" w:rsidRPr="00914C15">
        <w:rPr>
          <w:color w:val="000000"/>
        </w:rPr>
        <w:t>re</w:t>
      </w:r>
      <w:r w:rsidR="00ED6724" w:rsidRPr="00914C15">
        <w:rPr>
          <w:color w:val="000000"/>
        </w:rPr>
        <w:t xml:space="preserve"> were an additional </w:t>
      </w:r>
      <w:r w:rsidR="00914C15">
        <w:rPr>
          <w:color w:val="000000"/>
        </w:rPr>
        <w:t>30</w:t>
      </w:r>
      <w:r w:rsidR="00ED6724" w:rsidRPr="00914C15">
        <w:rPr>
          <w:color w:val="000000"/>
        </w:rPr>
        <w:t> </w:t>
      </w:r>
      <w:r w:rsidRPr="00914C15">
        <w:rPr>
          <w:color w:val="000000"/>
        </w:rPr>
        <w:t>patients who ha</w:t>
      </w:r>
      <w:r w:rsidR="00ED6724" w:rsidRPr="00914C15">
        <w:rPr>
          <w:color w:val="000000"/>
        </w:rPr>
        <w:t>d stable disease for a DCR at 8 </w:t>
      </w:r>
      <w:r w:rsidRPr="00914C15">
        <w:rPr>
          <w:color w:val="000000"/>
        </w:rPr>
        <w:t xml:space="preserve">weeks of </w:t>
      </w:r>
      <w:r w:rsidR="00914C15">
        <w:rPr>
          <w:color w:val="000000"/>
        </w:rPr>
        <w:t>83</w:t>
      </w:r>
      <w:r w:rsidRPr="00914C15">
        <w:rPr>
          <w:color w:val="000000"/>
        </w:rPr>
        <w:t>%</w:t>
      </w:r>
      <w:r w:rsidR="009E27C2" w:rsidRPr="00D53E2C">
        <w:t>.</w:t>
      </w:r>
      <w:r w:rsidR="009E27C2">
        <w:t xml:space="preserve"> </w:t>
      </w:r>
      <w:r w:rsidRPr="00914C15">
        <w:rPr>
          <w:color w:val="000000"/>
        </w:rPr>
        <w:t xml:space="preserve"> Fifty-</w:t>
      </w:r>
      <w:r w:rsidR="00914C15">
        <w:rPr>
          <w:color w:val="000000"/>
        </w:rPr>
        <w:t>one</w:t>
      </w:r>
      <w:r w:rsidRPr="00914C15">
        <w:rPr>
          <w:color w:val="000000"/>
        </w:rPr>
        <w:t xml:space="preserve"> percent of objective tumour responses were achieved during the first 8 weeks of treatment.</w:t>
      </w:r>
    </w:p>
    <w:p w:rsidR="008A46E8" w:rsidRPr="00B87623" w:rsidRDefault="008A46E8" w:rsidP="00096A09">
      <w:pPr>
        <w:pStyle w:val="PINormal"/>
        <w:keepLines/>
        <w:rPr>
          <w:color w:val="000000"/>
        </w:rPr>
      </w:pPr>
      <w:r w:rsidRPr="00B87623">
        <w:rPr>
          <w:color w:val="000000"/>
        </w:rPr>
        <w:t xml:space="preserve">In Study </w:t>
      </w:r>
      <w:r w:rsidR="009C1E4C">
        <w:rPr>
          <w:color w:val="000000"/>
        </w:rPr>
        <w:t>1005</w:t>
      </w:r>
      <w:r w:rsidRPr="00B87623">
        <w:rPr>
          <w:color w:val="000000"/>
        </w:rPr>
        <w:t xml:space="preserve">, patients with advanced NSCLC were required to have ALK-positive tumours prior to entering the clinical trial.  </w:t>
      </w:r>
      <w:r w:rsidR="00EF2BAD" w:rsidRPr="00B87623">
        <w:rPr>
          <w:color w:val="000000"/>
        </w:rPr>
        <w:t>ALK-positive NSCLC was identified by FISH</w:t>
      </w:r>
      <w:r w:rsidRPr="00B87623">
        <w:rPr>
          <w:color w:val="000000"/>
        </w:rPr>
        <w:t>.</w:t>
      </w:r>
    </w:p>
    <w:p w:rsidR="00E64E3F" w:rsidRPr="00B87623" w:rsidRDefault="00E64E3F" w:rsidP="00E64E3F">
      <w:pPr>
        <w:pStyle w:val="PINormal"/>
        <w:keepLines/>
        <w:rPr>
          <w:color w:val="000000"/>
          <w:kern w:val="32"/>
          <w:szCs w:val="16"/>
        </w:rPr>
      </w:pPr>
      <w:r w:rsidRPr="000B3979">
        <w:rPr>
          <w:color w:val="000000"/>
          <w:lang w:val="en-US"/>
        </w:rPr>
        <w:t>Two hundred sixty-one patients with ALK-positive advanced NSCLC from Study </w:t>
      </w:r>
      <w:r>
        <w:rPr>
          <w:color w:val="000000"/>
          <w:lang w:val="en-US"/>
        </w:rPr>
        <w:t>1005</w:t>
      </w:r>
      <w:r w:rsidRPr="000B3979">
        <w:rPr>
          <w:color w:val="000000"/>
          <w:lang w:val="en-US"/>
        </w:rPr>
        <w:t xml:space="preserve"> were analysed at the time of data cutoff.  The median duration of treatment was 25 weeks.</w:t>
      </w:r>
      <w:r w:rsidRPr="000B3979">
        <w:rPr>
          <w:color w:val="000000"/>
        </w:rPr>
        <w:t xml:space="preserve">  There </w:t>
      </w:r>
      <w:r>
        <w:rPr>
          <w:color w:val="000000"/>
        </w:rPr>
        <w:t>w</w:t>
      </w:r>
      <w:r w:rsidRPr="000B3979">
        <w:rPr>
          <w:color w:val="000000"/>
        </w:rPr>
        <w:t>ere 4 complete responses and 132 partial responses for an ORR of 5</w:t>
      </w:r>
      <w:r>
        <w:rPr>
          <w:color w:val="000000"/>
        </w:rPr>
        <w:t>3</w:t>
      </w:r>
      <w:r w:rsidRPr="000B3979">
        <w:rPr>
          <w:color w:val="000000"/>
        </w:rPr>
        <w:t>%.  The median response duration was 42.9 weeks.  There were an additional 80 patients who had stable disease for a DCR at 6 weeks of 85%.  Seventy-</w:t>
      </w:r>
      <w:r>
        <w:rPr>
          <w:color w:val="000000"/>
        </w:rPr>
        <w:t>seven</w:t>
      </w:r>
      <w:r w:rsidRPr="000B3979">
        <w:rPr>
          <w:color w:val="000000"/>
        </w:rPr>
        <w:t xml:space="preserve"> percent </w:t>
      </w:r>
      <w:r w:rsidRPr="000B3979">
        <w:rPr>
          <w:color w:val="000000"/>
          <w:kern w:val="32"/>
          <w:szCs w:val="16"/>
        </w:rPr>
        <w:t xml:space="preserve">of objective tumour responses were achieved </w:t>
      </w:r>
      <w:r w:rsidRPr="003909BA">
        <w:rPr>
          <w:color w:val="000000"/>
          <w:kern w:val="32"/>
          <w:szCs w:val="16"/>
        </w:rPr>
        <w:t xml:space="preserve">during the first </w:t>
      </w:r>
      <w:r w:rsidRPr="00914C15">
        <w:rPr>
          <w:color w:val="000000"/>
          <w:kern w:val="32"/>
          <w:szCs w:val="16"/>
        </w:rPr>
        <w:t>8</w:t>
      </w:r>
      <w:r w:rsidRPr="000B3979">
        <w:rPr>
          <w:color w:val="000000"/>
          <w:kern w:val="32"/>
          <w:szCs w:val="16"/>
        </w:rPr>
        <w:t> weeks of treatment.</w:t>
      </w:r>
    </w:p>
    <w:p w:rsidR="008A46E8" w:rsidRPr="00B87623" w:rsidRDefault="008A46E8" w:rsidP="001902FF">
      <w:pPr>
        <w:pStyle w:val="PINormal"/>
        <w:rPr>
          <w:color w:val="000000"/>
          <w:kern w:val="32"/>
          <w:szCs w:val="16"/>
        </w:rPr>
      </w:pPr>
      <w:r w:rsidRPr="00B87623">
        <w:rPr>
          <w:color w:val="000000"/>
          <w:kern w:val="32"/>
          <w:szCs w:val="16"/>
        </w:rPr>
        <w:t xml:space="preserve">Efficacy data from Studies </w:t>
      </w:r>
      <w:r w:rsidR="005971DC">
        <w:rPr>
          <w:color w:val="000000"/>
          <w:kern w:val="32"/>
          <w:szCs w:val="16"/>
        </w:rPr>
        <w:t>1001</w:t>
      </w:r>
      <w:r w:rsidR="005971DC" w:rsidRPr="00B87623">
        <w:rPr>
          <w:color w:val="000000"/>
          <w:kern w:val="32"/>
          <w:szCs w:val="16"/>
        </w:rPr>
        <w:t xml:space="preserve"> </w:t>
      </w:r>
      <w:r w:rsidRPr="00B87623">
        <w:rPr>
          <w:color w:val="000000"/>
          <w:kern w:val="32"/>
          <w:szCs w:val="16"/>
        </w:rPr>
        <w:t xml:space="preserve">and </w:t>
      </w:r>
      <w:r w:rsidR="005971DC">
        <w:rPr>
          <w:color w:val="000000"/>
          <w:kern w:val="32"/>
          <w:szCs w:val="16"/>
        </w:rPr>
        <w:t>1005</w:t>
      </w:r>
      <w:r w:rsidR="005971DC" w:rsidRPr="00B87623">
        <w:rPr>
          <w:color w:val="000000"/>
          <w:kern w:val="32"/>
          <w:szCs w:val="16"/>
        </w:rPr>
        <w:t xml:space="preserve"> </w:t>
      </w:r>
      <w:r w:rsidRPr="00B87623">
        <w:rPr>
          <w:color w:val="000000"/>
          <w:kern w:val="32"/>
          <w:szCs w:val="16"/>
        </w:rPr>
        <w:t>are provided in Table</w:t>
      </w:r>
      <w:r w:rsidR="00ED6724" w:rsidRPr="00B87623">
        <w:rPr>
          <w:color w:val="000000"/>
          <w:kern w:val="32"/>
          <w:szCs w:val="16"/>
        </w:rPr>
        <w:t> </w:t>
      </w:r>
      <w:r w:rsidR="009C1E4C">
        <w:rPr>
          <w:color w:val="000000"/>
          <w:kern w:val="32"/>
          <w:szCs w:val="16"/>
        </w:rPr>
        <w:t>4</w:t>
      </w:r>
      <w:r w:rsidRPr="00B87623">
        <w:rPr>
          <w:color w:val="000000"/>
          <w:kern w:val="32"/>
          <w:szCs w:val="16"/>
        </w:rPr>
        <w:t>.</w:t>
      </w:r>
    </w:p>
    <w:p w:rsidR="00FF360B" w:rsidRPr="00E64E3F" w:rsidRDefault="00FF360B" w:rsidP="00FF360B">
      <w:pPr>
        <w:pStyle w:val="PITableTitle"/>
        <w:rPr>
          <w:rStyle w:val="TableText12"/>
        </w:rPr>
      </w:pPr>
      <w:r w:rsidRPr="00B87623">
        <w:rPr>
          <w:rStyle w:val="TableText12"/>
        </w:rPr>
        <w:t>Table</w:t>
      </w:r>
      <w:r w:rsidR="00C53128">
        <w:rPr>
          <w:rStyle w:val="TableText12"/>
        </w:rPr>
        <w:t xml:space="preserve"> </w:t>
      </w:r>
      <w:r>
        <w:rPr>
          <w:rStyle w:val="TableText12"/>
        </w:rPr>
        <w:t>4</w:t>
      </w:r>
      <w:r w:rsidRPr="00B87623">
        <w:rPr>
          <w:rStyle w:val="TableText12"/>
        </w:rPr>
        <w:t xml:space="preserve">:  ALK-Positive Advanced NSCLC Efficacy Results from Studies </w:t>
      </w:r>
      <w:r>
        <w:rPr>
          <w:rStyle w:val="TableText12"/>
        </w:rPr>
        <w:t>1001</w:t>
      </w:r>
      <w:r w:rsidRPr="00B87623">
        <w:rPr>
          <w:rStyle w:val="TableText12"/>
        </w:rPr>
        <w:t xml:space="preserve"> and </w:t>
      </w:r>
      <w:r>
        <w:rPr>
          <w:rStyle w:val="TableText12"/>
        </w:rPr>
        <w:t xml:space="preserve">1005 </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6"/>
        <w:gridCol w:w="2154"/>
        <w:gridCol w:w="2154"/>
      </w:tblGrid>
      <w:tr w:rsidR="00FF360B" w:rsidRPr="00B87623" w:rsidTr="0040102B">
        <w:trPr>
          <w:trHeight w:val="255"/>
        </w:trPr>
        <w:tc>
          <w:tcPr>
            <w:tcW w:w="4706" w:type="dxa"/>
            <w:vAlign w:val="center"/>
          </w:tcPr>
          <w:p w:rsidR="00FF360B" w:rsidRPr="00B87623" w:rsidRDefault="00FF360B" w:rsidP="0040102B">
            <w:pPr>
              <w:pStyle w:val="PITableText"/>
              <w:rPr>
                <w:b/>
              </w:rPr>
            </w:pPr>
            <w:r w:rsidRPr="00B87623">
              <w:rPr>
                <w:b/>
              </w:rPr>
              <w:t>Efficacy Parameter</w:t>
            </w:r>
          </w:p>
        </w:tc>
        <w:tc>
          <w:tcPr>
            <w:tcW w:w="2154" w:type="dxa"/>
          </w:tcPr>
          <w:p w:rsidR="00FF360B" w:rsidRPr="000B3979" w:rsidRDefault="00FF360B" w:rsidP="0040102B">
            <w:pPr>
              <w:pStyle w:val="PITableText"/>
              <w:jc w:val="center"/>
              <w:rPr>
                <w:b/>
              </w:rPr>
            </w:pPr>
            <w:r w:rsidRPr="000B3979">
              <w:rPr>
                <w:b/>
              </w:rPr>
              <w:t xml:space="preserve">Study </w:t>
            </w:r>
            <w:r>
              <w:rPr>
                <w:b/>
              </w:rPr>
              <w:t>1001</w:t>
            </w:r>
          </w:p>
          <w:p w:rsidR="00FF360B" w:rsidRPr="000B3979" w:rsidRDefault="00FF360B" w:rsidP="0040102B">
            <w:pPr>
              <w:pStyle w:val="PITableText"/>
              <w:jc w:val="center"/>
              <w:rPr>
                <w:b/>
              </w:rPr>
            </w:pPr>
            <w:r w:rsidRPr="000B3979">
              <w:rPr>
                <w:b/>
              </w:rPr>
              <w:t>(N=</w:t>
            </w:r>
            <w:r>
              <w:rPr>
                <w:b/>
              </w:rPr>
              <w:t>149</w:t>
            </w:r>
            <w:r w:rsidRPr="000B3979">
              <w:rPr>
                <w:b/>
              </w:rPr>
              <w:t>)</w:t>
            </w:r>
          </w:p>
        </w:tc>
        <w:tc>
          <w:tcPr>
            <w:tcW w:w="2154" w:type="dxa"/>
          </w:tcPr>
          <w:p w:rsidR="00FF360B" w:rsidRPr="00B87623" w:rsidRDefault="00FF360B" w:rsidP="0040102B">
            <w:pPr>
              <w:pStyle w:val="PITableText"/>
              <w:jc w:val="center"/>
              <w:rPr>
                <w:b/>
              </w:rPr>
            </w:pPr>
            <w:r w:rsidRPr="00B87623">
              <w:rPr>
                <w:b/>
              </w:rPr>
              <w:t xml:space="preserve">Study </w:t>
            </w:r>
            <w:r>
              <w:rPr>
                <w:b/>
              </w:rPr>
              <w:t>1005</w:t>
            </w:r>
          </w:p>
          <w:p w:rsidR="00FF360B" w:rsidRPr="00B87623" w:rsidRDefault="00FF360B" w:rsidP="0040102B">
            <w:pPr>
              <w:pStyle w:val="PITableText"/>
              <w:jc w:val="center"/>
              <w:rPr>
                <w:b/>
              </w:rPr>
            </w:pPr>
            <w:r w:rsidRPr="00B87623">
              <w:rPr>
                <w:b/>
              </w:rPr>
              <w:t>(N=</w:t>
            </w:r>
            <w:r>
              <w:rPr>
                <w:b/>
              </w:rPr>
              <w:t>261</w:t>
            </w:r>
            <w:r w:rsidRPr="00B87623">
              <w:rPr>
                <w:b/>
              </w:rPr>
              <w:t>)</w:t>
            </w:r>
          </w:p>
        </w:tc>
      </w:tr>
      <w:tr w:rsidR="00FF360B" w:rsidRPr="00B87623" w:rsidTr="0040102B">
        <w:trPr>
          <w:trHeight w:val="255"/>
        </w:trPr>
        <w:tc>
          <w:tcPr>
            <w:tcW w:w="4706" w:type="dxa"/>
          </w:tcPr>
          <w:p w:rsidR="00FF360B" w:rsidRPr="00B87623" w:rsidRDefault="00FF360B" w:rsidP="0040102B">
            <w:pPr>
              <w:pStyle w:val="PITableText"/>
              <w:spacing w:before="40" w:after="40"/>
              <w:rPr>
                <w:sz w:val="22"/>
                <w:szCs w:val="22"/>
              </w:rPr>
            </w:pPr>
            <w:r w:rsidRPr="00B87623">
              <w:rPr>
                <w:sz w:val="22"/>
                <w:szCs w:val="22"/>
              </w:rPr>
              <w:t>ORR</w:t>
            </w:r>
            <w:r w:rsidRPr="00B87623">
              <w:rPr>
                <w:sz w:val="22"/>
                <w:szCs w:val="22"/>
                <w:vertAlign w:val="superscript"/>
                <w:lang w:val="it-IT"/>
              </w:rPr>
              <w:t>a</w:t>
            </w:r>
            <w:r w:rsidRPr="00B87623">
              <w:rPr>
                <w:sz w:val="22"/>
                <w:szCs w:val="22"/>
              </w:rPr>
              <w:t xml:space="preserve"> [% (95% CI)]</w:t>
            </w:r>
          </w:p>
        </w:tc>
        <w:tc>
          <w:tcPr>
            <w:tcW w:w="2154" w:type="dxa"/>
          </w:tcPr>
          <w:p w:rsidR="00FF360B" w:rsidRPr="000B3979" w:rsidRDefault="00FF360B" w:rsidP="0040102B">
            <w:pPr>
              <w:pStyle w:val="PITableText"/>
              <w:spacing w:before="40" w:after="40"/>
              <w:jc w:val="center"/>
              <w:rPr>
                <w:sz w:val="22"/>
                <w:szCs w:val="22"/>
              </w:rPr>
            </w:pPr>
            <w:r w:rsidRPr="000B3979">
              <w:rPr>
                <w:sz w:val="22"/>
                <w:szCs w:val="22"/>
              </w:rPr>
              <w:t>62 (</w:t>
            </w:r>
            <w:r>
              <w:rPr>
                <w:sz w:val="22"/>
                <w:szCs w:val="22"/>
              </w:rPr>
              <w:t>5</w:t>
            </w:r>
            <w:r w:rsidRPr="000B3979">
              <w:rPr>
                <w:sz w:val="22"/>
                <w:szCs w:val="22"/>
              </w:rPr>
              <w:t>3, 70)</w:t>
            </w:r>
          </w:p>
        </w:tc>
        <w:tc>
          <w:tcPr>
            <w:tcW w:w="2154" w:type="dxa"/>
          </w:tcPr>
          <w:p w:rsidR="00FF360B" w:rsidRPr="00B87623" w:rsidRDefault="00FF360B" w:rsidP="0040102B">
            <w:pPr>
              <w:pStyle w:val="PITableText"/>
              <w:spacing w:before="40" w:after="40"/>
              <w:jc w:val="center"/>
              <w:rPr>
                <w:sz w:val="22"/>
                <w:szCs w:val="22"/>
              </w:rPr>
            </w:pPr>
            <w:r>
              <w:rPr>
                <w:sz w:val="22"/>
                <w:szCs w:val="22"/>
              </w:rPr>
              <w:t xml:space="preserve">53 </w:t>
            </w:r>
            <w:r w:rsidRPr="00B87623">
              <w:rPr>
                <w:sz w:val="22"/>
                <w:szCs w:val="22"/>
              </w:rPr>
              <w:t>(</w:t>
            </w:r>
            <w:r>
              <w:rPr>
                <w:sz w:val="22"/>
                <w:szCs w:val="22"/>
              </w:rPr>
              <w:t>47</w:t>
            </w:r>
            <w:r w:rsidRPr="00B87623">
              <w:rPr>
                <w:sz w:val="22"/>
                <w:szCs w:val="22"/>
              </w:rPr>
              <w:t>, 60)</w:t>
            </w:r>
          </w:p>
        </w:tc>
      </w:tr>
      <w:tr w:rsidR="00FF360B" w:rsidRPr="00B87623" w:rsidTr="0040102B">
        <w:trPr>
          <w:trHeight w:val="255"/>
        </w:trPr>
        <w:tc>
          <w:tcPr>
            <w:tcW w:w="4706" w:type="dxa"/>
          </w:tcPr>
          <w:p w:rsidR="00FF360B" w:rsidRPr="00B87623" w:rsidRDefault="00FF360B" w:rsidP="0040102B">
            <w:pPr>
              <w:pStyle w:val="PITableText"/>
              <w:spacing w:before="40" w:after="40"/>
              <w:rPr>
                <w:sz w:val="22"/>
                <w:szCs w:val="22"/>
              </w:rPr>
            </w:pPr>
            <w:r w:rsidRPr="00B87623">
              <w:rPr>
                <w:sz w:val="22"/>
                <w:szCs w:val="22"/>
              </w:rPr>
              <w:t>TTR [median (range)]</w:t>
            </w:r>
            <w:r>
              <w:rPr>
                <w:sz w:val="22"/>
                <w:szCs w:val="22"/>
              </w:rPr>
              <w:t xml:space="preserve"> weeks</w:t>
            </w:r>
          </w:p>
        </w:tc>
        <w:tc>
          <w:tcPr>
            <w:tcW w:w="2154" w:type="dxa"/>
          </w:tcPr>
          <w:p w:rsidR="00FF360B" w:rsidRPr="000B3979" w:rsidRDefault="00FF360B" w:rsidP="0040102B">
            <w:pPr>
              <w:pStyle w:val="PITableText"/>
              <w:spacing w:before="40" w:after="40"/>
              <w:jc w:val="center"/>
              <w:rPr>
                <w:sz w:val="22"/>
                <w:szCs w:val="22"/>
              </w:rPr>
            </w:pPr>
            <w:r>
              <w:rPr>
                <w:sz w:val="22"/>
                <w:szCs w:val="22"/>
              </w:rPr>
              <w:t>7.</w:t>
            </w:r>
            <w:r w:rsidRPr="000B3979">
              <w:rPr>
                <w:sz w:val="22"/>
                <w:szCs w:val="22"/>
              </w:rPr>
              <w:t>9 (2</w:t>
            </w:r>
            <w:r>
              <w:rPr>
                <w:sz w:val="22"/>
                <w:szCs w:val="22"/>
              </w:rPr>
              <w:t>.1</w:t>
            </w:r>
            <w:r w:rsidRPr="000B3979">
              <w:rPr>
                <w:sz w:val="22"/>
                <w:szCs w:val="22"/>
              </w:rPr>
              <w:t>, 57</w:t>
            </w:r>
            <w:r>
              <w:rPr>
                <w:sz w:val="22"/>
                <w:szCs w:val="22"/>
              </w:rPr>
              <w:t>.3</w:t>
            </w:r>
            <w:r w:rsidRPr="000B3979">
              <w:rPr>
                <w:sz w:val="22"/>
                <w:szCs w:val="22"/>
              </w:rPr>
              <w:t>)</w:t>
            </w:r>
          </w:p>
        </w:tc>
        <w:tc>
          <w:tcPr>
            <w:tcW w:w="2154" w:type="dxa"/>
          </w:tcPr>
          <w:p w:rsidR="00FF360B" w:rsidRPr="00B87623" w:rsidRDefault="00FF360B" w:rsidP="0040102B">
            <w:pPr>
              <w:pStyle w:val="PITableText"/>
              <w:spacing w:before="40" w:after="40"/>
              <w:jc w:val="center"/>
              <w:rPr>
                <w:sz w:val="22"/>
                <w:szCs w:val="22"/>
              </w:rPr>
            </w:pPr>
            <w:r w:rsidRPr="00B87623">
              <w:rPr>
                <w:sz w:val="22"/>
                <w:szCs w:val="22"/>
              </w:rPr>
              <w:t>6.1 (</w:t>
            </w:r>
            <w:r>
              <w:rPr>
                <w:sz w:val="22"/>
                <w:szCs w:val="22"/>
              </w:rPr>
              <w:t>4.9</w:t>
            </w:r>
            <w:r w:rsidRPr="00B87623">
              <w:rPr>
                <w:sz w:val="22"/>
                <w:szCs w:val="22"/>
              </w:rPr>
              <w:t xml:space="preserve">, </w:t>
            </w:r>
            <w:r>
              <w:rPr>
                <w:sz w:val="22"/>
                <w:szCs w:val="22"/>
              </w:rPr>
              <w:t>30.4</w:t>
            </w:r>
            <w:r w:rsidRPr="00B87623">
              <w:rPr>
                <w:sz w:val="22"/>
                <w:szCs w:val="22"/>
              </w:rPr>
              <w:t>)</w:t>
            </w:r>
          </w:p>
        </w:tc>
      </w:tr>
      <w:tr w:rsidR="00FF360B" w:rsidRPr="00B87623" w:rsidTr="0040102B">
        <w:trPr>
          <w:trHeight w:val="255"/>
        </w:trPr>
        <w:tc>
          <w:tcPr>
            <w:tcW w:w="4706" w:type="dxa"/>
          </w:tcPr>
          <w:p w:rsidR="00FF360B" w:rsidRPr="00B87623" w:rsidRDefault="00FF360B" w:rsidP="0040102B">
            <w:pPr>
              <w:pStyle w:val="PITableText"/>
              <w:spacing w:before="40" w:after="40"/>
              <w:ind w:left="426" w:hanging="426"/>
              <w:rPr>
                <w:sz w:val="22"/>
                <w:szCs w:val="22"/>
              </w:rPr>
            </w:pPr>
            <w:r w:rsidRPr="00B87623">
              <w:rPr>
                <w:sz w:val="22"/>
                <w:szCs w:val="22"/>
                <w:lang w:val="en-US"/>
              </w:rPr>
              <w:t>DR</w:t>
            </w:r>
            <w:r w:rsidRPr="00B87623">
              <w:rPr>
                <w:sz w:val="22"/>
                <w:szCs w:val="22"/>
                <w:vertAlign w:val="superscript"/>
                <w:lang w:val="en-US"/>
              </w:rPr>
              <w:t>b</w:t>
            </w:r>
            <w:r w:rsidRPr="00B87623">
              <w:rPr>
                <w:sz w:val="22"/>
                <w:szCs w:val="22"/>
                <w:lang w:val="en-US"/>
              </w:rPr>
              <w:tab/>
              <w:t>[median (95% CI)]</w:t>
            </w:r>
            <w:r>
              <w:rPr>
                <w:sz w:val="22"/>
                <w:szCs w:val="22"/>
              </w:rPr>
              <w:t xml:space="preserve"> weeks</w:t>
            </w:r>
          </w:p>
        </w:tc>
        <w:tc>
          <w:tcPr>
            <w:tcW w:w="2154" w:type="dxa"/>
          </w:tcPr>
          <w:p w:rsidR="00FF360B" w:rsidRPr="000B3979" w:rsidRDefault="00FF360B" w:rsidP="0040102B">
            <w:pPr>
              <w:pStyle w:val="PITableText"/>
              <w:spacing w:before="40" w:after="40"/>
              <w:jc w:val="center"/>
              <w:rPr>
                <w:sz w:val="22"/>
                <w:szCs w:val="22"/>
              </w:rPr>
            </w:pPr>
            <w:r>
              <w:rPr>
                <w:sz w:val="22"/>
                <w:szCs w:val="22"/>
              </w:rPr>
              <w:t>4</w:t>
            </w:r>
            <w:r w:rsidRPr="000B3979">
              <w:rPr>
                <w:sz w:val="22"/>
                <w:szCs w:val="22"/>
              </w:rPr>
              <w:t>9.1 (</w:t>
            </w:r>
            <w:r>
              <w:rPr>
                <w:sz w:val="22"/>
                <w:szCs w:val="22"/>
              </w:rPr>
              <w:t>39.3</w:t>
            </w:r>
            <w:r w:rsidRPr="000B3979">
              <w:rPr>
                <w:sz w:val="22"/>
                <w:szCs w:val="22"/>
              </w:rPr>
              <w:t>, 89</w:t>
            </w:r>
            <w:r>
              <w:rPr>
                <w:sz w:val="22"/>
                <w:szCs w:val="22"/>
              </w:rPr>
              <w:t>.3</w:t>
            </w:r>
            <w:r w:rsidRPr="000B3979">
              <w:rPr>
                <w:sz w:val="22"/>
                <w:szCs w:val="22"/>
              </w:rPr>
              <w:t>)</w:t>
            </w:r>
          </w:p>
        </w:tc>
        <w:tc>
          <w:tcPr>
            <w:tcW w:w="2154" w:type="dxa"/>
          </w:tcPr>
          <w:p w:rsidR="00FF360B" w:rsidRPr="00B87623" w:rsidRDefault="00FF360B" w:rsidP="0040102B">
            <w:pPr>
              <w:pStyle w:val="PITableText"/>
              <w:spacing w:before="40" w:after="40"/>
              <w:jc w:val="center"/>
              <w:rPr>
                <w:sz w:val="22"/>
                <w:szCs w:val="22"/>
              </w:rPr>
            </w:pPr>
            <w:r>
              <w:rPr>
                <w:sz w:val="22"/>
                <w:szCs w:val="22"/>
              </w:rPr>
              <w:t>42.9 (36.1, 49.7)</w:t>
            </w:r>
          </w:p>
        </w:tc>
      </w:tr>
      <w:tr w:rsidR="00FF360B" w:rsidRPr="00B87623" w:rsidTr="0040102B">
        <w:trPr>
          <w:trHeight w:val="255"/>
        </w:trPr>
        <w:tc>
          <w:tcPr>
            <w:tcW w:w="4706" w:type="dxa"/>
          </w:tcPr>
          <w:p w:rsidR="00FF360B" w:rsidRPr="00B87623" w:rsidRDefault="00FF360B" w:rsidP="0040102B">
            <w:pPr>
              <w:pStyle w:val="PITableText"/>
              <w:spacing w:before="40" w:after="40"/>
              <w:ind w:left="709" w:hanging="709"/>
              <w:rPr>
                <w:sz w:val="22"/>
                <w:szCs w:val="22"/>
              </w:rPr>
            </w:pPr>
            <w:r w:rsidRPr="00B87623">
              <w:rPr>
                <w:sz w:val="22"/>
                <w:szCs w:val="22"/>
              </w:rPr>
              <w:t>DCR</w:t>
            </w:r>
            <w:r>
              <w:rPr>
                <w:sz w:val="22"/>
                <w:szCs w:val="22"/>
                <w:vertAlign w:val="superscript"/>
              </w:rPr>
              <w:t xml:space="preserve">a, </w:t>
            </w:r>
            <w:r w:rsidRPr="00B87623">
              <w:rPr>
                <w:sz w:val="22"/>
                <w:szCs w:val="22"/>
                <w:vertAlign w:val="superscript"/>
              </w:rPr>
              <w:t>c</w:t>
            </w:r>
            <w:r w:rsidRPr="00B87623">
              <w:rPr>
                <w:sz w:val="22"/>
                <w:szCs w:val="22"/>
              </w:rPr>
              <w:t xml:space="preserve"> </w:t>
            </w:r>
            <w:r>
              <w:rPr>
                <w:sz w:val="22"/>
                <w:szCs w:val="22"/>
              </w:rPr>
              <w:tab/>
            </w:r>
            <w:r w:rsidRPr="00B87623">
              <w:rPr>
                <w:sz w:val="22"/>
                <w:szCs w:val="22"/>
              </w:rPr>
              <w:t xml:space="preserve">at 8 weeks (Study </w:t>
            </w:r>
            <w:r>
              <w:rPr>
                <w:sz w:val="22"/>
                <w:szCs w:val="22"/>
              </w:rPr>
              <w:t>1001</w:t>
            </w:r>
            <w:r w:rsidRPr="00B87623">
              <w:rPr>
                <w:sz w:val="22"/>
                <w:szCs w:val="22"/>
              </w:rPr>
              <w:t>)</w:t>
            </w:r>
            <w:r>
              <w:rPr>
                <w:sz w:val="22"/>
                <w:szCs w:val="22"/>
              </w:rPr>
              <w:t xml:space="preserve"> </w:t>
            </w:r>
            <w:r w:rsidRPr="00B87623">
              <w:rPr>
                <w:sz w:val="22"/>
                <w:szCs w:val="22"/>
              </w:rPr>
              <w:t>[% (95% CI)];</w:t>
            </w:r>
          </w:p>
          <w:p w:rsidR="00FF360B" w:rsidRPr="00B87623" w:rsidRDefault="00FF360B" w:rsidP="0040102B">
            <w:pPr>
              <w:pStyle w:val="PITableText"/>
              <w:spacing w:before="40" w:after="40"/>
              <w:ind w:left="709" w:hanging="709"/>
              <w:rPr>
                <w:sz w:val="22"/>
                <w:szCs w:val="22"/>
              </w:rPr>
            </w:pPr>
            <w:r w:rsidRPr="00B87623">
              <w:rPr>
                <w:sz w:val="22"/>
                <w:szCs w:val="22"/>
              </w:rPr>
              <w:tab/>
              <w:t xml:space="preserve">at 6 weeks (Study </w:t>
            </w:r>
            <w:r>
              <w:rPr>
                <w:sz w:val="22"/>
                <w:szCs w:val="22"/>
              </w:rPr>
              <w:t>1005</w:t>
            </w:r>
            <w:r w:rsidRPr="00B87623">
              <w:rPr>
                <w:sz w:val="22"/>
                <w:szCs w:val="22"/>
              </w:rPr>
              <w:t>) [% (95% CI)]</w:t>
            </w:r>
          </w:p>
        </w:tc>
        <w:tc>
          <w:tcPr>
            <w:tcW w:w="2154" w:type="dxa"/>
          </w:tcPr>
          <w:p w:rsidR="00FF360B" w:rsidRPr="00211C05" w:rsidRDefault="00FF360B" w:rsidP="0040102B">
            <w:pPr>
              <w:pStyle w:val="PITableText"/>
              <w:spacing w:before="40" w:after="40"/>
              <w:jc w:val="center"/>
              <w:rPr>
                <w:sz w:val="22"/>
                <w:szCs w:val="22"/>
                <w:highlight w:val="yellow"/>
              </w:rPr>
            </w:pPr>
            <w:r>
              <w:rPr>
                <w:sz w:val="22"/>
                <w:szCs w:val="22"/>
              </w:rPr>
              <w:t>83</w:t>
            </w:r>
            <w:r w:rsidRPr="00914C15">
              <w:rPr>
                <w:sz w:val="22"/>
                <w:szCs w:val="22"/>
              </w:rPr>
              <w:t>% (</w:t>
            </w:r>
            <w:r>
              <w:rPr>
                <w:sz w:val="22"/>
                <w:szCs w:val="22"/>
              </w:rPr>
              <w:t>75</w:t>
            </w:r>
            <w:r w:rsidRPr="00914C15">
              <w:rPr>
                <w:sz w:val="22"/>
                <w:szCs w:val="22"/>
              </w:rPr>
              <w:t xml:space="preserve">%, </w:t>
            </w:r>
            <w:r>
              <w:rPr>
                <w:sz w:val="22"/>
                <w:szCs w:val="22"/>
              </w:rPr>
              <w:t>88</w:t>
            </w:r>
            <w:r w:rsidRPr="00914C15">
              <w:rPr>
                <w:sz w:val="22"/>
                <w:szCs w:val="22"/>
              </w:rPr>
              <w:t>%)</w:t>
            </w:r>
          </w:p>
        </w:tc>
        <w:tc>
          <w:tcPr>
            <w:tcW w:w="2154" w:type="dxa"/>
          </w:tcPr>
          <w:p w:rsidR="00FF360B" w:rsidRPr="00B87623" w:rsidRDefault="00FF360B" w:rsidP="0040102B">
            <w:pPr>
              <w:pStyle w:val="PITableText"/>
              <w:spacing w:before="40" w:after="40"/>
              <w:jc w:val="center"/>
              <w:rPr>
                <w:sz w:val="22"/>
                <w:szCs w:val="22"/>
              </w:rPr>
            </w:pPr>
          </w:p>
          <w:p w:rsidR="00FF360B" w:rsidRPr="00B87623" w:rsidRDefault="00FF360B" w:rsidP="0040102B">
            <w:pPr>
              <w:pStyle w:val="PITableText"/>
              <w:spacing w:before="40" w:after="40"/>
              <w:jc w:val="center"/>
              <w:rPr>
                <w:sz w:val="22"/>
                <w:szCs w:val="22"/>
              </w:rPr>
            </w:pPr>
            <w:r w:rsidRPr="00B87623">
              <w:rPr>
                <w:sz w:val="22"/>
                <w:szCs w:val="22"/>
              </w:rPr>
              <w:t>85% (</w:t>
            </w:r>
            <w:r>
              <w:rPr>
                <w:sz w:val="22"/>
                <w:szCs w:val="22"/>
              </w:rPr>
              <w:t>80</w:t>
            </w:r>
            <w:r w:rsidRPr="00B87623">
              <w:rPr>
                <w:sz w:val="22"/>
                <w:szCs w:val="22"/>
              </w:rPr>
              <w:t xml:space="preserve">%, </w:t>
            </w:r>
            <w:r>
              <w:rPr>
                <w:sz w:val="22"/>
                <w:szCs w:val="22"/>
              </w:rPr>
              <w:t>89</w:t>
            </w:r>
            <w:r w:rsidRPr="00B87623">
              <w:rPr>
                <w:sz w:val="22"/>
                <w:szCs w:val="22"/>
              </w:rPr>
              <w:t>%)</w:t>
            </w:r>
          </w:p>
        </w:tc>
      </w:tr>
      <w:tr w:rsidR="00FF360B" w:rsidRPr="00B87623" w:rsidTr="0040102B">
        <w:trPr>
          <w:trHeight w:val="255"/>
        </w:trPr>
        <w:tc>
          <w:tcPr>
            <w:tcW w:w="4706" w:type="dxa"/>
          </w:tcPr>
          <w:p w:rsidR="00FF360B" w:rsidRPr="00B87623" w:rsidRDefault="00FF360B" w:rsidP="0040102B">
            <w:pPr>
              <w:pStyle w:val="PITableText"/>
              <w:spacing w:before="40" w:after="40"/>
              <w:ind w:left="426" w:hanging="426"/>
              <w:rPr>
                <w:sz w:val="22"/>
                <w:szCs w:val="22"/>
              </w:rPr>
            </w:pPr>
            <w:r w:rsidRPr="00B87623">
              <w:rPr>
                <w:sz w:val="22"/>
                <w:szCs w:val="22"/>
              </w:rPr>
              <w:t>PFS</w:t>
            </w:r>
            <w:r>
              <w:rPr>
                <w:sz w:val="22"/>
                <w:szCs w:val="22"/>
                <w:vertAlign w:val="superscript"/>
              </w:rPr>
              <w:t>b</w:t>
            </w:r>
            <w:r w:rsidRPr="00B87623">
              <w:rPr>
                <w:sz w:val="22"/>
                <w:szCs w:val="22"/>
              </w:rPr>
              <w:t xml:space="preserve"> [median (95% CI)]</w:t>
            </w:r>
            <w:r w:rsidRPr="000B3979">
              <w:rPr>
                <w:sz w:val="22"/>
                <w:szCs w:val="22"/>
              </w:rPr>
              <w:t xml:space="preserve"> months</w:t>
            </w:r>
          </w:p>
        </w:tc>
        <w:tc>
          <w:tcPr>
            <w:tcW w:w="2154" w:type="dxa"/>
          </w:tcPr>
          <w:p w:rsidR="00FF360B" w:rsidRPr="000B3979" w:rsidRDefault="00FF360B" w:rsidP="0040102B">
            <w:pPr>
              <w:pStyle w:val="PITableText"/>
              <w:spacing w:before="40" w:after="40"/>
              <w:jc w:val="center"/>
              <w:rPr>
                <w:sz w:val="22"/>
                <w:szCs w:val="22"/>
              </w:rPr>
            </w:pPr>
            <w:r>
              <w:rPr>
                <w:sz w:val="22"/>
                <w:szCs w:val="22"/>
              </w:rPr>
              <w:t xml:space="preserve">9.9 </w:t>
            </w:r>
            <w:r w:rsidRPr="000B3979">
              <w:rPr>
                <w:sz w:val="22"/>
                <w:szCs w:val="22"/>
              </w:rPr>
              <w:t>(</w:t>
            </w:r>
            <w:r>
              <w:rPr>
                <w:sz w:val="22"/>
                <w:szCs w:val="22"/>
              </w:rPr>
              <w:t>7.7</w:t>
            </w:r>
            <w:r w:rsidRPr="000B3979">
              <w:rPr>
                <w:sz w:val="22"/>
                <w:szCs w:val="22"/>
              </w:rPr>
              <w:t xml:space="preserve">, </w:t>
            </w:r>
            <w:r>
              <w:rPr>
                <w:sz w:val="22"/>
                <w:szCs w:val="22"/>
              </w:rPr>
              <w:t>13.4</w:t>
            </w:r>
            <w:r w:rsidRPr="000B3979">
              <w:rPr>
                <w:sz w:val="22"/>
                <w:szCs w:val="22"/>
              </w:rPr>
              <w:t>)</w:t>
            </w:r>
          </w:p>
        </w:tc>
        <w:tc>
          <w:tcPr>
            <w:tcW w:w="2154" w:type="dxa"/>
          </w:tcPr>
          <w:p w:rsidR="00FF360B" w:rsidRPr="00B87623" w:rsidRDefault="00FF360B" w:rsidP="0040102B">
            <w:pPr>
              <w:pStyle w:val="PITableText"/>
              <w:spacing w:before="40" w:after="40"/>
              <w:jc w:val="center"/>
              <w:rPr>
                <w:sz w:val="22"/>
                <w:szCs w:val="22"/>
              </w:rPr>
            </w:pPr>
            <w:r>
              <w:rPr>
                <w:sz w:val="22"/>
                <w:szCs w:val="22"/>
              </w:rPr>
              <w:t>8.5 (6.5, 9.9)</w:t>
            </w:r>
          </w:p>
        </w:tc>
      </w:tr>
      <w:tr w:rsidR="00FF360B" w:rsidRPr="00B87623" w:rsidTr="0040102B">
        <w:trPr>
          <w:trHeight w:val="255"/>
        </w:trPr>
        <w:tc>
          <w:tcPr>
            <w:tcW w:w="4706" w:type="dxa"/>
          </w:tcPr>
          <w:p w:rsidR="00FF360B" w:rsidRPr="00B87623" w:rsidRDefault="00FF360B" w:rsidP="0040102B">
            <w:pPr>
              <w:pStyle w:val="PITableText"/>
              <w:spacing w:before="40" w:after="40"/>
              <w:ind w:left="426" w:hanging="426"/>
              <w:rPr>
                <w:sz w:val="22"/>
                <w:szCs w:val="22"/>
              </w:rPr>
            </w:pPr>
            <w:r w:rsidRPr="00B87623">
              <w:rPr>
                <w:sz w:val="22"/>
                <w:szCs w:val="22"/>
              </w:rPr>
              <w:t>OS probability at 12 months</w:t>
            </w:r>
            <w:r>
              <w:rPr>
                <w:sz w:val="22"/>
                <w:szCs w:val="22"/>
                <w:vertAlign w:val="superscript"/>
              </w:rPr>
              <w:t>b</w:t>
            </w:r>
            <w:r w:rsidRPr="00B87623">
              <w:rPr>
                <w:sz w:val="22"/>
                <w:szCs w:val="22"/>
              </w:rPr>
              <w:t xml:space="preserve"> [% (95% CI)]</w:t>
            </w:r>
          </w:p>
        </w:tc>
        <w:tc>
          <w:tcPr>
            <w:tcW w:w="2154" w:type="dxa"/>
          </w:tcPr>
          <w:p w:rsidR="00FF360B" w:rsidRPr="00211C05" w:rsidRDefault="00FF360B" w:rsidP="0040102B">
            <w:pPr>
              <w:pStyle w:val="PITableText"/>
              <w:spacing w:before="40" w:after="40"/>
              <w:jc w:val="center"/>
              <w:rPr>
                <w:sz w:val="22"/>
                <w:szCs w:val="22"/>
                <w:highlight w:val="yellow"/>
              </w:rPr>
            </w:pPr>
            <w:r>
              <w:rPr>
                <w:sz w:val="22"/>
                <w:szCs w:val="22"/>
              </w:rPr>
              <w:t>7</w:t>
            </w:r>
            <w:r w:rsidRPr="003909BA">
              <w:rPr>
                <w:sz w:val="22"/>
                <w:szCs w:val="22"/>
              </w:rPr>
              <w:t>5 (</w:t>
            </w:r>
            <w:r>
              <w:rPr>
                <w:sz w:val="22"/>
                <w:szCs w:val="22"/>
              </w:rPr>
              <w:t>6</w:t>
            </w:r>
            <w:r w:rsidRPr="003909BA">
              <w:rPr>
                <w:sz w:val="22"/>
                <w:szCs w:val="22"/>
              </w:rPr>
              <w:t xml:space="preserve">6, </w:t>
            </w:r>
            <w:r>
              <w:rPr>
                <w:sz w:val="22"/>
                <w:szCs w:val="22"/>
              </w:rPr>
              <w:t>8</w:t>
            </w:r>
            <w:r w:rsidRPr="003909BA">
              <w:rPr>
                <w:sz w:val="22"/>
                <w:szCs w:val="22"/>
              </w:rPr>
              <w:t>2)</w:t>
            </w:r>
          </w:p>
        </w:tc>
        <w:tc>
          <w:tcPr>
            <w:tcW w:w="2154" w:type="dxa"/>
          </w:tcPr>
          <w:p w:rsidR="00FF360B" w:rsidRPr="00B87623" w:rsidRDefault="00FF360B" w:rsidP="0040102B">
            <w:pPr>
              <w:pStyle w:val="PITableText"/>
              <w:spacing w:before="40" w:after="40"/>
              <w:jc w:val="center"/>
              <w:rPr>
                <w:sz w:val="22"/>
                <w:szCs w:val="22"/>
              </w:rPr>
            </w:pPr>
            <w:r>
              <w:rPr>
                <w:sz w:val="22"/>
                <w:szCs w:val="22"/>
              </w:rPr>
              <w:t>61 (49, 71)</w:t>
            </w:r>
          </w:p>
        </w:tc>
      </w:tr>
    </w:tbl>
    <w:p w:rsidR="00FF360B" w:rsidRPr="0033765E" w:rsidRDefault="00FF360B" w:rsidP="00FF360B">
      <w:pPr>
        <w:pStyle w:val="FootnoteText"/>
        <w:keepNext/>
        <w:tabs>
          <w:tab w:val="left" w:pos="144"/>
        </w:tabs>
        <w:spacing w:after="0"/>
        <w:ind w:left="142" w:hanging="142"/>
        <w:rPr>
          <w:color w:val="000000"/>
        </w:rPr>
      </w:pPr>
      <w:r w:rsidRPr="00B87623">
        <w:rPr>
          <w:color w:val="000000"/>
          <w:vertAlign w:val="superscript"/>
        </w:rPr>
        <w:t xml:space="preserve">a </w:t>
      </w:r>
      <w:r>
        <w:rPr>
          <w:color w:val="000000"/>
          <w:vertAlign w:val="superscript"/>
        </w:rPr>
        <w:tab/>
      </w:r>
      <w:r>
        <w:rPr>
          <w:color w:val="000000"/>
        </w:rPr>
        <w:t xml:space="preserve">6 </w:t>
      </w:r>
      <w:r w:rsidRPr="00B87623">
        <w:rPr>
          <w:color w:val="000000"/>
        </w:rPr>
        <w:t xml:space="preserve">patients were not evaluable for response in </w:t>
      </w:r>
      <w:r>
        <w:rPr>
          <w:color w:val="000000"/>
        </w:rPr>
        <w:t>S</w:t>
      </w:r>
      <w:r w:rsidRPr="00B87623">
        <w:rPr>
          <w:color w:val="000000"/>
        </w:rPr>
        <w:t>tudy</w:t>
      </w:r>
      <w:r>
        <w:rPr>
          <w:color w:val="000000"/>
        </w:rPr>
        <w:t> 1001 and 6 patients were not evaluable for response in Study 1005</w:t>
      </w:r>
    </w:p>
    <w:p w:rsidR="00FF360B" w:rsidRPr="00B87623" w:rsidRDefault="00FF360B" w:rsidP="00FF360B">
      <w:pPr>
        <w:pStyle w:val="FootnoteText"/>
        <w:keepNext/>
        <w:tabs>
          <w:tab w:val="left" w:pos="144"/>
        </w:tabs>
        <w:spacing w:after="0"/>
        <w:ind w:left="142" w:hanging="142"/>
        <w:rPr>
          <w:color w:val="000000"/>
        </w:rPr>
      </w:pPr>
      <w:r w:rsidRPr="00B87623">
        <w:rPr>
          <w:color w:val="000000"/>
          <w:vertAlign w:val="superscript"/>
        </w:rPr>
        <w:t xml:space="preserve">b </w:t>
      </w:r>
      <w:r>
        <w:rPr>
          <w:color w:val="000000"/>
          <w:vertAlign w:val="superscript"/>
        </w:rPr>
        <w:tab/>
      </w:r>
      <w:r>
        <w:rPr>
          <w:color w:val="000000"/>
        </w:rPr>
        <w:t>E</w:t>
      </w:r>
      <w:r w:rsidRPr="00B87623">
        <w:rPr>
          <w:color w:val="000000"/>
        </w:rPr>
        <w:t>stimate</w:t>
      </w:r>
      <w:r>
        <w:rPr>
          <w:color w:val="000000"/>
        </w:rPr>
        <w:t>d using the Kaplan-Meier method</w:t>
      </w:r>
    </w:p>
    <w:p w:rsidR="00FF360B" w:rsidRDefault="00FF360B" w:rsidP="00FF360B">
      <w:pPr>
        <w:pStyle w:val="FootnoteText"/>
        <w:tabs>
          <w:tab w:val="left" w:pos="144"/>
        </w:tabs>
        <w:spacing w:after="240"/>
        <w:ind w:left="142" w:hanging="142"/>
        <w:rPr>
          <w:color w:val="000000"/>
        </w:rPr>
      </w:pPr>
      <w:r w:rsidRPr="00B87623">
        <w:rPr>
          <w:color w:val="000000"/>
          <w:vertAlign w:val="superscript"/>
        </w:rPr>
        <w:t xml:space="preserve">c </w:t>
      </w:r>
      <w:r>
        <w:rPr>
          <w:color w:val="000000"/>
          <w:vertAlign w:val="superscript"/>
        </w:rPr>
        <w:tab/>
      </w:r>
      <w:r w:rsidRPr="00B87623">
        <w:rPr>
          <w:color w:val="000000"/>
        </w:rPr>
        <w:t>Proportion of patients with a RECIST-defined complete response, partial response or stable disease at 8 weeks</w:t>
      </w:r>
      <w:r>
        <w:rPr>
          <w:color w:val="000000"/>
        </w:rPr>
        <w:t xml:space="preserve"> (Study 1001) or at 6 weeks (Study 1005).</w:t>
      </w:r>
    </w:p>
    <w:p w:rsidR="003130E1" w:rsidRPr="00B87623" w:rsidRDefault="007310AC" w:rsidP="00056EF5">
      <w:pPr>
        <w:pStyle w:val="PIHeading1"/>
        <w:rPr>
          <w:color w:val="000000"/>
        </w:rPr>
      </w:pPr>
      <w:r w:rsidRPr="00B87623">
        <w:rPr>
          <w:color w:val="000000"/>
        </w:rPr>
        <w:t>INDICATIONS</w:t>
      </w:r>
    </w:p>
    <w:p w:rsidR="008C6495" w:rsidRPr="00B87623" w:rsidRDefault="00F05F39" w:rsidP="0000512F">
      <w:pPr>
        <w:pStyle w:val="PINormal"/>
        <w:keepLines/>
        <w:rPr>
          <w:color w:val="000000"/>
          <w:kern w:val="32"/>
          <w:szCs w:val="16"/>
        </w:rPr>
      </w:pPr>
      <w:r w:rsidRPr="00B87623">
        <w:rPr>
          <w:color w:val="000000"/>
        </w:rPr>
        <w:t>XALKORI</w:t>
      </w:r>
      <w:r w:rsidRPr="00B87623">
        <w:rPr>
          <w:color w:val="000000"/>
          <w:lang w:val="en-CA"/>
        </w:rPr>
        <w:t xml:space="preserve"> is indicated for the treatment of patients with anaplastic lymphoma kinase</w:t>
      </w:r>
      <w:r w:rsidR="0074195E" w:rsidRPr="00B87623">
        <w:rPr>
          <w:color w:val="000000"/>
          <w:lang w:val="en-CA"/>
        </w:rPr>
        <w:t xml:space="preserve"> </w:t>
      </w:r>
      <w:r w:rsidRPr="00B87623">
        <w:rPr>
          <w:color w:val="000000"/>
          <w:lang w:val="en-CA"/>
        </w:rPr>
        <w:t>(ALK)</w:t>
      </w:r>
      <w:r w:rsidR="00E4182E" w:rsidRPr="00B87623">
        <w:rPr>
          <w:color w:val="000000"/>
          <w:lang w:val="en-CA"/>
        </w:rPr>
        <w:t>-</w:t>
      </w:r>
      <w:r w:rsidRPr="00B87623">
        <w:rPr>
          <w:color w:val="000000"/>
          <w:lang w:val="en-CA"/>
        </w:rPr>
        <w:t>positive advanced non</w:t>
      </w:r>
      <w:r w:rsidR="00A5563F" w:rsidRPr="00B87623">
        <w:rPr>
          <w:color w:val="000000"/>
          <w:lang w:val="en-CA"/>
        </w:rPr>
        <w:noBreakHyphen/>
      </w:r>
      <w:r w:rsidRPr="00B87623">
        <w:rPr>
          <w:color w:val="000000"/>
          <w:lang w:val="en-CA"/>
        </w:rPr>
        <w:t>small cell lung cancer (NSCLC)</w:t>
      </w:r>
      <w:r w:rsidR="00906613" w:rsidRPr="00B87623">
        <w:rPr>
          <w:color w:val="000000"/>
          <w:kern w:val="32"/>
          <w:szCs w:val="16"/>
        </w:rPr>
        <w:t>.</w:t>
      </w:r>
      <w:r w:rsidR="00163561">
        <w:rPr>
          <w:color w:val="000000"/>
          <w:kern w:val="32"/>
          <w:szCs w:val="16"/>
        </w:rPr>
        <w:t xml:space="preserve">  </w:t>
      </w:r>
    </w:p>
    <w:p w:rsidR="007310AC" w:rsidRPr="00B87623" w:rsidRDefault="007310AC" w:rsidP="00056EF5">
      <w:pPr>
        <w:pStyle w:val="PIHeading1"/>
        <w:rPr>
          <w:color w:val="000000"/>
        </w:rPr>
      </w:pPr>
      <w:r w:rsidRPr="00B87623">
        <w:rPr>
          <w:color w:val="000000"/>
        </w:rPr>
        <w:t>CONTRAINDICATIONS</w:t>
      </w:r>
    </w:p>
    <w:p w:rsidR="008C6495" w:rsidRPr="00B87623" w:rsidRDefault="00FF51E7" w:rsidP="008C6495">
      <w:pPr>
        <w:pStyle w:val="PINormal"/>
        <w:rPr>
          <w:b/>
          <w:color w:val="000000"/>
          <w:szCs w:val="24"/>
        </w:rPr>
      </w:pPr>
      <w:r w:rsidRPr="00B87623">
        <w:rPr>
          <w:color w:val="000000"/>
        </w:rPr>
        <w:t>Use of XALKORI is contraindicated in patients with h</w:t>
      </w:r>
      <w:r w:rsidR="001A5402" w:rsidRPr="00B87623">
        <w:rPr>
          <w:color w:val="000000"/>
        </w:rPr>
        <w:t>ypersensitivity to crizotinib or to any of the excipients.</w:t>
      </w:r>
    </w:p>
    <w:p w:rsidR="00981844" w:rsidRPr="00B87623" w:rsidRDefault="00981844" w:rsidP="00056EF5">
      <w:pPr>
        <w:pStyle w:val="PIHeading1"/>
        <w:rPr>
          <w:color w:val="000000"/>
        </w:rPr>
      </w:pPr>
      <w:r w:rsidRPr="00B87623">
        <w:rPr>
          <w:color w:val="000000"/>
        </w:rPr>
        <w:lastRenderedPageBreak/>
        <w:t>PRECAUTIONS</w:t>
      </w:r>
      <w:r w:rsidR="008C6495" w:rsidRPr="00B87623">
        <w:rPr>
          <w:color w:val="000000"/>
        </w:rPr>
        <w:t xml:space="preserve"> </w:t>
      </w:r>
    </w:p>
    <w:p w:rsidR="007B37E8" w:rsidRDefault="007B37E8" w:rsidP="00CB77BE">
      <w:pPr>
        <w:pStyle w:val="PINormal"/>
        <w:keepLines/>
      </w:pPr>
      <w:r w:rsidRPr="00417398">
        <w:t>The data described below re</w:t>
      </w:r>
      <w:r>
        <w:t>late to</w:t>
      </w:r>
      <w:r w:rsidRPr="00417398">
        <w:t xml:space="preserve"> exposure to </w:t>
      </w:r>
      <w:r>
        <w:t xml:space="preserve">crizotinib </w:t>
      </w:r>
      <w:r w:rsidRPr="00417398">
        <w:t>in</w:t>
      </w:r>
      <w:r>
        <w:t xml:space="preserve"> </w:t>
      </w:r>
      <w:r w:rsidRPr="009F4DC3">
        <w:t>172</w:t>
      </w:r>
      <w:r>
        <w:t> </w:t>
      </w:r>
      <w:r w:rsidRPr="009F4DC3">
        <w:t>patients</w:t>
      </w:r>
      <w:r>
        <w:t xml:space="preserve"> with ALK-positive advanced NSCLC who participated in randomised Phase 3 Study 1007 and in</w:t>
      </w:r>
      <w:r w:rsidRPr="001A457F">
        <w:t xml:space="preserve"> </w:t>
      </w:r>
      <w:r>
        <w:t>1083</w:t>
      </w:r>
      <w:r w:rsidRPr="00417398">
        <w:t xml:space="preserve"> patients with ALK-positive NSCLC who participated in </w:t>
      </w:r>
      <w:r w:rsidR="008F4ECF">
        <w:t>two</w:t>
      </w:r>
      <w:r w:rsidRPr="00417398">
        <w:t xml:space="preserve"> single-arm clinical trials (Studies 1001 and 1005).  </w:t>
      </w:r>
    </w:p>
    <w:p w:rsidR="009F7BD3" w:rsidRDefault="009F7BD3" w:rsidP="009F7BD3">
      <w:pPr>
        <w:pStyle w:val="PIHeading2"/>
      </w:pPr>
      <w:r>
        <w:t>Hepatotoxicity</w:t>
      </w:r>
      <w:r w:rsidR="00955F3B">
        <w:t xml:space="preserve"> </w:t>
      </w:r>
    </w:p>
    <w:p w:rsidR="009F7BD3" w:rsidRDefault="009F7BD3" w:rsidP="0000512F">
      <w:pPr>
        <w:pStyle w:val="PINormal"/>
        <w:keepLines/>
        <w:rPr>
          <w:color w:val="000000"/>
        </w:rPr>
      </w:pPr>
      <w:r w:rsidRPr="009F7BD3">
        <w:t xml:space="preserve">Drug-induced hepatotoxicity with fatal outcome has occurred. </w:t>
      </w:r>
      <w:r>
        <w:t xml:space="preserve"> </w:t>
      </w:r>
      <w:r w:rsidRPr="009F7BD3">
        <w:t xml:space="preserve">These cases have occurred during XALKORI treatment in less than 1% of patients in clinical trials. </w:t>
      </w:r>
      <w:r>
        <w:t xml:space="preserve"> </w:t>
      </w:r>
      <w:r w:rsidRPr="009F7BD3">
        <w:t>Concurrent elevations in ALT greater than 3</w:t>
      </w:r>
      <w:r w:rsidR="000E6D4C" w:rsidRPr="000E6D4C">
        <w:rPr>
          <w:kern w:val="32"/>
          <w:szCs w:val="24"/>
        </w:rPr>
        <w:t>×</w:t>
      </w:r>
      <w:r w:rsidRPr="009F7BD3">
        <w:t>ULN and</w:t>
      </w:r>
      <w:r w:rsidR="000E6D4C">
        <w:t xml:space="preserve"> total bilirubin greater than 2</w:t>
      </w:r>
      <w:r w:rsidR="000E6D4C">
        <w:rPr>
          <w:kern w:val="32"/>
        </w:rPr>
        <w:t>×</w:t>
      </w:r>
      <w:r w:rsidRPr="009F7BD3">
        <w:t xml:space="preserve">ULN without elevated alkaline phosphatase have been observed in less than 1% patients in clinical trials. </w:t>
      </w:r>
      <w:r>
        <w:t xml:space="preserve"> </w:t>
      </w:r>
      <w:r w:rsidRPr="00410590">
        <w:t xml:space="preserve">Increases to Grade 3 or 4 ALT elevation were observed in </w:t>
      </w:r>
      <w:r w:rsidR="000E6D4C" w:rsidRPr="00410590">
        <w:t xml:space="preserve">17% of patients in Study 1007, </w:t>
      </w:r>
      <w:r w:rsidR="00676C01">
        <w:t>7</w:t>
      </w:r>
      <w:r w:rsidRPr="00410590">
        <w:t>% of</w:t>
      </w:r>
      <w:r w:rsidRPr="003909BA">
        <w:t xml:space="preserve"> patients in Study </w:t>
      </w:r>
      <w:r w:rsidR="009C6520" w:rsidRPr="009C6520">
        <w:t>1001</w:t>
      </w:r>
      <w:r w:rsidRPr="003909BA">
        <w:t xml:space="preserve"> and </w:t>
      </w:r>
      <w:r w:rsidR="00520081" w:rsidRPr="003909BA">
        <w:t>8</w:t>
      </w:r>
      <w:r w:rsidR="00932438">
        <w:t>%</w:t>
      </w:r>
      <w:r w:rsidRPr="003909BA">
        <w:t xml:space="preserve"> of patients in Study </w:t>
      </w:r>
      <w:r w:rsidR="009C6520" w:rsidRPr="009C6520">
        <w:t>1005</w:t>
      </w:r>
      <w:r w:rsidRPr="003909BA">
        <w:t>.  Grade 3 and 4 elevations were gene</w:t>
      </w:r>
      <w:r w:rsidRPr="009F7BD3">
        <w:t xml:space="preserve">rally asymptomatic and reversible upon dosing interruption. </w:t>
      </w:r>
      <w:r>
        <w:t xml:space="preserve"> </w:t>
      </w:r>
      <w:r w:rsidRPr="009F7BD3">
        <w:t>Patients usually resumed treatment at a lower dose</w:t>
      </w:r>
      <w:r>
        <w:t xml:space="preserve"> without recurrence; however, </w:t>
      </w:r>
      <w:r w:rsidR="00750869">
        <w:t xml:space="preserve">2 patients from Study 1007 (1%), </w:t>
      </w:r>
      <w:r w:rsidRPr="00955F3B">
        <w:t xml:space="preserve">1 patient from Study </w:t>
      </w:r>
      <w:r w:rsidR="009C6520" w:rsidRPr="009C6520">
        <w:t>1001</w:t>
      </w:r>
      <w:r w:rsidRPr="00955F3B">
        <w:t xml:space="preserve"> (&lt;1%) and</w:t>
      </w:r>
      <w:r w:rsidR="007B37E8">
        <w:t xml:space="preserve"> </w:t>
      </w:r>
      <w:r w:rsidR="00750869">
        <w:t>6 </w:t>
      </w:r>
      <w:r w:rsidRPr="00955F3B">
        <w:t xml:space="preserve">patients from Study </w:t>
      </w:r>
      <w:r w:rsidR="009C6520" w:rsidRPr="009C6520">
        <w:t>1005</w:t>
      </w:r>
      <w:r w:rsidRPr="00955F3B">
        <w:t xml:space="preserve"> (</w:t>
      </w:r>
      <w:r w:rsidR="00750869" w:rsidRPr="00955F3B">
        <w:t>&lt;</w:t>
      </w:r>
      <w:r w:rsidR="008600AE">
        <w:t>1</w:t>
      </w:r>
      <w:r w:rsidRPr="00955F3B">
        <w:t>%)</w:t>
      </w:r>
      <w:r w:rsidRPr="009F7BD3">
        <w:t xml:space="preserve"> required permanent discontinuation from treatment. </w:t>
      </w:r>
      <w:r>
        <w:t xml:space="preserve"> </w:t>
      </w:r>
      <w:r w:rsidRPr="009F7BD3">
        <w:t>Transaminase elevations generally occurred within the first 2</w:t>
      </w:r>
      <w:r>
        <w:t> </w:t>
      </w:r>
      <w:r w:rsidRPr="009F7BD3">
        <w:t xml:space="preserve">months of treatment. </w:t>
      </w:r>
      <w:r>
        <w:t xml:space="preserve"> </w:t>
      </w:r>
      <w:r w:rsidRPr="009F7BD3">
        <w:t xml:space="preserve">Liver function tests including ALT and total bilirubin should be monitored </w:t>
      </w:r>
      <w:r w:rsidR="00C50E7B" w:rsidRPr="00D66A25">
        <w:t>every 2</w:t>
      </w:r>
      <w:r w:rsidR="00C50E7B">
        <w:t> </w:t>
      </w:r>
      <w:r w:rsidR="00C50E7B" w:rsidRPr="00D66A25">
        <w:t>weeks</w:t>
      </w:r>
      <w:r w:rsidR="00C50E7B">
        <w:t xml:space="preserve"> during the first 2 months of treatment, then </w:t>
      </w:r>
      <w:r w:rsidRPr="009F7BD3">
        <w:t>once a month and as clinically indicated, with more frequent repeat testing for Grades 2, 3 or 4 elevation</w:t>
      </w:r>
      <w:r w:rsidR="00C50E7B">
        <w:t>s</w:t>
      </w:r>
      <w:r w:rsidRPr="009F7BD3">
        <w:t xml:space="preserve">. </w:t>
      </w:r>
      <w:r>
        <w:t xml:space="preserve"> </w:t>
      </w:r>
      <w:r w:rsidRPr="009F7BD3">
        <w:t xml:space="preserve">For patients who develop transaminase elevations, </w:t>
      </w:r>
      <w:r w:rsidRPr="00417398">
        <w:rPr>
          <w:color w:val="000000"/>
        </w:rPr>
        <w:t xml:space="preserve">see </w:t>
      </w:r>
      <w:r w:rsidRPr="00BC6E1B">
        <w:rPr>
          <w:color w:val="000000"/>
        </w:rPr>
        <w:t>DOSAGE AND</w:t>
      </w:r>
      <w:r w:rsidRPr="00417398">
        <w:rPr>
          <w:color w:val="000000"/>
        </w:rPr>
        <w:t xml:space="preserve"> ADMINISTRATION</w:t>
      </w:r>
      <w:r w:rsidR="005B5402">
        <w:rPr>
          <w:color w:val="000000"/>
        </w:rPr>
        <w:t xml:space="preserve"> -</w:t>
      </w:r>
      <w:r w:rsidR="00BC6E1B">
        <w:rPr>
          <w:color w:val="000000"/>
        </w:rPr>
        <w:t xml:space="preserve"> </w:t>
      </w:r>
      <w:r w:rsidR="00BC6E1B" w:rsidRPr="00417398">
        <w:rPr>
          <w:color w:val="000000"/>
        </w:rPr>
        <w:t>Dose Modification</w:t>
      </w:r>
      <w:r w:rsidRPr="00417398">
        <w:rPr>
          <w:color w:val="000000"/>
        </w:rPr>
        <w:t>.</w:t>
      </w:r>
      <w:r>
        <w:rPr>
          <w:color w:val="000000"/>
        </w:rPr>
        <w:t xml:space="preserve"> </w:t>
      </w:r>
    </w:p>
    <w:p w:rsidR="00AE2948" w:rsidRPr="00B87623" w:rsidRDefault="00DA540E" w:rsidP="00AE2948">
      <w:pPr>
        <w:pStyle w:val="PIHeading2"/>
        <w:rPr>
          <w:color w:val="000000"/>
        </w:rPr>
      </w:pPr>
      <w:r>
        <w:rPr>
          <w:color w:val="000000"/>
        </w:rPr>
        <w:t>Interstitial Lung Disease (</w:t>
      </w:r>
      <w:r w:rsidR="00AE2948" w:rsidRPr="00B87623">
        <w:rPr>
          <w:color w:val="000000"/>
        </w:rPr>
        <w:t>Pneumonitis</w:t>
      </w:r>
      <w:r>
        <w:rPr>
          <w:color w:val="000000"/>
        </w:rPr>
        <w:t>)</w:t>
      </w:r>
      <w:r w:rsidR="000A6789">
        <w:rPr>
          <w:color w:val="000000"/>
        </w:rPr>
        <w:t xml:space="preserve"> </w:t>
      </w:r>
    </w:p>
    <w:p w:rsidR="00AE2948" w:rsidRPr="00417398" w:rsidRDefault="00AE2948" w:rsidP="00096A09">
      <w:pPr>
        <w:pStyle w:val="PINormal"/>
        <w:keepLines/>
        <w:rPr>
          <w:color w:val="000000"/>
        </w:rPr>
      </w:pPr>
      <w:r w:rsidRPr="004F38C8">
        <w:rPr>
          <w:color w:val="000000"/>
        </w:rPr>
        <w:t xml:space="preserve">XALKORI has been associated with severe, life-threatening or fatal </w:t>
      </w:r>
      <w:r w:rsidR="0068205D">
        <w:t>interstitial lung disease (ILD)/</w:t>
      </w:r>
      <w:r w:rsidRPr="004F38C8">
        <w:rPr>
          <w:color w:val="000000"/>
        </w:rPr>
        <w:t xml:space="preserve">pneumonitis in clinical trials with a frequency of </w:t>
      </w:r>
      <w:r w:rsidR="0068205D">
        <w:rPr>
          <w:color w:val="000000"/>
        </w:rPr>
        <w:t>1</w:t>
      </w:r>
      <w:r w:rsidR="00CC1BD0">
        <w:rPr>
          <w:color w:val="000000"/>
        </w:rPr>
        <w:t>9</w:t>
      </w:r>
      <w:r w:rsidR="002953DB">
        <w:rPr>
          <w:color w:val="000000"/>
        </w:rPr>
        <w:t xml:space="preserve"> </w:t>
      </w:r>
      <w:r w:rsidR="004F38C8" w:rsidRPr="00D559BA">
        <w:rPr>
          <w:color w:val="000000"/>
        </w:rPr>
        <w:t xml:space="preserve">in </w:t>
      </w:r>
      <w:r w:rsidR="0068205D">
        <w:rPr>
          <w:color w:val="000000"/>
        </w:rPr>
        <w:t>1255</w:t>
      </w:r>
      <w:r w:rsidR="0068205D" w:rsidRPr="00D559BA">
        <w:rPr>
          <w:color w:val="000000"/>
        </w:rPr>
        <w:t xml:space="preserve"> </w:t>
      </w:r>
      <w:r w:rsidRPr="00D559BA">
        <w:rPr>
          <w:color w:val="000000"/>
        </w:rPr>
        <w:t>(</w:t>
      </w:r>
      <w:r w:rsidR="0068205D">
        <w:rPr>
          <w:color w:val="000000"/>
        </w:rPr>
        <w:t>1.</w:t>
      </w:r>
      <w:r w:rsidR="00CC1BD0">
        <w:rPr>
          <w:color w:val="000000"/>
        </w:rPr>
        <w:t>5</w:t>
      </w:r>
      <w:r w:rsidRPr="00D559BA">
        <w:rPr>
          <w:color w:val="000000"/>
        </w:rPr>
        <w:t>%)</w:t>
      </w:r>
      <w:r w:rsidRPr="004F38C8">
        <w:rPr>
          <w:color w:val="000000"/>
        </w:rPr>
        <w:t xml:space="preserve"> patients across Studies</w:t>
      </w:r>
      <w:r w:rsidR="0068205D">
        <w:rPr>
          <w:color w:val="000000"/>
        </w:rPr>
        <w:t xml:space="preserve"> 1007, 1001</w:t>
      </w:r>
      <w:r w:rsidRPr="004F38C8">
        <w:rPr>
          <w:color w:val="000000"/>
        </w:rPr>
        <w:t xml:space="preserve"> and </w:t>
      </w:r>
      <w:r w:rsidR="0068205D">
        <w:rPr>
          <w:color w:val="000000"/>
        </w:rPr>
        <w:t>1005</w:t>
      </w:r>
      <w:r w:rsidR="000A6789" w:rsidRPr="004F38C8">
        <w:rPr>
          <w:color w:val="000000"/>
        </w:rPr>
        <w:t>.</w:t>
      </w:r>
      <w:r w:rsidR="000A6789" w:rsidRPr="000A6789">
        <w:t xml:space="preserve"> </w:t>
      </w:r>
      <w:r w:rsidR="000A6789" w:rsidRPr="0033736C">
        <w:t xml:space="preserve"> </w:t>
      </w:r>
      <w:r w:rsidR="00E77F77">
        <w:t>T</w:t>
      </w:r>
      <w:r w:rsidR="000A6789" w:rsidRPr="00891EFC">
        <w:t>h</w:t>
      </w:r>
      <w:r w:rsidR="000A6789">
        <w:t xml:space="preserve">ese cases </w:t>
      </w:r>
      <w:r w:rsidR="00E77F77">
        <w:t xml:space="preserve">generally </w:t>
      </w:r>
      <w:r w:rsidR="000A6789" w:rsidRPr="00891EFC">
        <w:t>occur</w:t>
      </w:r>
      <w:r w:rsidR="000A6789">
        <w:t>red</w:t>
      </w:r>
      <w:r w:rsidR="000A6789" w:rsidRPr="00891EFC">
        <w:t xml:space="preserve"> within </w:t>
      </w:r>
      <w:r w:rsidR="00E77F77">
        <w:t>2</w:t>
      </w:r>
      <w:r w:rsidR="000A6789">
        <w:t> </w:t>
      </w:r>
      <w:r w:rsidR="000A6789" w:rsidRPr="00891EFC">
        <w:t>months after the initiation of treatment</w:t>
      </w:r>
      <w:r w:rsidR="00E77F77">
        <w:t>.</w:t>
      </w:r>
      <w:r w:rsidR="005F7680" w:rsidRPr="00B02A1C">
        <w:rPr>
          <w:color w:val="000000"/>
        </w:rPr>
        <w:t xml:space="preserve"> </w:t>
      </w:r>
      <w:r w:rsidRPr="00B02A1C">
        <w:rPr>
          <w:color w:val="000000"/>
        </w:rPr>
        <w:t xml:space="preserve"> Patients should be</w:t>
      </w:r>
      <w:r w:rsidRPr="00417398">
        <w:rPr>
          <w:color w:val="000000"/>
        </w:rPr>
        <w:t xml:space="preserve"> monitored for pulmonary symptoms indicative of </w:t>
      </w:r>
      <w:r w:rsidR="00E77F77">
        <w:rPr>
          <w:color w:val="000000"/>
        </w:rPr>
        <w:t>ILD/</w:t>
      </w:r>
      <w:r w:rsidRPr="00417398">
        <w:rPr>
          <w:color w:val="000000"/>
        </w:rPr>
        <w:t xml:space="preserve">pneumonitis.  Other </w:t>
      </w:r>
      <w:r w:rsidR="00E77F77">
        <w:rPr>
          <w:color w:val="000000"/>
        </w:rPr>
        <w:t xml:space="preserve">potential </w:t>
      </w:r>
      <w:r w:rsidRPr="00417398">
        <w:rPr>
          <w:color w:val="000000"/>
        </w:rPr>
        <w:t xml:space="preserve">causes of pneumonitis should be excluded.  XALKORI should be permanently discontinued in patients diagnosed with treatment-related </w:t>
      </w:r>
      <w:r w:rsidR="00E77F77">
        <w:rPr>
          <w:color w:val="000000"/>
        </w:rPr>
        <w:t>ILD/</w:t>
      </w:r>
      <w:r w:rsidRPr="00417398">
        <w:rPr>
          <w:color w:val="000000"/>
        </w:rPr>
        <w:t>pneumonitis</w:t>
      </w:r>
      <w:r w:rsidR="00013F39">
        <w:rPr>
          <w:color w:val="000000"/>
        </w:rPr>
        <w:t xml:space="preserve"> (see </w:t>
      </w:r>
      <w:r w:rsidR="00013F39" w:rsidRPr="00BC6E1B">
        <w:rPr>
          <w:color w:val="000000"/>
        </w:rPr>
        <w:t>DOSAGE</w:t>
      </w:r>
      <w:r w:rsidR="00013F39" w:rsidRPr="00417398">
        <w:rPr>
          <w:color w:val="000000"/>
        </w:rPr>
        <w:t xml:space="preserve"> AND ADMINISTRATION</w:t>
      </w:r>
      <w:r w:rsidR="005B5402">
        <w:rPr>
          <w:color w:val="000000"/>
        </w:rPr>
        <w:t xml:space="preserve"> -</w:t>
      </w:r>
      <w:r w:rsidR="004F38C8">
        <w:rPr>
          <w:color w:val="000000"/>
        </w:rPr>
        <w:t xml:space="preserve"> </w:t>
      </w:r>
      <w:r w:rsidR="004F38C8" w:rsidRPr="00417398">
        <w:rPr>
          <w:color w:val="000000"/>
        </w:rPr>
        <w:t>Dose Modification</w:t>
      </w:r>
      <w:r w:rsidR="00013F39">
        <w:rPr>
          <w:color w:val="000000"/>
        </w:rPr>
        <w:t>)</w:t>
      </w:r>
      <w:r w:rsidR="00EB2444" w:rsidRPr="00417398">
        <w:rPr>
          <w:color w:val="000000"/>
        </w:rPr>
        <w:t>.</w:t>
      </w:r>
    </w:p>
    <w:p w:rsidR="00AE2948" w:rsidRPr="00417398" w:rsidRDefault="00AE2948" w:rsidP="00AE2948">
      <w:pPr>
        <w:pStyle w:val="PIHeading2"/>
        <w:rPr>
          <w:color w:val="000000"/>
        </w:rPr>
      </w:pPr>
      <w:r w:rsidRPr="00417398">
        <w:rPr>
          <w:color w:val="000000"/>
        </w:rPr>
        <w:t>QT Interval Prolongation</w:t>
      </w:r>
    </w:p>
    <w:p w:rsidR="00AE2948" w:rsidRPr="00417398" w:rsidRDefault="00AE2948" w:rsidP="0000512F">
      <w:pPr>
        <w:pStyle w:val="PINormal"/>
        <w:keepLines/>
        <w:rPr>
          <w:color w:val="000000"/>
        </w:rPr>
      </w:pPr>
      <w:r w:rsidRPr="00417398">
        <w:rPr>
          <w:color w:val="000000"/>
        </w:rPr>
        <w:t>Automated machine-read QTc prolongation without accompanying arrhythmia has been observed</w:t>
      </w:r>
      <w:r w:rsidR="00C53128">
        <w:rPr>
          <w:color w:val="000000"/>
        </w:rPr>
        <w:t xml:space="preserve"> </w:t>
      </w:r>
      <w:r w:rsidR="00C53128" w:rsidRPr="00417398">
        <w:rPr>
          <w:color w:val="000000"/>
        </w:rPr>
        <w:t xml:space="preserve">(see </w:t>
      </w:r>
      <w:r w:rsidR="00C53128">
        <w:t xml:space="preserve">PHARMACOLOGY - </w:t>
      </w:r>
      <w:r w:rsidR="00C53128" w:rsidRPr="0045680A">
        <w:rPr>
          <w:i/>
          <w:color w:val="000000"/>
        </w:rPr>
        <w:t>Cardiac Electrophysiology</w:t>
      </w:r>
      <w:r w:rsidR="00C53128" w:rsidRPr="00417398">
        <w:rPr>
          <w:color w:val="000000"/>
        </w:rPr>
        <w:t>)</w:t>
      </w:r>
      <w:r w:rsidRPr="00417398">
        <w:rPr>
          <w:color w:val="000000"/>
        </w:rPr>
        <w:t xml:space="preserve">.  XALKORI should be administered with caution to patients who have a history of or predisposition for QTc prolongation, or who are taking medications that are known to prolong the QT interval.  When using XALKORI in these patients, periodic monitoring with electrocardiograms and electrolytes should be considered.  </w:t>
      </w:r>
      <w:r w:rsidR="009F7BD3">
        <w:rPr>
          <w:color w:val="000000"/>
        </w:rPr>
        <w:t xml:space="preserve">For </w:t>
      </w:r>
      <w:r w:rsidRPr="00417398">
        <w:rPr>
          <w:color w:val="000000"/>
        </w:rPr>
        <w:t xml:space="preserve">patients who develop QTc prolongation, see </w:t>
      </w:r>
      <w:r w:rsidR="00EB2444" w:rsidRPr="00BC6E1B">
        <w:rPr>
          <w:color w:val="000000"/>
        </w:rPr>
        <w:t>DOSAGE AND</w:t>
      </w:r>
      <w:r w:rsidR="00EB2444" w:rsidRPr="00417398">
        <w:rPr>
          <w:color w:val="000000"/>
        </w:rPr>
        <w:t xml:space="preserve"> ADMINISTRATION</w:t>
      </w:r>
      <w:r w:rsidR="005B5402">
        <w:rPr>
          <w:color w:val="000000"/>
        </w:rPr>
        <w:t xml:space="preserve"> -</w:t>
      </w:r>
      <w:r w:rsidR="00BC6E1B">
        <w:rPr>
          <w:color w:val="000000"/>
        </w:rPr>
        <w:t xml:space="preserve"> </w:t>
      </w:r>
      <w:r w:rsidR="00BC6E1B" w:rsidRPr="00417398">
        <w:rPr>
          <w:color w:val="000000"/>
        </w:rPr>
        <w:t>Dose Modification</w:t>
      </w:r>
      <w:r w:rsidR="00235FC0" w:rsidRPr="00235FC0">
        <w:t>.</w:t>
      </w:r>
    </w:p>
    <w:p w:rsidR="009959F1" w:rsidRPr="00417398" w:rsidRDefault="009959F1" w:rsidP="009959F1">
      <w:pPr>
        <w:pStyle w:val="PIHeading2"/>
        <w:rPr>
          <w:color w:val="000000"/>
        </w:rPr>
      </w:pPr>
      <w:r>
        <w:rPr>
          <w:color w:val="000000"/>
        </w:rPr>
        <w:lastRenderedPageBreak/>
        <w:t>Bradycardia</w:t>
      </w:r>
    </w:p>
    <w:p w:rsidR="009959F1" w:rsidRPr="00BB7D93" w:rsidRDefault="00CA621B" w:rsidP="0000512F">
      <w:pPr>
        <w:pStyle w:val="PINormal"/>
        <w:keepLines/>
      </w:pPr>
      <w:r>
        <w:t>Brad</w:t>
      </w:r>
      <w:r w:rsidRPr="006D024A">
        <w:t xml:space="preserve">ycardia has been reported </w:t>
      </w:r>
      <w:r>
        <w:t xml:space="preserve">in </w:t>
      </w:r>
      <w:r w:rsidRPr="006D024A">
        <w:t>clinical studies</w:t>
      </w:r>
      <w:r>
        <w:t xml:space="preserve"> and it was usually asymptomatic</w:t>
      </w:r>
      <w:r w:rsidRPr="006D024A">
        <w:t xml:space="preserve">. </w:t>
      </w:r>
      <w:r>
        <w:t xml:space="preserve"> </w:t>
      </w:r>
      <w:r w:rsidRPr="006D024A">
        <w:t xml:space="preserve">The full effect of crizotinib on pulse rate may not develop until several weeks after start of treatment. </w:t>
      </w:r>
      <w:r>
        <w:t xml:space="preserve"> </w:t>
      </w:r>
      <w:r w:rsidRPr="006D024A">
        <w:t>Avoid using crizotinib in combination with other bradycardic agents (e.g., beta-blockers, non</w:t>
      </w:r>
      <w:r>
        <w:t>-</w:t>
      </w:r>
      <w:r w:rsidRPr="006D024A">
        <w:t xml:space="preserve">dihydropyridine calcium channel blockers such as verapamil and diltiazem, clonidine, digoxin) to the extent possible, due to the increased risk of symptomatic bradycardia (syncope, dizziness, hypotension). </w:t>
      </w:r>
      <w:r>
        <w:t xml:space="preserve"> </w:t>
      </w:r>
      <w:r w:rsidRPr="006D024A">
        <w:t xml:space="preserve">Monthly monitoring of pulse rate and blood pressure is recommended. </w:t>
      </w:r>
      <w:r>
        <w:t xml:space="preserve"> Dose modification is not required in cases of asymptomatic bradycardia.  </w:t>
      </w:r>
      <w:r w:rsidRPr="006D024A">
        <w:t xml:space="preserve">In cases of symptomatic bradycardia, crizotinib should be </w:t>
      </w:r>
      <w:r w:rsidR="00C53128">
        <w:t>with</w:t>
      </w:r>
      <w:r w:rsidRPr="006D024A">
        <w:t xml:space="preserve">held and the use of concomitant medications should be re-evaluated. For </w:t>
      </w:r>
      <w:r>
        <w:t xml:space="preserve">management of </w:t>
      </w:r>
      <w:r w:rsidRPr="006D024A">
        <w:t xml:space="preserve">patients who develop symptomatic bradycardia, see </w:t>
      </w:r>
      <w:r w:rsidRPr="00235FC0">
        <w:t>DOSAGE AND ADMINISTRATION - Dose Modification</w:t>
      </w:r>
      <w:r>
        <w:t xml:space="preserve"> and ADVERSE EFFECTS</w:t>
      </w:r>
      <w:r w:rsidRPr="006D024A">
        <w:t>).</w:t>
      </w:r>
    </w:p>
    <w:p w:rsidR="009959F1" w:rsidRPr="00417398" w:rsidRDefault="00F11AFE" w:rsidP="009959F1">
      <w:pPr>
        <w:pStyle w:val="PIHeading2"/>
        <w:rPr>
          <w:color w:val="000000"/>
        </w:rPr>
      </w:pPr>
      <w:r>
        <w:rPr>
          <w:color w:val="000000"/>
        </w:rPr>
        <w:t>Leu</w:t>
      </w:r>
      <w:r w:rsidR="00ED738E">
        <w:rPr>
          <w:color w:val="000000"/>
        </w:rPr>
        <w:t>c</w:t>
      </w:r>
      <w:r>
        <w:rPr>
          <w:color w:val="000000"/>
        </w:rPr>
        <w:t xml:space="preserve">openia </w:t>
      </w:r>
    </w:p>
    <w:p w:rsidR="009959F1" w:rsidRPr="000452D4" w:rsidRDefault="009959F1" w:rsidP="0000512F">
      <w:pPr>
        <w:pStyle w:val="PINormal"/>
        <w:keepLines/>
      </w:pPr>
      <w:r w:rsidRPr="004F38C8">
        <w:t xml:space="preserve">Crizotinib has been associated with neutropenia and, less commonly, febrile neutropenia. </w:t>
      </w:r>
      <w:r w:rsidRPr="00235FC0">
        <w:t xml:space="preserve">About </w:t>
      </w:r>
      <w:r w:rsidR="00EE252B" w:rsidRPr="00235FC0">
        <w:t>9</w:t>
      </w:r>
      <w:r w:rsidRPr="00235FC0">
        <w:t>%</w:t>
      </w:r>
      <w:r w:rsidR="00497EBA" w:rsidRPr="00235FC0">
        <w:t xml:space="preserve"> </w:t>
      </w:r>
      <w:r w:rsidRPr="00235FC0">
        <w:t xml:space="preserve">of </w:t>
      </w:r>
      <w:r w:rsidR="00CD65EA" w:rsidRPr="00235FC0">
        <w:t>patients</w:t>
      </w:r>
      <w:r w:rsidRPr="00235FC0">
        <w:t xml:space="preserve"> treated with crizotinib </w:t>
      </w:r>
      <w:r w:rsidR="00CD65EA" w:rsidRPr="00235FC0">
        <w:t>had</w:t>
      </w:r>
      <w:r w:rsidRPr="00235FC0">
        <w:t xml:space="preserve"> Grade 3-4 neutropenia, at which point dosing interruption is recommended (see DOSAGE AND ADMINISTRATION</w:t>
      </w:r>
      <w:r w:rsidR="005B5402" w:rsidRPr="00235FC0">
        <w:t xml:space="preserve"> -</w:t>
      </w:r>
      <w:r w:rsidR="004F38C8" w:rsidRPr="00235FC0">
        <w:t xml:space="preserve"> </w:t>
      </w:r>
      <w:r w:rsidRPr="00235FC0">
        <w:t xml:space="preserve">Dose Modification).  Onset of neutropenia may </w:t>
      </w:r>
      <w:r w:rsidR="00883B01" w:rsidRPr="00235FC0">
        <w:t>occur</w:t>
      </w:r>
      <w:r w:rsidRPr="00235FC0">
        <w:t xml:space="preserve"> after many months of exposure to crizotinib.  Lymphopenia has also been observed. </w:t>
      </w:r>
      <w:r w:rsidR="00883B01" w:rsidRPr="00235FC0">
        <w:t xml:space="preserve"> </w:t>
      </w:r>
      <w:r w:rsidRPr="00235FC0">
        <w:t xml:space="preserve">Monitor white </w:t>
      </w:r>
      <w:r w:rsidR="001B6897" w:rsidRPr="00235FC0">
        <w:t xml:space="preserve">blood </w:t>
      </w:r>
      <w:r w:rsidRPr="00235FC0">
        <w:t>cell count (including differential count) monthly and additionally as clinically indicated (e.g.</w:t>
      </w:r>
      <w:r w:rsidR="001B6897" w:rsidRPr="00235FC0">
        <w:t>,</w:t>
      </w:r>
      <w:r w:rsidRPr="00235FC0">
        <w:t xml:space="preserve"> if Grade 3-4 abnormalities are observed</w:t>
      </w:r>
      <w:r w:rsidR="001B6897" w:rsidRPr="00235FC0">
        <w:t>,</w:t>
      </w:r>
      <w:r w:rsidRPr="00235FC0">
        <w:t xml:space="preserve"> or if fever or infection occurs)</w:t>
      </w:r>
      <w:r w:rsidRPr="006B168E">
        <w:rPr>
          <w:color w:val="3333FF"/>
        </w:rPr>
        <w:t>.</w:t>
      </w:r>
    </w:p>
    <w:p w:rsidR="000A6789" w:rsidRPr="00F171BC" w:rsidRDefault="000A6789" w:rsidP="000A6789">
      <w:pPr>
        <w:pStyle w:val="PIHeading2"/>
        <w:rPr>
          <w:i/>
        </w:rPr>
      </w:pPr>
      <w:r w:rsidRPr="00F171BC">
        <w:t>Effects on Fertility</w:t>
      </w:r>
      <w:r>
        <w:t xml:space="preserve"> </w:t>
      </w:r>
    </w:p>
    <w:p w:rsidR="000A6789" w:rsidRPr="00D80E96" w:rsidRDefault="000A6789" w:rsidP="0000512F">
      <w:pPr>
        <w:pStyle w:val="PINormal"/>
        <w:keepLines/>
        <w:rPr>
          <w:color w:val="000000"/>
        </w:rPr>
      </w:pPr>
      <w:r w:rsidRPr="00D80E96">
        <w:t xml:space="preserve">No specific studies with crizotinib have been conducted in animals to evaluate the effect on fertility; however, crizotinib is considered to have the potential to impair reproductive function and fertility in humans based on findings in repeat-dose toxicity studies in the rat.  Findings observed in the male reproductive tract included testicular pachytene spermatocyte degeneration in rats given </w:t>
      </w:r>
      <w:r w:rsidR="00DF5DF1">
        <w:t>≥</w:t>
      </w:r>
      <w:r w:rsidRPr="00D80E96">
        <w:t xml:space="preserve">50 mg/kg/day for 28 days (approximately </w:t>
      </w:r>
      <w:r w:rsidR="00BA075E">
        <w:t>3</w:t>
      </w:r>
      <w:r w:rsidRPr="00D80E96">
        <w:t>-fold human clinical exposure based on AUC)</w:t>
      </w:r>
      <w:r w:rsidRPr="00D80E96">
        <w:rPr>
          <w:rFonts w:eastAsia="MS Mincho"/>
          <w:color w:val="000000"/>
          <w:lang w:eastAsia="ja-JP"/>
        </w:rPr>
        <w:t>.</w:t>
      </w:r>
      <w:r w:rsidRPr="000D5917">
        <w:rPr>
          <w:rFonts w:eastAsia="MS Mincho"/>
          <w:color w:val="3333FF"/>
          <w:lang w:eastAsia="ja-JP"/>
        </w:rPr>
        <w:t xml:space="preserve"> </w:t>
      </w:r>
      <w:r w:rsidRPr="00D80E96">
        <w:rPr>
          <w:rFonts w:eastAsia="MS Mincho"/>
          <w:color w:val="0000FF"/>
          <w:lang w:eastAsia="ja-JP"/>
        </w:rPr>
        <w:t xml:space="preserve"> </w:t>
      </w:r>
      <w:r w:rsidRPr="00D80E96">
        <w:t>Findings observed in the female reproductive tract included single-cell necrosis of ovarian follicles of a rat given 500 mg/kg/day for 3 days</w:t>
      </w:r>
      <w:r w:rsidRPr="00D80E96">
        <w:rPr>
          <w:color w:val="000000"/>
        </w:rPr>
        <w:t>.</w:t>
      </w:r>
      <w:r w:rsidR="00E30103" w:rsidRPr="00D80E96">
        <w:rPr>
          <w:color w:val="000000"/>
        </w:rPr>
        <w:t xml:space="preserve">  </w:t>
      </w:r>
      <w:r w:rsidR="00E30103" w:rsidRPr="000567E5">
        <w:rPr>
          <w:color w:val="000000"/>
        </w:rPr>
        <w:t>Exposure at the no effect level was approximately equivalent to the clinical AUC in males and 4 times the clinical AUC i</w:t>
      </w:r>
      <w:r w:rsidR="0069043E" w:rsidRPr="000567E5">
        <w:rPr>
          <w:color w:val="000000"/>
        </w:rPr>
        <w:t>n</w:t>
      </w:r>
      <w:r w:rsidR="00E30103" w:rsidRPr="000567E5">
        <w:rPr>
          <w:color w:val="000000"/>
        </w:rPr>
        <w:t xml:space="preserve"> females.</w:t>
      </w:r>
    </w:p>
    <w:p w:rsidR="000A6789" w:rsidRPr="003E4492" w:rsidRDefault="000A6789" w:rsidP="003E4492">
      <w:pPr>
        <w:pStyle w:val="PINormal"/>
      </w:pPr>
      <w:r w:rsidRPr="003E4492">
        <w:t xml:space="preserve">Based on nonclinical safety findings, male and female fertility may be compromised by treatment with </w:t>
      </w:r>
      <w:r w:rsidRPr="003E4492">
        <w:rPr>
          <w:color w:val="000000"/>
        </w:rPr>
        <w:t>XALKORI</w:t>
      </w:r>
      <w:r w:rsidRPr="003E4492">
        <w:t>.</w:t>
      </w:r>
    </w:p>
    <w:p w:rsidR="002952D3" w:rsidRPr="00417398" w:rsidRDefault="002162E9" w:rsidP="00096A09">
      <w:pPr>
        <w:pStyle w:val="PIHeading2"/>
        <w:rPr>
          <w:color w:val="000000"/>
        </w:rPr>
      </w:pPr>
      <w:r w:rsidRPr="00417398">
        <w:rPr>
          <w:color w:val="000000"/>
        </w:rPr>
        <w:t>Use in Pregnancy</w:t>
      </w:r>
      <w:r w:rsidR="008C6495" w:rsidRPr="00417398">
        <w:rPr>
          <w:color w:val="000000"/>
        </w:rPr>
        <w:t xml:space="preserve"> </w:t>
      </w:r>
      <w:r w:rsidR="002952D3" w:rsidRPr="00417398">
        <w:rPr>
          <w:color w:val="000000"/>
        </w:rPr>
        <w:t xml:space="preserve"> </w:t>
      </w:r>
      <w:r w:rsidR="002952D3" w:rsidRPr="00417398">
        <w:rPr>
          <w:b w:val="0"/>
          <w:color w:val="000000"/>
        </w:rPr>
        <w:t xml:space="preserve">Pregnancy Category </w:t>
      </w:r>
      <w:r w:rsidR="00617FBC" w:rsidRPr="00417398">
        <w:rPr>
          <w:b w:val="0"/>
          <w:color w:val="000000"/>
        </w:rPr>
        <w:t>D</w:t>
      </w:r>
      <w:r w:rsidR="005D3FDA" w:rsidRPr="00417398">
        <w:rPr>
          <w:b w:val="0"/>
          <w:color w:val="000000"/>
          <w:highlight w:val="yellow"/>
        </w:rPr>
        <w:t xml:space="preserve"> </w:t>
      </w:r>
    </w:p>
    <w:p w:rsidR="000A6789" w:rsidRPr="00BF6377" w:rsidRDefault="000A6789" w:rsidP="000A6789">
      <w:pPr>
        <w:pStyle w:val="PINormal"/>
        <w:keepLines/>
      </w:pPr>
      <w:r w:rsidRPr="00AE57A7">
        <w:rPr>
          <w:color w:val="000000"/>
        </w:rPr>
        <w:t>XALKORI</w:t>
      </w:r>
      <w:r w:rsidRPr="0087340C">
        <w:t xml:space="preserve"> </w:t>
      </w:r>
      <w:r w:rsidRPr="00891EFC">
        <w:t xml:space="preserve">may cause fetal harm when administered to a pregnant woman.  </w:t>
      </w:r>
      <w:r w:rsidR="00E30103" w:rsidRPr="00417398">
        <w:rPr>
          <w:color w:val="000000"/>
        </w:rPr>
        <w:t xml:space="preserve">There are no adequate and well-controlled studies in pregnant women using XALKORI. </w:t>
      </w:r>
      <w:r w:rsidR="00E30103">
        <w:rPr>
          <w:color w:val="000000"/>
        </w:rPr>
        <w:t xml:space="preserve"> </w:t>
      </w:r>
      <w:r w:rsidRPr="00891EFC">
        <w:t>Crizotinib was not shown to be teratogenic in pregnant rats or rabbits</w:t>
      </w:r>
      <w:r w:rsidR="00E30103">
        <w:rPr>
          <w:color w:val="000000"/>
        </w:rPr>
        <w:t>, but the maximum doses (</w:t>
      </w:r>
      <w:r w:rsidR="00E30103" w:rsidRPr="00417398">
        <w:rPr>
          <w:color w:val="000000"/>
        </w:rPr>
        <w:t>200 and 60 mg/kg/day</w:t>
      </w:r>
      <w:r w:rsidR="00E30103">
        <w:rPr>
          <w:color w:val="000000"/>
        </w:rPr>
        <w:t>, respectively) were low, resulting in maximum exposures of only 5 and 3 times the clinical exposure based on AUC in rats and rabbits, respectively</w:t>
      </w:r>
      <w:r w:rsidRPr="00891EFC">
        <w:t xml:space="preserve">.  Reduced fetal body weights were </w:t>
      </w:r>
      <w:r w:rsidR="00E30103">
        <w:rPr>
          <w:color w:val="000000"/>
        </w:rPr>
        <w:t xml:space="preserve">observed in both species </w:t>
      </w:r>
      <w:r w:rsidRPr="00891EFC">
        <w:t>at 200 and 60</w:t>
      </w:r>
      <w:r>
        <w:t> </w:t>
      </w:r>
      <w:r w:rsidRPr="00891EFC">
        <w:t>mg/kg/day</w:t>
      </w:r>
      <w:r w:rsidR="00E30103" w:rsidRPr="00E30103">
        <w:rPr>
          <w:color w:val="000000"/>
        </w:rPr>
        <w:t xml:space="preserve"> </w:t>
      </w:r>
      <w:r w:rsidR="00E30103">
        <w:rPr>
          <w:color w:val="000000"/>
        </w:rPr>
        <w:t>in the rat and rabbit</w:t>
      </w:r>
      <w:r w:rsidRPr="00891EFC">
        <w:t>, respectively</w:t>
      </w:r>
      <w:r w:rsidR="00E30103" w:rsidRPr="00E30103">
        <w:rPr>
          <w:color w:val="000000"/>
        </w:rPr>
        <w:t xml:space="preserve"> </w:t>
      </w:r>
      <w:r w:rsidR="00E30103">
        <w:rPr>
          <w:color w:val="000000"/>
        </w:rPr>
        <w:t>and were considered adverse effects</w:t>
      </w:r>
      <w:r w:rsidR="00E30103" w:rsidRPr="00417398">
        <w:rPr>
          <w:color w:val="000000"/>
        </w:rPr>
        <w:t>.</w:t>
      </w:r>
      <w:r w:rsidR="00E30103">
        <w:rPr>
          <w:color w:val="000000"/>
        </w:rPr>
        <w:t xml:space="preserve">  Exposure at the no effect level was similar to or below the human clinical exposure based on AUC</w:t>
      </w:r>
      <w:r w:rsidR="00C83D12" w:rsidRPr="000D5917">
        <w:rPr>
          <w:color w:val="3333FF"/>
        </w:rPr>
        <w:t>.</w:t>
      </w:r>
    </w:p>
    <w:p w:rsidR="0093588D" w:rsidRDefault="0093588D" w:rsidP="00096A09">
      <w:pPr>
        <w:pStyle w:val="PINormal"/>
        <w:keepLines/>
      </w:pPr>
      <w:r w:rsidRPr="00417398">
        <w:rPr>
          <w:color w:val="000000"/>
        </w:rPr>
        <w:lastRenderedPageBreak/>
        <w:t>Women of childbearing potential should be advised to avoid becoming pregnant while</w:t>
      </w:r>
      <w:r w:rsidRPr="008A6ED7">
        <w:t xml:space="preserve"> receiving </w:t>
      </w:r>
      <w:r w:rsidRPr="0087340C">
        <w:t>XALKORI.</w:t>
      </w:r>
      <w:r>
        <w:t xml:space="preserve">  </w:t>
      </w:r>
      <w:r w:rsidR="005E7482" w:rsidRPr="00612BE7">
        <w:t xml:space="preserve">Women of childbearing potential who are receiving this drug, or partners of women of childbearing potential receiving this drug, should use </w:t>
      </w:r>
      <w:r w:rsidR="005E7482">
        <w:t>a</w:t>
      </w:r>
      <w:r w:rsidRPr="00891EFC">
        <w:t>dequate contraceptive method</w:t>
      </w:r>
      <w:r>
        <w:t>s during therapy</w:t>
      </w:r>
      <w:r w:rsidRPr="00891EFC">
        <w:t xml:space="preserve"> and for at least 90</w:t>
      </w:r>
      <w:r>
        <w:t> </w:t>
      </w:r>
      <w:r w:rsidRPr="00891EFC">
        <w:t>days after completing therapy.</w:t>
      </w:r>
    </w:p>
    <w:p w:rsidR="005D3FDA" w:rsidRPr="00014743" w:rsidRDefault="00014743" w:rsidP="00096A09">
      <w:pPr>
        <w:pStyle w:val="PINormal"/>
        <w:keepLines/>
      </w:pPr>
      <w:r w:rsidRPr="00014743">
        <w:t>Female patients taking crizotinib during pregnancy or who become pregnant while taking crizotinib should be apprised of the potential hazard to a fetus.</w:t>
      </w:r>
      <w:r>
        <w:t xml:space="preserve"> </w:t>
      </w:r>
      <w:r w:rsidRPr="00014743">
        <w:t xml:space="preserve"> Male patients taking crizotinib should also be apprised of the potential hazard to a fetus if their partner is or should become pregnant.</w:t>
      </w:r>
    </w:p>
    <w:p w:rsidR="002162E9" w:rsidRPr="00F171BC" w:rsidRDefault="002162E9" w:rsidP="00056EF5">
      <w:pPr>
        <w:pStyle w:val="PIHeading2"/>
        <w:rPr>
          <w:color w:val="000000"/>
        </w:rPr>
      </w:pPr>
      <w:r w:rsidRPr="00F171BC">
        <w:rPr>
          <w:color w:val="000000"/>
        </w:rPr>
        <w:t>Use in Lactation</w:t>
      </w:r>
      <w:r w:rsidR="00BC5FEB" w:rsidRPr="00F171BC">
        <w:rPr>
          <w:color w:val="000000"/>
        </w:rPr>
        <w:t xml:space="preserve"> </w:t>
      </w:r>
    </w:p>
    <w:p w:rsidR="00E27227" w:rsidRPr="0033736C" w:rsidRDefault="00E27227" w:rsidP="00096A09">
      <w:pPr>
        <w:keepLines/>
        <w:autoSpaceDE w:val="0"/>
        <w:autoSpaceDN w:val="0"/>
        <w:adjustRightInd w:val="0"/>
        <w:rPr>
          <w:szCs w:val="22"/>
          <w:lang w:val="en-US"/>
        </w:rPr>
      </w:pPr>
      <w:r w:rsidRPr="0033736C">
        <w:rPr>
          <w:szCs w:val="22"/>
          <w:lang w:val="en-US"/>
        </w:rPr>
        <w:t xml:space="preserve">It is not known whether </w:t>
      </w:r>
      <w:r>
        <w:rPr>
          <w:szCs w:val="22"/>
          <w:lang w:val="en-US"/>
        </w:rPr>
        <w:t>crizotinib</w:t>
      </w:r>
      <w:r w:rsidRPr="0033736C">
        <w:rPr>
          <w:szCs w:val="22"/>
          <w:lang w:val="en-US"/>
        </w:rPr>
        <w:t xml:space="preserve"> </w:t>
      </w:r>
      <w:r>
        <w:rPr>
          <w:szCs w:val="22"/>
          <w:lang w:val="en-US"/>
        </w:rPr>
        <w:t>and its metabolites are</w:t>
      </w:r>
      <w:r w:rsidRPr="0033736C">
        <w:rPr>
          <w:szCs w:val="22"/>
          <w:lang w:val="en-US"/>
        </w:rPr>
        <w:t xml:space="preserve"> excreted in human milk.  </w:t>
      </w:r>
      <w:r w:rsidR="005E7482" w:rsidRPr="005E7482">
        <w:t xml:space="preserve"> </w:t>
      </w:r>
      <w:r w:rsidR="005E7482" w:rsidRPr="001A457F">
        <w:t xml:space="preserve">Because many drugs are excreted in human milk and because of the potential for serious adverse reactions in nursing infants </w:t>
      </w:r>
      <w:r w:rsidR="005E7482">
        <w:t>from</w:t>
      </w:r>
      <w:r w:rsidR="005E7482" w:rsidRPr="001A457F">
        <w:t xml:space="preserve"> exposure to crizotinib, </w:t>
      </w:r>
      <w:r w:rsidR="005E7482" w:rsidRPr="00FC6436">
        <w:t>a decision should be made whether to discontinue nursing or to discontinue the drug</w:t>
      </w:r>
      <w:r w:rsidR="005E7482">
        <w:t xml:space="preserve">, </w:t>
      </w:r>
      <w:r w:rsidR="005E7482" w:rsidRPr="00FC6436">
        <w:t>taking into account the importance of the drug to the mother.</w:t>
      </w:r>
    </w:p>
    <w:p w:rsidR="00B041F6" w:rsidRPr="00417398" w:rsidRDefault="00B041F6" w:rsidP="00056EF5">
      <w:pPr>
        <w:pStyle w:val="PIHeading2"/>
        <w:rPr>
          <w:color w:val="000000"/>
        </w:rPr>
      </w:pPr>
      <w:r w:rsidRPr="00417398">
        <w:rPr>
          <w:color w:val="000000"/>
        </w:rPr>
        <w:t>P</w:t>
      </w:r>
      <w:r w:rsidR="00C60D8D">
        <w:rPr>
          <w:color w:val="000000"/>
        </w:rPr>
        <w:t>a</w:t>
      </w:r>
      <w:r w:rsidRPr="00417398">
        <w:rPr>
          <w:color w:val="000000"/>
        </w:rPr>
        <w:t>ediatric Use</w:t>
      </w:r>
      <w:r w:rsidR="00BC5FEB" w:rsidRPr="00417398">
        <w:rPr>
          <w:color w:val="000000"/>
        </w:rPr>
        <w:t xml:space="preserve"> </w:t>
      </w:r>
    </w:p>
    <w:p w:rsidR="000444F9" w:rsidRPr="00C60D8D" w:rsidRDefault="000A6789" w:rsidP="00C60D8D">
      <w:pPr>
        <w:pStyle w:val="PINormal"/>
      </w:pPr>
      <w:r w:rsidRPr="00C60D8D">
        <w:t>The safety and efficacy of XALKORI</w:t>
      </w:r>
      <w:r w:rsidRPr="00C60D8D" w:rsidDel="003969AB">
        <w:t xml:space="preserve"> </w:t>
      </w:r>
      <w:r w:rsidRPr="00C60D8D">
        <w:t>in p</w:t>
      </w:r>
      <w:r w:rsidR="00C60D8D">
        <w:t>a</w:t>
      </w:r>
      <w:r w:rsidRPr="00C60D8D">
        <w:t xml:space="preserve">ediatric patients have not been established.  </w:t>
      </w:r>
    </w:p>
    <w:p w:rsidR="000A6789" w:rsidRPr="00025122" w:rsidRDefault="000A6789" w:rsidP="0000512F">
      <w:pPr>
        <w:pStyle w:val="PINormal"/>
        <w:keepLines/>
        <w:rPr>
          <w:b/>
          <w:szCs w:val="24"/>
        </w:rPr>
      </w:pPr>
      <w:r w:rsidRPr="00025122">
        <w:t xml:space="preserve">Decreased bone formation in growing long bones was observed in immature rats at 150 mg/kg/day following once daily dosing for 28 days (approximately </w:t>
      </w:r>
      <w:r w:rsidR="00E82A53">
        <w:t>10</w:t>
      </w:r>
      <w:r w:rsidRPr="00025122">
        <w:t xml:space="preserve"> times human clinical exposure based on AUC</w:t>
      </w:r>
      <w:r w:rsidR="00E82A53" w:rsidRPr="00E82A53">
        <w:rPr>
          <w:color w:val="000000"/>
        </w:rPr>
        <w:t xml:space="preserve"> </w:t>
      </w:r>
      <w:r w:rsidR="00E82A53">
        <w:rPr>
          <w:color w:val="000000"/>
        </w:rPr>
        <w:t>in adult patients</w:t>
      </w:r>
      <w:r w:rsidR="00E82A53" w:rsidRPr="00417398">
        <w:rPr>
          <w:color w:val="000000"/>
        </w:rPr>
        <w:t>)</w:t>
      </w:r>
      <w:r w:rsidR="00E82A53" w:rsidRPr="00417398">
        <w:rPr>
          <w:rFonts w:ascii="TimesNewRomanPSMT" w:eastAsia="MS Mincho" w:hAnsi="TimesNewRomanPSMT" w:cs="TimesNewRomanPSMT"/>
          <w:color w:val="000000"/>
          <w:lang w:eastAsia="ja-JP"/>
        </w:rPr>
        <w:t xml:space="preserve">.  </w:t>
      </w:r>
      <w:r w:rsidR="00E82A53">
        <w:rPr>
          <w:color w:val="000000"/>
        </w:rPr>
        <w:t>Exposure at the no effect level was approximately 3 times the AUC in adult patients at the recommended human dose</w:t>
      </w:r>
      <w:r w:rsidRPr="00D80E96">
        <w:rPr>
          <w:rFonts w:eastAsia="MS Mincho"/>
          <w:color w:val="000000"/>
          <w:lang w:eastAsia="ja-JP"/>
        </w:rPr>
        <w:t>.</w:t>
      </w:r>
      <w:r>
        <w:rPr>
          <w:rFonts w:ascii="TimesNewRomanPSMT" w:eastAsia="MS Mincho" w:hAnsi="TimesNewRomanPSMT" w:cs="TimesNewRomanPSMT"/>
          <w:color w:val="000000"/>
          <w:lang w:eastAsia="ja-JP"/>
        </w:rPr>
        <w:t xml:space="preserve"> </w:t>
      </w:r>
      <w:r w:rsidRPr="000D5917">
        <w:rPr>
          <w:rFonts w:ascii="TimesNewRomanPSMT" w:eastAsia="MS Mincho" w:hAnsi="TimesNewRomanPSMT" w:cs="TimesNewRomanPSMT"/>
          <w:color w:val="3333FF"/>
          <w:lang w:eastAsia="ja-JP"/>
        </w:rPr>
        <w:t xml:space="preserve"> </w:t>
      </w:r>
      <w:r w:rsidRPr="00025122">
        <w:t>Other toxicities of potential concern to p</w:t>
      </w:r>
      <w:r w:rsidR="00C60D8D">
        <w:t>a</w:t>
      </w:r>
      <w:r w:rsidRPr="00025122">
        <w:t>ediatric patients have not been evaluated in juvenile animals.</w:t>
      </w:r>
    </w:p>
    <w:p w:rsidR="002162E9" w:rsidRPr="00417398" w:rsidRDefault="002162E9" w:rsidP="00056EF5">
      <w:pPr>
        <w:pStyle w:val="PIHeading2"/>
        <w:rPr>
          <w:color w:val="000000"/>
        </w:rPr>
      </w:pPr>
      <w:r w:rsidRPr="00417398">
        <w:rPr>
          <w:color w:val="000000"/>
        </w:rPr>
        <w:t>Use in the Elderly</w:t>
      </w:r>
      <w:r w:rsidR="001C2A77">
        <w:rPr>
          <w:color w:val="000000"/>
        </w:rPr>
        <w:t xml:space="preserve"> </w:t>
      </w:r>
    </w:p>
    <w:p w:rsidR="008C6495" w:rsidRPr="00417398" w:rsidRDefault="00745619" w:rsidP="0000512F">
      <w:pPr>
        <w:pStyle w:val="PINormal"/>
        <w:keepLines/>
        <w:rPr>
          <w:b/>
          <w:szCs w:val="24"/>
        </w:rPr>
      </w:pPr>
      <w:r w:rsidRPr="001A457F">
        <w:t xml:space="preserve">Of the </w:t>
      </w:r>
      <w:r>
        <w:t>172</w:t>
      </w:r>
      <w:r w:rsidRPr="001A457F">
        <w:t xml:space="preserve"> </w:t>
      </w:r>
      <w:r>
        <w:t>crizotinib</w:t>
      </w:r>
      <w:r w:rsidR="00CE187D">
        <w:noBreakHyphen/>
      </w:r>
      <w:r>
        <w:t xml:space="preserve">treated </w:t>
      </w:r>
      <w:r w:rsidRPr="001A457F">
        <w:t>patients in Study</w:t>
      </w:r>
      <w:r>
        <w:t xml:space="preserve"> 1007</w:t>
      </w:r>
      <w:r w:rsidRPr="001A457F">
        <w:t xml:space="preserve">, </w:t>
      </w:r>
      <w:r>
        <w:t>27</w:t>
      </w:r>
      <w:r w:rsidRPr="001A457F">
        <w:t xml:space="preserve"> (</w:t>
      </w:r>
      <w:r>
        <w:t>16</w:t>
      </w:r>
      <w:r w:rsidRPr="001A457F">
        <w:t>%) were 65 years</w:t>
      </w:r>
      <w:r>
        <w:t xml:space="preserve"> or older.  </w:t>
      </w:r>
      <w:r w:rsidR="00AE2948" w:rsidRPr="00417398">
        <w:t xml:space="preserve">Of the </w:t>
      </w:r>
      <w:r w:rsidR="000B601C">
        <w:t>149</w:t>
      </w:r>
      <w:r w:rsidR="000B601C" w:rsidRPr="00417398">
        <w:t xml:space="preserve"> </w:t>
      </w:r>
      <w:r w:rsidR="00AE2948" w:rsidRPr="00417398">
        <w:t xml:space="preserve">patients in Study </w:t>
      </w:r>
      <w:r w:rsidR="00C82E99">
        <w:t>1001</w:t>
      </w:r>
      <w:r w:rsidR="00AE2948" w:rsidRPr="00401890">
        <w:t xml:space="preserve">, </w:t>
      </w:r>
      <w:r w:rsidR="00401890" w:rsidRPr="00401890">
        <w:t>20</w:t>
      </w:r>
      <w:r w:rsidR="00AE2948" w:rsidRPr="00401890">
        <w:t xml:space="preserve"> (13%) were</w:t>
      </w:r>
      <w:r w:rsidR="00AE2948" w:rsidRPr="00417398">
        <w:t xml:space="preserve"> 65 years or older.  Of the</w:t>
      </w:r>
      <w:r w:rsidR="00C60D8D">
        <w:t xml:space="preserve"> </w:t>
      </w:r>
      <w:r w:rsidR="00AC1529">
        <w:t>934</w:t>
      </w:r>
      <w:r w:rsidR="004F3871">
        <w:t> </w:t>
      </w:r>
      <w:r w:rsidR="00AE2948" w:rsidRPr="00417398">
        <w:t>patients in Study </w:t>
      </w:r>
      <w:r w:rsidR="00C82E99">
        <w:t>100</w:t>
      </w:r>
      <w:r w:rsidR="00AC1529">
        <w:t>5</w:t>
      </w:r>
      <w:r w:rsidR="00AE2948" w:rsidRPr="00417398">
        <w:t xml:space="preserve">, </w:t>
      </w:r>
      <w:r w:rsidR="00CE187D">
        <w:t xml:space="preserve">152 </w:t>
      </w:r>
      <w:r w:rsidR="00AE2948" w:rsidRPr="00417398">
        <w:t>(</w:t>
      </w:r>
      <w:r w:rsidR="00CE187D">
        <w:t>16</w:t>
      </w:r>
      <w:r w:rsidR="00AE2948" w:rsidRPr="00417398">
        <w:t xml:space="preserve">%) were 65 years or older.  </w:t>
      </w:r>
      <w:r w:rsidRPr="00745619">
        <w:t xml:space="preserve"> </w:t>
      </w:r>
      <w:r w:rsidR="00B83FE2">
        <w:t xml:space="preserve"> </w:t>
      </w:r>
      <w:r>
        <w:t>N</w:t>
      </w:r>
      <w:r w:rsidRPr="001A457F">
        <w:t>o overall differences in safety or efficacy were observed in comparison with younger patients.</w:t>
      </w:r>
      <w:r w:rsidR="00162B03" w:rsidRPr="00417398">
        <w:rPr>
          <w:b/>
          <w:szCs w:val="24"/>
        </w:rPr>
        <w:t xml:space="preserve"> </w:t>
      </w:r>
    </w:p>
    <w:p w:rsidR="002162E9" w:rsidRPr="00417398" w:rsidRDefault="002162E9" w:rsidP="00056EF5">
      <w:pPr>
        <w:pStyle w:val="PIHeading2"/>
        <w:rPr>
          <w:color w:val="000000"/>
        </w:rPr>
      </w:pPr>
      <w:r w:rsidRPr="00417398">
        <w:rPr>
          <w:color w:val="000000"/>
        </w:rPr>
        <w:t>Use in Hepatic Impairment</w:t>
      </w:r>
      <w:r w:rsidR="00BC5FEB" w:rsidRPr="00417398">
        <w:rPr>
          <w:color w:val="000000"/>
        </w:rPr>
        <w:t xml:space="preserve"> </w:t>
      </w:r>
    </w:p>
    <w:p w:rsidR="00516317" w:rsidRPr="00883897" w:rsidRDefault="00516317" w:rsidP="0000512F">
      <w:pPr>
        <w:pStyle w:val="PINormal"/>
        <w:keepLines/>
        <w:rPr>
          <w:color w:val="000000"/>
        </w:rPr>
      </w:pPr>
      <w:r w:rsidRPr="00417398">
        <w:rPr>
          <w:color w:val="000000"/>
        </w:rPr>
        <w:t xml:space="preserve">XALKORI should be used with caution in patients with hepatic impairment (see </w:t>
      </w:r>
      <w:r>
        <w:t xml:space="preserve">PHARMACOLOGY - Pharmacokinetics in Special Patient Groups – </w:t>
      </w:r>
      <w:r>
        <w:rPr>
          <w:i/>
        </w:rPr>
        <w:t>Hepatic</w:t>
      </w:r>
      <w:r w:rsidRPr="00F14EA8">
        <w:rPr>
          <w:i/>
        </w:rPr>
        <w:t xml:space="preserve"> Insufficiency</w:t>
      </w:r>
      <w:r w:rsidRPr="00883897">
        <w:rPr>
          <w:color w:val="000000"/>
        </w:rPr>
        <w:t xml:space="preserve"> and </w:t>
      </w:r>
      <w:r w:rsidRPr="00417398">
        <w:rPr>
          <w:color w:val="000000"/>
        </w:rPr>
        <w:t>Table </w:t>
      </w:r>
      <w:r w:rsidR="00162B03">
        <w:rPr>
          <w:color w:val="000000"/>
        </w:rPr>
        <w:t>7</w:t>
      </w:r>
      <w:r w:rsidRPr="00417398">
        <w:rPr>
          <w:color w:val="000000"/>
        </w:rPr>
        <w:t xml:space="preserve"> in DOSAGE AND ADMINISTRATION).</w:t>
      </w:r>
      <w:r>
        <w:rPr>
          <w:color w:val="000000"/>
        </w:rPr>
        <w:t xml:space="preserve">  </w:t>
      </w:r>
    </w:p>
    <w:p w:rsidR="00200444" w:rsidRPr="00417398" w:rsidRDefault="00200444" w:rsidP="00200444">
      <w:pPr>
        <w:pStyle w:val="PIHeading2"/>
        <w:rPr>
          <w:color w:val="000000"/>
        </w:rPr>
      </w:pPr>
      <w:r w:rsidRPr="00417398">
        <w:rPr>
          <w:color w:val="000000"/>
        </w:rPr>
        <w:t xml:space="preserve">Use in Renal Impairment </w:t>
      </w:r>
    </w:p>
    <w:p w:rsidR="00F26836" w:rsidRPr="000452D4" w:rsidRDefault="00F26836" w:rsidP="0000512F">
      <w:pPr>
        <w:pStyle w:val="PINormal"/>
        <w:keepLines/>
      </w:pPr>
      <w:r w:rsidRPr="00C60D8D">
        <w:t>If patients have severe renal impairment not requiring peritoneal dialysis or h</w:t>
      </w:r>
      <w:r w:rsidR="00A04257" w:rsidRPr="00C60D8D">
        <w:t>a</w:t>
      </w:r>
      <w:r w:rsidRPr="00C60D8D">
        <w:t>emodialysis, the dose of crizotinib should be adjusted (see DOSAGE AND ADMINISTRATION – Dose Modification).</w:t>
      </w:r>
    </w:p>
    <w:p w:rsidR="009A77B5" w:rsidRPr="00417398" w:rsidRDefault="009A77B5" w:rsidP="009A77B5">
      <w:pPr>
        <w:pStyle w:val="PIHeading2"/>
        <w:rPr>
          <w:color w:val="000000"/>
        </w:rPr>
      </w:pPr>
      <w:r w:rsidRPr="00417398">
        <w:rPr>
          <w:color w:val="000000"/>
        </w:rPr>
        <w:t xml:space="preserve">Genotoxicity </w:t>
      </w:r>
    </w:p>
    <w:p w:rsidR="009403EA" w:rsidRPr="00D80E96" w:rsidRDefault="00E82A53" w:rsidP="00597977">
      <w:pPr>
        <w:pStyle w:val="PINormal"/>
        <w:keepLines/>
        <w:rPr>
          <w:color w:val="000000"/>
        </w:rPr>
      </w:pPr>
      <w:r w:rsidRPr="00D80E96">
        <w:rPr>
          <w:rFonts w:eastAsia="MS Mincho"/>
          <w:color w:val="000000"/>
          <w:kern w:val="32"/>
          <w:lang w:eastAsia="ja-JP"/>
        </w:rPr>
        <w:t xml:space="preserve">Crizotinib was genotoxic in an </w:t>
      </w:r>
      <w:r w:rsidRPr="00D80E96">
        <w:rPr>
          <w:rFonts w:eastAsia="MS Mincho"/>
          <w:i/>
          <w:color w:val="000000"/>
          <w:kern w:val="32"/>
          <w:lang w:eastAsia="ja-JP"/>
        </w:rPr>
        <w:t>in vitro</w:t>
      </w:r>
      <w:r w:rsidRPr="00D80E96">
        <w:rPr>
          <w:rFonts w:eastAsia="MS Mincho"/>
          <w:color w:val="000000"/>
          <w:kern w:val="32"/>
          <w:lang w:eastAsia="ja-JP"/>
        </w:rPr>
        <w:t xml:space="preserve"> micronucleus assay in Chinese Hamster Ovary cells, in an </w:t>
      </w:r>
      <w:r w:rsidRPr="00D80E96">
        <w:rPr>
          <w:rFonts w:eastAsia="MS Mincho"/>
          <w:i/>
          <w:color w:val="000000"/>
          <w:kern w:val="32"/>
          <w:lang w:eastAsia="ja-JP"/>
        </w:rPr>
        <w:t>in vitro</w:t>
      </w:r>
      <w:r w:rsidRPr="00D80E96">
        <w:rPr>
          <w:rFonts w:eastAsia="MS Mincho"/>
          <w:color w:val="000000"/>
          <w:kern w:val="32"/>
          <w:lang w:eastAsia="ja-JP"/>
        </w:rPr>
        <w:t xml:space="preserve"> human lymphocyte chromosome aberration assay</w:t>
      </w:r>
      <w:r w:rsidR="00CA69DE" w:rsidRPr="000D5917">
        <w:rPr>
          <w:rFonts w:eastAsia="MS Mincho"/>
          <w:color w:val="3333FF"/>
          <w:lang w:eastAsia="ja-JP"/>
        </w:rPr>
        <w:t xml:space="preserve"> </w:t>
      </w:r>
      <w:r w:rsidRPr="00D80E96">
        <w:rPr>
          <w:rFonts w:eastAsia="MS Mincho"/>
          <w:color w:val="000000"/>
          <w:kern w:val="32"/>
          <w:lang w:eastAsia="ja-JP"/>
        </w:rPr>
        <w:t xml:space="preserve">and in an </w:t>
      </w:r>
      <w:r w:rsidRPr="00D80E96">
        <w:rPr>
          <w:rFonts w:eastAsia="MS Mincho"/>
          <w:i/>
          <w:color w:val="000000"/>
          <w:kern w:val="32"/>
          <w:lang w:eastAsia="ja-JP"/>
        </w:rPr>
        <w:t xml:space="preserve">in vivo </w:t>
      </w:r>
      <w:r w:rsidRPr="00D80E96">
        <w:rPr>
          <w:rFonts w:eastAsia="MS Mincho"/>
        </w:rPr>
        <w:t>rat</w:t>
      </w:r>
      <w:r w:rsidRPr="00D80E96">
        <w:rPr>
          <w:rFonts w:eastAsia="MS Mincho"/>
          <w:color w:val="000000"/>
          <w:kern w:val="32"/>
          <w:lang w:eastAsia="ja-JP"/>
        </w:rPr>
        <w:t xml:space="preserve"> bone marrow micronucleus assay.  </w:t>
      </w:r>
      <w:r w:rsidR="009403EA" w:rsidRPr="00D80E96">
        <w:rPr>
          <w:rFonts w:eastAsia="MS Mincho"/>
          <w:color w:val="000000"/>
          <w:kern w:val="32"/>
          <w:lang w:eastAsia="ja-JP"/>
        </w:rPr>
        <w:t xml:space="preserve">Crizotinib was not mutagenic </w:t>
      </w:r>
      <w:r w:rsidR="009403EA" w:rsidRPr="00D80E96">
        <w:rPr>
          <w:rFonts w:eastAsia="MS Mincho"/>
          <w:i/>
          <w:color w:val="000000"/>
          <w:kern w:val="32"/>
          <w:lang w:eastAsia="ja-JP"/>
        </w:rPr>
        <w:t>in vitro</w:t>
      </w:r>
      <w:r w:rsidR="009403EA" w:rsidRPr="00D80E96">
        <w:rPr>
          <w:rFonts w:eastAsia="MS Mincho"/>
          <w:color w:val="000000"/>
          <w:kern w:val="32"/>
          <w:lang w:eastAsia="ja-JP"/>
        </w:rPr>
        <w:t xml:space="preserve"> in the bacterial reverse mutation (Ames) assay</w:t>
      </w:r>
      <w:r w:rsidR="009403EA" w:rsidRPr="00D80E96">
        <w:rPr>
          <w:rFonts w:eastAsia="MS Mincho"/>
          <w:color w:val="000000"/>
          <w:lang w:eastAsia="ja-JP"/>
        </w:rPr>
        <w:t>.</w:t>
      </w:r>
      <w:r w:rsidR="009403EA" w:rsidRPr="00D80E96">
        <w:rPr>
          <w:rFonts w:eastAsia="MS Mincho"/>
          <w:color w:val="000000"/>
          <w:kern w:val="32"/>
          <w:lang w:eastAsia="ja-JP"/>
        </w:rPr>
        <w:t xml:space="preserve">  </w:t>
      </w:r>
    </w:p>
    <w:p w:rsidR="009A77B5" w:rsidRPr="00417398" w:rsidRDefault="009A77B5" w:rsidP="009A77B5">
      <w:pPr>
        <w:pStyle w:val="PIHeading2"/>
        <w:rPr>
          <w:color w:val="000000"/>
        </w:rPr>
      </w:pPr>
      <w:r w:rsidRPr="00417398">
        <w:rPr>
          <w:color w:val="000000"/>
        </w:rPr>
        <w:lastRenderedPageBreak/>
        <w:t xml:space="preserve">Carcinogenicity </w:t>
      </w:r>
    </w:p>
    <w:p w:rsidR="009A77B5" w:rsidRPr="00417398" w:rsidRDefault="00E056DD" w:rsidP="00E056DD">
      <w:pPr>
        <w:pStyle w:val="PINormal"/>
        <w:rPr>
          <w:color w:val="000000"/>
        </w:rPr>
      </w:pPr>
      <w:r w:rsidRPr="00417398">
        <w:rPr>
          <w:color w:val="000000"/>
        </w:rPr>
        <w:t>Carcinogenicity studies with crizotinib have not been performed.</w:t>
      </w:r>
    </w:p>
    <w:p w:rsidR="006F34E6" w:rsidRPr="00417398" w:rsidRDefault="006F34E6" w:rsidP="006F34E6">
      <w:pPr>
        <w:pStyle w:val="PIHeading2"/>
        <w:rPr>
          <w:color w:val="000000"/>
        </w:rPr>
      </w:pPr>
      <w:r w:rsidRPr="00417398">
        <w:rPr>
          <w:color w:val="000000"/>
        </w:rPr>
        <w:t xml:space="preserve">Effects on Ability to Drive and Use of Machines </w:t>
      </w:r>
    </w:p>
    <w:p w:rsidR="00E27227" w:rsidRPr="00417398" w:rsidRDefault="00E27227" w:rsidP="0000512F">
      <w:pPr>
        <w:keepLines/>
        <w:tabs>
          <w:tab w:val="left" w:pos="550"/>
        </w:tabs>
        <w:rPr>
          <w:color w:val="000000"/>
        </w:rPr>
      </w:pPr>
      <w:r w:rsidRPr="00417398">
        <w:rPr>
          <w:color w:val="000000"/>
        </w:rPr>
        <w:t xml:space="preserve">No studies on the effect of </w:t>
      </w:r>
      <w:r w:rsidR="00364F10">
        <w:rPr>
          <w:color w:val="000000"/>
        </w:rPr>
        <w:t xml:space="preserve">crizotinib </w:t>
      </w:r>
      <w:r w:rsidRPr="00417398">
        <w:rPr>
          <w:color w:val="000000"/>
        </w:rPr>
        <w:t>on the ability to drive and use machines have been performed.  However, caution should be exercised when driving or operating machinery by patients who experience vision disorder, dizziness or fatigue while taking</w:t>
      </w:r>
      <w:r w:rsidRPr="00417398">
        <w:rPr>
          <w:i/>
          <w:color w:val="000000"/>
        </w:rPr>
        <w:t xml:space="preserve"> </w:t>
      </w:r>
      <w:r w:rsidRPr="00417398">
        <w:rPr>
          <w:color w:val="000000"/>
        </w:rPr>
        <w:t>XALKORI</w:t>
      </w:r>
      <w:r w:rsidRPr="00417398">
        <w:rPr>
          <w:i/>
          <w:color w:val="000000"/>
        </w:rPr>
        <w:t>.</w:t>
      </w:r>
    </w:p>
    <w:p w:rsidR="00EC69FE" w:rsidRPr="00417398" w:rsidRDefault="00EC69FE" w:rsidP="00ED044F">
      <w:pPr>
        <w:pStyle w:val="PIHeading1"/>
        <w:rPr>
          <w:color w:val="000000"/>
        </w:rPr>
      </w:pPr>
      <w:r w:rsidRPr="00417398">
        <w:rPr>
          <w:color w:val="000000"/>
        </w:rPr>
        <w:t>Interaction</w:t>
      </w:r>
      <w:r w:rsidR="009F092C" w:rsidRPr="00417398">
        <w:rPr>
          <w:color w:val="000000"/>
        </w:rPr>
        <w:t>s</w:t>
      </w:r>
      <w:r w:rsidRPr="00417398">
        <w:rPr>
          <w:color w:val="000000"/>
        </w:rPr>
        <w:t xml:space="preserve"> with Other Medicines</w:t>
      </w:r>
      <w:r w:rsidR="00BC5FEB" w:rsidRPr="00417398">
        <w:rPr>
          <w:color w:val="000000"/>
        </w:rPr>
        <w:t xml:space="preserve"> </w:t>
      </w:r>
    </w:p>
    <w:p w:rsidR="009403EA" w:rsidRPr="00D80E96" w:rsidRDefault="009403EA" w:rsidP="0000512F">
      <w:pPr>
        <w:pStyle w:val="PINormal"/>
        <w:keepLines/>
        <w:rPr>
          <w:i/>
        </w:rPr>
      </w:pPr>
      <w:r w:rsidRPr="00D80E96">
        <w:t>Crizotinib is a substrate of CYP3A4/5 and also a moderate inhibitor of CYP3A.</w:t>
      </w:r>
      <w:r w:rsidRPr="00D80E96">
        <w:rPr>
          <w:color w:val="000000"/>
        </w:rPr>
        <w:t xml:space="preserve"> </w:t>
      </w:r>
      <w:r w:rsidRPr="00D80E96">
        <w:t xml:space="preserve"> </w:t>
      </w:r>
      <w:r w:rsidRPr="00D80E96">
        <w:rPr>
          <w:i/>
        </w:rPr>
        <w:t>In vitro</w:t>
      </w:r>
      <w:r w:rsidRPr="00D80E96">
        <w:t xml:space="preserve"> studies in human liver microsomes demonstrated that crizotinib is a time-dependent inhibitor of CYP3A.</w:t>
      </w:r>
    </w:p>
    <w:p w:rsidR="001F494B" w:rsidRPr="00417398" w:rsidRDefault="001F494B" w:rsidP="001F494B">
      <w:pPr>
        <w:pStyle w:val="PIHeading2"/>
        <w:rPr>
          <w:color w:val="000000"/>
          <w:kern w:val="32"/>
        </w:rPr>
      </w:pPr>
      <w:r w:rsidRPr="00417398">
        <w:rPr>
          <w:color w:val="000000"/>
        </w:rPr>
        <w:t>Agents that may increase crizotinib plasma concentrations</w:t>
      </w:r>
    </w:p>
    <w:p w:rsidR="0073143A" w:rsidRPr="00723929" w:rsidRDefault="00530188" w:rsidP="0000512F">
      <w:pPr>
        <w:pStyle w:val="PINormal"/>
        <w:keepLines/>
        <w:rPr>
          <w:color w:val="000000"/>
          <w:kern w:val="32"/>
        </w:rPr>
      </w:pPr>
      <w:r>
        <w:rPr>
          <w:color w:val="000000"/>
          <w:kern w:val="32"/>
        </w:rPr>
        <w:t>Coadministrat</w:t>
      </w:r>
      <w:r w:rsidR="0019354C">
        <w:rPr>
          <w:color w:val="000000"/>
          <w:kern w:val="32"/>
        </w:rPr>
        <w:t>io</w:t>
      </w:r>
      <w:r>
        <w:rPr>
          <w:color w:val="000000"/>
          <w:kern w:val="32"/>
        </w:rPr>
        <w:t xml:space="preserve">n of crizotinib with strong CYP3A inhibitors may increase crizotinib plasma concentrations. </w:t>
      </w:r>
      <w:r w:rsidR="009403EA">
        <w:rPr>
          <w:color w:val="000000"/>
          <w:kern w:val="32"/>
        </w:rPr>
        <w:t xml:space="preserve"> </w:t>
      </w:r>
      <w:r w:rsidR="0073143A" w:rsidRPr="00417398">
        <w:rPr>
          <w:color w:val="000000"/>
          <w:kern w:val="32"/>
        </w:rPr>
        <w:t>Coadministration of a single 150</w:t>
      </w:r>
      <w:r w:rsidR="004749D7" w:rsidRPr="00417398">
        <w:rPr>
          <w:color w:val="000000"/>
          <w:kern w:val="32"/>
        </w:rPr>
        <w:t> </w:t>
      </w:r>
      <w:r w:rsidR="0073143A" w:rsidRPr="00417398">
        <w:rPr>
          <w:color w:val="000000"/>
          <w:kern w:val="32"/>
        </w:rPr>
        <w:t>mg oral dose of crizotinib in the prese</w:t>
      </w:r>
      <w:r w:rsidR="0006492E">
        <w:rPr>
          <w:color w:val="000000"/>
          <w:kern w:val="32"/>
        </w:rPr>
        <w:t>nce of ketoconazole (200 </w:t>
      </w:r>
      <w:r w:rsidR="0073143A" w:rsidRPr="00417398">
        <w:rPr>
          <w:color w:val="000000"/>
          <w:kern w:val="32"/>
        </w:rPr>
        <w:t xml:space="preserve">mg twice daily), a strong CYP3A inhibitor, resulted in increases in </w:t>
      </w:r>
      <w:r w:rsidR="0073143A" w:rsidRPr="00723929">
        <w:rPr>
          <w:color w:val="000000"/>
          <w:kern w:val="32"/>
        </w:rPr>
        <w:t>crizotinib systemic exposure, with crizotinib AUC</w:t>
      </w:r>
      <w:r w:rsidR="0073143A" w:rsidRPr="0006492E">
        <w:rPr>
          <w:color w:val="000000"/>
          <w:kern w:val="32"/>
          <w:vertAlign w:val="subscript"/>
        </w:rPr>
        <w:t>inf</w:t>
      </w:r>
      <w:r w:rsidR="0073143A" w:rsidRPr="00723929">
        <w:rPr>
          <w:color w:val="000000"/>
          <w:kern w:val="32"/>
        </w:rPr>
        <w:t xml:space="preserve"> and C</w:t>
      </w:r>
      <w:r w:rsidR="0073143A" w:rsidRPr="0006492E">
        <w:rPr>
          <w:color w:val="000000"/>
          <w:kern w:val="32"/>
          <w:vertAlign w:val="subscript"/>
        </w:rPr>
        <w:t>max</w:t>
      </w:r>
      <w:r w:rsidR="0073143A" w:rsidRPr="00723929">
        <w:rPr>
          <w:color w:val="000000"/>
          <w:kern w:val="32"/>
        </w:rPr>
        <w:t xml:space="preserve"> values that were approximately 3.2</w:t>
      </w:r>
      <w:r w:rsidR="0073143A" w:rsidRPr="00723929">
        <w:rPr>
          <w:color w:val="000000"/>
          <w:kern w:val="32"/>
        </w:rPr>
        <w:noBreakHyphen/>
        <w:t>fold and 1.4</w:t>
      </w:r>
      <w:r w:rsidR="0073143A" w:rsidRPr="00723929">
        <w:rPr>
          <w:color w:val="000000"/>
          <w:kern w:val="32"/>
        </w:rPr>
        <w:noBreakHyphen/>
        <w:t>fold, respectively, those seen when crizotinib was administered alone</w:t>
      </w:r>
      <w:r w:rsidR="00AC6F56" w:rsidRPr="00723929">
        <w:rPr>
          <w:rFonts w:eastAsia="MS Mincho"/>
          <w:color w:val="000000"/>
          <w:lang w:eastAsia="ja-JP"/>
        </w:rPr>
        <w:t>.</w:t>
      </w:r>
      <w:r w:rsidR="00695A62" w:rsidRPr="00723929">
        <w:rPr>
          <w:color w:val="000000"/>
        </w:rPr>
        <w:t xml:space="preserve"> </w:t>
      </w:r>
      <w:r w:rsidR="0073143A" w:rsidRPr="00723929">
        <w:rPr>
          <w:color w:val="000000"/>
          <w:kern w:val="32"/>
        </w:rPr>
        <w:t xml:space="preserve"> </w:t>
      </w:r>
    </w:p>
    <w:p w:rsidR="001F494B" w:rsidRDefault="00530188" w:rsidP="0000512F">
      <w:pPr>
        <w:pStyle w:val="PINormal"/>
        <w:keepLines/>
        <w:rPr>
          <w:color w:val="000000"/>
          <w:kern w:val="32"/>
        </w:rPr>
      </w:pPr>
      <w:r w:rsidRPr="00723929">
        <w:rPr>
          <w:color w:val="000000"/>
        </w:rPr>
        <w:t>Therefore,</w:t>
      </w:r>
      <w:r w:rsidRPr="00723929">
        <w:rPr>
          <w:color w:val="000000"/>
          <w:kern w:val="32"/>
        </w:rPr>
        <w:t xml:space="preserve"> t</w:t>
      </w:r>
      <w:r w:rsidR="001F494B" w:rsidRPr="00723929">
        <w:rPr>
          <w:color w:val="000000"/>
          <w:kern w:val="32"/>
        </w:rPr>
        <w:t>he concomitant use of strong CYP3A inhibitors</w:t>
      </w:r>
      <w:r w:rsidRPr="00723929">
        <w:rPr>
          <w:color w:val="000000"/>
          <w:kern w:val="32"/>
        </w:rPr>
        <w:t xml:space="preserve"> </w:t>
      </w:r>
      <w:r w:rsidR="00735E9E" w:rsidRPr="00723929">
        <w:rPr>
          <w:color w:val="000000"/>
          <w:kern w:val="32"/>
        </w:rPr>
        <w:t xml:space="preserve">(certain protease inhibitors </w:t>
      </w:r>
      <w:r w:rsidR="0006492E">
        <w:rPr>
          <w:color w:val="000000"/>
          <w:kern w:val="32"/>
        </w:rPr>
        <w:t>such as</w:t>
      </w:r>
      <w:r w:rsidR="0006492E" w:rsidRPr="00723929">
        <w:rPr>
          <w:color w:val="000000"/>
          <w:kern w:val="32"/>
        </w:rPr>
        <w:t xml:space="preserve"> </w:t>
      </w:r>
      <w:r w:rsidR="00735E9E" w:rsidRPr="00723929">
        <w:rPr>
          <w:color w:val="000000"/>
          <w:kern w:val="32"/>
        </w:rPr>
        <w:t>atazanavir,</w:t>
      </w:r>
      <w:r w:rsidR="001C2A77" w:rsidRPr="00723929">
        <w:rPr>
          <w:color w:val="000000"/>
          <w:kern w:val="32"/>
        </w:rPr>
        <w:t xml:space="preserve"> </w:t>
      </w:r>
      <w:r w:rsidR="00735E9E" w:rsidRPr="00723929">
        <w:rPr>
          <w:color w:val="000000"/>
          <w:kern w:val="32"/>
        </w:rPr>
        <w:t>indinavir, ritonavir</w:t>
      </w:r>
      <w:r w:rsidR="00AD617C">
        <w:rPr>
          <w:color w:val="000000"/>
          <w:kern w:val="32"/>
        </w:rPr>
        <w:t xml:space="preserve"> and</w:t>
      </w:r>
      <w:r w:rsidR="00735E9E" w:rsidRPr="00723929">
        <w:rPr>
          <w:color w:val="000000"/>
          <w:kern w:val="32"/>
        </w:rPr>
        <w:t xml:space="preserve"> saquinavir</w:t>
      </w:r>
      <w:r w:rsidR="0006492E">
        <w:rPr>
          <w:color w:val="000000"/>
          <w:kern w:val="32"/>
        </w:rPr>
        <w:t>,</w:t>
      </w:r>
      <w:r w:rsidR="00735E9E" w:rsidRPr="00723929">
        <w:rPr>
          <w:color w:val="000000"/>
          <w:kern w:val="32"/>
        </w:rPr>
        <w:t xml:space="preserve"> certain azole antifungals </w:t>
      </w:r>
      <w:r w:rsidR="0006492E">
        <w:rPr>
          <w:color w:val="000000"/>
          <w:kern w:val="32"/>
        </w:rPr>
        <w:t>such as</w:t>
      </w:r>
      <w:r w:rsidR="0006492E" w:rsidRPr="00723929">
        <w:rPr>
          <w:color w:val="000000"/>
          <w:kern w:val="32"/>
        </w:rPr>
        <w:t xml:space="preserve"> </w:t>
      </w:r>
      <w:r w:rsidR="00735E9E" w:rsidRPr="00723929">
        <w:rPr>
          <w:color w:val="000000"/>
          <w:kern w:val="32"/>
        </w:rPr>
        <w:t xml:space="preserve">itraconazole, ketoconazole and voriconazole, certain macrolides </w:t>
      </w:r>
      <w:r w:rsidR="0006492E">
        <w:rPr>
          <w:color w:val="000000"/>
          <w:kern w:val="32"/>
        </w:rPr>
        <w:t>such as</w:t>
      </w:r>
      <w:r w:rsidR="0006492E" w:rsidRPr="00723929">
        <w:rPr>
          <w:color w:val="000000"/>
          <w:kern w:val="32"/>
        </w:rPr>
        <w:t xml:space="preserve"> </w:t>
      </w:r>
      <w:r w:rsidR="00735E9E" w:rsidRPr="00723929">
        <w:rPr>
          <w:color w:val="000000"/>
          <w:kern w:val="32"/>
        </w:rPr>
        <w:t>clarithromycin and troleandomycin)</w:t>
      </w:r>
      <w:r w:rsidR="001F494B" w:rsidRPr="00723929">
        <w:rPr>
          <w:color w:val="000000"/>
          <w:kern w:val="32"/>
        </w:rPr>
        <w:t xml:space="preserve"> should be avoided.  Grapefruit </w:t>
      </w:r>
      <w:r w:rsidR="004862A5" w:rsidRPr="00723929">
        <w:rPr>
          <w:color w:val="000000"/>
          <w:kern w:val="32"/>
        </w:rPr>
        <w:t xml:space="preserve">or grapefruit juice </w:t>
      </w:r>
      <w:r w:rsidR="001F494B" w:rsidRPr="00723929">
        <w:rPr>
          <w:color w:val="000000"/>
          <w:kern w:val="32"/>
        </w:rPr>
        <w:t>may also increase plasma concentrations of crizotinib and should be avoided.</w:t>
      </w:r>
      <w:r w:rsidR="006C2CF7">
        <w:rPr>
          <w:color w:val="000000"/>
          <w:kern w:val="32"/>
        </w:rPr>
        <w:t xml:space="preserve"> </w:t>
      </w:r>
      <w:r w:rsidR="00735E9E" w:rsidRPr="00723929">
        <w:rPr>
          <w:color w:val="000000"/>
          <w:kern w:val="32"/>
        </w:rPr>
        <w:t xml:space="preserve"> </w:t>
      </w:r>
      <w:r w:rsidR="0019354C">
        <w:rPr>
          <w:color w:val="000000"/>
          <w:kern w:val="32"/>
        </w:rPr>
        <w:t>However</w:t>
      </w:r>
      <w:r w:rsidR="00735E9E" w:rsidRPr="00723929">
        <w:rPr>
          <w:color w:val="000000"/>
          <w:kern w:val="32"/>
        </w:rPr>
        <w:t>, the effect of CYP3A inhibitors on steady-state crizotinib exposure has not been established.</w:t>
      </w:r>
    </w:p>
    <w:p w:rsidR="009959F1" w:rsidRPr="00723929" w:rsidRDefault="009959F1" w:rsidP="009959F1">
      <w:pPr>
        <w:pStyle w:val="PINormal"/>
        <w:rPr>
          <w:color w:val="000000"/>
          <w:kern w:val="32"/>
        </w:rPr>
      </w:pPr>
      <w:r>
        <w:rPr>
          <w:color w:val="000000"/>
          <w:kern w:val="32"/>
        </w:rPr>
        <w:t>Crizotinib is a substrate for P</w:t>
      </w:r>
      <w:r>
        <w:rPr>
          <w:color w:val="000000"/>
          <w:kern w:val="32"/>
        </w:rPr>
        <w:noBreakHyphen/>
        <w:t xml:space="preserve">glycoprotein.  The effect of </w:t>
      </w:r>
      <w:r>
        <w:rPr>
          <w:color w:val="000000"/>
        </w:rPr>
        <w:t xml:space="preserve">P-glycoprotein inhibitors on the disposition of crizotinib has not been assessed </w:t>
      </w:r>
      <w:r>
        <w:rPr>
          <w:i/>
          <w:color w:val="000000"/>
        </w:rPr>
        <w:t>in vivo</w:t>
      </w:r>
      <w:r>
        <w:rPr>
          <w:color w:val="000000"/>
        </w:rPr>
        <w:t>.</w:t>
      </w:r>
    </w:p>
    <w:p w:rsidR="001F494B" w:rsidRPr="00723929" w:rsidRDefault="001F494B" w:rsidP="001F494B">
      <w:pPr>
        <w:pStyle w:val="PIHeading2"/>
        <w:rPr>
          <w:color w:val="000000"/>
        </w:rPr>
      </w:pPr>
      <w:r w:rsidRPr="00723929">
        <w:rPr>
          <w:color w:val="000000"/>
        </w:rPr>
        <w:t>Agents that may decrease crizotinib plasma concentrations</w:t>
      </w:r>
    </w:p>
    <w:p w:rsidR="001F494B" w:rsidRPr="00723929" w:rsidRDefault="0073143A" w:rsidP="00CB2F6F">
      <w:pPr>
        <w:pStyle w:val="PINormal"/>
        <w:keepLines/>
        <w:rPr>
          <w:color w:val="000000"/>
        </w:rPr>
      </w:pPr>
      <w:r w:rsidRPr="00723929">
        <w:rPr>
          <w:color w:val="000000"/>
        </w:rPr>
        <w:t xml:space="preserve">Coadministration of a single 250 mg crizotinib dose with rifampicin (600 mg </w:t>
      </w:r>
      <w:r w:rsidR="00B61F55" w:rsidRPr="00723929">
        <w:rPr>
          <w:color w:val="000000"/>
        </w:rPr>
        <w:t>once daily</w:t>
      </w:r>
      <w:r w:rsidRPr="00723929">
        <w:rPr>
          <w:color w:val="000000"/>
        </w:rPr>
        <w:t>), a strong CYP3A4 inducer, resulted in 82% and 69% decreases in crizotinib AUC</w:t>
      </w:r>
      <w:r w:rsidRPr="00723929">
        <w:rPr>
          <w:color w:val="000000"/>
          <w:vertAlign w:val="subscript"/>
        </w:rPr>
        <w:t>inf</w:t>
      </w:r>
      <w:r w:rsidRPr="00723929">
        <w:rPr>
          <w:color w:val="000000"/>
        </w:rPr>
        <w:t xml:space="preserve"> and C</w:t>
      </w:r>
      <w:r w:rsidRPr="00723929">
        <w:rPr>
          <w:color w:val="000000"/>
          <w:vertAlign w:val="subscript"/>
        </w:rPr>
        <w:t>max</w:t>
      </w:r>
      <w:r w:rsidRPr="00723929">
        <w:rPr>
          <w:color w:val="000000"/>
        </w:rPr>
        <w:t xml:space="preserve">, respectively, compared to </w:t>
      </w:r>
      <w:r w:rsidR="007B676F" w:rsidRPr="00723929">
        <w:rPr>
          <w:color w:val="000000"/>
        </w:rPr>
        <w:t>when crizotinib was given alone</w:t>
      </w:r>
      <w:r w:rsidR="007B676F" w:rsidRPr="00723929">
        <w:rPr>
          <w:rFonts w:eastAsia="MS Mincho"/>
          <w:color w:val="000000"/>
          <w:lang w:eastAsia="ja-JP"/>
        </w:rPr>
        <w:t>.</w:t>
      </w:r>
      <w:r w:rsidR="00BC00D8" w:rsidRPr="00723929">
        <w:rPr>
          <w:color w:val="000000"/>
        </w:rPr>
        <w:t xml:space="preserve">  </w:t>
      </w:r>
      <w:r w:rsidR="001F494B" w:rsidRPr="00723929">
        <w:rPr>
          <w:color w:val="000000"/>
        </w:rPr>
        <w:t xml:space="preserve">Coadministration of crizotinib with strong CYP3A inducers may decrease crizotinib plasma concentrations.  </w:t>
      </w:r>
      <w:r w:rsidR="001F494B" w:rsidRPr="00723929">
        <w:rPr>
          <w:color w:val="000000"/>
          <w:kern w:val="32"/>
        </w:rPr>
        <w:t xml:space="preserve">The concurrent use of strong CYP3A inducers, including but not limited to carbamazepine, </w:t>
      </w:r>
      <w:r w:rsidR="000F6F06" w:rsidRPr="00723929">
        <w:rPr>
          <w:color w:val="000000"/>
          <w:kern w:val="32"/>
        </w:rPr>
        <w:t>phenobarbit</w:t>
      </w:r>
      <w:r w:rsidR="000F6F06">
        <w:rPr>
          <w:color w:val="000000"/>
          <w:kern w:val="32"/>
        </w:rPr>
        <w:t>al</w:t>
      </w:r>
      <w:r w:rsidR="001F494B" w:rsidRPr="00723929">
        <w:rPr>
          <w:color w:val="000000"/>
          <w:kern w:val="32"/>
        </w:rPr>
        <w:t>, phenytoin, rifabutin, rifampicin and St. John’s wort, should be avoided.</w:t>
      </w:r>
      <w:r w:rsidR="001F494B" w:rsidRPr="00723929">
        <w:rPr>
          <w:color w:val="000000"/>
        </w:rPr>
        <w:t xml:space="preserve"> </w:t>
      </w:r>
      <w:r w:rsidR="00BC00D8" w:rsidRPr="00723929">
        <w:rPr>
          <w:color w:val="000000"/>
        </w:rPr>
        <w:t xml:space="preserve"> </w:t>
      </w:r>
      <w:r w:rsidR="00074307">
        <w:rPr>
          <w:color w:val="000000"/>
        </w:rPr>
        <w:t>However</w:t>
      </w:r>
      <w:r w:rsidR="00735E9E" w:rsidRPr="00723929">
        <w:rPr>
          <w:color w:val="000000"/>
        </w:rPr>
        <w:t>, the effect of CYP3A inducers on steady-state crizotinib exposure has not been established.</w:t>
      </w:r>
    </w:p>
    <w:p w:rsidR="001F494B" w:rsidRPr="00723929" w:rsidRDefault="001F494B" w:rsidP="001F494B">
      <w:pPr>
        <w:pStyle w:val="PIHeading2"/>
        <w:rPr>
          <w:color w:val="000000"/>
        </w:rPr>
      </w:pPr>
      <w:r w:rsidRPr="00723929">
        <w:rPr>
          <w:color w:val="000000"/>
        </w:rPr>
        <w:t>Agents whose plasma concentrations may be altered by crizotinib</w:t>
      </w:r>
    </w:p>
    <w:p w:rsidR="00AF61BB" w:rsidRPr="00723929" w:rsidRDefault="001F494B" w:rsidP="0000512F">
      <w:pPr>
        <w:pStyle w:val="PINormal"/>
        <w:keepLines/>
      </w:pPr>
      <w:r w:rsidRPr="00723929">
        <w:t xml:space="preserve">Crizotinib has been identified as an inhibitor of CYP3A both </w:t>
      </w:r>
      <w:r w:rsidRPr="00723929">
        <w:rPr>
          <w:i/>
        </w:rPr>
        <w:t>in vitro</w:t>
      </w:r>
      <w:r w:rsidRPr="00723929">
        <w:t xml:space="preserve"> and </w:t>
      </w:r>
      <w:r w:rsidRPr="00723929">
        <w:rPr>
          <w:i/>
        </w:rPr>
        <w:t>in vivo</w:t>
      </w:r>
      <w:r w:rsidR="007B676F" w:rsidRPr="00723929">
        <w:t>.</w:t>
      </w:r>
      <w:r w:rsidR="00B61F55" w:rsidRPr="00723929">
        <w:t xml:space="preserve">  </w:t>
      </w:r>
      <w:r w:rsidRPr="00723929">
        <w:t>Caution should be exercised in administering crizotinib</w:t>
      </w:r>
      <w:r w:rsidRPr="00723929" w:rsidDel="00926399">
        <w:t xml:space="preserve"> </w:t>
      </w:r>
      <w:r w:rsidRPr="00723929">
        <w:t xml:space="preserve">in combination with drugs </w:t>
      </w:r>
      <w:r w:rsidR="0098200D" w:rsidRPr="00723929">
        <w:t>that are predominantly metabolis</w:t>
      </w:r>
      <w:r w:rsidRPr="00723929">
        <w:t>ed by CYP3A</w:t>
      </w:r>
      <w:r w:rsidR="00AF61BB" w:rsidRPr="00723929">
        <w:t>, particularly those CYP3A substrates that have narrow therapeutic indices, including but not limited to alfentanil, c</w:t>
      </w:r>
      <w:r w:rsidR="00132E3D">
        <w:t>i</w:t>
      </w:r>
      <w:r w:rsidR="00AF61BB" w:rsidRPr="00723929">
        <w:t xml:space="preserve">closporin, fentanyl, quinidine, sirolimus and tacrolimus. </w:t>
      </w:r>
    </w:p>
    <w:p w:rsidR="001F494B" w:rsidRPr="00723929" w:rsidRDefault="00AF61BB" w:rsidP="0000512F">
      <w:pPr>
        <w:pStyle w:val="PINormal"/>
        <w:keepLines/>
      </w:pPr>
      <w:r w:rsidRPr="00723929">
        <w:lastRenderedPageBreak/>
        <w:t>C</w:t>
      </w:r>
      <w:r w:rsidR="001F494B" w:rsidRPr="00723929">
        <w:t xml:space="preserve">oadministration of crizotinib </w:t>
      </w:r>
      <w:r w:rsidR="00CD2293" w:rsidRPr="00723929">
        <w:t xml:space="preserve">should be avoided </w:t>
      </w:r>
      <w:r w:rsidR="001F494B" w:rsidRPr="00723929">
        <w:t xml:space="preserve">with CYP3A substrates </w:t>
      </w:r>
      <w:r w:rsidR="00CD2293">
        <w:t>that have</w:t>
      </w:r>
      <w:r w:rsidR="00CD2293" w:rsidRPr="00723929">
        <w:t xml:space="preserve"> </w:t>
      </w:r>
      <w:r w:rsidR="001F494B" w:rsidRPr="00723929">
        <w:t>narrow therapeutic indices</w:t>
      </w:r>
      <w:r w:rsidR="00B61F55" w:rsidRPr="00723929">
        <w:t xml:space="preserve"> </w:t>
      </w:r>
      <w:r w:rsidRPr="00723929">
        <w:t>a</w:t>
      </w:r>
      <w:r w:rsidR="0091441D" w:rsidRPr="00723929">
        <w:t>nd a</w:t>
      </w:r>
      <w:r w:rsidRPr="00723929">
        <w:t>re</w:t>
      </w:r>
      <w:r w:rsidR="00B61F55" w:rsidRPr="00723929">
        <w:t xml:space="preserve"> associated with life-threatening arrhythmias</w:t>
      </w:r>
      <w:r w:rsidR="00735E9E" w:rsidRPr="00723929">
        <w:t xml:space="preserve">, </w:t>
      </w:r>
      <w:r w:rsidR="00CD2293">
        <w:t>including but not limited to dihydroergotamine, ergotamine and</w:t>
      </w:r>
      <w:r w:rsidR="00735E9E" w:rsidRPr="00723929">
        <w:t xml:space="preserve"> pimozide. </w:t>
      </w:r>
      <w:r w:rsidR="001F494B" w:rsidRPr="00723929">
        <w:t xml:space="preserve"> </w:t>
      </w:r>
    </w:p>
    <w:p w:rsidR="00351CC1" w:rsidRPr="00723929" w:rsidRDefault="00351CC1" w:rsidP="00351CC1">
      <w:pPr>
        <w:pStyle w:val="PIHeading3"/>
        <w:rPr>
          <w:szCs w:val="22"/>
        </w:rPr>
      </w:pPr>
      <w:r w:rsidRPr="00723929">
        <w:rPr>
          <w:szCs w:val="22"/>
        </w:rPr>
        <w:t>Coadministration of Crizotinib and CYP3A Substrates</w:t>
      </w:r>
    </w:p>
    <w:p w:rsidR="00351CC1" w:rsidRPr="00723929" w:rsidRDefault="00351CC1" w:rsidP="00351CC1">
      <w:pPr>
        <w:pStyle w:val="PINormal"/>
        <w:keepLines/>
      </w:pPr>
      <w:r w:rsidRPr="00723929">
        <w:t>Following 28 days of crizotinib dosing at 250 mg taken twice daily in cancer patients, the oral midazolam AUC was 3.7-fold (90% CI: 2.63-5.07) those seen when midazolam was administered alone, suggesting that crizotinib is a moderate inhibitor of CYP3A</w:t>
      </w:r>
      <w:r w:rsidRPr="00723929">
        <w:rPr>
          <w:color w:val="000000"/>
        </w:rPr>
        <w:t>.</w:t>
      </w:r>
      <w:r w:rsidRPr="000D5917">
        <w:rPr>
          <w:color w:val="3333FF"/>
        </w:rPr>
        <w:t xml:space="preserve">  </w:t>
      </w:r>
    </w:p>
    <w:p w:rsidR="00351CC1" w:rsidRPr="00723929" w:rsidRDefault="00351CC1" w:rsidP="00351CC1">
      <w:pPr>
        <w:pStyle w:val="PIHeading3"/>
      </w:pPr>
      <w:r w:rsidRPr="00723929">
        <w:t>Coadministration with other CYP Substrates</w:t>
      </w:r>
    </w:p>
    <w:p w:rsidR="00351CC1" w:rsidRDefault="00351CC1" w:rsidP="00351CC1">
      <w:pPr>
        <w:pStyle w:val="PINormal"/>
        <w:keepLines/>
        <w:rPr>
          <w:color w:val="000000"/>
        </w:rPr>
      </w:pPr>
      <w:r w:rsidRPr="00723929">
        <w:rPr>
          <w:i/>
        </w:rPr>
        <w:t>In vitro</w:t>
      </w:r>
      <w:r w:rsidRPr="00723929">
        <w:t xml:space="preserve"> studies indicated that clinical drug-drug interactions are unlikely to occur as a result of crizotinib-mediated inhibition of the metabolism of drugs that are substrates for CYP1A2, CYP2C8, CYP2C9, CYP2C19 or CYP2D6</w:t>
      </w:r>
      <w:r w:rsidRPr="00723929">
        <w:rPr>
          <w:color w:val="000000"/>
        </w:rPr>
        <w:t>.</w:t>
      </w:r>
    </w:p>
    <w:p w:rsidR="00023057" w:rsidRPr="00903A66" w:rsidRDefault="00023057" w:rsidP="0000512F">
      <w:pPr>
        <w:keepLines/>
        <w:rPr>
          <w:color w:val="000000"/>
          <w:szCs w:val="24"/>
        </w:rPr>
      </w:pPr>
      <w:r w:rsidRPr="00903A66">
        <w:rPr>
          <w:szCs w:val="24"/>
        </w:rPr>
        <w:t xml:space="preserve">Crizotinib is an inhibitor of CYP2B6 </w:t>
      </w:r>
      <w:r w:rsidRPr="00903A66">
        <w:rPr>
          <w:i/>
          <w:szCs w:val="24"/>
        </w:rPr>
        <w:t>in vitro</w:t>
      </w:r>
      <w:r w:rsidRPr="00903A66">
        <w:rPr>
          <w:szCs w:val="24"/>
        </w:rPr>
        <w:t>.  Therefore, crizotinib may have the potential to increase plasma concentrations of coadministered drugs that are predominantly metaboli</w:t>
      </w:r>
      <w:r w:rsidR="00134527" w:rsidRPr="00903A66">
        <w:rPr>
          <w:szCs w:val="24"/>
        </w:rPr>
        <w:t>s</w:t>
      </w:r>
      <w:r w:rsidRPr="00903A66">
        <w:rPr>
          <w:szCs w:val="24"/>
        </w:rPr>
        <w:t>ed by CYP2B6</w:t>
      </w:r>
      <w:r w:rsidR="00903A66" w:rsidRPr="00903A66">
        <w:rPr>
          <w:szCs w:val="24"/>
        </w:rPr>
        <w:t>.</w:t>
      </w:r>
      <w:r w:rsidR="004616F5">
        <w:rPr>
          <w:szCs w:val="24"/>
        </w:rPr>
        <w:t xml:space="preserve"> </w:t>
      </w:r>
    </w:p>
    <w:p w:rsidR="00351CC1" w:rsidRPr="00723929" w:rsidRDefault="00FC6FDA" w:rsidP="00351CC1">
      <w:pPr>
        <w:pStyle w:val="PINormal"/>
        <w:keepLines/>
        <w:rPr>
          <w:color w:val="000000"/>
        </w:rPr>
      </w:pPr>
      <w:r>
        <w:rPr>
          <w:i/>
        </w:rPr>
        <w:t>I</w:t>
      </w:r>
      <w:r w:rsidR="00351CC1" w:rsidRPr="00723929">
        <w:rPr>
          <w:i/>
        </w:rPr>
        <w:t>n vitro</w:t>
      </w:r>
      <w:r w:rsidR="00351CC1" w:rsidRPr="00723929">
        <w:t xml:space="preserve"> stud</w:t>
      </w:r>
      <w:r>
        <w:t>ies</w:t>
      </w:r>
      <w:r w:rsidR="00351CC1" w:rsidRPr="00723929">
        <w:t xml:space="preserve"> in human hepatocytes indicated that clinical drug-drug interactions are unlikely to occur as a result of crizotinib-mediated induction of the metabolism of drugs that are substrates for CYP1A2</w:t>
      </w:r>
      <w:r w:rsidR="001A05E3" w:rsidRPr="00723929">
        <w:t>.</w:t>
      </w:r>
      <w:r w:rsidR="00442625" w:rsidRPr="000D5917">
        <w:rPr>
          <w:color w:val="3333FF"/>
        </w:rPr>
        <w:t xml:space="preserve">  </w:t>
      </w:r>
    </w:p>
    <w:p w:rsidR="00FA5966" w:rsidRPr="00417398" w:rsidRDefault="00FA5966" w:rsidP="00395A49">
      <w:pPr>
        <w:pStyle w:val="PIHeading3"/>
        <w:rPr>
          <w:color w:val="000000"/>
        </w:rPr>
      </w:pPr>
      <w:r w:rsidRPr="00417398">
        <w:rPr>
          <w:color w:val="000000"/>
        </w:rPr>
        <w:t>Coadministration with Drugs that are Substrates of Transporters</w:t>
      </w:r>
    </w:p>
    <w:p w:rsidR="00FA5966" w:rsidRPr="00723929" w:rsidRDefault="00DD54F4" w:rsidP="00826EBE">
      <w:pPr>
        <w:pStyle w:val="PINormal"/>
      </w:pPr>
      <w:r w:rsidRPr="00DD54F4">
        <w:t>Crizotinib is an inhibitor of P-glycoprotein (P-gp)</w:t>
      </w:r>
      <w:r w:rsidRPr="00DD54F4">
        <w:rPr>
          <w:i/>
        </w:rPr>
        <w:t xml:space="preserve"> in vitro</w:t>
      </w:r>
      <w:r w:rsidR="00FA5966" w:rsidRPr="00723929">
        <w:t xml:space="preserve">.  </w:t>
      </w:r>
      <w:r w:rsidRPr="00DD54F4">
        <w:t>Therefore, crizotinib may have the potential to increase plasma concentrations of coadministered drugs that are substrates of P</w:t>
      </w:r>
      <w:r w:rsidRPr="00DD54F4">
        <w:noBreakHyphen/>
        <w:t>gp.</w:t>
      </w:r>
    </w:p>
    <w:p w:rsidR="00FA5966" w:rsidRPr="00723929" w:rsidRDefault="00FA5966" w:rsidP="0000512F">
      <w:pPr>
        <w:pStyle w:val="PINormal"/>
        <w:keepLines/>
        <w:rPr>
          <w:color w:val="000000"/>
        </w:rPr>
      </w:pPr>
      <w:r w:rsidRPr="00723929">
        <w:rPr>
          <w:i/>
          <w:color w:val="000000"/>
        </w:rPr>
        <w:t>In vitro</w:t>
      </w:r>
      <w:r w:rsidRPr="00723929">
        <w:rPr>
          <w:color w:val="000000"/>
        </w:rPr>
        <w:t>, crizotinib did not inhibit the human hepatic uptake transport proteins OATP1B1 or OATP1B3</w:t>
      </w:r>
      <w:r w:rsidR="00753E56">
        <w:rPr>
          <w:color w:val="000000"/>
        </w:rPr>
        <w:t xml:space="preserve"> </w:t>
      </w:r>
      <w:r w:rsidRPr="00723929">
        <w:rPr>
          <w:color w:val="000000"/>
        </w:rPr>
        <w:t xml:space="preserve">at </w:t>
      </w:r>
      <w:r w:rsidR="006A4F7D" w:rsidRPr="00753E56">
        <w:rPr>
          <w:rFonts w:eastAsia="Calibri"/>
        </w:rPr>
        <w:t xml:space="preserve">clinically relevant </w:t>
      </w:r>
      <w:r w:rsidRPr="00723929">
        <w:rPr>
          <w:color w:val="000000"/>
        </w:rPr>
        <w:t>concentrations.  Therefore, clinical drug-drug interactions are unlikely to occur as a result of crizotinib-mediated inhibition of the hepatic uptake of drugs that are su</w:t>
      </w:r>
      <w:r w:rsidR="007B676F" w:rsidRPr="00723929">
        <w:rPr>
          <w:color w:val="000000"/>
        </w:rPr>
        <w:t>bstrates for these transporters.</w:t>
      </w:r>
    </w:p>
    <w:p w:rsidR="00826EBE" w:rsidRPr="00723929" w:rsidRDefault="00826EBE" w:rsidP="00826EBE">
      <w:pPr>
        <w:pStyle w:val="PIHeading3"/>
      </w:pPr>
      <w:r w:rsidRPr="00723929">
        <w:t xml:space="preserve">Coadministration of Crizotinib </w:t>
      </w:r>
      <w:r w:rsidR="00340FC2">
        <w:t>with Agents that Increase Gastric pH</w:t>
      </w:r>
    </w:p>
    <w:p w:rsidR="00826EBE" w:rsidRPr="00723929" w:rsidRDefault="00826EBE" w:rsidP="0000512F">
      <w:pPr>
        <w:pStyle w:val="PINormal"/>
        <w:keepLines/>
      </w:pPr>
      <w:r w:rsidRPr="00723929">
        <w:t>The aqueous solubility of crizotinib is pH dependent, with low (acidic) pH resulting in higher solubility</w:t>
      </w:r>
      <w:r w:rsidRPr="00723929">
        <w:rPr>
          <w:color w:val="000000"/>
        </w:rPr>
        <w:t>.</w:t>
      </w:r>
      <w:r w:rsidRPr="000D5917">
        <w:rPr>
          <w:color w:val="3333FF"/>
        </w:rPr>
        <w:t xml:space="preserve"> </w:t>
      </w:r>
      <w:r w:rsidRPr="00723929">
        <w:t xml:space="preserve"> In general, drugs that elevate the gastric pH (such as proton pump inhibitors, H2 blockers, or antacids) may decrease the solubility of crizotinib and subsequently reduce its bioavailability.  The use of antacids was permitted during crizotinib treatment in patient trials.  Based on population </w:t>
      </w:r>
      <w:r w:rsidR="0006492E">
        <w:t xml:space="preserve">pharmacokinetic </w:t>
      </w:r>
      <w:r w:rsidRPr="00723929">
        <w:t>modelling, coadministration of antacids is unlikely to result in changes in steady-state crizotinib exposure.  However, no formal studies have been conducted.</w:t>
      </w:r>
    </w:p>
    <w:p w:rsidR="002162E9" w:rsidRPr="00C07594" w:rsidRDefault="00C7315D" w:rsidP="00753634">
      <w:pPr>
        <w:pStyle w:val="PIHeading1"/>
      </w:pPr>
      <w:r w:rsidRPr="00C07594">
        <w:lastRenderedPageBreak/>
        <w:t xml:space="preserve">ADVERSE </w:t>
      </w:r>
      <w:r w:rsidR="00EC69FE" w:rsidRPr="00C07594">
        <w:t>Effects</w:t>
      </w:r>
      <w:r w:rsidR="00753634" w:rsidRPr="007A2C48">
        <w:rPr>
          <w:sz w:val="24"/>
          <w:szCs w:val="24"/>
        </w:rPr>
        <w:t xml:space="preserve"> </w:t>
      </w:r>
      <w:r w:rsidR="00753634">
        <w:t xml:space="preserve"> </w:t>
      </w:r>
    </w:p>
    <w:p w:rsidR="00C1689C" w:rsidRDefault="00C1689C" w:rsidP="00C1689C">
      <w:pPr>
        <w:pStyle w:val="PIHeading2"/>
      </w:pPr>
      <w:r>
        <w:t>Summary of Safety Profile</w:t>
      </w:r>
    </w:p>
    <w:p w:rsidR="006E24BF" w:rsidRPr="00417398" w:rsidRDefault="006E24BF" w:rsidP="0000512F">
      <w:pPr>
        <w:pStyle w:val="PINormal"/>
        <w:keepLines/>
        <w:rPr>
          <w:color w:val="000000"/>
        </w:rPr>
      </w:pPr>
      <w:r w:rsidRPr="00417398">
        <w:rPr>
          <w:color w:val="000000"/>
        </w:rPr>
        <w:t xml:space="preserve">The data described below reflect exposure to </w:t>
      </w:r>
      <w:r w:rsidR="00F63EBC">
        <w:rPr>
          <w:color w:val="000000"/>
        </w:rPr>
        <w:t xml:space="preserve">crizotinib </w:t>
      </w:r>
      <w:r w:rsidRPr="00417398">
        <w:rPr>
          <w:color w:val="000000"/>
        </w:rPr>
        <w:t>in</w:t>
      </w:r>
      <w:r w:rsidR="002A16BE">
        <w:rPr>
          <w:color w:val="000000"/>
        </w:rPr>
        <w:t xml:space="preserve"> </w:t>
      </w:r>
      <w:r w:rsidR="00CB2AF9" w:rsidRPr="009F4DC3">
        <w:t>172 patients</w:t>
      </w:r>
      <w:r w:rsidR="00CB2AF9">
        <w:t xml:space="preserve"> with ALK-positive advanced NSCLC who participated in randomi</w:t>
      </w:r>
      <w:r w:rsidR="00163561">
        <w:t>s</w:t>
      </w:r>
      <w:r w:rsidR="00CB2AF9">
        <w:t>ed Phase 3 Study 1007 and in</w:t>
      </w:r>
      <w:r w:rsidR="00CB2AF9" w:rsidRPr="001A457F">
        <w:t xml:space="preserve"> </w:t>
      </w:r>
      <w:r w:rsidR="00CB2AF9">
        <w:t>10</w:t>
      </w:r>
      <w:r w:rsidR="002914E9">
        <w:t>8</w:t>
      </w:r>
      <w:r w:rsidR="00CB2AF9">
        <w:t>3</w:t>
      </w:r>
      <w:r w:rsidRPr="00417398">
        <w:rPr>
          <w:color w:val="000000"/>
        </w:rPr>
        <w:t xml:space="preserve"> patients with ALK-positive NSCLC who participated in </w:t>
      </w:r>
      <w:r w:rsidR="008F4ECF">
        <w:rPr>
          <w:color w:val="000000"/>
        </w:rPr>
        <w:t>two</w:t>
      </w:r>
      <w:r w:rsidRPr="00417398">
        <w:rPr>
          <w:color w:val="000000"/>
        </w:rPr>
        <w:t xml:space="preserve"> single-arm clinical trials (Studies </w:t>
      </w:r>
      <w:r w:rsidR="001102CA" w:rsidRPr="00417398">
        <w:rPr>
          <w:color w:val="000000"/>
        </w:rPr>
        <w:t xml:space="preserve">1001 </w:t>
      </w:r>
      <w:r w:rsidRPr="00417398">
        <w:rPr>
          <w:color w:val="000000"/>
        </w:rPr>
        <w:t xml:space="preserve">and </w:t>
      </w:r>
      <w:r w:rsidR="001102CA" w:rsidRPr="00417398">
        <w:rPr>
          <w:color w:val="000000"/>
        </w:rPr>
        <w:t>100</w:t>
      </w:r>
      <w:r w:rsidR="00387FAB" w:rsidRPr="00417398">
        <w:rPr>
          <w:color w:val="000000"/>
        </w:rPr>
        <w:t>5</w:t>
      </w:r>
      <w:r w:rsidRPr="00417398">
        <w:rPr>
          <w:color w:val="000000"/>
        </w:rPr>
        <w:t>).  These patients received a starting oral dose of 250 mg taken twice daily continuously</w:t>
      </w:r>
      <w:r w:rsidR="00387FAB" w:rsidRPr="00417398">
        <w:rPr>
          <w:color w:val="000000"/>
        </w:rPr>
        <w:t>.</w:t>
      </w:r>
      <w:r w:rsidR="00F63EBC">
        <w:rPr>
          <w:color w:val="000000"/>
        </w:rPr>
        <w:t xml:space="preserve">  </w:t>
      </w:r>
      <w:r w:rsidR="00F63EBC">
        <w:t>In Study 1007, t</w:t>
      </w:r>
      <w:r w:rsidR="00F63EBC" w:rsidRPr="00414740">
        <w:t xml:space="preserve">he median </w:t>
      </w:r>
      <w:r w:rsidR="00F63EBC">
        <w:t>duration of treatment</w:t>
      </w:r>
      <w:r w:rsidR="00F63EBC" w:rsidRPr="00414740">
        <w:t xml:space="preserve"> was </w:t>
      </w:r>
      <w:r w:rsidR="00F63EBC">
        <w:t>31 weeks</w:t>
      </w:r>
      <w:r w:rsidR="00F63EBC" w:rsidRPr="00414740">
        <w:t xml:space="preserve"> for </w:t>
      </w:r>
      <w:r w:rsidR="00F63EBC">
        <w:t xml:space="preserve">patients on </w:t>
      </w:r>
      <w:r w:rsidR="00F63EBC" w:rsidRPr="00414740">
        <w:t>crizotinib</w:t>
      </w:r>
      <w:r w:rsidR="00F63EBC">
        <w:t xml:space="preserve">.  In Study 1001, the median duration of treatment was </w:t>
      </w:r>
      <w:r w:rsidR="00F63EBC" w:rsidRPr="001A457F">
        <w:t>32</w:t>
      </w:r>
      <w:r w:rsidR="00C60D8D">
        <w:t> </w:t>
      </w:r>
      <w:r w:rsidR="00F63EBC" w:rsidRPr="001A457F">
        <w:t>weeks.</w:t>
      </w:r>
      <w:r w:rsidR="00F63EBC">
        <w:t xml:space="preserve">  In Study 1005, t</w:t>
      </w:r>
      <w:r w:rsidR="00F63EBC" w:rsidRPr="00414740">
        <w:t xml:space="preserve">he median duration </w:t>
      </w:r>
      <w:r w:rsidR="00F63EBC">
        <w:t xml:space="preserve">of treatment </w:t>
      </w:r>
      <w:r w:rsidR="00F63EBC" w:rsidRPr="00414740">
        <w:t xml:space="preserve">was </w:t>
      </w:r>
      <w:r w:rsidR="00F63EBC">
        <w:t>23</w:t>
      </w:r>
      <w:r w:rsidR="00C60D8D">
        <w:t> </w:t>
      </w:r>
      <w:r w:rsidR="00F63EBC">
        <w:t>weeks</w:t>
      </w:r>
      <w:r w:rsidR="00F63EBC" w:rsidRPr="00414740">
        <w:t>.</w:t>
      </w:r>
    </w:p>
    <w:p w:rsidR="00C1689C" w:rsidRDefault="00C1689C" w:rsidP="00C1689C">
      <w:pPr>
        <w:pStyle w:val="PIHeading2"/>
      </w:pPr>
      <w:r>
        <w:t>Clinical Trials Experience</w:t>
      </w:r>
    </w:p>
    <w:p w:rsidR="00C1689C" w:rsidRPr="00DE31B3" w:rsidRDefault="00C1689C" w:rsidP="0000512F">
      <w:pPr>
        <w:pStyle w:val="PINormal"/>
        <w:keepLines/>
      </w:pPr>
      <w:r w:rsidRPr="0091486D">
        <w:t xml:space="preserve">The most serious adverse reactions in patients with ALK-positive advanced NSCLC are hepatotoxicity, ILD/pneumonitis and QT interval prolongation (see </w:t>
      </w:r>
      <w:r>
        <w:t>PRECAUTIONS</w:t>
      </w:r>
      <w:r w:rsidRPr="0091486D">
        <w:t xml:space="preserve">). </w:t>
      </w:r>
      <w:r>
        <w:t xml:space="preserve"> </w:t>
      </w:r>
      <w:r w:rsidRPr="0091486D">
        <w:t>The most common adverse reactions (</w:t>
      </w:r>
      <w:r w:rsidR="00DF5DF1">
        <w:t>≥</w:t>
      </w:r>
      <w:r w:rsidRPr="0091486D">
        <w:t>25%) in patients with ALK-positive NSCLC are vision disorder, nausea, diarrh</w:t>
      </w:r>
      <w:r w:rsidR="00B60E44">
        <w:t>o</w:t>
      </w:r>
      <w:r w:rsidRPr="0091486D">
        <w:t xml:space="preserve">ea, vomiting, constipation, </w:t>
      </w:r>
      <w:r w:rsidR="00B60E44">
        <w:t>o</w:t>
      </w:r>
      <w:r w:rsidRPr="0091486D">
        <w:t>edema, elevated transaminases and fatigue.</w:t>
      </w:r>
      <w:r w:rsidRPr="00DE31B3">
        <w:t xml:space="preserve"> </w:t>
      </w:r>
    </w:p>
    <w:p w:rsidR="00C1689C" w:rsidRPr="007510AC" w:rsidRDefault="00C1689C" w:rsidP="00C1689C">
      <w:pPr>
        <w:pStyle w:val="PIHeading3"/>
      </w:pPr>
      <w:r w:rsidRPr="00202700">
        <w:t>Randomi</w:t>
      </w:r>
      <w:r w:rsidR="007A2C48">
        <w:t>s</w:t>
      </w:r>
      <w:r w:rsidRPr="00202700">
        <w:t>ed Phase 3 Study 1007</w:t>
      </w:r>
    </w:p>
    <w:p w:rsidR="00C1689C" w:rsidRDefault="00C1689C" w:rsidP="0000512F">
      <w:pPr>
        <w:pStyle w:val="PINormal"/>
        <w:keepLines/>
      </w:pPr>
      <w:r w:rsidRPr="00414740">
        <w:t xml:space="preserve">The safety analysis population </w:t>
      </w:r>
      <w:r>
        <w:t>in</w:t>
      </w:r>
      <w:r w:rsidRPr="00414740">
        <w:t xml:space="preserve"> Study </w:t>
      </w:r>
      <w:r>
        <w:t xml:space="preserve">1007 </w:t>
      </w:r>
      <w:r w:rsidRPr="00414740">
        <w:t>included 172 patients who received crizotinib</w:t>
      </w:r>
      <w:r>
        <w:t xml:space="preserve"> </w:t>
      </w:r>
      <w:r w:rsidRPr="00414740">
        <w:t xml:space="preserve">and </w:t>
      </w:r>
      <w:r>
        <w:t>171</w:t>
      </w:r>
      <w:r w:rsidRPr="00414740">
        <w:t xml:space="preserve"> patients who received chemotherapy (</w:t>
      </w:r>
      <w:r>
        <w:t>99</w:t>
      </w:r>
      <w:r w:rsidRPr="00414740">
        <w:t xml:space="preserve"> pemetrexed, </w:t>
      </w:r>
      <w:r>
        <w:t>72 </w:t>
      </w:r>
      <w:r w:rsidRPr="00414740">
        <w:t>docetaxel)</w:t>
      </w:r>
      <w:r>
        <w:t>.</w:t>
      </w:r>
      <w:r w:rsidRPr="00414740">
        <w:t xml:space="preserve"> </w:t>
      </w:r>
      <w:r>
        <w:t xml:space="preserve"> </w:t>
      </w:r>
      <w:r w:rsidRPr="00414740">
        <w:t xml:space="preserve">The median </w:t>
      </w:r>
      <w:r>
        <w:t xml:space="preserve">duration of </w:t>
      </w:r>
      <w:r w:rsidRPr="00414740">
        <w:t xml:space="preserve">study </w:t>
      </w:r>
      <w:r>
        <w:t>treatment</w:t>
      </w:r>
      <w:r w:rsidRPr="00414740">
        <w:t xml:space="preserve"> was </w:t>
      </w:r>
      <w:r>
        <w:t>31 weeks</w:t>
      </w:r>
      <w:r w:rsidRPr="00414740">
        <w:t xml:space="preserve"> for </w:t>
      </w:r>
      <w:r>
        <w:t xml:space="preserve">patients on </w:t>
      </w:r>
      <w:r w:rsidRPr="00414740">
        <w:t xml:space="preserve">crizotinib and </w:t>
      </w:r>
      <w:r>
        <w:t>12 weeks</w:t>
      </w:r>
      <w:r w:rsidRPr="00414740">
        <w:t xml:space="preserve"> for </w:t>
      </w:r>
      <w:r>
        <w:t xml:space="preserve">patients on </w:t>
      </w:r>
      <w:r w:rsidRPr="00414740">
        <w:t>chemotherapy</w:t>
      </w:r>
      <w:r>
        <w:t xml:space="preserve">. </w:t>
      </w:r>
    </w:p>
    <w:p w:rsidR="00C1689C" w:rsidRDefault="00C1689C" w:rsidP="0000512F">
      <w:pPr>
        <w:pStyle w:val="PINormal"/>
        <w:keepLines/>
      </w:pPr>
      <w:r>
        <w:t xml:space="preserve">Dosing interruptions due to treatment-related adverse events occurred in 54 (31%) patients on crizotinib and 14 (8%) patients on chemotherapy.  </w:t>
      </w:r>
      <w:r w:rsidRPr="00974E6F">
        <w:t>Dose reductions</w:t>
      </w:r>
      <w:r>
        <w:t xml:space="preserve"> due to</w:t>
      </w:r>
      <w:r w:rsidRPr="00974E6F">
        <w:t xml:space="preserve"> </w:t>
      </w:r>
      <w:r>
        <w:t xml:space="preserve">treatment-related </w:t>
      </w:r>
      <w:r w:rsidRPr="00974E6F">
        <w:t xml:space="preserve">adverse </w:t>
      </w:r>
      <w:r>
        <w:t xml:space="preserve">events </w:t>
      </w:r>
      <w:r w:rsidRPr="00974E6F">
        <w:t xml:space="preserve">occurred in </w:t>
      </w:r>
      <w:r>
        <w:t>26 (15</w:t>
      </w:r>
      <w:r w:rsidRPr="00974E6F">
        <w:t>%</w:t>
      </w:r>
      <w:r>
        <w:t>)</w:t>
      </w:r>
      <w:r w:rsidRPr="00974E6F">
        <w:t xml:space="preserve"> patients</w:t>
      </w:r>
      <w:r>
        <w:t xml:space="preserve"> on crizotinib and 24 (14%) patients on chemotherapy.  Treatment</w:t>
      </w:r>
      <w:r w:rsidRPr="00974E6F">
        <w:t xml:space="preserve">-related adverse events resulting in permanent discontinuation </w:t>
      </w:r>
      <w:r>
        <w:t>occurred in</w:t>
      </w:r>
      <w:r w:rsidRPr="00974E6F">
        <w:t xml:space="preserve"> </w:t>
      </w:r>
      <w:r>
        <w:t>11 (6</w:t>
      </w:r>
      <w:r w:rsidRPr="00974E6F">
        <w:t>%</w:t>
      </w:r>
      <w:r>
        <w:t xml:space="preserve">) patients on crizotinib and 17 (10%) patients on chemotherapy. </w:t>
      </w:r>
    </w:p>
    <w:p w:rsidR="00C1689C" w:rsidRDefault="00C1689C" w:rsidP="00C1689C">
      <w:pPr>
        <w:pStyle w:val="PINormal"/>
      </w:pPr>
      <w:r w:rsidRPr="00414740">
        <w:t xml:space="preserve">Table </w:t>
      </w:r>
      <w:r w:rsidR="00A0495B">
        <w:t>5</w:t>
      </w:r>
      <w:r w:rsidRPr="00974E6F">
        <w:t xml:space="preserve"> </w:t>
      </w:r>
      <w:r>
        <w:t xml:space="preserve">compares </w:t>
      </w:r>
      <w:r w:rsidRPr="00974E6F">
        <w:t xml:space="preserve">adverse reactions </w:t>
      </w:r>
      <w:r>
        <w:t>experienced by patients in both the crizotinib and chemotherapy arms of Study 1007.</w:t>
      </w:r>
      <w:r>
        <w:rPr>
          <w:vertAlign w:val="superscript"/>
        </w:rPr>
        <w:t xml:space="preserve"> </w:t>
      </w:r>
    </w:p>
    <w:p w:rsidR="00C1689C" w:rsidRDefault="00C1689C" w:rsidP="007A078E">
      <w:pPr>
        <w:pStyle w:val="PINormal"/>
        <w:spacing w:after="0"/>
        <w:ind w:left="992" w:hanging="992"/>
        <w:rPr>
          <w:rStyle w:val="TableText12"/>
          <w:b/>
        </w:rPr>
      </w:pPr>
      <w:r w:rsidRPr="001A457F">
        <w:rPr>
          <w:rStyle w:val="TableText12"/>
          <w:b/>
        </w:rPr>
        <w:t xml:space="preserve">Table </w:t>
      </w:r>
      <w:r w:rsidR="00A0495B">
        <w:rPr>
          <w:rStyle w:val="TableText12"/>
          <w:b/>
        </w:rPr>
        <w:t>5</w:t>
      </w:r>
      <w:r w:rsidRPr="001A457F">
        <w:rPr>
          <w:rStyle w:val="TableText12"/>
          <w:b/>
        </w:rPr>
        <w:t>.</w:t>
      </w:r>
      <w:r>
        <w:rPr>
          <w:rStyle w:val="TableText12"/>
          <w:b/>
        </w:rPr>
        <w:tab/>
      </w:r>
      <w:r w:rsidRPr="001A457F">
        <w:rPr>
          <w:rStyle w:val="TableText12"/>
          <w:b/>
        </w:rPr>
        <w:t xml:space="preserve">Adverse Reactions Reported in </w:t>
      </w:r>
      <w:r>
        <w:rPr>
          <w:rStyle w:val="TableText12"/>
          <w:b/>
        </w:rPr>
        <w:t xml:space="preserve">Patients Who Received Crizotinib or Chemotherapy in Randomised Phase 3 </w:t>
      </w:r>
      <w:r w:rsidRPr="001A457F">
        <w:rPr>
          <w:rStyle w:val="TableText12"/>
          <w:b/>
        </w:rPr>
        <w:t>Stud</w:t>
      </w:r>
      <w:r>
        <w:rPr>
          <w:rStyle w:val="TableText12"/>
          <w:b/>
        </w:rPr>
        <w:t>y 1007</w:t>
      </w:r>
    </w:p>
    <w:tbl>
      <w:tblPr>
        <w:tblW w:w="9214" w:type="dxa"/>
        <w:tblInd w:w="10" w:type="dxa"/>
        <w:tblLayout w:type="fixed"/>
        <w:tblCellMar>
          <w:left w:w="0" w:type="dxa"/>
          <w:right w:w="0" w:type="dxa"/>
        </w:tblCellMar>
        <w:tblLook w:val="0000" w:firstRow="0" w:lastRow="0" w:firstColumn="0" w:lastColumn="0" w:noHBand="0" w:noVBand="0"/>
      </w:tblPr>
      <w:tblGrid>
        <w:gridCol w:w="4111"/>
        <w:gridCol w:w="1276"/>
        <w:gridCol w:w="1276"/>
        <w:gridCol w:w="1275"/>
        <w:gridCol w:w="1276"/>
        <w:tblGridChange w:id="3">
          <w:tblGrid>
            <w:gridCol w:w="4111"/>
            <w:gridCol w:w="1276"/>
            <w:gridCol w:w="1276"/>
            <w:gridCol w:w="1275"/>
            <w:gridCol w:w="1276"/>
          </w:tblGrid>
        </w:tblGridChange>
      </w:tblGrid>
      <w:tr w:rsidR="00866A0F" w:rsidTr="00AE08CD">
        <w:trPr>
          <w:cantSplit/>
        </w:trPr>
        <w:tc>
          <w:tcPr>
            <w:tcW w:w="4111" w:type="dxa"/>
            <w:vMerge w:val="restart"/>
            <w:tcBorders>
              <w:top w:val="single" w:sz="4" w:space="0" w:color="auto"/>
              <w:left w:val="single" w:sz="8" w:space="0" w:color="auto"/>
              <w:right w:val="single" w:sz="8" w:space="0" w:color="auto"/>
            </w:tcBorders>
          </w:tcPr>
          <w:p w:rsidR="00866A0F" w:rsidRPr="00866A0F" w:rsidRDefault="00866A0F" w:rsidP="00866A0F">
            <w:pPr>
              <w:pStyle w:val="TableText0"/>
              <w:overflowPunct w:val="0"/>
              <w:autoSpaceDE w:val="0"/>
              <w:autoSpaceDN w:val="0"/>
              <w:adjustRightInd w:val="0"/>
              <w:ind w:left="142"/>
              <w:textAlignment w:val="baseline"/>
              <w:rPr>
                <w:rFonts w:cs="Times New Roman"/>
                <w:b/>
                <w:sz w:val="22"/>
                <w:szCs w:val="22"/>
              </w:rPr>
            </w:pPr>
          </w:p>
          <w:p w:rsidR="00866A0F" w:rsidRPr="00866A0F" w:rsidRDefault="00866A0F" w:rsidP="00866A0F">
            <w:pPr>
              <w:pStyle w:val="TableText0"/>
              <w:overflowPunct w:val="0"/>
              <w:autoSpaceDE w:val="0"/>
              <w:autoSpaceDN w:val="0"/>
              <w:adjustRightInd w:val="0"/>
              <w:ind w:left="142"/>
              <w:textAlignment w:val="baseline"/>
              <w:rPr>
                <w:rFonts w:cs="Times New Roman"/>
                <w:b/>
                <w:sz w:val="22"/>
                <w:szCs w:val="22"/>
              </w:rPr>
            </w:pPr>
            <w:r w:rsidRPr="00866A0F">
              <w:rPr>
                <w:rFonts w:cs="Times New Roman"/>
                <w:b/>
                <w:sz w:val="22"/>
                <w:szCs w:val="22"/>
              </w:rPr>
              <w:t>Adverse Reaction</w:t>
            </w:r>
          </w:p>
        </w:tc>
        <w:tc>
          <w:tcPr>
            <w:tcW w:w="255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866A0F" w:rsidRPr="00866A0F" w:rsidRDefault="00866A0F" w:rsidP="00866A0F">
            <w:pPr>
              <w:pStyle w:val="TableText0"/>
              <w:jc w:val="center"/>
              <w:rPr>
                <w:rFonts w:cs="Times New Roman"/>
                <w:b/>
                <w:sz w:val="22"/>
                <w:szCs w:val="22"/>
              </w:rPr>
            </w:pPr>
            <w:r w:rsidRPr="00866A0F">
              <w:rPr>
                <w:rFonts w:cs="Times New Roman"/>
                <w:b/>
                <w:sz w:val="22"/>
                <w:szCs w:val="22"/>
              </w:rPr>
              <w:t xml:space="preserve">Crizotinib </w:t>
            </w:r>
          </w:p>
          <w:p w:rsidR="00866A0F" w:rsidRPr="00866A0F" w:rsidRDefault="00866A0F" w:rsidP="00866A0F">
            <w:pPr>
              <w:pStyle w:val="TableText0"/>
              <w:overflowPunct w:val="0"/>
              <w:autoSpaceDE w:val="0"/>
              <w:autoSpaceDN w:val="0"/>
              <w:adjustRightInd w:val="0"/>
              <w:jc w:val="center"/>
              <w:textAlignment w:val="baseline"/>
              <w:rPr>
                <w:rFonts w:cs="Times New Roman"/>
                <w:b/>
                <w:sz w:val="22"/>
                <w:szCs w:val="22"/>
              </w:rPr>
            </w:pPr>
            <w:r w:rsidRPr="00866A0F">
              <w:rPr>
                <w:rFonts w:cs="Times New Roman"/>
                <w:b/>
                <w:sz w:val="22"/>
                <w:szCs w:val="22"/>
              </w:rPr>
              <w:t>(N=172)</w:t>
            </w:r>
          </w:p>
        </w:tc>
        <w:tc>
          <w:tcPr>
            <w:tcW w:w="2551" w:type="dxa"/>
            <w:gridSpan w:val="2"/>
            <w:tcBorders>
              <w:top w:val="single" w:sz="4" w:space="0" w:color="auto"/>
              <w:left w:val="nil"/>
              <w:bottom w:val="single" w:sz="8" w:space="0" w:color="auto"/>
              <w:right w:val="single" w:sz="8" w:space="0" w:color="auto"/>
            </w:tcBorders>
          </w:tcPr>
          <w:p w:rsidR="00866A0F" w:rsidRPr="00866A0F" w:rsidRDefault="00866A0F" w:rsidP="00866A0F">
            <w:pPr>
              <w:pStyle w:val="TableText0"/>
              <w:jc w:val="center"/>
              <w:rPr>
                <w:rFonts w:cs="Times New Roman"/>
                <w:b/>
                <w:sz w:val="22"/>
                <w:szCs w:val="22"/>
              </w:rPr>
            </w:pPr>
            <w:r w:rsidRPr="00866A0F">
              <w:rPr>
                <w:rFonts w:cs="Times New Roman"/>
                <w:b/>
                <w:sz w:val="22"/>
                <w:szCs w:val="22"/>
              </w:rPr>
              <w:t>Chemotherapy</w:t>
            </w:r>
          </w:p>
          <w:p w:rsidR="00866A0F" w:rsidRPr="00866A0F" w:rsidRDefault="00866A0F" w:rsidP="00866A0F">
            <w:pPr>
              <w:pStyle w:val="TableText0"/>
              <w:jc w:val="center"/>
              <w:rPr>
                <w:rFonts w:cs="Times New Roman"/>
                <w:b/>
                <w:sz w:val="22"/>
                <w:szCs w:val="22"/>
              </w:rPr>
            </w:pPr>
            <w:r w:rsidRPr="00866A0F">
              <w:rPr>
                <w:rFonts w:cs="Times New Roman"/>
                <w:b/>
                <w:sz w:val="22"/>
                <w:szCs w:val="22"/>
              </w:rPr>
              <w:t>(N=171)</w:t>
            </w:r>
          </w:p>
        </w:tc>
      </w:tr>
      <w:tr w:rsidR="00866A0F" w:rsidRPr="00A97068" w:rsidTr="00C454D6">
        <w:trPr>
          <w:cantSplit/>
        </w:trPr>
        <w:tc>
          <w:tcPr>
            <w:tcW w:w="4111" w:type="dxa"/>
            <w:vMerge/>
            <w:tcBorders>
              <w:left w:val="single" w:sz="8" w:space="0" w:color="auto"/>
              <w:bottom w:val="single" w:sz="8" w:space="0" w:color="auto"/>
              <w:right w:val="single" w:sz="8" w:space="0" w:color="auto"/>
            </w:tcBorders>
            <w:vAlign w:val="center"/>
          </w:tcPr>
          <w:p w:rsidR="00866A0F" w:rsidRPr="00866A0F" w:rsidRDefault="00866A0F" w:rsidP="00866A0F">
            <w:pPr>
              <w:pStyle w:val="TableText0"/>
              <w:overflowPunct w:val="0"/>
              <w:autoSpaceDE w:val="0"/>
              <w:autoSpaceDN w:val="0"/>
              <w:adjustRightInd w:val="0"/>
              <w:textAlignment w:val="baseline"/>
              <w:rPr>
                <w:rFonts w:cs="Times New Roman"/>
                <w:b/>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66A0F" w:rsidRPr="00866A0F" w:rsidRDefault="00866A0F" w:rsidP="00866A0F">
            <w:pPr>
              <w:pStyle w:val="TableText0"/>
              <w:overflowPunct w:val="0"/>
              <w:autoSpaceDE w:val="0"/>
              <w:autoSpaceDN w:val="0"/>
              <w:adjustRightInd w:val="0"/>
              <w:jc w:val="center"/>
              <w:textAlignment w:val="baseline"/>
              <w:rPr>
                <w:rFonts w:cs="Times New Roman"/>
                <w:b/>
                <w:sz w:val="22"/>
                <w:szCs w:val="22"/>
              </w:rPr>
            </w:pPr>
            <w:r w:rsidRPr="00866A0F">
              <w:rPr>
                <w:rFonts w:cs="Times New Roman"/>
                <w:b/>
                <w:sz w:val="22"/>
                <w:szCs w:val="22"/>
              </w:rPr>
              <w:t>All Grades</w:t>
            </w:r>
          </w:p>
          <w:p w:rsidR="00866A0F" w:rsidRPr="00866A0F" w:rsidRDefault="00866A0F" w:rsidP="00866A0F">
            <w:pPr>
              <w:pStyle w:val="TableText0"/>
              <w:overflowPunct w:val="0"/>
              <w:autoSpaceDE w:val="0"/>
              <w:autoSpaceDN w:val="0"/>
              <w:adjustRightInd w:val="0"/>
              <w:jc w:val="center"/>
              <w:textAlignment w:val="baseline"/>
              <w:rPr>
                <w:rFonts w:cs="Times New Roman"/>
                <w:b/>
                <w:sz w:val="22"/>
                <w:szCs w:val="22"/>
              </w:rPr>
            </w:pPr>
            <w:r w:rsidRPr="00866A0F">
              <w:rPr>
                <w:rFonts w:cs="Times New Roman"/>
                <w:b/>
                <w:sz w:val="22"/>
                <w:szCs w:val="22"/>
              </w:rPr>
              <w:t>n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66A0F" w:rsidRPr="00866A0F" w:rsidRDefault="00866A0F" w:rsidP="00866A0F">
            <w:pPr>
              <w:pStyle w:val="TableText0"/>
              <w:overflowPunct w:val="0"/>
              <w:autoSpaceDE w:val="0"/>
              <w:autoSpaceDN w:val="0"/>
              <w:adjustRightInd w:val="0"/>
              <w:jc w:val="center"/>
              <w:textAlignment w:val="baseline"/>
              <w:rPr>
                <w:rFonts w:cs="Times New Roman"/>
                <w:b/>
                <w:sz w:val="22"/>
                <w:szCs w:val="22"/>
              </w:rPr>
            </w:pPr>
            <w:r w:rsidRPr="00866A0F">
              <w:rPr>
                <w:rFonts w:cs="Times New Roman"/>
                <w:b/>
                <w:sz w:val="22"/>
                <w:szCs w:val="22"/>
              </w:rPr>
              <w:t>Grade 3/4</w:t>
            </w:r>
          </w:p>
          <w:p w:rsidR="00866A0F" w:rsidRPr="00866A0F" w:rsidRDefault="00866A0F" w:rsidP="00866A0F">
            <w:pPr>
              <w:pStyle w:val="TableText0"/>
              <w:overflowPunct w:val="0"/>
              <w:autoSpaceDE w:val="0"/>
              <w:autoSpaceDN w:val="0"/>
              <w:adjustRightInd w:val="0"/>
              <w:jc w:val="center"/>
              <w:textAlignment w:val="baseline"/>
              <w:rPr>
                <w:rFonts w:cs="Times New Roman"/>
                <w:b/>
                <w:sz w:val="22"/>
                <w:szCs w:val="22"/>
              </w:rPr>
            </w:pPr>
            <w:r w:rsidRPr="00866A0F">
              <w:rPr>
                <w:rFonts w:cs="Times New Roman"/>
                <w:b/>
                <w:sz w:val="22"/>
                <w:szCs w:val="22"/>
              </w:rPr>
              <w:t>n (%)</w:t>
            </w:r>
          </w:p>
        </w:tc>
        <w:tc>
          <w:tcPr>
            <w:tcW w:w="1275" w:type="dxa"/>
            <w:tcBorders>
              <w:top w:val="nil"/>
              <w:left w:val="nil"/>
              <w:bottom w:val="single" w:sz="8" w:space="0" w:color="auto"/>
              <w:right w:val="single" w:sz="8" w:space="0" w:color="auto"/>
            </w:tcBorders>
          </w:tcPr>
          <w:p w:rsidR="00866A0F" w:rsidRPr="00866A0F" w:rsidRDefault="00866A0F" w:rsidP="00866A0F">
            <w:pPr>
              <w:pStyle w:val="TableText0"/>
              <w:overflowPunct w:val="0"/>
              <w:autoSpaceDE w:val="0"/>
              <w:autoSpaceDN w:val="0"/>
              <w:adjustRightInd w:val="0"/>
              <w:jc w:val="center"/>
              <w:textAlignment w:val="baseline"/>
              <w:rPr>
                <w:rFonts w:cs="Times New Roman"/>
                <w:b/>
                <w:sz w:val="22"/>
                <w:szCs w:val="22"/>
              </w:rPr>
            </w:pPr>
            <w:r w:rsidRPr="00866A0F">
              <w:rPr>
                <w:rFonts w:cs="Times New Roman"/>
                <w:b/>
                <w:sz w:val="22"/>
                <w:szCs w:val="22"/>
              </w:rPr>
              <w:t>All Grades</w:t>
            </w:r>
          </w:p>
          <w:p w:rsidR="00866A0F" w:rsidRPr="00866A0F" w:rsidRDefault="00866A0F" w:rsidP="00866A0F">
            <w:pPr>
              <w:pStyle w:val="TableText0"/>
              <w:overflowPunct w:val="0"/>
              <w:autoSpaceDE w:val="0"/>
              <w:autoSpaceDN w:val="0"/>
              <w:adjustRightInd w:val="0"/>
              <w:jc w:val="center"/>
              <w:textAlignment w:val="baseline"/>
              <w:rPr>
                <w:rFonts w:cs="Times New Roman"/>
                <w:b/>
                <w:sz w:val="22"/>
                <w:szCs w:val="22"/>
              </w:rPr>
            </w:pPr>
            <w:r w:rsidRPr="00866A0F">
              <w:rPr>
                <w:rFonts w:cs="Times New Roman"/>
                <w:b/>
                <w:sz w:val="22"/>
                <w:szCs w:val="22"/>
              </w:rPr>
              <w:t>n (%)</w:t>
            </w:r>
          </w:p>
        </w:tc>
        <w:tc>
          <w:tcPr>
            <w:tcW w:w="1276" w:type="dxa"/>
            <w:tcBorders>
              <w:top w:val="nil"/>
              <w:left w:val="nil"/>
              <w:bottom w:val="single" w:sz="8" w:space="0" w:color="auto"/>
              <w:right w:val="single" w:sz="8" w:space="0" w:color="auto"/>
            </w:tcBorders>
          </w:tcPr>
          <w:p w:rsidR="00866A0F" w:rsidRPr="00866A0F" w:rsidRDefault="00866A0F" w:rsidP="00866A0F">
            <w:pPr>
              <w:pStyle w:val="TableText0"/>
              <w:overflowPunct w:val="0"/>
              <w:autoSpaceDE w:val="0"/>
              <w:autoSpaceDN w:val="0"/>
              <w:adjustRightInd w:val="0"/>
              <w:jc w:val="center"/>
              <w:textAlignment w:val="baseline"/>
              <w:rPr>
                <w:rFonts w:cs="Times New Roman"/>
                <w:b/>
                <w:sz w:val="22"/>
                <w:szCs w:val="22"/>
              </w:rPr>
            </w:pPr>
            <w:r w:rsidRPr="00866A0F">
              <w:rPr>
                <w:rFonts w:cs="Times New Roman"/>
                <w:b/>
                <w:sz w:val="22"/>
                <w:szCs w:val="22"/>
              </w:rPr>
              <w:t>Grade 3/4</w:t>
            </w:r>
          </w:p>
          <w:p w:rsidR="00866A0F" w:rsidRPr="00866A0F" w:rsidRDefault="00866A0F" w:rsidP="00866A0F">
            <w:pPr>
              <w:pStyle w:val="TableText0"/>
              <w:overflowPunct w:val="0"/>
              <w:autoSpaceDE w:val="0"/>
              <w:autoSpaceDN w:val="0"/>
              <w:adjustRightInd w:val="0"/>
              <w:jc w:val="center"/>
              <w:textAlignment w:val="baseline"/>
              <w:rPr>
                <w:rFonts w:cs="Times New Roman"/>
                <w:b/>
                <w:sz w:val="22"/>
                <w:szCs w:val="22"/>
              </w:rPr>
            </w:pPr>
            <w:r w:rsidRPr="00866A0F">
              <w:rPr>
                <w:rFonts w:cs="Times New Roman"/>
                <w:b/>
                <w:sz w:val="22"/>
                <w:szCs w:val="22"/>
              </w:rPr>
              <w:t>n (%)</w:t>
            </w:r>
          </w:p>
        </w:tc>
      </w:tr>
      <w:tr w:rsidR="0060603B" w:rsidRPr="00C456BA" w:rsidTr="00C454D6">
        <w:tc>
          <w:tcPr>
            <w:tcW w:w="411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0603B" w:rsidRPr="00866A0F" w:rsidRDefault="0060603B" w:rsidP="00141F76">
            <w:pPr>
              <w:pStyle w:val="TableText0"/>
              <w:overflowPunct w:val="0"/>
              <w:autoSpaceDE w:val="0"/>
              <w:autoSpaceDN w:val="0"/>
              <w:adjustRightInd w:val="0"/>
              <w:textAlignment w:val="baseline"/>
              <w:rPr>
                <w:rFonts w:cs="Times New Roman"/>
                <w:b/>
                <w:sz w:val="22"/>
                <w:szCs w:val="22"/>
              </w:rPr>
            </w:pPr>
            <w:r w:rsidRPr="00866A0F">
              <w:rPr>
                <w:rFonts w:cs="Times New Roman"/>
                <w:b/>
                <w:sz w:val="22"/>
                <w:szCs w:val="22"/>
              </w:rPr>
              <w:t>Blood and Lymphatic System Disorders</w:t>
            </w:r>
          </w:p>
          <w:p w:rsidR="0060603B" w:rsidRPr="00866A0F" w:rsidRDefault="0060603B" w:rsidP="00141F76">
            <w:pPr>
              <w:pStyle w:val="TableText0"/>
              <w:rPr>
                <w:rFonts w:cs="Times New Roman"/>
                <w:sz w:val="22"/>
                <w:szCs w:val="22"/>
                <w:vertAlign w:val="superscript"/>
              </w:rPr>
            </w:pPr>
            <w:r w:rsidRPr="00866A0F">
              <w:rPr>
                <w:rFonts w:cs="Times New Roman"/>
                <w:sz w:val="22"/>
                <w:szCs w:val="22"/>
              </w:rPr>
              <w:t>  Neutropenia</w:t>
            </w:r>
            <w:r w:rsidRPr="00866A0F">
              <w:rPr>
                <w:rFonts w:cs="Times New Roman"/>
                <w:sz w:val="22"/>
                <w:szCs w:val="22"/>
                <w:vertAlign w:val="superscript"/>
              </w:rPr>
              <w:t xml:space="preserve">a </w:t>
            </w:r>
          </w:p>
          <w:p w:rsidR="0060603B" w:rsidRPr="00866A0F" w:rsidRDefault="0060603B" w:rsidP="008D6ABF">
            <w:pPr>
              <w:pStyle w:val="TableText0"/>
              <w:rPr>
                <w:rFonts w:cs="Times New Roman"/>
                <w:sz w:val="22"/>
                <w:szCs w:val="22"/>
                <w:vertAlign w:val="superscript"/>
              </w:rPr>
            </w:pPr>
            <w:r w:rsidRPr="00866A0F">
              <w:rPr>
                <w:rFonts w:cs="Times New Roman"/>
                <w:sz w:val="22"/>
                <w:szCs w:val="22"/>
              </w:rPr>
              <w:t>  Leu</w:t>
            </w:r>
            <w:r w:rsidR="008D6ABF">
              <w:rPr>
                <w:rFonts w:cs="Times New Roman"/>
                <w:sz w:val="22"/>
                <w:szCs w:val="22"/>
              </w:rPr>
              <w:t>c</w:t>
            </w:r>
            <w:r w:rsidRPr="00866A0F">
              <w:rPr>
                <w:rFonts w:cs="Times New Roman"/>
                <w:sz w:val="22"/>
                <w:szCs w:val="22"/>
              </w:rPr>
              <w:t>openia</w:t>
            </w: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454D6" w:rsidRDefault="00C454D6" w:rsidP="00141F76">
            <w:pPr>
              <w:pStyle w:val="TableText0"/>
              <w:jc w:val="center"/>
              <w:rPr>
                <w:rFonts w:cs="Times New Roman"/>
                <w:sz w:val="22"/>
                <w:szCs w:val="22"/>
              </w:rPr>
            </w:pPr>
          </w:p>
          <w:p w:rsidR="00C454D6" w:rsidRDefault="0060603B" w:rsidP="00141F76">
            <w:pPr>
              <w:pStyle w:val="TableText0"/>
              <w:jc w:val="center"/>
              <w:rPr>
                <w:rFonts w:cs="Times New Roman"/>
                <w:sz w:val="22"/>
                <w:szCs w:val="22"/>
              </w:rPr>
            </w:pPr>
            <w:r w:rsidRPr="00866A0F">
              <w:rPr>
                <w:rFonts w:cs="Times New Roman"/>
                <w:sz w:val="22"/>
                <w:szCs w:val="22"/>
              </w:rPr>
              <w:t>47 (27)</w:t>
            </w:r>
          </w:p>
          <w:p w:rsidR="0060603B" w:rsidRPr="00866A0F" w:rsidRDefault="0060603B" w:rsidP="00141F76">
            <w:pPr>
              <w:pStyle w:val="TableText0"/>
              <w:jc w:val="center"/>
              <w:rPr>
                <w:rFonts w:cs="Times New Roman"/>
                <w:sz w:val="22"/>
                <w:szCs w:val="22"/>
              </w:rPr>
            </w:pPr>
            <w:r w:rsidRPr="00866A0F">
              <w:rPr>
                <w:rFonts w:cs="Times New Roman"/>
                <w:sz w:val="22"/>
                <w:szCs w:val="22"/>
              </w:rPr>
              <w:t>15 (9)</w:t>
            </w: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454D6" w:rsidRDefault="00C454D6" w:rsidP="00141F76">
            <w:pPr>
              <w:pStyle w:val="TableText0"/>
              <w:jc w:val="center"/>
              <w:rPr>
                <w:rFonts w:cs="Times New Roman"/>
                <w:sz w:val="22"/>
                <w:szCs w:val="22"/>
              </w:rPr>
            </w:pPr>
          </w:p>
          <w:p w:rsidR="00C454D6" w:rsidRDefault="0060603B" w:rsidP="00141F76">
            <w:pPr>
              <w:pStyle w:val="TableText0"/>
              <w:jc w:val="center"/>
              <w:rPr>
                <w:rFonts w:cs="Times New Roman"/>
                <w:sz w:val="22"/>
                <w:szCs w:val="22"/>
              </w:rPr>
            </w:pPr>
            <w:r w:rsidRPr="00866A0F">
              <w:rPr>
                <w:rFonts w:cs="Times New Roman"/>
                <w:sz w:val="22"/>
                <w:szCs w:val="22"/>
              </w:rPr>
              <w:t>23 (13)</w:t>
            </w:r>
          </w:p>
          <w:p w:rsidR="0060603B" w:rsidRPr="00866A0F" w:rsidRDefault="0060603B" w:rsidP="00141F76">
            <w:pPr>
              <w:pStyle w:val="TableText0"/>
              <w:jc w:val="center"/>
              <w:rPr>
                <w:rFonts w:cs="Times New Roman"/>
                <w:sz w:val="22"/>
                <w:szCs w:val="22"/>
              </w:rPr>
            </w:pPr>
            <w:r w:rsidRPr="00866A0F">
              <w:rPr>
                <w:rFonts w:cs="Times New Roman"/>
                <w:sz w:val="22"/>
                <w:szCs w:val="22"/>
              </w:rPr>
              <w:t>3 (2)</w:t>
            </w:r>
          </w:p>
        </w:tc>
        <w:tc>
          <w:tcPr>
            <w:tcW w:w="1275" w:type="dxa"/>
            <w:tcBorders>
              <w:top w:val="single" w:sz="8" w:space="0" w:color="auto"/>
              <w:left w:val="nil"/>
              <w:bottom w:val="single" w:sz="4" w:space="0" w:color="auto"/>
              <w:right w:val="single" w:sz="8" w:space="0" w:color="auto"/>
            </w:tcBorders>
          </w:tcPr>
          <w:p w:rsidR="00C454D6" w:rsidRDefault="00C454D6" w:rsidP="00141F76">
            <w:pPr>
              <w:pStyle w:val="TableText0"/>
              <w:jc w:val="center"/>
              <w:rPr>
                <w:rFonts w:cs="Times New Roman"/>
                <w:sz w:val="22"/>
                <w:szCs w:val="22"/>
              </w:rPr>
            </w:pPr>
          </w:p>
          <w:p w:rsidR="00C454D6" w:rsidRDefault="0060603B" w:rsidP="00141F76">
            <w:pPr>
              <w:pStyle w:val="TableText0"/>
              <w:jc w:val="center"/>
              <w:rPr>
                <w:rFonts w:cs="Times New Roman"/>
                <w:sz w:val="22"/>
                <w:szCs w:val="22"/>
              </w:rPr>
            </w:pPr>
            <w:r w:rsidRPr="00866A0F">
              <w:rPr>
                <w:rFonts w:cs="Times New Roman"/>
                <w:sz w:val="22"/>
                <w:szCs w:val="22"/>
              </w:rPr>
              <w:t>39 (23)</w:t>
            </w:r>
          </w:p>
          <w:p w:rsidR="0060603B" w:rsidRPr="00866A0F" w:rsidRDefault="0060603B" w:rsidP="00141F76">
            <w:pPr>
              <w:pStyle w:val="TableText0"/>
              <w:jc w:val="center"/>
              <w:rPr>
                <w:rFonts w:cs="Times New Roman"/>
                <w:sz w:val="22"/>
                <w:szCs w:val="22"/>
              </w:rPr>
            </w:pPr>
            <w:r w:rsidRPr="00866A0F">
              <w:rPr>
                <w:rFonts w:cs="Times New Roman"/>
                <w:sz w:val="22"/>
                <w:szCs w:val="22"/>
              </w:rPr>
              <w:t>9 (5)</w:t>
            </w:r>
          </w:p>
        </w:tc>
        <w:tc>
          <w:tcPr>
            <w:tcW w:w="1276" w:type="dxa"/>
            <w:tcBorders>
              <w:top w:val="single" w:sz="8" w:space="0" w:color="auto"/>
              <w:left w:val="nil"/>
              <w:bottom w:val="single" w:sz="4" w:space="0" w:color="auto"/>
              <w:right w:val="single" w:sz="8" w:space="0" w:color="auto"/>
            </w:tcBorders>
          </w:tcPr>
          <w:p w:rsidR="00C454D6" w:rsidRDefault="00C454D6" w:rsidP="00141F76">
            <w:pPr>
              <w:pStyle w:val="TableText0"/>
              <w:jc w:val="center"/>
              <w:rPr>
                <w:rFonts w:cs="Times New Roman"/>
                <w:sz w:val="22"/>
                <w:szCs w:val="22"/>
              </w:rPr>
            </w:pPr>
          </w:p>
          <w:p w:rsidR="00C454D6" w:rsidRDefault="0060603B" w:rsidP="00141F76">
            <w:pPr>
              <w:pStyle w:val="TableText0"/>
              <w:jc w:val="center"/>
              <w:rPr>
                <w:rFonts w:cs="Times New Roman"/>
                <w:sz w:val="22"/>
                <w:szCs w:val="22"/>
              </w:rPr>
            </w:pPr>
            <w:r w:rsidRPr="00866A0F">
              <w:rPr>
                <w:rFonts w:cs="Times New Roman"/>
                <w:sz w:val="22"/>
                <w:szCs w:val="22"/>
              </w:rPr>
              <w:t>33 (19)</w:t>
            </w:r>
          </w:p>
          <w:p w:rsidR="0060603B" w:rsidRPr="00866A0F" w:rsidRDefault="0060603B" w:rsidP="00141F76">
            <w:pPr>
              <w:pStyle w:val="TableText0"/>
              <w:jc w:val="center"/>
              <w:rPr>
                <w:rFonts w:cs="Times New Roman"/>
                <w:sz w:val="22"/>
                <w:szCs w:val="22"/>
              </w:rPr>
            </w:pPr>
            <w:r w:rsidRPr="00866A0F">
              <w:rPr>
                <w:rFonts w:cs="Times New Roman"/>
                <w:sz w:val="22"/>
                <w:szCs w:val="22"/>
              </w:rPr>
              <w:t>4 (2)</w:t>
            </w:r>
          </w:p>
        </w:tc>
      </w:tr>
      <w:tr w:rsidR="004277BD" w:rsidRPr="00C456BA" w:rsidTr="004277BD">
        <w:tc>
          <w:tcPr>
            <w:tcW w:w="411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4277BD" w:rsidRPr="00866A0F" w:rsidRDefault="004277BD" w:rsidP="004277BD">
            <w:pPr>
              <w:pStyle w:val="TableText0"/>
              <w:keepNext/>
              <w:overflowPunct w:val="0"/>
              <w:autoSpaceDE w:val="0"/>
              <w:autoSpaceDN w:val="0"/>
              <w:adjustRightInd w:val="0"/>
              <w:textAlignment w:val="baseline"/>
              <w:rPr>
                <w:rFonts w:cs="Times New Roman"/>
                <w:b/>
                <w:sz w:val="22"/>
                <w:szCs w:val="22"/>
              </w:rPr>
            </w:pPr>
            <w:r w:rsidRPr="00866A0F">
              <w:rPr>
                <w:rFonts w:cs="Times New Roman"/>
                <w:b/>
                <w:sz w:val="22"/>
                <w:szCs w:val="22"/>
              </w:rPr>
              <w:t>Cardiac Disorders</w:t>
            </w:r>
          </w:p>
          <w:p w:rsidR="004277BD" w:rsidRPr="00866A0F" w:rsidRDefault="004277BD" w:rsidP="004277BD">
            <w:pPr>
              <w:pStyle w:val="TableText0"/>
              <w:keepNext/>
              <w:overflowPunct w:val="0"/>
              <w:autoSpaceDE w:val="0"/>
              <w:autoSpaceDN w:val="0"/>
              <w:adjustRightInd w:val="0"/>
              <w:textAlignment w:val="baseline"/>
              <w:rPr>
                <w:rFonts w:cs="Times New Roman"/>
                <w:sz w:val="22"/>
                <w:szCs w:val="22"/>
              </w:rPr>
            </w:pPr>
            <w:r w:rsidRPr="00866A0F">
              <w:rPr>
                <w:rFonts w:cs="Times New Roman"/>
                <w:sz w:val="22"/>
                <w:szCs w:val="22"/>
              </w:rPr>
              <w:t xml:space="preserve">  Electrocardiogram QT prolonged</w:t>
            </w:r>
          </w:p>
          <w:p w:rsidR="004277BD" w:rsidRPr="00866A0F" w:rsidRDefault="00F760AE" w:rsidP="00F760AE">
            <w:pPr>
              <w:pStyle w:val="TableText0"/>
              <w:keepNext/>
              <w:overflowPunct w:val="0"/>
              <w:autoSpaceDE w:val="0"/>
              <w:autoSpaceDN w:val="0"/>
              <w:adjustRightInd w:val="0"/>
              <w:textAlignment w:val="baseline"/>
              <w:rPr>
                <w:rFonts w:cs="Times New Roman"/>
                <w:sz w:val="22"/>
                <w:szCs w:val="22"/>
                <w:vertAlign w:val="superscript"/>
              </w:rPr>
            </w:pPr>
            <w:r>
              <w:rPr>
                <w:rFonts w:cs="Times New Roman"/>
                <w:sz w:val="22"/>
                <w:szCs w:val="22"/>
              </w:rPr>
              <w:t xml:space="preserve"> </w:t>
            </w:r>
            <w:r w:rsidR="004277BD" w:rsidRPr="00866A0F">
              <w:rPr>
                <w:rFonts w:cs="Times New Roman"/>
                <w:sz w:val="22"/>
                <w:szCs w:val="22"/>
              </w:rPr>
              <w:t xml:space="preserve"> Bradycardia</w:t>
            </w:r>
            <w:r>
              <w:rPr>
                <w:rFonts w:cs="Times New Roman"/>
                <w:sz w:val="22"/>
                <w:szCs w:val="22"/>
                <w:vertAlign w:val="superscript"/>
              </w:rPr>
              <w:t>b</w:t>
            </w: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keepNext/>
              <w:jc w:val="center"/>
              <w:rPr>
                <w:rFonts w:cs="Times New Roman"/>
                <w:sz w:val="22"/>
                <w:szCs w:val="22"/>
              </w:rPr>
            </w:pPr>
          </w:p>
          <w:p w:rsidR="004277BD" w:rsidRPr="00866A0F" w:rsidRDefault="004277BD" w:rsidP="004277BD">
            <w:pPr>
              <w:pStyle w:val="TableText0"/>
              <w:keepNext/>
              <w:jc w:val="center"/>
              <w:rPr>
                <w:rFonts w:cs="Times New Roman"/>
                <w:sz w:val="22"/>
                <w:szCs w:val="22"/>
              </w:rPr>
            </w:pPr>
            <w:r w:rsidRPr="00866A0F">
              <w:rPr>
                <w:rFonts w:cs="Times New Roman"/>
                <w:sz w:val="22"/>
                <w:szCs w:val="22"/>
              </w:rPr>
              <w:t>8 (5)</w:t>
            </w:r>
            <w:r w:rsidRPr="00866A0F">
              <w:rPr>
                <w:rFonts w:cs="Times New Roman"/>
                <w:sz w:val="22"/>
                <w:szCs w:val="22"/>
              </w:rPr>
              <w:br/>
              <w:t>8 (5)</w:t>
            </w: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keepNext/>
              <w:jc w:val="center"/>
              <w:rPr>
                <w:rFonts w:cs="Times New Roman"/>
                <w:sz w:val="22"/>
                <w:szCs w:val="22"/>
              </w:rPr>
            </w:pPr>
          </w:p>
          <w:p w:rsidR="004277BD" w:rsidRPr="00866A0F" w:rsidRDefault="004277BD" w:rsidP="004277BD">
            <w:pPr>
              <w:pStyle w:val="TableText0"/>
              <w:keepNext/>
              <w:jc w:val="center"/>
              <w:rPr>
                <w:rFonts w:cs="Times New Roman"/>
                <w:sz w:val="22"/>
                <w:szCs w:val="22"/>
              </w:rPr>
            </w:pPr>
            <w:r w:rsidRPr="00866A0F">
              <w:rPr>
                <w:rFonts w:cs="Times New Roman"/>
                <w:sz w:val="22"/>
                <w:szCs w:val="22"/>
              </w:rPr>
              <w:t>6 (3)</w:t>
            </w:r>
          </w:p>
          <w:p w:rsidR="004277BD" w:rsidRPr="00866A0F" w:rsidRDefault="004277BD" w:rsidP="004277BD">
            <w:pPr>
              <w:pStyle w:val="TableText0"/>
              <w:keepNext/>
              <w:jc w:val="center"/>
              <w:rPr>
                <w:rFonts w:cs="Times New Roman"/>
                <w:sz w:val="22"/>
                <w:szCs w:val="22"/>
              </w:rPr>
            </w:pPr>
            <w:r w:rsidRPr="00866A0F">
              <w:rPr>
                <w:rFonts w:cs="Times New Roman"/>
                <w:sz w:val="22"/>
                <w:szCs w:val="22"/>
              </w:rPr>
              <w:t>0 (0)</w:t>
            </w:r>
          </w:p>
        </w:tc>
        <w:tc>
          <w:tcPr>
            <w:tcW w:w="1275" w:type="dxa"/>
            <w:tcBorders>
              <w:top w:val="single" w:sz="8" w:space="0" w:color="auto"/>
              <w:left w:val="nil"/>
              <w:bottom w:val="single" w:sz="4" w:space="0" w:color="auto"/>
              <w:right w:val="single" w:sz="8" w:space="0" w:color="auto"/>
            </w:tcBorders>
          </w:tcPr>
          <w:p w:rsidR="004277BD" w:rsidRDefault="004277BD" w:rsidP="004277BD">
            <w:pPr>
              <w:pStyle w:val="TableText0"/>
              <w:keepNext/>
              <w:jc w:val="center"/>
              <w:rPr>
                <w:rFonts w:cs="Times New Roman"/>
                <w:sz w:val="22"/>
                <w:szCs w:val="22"/>
              </w:rPr>
            </w:pPr>
          </w:p>
          <w:p w:rsidR="004277BD" w:rsidRPr="00866A0F" w:rsidRDefault="004277BD" w:rsidP="004277BD">
            <w:pPr>
              <w:pStyle w:val="TableText0"/>
              <w:keepNext/>
              <w:jc w:val="center"/>
              <w:rPr>
                <w:rFonts w:cs="Times New Roman"/>
                <w:sz w:val="22"/>
                <w:szCs w:val="22"/>
              </w:rPr>
            </w:pPr>
            <w:r w:rsidRPr="00866A0F">
              <w:rPr>
                <w:rFonts w:cs="Times New Roman"/>
                <w:sz w:val="22"/>
                <w:szCs w:val="22"/>
              </w:rPr>
              <w:t>0 (0)</w:t>
            </w:r>
            <w:r w:rsidRPr="00866A0F">
              <w:rPr>
                <w:rFonts w:cs="Times New Roman"/>
                <w:sz w:val="22"/>
                <w:szCs w:val="22"/>
              </w:rPr>
              <w:br/>
              <w:t>0 (0)</w:t>
            </w:r>
          </w:p>
        </w:tc>
        <w:tc>
          <w:tcPr>
            <w:tcW w:w="1276" w:type="dxa"/>
            <w:tcBorders>
              <w:top w:val="single" w:sz="8" w:space="0" w:color="auto"/>
              <w:left w:val="nil"/>
              <w:bottom w:val="single" w:sz="4" w:space="0" w:color="auto"/>
              <w:right w:val="single" w:sz="8" w:space="0" w:color="auto"/>
            </w:tcBorders>
          </w:tcPr>
          <w:p w:rsidR="004277BD" w:rsidRDefault="004277BD" w:rsidP="004277BD">
            <w:pPr>
              <w:pStyle w:val="TableText0"/>
              <w:keepNext/>
              <w:jc w:val="center"/>
              <w:rPr>
                <w:rFonts w:cs="Times New Roman"/>
                <w:sz w:val="22"/>
                <w:szCs w:val="22"/>
              </w:rPr>
            </w:pPr>
          </w:p>
          <w:p w:rsidR="004277BD" w:rsidRPr="00866A0F" w:rsidRDefault="004277BD" w:rsidP="004277BD">
            <w:pPr>
              <w:pStyle w:val="TableText0"/>
              <w:keepNext/>
              <w:jc w:val="center"/>
              <w:rPr>
                <w:rFonts w:cs="Times New Roman"/>
                <w:sz w:val="22"/>
                <w:szCs w:val="22"/>
              </w:rPr>
            </w:pPr>
            <w:r w:rsidRPr="00866A0F">
              <w:rPr>
                <w:rFonts w:cs="Times New Roman"/>
                <w:sz w:val="22"/>
                <w:szCs w:val="22"/>
              </w:rPr>
              <w:t>0 (0)</w:t>
            </w:r>
            <w:r w:rsidRPr="00866A0F">
              <w:rPr>
                <w:rFonts w:cs="Times New Roman"/>
                <w:sz w:val="22"/>
                <w:szCs w:val="22"/>
              </w:rPr>
              <w:br/>
              <w:t>0 (0)</w:t>
            </w:r>
          </w:p>
        </w:tc>
      </w:tr>
      <w:tr w:rsidR="004277BD" w:rsidRPr="00C456BA" w:rsidTr="004277BD">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277BD" w:rsidRPr="00866A0F" w:rsidRDefault="004277BD" w:rsidP="004277BD">
            <w:pPr>
              <w:pStyle w:val="TableText0"/>
              <w:overflowPunct w:val="0"/>
              <w:autoSpaceDE w:val="0"/>
              <w:autoSpaceDN w:val="0"/>
              <w:adjustRightInd w:val="0"/>
              <w:textAlignment w:val="baseline"/>
              <w:rPr>
                <w:rFonts w:cs="Times New Roman"/>
                <w:b/>
                <w:sz w:val="22"/>
                <w:szCs w:val="22"/>
              </w:rPr>
            </w:pPr>
            <w:r w:rsidRPr="00866A0F">
              <w:rPr>
                <w:rFonts w:cs="Times New Roman"/>
                <w:b/>
                <w:sz w:val="22"/>
                <w:szCs w:val="22"/>
              </w:rPr>
              <w:t>Eye Disorders</w:t>
            </w:r>
          </w:p>
          <w:p w:rsidR="004277BD" w:rsidRPr="00866A0F" w:rsidRDefault="00F760AE" w:rsidP="00F760AE">
            <w:pPr>
              <w:pStyle w:val="TableText0"/>
              <w:overflowPunct w:val="0"/>
              <w:autoSpaceDE w:val="0"/>
              <w:autoSpaceDN w:val="0"/>
              <w:adjustRightInd w:val="0"/>
              <w:textAlignment w:val="baseline"/>
              <w:rPr>
                <w:rFonts w:cs="Times New Roman"/>
                <w:b/>
                <w:sz w:val="22"/>
                <w:szCs w:val="22"/>
              </w:rPr>
            </w:pPr>
            <w:r>
              <w:rPr>
                <w:rFonts w:cs="Times New Roman"/>
                <w:sz w:val="22"/>
                <w:szCs w:val="22"/>
              </w:rPr>
              <w:t xml:space="preserve"> </w:t>
            </w:r>
            <w:r w:rsidR="004277BD" w:rsidRPr="00866A0F">
              <w:rPr>
                <w:rFonts w:cs="Times New Roman"/>
                <w:sz w:val="22"/>
                <w:szCs w:val="22"/>
              </w:rPr>
              <w:t xml:space="preserve"> Vision Disorder</w:t>
            </w:r>
            <w:r>
              <w:rPr>
                <w:rFonts w:cs="Times New Roman"/>
                <w:sz w:val="22"/>
                <w:szCs w:val="22"/>
                <w:vertAlign w:val="superscript"/>
              </w:rPr>
              <w:t>c</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7BD" w:rsidRPr="00866A0F" w:rsidRDefault="004277BD" w:rsidP="004277BD">
            <w:pPr>
              <w:pStyle w:val="TableText0"/>
              <w:jc w:val="center"/>
              <w:rPr>
                <w:rFonts w:cs="Times New Roman"/>
                <w:sz w:val="22"/>
                <w:szCs w:val="22"/>
              </w:rPr>
            </w:pPr>
          </w:p>
          <w:p w:rsidR="004277BD" w:rsidRPr="00866A0F" w:rsidRDefault="004277BD" w:rsidP="004277BD">
            <w:pPr>
              <w:pStyle w:val="TableText0"/>
              <w:jc w:val="center"/>
              <w:rPr>
                <w:rFonts w:cs="Times New Roman"/>
                <w:sz w:val="22"/>
                <w:szCs w:val="22"/>
              </w:rPr>
            </w:pPr>
            <w:r w:rsidRPr="00866A0F">
              <w:rPr>
                <w:rFonts w:cs="Times New Roman"/>
                <w:sz w:val="22"/>
                <w:szCs w:val="22"/>
              </w:rPr>
              <w:t>103 (60)</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7BD" w:rsidRPr="00866A0F" w:rsidRDefault="004277BD" w:rsidP="004277BD">
            <w:pPr>
              <w:pStyle w:val="TableText0"/>
              <w:jc w:val="center"/>
              <w:rPr>
                <w:rFonts w:cs="Times New Roman"/>
                <w:sz w:val="22"/>
                <w:szCs w:val="22"/>
              </w:rPr>
            </w:pPr>
          </w:p>
          <w:p w:rsidR="004277BD" w:rsidRPr="00866A0F" w:rsidRDefault="004277BD" w:rsidP="004277BD">
            <w:pPr>
              <w:pStyle w:val="TableText0"/>
              <w:jc w:val="center"/>
              <w:rPr>
                <w:rFonts w:cs="Times New Roman"/>
                <w:sz w:val="22"/>
                <w:szCs w:val="22"/>
              </w:rPr>
            </w:pPr>
            <w:r w:rsidRPr="00866A0F">
              <w:rPr>
                <w:rFonts w:cs="Times New Roman"/>
                <w:sz w:val="22"/>
                <w:szCs w:val="22"/>
              </w:rPr>
              <w:t>0 (0)</w:t>
            </w:r>
          </w:p>
        </w:tc>
        <w:tc>
          <w:tcPr>
            <w:tcW w:w="1275" w:type="dxa"/>
            <w:tcBorders>
              <w:top w:val="single" w:sz="4" w:space="0" w:color="auto"/>
              <w:left w:val="nil"/>
              <w:bottom w:val="single" w:sz="8" w:space="0" w:color="auto"/>
              <w:right w:val="single" w:sz="8" w:space="0" w:color="auto"/>
            </w:tcBorders>
          </w:tcPr>
          <w:p w:rsidR="004277BD" w:rsidRPr="00866A0F" w:rsidRDefault="004277BD" w:rsidP="004277BD">
            <w:pPr>
              <w:pStyle w:val="TableText0"/>
              <w:jc w:val="center"/>
              <w:rPr>
                <w:rFonts w:cs="Times New Roman"/>
                <w:sz w:val="22"/>
                <w:szCs w:val="22"/>
              </w:rPr>
            </w:pPr>
          </w:p>
          <w:p w:rsidR="004277BD" w:rsidRPr="00866A0F" w:rsidRDefault="004277BD" w:rsidP="004277BD">
            <w:pPr>
              <w:pStyle w:val="TableText0"/>
              <w:jc w:val="center"/>
              <w:rPr>
                <w:rFonts w:cs="Times New Roman"/>
                <w:sz w:val="22"/>
                <w:szCs w:val="22"/>
              </w:rPr>
            </w:pPr>
            <w:r w:rsidRPr="00866A0F">
              <w:rPr>
                <w:rFonts w:cs="Times New Roman"/>
                <w:sz w:val="22"/>
                <w:szCs w:val="22"/>
              </w:rPr>
              <w:t>16 (9)</w:t>
            </w:r>
          </w:p>
        </w:tc>
        <w:tc>
          <w:tcPr>
            <w:tcW w:w="1276" w:type="dxa"/>
            <w:tcBorders>
              <w:top w:val="single" w:sz="4" w:space="0" w:color="auto"/>
              <w:left w:val="nil"/>
              <w:bottom w:val="single" w:sz="8" w:space="0" w:color="auto"/>
              <w:right w:val="single" w:sz="8" w:space="0" w:color="auto"/>
            </w:tcBorders>
          </w:tcPr>
          <w:p w:rsidR="004277BD" w:rsidRPr="00866A0F" w:rsidRDefault="004277BD" w:rsidP="004277BD">
            <w:pPr>
              <w:pStyle w:val="TableText0"/>
              <w:jc w:val="center"/>
              <w:rPr>
                <w:rFonts w:cs="Times New Roman"/>
                <w:sz w:val="22"/>
                <w:szCs w:val="22"/>
              </w:rPr>
            </w:pPr>
          </w:p>
          <w:p w:rsidR="004277BD" w:rsidRPr="00866A0F" w:rsidRDefault="004277BD" w:rsidP="004277BD">
            <w:pPr>
              <w:pStyle w:val="TableText0"/>
              <w:jc w:val="center"/>
              <w:rPr>
                <w:rFonts w:cs="Times New Roman"/>
                <w:sz w:val="22"/>
                <w:szCs w:val="22"/>
              </w:rPr>
            </w:pPr>
            <w:r w:rsidRPr="00866A0F">
              <w:rPr>
                <w:rFonts w:cs="Times New Roman"/>
                <w:sz w:val="22"/>
                <w:szCs w:val="22"/>
              </w:rPr>
              <w:t>0 (0)</w:t>
            </w:r>
          </w:p>
        </w:tc>
      </w:tr>
      <w:tr w:rsidR="004277BD" w:rsidRPr="00C456BA" w:rsidTr="00C454D6">
        <w:trPr>
          <w:cantSplit/>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rPr>
                <w:rFonts w:cs="Times New Roman"/>
                <w:b/>
                <w:sz w:val="22"/>
                <w:szCs w:val="22"/>
              </w:rPr>
            </w:pPr>
            <w:r w:rsidRPr="00866A0F">
              <w:rPr>
                <w:rFonts w:cs="Times New Roman"/>
                <w:b/>
                <w:sz w:val="22"/>
                <w:szCs w:val="22"/>
              </w:rPr>
              <w:lastRenderedPageBreak/>
              <w:t>Gastrointestinal Disorders</w:t>
            </w:r>
          </w:p>
          <w:p w:rsidR="004277BD" w:rsidRPr="00866A0F" w:rsidRDefault="004277BD" w:rsidP="004277BD">
            <w:pPr>
              <w:pStyle w:val="TableText0"/>
              <w:rPr>
                <w:rFonts w:cs="Times New Roman"/>
                <w:sz w:val="22"/>
                <w:szCs w:val="22"/>
              </w:rPr>
            </w:pPr>
            <w:r w:rsidRPr="00866A0F">
              <w:rPr>
                <w:rFonts w:cs="Times New Roman"/>
                <w:sz w:val="22"/>
                <w:szCs w:val="22"/>
              </w:rPr>
              <w:t xml:space="preserve">  Vomiting</w:t>
            </w:r>
          </w:p>
          <w:p w:rsidR="004277BD" w:rsidRPr="00866A0F" w:rsidRDefault="004277BD" w:rsidP="004277BD">
            <w:pPr>
              <w:pStyle w:val="TableText0"/>
              <w:rPr>
                <w:rFonts w:cs="Times New Roman"/>
                <w:sz w:val="22"/>
                <w:szCs w:val="22"/>
              </w:rPr>
            </w:pPr>
            <w:r w:rsidRPr="00866A0F">
              <w:rPr>
                <w:rFonts w:cs="Times New Roman"/>
                <w:sz w:val="22"/>
                <w:szCs w:val="22"/>
              </w:rPr>
              <w:t xml:space="preserve">  Nausea</w:t>
            </w:r>
          </w:p>
          <w:p w:rsidR="004277BD" w:rsidRPr="00866A0F" w:rsidRDefault="004277BD" w:rsidP="004277BD">
            <w:pPr>
              <w:pStyle w:val="TableText0"/>
              <w:rPr>
                <w:rFonts w:cs="Times New Roman"/>
                <w:sz w:val="22"/>
                <w:szCs w:val="22"/>
              </w:rPr>
            </w:pPr>
            <w:r w:rsidRPr="00866A0F">
              <w:rPr>
                <w:rFonts w:cs="Times New Roman"/>
                <w:sz w:val="22"/>
                <w:szCs w:val="22"/>
              </w:rPr>
              <w:t xml:space="preserve">  Diarrh</w:t>
            </w:r>
            <w:r w:rsidR="00B60E44">
              <w:rPr>
                <w:rFonts w:cs="Times New Roman"/>
                <w:sz w:val="22"/>
                <w:szCs w:val="22"/>
              </w:rPr>
              <w:t>o</w:t>
            </w:r>
            <w:r w:rsidRPr="00866A0F">
              <w:rPr>
                <w:rFonts w:cs="Times New Roman"/>
                <w:sz w:val="22"/>
                <w:szCs w:val="22"/>
              </w:rPr>
              <w:t>ea</w:t>
            </w:r>
            <w:r w:rsidRPr="00866A0F">
              <w:rPr>
                <w:rFonts w:cs="Times New Roman"/>
                <w:sz w:val="22"/>
                <w:szCs w:val="22"/>
              </w:rPr>
              <w:br/>
              <w:t xml:space="preserve">  Constipation</w:t>
            </w:r>
          </w:p>
          <w:p w:rsidR="004277BD" w:rsidRPr="00866A0F" w:rsidRDefault="004277BD" w:rsidP="00141F76">
            <w:pPr>
              <w:pStyle w:val="TableText0"/>
              <w:rPr>
                <w:rFonts w:cs="Times New Roman"/>
                <w:b/>
                <w:sz w:val="22"/>
                <w:szCs w:val="22"/>
              </w:rPr>
            </w:pPr>
            <w:r w:rsidRPr="00866A0F">
              <w:rPr>
                <w:rFonts w:cs="Times New Roman"/>
                <w:sz w:val="22"/>
                <w:szCs w:val="22"/>
              </w:rPr>
              <w:t xml:space="preserve">  Dyspepsia</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jc w:val="center"/>
              <w:rPr>
                <w:rFonts w:cs="Times New Roman"/>
                <w:sz w:val="22"/>
                <w:szCs w:val="22"/>
              </w:rPr>
            </w:pPr>
          </w:p>
          <w:p w:rsidR="004277BD" w:rsidRDefault="004277BD" w:rsidP="00141F76">
            <w:pPr>
              <w:pStyle w:val="TableText0"/>
              <w:jc w:val="center"/>
              <w:rPr>
                <w:rFonts w:cs="Times New Roman"/>
                <w:sz w:val="22"/>
                <w:szCs w:val="22"/>
              </w:rPr>
            </w:pPr>
            <w:r w:rsidRPr="00866A0F">
              <w:rPr>
                <w:rFonts w:cs="Times New Roman"/>
                <w:sz w:val="22"/>
                <w:szCs w:val="22"/>
              </w:rPr>
              <w:t>80 (47)</w:t>
            </w:r>
            <w:r w:rsidRPr="00866A0F">
              <w:rPr>
                <w:rFonts w:cs="Times New Roman"/>
                <w:sz w:val="22"/>
                <w:szCs w:val="22"/>
              </w:rPr>
              <w:br/>
              <w:t>94 (55)</w:t>
            </w:r>
            <w:r w:rsidRPr="00866A0F">
              <w:rPr>
                <w:rFonts w:cs="Times New Roman"/>
                <w:sz w:val="22"/>
                <w:szCs w:val="22"/>
              </w:rPr>
              <w:br/>
              <w:t>103 (60)</w:t>
            </w:r>
            <w:r w:rsidRPr="00866A0F">
              <w:rPr>
                <w:rFonts w:cs="Times New Roman"/>
                <w:sz w:val="22"/>
                <w:szCs w:val="22"/>
              </w:rPr>
              <w:br/>
              <w:t>73 (42)</w:t>
            </w:r>
            <w:r w:rsidRPr="00866A0F">
              <w:rPr>
                <w:rFonts w:cs="Times New Roman"/>
                <w:sz w:val="22"/>
                <w:szCs w:val="22"/>
              </w:rPr>
              <w:br/>
              <w:t>14 (8)</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jc w:val="center"/>
              <w:rPr>
                <w:rFonts w:cs="Times New Roman"/>
                <w:sz w:val="22"/>
                <w:szCs w:val="22"/>
              </w:rPr>
            </w:pPr>
          </w:p>
          <w:p w:rsidR="004277BD" w:rsidRDefault="004277BD" w:rsidP="00141F76">
            <w:pPr>
              <w:pStyle w:val="TableText0"/>
              <w:jc w:val="center"/>
              <w:rPr>
                <w:rFonts w:cs="Times New Roman"/>
                <w:sz w:val="22"/>
                <w:szCs w:val="22"/>
              </w:rPr>
            </w:pPr>
            <w:r w:rsidRPr="00866A0F">
              <w:rPr>
                <w:rFonts w:cs="Times New Roman"/>
                <w:sz w:val="22"/>
                <w:szCs w:val="22"/>
              </w:rPr>
              <w:t>2 (1)</w:t>
            </w:r>
            <w:r w:rsidRPr="00866A0F">
              <w:rPr>
                <w:rFonts w:cs="Times New Roman"/>
                <w:sz w:val="22"/>
                <w:szCs w:val="22"/>
              </w:rPr>
              <w:br/>
              <w:t>1 (1)</w:t>
            </w:r>
            <w:r w:rsidRPr="00866A0F">
              <w:rPr>
                <w:rFonts w:cs="Times New Roman"/>
                <w:sz w:val="22"/>
                <w:szCs w:val="22"/>
              </w:rPr>
              <w:br/>
              <w:t>0 (0)</w:t>
            </w:r>
            <w:r w:rsidRPr="00866A0F">
              <w:rPr>
                <w:rFonts w:cs="Times New Roman"/>
                <w:sz w:val="22"/>
                <w:szCs w:val="22"/>
              </w:rPr>
              <w:br/>
              <w:t>4 (2)</w:t>
            </w:r>
            <w:r w:rsidRPr="00866A0F">
              <w:rPr>
                <w:rFonts w:cs="Times New Roman"/>
                <w:sz w:val="22"/>
                <w:szCs w:val="22"/>
              </w:rPr>
              <w:br/>
              <w:t>0 (0)</w:t>
            </w:r>
          </w:p>
        </w:tc>
        <w:tc>
          <w:tcPr>
            <w:tcW w:w="1275" w:type="dxa"/>
            <w:tcBorders>
              <w:top w:val="single" w:sz="4" w:space="0" w:color="auto"/>
              <w:left w:val="nil"/>
              <w:bottom w:val="single" w:sz="4" w:space="0" w:color="auto"/>
              <w:right w:val="single" w:sz="8" w:space="0" w:color="auto"/>
            </w:tcBorders>
          </w:tcPr>
          <w:p w:rsidR="004277BD" w:rsidRDefault="004277BD" w:rsidP="004277BD">
            <w:pPr>
              <w:pStyle w:val="TableText0"/>
              <w:jc w:val="center"/>
              <w:rPr>
                <w:rFonts w:cs="Times New Roman"/>
                <w:sz w:val="22"/>
                <w:szCs w:val="22"/>
              </w:rPr>
            </w:pPr>
          </w:p>
          <w:p w:rsidR="004277BD" w:rsidRDefault="004277BD" w:rsidP="00141F76">
            <w:pPr>
              <w:pStyle w:val="TableText0"/>
              <w:jc w:val="center"/>
              <w:rPr>
                <w:rFonts w:cs="Times New Roman"/>
                <w:sz w:val="22"/>
                <w:szCs w:val="22"/>
              </w:rPr>
            </w:pPr>
            <w:r w:rsidRPr="00866A0F">
              <w:rPr>
                <w:rFonts w:cs="Times New Roman"/>
                <w:sz w:val="22"/>
                <w:szCs w:val="22"/>
              </w:rPr>
              <w:t>30 (18)</w:t>
            </w:r>
            <w:r w:rsidRPr="00866A0F">
              <w:rPr>
                <w:rFonts w:cs="Times New Roman"/>
                <w:sz w:val="22"/>
                <w:szCs w:val="22"/>
              </w:rPr>
              <w:br/>
              <w:t>64 (37)</w:t>
            </w:r>
            <w:r w:rsidRPr="00866A0F">
              <w:rPr>
                <w:rFonts w:cs="Times New Roman"/>
                <w:sz w:val="22"/>
                <w:szCs w:val="22"/>
              </w:rPr>
              <w:br/>
              <w:t>33 (19)</w:t>
            </w:r>
            <w:r w:rsidRPr="00866A0F">
              <w:rPr>
                <w:rFonts w:cs="Times New Roman"/>
                <w:sz w:val="22"/>
                <w:szCs w:val="22"/>
              </w:rPr>
              <w:br/>
              <w:t>39 (23)</w:t>
            </w:r>
            <w:r w:rsidRPr="00866A0F">
              <w:rPr>
                <w:rFonts w:cs="Times New Roman"/>
                <w:sz w:val="22"/>
                <w:szCs w:val="22"/>
              </w:rPr>
              <w:br/>
              <w:t>6 (3)</w:t>
            </w:r>
          </w:p>
        </w:tc>
        <w:tc>
          <w:tcPr>
            <w:tcW w:w="1276" w:type="dxa"/>
            <w:tcBorders>
              <w:top w:val="single" w:sz="4" w:space="0" w:color="auto"/>
              <w:left w:val="nil"/>
              <w:bottom w:val="single" w:sz="4" w:space="0" w:color="auto"/>
              <w:right w:val="single" w:sz="8" w:space="0" w:color="auto"/>
            </w:tcBorders>
          </w:tcPr>
          <w:p w:rsidR="004277BD" w:rsidRDefault="004277BD" w:rsidP="004277BD">
            <w:pPr>
              <w:pStyle w:val="TableText0"/>
              <w:jc w:val="center"/>
              <w:rPr>
                <w:rFonts w:cs="Times New Roman"/>
                <w:sz w:val="22"/>
                <w:szCs w:val="22"/>
              </w:rPr>
            </w:pPr>
          </w:p>
          <w:p w:rsidR="004277BD" w:rsidRDefault="004277BD" w:rsidP="00141F76">
            <w:pPr>
              <w:pStyle w:val="TableText0"/>
              <w:jc w:val="center"/>
              <w:rPr>
                <w:rFonts w:cs="Times New Roman"/>
                <w:sz w:val="22"/>
                <w:szCs w:val="22"/>
              </w:rPr>
            </w:pPr>
            <w:r w:rsidRPr="00866A0F">
              <w:rPr>
                <w:rFonts w:cs="Times New Roman"/>
                <w:sz w:val="22"/>
                <w:szCs w:val="22"/>
              </w:rPr>
              <w:t>0 (0)</w:t>
            </w:r>
            <w:r w:rsidRPr="00866A0F">
              <w:rPr>
                <w:rFonts w:cs="Times New Roman"/>
                <w:sz w:val="22"/>
                <w:szCs w:val="22"/>
              </w:rPr>
              <w:br/>
              <w:t>1(1)</w:t>
            </w:r>
            <w:r w:rsidRPr="00866A0F">
              <w:rPr>
                <w:rFonts w:cs="Times New Roman"/>
                <w:sz w:val="22"/>
                <w:szCs w:val="22"/>
              </w:rPr>
              <w:br/>
              <w:t>1 (1)</w:t>
            </w:r>
            <w:r w:rsidRPr="00866A0F">
              <w:rPr>
                <w:rFonts w:cs="Times New Roman"/>
                <w:sz w:val="22"/>
                <w:szCs w:val="22"/>
              </w:rPr>
              <w:br/>
              <w:t>0 (0)</w:t>
            </w:r>
            <w:r w:rsidRPr="00866A0F">
              <w:rPr>
                <w:rFonts w:cs="Times New Roman"/>
                <w:sz w:val="22"/>
                <w:szCs w:val="22"/>
              </w:rPr>
              <w:br/>
              <w:t>0 (0)</w:t>
            </w:r>
          </w:p>
        </w:tc>
      </w:tr>
      <w:tr w:rsidR="004277BD" w:rsidRPr="00C456BA" w:rsidTr="00C454D6">
        <w:trPr>
          <w:cantSplit/>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277BD" w:rsidRPr="00866A0F" w:rsidRDefault="004277BD" w:rsidP="00B60E44">
            <w:pPr>
              <w:pStyle w:val="TableText0"/>
              <w:rPr>
                <w:rFonts w:cs="Times New Roman"/>
                <w:b/>
                <w:sz w:val="22"/>
                <w:szCs w:val="22"/>
              </w:rPr>
            </w:pPr>
            <w:r w:rsidRPr="00866A0F">
              <w:rPr>
                <w:rFonts w:cs="Times New Roman"/>
                <w:b/>
                <w:sz w:val="22"/>
                <w:szCs w:val="22"/>
              </w:rPr>
              <w:t>General Disorders and Administration Site Conditions</w:t>
            </w:r>
            <w:r w:rsidRPr="00866A0F">
              <w:rPr>
                <w:rFonts w:cs="Times New Roman"/>
                <w:b/>
                <w:sz w:val="22"/>
                <w:szCs w:val="22"/>
              </w:rPr>
              <w:br/>
              <w:t xml:space="preserve">  </w:t>
            </w:r>
            <w:r w:rsidRPr="00866A0F">
              <w:rPr>
                <w:rFonts w:cs="Times New Roman"/>
                <w:sz w:val="22"/>
                <w:szCs w:val="22"/>
              </w:rPr>
              <w:t>Fatigue</w:t>
            </w:r>
            <w:r w:rsidRPr="00866A0F">
              <w:rPr>
                <w:rFonts w:cs="Times New Roman"/>
                <w:sz w:val="22"/>
                <w:szCs w:val="22"/>
              </w:rPr>
              <w:br/>
              <w:t xml:space="preserve">  </w:t>
            </w:r>
            <w:r w:rsidR="00B60E44">
              <w:rPr>
                <w:rFonts w:cs="Times New Roman"/>
                <w:sz w:val="22"/>
                <w:szCs w:val="22"/>
              </w:rPr>
              <w:t>Oe</w:t>
            </w:r>
            <w:r w:rsidRPr="00866A0F">
              <w:rPr>
                <w:rFonts w:cs="Times New Roman"/>
                <w:sz w:val="22"/>
                <w:szCs w:val="22"/>
              </w:rPr>
              <w:t>dema</w:t>
            </w:r>
            <w:r w:rsidR="00F760AE">
              <w:rPr>
                <w:rFonts w:cs="Times New Roman"/>
                <w:sz w:val="22"/>
                <w:szCs w:val="22"/>
                <w:vertAlign w:val="superscript"/>
              </w:rPr>
              <w:t>d</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jc w:val="center"/>
              <w:rPr>
                <w:rFonts w:cs="Times New Roman"/>
                <w:sz w:val="22"/>
                <w:szCs w:val="22"/>
              </w:rPr>
            </w:pPr>
            <w:r>
              <w:rPr>
                <w:rFonts w:cs="Times New Roman"/>
                <w:sz w:val="22"/>
                <w:szCs w:val="22"/>
              </w:rPr>
              <w:br/>
            </w:r>
          </w:p>
          <w:p w:rsidR="004277BD" w:rsidRDefault="004277BD" w:rsidP="004277BD">
            <w:pPr>
              <w:pStyle w:val="TableText0"/>
              <w:jc w:val="center"/>
              <w:rPr>
                <w:rFonts w:cs="Times New Roman"/>
                <w:sz w:val="22"/>
                <w:szCs w:val="22"/>
              </w:rPr>
            </w:pPr>
            <w:r w:rsidRPr="00866A0F">
              <w:rPr>
                <w:rFonts w:cs="Times New Roman"/>
                <w:sz w:val="22"/>
                <w:szCs w:val="22"/>
              </w:rPr>
              <w:t>46 (27)</w:t>
            </w:r>
            <w:r w:rsidRPr="00866A0F">
              <w:rPr>
                <w:rFonts w:cs="Times New Roman"/>
                <w:sz w:val="22"/>
                <w:szCs w:val="22"/>
              </w:rPr>
              <w:br/>
              <w:t>54 (31)</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jc w:val="center"/>
              <w:rPr>
                <w:rFonts w:cs="Times New Roman"/>
                <w:sz w:val="22"/>
                <w:szCs w:val="22"/>
              </w:rPr>
            </w:pPr>
            <w:r>
              <w:rPr>
                <w:rFonts w:cs="Times New Roman"/>
                <w:sz w:val="22"/>
                <w:szCs w:val="22"/>
              </w:rPr>
              <w:br/>
            </w:r>
          </w:p>
          <w:p w:rsidR="004277BD" w:rsidRDefault="004277BD" w:rsidP="004277BD">
            <w:pPr>
              <w:pStyle w:val="TableText0"/>
              <w:jc w:val="center"/>
              <w:rPr>
                <w:rFonts w:cs="Times New Roman"/>
                <w:sz w:val="22"/>
                <w:szCs w:val="22"/>
              </w:rPr>
            </w:pPr>
            <w:r w:rsidRPr="00866A0F">
              <w:rPr>
                <w:rFonts w:cs="Times New Roman"/>
                <w:sz w:val="22"/>
                <w:szCs w:val="22"/>
              </w:rPr>
              <w:t>4 (2)</w:t>
            </w:r>
            <w:r w:rsidRPr="00866A0F">
              <w:rPr>
                <w:rFonts w:cs="Times New Roman"/>
                <w:sz w:val="22"/>
                <w:szCs w:val="22"/>
              </w:rPr>
              <w:br/>
              <w:t>0 (0)</w:t>
            </w:r>
          </w:p>
        </w:tc>
        <w:tc>
          <w:tcPr>
            <w:tcW w:w="1275" w:type="dxa"/>
            <w:tcBorders>
              <w:top w:val="single" w:sz="4" w:space="0" w:color="auto"/>
              <w:left w:val="nil"/>
              <w:bottom w:val="single" w:sz="4" w:space="0" w:color="auto"/>
              <w:right w:val="single" w:sz="8" w:space="0" w:color="auto"/>
            </w:tcBorders>
          </w:tcPr>
          <w:p w:rsidR="004277BD" w:rsidRDefault="004277BD" w:rsidP="004277BD">
            <w:pPr>
              <w:pStyle w:val="TableText0"/>
              <w:jc w:val="center"/>
              <w:rPr>
                <w:rFonts w:cs="Times New Roman"/>
                <w:sz w:val="22"/>
                <w:szCs w:val="22"/>
              </w:rPr>
            </w:pPr>
            <w:r w:rsidRPr="00866A0F">
              <w:rPr>
                <w:rFonts w:cs="Times New Roman"/>
                <w:sz w:val="22"/>
                <w:szCs w:val="22"/>
              </w:rPr>
              <w:br/>
            </w:r>
          </w:p>
          <w:p w:rsidR="004277BD" w:rsidRDefault="004277BD" w:rsidP="004277BD">
            <w:pPr>
              <w:pStyle w:val="TableText0"/>
              <w:jc w:val="center"/>
              <w:rPr>
                <w:rFonts w:cs="Times New Roman"/>
                <w:sz w:val="22"/>
                <w:szCs w:val="22"/>
              </w:rPr>
            </w:pPr>
            <w:r w:rsidRPr="00866A0F">
              <w:rPr>
                <w:rFonts w:cs="Times New Roman"/>
                <w:sz w:val="22"/>
                <w:szCs w:val="22"/>
              </w:rPr>
              <w:t>57 (33)</w:t>
            </w:r>
            <w:r w:rsidRPr="00866A0F">
              <w:rPr>
                <w:rFonts w:cs="Times New Roman"/>
                <w:sz w:val="22"/>
                <w:szCs w:val="22"/>
              </w:rPr>
              <w:br/>
              <w:t>27 (16)</w:t>
            </w:r>
          </w:p>
        </w:tc>
        <w:tc>
          <w:tcPr>
            <w:tcW w:w="1276" w:type="dxa"/>
            <w:tcBorders>
              <w:top w:val="single" w:sz="4" w:space="0" w:color="auto"/>
              <w:left w:val="nil"/>
              <w:bottom w:val="single" w:sz="4" w:space="0" w:color="auto"/>
              <w:right w:val="single" w:sz="8" w:space="0" w:color="auto"/>
            </w:tcBorders>
          </w:tcPr>
          <w:p w:rsidR="004277BD" w:rsidRDefault="004277BD" w:rsidP="004277BD">
            <w:pPr>
              <w:pStyle w:val="TableText0"/>
              <w:jc w:val="center"/>
              <w:rPr>
                <w:rFonts w:cs="Times New Roman"/>
                <w:sz w:val="22"/>
                <w:szCs w:val="22"/>
              </w:rPr>
            </w:pPr>
            <w:r w:rsidRPr="00866A0F">
              <w:rPr>
                <w:rFonts w:cs="Times New Roman"/>
                <w:sz w:val="22"/>
                <w:szCs w:val="22"/>
              </w:rPr>
              <w:br/>
            </w:r>
          </w:p>
          <w:p w:rsidR="004277BD" w:rsidRDefault="004277BD" w:rsidP="004277BD">
            <w:pPr>
              <w:pStyle w:val="TableText0"/>
              <w:jc w:val="center"/>
              <w:rPr>
                <w:rFonts w:cs="Times New Roman"/>
                <w:sz w:val="22"/>
                <w:szCs w:val="22"/>
              </w:rPr>
            </w:pPr>
            <w:r w:rsidRPr="00866A0F">
              <w:rPr>
                <w:rFonts w:cs="Times New Roman"/>
                <w:sz w:val="22"/>
                <w:szCs w:val="22"/>
              </w:rPr>
              <w:t>7 (4)</w:t>
            </w:r>
            <w:r w:rsidRPr="00866A0F">
              <w:rPr>
                <w:rFonts w:cs="Times New Roman"/>
                <w:sz w:val="22"/>
                <w:szCs w:val="22"/>
              </w:rPr>
              <w:br/>
              <w:t>0 (0)</w:t>
            </w:r>
          </w:p>
        </w:tc>
      </w:tr>
      <w:tr w:rsidR="004277BD" w:rsidRPr="00C456BA" w:rsidTr="00C454D6">
        <w:trPr>
          <w:cantSplit/>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rPr>
                <w:rFonts w:cs="Times New Roman"/>
                <w:b/>
                <w:sz w:val="22"/>
                <w:szCs w:val="22"/>
              </w:rPr>
            </w:pPr>
            <w:r w:rsidRPr="00866A0F">
              <w:rPr>
                <w:rFonts w:cs="Times New Roman"/>
                <w:b/>
                <w:sz w:val="22"/>
                <w:szCs w:val="22"/>
              </w:rPr>
              <w:t>Hepatobiliary Disorders</w:t>
            </w:r>
          </w:p>
          <w:p w:rsidR="004277BD" w:rsidRPr="00866A0F" w:rsidRDefault="004277BD" w:rsidP="004277BD">
            <w:pPr>
              <w:pStyle w:val="TableText0"/>
              <w:rPr>
                <w:rFonts w:cs="Times New Roman"/>
                <w:sz w:val="22"/>
                <w:szCs w:val="22"/>
                <w:vertAlign w:val="superscript"/>
              </w:rPr>
            </w:pPr>
            <w:r w:rsidRPr="00866A0F">
              <w:rPr>
                <w:rFonts w:cs="Times New Roman"/>
                <w:sz w:val="22"/>
                <w:szCs w:val="22"/>
              </w:rPr>
              <w:t xml:space="preserve">  Elevated Transaminases</w:t>
            </w:r>
            <w:r w:rsidR="00F760AE">
              <w:rPr>
                <w:rFonts w:cs="Times New Roman"/>
                <w:sz w:val="22"/>
                <w:szCs w:val="22"/>
                <w:vertAlign w:val="superscript"/>
              </w:rPr>
              <w:t>e</w:t>
            </w:r>
          </w:p>
          <w:p w:rsidR="004277BD" w:rsidRPr="00866A0F" w:rsidRDefault="004277BD" w:rsidP="004277BD">
            <w:pPr>
              <w:pStyle w:val="TableText0"/>
              <w:rPr>
                <w:rFonts w:cs="Times New Roman"/>
                <w:sz w:val="22"/>
                <w:szCs w:val="22"/>
              </w:rPr>
            </w:pPr>
            <w:r w:rsidRPr="00866A0F">
              <w:rPr>
                <w:rFonts w:cs="Times New Roman"/>
                <w:sz w:val="22"/>
                <w:szCs w:val="22"/>
              </w:rPr>
              <w:t xml:space="preserve">  Blood alkaline phosphatase increased</w:t>
            </w:r>
          </w:p>
          <w:p w:rsidR="004277BD" w:rsidRPr="00866A0F" w:rsidRDefault="004277BD" w:rsidP="00141F76">
            <w:pPr>
              <w:pStyle w:val="TableText0"/>
              <w:rPr>
                <w:rFonts w:cs="Times New Roman"/>
                <w:b/>
                <w:sz w:val="22"/>
                <w:szCs w:val="22"/>
              </w:rPr>
            </w:pPr>
            <w:r w:rsidRPr="00866A0F">
              <w:rPr>
                <w:rFonts w:cs="Times New Roman"/>
                <w:sz w:val="22"/>
                <w:szCs w:val="22"/>
              </w:rPr>
              <w:t xml:space="preserve">  Hepatic failure</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jc w:val="center"/>
              <w:rPr>
                <w:rFonts w:cs="Times New Roman"/>
                <w:sz w:val="22"/>
                <w:szCs w:val="22"/>
              </w:rPr>
            </w:pPr>
          </w:p>
          <w:p w:rsidR="004277BD" w:rsidRDefault="004277BD" w:rsidP="004277BD">
            <w:pPr>
              <w:pStyle w:val="TableText0"/>
              <w:jc w:val="center"/>
              <w:rPr>
                <w:rFonts w:cs="Times New Roman"/>
                <w:sz w:val="22"/>
                <w:szCs w:val="22"/>
              </w:rPr>
            </w:pPr>
            <w:r w:rsidRPr="00866A0F">
              <w:rPr>
                <w:rFonts w:cs="Times New Roman"/>
                <w:sz w:val="22"/>
                <w:szCs w:val="22"/>
              </w:rPr>
              <w:t>66 (38)</w:t>
            </w:r>
          </w:p>
          <w:p w:rsidR="004277BD" w:rsidRPr="00866A0F" w:rsidRDefault="004277BD" w:rsidP="004277BD">
            <w:pPr>
              <w:pStyle w:val="TableText0"/>
              <w:jc w:val="center"/>
              <w:rPr>
                <w:rFonts w:cs="Times New Roman"/>
                <w:sz w:val="22"/>
                <w:szCs w:val="22"/>
              </w:rPr>
            </w:pPr>
            <w:r w:rsidRPr="00866A0F">
              <w:rPr>
                <w:rFonts w:cs="Times New Roman"/>
                <w:sz w:val="22"/>
                <w:szCs w:val="22"/>
              </w:rPr>
              <w:t>13 (8)</w:t>
            </w:r>
          </w:p>
          <w:p w:rsidR="004277BD" w:rsidRDefault="004277BD" w:rsidP="00141F76">
            <w:pPr>
              <w:pStyle w:val="TableText0"/>
              <w:jc w:val="center"/>
              <w:rPr>
                <w:rFonts w:cs="Times New Roman"/>
                <w:sz w:val="22"/>
                <w:szCs w:val="22"/>
              </w:rPr>
            </w:pPr>
            <w:r w:rsidRPr="00866A0F">
              <w:rPr>
                <w:rFonts w:cs="Times New Roman"/>
                <w:sz w:val="22"/>
                <w:szCs w:val="22"/>
              </w:rPr>
              <w:t>1 (1)</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7BD" w:rsidRDefault="004277BD" w:rsidP="004277BD">
            <w:pPr>
              <w:pStyle w:val="TableText0"/>
              <w:jc w:val="center"/>
              <w:rPr>
                <w:rFonts w:cs="Times New Roman"/>
                <w:sz w:val="22"/>
                <w:szCs w:val="22"/>
              </w:rPr>
            </w:pPr>
          </w:p>
          <w:p w:rsidR="004277BD" w:rsidRDefault="004277BD" w:rsidP="004277BD">
            <w:pPr>
              <w:pStyle w:val="TableText0"/>
              <w:jc w:val="center"/>
              <w:rPr>
                <w:rFonts w:cs="Times New Roman"/>
                <w:sz w:val="22"/>
                <w:szCs w:val="22"/>
              </w:rPr>
            </w:pPr>
            <w:r w:rsidRPr="00866A0F">
              <w:rPr>
                <w:rFonts w:cs="Times New Roman"/>
                <w:sz w:val="22"/>
                <w:szCs w:val="22"/>
              </w:rPr>
              <w:t>27 (16)</w:t>
            </w:r>
          </w:p>
          <w:p w:rsidR="004277BD" w:rsidRPr="00866A0F" w:rsidRDefault="004277BD" w:rsidP="004277BD">
            <w:pPr>
              <w:pStyle w:val="TableText0"/>
              <w:jc w:val="center"/>
              <w:rPr>
                <w:rFonts w:cs="Times New Roman"/>
                <w:sz w:val="22"/>
                <w:szCs w:val="22"/>
              </w:rPr>
            </w:pPr>
            <w:r w:rsidRPr="00866A0F">
              <w:rPr>
                <w:rFonts w:cs="Times New Roman"/>
                <w:sz w:val="22"/>
                <w:szCs w:val="22"/>
              </w:rPr>
              <w:t>1 (1)</w:t>
            </w:r>
          </w:p>
          <w:p w:rsidR="004277BD" w:rsidRDefault="004277BD" w:rsidP="00141F76">
            <w:pPr>
              <w:pStyle w:val="TableText0"/>
              <w:jc w:val="center"/>
              <w:rPr>
                <w:rFonts w:cs="Times New Roman"/>
                <w:sz w:val="22"/>
                <w:szCs w:val="22"/>
              </w:rPr>
            </w:pPr>
            <w:r w:rsidRPr="00866A0F">
              <w:rPr>
                <w:rFonts w:cs="Times New Roman"/>
                <w:sz w:val="22"/>
                <w:szCs w:val="22"/>
              </w:rPr>
              <w:t>1 (1)</w:t>
            </w:r>
          </w:p>
        </w:tc>
        <w:tc>
          <w:tcPr>
            <w:tcW w:w="1275" w:type="dxa"/>
            <w:tcBorders>
              <w:top w:val="single" w:sz="4" w:space="0" w:color="auto"/>
              <w:left w:val="nil"/>
              <w:bottom w:val="single" w:sz="4" w:space="0" w:color="auto"/>
              <w:right w:val="single" w:sz="8" w:space="0" w:color="auto"/>
            </w:tcBorders>
          </w:tcPr>
          <w:p w:rsidR="004277BD" w:rsidRDefault="004277BD" w:rsidP="004277BD">
            <w:pPr>
              <w:pStyle w:val="TableText0"/>
              <w:jc w:val="center"/>
              <w:rPr>
                <w:rFonts w:cs="Times New Roman"/>
                <w:sz w:val="22"/>
                <w:szCs w:val="22"/>
              </w:rPr>
            </w:pPr>
          </w:p>
          <w:p w:rsidR="004277BD" w:rsidRDefault="004277BD" w:rsidP="004277BD">
            <w:pPr>
              <w:pStyle w:val="TableText0"/>
              <w:jc w:val="center"/>
              <w:rPr>
                <w:rFonts w:cs="Times New Roman"/>
                <w:sz w:val="22"/>
                <w:szCs w:val="22"/>
              </w:rPr>
            </w:pPr>
            <w:r w:rsidRPr="00866A0F">
              <w:rPr>
                <w:rFonts w:cs="Times New Roman"/>
                <w:sz w:val="22"/>
                <w:szCs w:val="22"/>
              </w:rPr>
              <w:t>25 (15)</w:t>
            </w:r>
          </w:p>
          <w:p w:rsidR="004277BD" w:rsidRPr="00866A0F" w:rsidRDefault="004277BD" w:rsidP="004277BD">
            <w:pPr>
              <w:pStyle w:val="TableText0"/>
              <w:jc w:val="center"/>
              <w:rPr>
                <w:rFonts w:cs="Times New Roman"/>
                <w:sz w:val="22"/>
                <w:szCs w:val="22"/>
              </w:rPr>
            </w:pPr>
            <w:r w:rsidRPr="00866A0F">
              <w:rPr>
                <w:rFonts w:cs="Times New Roman"/>
                <w:sz w:val="22"/>
                <w:szCs w:val="22"/>
              </w:rPr>
              <w:t>6 (4)</w:t>
            </w:r>
          </w:p>
          <w:p w:rsidR="004277BD" w:rsidRDefault="004277BD" w:rsidP="00141F76">
            <w:pPr>
              <w:pStyle w:val="TableText0"/>
              <w:jc w:val="center"/>
              <w:rPr>
                <w:rFonts w:cs="Times New Roman"/>
                <w:sz w:val="22"/>
                <w:szCs w:val="22"/>
              </w:rPr>
            </w:pPr>
            <w:r w:rsidRPr="00866A0F">
              <w:rPr>
                <w:rFonts w:cs="Times New Roman"/>
                <w:sz w:val="22"/>
                <w:szCs w:val="22"/>
              </w:rPr>
              <w:t>0 (0)</w:t>
            </w:r>
          </w:p>
        </w:tc>
        <w:tc>
          <w:tcPr>
            <w:tcW w:w="1276" w:type="dxa"/>
            <w:tcBorders>
              <w:top w:val="single" w:sz="4" w:space="0" w:color="auto"/>
              <w:left w:val="nil"/>
              <w:bottom w:val="single" w:sz="4" w:space="0" w:color="auto"/>
              <w:right w:val="single" w:sz="8" w:space="0" w:color="auto"/>
            </w:tcBorders>
          </w:tcPr>
          <w:p w:rsidR="004277BD" w:rsidRDefault="004277BD" w:rsidP="004277BD">
            <w:pPr>
              <w:pStyle w:val="TableText0"/>
              <w:jc w:val="center"/>
              <w:rPr>
                <w:rFonts w:cs="Times New Roman"/>
                <w:sz w:val="22"/>
                <w:szCs w:val="22"/>
              </w:rPr>
            </w:pPr>
          </w:p>
          <w:p w:rsidR="004277BD" w:rsidRDefault="004277BD" w:rsidP="004277BD">
            <w:pPr>
              <w:pStyle w:val="TableText0"/>
              <w:jc w:val="center"/>
              <w:rPr>
                <w:rFonts w:cs="Times New Roman"/>
                <w:sz w:val="22"/>
                <w:szCs w:val="22"/>
              </w:rPr>
            </w:pPr>
            <w:r w:rsidRPr="00866A0F">
              <w:rPr>
                <w:rFonts w:cs="Times New Roman"/>
                <w:sz w:val="22"/>
                <w:szCs w:val="22"/>
              </w:rPr>
              <w:t>4 (2)</w:t>
            </w:r>
          </w:p>
          <w:p w:rsidR="004277BD" w:rsidRPr="00866A0F" w:rsidRDefault="004277BD" w:rsidP="004277BD">
            <w:pPr>
              <w:pStyle w:val="TableText0"/>
              <w:jc w:val="center"/>
              <w:rPr>
                <w:rFonts w:cs="Times New Roman"/>
                <w:sz w:val="22"/>
                <w:szCs w:val="22"/>
              </w:rPr>
            </w:pPr>
            <w:r w:rsidRPr="00866A0F">
              <w:rPr>
                <w:rFonts w:cs="Times New Roman"/>
                <w:sz w:val="22"/>
                <w:szCs w:val="22"/>
              </w:rPr>
              <w:t>0 (0)</w:t>
            </w:r>
          </w:p>
          <w:p w:rsidR="004277BD" w:rsidRDefault="004277BD" w:rsidP="00141F76">
            <w:pPr>
              <w:pStyle w:val="TableText0"/>
              <w:jc w:val="center"/>
              <w:rPr>
                <w:rFonts w:cs="Times New Roman"/>
                <w:sz w:val="22"/>
                <w:szCs w:val="22"/>
              </w:rPr>
            </w:pPr>
            <w:r w:rsidRPr="00866A0F">
              <w:rPr>
                <w:rFonts w:cs="Times New Roman"/>
                <w:sz w:val="22"/>
                <w:szCs w:val="22"/>
              </w:rPr>
              <w:t>0 (0)</w:t>
            </w:r>
          </w:p>
        </w:tc>
      </w:tr>
      <w:tr w:rsidR="0060603B" w:rsidRPr="00C456BA" w:rsidTr="00C454D6">
        <w:trPr>
          <w:cantSplit/>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0603B" w:rsidRPr="00866A0F" w:rsidRDefault="0060603B" w:rsidP="00141F76">
            <w:pPr>
              <w:pStyle w:val="TableText0"/>
              <w:rPr>
                <w:rFonts w:cs="Times New Roman"/>
                <w:b/>
                <w:sz w:val="22"/>
                <w:szCs w:val="22"/>
              </w:rPr>
            </w:pPr>
            <w:r w:rsidRPr="00866A0F">
              <w:rPr>
                <w:rFonts w:cs="Times New Roman"/>
                <w:b/>
                <w:sz w:val="22"/>
                <w:szCs w:val="22"/>
              </w:rPr>
              <w:t>Metabolism and Nutritional Disorders</w:t>
            </w:r>
          </w:p>
          <w:p w:rsidR="0060603B" w:rsidRPr="00866A0F" w:rsidRDefault="0060603B" w:rsidP="00141F76">
            <w:pPr>
              <w:pStyle w:val="TableText0"/>
              <w:rPr>
                <w:rFonts w:cs="Times New Roman"/>
                <w:sz w:val="22"/>
                <w:szCs w:val="22"/>
              </w:rPr>
            </w:pPr>
            <w:r w:rsidRPr="00866A0F">
              <w:rPr>
                <w:rFonts w:cs="Times New Roman"/>
                <w:sz w:val="22"/>
                <w:szCs w:val="22"/>
              </w:rPr>
              <w:t xml:space="preserve">  Decreased appetite</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454D6" w:rsidRDefault="00C454D6"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47 (27)</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454D6" w:rsidRDefault="00C454D6"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4 (2)</w:t>
            </w:r>
          </w:p>
        </w:tc>
        <w:tc>
          <w:tcPr>
            <w:tcW w:w="1275" w:type="dxa"/>
            <w:tcBorders>
              <w:top w:val="single" w:sz="4" w:space="0" w:color="auto"/>
              <w:left w:val="nil"/>
              <w:bottom w:val="single" w:sz="4" w:space="0" w:color="auto"/>
              <w:right w:val="single" w:sz="8" w:space="0" w:color="auto"/>
            </w:tcBorders>
          </w:tcPr>
          <w:p w:rsidR="00C454D6" w:rsidRDefault="00C454D6"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45 (26)</w:t>
            </w:r>
          </w:p>
        </w:tc>
        <w:tc>
          <w:tcPr>
            <w:tcW w:w="1276" w:type="dxa"/>
            <w:tcBorders>
              <w:top w:val="single" w:sz="4" w:space="0" w:color="auto"/>
              <w:left w:val="nil"/>
              <w:bottom w:val="single" w:sz="4" w:space="0" w:color="auto"/>
              <w:right w:val="single" w:sz="8" w:space="0" w:color="auto"/>
            </w:tcBorders>
          </w:tcPr>
          <w:p w:rsidR="00C454D6" w:rsidRDefault="00C454D6"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3 (2)</w:t>
            </w:r>
          </w:p>
        </w:tc>
      </w:tr>
      <w:tr w:rsidR="0060603B" w:rsidRPr="00C456BA" w:rsidTr="00C454D6">
        <w:trPr>
          <w:cantSplit/>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0603B" w:rsidRPr="00866A0F" w:rsidRDefault="0060603B" w:rsidP="00141F76">
            <w:pPr>
              <w:pStyle w:val="TableText0"/>
              <w:rPr>
                <w:rFonts w:cs="Times New Roman"/>
                <w:sz w:val="22"/>
                <w:szCs w:val="22"/>
              </w:rPr>
            </w:pPr>
            <w:r w:rsidRPr="00866A0F">
              <w:rPr>
                <w:rFonts w:cs="Times New Roman"/>
                <w:b/>
                <w:sz w:val="22"/>
                <w:szCs w:val="22"/>
              </w:rPr>
              <w:t>Nervous System Disorder</w:t>
            </w:r>
            <w:r w:rsidRPr="00866A0F">
              <w:rPr>
                <w:rFonts w:cs="Times New Roman"/>
                <w:b/>
                <w:sz w:val="22"/>
                <w:szCs w:val="22"/>
              </w:rPr>
              <w:br/>
            </w:r>
            <w:r w:rsidRPr="00866A0F">
              <w:rPr>
                <w:rFonts w:cs="Times New Roman"/>
                <w:sz w:val="22"/>
                <w:szCs w:val="22"/>
              </w:rPr>
              <w:t xml:space="preserve">  Neuropathy</w:t>
            </w:r>
            <w:r w:rsidR="00F760AE">
              <w:rPr>
                <w:rFonts w:cs="Times New Roman"/>
                <w:sz w:val="22"/>
                <w:szCs w:val="22"/>
                <w:vertAlign w:val="superscript"/>
              </w:rPr>
              <w:t>f</w:t>
            </w:r>
            <w:r w:rsidRPr="00866A0F">
              <w:rPr>
                <w:rFonts w:cs="Times New Roman"/>
                <w:sz w:val="22"/>
                <w:szCs w:val="22"/>
              </w:rPr>
              <w:t xml:space="preserve"> </w:t>
            </w:r>
          </w:p>
          <w:p w:rsidR="0060603B" w:rsidRPr="00866A0F" w:rsidRDefault="0060603B" w:rsidP="00F760AE">
            <w:pPr>
              <w:pStyle w:val="TableText0"/>
              <w:rPr>
                <w:rFonts w:cs="Times New Roman"/>
                <w:sz w:val="22"/>
                <w:szCs w:val="22"/>
              </w:rPr>
            </w:pPr>
            <w:r w:rsidRPr="00866A0F">
              <w:rPr>
                <w:rFonts w:cs="Times New Roman"/>
                <w:sz w:val="22"/>
                <w:szCs w:val="22"/>
              </w:rPr>
              <w:t xml:space="preserve">  Dizziness</w:t>
            </w:r>
            <w:r w:rsidR="00F760AE">
              <w:rPr>
                <w:rFonts w:cs="Times New Roman"/>
                <w:sz w:val="22"/>
                <w:szCs w:val="22"/>
                <w:vertAlign w:val="superscript"/>
              </w:rPr>
              <w:t>g</w:t>
            </w:r>
            <w:r w:rsidRPr="00866A0F">
              <w:rPr>
                <w:rFonts w:cs="Times New Roman"/>
                <w:sz w:val="22"/>
                <w:szCs w:val="22"/>
              </w:rPr>
              <w:br/>
            </w:r>
            <w:r w:rsidRPr="00866A0F">
              <w:rPr>
                <w:rFonts w:cs="Times New Roman"/>
                <w:sz w:val="22"/>
                <w:szCs w:val="22"/>
                <w:vertAlign w:val="superscript"/>
              </w:rPr>
              <w:t xml:space="preserve">   </w:t>
            </w:r>
            <w:r w:rsidRPr="00866A0F">
              <w:rPr>
                <w:rFonts w:cs="Times New Roman"/>
                <w:sz w:val="22"/>
                <w:szCs w:val="22"/>
              </w:rPr>
              <w:t>Dysgeusia</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0603B" w:rsidRPr="00866A0F" w:rsidRDefault="0060603B"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33 (19)</w:t>
            </w:r>
            <w:r w:rsidRPr="00866A0F">
              <w:rPr>
                <w:rFonts w:cs="Times New Roman"/>
                <w:sz w:val="22"/>
                <w:szCs w:val="22"/>
              </w:rPr>
              <w:br/>
              <w:t>37 (22)</w:t>
            </w:r>
            <w:r w:rsidRPr="00866A0F">
              <w:rPr>
                <w:rFonts w:cs="Times New Roman"/>
                <w:sz w:val="22"/>
                <w:szCs w:val="22"/>
              </w:rPr>
              <w:br/>
              <w:t>44 (26)</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0603B" w:rsidRPr="00866A0F" w:rsidRDefault="0060603B" w:rsidP="00141F76">
            <w:pPr>
              <w:pStyle w:val="TableText0"/>
              <w:jc w:val="center"/>
              <w:rPr>
                <w:rFonts w:cs="Times New Roman"/>
                <w:sz w:val="22"/>
                <w:szCs w:val="22"/>
              </w:rPr>
            </w:pPr>
            <w:r w:rsidRPr="00866A0F">
              <w:rPr>
                <w:rFonts w:cs="Times New Roman"/>
                <w:sz w:val="22"/>
                <w:szCs w:val="22"/>
              </w:rPr>
              <w:br/>
              <w:t>1 (1)</w:t>
            </w:r>
            <w:r w:rsidRPr="00866A0F">
              <w:rPr>
                <w:rFonts w:cs="Times New Roman"/>
                <w:sz w:val="22"/>
                <w:szCs w:val="22"/>
              </w:rPr>
              <w:br/>
              <w:t>1 (1)</w:t>
            </w:r>
          </w:p>
          <w:p w:rsidR="0060603B" w:rsidRPr="00866A0F" w:rsidRDefault="0060603B" w:rsidP="00141F76">
            <w:pPr>
              <w:pStyle w:val="TableText0"/>
              <w:jc w:val="center"/>
              <w:rPr>
                <w:rFonts w:cs="Times New Roman"/>
                <w:sz w:val="22"/>
                <w:szCs w:val="22"/>
              </w:rPr>
            </w:pPr>
            <w:r w:rsidRPr="00866A0F">
              <w:rPr>
                <w:rFonts w:cs="Times New Roman"/>
                <w:sz w:val="22"/>
                <w:szCs w:val="22"/>
              </w:rPr>
              <w:t>0 (0)</w:t>
            </w:r>
          </w:p>
        </w:tc>
        <w:tc>
          <w:tcPr>
            <w:tcW w:w="1275" w:type="dxa"/>
            <w:tcBorders>
              <w:top w:val="single" w:sz="4" w:space="0" w:color="auto"/>
              <w:left w:val="nil"/>
              <w:bottom w:val="single" w:sz="4" w:space="0" w:color="auto"/>
              <w:right w:val="single" w:sz="8" w:space="0" w:color="auto"/>
            </w:tcBorders>
          </w:tcPr>
          <w:p w:rsidR="0060603B" w:rsidRPr="00866A0F" w:rsidRDefault="0060603B"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29 (17)</w:t>
            </w:r>
            <w:r w:rsidRPr="00866A0F">
              <w:rPr>
                <w:rFonts w:cs="Times New Roman"/>
                <w:sz w:val="22"/>
                <w:szCs w:val="22"/>
              </w:rPr>
              <w:br/>
              <w:t>14 (8)</w:t>
            </w:r>
            <w:r w:rsidRPr="00866A0F">
              <w:rPr>
                <w:rFonts w:cs="Times New Roman"/>
                <w:sz w:val="22"/>
                <w:szCs w:val="22"/>
              </w:rPr>
              <w:br/>
              <w:t>16 (9)</w:t>
            </w:r>
          </w:p>
        </w:tc>
        <w:tc>
          <w:tcPr>
            <w:tcW w:w="1276" w:type="dxa"/>
            <w:tcBorders>
              <w:top w:val="single" w:sz="4" w:space="0" w:color="auto"/>
              <w:left w:val="nil"/>
              <w:bottom w:val="single" w:sz="4" w:space="0" w:color="auto"/>
              <w:right w:val="single" w:sz="8" w:space="0" w:color="auto"/>
            </w:tcBorders>
          </w:tcPr>
          <w:p w:rsidR="0060603B" w:rsidRPr="00866A0F" w:rsidRDefault="0060603B"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2 (1)</w:t>
            </w:r>
            <w:r w:rsidRPr="00866A0F">
              <w:rPr>
                <w:rFonts w:cs="Times New Roman"/>
                <w:sz w:val="22"/>
                <w:szCs w:val="22"/>
              </w:rPr>
              <w:br/>
              <w:t>0 (0)</w:t>
            </w:r>
            <w:r w:rsidRPr="00866A0F">
              <w:rPr>
                <w:rFonts w:cs="Times New Roman"/>
                <w:sz w:val="22"/>
                <w:szCs w:val="22"/>
              </w:rPr>
              <w:br/>
              <w:t>0 (0)</w:t>
            </w:r>
          </w:p>
        </w:tc>
      </w:tr>
      <w:tr w:rsidR="00A80461" w:rsidRPr="00C456BA" w:rsidTr="00C454D6">
        <w:trPr>
          <w:cantSplit/>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80461" w:rsidDel="004277BD" w:rsidRDefault="00A80461" w:rsidP="00A80461">
            <w:pPr>
              <w:pStyle w:val="TableText0"/>
              <w:keepNext/>
              <w:rPr>
                <w:rFonts w:cs="Times New Roman"/>
                <w:sz w:val="22"/>
                <w:szCs w:val="22"/>
              </w:rPr>
            </w:pPr>
            <w:r w:rsidRPr="00866A0F">
              <w:rPr>
                <w:rFonts w:cs="Times New Roman"/>
                <w:b/>
                <w:sz w:val="22"/>
                <w:szCs w:val="22"/>
              </w:rPr>
              <w:t>Renal and Urinary Disorders</w:t>
            </w:r>
            <w:r w:rsidRPr="00866A0F">
              <w:rPr>
                <w:rFonts w:cs="Times New Roman"/>
                <w:b/>
                <w:sz w:val="22"/>
                <w:szCs w:val="22"/>
              </w:rPr>
              <w:br/>
            </w:r>
            <w:r w:rsidRPr="00866A0F">
              <w:rPr>
                <w:rFonts w:cs="Times New Roman"/>
                <w:sz w:val="22"/>
                <w:szCs w:val="22"/>
              </w:rPr>
              <w:t xml:space="preserve"> </w:t>
            </w:r>
            <w:r>
              <w:rPr>
                <w:rFonts w:cs="Times New Roman"/>
                <w:sz w:val="22"/>
                <w:szCs w:val="22"/>
              </w:rPr>
              <w:t xml:space="preserve"> </w:t>
            </w:r>
            <w:r w:rsidRPr="00866A0F">
              <w:rPr>
                <w:rFonts w:cs="Times New Roman"/>
                <w:sz w:val="22"/>
                <w:szCs w:val="22"/>
              </w:rPr>
              <w:t>Renal Cyst</w:t>
            </w:r>
            <w:r w:rsidRPr="00866A0F">
              <w:rPr>
                <w:rFonts w:cs="Times New Roman"/>
                <w:sz w:val="22"/>
                <w:szCs w:val="22"/>
                <w:vertAlign w:val="superscript"/>
              </w:rPr>
              <w:t>h</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80461" w:rsidRPr="00866A0F" w:rsidRDefault="00A80461" w:rsidP="00F760AE">
            <w:pPr>
              <w:pStyle w:val="TableText0"/>
              <w:jc w:val="center"/>
              <w:rPr>
                <w:rFonts w:cs="Times New Roman"/>
                <w:sz w:val="22"/>
                <w:szCs w:val="22"/>
              </w:rPr>
            </w:pPr>
          </w:p>
          <w:p w:rsidR="00A80461" w:rsidRPr="00866A0F" w:rsidRDefault="00A80461" w:rsidP="00C454D6">
            <w:pPr>
              <w:pStyle w:val="TableText0"/>
              <w:jc w:val="center"/>
              <w:rPr>
                <w:rFonts w:cs="Times New Roman"/>
                <w:sz w:val="22"/>
                <w:szCs w:val="22"/>
              </w:rPr>
            </w:pPr>
            <w:r w:rsidRPr="00866A0F">
              <w:rPr>
                <w:rFonts w:cs="Times New Roman"/>
                <w:sz w:val="22"/>
                <w:szCs w:val="22"/>
              </w:rPr>
              <w:t>7 (4)</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80461" w:rsidRPr="00866A0F" w:rsidRDefault="00A80461" w:rsidP="00C454D6">
            <w:pPr>
              <w:pStyle w:val="TableText0"/>
              <w:jc w:val="center"/>
              <w:rPr>
                <w:rFonts w:cs="Times New Roman"/>
                <w:sz w:val="22"/>
                <w:szCs w:val="22"/>
              </w:rPr>
            </w:pPr>
            <w:r w:rsidRPr="00866A0F">
              <w:rPr>
                <w:rFonts w:cs="Times New Roman"/>
                <w:sz w:val="22"/>
                <w:szCs w:val="22"/>
              </w:rPr>
              <w:br/>
              <w:t>0 (0)</w:t>
            </w:r>
          </w:p>
        </w:tc>
        <w:tc>
          <w:tcPr>
            <w:tcW w:w="1275" w:type="dxa"/>
            <w:tcBorders>
              <w:top w:val="single" w:sz="4" w:space="0" w:color="auto"/>
              <w:left w:val="nil"/>
              <w:bottom w:val="single" w:sz="4" w:space="0" w:color="auto"/>
              <w:right w:val="single" w:sz="8" w:space="0" w:color="auto"/>
            </w:tcBorders>
          </w:tcPr>
          <w:p w:rsidR="00A80461" w:rsidRPr="00866A0F" w:rsidRDefault="00A80461" w:rsidP="00C454D6">
            <w:pPr>
              <w:pStyle w:val="TableText0"/>
              <w:jc w:val="center"/>
              <w:rPr>
                <w:rFonts w:cs="Times New Roman"/>
                <w:sz w:val="22"/>
                <w:szCs w:val="22"/>
              </w:rPr>
            </w:pPr>
            <w:r w:rsidRPr="00866A0F">
              <w:rPr>
                <w:rFonts w:cs="Times New Roman"/>
                <w:sz w:val="22"/>
                <w:szCs w:val="22"/>
              </w:rPr>
              <w:br/>
              <w:t>1 (1)</w:t>
            </w:r>
          </w:p>
        </w:tc>
        <w:tc>
          <w:tcPr>
            <w:tcW w:w="1276" w:type="dxa"/>
            <w:tcBorders>
              <w:top w:val="single" w:sz="4" w:space="0" w:color="auto"/>
              <w:left w:val="nil"/>
              <w:bottom w:val="single" w:sz="4" w:space="0" w:color="auto"/>
              <w:right w:val="single" w:sz="8" w:space="0" w:color="auto"/>
            </w:tcBorders>
          </w:tcPr>
          <w:p w:rsidR="00A80461" w:rsidRPr="00866A0F" w:rsidRDefault="00A80461" w:rsidP="00C454D6">
            <w:pPr>
              <w:pStyle w:val="TableText0"/>
              <w:jc w:val="center"/>
              <w:rPr>
                <w:rFonts w:cs="Times New Roman"/>
                <w:sz w:val="22"/>
                <w:szCs w:val="22"/>
              </w:rPr>
            </w:pPr>
            <w:r w:rsidRPr="00866A0F">
              <w:rPr>
                <w:rFonts w:cs="Times New Roman"/>
                <w:sz w:val="22"/>
                <w:szCs w:val="22"/>
              </w:rPr>
              <w:br/>
              <w:t>0 (0)</w:t>
            </w:r>
          </w:p>
        </w:tc>
      </w:tr>
      <w:tr w:rsidR="0060603B" w:rsidRPr="00C456BA" w:rsidTr="00C454D6">
        <w:trPr>
          <w:cantSplit/>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0603B" w:rsidRPr="00866A0F" w:rsidRDefault="0060603B" w:rsidP="00141F76">
            <w:pPr>
              <w:pStyle w:val="TableText0"/>
              <w:rPr>
                <w:rFonts w:cs="Times New Roman"/>
                <w:b/>
                <w:sz w:val="22"/>
                <w:szCs w:val="22"/>
              </w:rPr>
            </w:pPr>
            <w:r w:rsidRPr="00866A0F">
              <w:rPr>
                <w:rFonts w:cs="Times New Roman"/>
                <w:b/>
                <w:sz w:val="22"/>
                <w:szCs w:val="22"/>
              </w:rPr>
              <w:t>Respiratory, Thoracic and Mediastinal Disorders</w:t>
            </w:r>
          </w:p>
          <w:p w:rsidR="0060603B" w:rsidRPr="00866A0F" w:rsidRDefault="0060603B" w:rsidP="00993499">
            <w:pPr>
              <w:pStyle w:val="TableText0"/>
              <w:rPr>
                <w:rFonts w:cs="Times New Roman"/>
                <w:sz w:val="22"/>
                <w:szCs w:val="22"/>
              </w:rPr>
            </w:pPr>
            <w:r w:rsidRPr="00866A0F">
              <w:rPr>
                <w:rFonts w:cs="Times New Roman"/>
                <w:sz w:val="22"/>
                <w:szCs w:val="22"/>
              </w:rPr>
              <w:t xml:space="preserve">  Interstitial Lung Disease</w:t>
            </w:r>
            <w:r w:rsidR="00993499">
              <w:rPr>
                <w:rFonts w:cs="Times New Roman"/>
                <w:sz w:val="22"/>
                <w:szCs w:val="22"/>
                <w:vertAlign w:val="superscript"/>
              </w:rPr>
              <w:t>i</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454D6" w:rsidRDefault="0060603B" w:rsidP="00C454D6">
            <w:pPr>
              <w:pStyle w:val="TableText0"/>
              <w:jc w:val="center"/>
              <w:rPr>
                <w:rFonts w:cs="Times New Roman"/>
                <w:sz w:val="22"/>
                <w:szCs w:val="22"/>
              </w:rPr>
            </w:pPr>
            <w:r w:rsidRPr="00866A0F">
              <w:rPr>
                <w:rFonts w:cs="Times New Roman"/>
                <w:sz w:val="22"/>
                <w:szCs w:val="22"/>
              </w:rPr>
              <w:br/>
            </w:r>
          </w:p>
          <w:p w:rsidR="0060603B" w:rsidRPr="00866A0F" w:rsidRDefault="0060603B" w:rsidP="00C454D6">
            <w:pPr>
              <w:pStyle w:val="TableText0"/>
              <w:jc w:val="center"/>
              <w:rPr>
                <w:rFonts w:cs="Times New Roman"/>
                <w:sz w:val="22"/>
                <w:szCs w:val="22"/>
              </w:rPr>
            </w:pPr>
            <w:r w:rsidRPr="00866A0F">
              <w:rPr>
                <w:rFonts w:cs="Times New Roman"/>
                <w:sz w:val="22"/>
                <w:szCs w:val="22"/>
              </w:rPr>
              <w:t>7 (4)</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454D6" w:rsidRDefault="0060603B" w:rsidP="00C454D6">
            <w:pPr>
              <w:pStyle w:val="TableText0"/>
              <w:jc w:val="center"/>
              <w:rPr>
                <w:rFonts w:cs="Times New Roman"/>
                <w:sz w:val="22"/>
                <w:szCs w:val="22"/>
              </w:rPr>
            </w:pPr>
            <w:r w:rsidRPr="00866A0F">
              <w:rPr>
                <w:rFonts w:cs="Times New Roman"/>
                <w:sz w:val="22"/>
                <w:szCs w:val="22"/>
              </w:rPr>
              <w:br/>
            </w:r>
          </w:p>
          <w:p w:rsidR="0060603B" w:rsidRPr="00866A0F" w:rsidRDefault="0060603B" w:rsidP="00C454D6">
            <w:pPr>
              <w:pStyle w:val="TableText0"/>
              <w:jc w:val="center"/>
              <w:rPr>
                <w:rFonts w:cs="Times New Roman"/>
                <w:sz w:val="22"/>
                <w:szCs w:val="22"/>
              </w:rPr>
            </w:pPr>
            <w:r w:rsidRPr="00866A0F">
              <w:rPr>
                <w:rFonts w:cs="Times New Roman"/>
                <w:sz w:val="22"/>
                <w:szCs w:val="22"/>
              </w:rPr>
              <w:t>1 (1)</w:t>
            </w:r>
          </w:p>
        </w:tc>
        <w:tc>
          <w:tcPr>
            <w:tcW w:w="1275" w:type="dxa"/>
            <w:tcBorders>
              <w:top w:val="single" w:sz="4" w:space="0" w:color="auto"/>
              <w:left w:val="nil"/>
              <w:bottom w:val="single" w:sz="4" w:space="0" w:color="auto"/>
              <w:right w:val="single" w:sz="8" w:space="0" w:color="auto"/>
            </w:tcBorders>
          </w:tcPr>
          <w:p w:rsidR="00C454D6" w:rsidRDefault="0060603B" w:rsidP="00C454D6">
            <w:pPr>
              <w:pStyle w:val="TableText0"/>
              <w:jc w:val="center"/>
              <w:rPr>
                <w:rFonts w:cs="Times New Roman"/>
                <w:sz w:val="22"/>
                <w:szCs w:val="22"/>
              </w:rPr>
            </w:pPr>
            <w:r w:rsidRPr="00866A0F">
              <w:rPr>
                <w:rFonts w:cs="Times New Roman"/>
                <w:sz w:val="22"/>
                <w:szCs w:val="22"/>
              </w:rPr>
              <w:br/>
            </w:r>
          </w:p>
          <w:p w:rsidR="0060603B" w:rsidRPr="00866A0F" w:rsidRDefault="0060603B" w:rsidP="00C454D6">
            <w:pPr>
              <w:pStyle w:val="TableText0"/>
              <w:jc w:val="center"/>
              <w:rPr>
                <w:rFonts w:cs="Times New Roman"/>
                <w:sz w:val="22"/>
                <w:szCs w:val="22"/>
              </w:rPr>
            </w:pPr>
            <w:r w:rsidRPr="00866A0F">
              <w:rPr>
                <w:rFonts w:cs="Times New Roman"/>
                <w:sz w:val="22"/>
                <w:szCs w:val="22"/>
              </w:rPr>
              <w:t>1 (1)</w:t>
            </w:r>
          </w:p>
        </w:tc>
        <w:tc>
          <w:tcPr>
            <w:tcW w:w="1276" w:type="dxa"/>
            <w:tcBorders>
              <w:top w:val="single" w:sz="4" w:space="0" w:color="auto"/>
              <w:left w:val="nil"/>
              <w:bottom w:val="single" w:sz="4" w:space="0" w:color="auto"/>
              <w:right w:val="single" w:sz="8" w:space="0" w:color="auto"/>
            </w:tcBorders>
          </w:tcPr>
          <w:p w:rsidR="00C454D6" w:rsidRDefault="0060603B" w:rsidP="00C454D6">
            <w:pPr>
              <w:pStyle w:val="TableText0"/>
              <w:jc w:val="center"/>
              <w:rPr>
                <w:rFonts w:cs="Times New Roman"/>
                <w:sz w:val="22"/>
                <w:szCs w:val="22"/>
              </w:rPr>
            </w:pPr>
            <w:r w:rsidRPr="00866A0F">
              <w:rPr>
                <w:rFonts w:cs="Times New Roman"/>
                <w:sz w:val="22"/>
                <w:szCs w:val="22"/>
              </w:rPr>
              <w:br/>
            </w:r>
          </w:p>
          <w:p w:rsidR="0060603B" w:rsidRPr="00866A0F" w:rsidRDefault="0060603B" w:rsidP="00C454D6">
            <w:pPr>
              <w:pStyle w:val="TableText0"/>
              <w:jc w:val="center"/>
              <w:rPr>
                <w:rFonts w:cs="Times New Roman"/>
                <w:sz w:val="22"/>
                <w:szCs w:val="22"/>
              </w:rPr>
            </w:pPr>
            <w:r w:rsidRPr="00866A0F">
              <w:rPr>
                <w:rFonts w:cs="Times New Roman"/>
                <w:sz w:val="22"/>
                <w:szCs w:val="22"/>
              </w:rPr>
              <w:t>0 (0)</w:t>
            </w:r>
          </w:p>
        </w:tc>
      </w:tr>
      <w:tr w:rsidR="0060603B" w:rsidRPr="00C456BA" w:rsidTr="00C454D6">
        <w:trPr>
          <w:cantSplit/>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0603B" w:rsidRPr="00866A0F" w:rsidRDefault="0060603B" w:rsidP="00141F76">
            <w:pPr>
              <w:pStyle w:val="TableText0"/>
              <w:rPr>
                <w:rFonts w:cs="Times New Roman"/>
                <w:b/>
                <w:sz w:val="22"/>
                <w:szCs w:val="22"/>
              </w:rPr>
            </w:pPr>
            <w:r w:rsidRPr="00866A0F">
              <w:rPr>
                <w:rFonts w:cs="Times New Roman"/>
                <w:b/>
                <w:sz w:val="22"/>
                <w:szCs w:val="22"/>
              </w:rPr>
              <w:t>Skin and Subcutaneous Tissue Disorders</w:t>
            </w:r>
          </w:p>
          <w:p w:rsidR="0060603B" w:rsidRPr="00866A0F" w:rsidRDefault="0060603B" w:rsidP="00141F76">
            <w:pPr>
              <w:pStyle w:val="TableText0"/>
              <w:rPr>
                <w:rFonts w:cs="Times New Roman"/>
                <w:sz w:val="22"/>
                <w:szCs w:val="22"/>
              </w:rPr>
            </w:pPr>
            <w:r w:rsidRPr="00866A0F">
              <w:rPr>
                <w:rFonts w:cs="Times New Roman"/>
                <w:sz w:val="22"/>
                <w:szCs w:val="22"/>
              </w:rPr>
              <w:t xml:space="preserve">  Rash</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454D6" w:rsidRDefault="00C454D6"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15 (9)</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454D6" w:rsidRDefault="00C454D6"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0 (0)</w:t>
            </w:r>
          </w:p>
        </w:tc>
        <w:tc>
          <w:tcPr>
            <w:tcW w:w="1275" w:type="dxa"/>
            <w:tcBorders>
              <w:top w:val="single" w:sz="4" w:space="0" w:color="auto"/>
              <w:left w:val="nil"/>
              <w:bottom w:val="single" w:sz="4" w:space="0" w:color="auto"/>
              <w:right w:val="single" w:sz="8" w:space="0" w:color="auto"/>
            </w:tcBorders>
          </w:tcPr>
          <w:p w:rsidR="00C454D6" w:rsidRDefault="00C454D6"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29 (17)</w:t>
            </w:r>
          </w:p>
        </w:tc>
        <w:tc>
          <w:tcPr>
            <w:tcW w:w="1276" w:type="dxa"/>
            <w:tcBorders>
              <w:top w:val="single" w:sz="4" w:space="0" w:color="auto"/>
              <w:left w:val="nil"/>
              <w:bottom w:val="single" w:sz="4" w:space="0" w:color="auto"/>
              <w:right w:val="single" w:sz="8" w:space="0" w:color="auto"/>
            </w:tcBorders>
          </w:tcPr>
          <w:p w:rsidR="00C454D6" w:rsidRDefault="00C454D6" w:rsidP="00141F76">
            <w:pPr>
              <w:pStyle w:val="TableText0"/>
              <w:jc w:val="center"/>
              <w:rPr>
                <w:rFonts w:cs="Times New Roman"/>
                <w:sz w:val="22"/>
                <w:szCs w:val="22"/>
              </w:rPr>
            </w:pPr>
          </w:p>
          <w:p w:rsidR="0060603B" w:rsidRPr="00866A0F" w:rsidRDefault="0060603B" w:rsidP="00141F76">
            <w:pPr>
              <w:pStyle w:val="TableText0"/>
              <w:jc w:val="center"/>
              <w:rPr>
                <w:rFonts w:cs="Times New Roman"/>
                <w:sz w:val="22"/>
                <w:szCs w:val="22"/>
              </w:rPr>
            </w:pPr>
            <w:r w:rsidRPr="00866A0F">
              <w:rPr>
                <w:rFonts w:cs="Times New Roman"/>
                <w:sz w:val="22"/>
                <w:szCs w:val="22"/>
              </w:rPr>
              <w:t>0 (0)</w:t>
            </w:r>
          </w:p>
        </w:tc>
      </w:tr>
    </w:tbl>
    <w:p w:rsidR="00866A0F" w:rsidRDefault="00866A0F" w:rsidP="00866A0F">
      <w:pPr>
        <w:pStyle w:val="Paragraph"/>
        <w:spacing w:after="0"/>
      </w:pPr>
      <w:r w:rsidRPr="000B18A5">
        <w:rPr>
          <w:sz w:val="20"/>
          <w:szCs w:val="20"/>
        </w:rPr>
        <w:t>Includes cases reported within the clustered terms:</w:t>
      </w:r>
    </w:p>
    <w:p w:rsidR="00866A0F" w:rsidRDefault="00866A0F" w:rsidP="00C454D6">
      <w:pPr>
        <w:pStyle w:val="Paragraph"/>
        <w:spacing w:after="0"/>
        <w:ind w:left="142" w:hanging="142"/>
        <w:rPr>
          <w:sz w:val="20"/>
          <w:szCs w:val="20"/>
        </w:rPr>
      </w:pPr>
      <w:r w:rsidRPr="001810E4">
        <w:rPr>
          <w:sz w:val="20"/>
          <w:szCs w:val="20"/>
          <w:vertAlign w:val="superscript"/>
        </w:rPr>
        <w:t>a</w:t>
      </w:r>
      <w:r w:rsidRPr="001810E4">
        <w:rPr>
          <w:sz w:val="20"/>
          <w:szCs w:val="20"/>
        </w:rPr>
        <w:t xml:space="preserve"> </w:t>
      </w:r>
      <w:r w:rsidR="00C454D6">
        <w:rPr>
          <w:sz w:val="20"/>
          <w:szCs w:val="20"/>
        </w:rPr>
        <w:tab/>
      </w:r>
      <w:r w:rsidRPr="001810E4">
        <w:rPr>
          <w:sz w:val="20"/>
          <w:szCs w:val="20"/>
        </w:rPr>
        <w:t>Neutropenia (Febrile neutropenia, Neutropenia, Neutrophil count decreased)</w:t>
      </w:r>
    </w:p>
    <w:p w:rsidR="00F760AE" w:rsidRPr="001810E4" w:rsidRDefault="00F760AE" w:rsidP="00F760AE">
      <w:pPr>
        <w:pStyle w:val="Paragraph"/>
        <w:spacing w:after="0"/>
        <w:ind w:left="142" w:hanging="142"/>
        <w:rPr>
          <w:sz w:val="20"/>
          <w:szCs w:val="20"/>
        </w:rPr>
      </w:pPr>
      <w:r>
        <w:rPr>
          <w:sz w:val="20"/>
          <w:szCs w:val="20"/>
          <w:vertAlign w:val="superscript"/>
        </w:rPr>
        <w:t>b</w:t>
      </w:r>
      <w:r w:rsidRPr="001810E4">
        <w:rPr>
          <w:sz w:val="20"/>
          <w:szCs w:val="20"/>
        </w:rPr>
        <w:t xml:space="preserve"> </w:t>
      </w:r>
      <w:r>
        <w:rPr>
          <w:sz w:val="20"/>
          <w:szCs w:val="20"/>
        </w:rPr>
        <w:tab/>
      </w:r>
      <w:r w:rsidRPr="001810E4">
        <w:rPr>
          <w:sz w:val="20"/>
          <w:szCs w:val="20"/>
        </w:rPr>
        <w:t>Bradycardia (Bradycardia, Sinus bradycardia)</w:t>
      </w:r>
    </w:p>
    <w:p w:rsidR="00F760AE" w:rsidRPr="001810E4" w:rsidRDefault="00F760AE" w:rsidP="00F760AE">
      <w:pPr>
        <w:pStyle w:val="Paragraph"/>
        <w:spacing w:after="0"/>
        <w:ind w:left="142" w:hanging="142"/>
        <w:rPr>
          <w:sz w:val="20"/>
          <w:szCs w:val="20"/>
        </w:rPr>
      </w:pPr>
      <w:r>
        <w:rPr>
          <w:sz w:val="20"/>
          <w:szCs w:val="20"/>
          <w:vertAlign w:val="superscript"/>
        </w:rPr>
        <w:t>c</w:t>
      </w:r>
      <w:r w:rsidRPr="001810E4">
        <w:rPr>
          <w:sz w:val="20"/>
          <w:szCs w:val="20"/>
        </w:rPr>
        <w:t xml:space="preserve"> </w:t>
      </w:r>
      <w:r>
        <w:rPr>
          <w:sz w:val="20"/>
          <w:szCs w:val="20"/>
        </w:rPr>
        <w:tab/>
      </w:r>
      <w:r w:rsidRPr="001810E4">
        <w:rPr>
          <w:sz w:val="20"/>
          <w:szCs w:val="20"/>
        </w:rPr>
        <w:t>Vision Disorder (Diplopia, Photophobia, Photopsia, Vision blurred, Visual acuity reduced, Visual impairment, Vitreous floaters)</w:t>
      </w:r>
    </w:p>
    <w:p w:rsidR="00F760AE" w:rsidRDefault="00F760AE" w:rsidP="00F760AE">
      <w:pPr>
        <w:pStyle w:val="Paragraph"/>
        <w:spacing w:after="0"/>
        <w:ind w:left="142" w:hanging="142"/>
        <w:rPr>
          <w:sz w:val="20"/>
          <w:szCs w:val="20"/>
        </w:rPr>
      </w:pPr>
      <w:r>
        <w:rPr>
          <w:sz w:val="20"/>
          <w:szCs w:val="20"/>
          <w:vertAlign w:val="superscript"/>
        </w:rPr>
        <w:t>d</w:t>
      </w:r>
      <w:r>
        <w:rPr>
          <w:sz w:val="20"/>
          <w:szCs w:val="20"/>
          <w:vertAlign w:val="superscript"/>
        </w:rPr>
        <w:tab/>
      </w:r>
      <w:r w:rsidR="004D7C3A">
        <w:rPr>
          <w:sz w:val="20"/>
          <w:szCs w:val="20"/>
        </w:rPr>
        <w:t>Oe</w:t>
      </w:r>
      <w:r w:rsidRPr="001810E4">
        <w:rPr>
          <w:sz w:val="20"/>
          <w:szCs w:val="20"/>
        </w:rPr>
        <w:t xml:space="preserve">dema (Face </w:t>
      </w:r>
      <w:r w:rsidR="00B60E44">
        <w:rPr>
          <w:sz w:val="20"/>
          <w:szCs w:val="20"/>
        </w:rPr>
        <w:t>o</w:t>
      </w:r>
      <w:r w:rsidRPr="001810E4">
        <w:rPr>
          <w:sz w:val="20"/>
          <w:szCs w:val="20"/>
        </w:rPr>
        <w:t xml:space="preserve">edema, Generalised </w:t>
      </w:r>
      <w:r w:rsidR="00B60E44">
        <w:rPr>
          <w:sz w:val="20"/>
          <w:szCs w:val="20"/>
        </w:rPr>
        <w:t>o</w:t>
      </w:r>
      <w:r w:rsidRPr="001810E4">
        <w:rPr>
          <w:sz w:val="20"/>
          <w:szCs w:val="20"/>
        </w:rPr>
        <w:t xml:space="preserve">edema, Local swelling, Localised </w:t>
      </w:r>
      <w:r w:rsidR="00B60E44">
        <w:rPr>
          <w:sz w:val="20"/>
          <w:szCs w:val="20"/>
        </w:rPr>
        <w:t>o</w:t>
      </w:r>
      <w:r w:rsidRPr="001810E4">
        <w:rPr>
          <w:sz w:val="20"/>
          <w:szCs w:val="20"/>
        </w:rPr>
        <w:t xml:space="preserve">edema, </w:t>
      </w:r>
      <w:r w:rsidR="00B60E44">
        <w:rPr>
          <w:sz w:val="20"/>
          <w:szCs w:val="20"/>
        </w:rPr>
        <w:t>o</w:t>
      </w:r>
      <w:r w:rsidRPr="001810E4">
        <w:rPr>
          <w:sz w:val="20"/>
          <w:szCs w:val="20"/>
        </w:rPr>
        <w:t xml:space="preserve">edema, </w:t>
      </w:r>
      <w:r w:rsidR="00B60E44">
        <w:rPr>
          <w:sz w:val="20"/>
          <w:szCs w:val="20"/>
        </w:rPr>
        <w:t>o</w:t>
      </w:r>
      <w:r w:rsidRPr="001810E4">
        <w:rPr>
          <w:sz w:val="20"/>
          <w:szCs w:val="20"/>
        </w:rPr>
        <w:t xml:space="preserve">edema peripheral, Periorbital </w:t>
      </w:r>
      <w:r w:rsidR="00B60E44">
        <w:rPr>
          <w:sz w:val="20"/>
          <w:szCs w:val="20"/>
        </w:rPr>
        <w:t>o</w:t>
      </w:r>
      <w:r w:rsidRPr="001810E4">
        <w:rPr>
          <w:sz w:val="20"/>
          <w:szCs w:val="20"/>
        </w:rPr>
        <w:t>edema)</w:t>
      </w:r>
    </w:p>
    <w:p w:rsidR="00F760AE" w:rsidRPr="001810E4" w:rsidRDefault="00F760AE" w:rsidP="00F760AE">
      <w:pPr>
        <w:pStyle w:val="Paragraph"/>
        <w:spacing w:after="0"/>
        <w:ind w:left="142" w:hanging="142"/>
        <w:rPr>
          <w:sz w:val="20"/>
          <w:szCs w:val="20"/>
        </w:rPr>
      </w:pPr>
      <w:r>
        <w:rPr>
          <w:sz w:val="20"/>
          <w:szCs w:val="20"/>
          <w:vertAlign w:val="superscript"/>
        </w:rPr>
        <w:t>e</w:t>
      </w:r>
      <w:r w:rsidRPr="001810E4">
        <w:rPr>
          <w:sz w:val="20"/>
          <w:szCs w:val="20"/>
        </w:rPr>
        <w:t xml:space="preserve"> </w:t>
      </w:r>
      <w:r>
        <w:rPr>
          <w:sz w:val="20"/>
          <w:szCs w:val="20"/>
        </w:rPr>
        <w:tab/>
      </w:r>
      <w:r w:rsidRPr="001810E4">
        <w:rPr>
          <w:sz w:val="20"/>
          <w:szCs w:val="20"/>
        </w:rPr>
        <w:t>Elevated Transaminases (Alanine aminotransferase increased, Aspartate aminotransferase increased, Gamma-glutamyltransferase increased, Hepatic function abnormal, Transaminases increased)</w:t>
      </w:r>
    </w:p>
    <w:p w:rsidR="00866A0F" w:rsidRPr="001810E4" w:rsidRDefault="00F760AE" w:rsidP="00C454D6">
      <w:pPr>
        <w:pStyle w:val="Paragraph"/>
        <w:spacing w:after="0"/>
        <w:ind w:left="142" w:hanging="142"/>
        <w:rPr>
          <w:sz w:val="20"/>
          <w:szCs w:val="20"/>
        </w:rPr>
      </w:pPr>
      <w:r>
        <w:rPr>
          <w:sz w:val="20"/>
          <w:szCs w:val="20"/>
          <w:vertAlign w:val="superscript"/>
        </w:rPr>
        <w:t>f</w:t>
      </w:r>
      <w:r w:rsidR="00866A0F" w:rsidRPr="001810E4">
        <w:rPr>
          <w:sz w:val="20"/>
          <w:szCs w:val="20"/>
        </w:rPr>
        <w:t xml:space="preserve"> </w:t>
      </w:r>
      <w:r w:rsidR="00C454D6">
        <w:rPr>
          <w:sz w:val="20"/>
          <w:szCs w:val="20"/>
        </w:rPr>
        <w:tab/>
      </w:r>
      <w:r w:rsidR="00866A0F" w:rsidRPr="001810E4">
        <w:rPr>
          <w:sz w:val="20"/>
          <w:szCs w:val="20"/>
        </w:rPr>
        <w:t>Neuropathy (Dysaesthesia, Gait disturbance, Hypoaesthesia, Muscular weakness, Neuralgia, Neuropathy peripheral, Paraesthesia, Peripheral sensory neuropathy, Polyneuropathy, Skin burning sensation)</w:t>
      </w:r>
    </w:p>
    <w:p w:rsidR="00866A0F" w:rsidRDefault="00993499" w:rsidP="00C454D6">
      <w:pPr>
        <w:pStyle w:val="Paragraph"/>
        <w:spacing w:after="0"/>
        <w:ind w:left="142" w:hanging="142"/>
        <w:rPr>
          <w:sz w:val="20"/>
          <w:szCs w:val="20"/>
        </w:rPr>
      </w:pPr>
      <w:r>
        <w:rPr>
          <w:sz w:val="20"/>
          <w:szCs w:val="20"/>
          <w:vertAlign w:val="superscript"/>
        </w:rPr>
        <w:t>g</w:t>
      </w:r>
      <w:r w:rsidR="00866A0F" w:rsidRPr="001810E4">
        <w:rPr>
          <w:sz w:val="20"/>
          <w:szCs w:val="20"/>
        </w:rPr>
        <w:t xml:space="preserve"> </w:t>
      </w:r>
      <w:r w:rsidR="00C454D6">
        <w:rPr>
          <w:sz w:val="20"/>
          <w:szCs w:val="20"/>
        </w:rPr>
        <w:tab/>
      </w:r>
      <w:r w:rsidR="00866A0F" w:rsidRPr="001810E4">
        <w:rPr>
          <w:sz w:val="20"/>
          <w:szCs w:val="20"/>
        </w:rPr>
        <w:t>Dizziness (Balance disorder, Dizziness, Dizziness postural)</w:t>
      </w:r>
    </w:p>
    <w:p w:rsidR="00993499" w:rsidRPr="001810E4" w:rsidRDefault="00993499" w:rsidP="00993499">
      <w:pPr>
        <w:pStyle w:val="Paragraph"/>
        <w:spacing w:after="0"/>
        <w:ind w:left="142" w:hanging="142"/>
        <w:rPr>
          <w:sz w:val="20"/>
          <w:szCs w:val="20"/>
        </w:rPr>
      </w:pPr>
      <w:r w:rsidRPr="001810E4">
        <w:rPr>
          <w:sz w:val="20"/>
          <w:szCs w:val="20"/>
          <w:vertAlign w:val="superscript"/>
        </w:rPr>
        <w:t>h</w:t>
      </w:r>
      <w:r w:rsidRPr="001810E4">
        <w:rPr>
          <w:sz w:val="20"/>
          <w:szCs w:val="20"/>
        </w:rPr>
        <w:t xml:space="preserve"> </w:t>
      </w:r>
      <w:r>
        <w:rPr>
          <w:sz w:val="20"/>
          <w:szCs w:val="20"/>
        </w:rPr>
        <w:tab/>
      </w:r>
      <w:r w:rsidRPr="001810E4">
        <w:rPr>
          <w:sz w:val="20"/>
          <w:szCs w:val="20"/>
        </w:rPr>
        <w:t>Renal Cyst (Renal cyst)</w:t>
      </w:r>
    </w:p>
    <w:p w:rsidR="00866A0F" w:rsidRPr="001810E4" w:rsidRDefault="00993499" w:rsidP="00993499">
      <w:pPr>
        <w:pStyle w:val="Paragraph"/>
        <w:ind w:left="142" w:hanging="142"/>
        <w:rPr>
          <w:sz w:val="20"/>
          <w:szCs w:val="20"/>
        </w:rPr>
      </w:pPr>
      <w:r>
        <w:rPr>
          <w:sz w:val="20"/>
          <w:szCs w:val="20"/>
          <w:vertAlign w:val="superscript"/>
        </w:rPr>
        <w:t>i</w:t>
      </w:r>
      <w:r w:rsidR="00C454D6">
        <w:rPr>
          <w:sz w:val="20"/>
          <w:szCs w:val="20"/>
        </w:rPr>
        <w:tab/>
      </w:r>
      <w:r w:rsidR="00866A0F" w:rsidRPr="001810E4">
        <w:rPr>
          <w:sz w:val="20"/>
          <w:szCs w:val="20"/>
        </w:rPr>
        <w:t>Interstitial Lung Disease (</w:t>
      </w:r>
      <w:r w:rsidR="00866A0F" w:rsidRPr="001810E4">
        <w:rPr>
          <w:rFonts w:eastAsia="TimesNewRoman"/>
          <w:sz w:val="20"/>
          <w:szCs w:val="20"/>
        </w:rPr>
        <w:t>Acute respiratory distress syndrome, Interstitial lung disease, Pneumonitis</w:t>
      </w:r>
      <w:r w:rsidR="00866A0F" w:rsidRPr="001810E4">
        <w:rPr>
          <w:sz w:val="20"/>
          <w:szCs w:val="20"/>
        </w:rPr>
        <w:t>)</w:t>
      </w:r>
    </w:p>
    <w:p w:rsidR="00866A0F" w:rsidRPr="007510AC" w:rsidRDefault="00866A0F" w:rsidP="00866A0F">
      <w:pPr>
        <w:pStyle w:val="PIHeading3"/>
      </w:pPr>
      <w:r w:rsidRPr="007510AC">
        <w:t>Single</w:t>
      </w:r>
      <w:r>
        <w:t>-</w:t>
      </w:r>
      <w:r w:rsidRPr="007510AC">
        <w:t xml:space="preserve">Arm Studies </w:t>
      </w:r>
      <w:r>
        <w:t>in ALK-Positive Advanced NSCLC</w:t>
      </w:r>
    </w:p>
    <w:p w:rsidR="00866A0F" w:rsidRDefault="00866A0F" w:rsidP="0000512F">
      <w:pPr>
        <w:pStyle w:val="PINormal"/>
        <w:keepLines/>
      </w:pPr>
      <w:r w:rsidRPr="00414740">
        <w:t xml:space="preserve">The safety analysis population </w:t>
      </w:r>
      <w:r>
        <w:t xml:space="preserve">in </w:t>
      </w:r>
      <w:r w:rsidRPr="00414740">
        <w:t xml:space="preserve">Study </w:t>
      </w:r>
      <w:r>
        <w:t>1005</w:t>
      </w:r>
      <w:r w:rsidRPr="00414740">
        <w:t xml:space="preserve"> included </w:t>
      </w:r>
      <w:r>
        <w:t>934</w:t>
      </w:r>
      <w:r w:rsidRPr="00414740">
        <w:t xml:space="preserve"> patients</w:t>
      </w:r>
      <w:r>
        <w:t xml:space="preserve"> who received crizotinib</w:t>
      </w:r>
      <w:r w:rsidRPr="00414740">
        <w:t xml:space="preserve">. The median duration </w:t>
      </w:r>
      <w:r>
        <w:t xml:space="preserve">of treatment </w:t>
      </w:r>
      <w:r w:rsidRPr="00414740">
        <w:t xml:space="preserve">was </w:t>
      </w:r>
      <w:r>
        <w:t>23 weeks</w:t>
      </w:r>
      <w:r w:rsidRPr="00414740">
        <w:t xml:space="preserve">. </w:t>
      </w:r>
      <w:r>
        <w:t xml:space="preserve"> </w:t>
      </w:r>
      <w:r w:rsidRPr="00106077">
        <w:t xml:space="preserve">Dosing interruptions and reductions due to treatment-related adverse events occurred in 212 (23%) patients and 116 (12%) patients in Study </w:t>
      </w:r>
      <w:r>
        <w:t>1005</w:t>
      </w:r>
      <w:r w:rsidRPr="00106077">
        <w:t xml:space="preserve">, respectively. </w:t>
      </w:r>
      <w:r>
        <w:t>T</w:t>
      </w:r>
      <w:r w:rsidRPr="00106077">
        <w:t>reatment-related adverse events resulting in permanent</w:t>
      </w:r>
      <w:r w:rsidRPr="00974E6F">
        <w:t xml:space="preserve"> discontinuation </w:t>
      </w:r>
      <w:r>
        <w:t>occurred in 45 (5</w:t>
      </w:r>
      <w:r w:rsidRPr="00974E6F">
        <w:t>%</w:t>
      </w:r>
      <w:r>
        <w:t>) patients</w:t>
      </w:r>
      <w:r w:rsidRPr="00974E6F">
        <w:t xml:space="preserve"> in Study </w:t>
      </w:r>
      <w:r>
        <w:t>1005</w:t>
      </w:r>
      <w:r w:rsidRPr="00974E6F">
        <w:t>.</w:t>
      </w:r>
      <w:r w:rsidRPr="00C1689C">
        <w:t xml:space="preserve"> </w:t>
      </w:r>
      <w:r>
        <w:t xml:space="preserve"> T</w:t>
      </w:r>
      <w:r w:rsidRPr="00974E6F">
        <w:t xml:space="preserve">he most common </w:t>
      </w:r>
      <w:r>
        <w:t xml:space="preserve">treatment-related </w:t>
      </w:r>
      <w:r w:rsidRPr="00974E6F">
        <w:t xml:space="preserve">adverse </w:t>
      </w:r>
      <w:r>
        <w:t>events</w:t>
      </w:r>
      <w:r w:rsidRPr="00974E6F">
        <w:t xml:space="preserve"> </w:t>
      </w:r>
      <w:r w:rsidR="000E4973" w:rsidRPr="00974E6F">
        <w:t>(</w:t>
      </w:r>
      <w:r w:rsidR="000E4973" w:rsidRPr="00974E6F">
        <w:rPr>
          <w:u w:val="single"/>
        </w:rPr>
        <w:t>&gt;</w:t>
      </w:r>
      <w:r w:rsidR="000E4973">
        <w:t>25</w:t>
      </w:r>
      <w:r w:rsidRPr="00974E6F">
        <w:t xml:space="preserve">%) </w:t>
      </w:r>
      <w:r>
        <w:t xml:space="preserve">in Study 1005 included </w:t>
      </w:r>
      <w:r w:rsidRPr="00974E6F">
        <w:t>vision disorder, nausea, vomiting, diarrh</w:t>
      </w:r>
      <w:r w:rsidR="00ED738E">
        <w:t>o</w:t>
      </w:r>
      <w:r w:rsidRPr="00974E6F">
        <w:t xml:space="preserve">ea, </w:t>
      </w:r>
      <w:r w:rsidR="009B197C">
        <w:t>o</w:t>
      </w:r>
      <w:r w:rsidRPr="00974E6F">
        <w:t>edema</w:t>
      </w:r>
      <w:r w:rsidR="008F4ECF">
        <w:t xml:space="preserve"> and</w:t>
      </w:r>
      <w:r w:rsidRPr="00974E6F" w:rsidDel="00751FEB">
        <w:t xml:space="preserve"> </w:t>
      </w:r>
      <w:r w:rsidRPr="00974E6F">
        <w:t>constip</w:t>
      </w:r>
      <w:r>
        <w:t xml:space="preserve">ation.  </w:t>
      </w:r>
      <w:r w:rsidRPr="00974E6F">
        <w:t xml:space="preserve">The most common Grade 3 or 4 </w:t>
      </w:r>
      <w:r>
        <w:t xml:space="preserve">treatment-related </w:t>
      </w:r>
      <w:r w:rsidRPr="00974E6F">
        <w:t>adverse</w:t>
      </w:r>
      <w:r>
        <w:t xml:space="preserve"> events</w:t>
      </w:r>
      <w:r w:rsidRPr="00974E6F">
        <w:t xml:space="preserve"> (</w:t>
      </w:r>
      <w:r w:rsidRPr="00974E6F">
        <w:rPr>
          <w:u w:val="single"/>
        </w:rPr>
        <w:t>&gt;</w:t>
      </w:r>
      <w:r w:rsidRPr="00974E6F">
        <w:t xml:space="preserve">3%) </w:t>
      </w:r>
      <w:r>
        <w:t>in Study 1005</w:t>
      </w:r>
      <w:r w:rsidRPr="00974E6F">
        <w:t xml:space="preserve"> were </w:t>
      </w:r>
      <w:r>
        <w:t>neutropenia</w:t>
      </w:r>
      <w:r w:rsidR="009C50B9">
        <w:t xml:space="preserve"> </w:t>
      </w:r>
      <w:r w:rsidR="008D6ABF">
        <w:t xml:space="preserve">and </w:t>
      </w:r>
      <w:r>
        <w:t>elevated transaminases</w:t>
      </w:r>
      <w:r w:rsidR="008D6ABF">
        <w:t>.</w:t>
      </w:r>
    </w:p>
    <w:p w:rsidR="00866A0F" w:rsidRDefault="00866A0F" w:rsidP="0000512F">
      <w:pPr>
        <w:pStyle w:val="PINormal"/>
        <w:keepLines/>
      </w:pPr>
      <w:r w:rsidRPr="004C4D93">
        <w:lastRenderedPageBreak/>
        <w:t>The safety analysis population in Study 1001 included 1</w:t>
      </w:r>
      <w:r>
        <w:t>4</w:t>
      </w:r>
      <w:r w:rsidRPr="004C4D93">
        <w:t>9 patients who received crizotinib.</w:t>
      </w:r>
      <w:r w:rsidRPr="001A2390">
        <w:t xml:space="preserve"> </w:t>
      </w:r>
      <w:r>
        <w:t xml:space="preserve">The median duration of treatment was </w:t>
      </w:r>
      <w:r w:rsidRPr="001A457F">
        <w:t>32 weeks</w:t>
      </w:r>
      <w:r>
        <w:t xml:space="preserve">.  Dosing interruptions and reductions due to treatment-related adverse events occurred in </w:t>
      </w:r>
      <w:r w:rsidR="004277C8">
        <w:t xml:space="preserve">22 (15%) </w:t>
      </w:r>
      <w:r>
        <w:t xml:space="preserve">patients and </w:t>
      </w:r>
      <w:r w:rsidR="004277C8">
        <w:t xml:space="preserve">10 (7%) </w:t>
      </w:r>
      <w:r>
        <w:t>patients in Study 1001, respectively.  Treatment-related adverse events resulting in permanent discontinuation occurred in 3 (</w:t>
      </w:r>
      <w:r w:rsidR="00753634">
        <w:t>2</w:t>
      </w:r>
      <w:r>
        <w:t>%) patients in Study 1001.</w:t>
      </w:r>
      <w:r w:rsidRPr="000E404D">
        <w:t xml:space="preserve"> </w:t>
      </w:r>
      <w:r>
        <w:t xml:space="preserve"> </w:t>
      </w:r>
      <w:r w:rsidRPr="00365E42">
        <w:t xml:space="preserve">The most common </w:t>
      </w:r>
      <w:r>
        <w:t xml:space="preserve">treatment-related </w:t>
      </w:r>
      <w:r w:rsidRPr="00365E42">
        <w:t xml:space="preserve">adverse </w:t>
      </w:r>
      <w:r>
        <w:t>events</w:t>
      </w:r>
      <w:r w:rsidRPr="00365E42">
        <w:t xml:space="preserve"> </w:t>
      </w:r>
      <w:r w:rsidR="000E4973" w:rsidRPr="00974E6F">
        <w:t>(</w:t>
      </w:r>
      <w:r w:rsidR="000E4973" w:rsidRPr="00974E6F">
        <w:rPr>
          <w:u w:val="single"/>
        </w:rPr>
        <w:t>&gt;</w:t>
      </w:r>
      <w:r w:rsidR="000E4973">
        <w:t>25</w:t>
      </w:r>
      <w:r w:rsidRPr="00365E42">
        <w:t xml:space="preserve">%) in Study </w:t>
      </w:r>
      <w:r>
        <w:t>1001</w:t>
      </w:r>
      <w:r w:rsidRPr="00365E42">
        <w:t xml:space="preserve"> </w:t>
      </w:r>
      <w:r>
        <w:t xml:space="preserve">were consistent with those in randomised Phase 3 Study 1007 and single-arm Study 1005 and </w:t>
      </w:r>
      <w:r w:rsidRPr="00365E42">
        <w:t xml:space="preserve">included </w:t>
      </w:r>
      <w:r w:rsidR="00585369" w:rsidRPr="00365E42">
        <w:t xml:space="preserve">nausea, </w:t>
      </w:r>
      <w:r w:rsidRPr="00365E42">
        <w:t>vision disorder, diarrh</w:t>
      </w:r>
      <w:r w:rsidR="00ED738E">
        <w:t>o</w:t>
      </w:r>
      <w:r w:rsidRPr="00365E42">
        <w:t>ea, vomiting, constipation</w:t>
      </w:r>
      <w:r w:rsidR="00C60D8D">
        <w:t xml:space="preserve"> and</w:t>
      </w:r>
      <w:r>
        <w:t xml:space="preserve"> </w:t>
      </w:r>
      <w:r w:rsidR="009B197C">
        <w:t>o</w:t>
      </w:r>
      <w:r>
        <w:t>edema</w:t>
      </w:r>
      <w:r w:rsidR="00C60D8D">
        <w:t>.</w:t>
      </w:r>
    </w:p>
    <w:p w:rsidR="00753634" w:rsidRPr="007B37B7" w:rsidRDefault="00753634" w:rsidP="007B37B7">
      <w:pPr>
        <w:pStyle w:val="PIHeading2"/>
      </w:pPr>
      <w:r w:rsidRPr="007B37B7">
        <w:t>Description of Selected Adverse Effects</w:t>
      </w:r>
    </w:p>
    <w:p w:rsidR="006E24BF" w:rsidRPr="00417398" w:rsidRDefault="006E24BF" w:rsidP="00C454D6">
      <w:pPr>
        <w:pStyle w:val="PIHeading3"/>
      </w:pPr>
      <w:r w:rsidRPr="00417398">
        <w:t>Visual Effects</w:t>
      </w:r>
    </w:p>
    <w:p w:rsidR="006E24BF" w:rsidRPr="00417398" w:rsidRDefault="007A2C48" w:rsidP="0000512F">
      <w:pPr>
        <w:pStyle w:val="PINormal"/>
        <w:keepLines/>
        <w:rPr>
          <w:color w:val="000000"/>
        </w:rPr>
      </w:pPr>
      <w:r>
        <w:t>Treatment-emergent all-causality v</w:t>
      </w:r>
      <w:r w:rsidRPr="001A457F">
        <w:t>ision disorder</w:t>
      </w:r>
      <w:r>
        <w:t xml:space="preserve">, most commonly visual impairment, photopsia, blurred vision and vitreous floaters, </w:t>
      </w:r>
      <w:r w:rsidRPr="001A457F">
        <w:t>was experienced by</w:t>
      </w:r>
      <w:r>
        <w:t xml:space="preserve"> </w:t>
      </w:r>
      <w:r w:rsidRPr="00DF7237">
        <w:t>103 (60%)</w:t>
      </w:r>
      <w:r>
        <w:t xml:space="preserve"> patients in Study 1007</w:t>
      </w:r>
      <w:r w:rsidRPr="001A457F">
        <w:t xml:space="preserve"> </w:t>
      </w:r>
      <w:r>
        <w:t xml:space="preserve">and </w:t>
      </w:r>
      <w:r w:rsidR="00821A7E" w:rsidRPr="00FE2FC4">
        <w:rPr>
          <w:rFonts w:eastAsia="Arial Unicode MS" w:cs="Calibri"/>
        </w:rPr>
        <w:t>9</w:t>
      </w:r>
      <w:r w:rsidR="00481150">
        <w:rPr>
          <w:rFonts w:eastAsia="Arial Unicode MS" w:cs="Calibri"/>
        </w:rPr>
        <w:t>9</w:t>
      </w:r>
      <w:r w:rsidR="00821A7E" w:rsidRPr="00FE2FC4">
        <w:rPr>
          <w:rFonts w:eastAsia="Arial Unicode MS" w:cs="Calibri"/>
        </w:rPr>
        <w:t xml:space="preserve"> (6</w:t>
      </w:r>
      <w:r w:rsidR="00481150">
        <w:rPr>
          <w:rFonts w:eastAsia="Arial Unicode MS" w:cs="Calibri"/>
        </w:rPr>
        <w:t>6</w:t>
      </w:r>
      <w:r w:rsidR="00821A7E">
        <w:rPr>
          <w:rFonts w:eastAsia="Arial Unicode MS" w:cs="Calibri"/>
        </w:rPr>
        <w:t>%)</w:t>
      </w:r>
      <w:r w:rsidRPr="00FE2FC4">
        <w:rPr>
          <w:rFonts w:eastAsia="Arial Unicode MS" w:cs="Calibri"/>
        </w:rPr>
        <w:t xml:space="preserve"> and</w:t>
      </w:r>
      <w:r w:rsidRPr="00DF7237">
        <w:rPr>
          <w:rFonts w:eastAsia="Arial Unicode MS" w:cs="Calibri"/>
        </w:rPr>
        <w:t xml:space="preserve"> 513 (55%)</w:t>
      </w:r>
      <w:r>
        <w:rPr>
          <w:rFonts w:eastAsia="Arial Unicode MS" w:cs="Calibri"/>
        </w:rPr>
        <w:t xml:space="preserve"> </w:t>
      </w:r>
      <w:r w:rsidRPr="001A457F">
        <w:t>patients in Stud</w:t>
      </w:r>
      <w:r>
        <w:t>ies</w:t>
      </w:r>
      <w:r w:rsidRPr="001A457F">
        <w:t xml:space="preserve"> </w:t>
      </w:r>
      <w:r>
        <w:t>1001</w:t>
      </w:r>
      <w:r w:rsidRPr="001A457F">
        <w:t xml:space="preserve"> and</w:t>
      </w:r>
      <w:r w:rsidRPr="001A457F">
        <w:rPr>
          <w:rFonts w:eastAsia="Arial Unicode MS" w:cs="Calibri"/>
        </w:rPr>
        <w:t xml:space="preserve"> </w:t>
      </w:r>
      <w:r>
        <w:t>1005, respectively.  Investigator-assessed treatment-related vision disorder was reported for 101 (59%) patients in Study 1007</w:t>
      </w:r>
      <w:r w:rsidRPr="001A457F">
        <w:t xml:space="preserve"> </w:t>
      </w:r>
      <w:r>
        <w:t xml:space="preserve">and </w:t>
      </w:r>
      <w:r w:rsidR="00E33B57">
        <w:rPr>
          <w:rFonts w:eastAsia="Arial Unicode MS" w:cs="Calibri"/>
        </w:rPr>
        <w:t>97</w:t>
      </w:r>
      <w:r w:rsidRPr="001A457F">
        <w:rPr>
          <w:rFonts w:eastAsia="Arial Unicode MS" w:cs="Calibri"/>
        </w:rPr>
        <w:t xml:space="preserve"> (6</w:t>
      </w:r>
      <w:r w:rsidR="00E33B57">
        <w:rPr>
          <w:rFonts w:eastAsia="Arial Unicode MS" w:cs="Calibri"/>
        </w:rPr>
        <w:t>5</w:t>
      </w:r>
      <w:r w:rsidRPr="001A457F">
        <w:rPr>
          <w:rFonts w:eastAsia="Arial Unicode MS" w:cs="Calibri"/>
        </w:rPr>
        <w:t xml:space="preserve">%) </w:t>
      </w:r>
      <w:r>
        <w:rPr>
          <w:rFonts w:eastAsia="Arial Unicode MS" w:cs="Calibri"/>
        </w:rPr>
        <w:t xml:space="preserve">and 496 (53%) </w:t>
      </w:r>
      <w:r w:rsidRPr="001A457F">
        <w:t>patients in Stud</w:t>
      </w:r>
      <w:r>
        <w:t>ies</w:t>
      </w:r>
      <w:r w:rsidRPr="001A457F">
        <w:t xml:space="preserve"> </w:t>
      </w:r>
      <w:r>
        <w:t>1001</w:t>
      </w:r>
      <w:r w:rsidRPr="001A457F">
        <w:t xml:space="preserve"> and</w:t>
      </w:r>
      <w:r w:rsidRPr="001A457F">
        <w:rPr>
          <w:rFonts w:eastAsia="Arial Unicode MS" w:cs="Calibri"/>
        </w:rPr>
        <w:t xml:space="preserve"> </w:t>
      </w:r>
      <w:r>
        <w:t xml:space="preserve">1005, respectively.  </w:t>
      </w:r>
      <w:r w:rsidRPr="00FE4DAD">
        <w:t xml:space="preserve">Greater than 96% of these patients had events that were mild in severity with median times to onset of 5 days, </w:t>
      </w:r>
      <w:r w:rsidR="007B37B7" w:rsidRPr="00FE4DAD">
        <w:rPr>
          <w:rFonts w:eastAsia="Arial Unicode MS" w:cs="Calibri"/>
        </w:rPr>
        <w:t xml:space="preserve">15 </w:t>
      </w:r>
      <w:r w:rsidRPr="00FE4DAD">
        <w:rPr>
          <w:rFonts w:eastAsia="Arial Unicode MS" w:cs="Calibri"/>
        </w:rPr>
        <w:t>days and 7</w:t>
      </w:r>
      <w:r w:rsidRPr="00FE4DAD">
        <w:t xml:space="preserve"> days in Studies 1007, 1001 and 1005, respectively.  Ophthalmological evaluation should be considered if vision disorder persists or worsens in severity.  </w:t>
      </w:r>
      <w:r w:rsidR="00E33B57">
        <w:t xml:space="preserve">No patients from Study 1007, 1 patient from Study 1001, and 4 patients from Study 1005 had </w:t>
      </w:r>
      <w:r w:rsidRPr="00FE4DAD">
        <w:t>temporary treatment discontinuation</w:t>
      </w:r>
      <w:r w:rsidR="00E33B57">
        <w:t xml:space="preserve">. One </w:t>
      </w:r>
      <w:r w:rsidRPr="00FE4DAD">
        <w:t xml:space="preserve">patient </w:t>
      </w:r>
      <w:r w:rsidR="00E33B57">
        <w:t>from Study 100</w:t>
      </w:r>
      <w:r w:rsidR="002B5ED1">
        <w:t>7</w:t>
      </w:r>
      <w:r w:rsidR="00E33B57">
        <w:t xml:space="preserve"> and 1 patient from Study 1005 </w:t>
      </w:r>
      <w:r w:rsidRPr="00FE4DAD">
        <w:t>had dose reduction for vision disorder.  Permanent</w:t>
      </w:r>
      <w:r>
        <w:t xml:space="preserve"> discontinuation from crizotinib treatment due to vision disorder was not required for any patients in Studies 1007, 1001 and 1005.</w:t>
      </w:r>
      <w:r w:rsidR="00885833" w:rsidRPr="00226306">
        <w:rPr>
          <w:color w:val="000000"/>
          <w:lang w:eastAsia="ja-JP"/>
        </w:rPr>
        <w:t xml:space="preserve">  </w:t>
      </w:r>
    </w:p>
    <w:p w:rsidR="006E24BF" w:rsidRPr="00417398" w:rsidRDefault="006E24BF" w:rsidP="00C454D6">
      <w:pPr>
        <w:pStyle w:val="PIHeading3"/>
      </w:pPr>
      <w:r w:rsidRPr="00417398">
        <w:t>Gastrointestinal Effects</w:t>
      </w:r>
    </w:p>
    <w:p w:rsidR="005557F2" w:rsidRDefault="005557F2" w:rsidP="005557F2">
      <w:pPr>
        <w:pStyle w:val="PINormal"/>
      </w:pPr>
      <w:r w:rsidRPr="00891EFC">
        <w:t xml:space="preserve">Nausea, </w:t>
      </w:r>
      <w:r w:rsidR="00E012FC">
        <w:t>diarrh</w:t>
      </w:r>
      <w:r w:rsidR="009B197C">
        <w:t>o</w:t>
      </w:r>
      <w:r>
        <w:t>ea</w:t>
      </w:r>
      <w:r w:rsidRPr="00891EFC">
        <w:t>, vomiting</w:t>
      </w:r>
      <w:r>
        <w:t xml:space="preserve"> and </w:t>
      </w:r>
      <w:r w:rsidRPr="00891EFC">
        <w:t>constipation were the most commonly reported gastrointestinal events.</w:t>
      </w:r>
      <w:r w:rsidR="00D116B0" w:rsidRPr="00D116B0">
        <w:t xml:space="preserve"> </w:t>
      </w:r>
      <w:r w:rsidR="00D116B0">
        <w:t xml:space="preserve"> Median times to onset for nausea and vomiting was 2 to 3 days.  Most events </w:t>
      </w:r>
      <w:r w:rsidR="00D116B0" w:rsidRPr="001A457F">
        <w:t xml:space="preserve">were </w:t>
      </w:r>
      <w:r w:rsidR="00D116B0">
        <w:t>mild to moderate in severity and declined in frequency after 3 </w:t>
      </w:r>
      <w:r w:rsidR="00D116B0" w:rsidRPr="00F22C65">
        <w:t xml:space="preserve">to </w:t>
      </w:r>
      <w:r w:rsidR="00D116B0">
        <w:t xml:space="preserve">4 weeks of treatment.  </w:t>
      </w:r>
      <w:r w:rsidR="00D116B0" w:rsidRPr="00714F92">
        <w:t>Supportive care should include the use of antiemetic medications</w:t>
      </w:r>
      <w:r w:rsidR="00D116B0">
        <w:t xml:space="preserve">. </w:t>
      </w:r>
      <w:r w:rsidR="00D116B0">
        <w:rPr>
          <w:szCs w:val="16"/>
        </w:rPr>
        <w:t xml:space="preserve">In clinical trials, the most commonly used antiemetic medications were </w:t>
      </w:r>
      <w:r w:rsidR="00D116B0">
        <w:t>o</w:t>
      </w:r>
      <w:r w:rsidR="00D116B0" w:rsidRPr="00714F92">
        <w:t>ndansetron and prochlorperazine</w:t>
      </w:r>
      <w:r w:rsidR="00D116B0">
        <w:t xml:space="preserve">. </w:t>
      </w:r>
      <w:r w:rsidR="00D116B0" w:rsidRPr="00714F92">
        <w:t xml:space="preserve"> Diarrh</w:t>
      </w:r>
      <w:r w:rsidR="00ED738E">
        <w:t>o</w:t>
      </w:r>
      <w:r w:rsidR="00D116B0" w:rsidRPr="00714F92">
        <w:t>ea and constipation were primarily mild to moderate in severity</w:t>
      </w:r>
      <w:r w:rsidR="00D116B0">
        <w:t xml:space="preserve">. </w:t>
      </w:r>
      <w:r w:rsidR="00D116B0" w:rsidRPr="00714F92">
        <w:t xml:space="preserve"> Supportive care for diarrh</w:t>
      </w:r>
      <w:r w:rsidR="00ED738E">
        <w:t>o</w:t>
      </w:r>
      <w:r w:rsidR="00D116B0" w:rsidRPr="00714F92">
        <w:t>ea and constipation should include the use of standard antidiarrh</w:t>
      </w:r>
      <w:r w:rsidR="00ED738E">
        <w:t>o</w:t>
      </w:r>
      <w:r w:rsidR="00D116B0" w:rsidRPr="00714F92">
        <w:t>eal and laxative medications, respectively.</w:t>
      </w:r>
    </w:p>
    <w:p w:rsidR="006E24BF" w:rsidRPr="00417398" w:rsidRDefault="006E24BF" w:rsidP="00C454D6">
      <w:pPr>
        <w:pStyle w:val="PIHeading3"/>
      </w:pPr>
      <w:r w:rsidRPr="00417398">
        <w:t>Nervous System Effects</w:t>
      </w:r>
    </w:p>
    <w:p w:rsidR="009B0267" w:rsidRPr="00891EFC" w:rsidRDefault="00D116B0" w:rsidP="0000512F">
      <w:pPr>
        <w:pStyle w:val="PINormal"/>
        <w:keepLines/>
        <w:rPr>
          <w:b/>
          <w:bCs/>
        </w:rPr>
      </w:pPr>
      <w:r w:rsidRPr="001205E3">
        <w:t>Treatment-emergent all-causality</w:t>
      </w:r>
      <w:r w:rsidR="0006492E">
        <w:t xml:space="preserve"> </w:t>
      </w:r>
      <w:r w:rsidRPr="00D116B0">
        <w:t>neuropathy</w:t>
      </w:r>
      <w:r w:rsidR="0006492E">
        <w:t xml:space="preserve"> </w:t>
      </w:r>
      <w:r w:rsidRPr="001205E3">
        <w:t xml:space="preserve">as defined in Table </w:t>
      </w:r>
      <w:r w:rsidR="00FE1A75">
        <w:t>5</w:t>
      </w:r>
      <w:r w:rsidRPr="001205E3">
        <w:t xml:space="preserve"> was experienced by </w:t>
      </w:r>
      <w:r w:rsidRPr="00C7792B">
        <w:t>33</w:t>
      </w:r>
      <w:r>
        <w:t> </w:t>
      </w:r>
      <w:r w:rsidRPr="001205E3">
        <w:t xml:space="preserve">(19%) patients in Study </w:t>
      </w:r>
      <w:r>
        <w:t>1007</w:t>
      </w:r>
      <w:r w:rsidRPr="001205E3">
        <w:t xml:space="preserve"> </w:t>
      </w:r>
      <w:r w:rsidRPr="00D65023">
        <w:t xml:space="preserve">and </w:t>
      </w:r>
      <w:r w:rsidR="00FE5BCF">
        <w:t>36</w:t>
      </w:r>
      <w:r w:rsidR="00D65023">
        <w:t xml:space="preserve"> (</w:t>
      </w:r>
      <w:r w:rsidR="00FE5BCF">
        <w:t>24</w:t>
      </w:r>
      <w:r w:rsidR="00D65023">
        <w:t xml:space="preserve">%) </w:t>
      </w:r>
      <w:r w:rsidRPr="00D65023">
        <w:t xml:space="preserve">and 178 (19%) patients in Studies 1001 and 1005, respectively.  Investigator-assessed treatment-related neuropathy was experienced by 14 (8%) of patients in Study 1007 and </w:t>
      </w:r>
      <w:r w:rsidR="00D65023">
        <w:rPr>
          <w:rFonts w:eastAsia="Arial Unicode MS" w:cs="Calibri"/>
          <w:color w:val="000000"/>
        </w:rPr>
        <w:t>1</w:t>
      </w:r>
      <w:r w:rsidR="00FE5BCF">
        <w:rPr>
          <w:rFonts w:eastAsia="Arial Unicode MS" w:cs="Calibri"/>
          <w:color w:val="000000"/>
        </w:rPr>
        <w:t>5</w:t>
      </w:r>
      <w:r w:rsidR="00D65023">
        <w:rPr>
          <w:rFonts w:eastAsia="Arial Unicode MS" w:cs="Calibri"/>
          <w:color w:val="000000"/>
        </w:rPr>
        <w:t xml:space="preserve"> (</w:t>
      </w:r>
      <w:r w:rsidR="00FE5BCF">
        <w:rPr>
          <w:rFonts w:eastAsia="Arial Unicode MS" w:cs="Calibri"/>
          <w:color w:val="000000"/>
        </w:rPr>
        <w:t>10</w:t>
      </w:r>
      <w:r w:rsidR="00D65023">
        <w:rPr>
          <w:rFonts w:eastAsia="Arial Unicode MS" w:cs="Calibri"/>
          <w:color w:val="000000"/>
        </w:rPr>
        <w:t xml:space="preserve">%) </w:t>
      </w:r>
      <w:r w:rsidRPr="00D65023">
        <w:rPr>
          <w:rFonts w:eastAsia="Arial Unicode MS" w:cs="Calibri"/>
          <w:color w:val="000000"/>
        </w:rPr>
        <w:t xml:space="preserve">and </w:t>
      </w:r>
      <w:r w:rsidRPr="00D65023">
        <w:rPr>
          <w:rFonts w:eastAsia="Arial Unicode MS" w:cs="Calibri"/>
        </w:rPr>
        <w:t>95</w:t>
      </w:r>
      <w:r w:rsidRPr="00D65023">
        <w:rPr>
          <w:rFonts w:eastAsia="Arial Unicode MS" w:cs="Calibri"/>
          <w:color w:val="000000"/>
        </w:rPr>
        <w:t xml:space="preserve"> (</w:t>
      </w:r>
      <w:r w:rsidRPr="00D65023">
        <w:rPr>
          <w:rFonts w:eastAsia="Arial Unicode MS" w:cs="Calibri"/>
        </w:rPr>
        <w:t>10</w:t>
      </w:r>
      <w:r w:rsidRPr="00D65023">
        <w:rPr>
          <w:rFonts w:eastAsia="Arial Unicode MS" w:cs="Calibri"/>
          <w:color w:val="000000"/>
        </w:rPr>
        <w:t>%)</w:t>
      </w:r>
      <w:r w:rsidRPr="001A457F">
        <w:rPr>
          <w:rFonts w:eastAsia="Arial Unicode MS" w:cs="Calibri"/>
          <w:color w:val="000000"/>
        </w:rPr>
        <w:t xml:space="preserve"> </w:t>
      </w:r>
      <w:r w:rsidRPr="001A457F">
        <w:t>patients in Stud</w:t>
      </w:r>
      <w:r>
        <w:t>ies</w:t>
      </w:r>
      <w:r w:rsidRPr="001A457F">
        <w:t xml:space="preserve"> </w:t>
      </w:r>
      <w:r>
        <w:t>1001</w:t>
      </w:r>
      <w:r w:rsidRPr="001A457F">
        <w:t xml:space="preserve"> and</w:t>
      </w:r>
      <w:r w:rsidRPr="001A457F">
        <w:rPr>
          <w:rFonts w:eastAsia="Arial Unicode MS" w:cs="Calibri"/>
          <w:color w:val="000000"/>
        </w:rPr>
        <w:t xml:space="preserve"> </w:t>
      </w:r>
      <w:r>
        <w:t>1005, respectively</w:t>
      </w:r>
      <w:r w:rsidRPr="001A457F">
        <w:t xml:space="preserve">, and was </w:t>
      </w:r>
      <w:r>
        <w:t xml:space="preserve">primarily Grade 1 in severity.  </w:t>
      </w:r>
      <w:r w:rsidRPr="001A457F">
        <w:t xml:space="preserve">Dizziness and dysgeusia were also very commonly reported in these studies </w:t>
      </w:r>
      <w:r>
        <w:t>and were primarily</w:t>
      </w:r>
      <w:r w:rsidRPr="001A457F">
        <w:t xml:space="preserve"> Grade 1 in severity.</w:t>
      </w:r>
      <w:r w:rsidR="009B0267" w:rsidRPr="000D5917">
        <w:rPr>
          <w:color w:val="3333FF"/>
        </w:rPr>
        <w:t xml:space="preserve"> </w:t>
      </w:r>
      <w:r w:rsidR="009B0267" w:rsidRPr="00891EFC">
        <w:t xml:space="preserve"> </w:t>
      </w:r>
    </w:p>
    <w:p w:rsidR="00D116B0" w:rsidRPr="00417398" w:rsidRDefault="00D116B0" w:rsidP="00C454D6">
      <w:pPr>
        <w:pStyle w:val="PIHeading3"/>
      </w:pPr>
      <w:r>
        <w:lastRenderedPageBreak/>
        <w:t>Bradycardia</w:t>
      </w:r>
    </w:p>
    <w:p w:rsidR="00D116B0" w:rsidRPr="00891EFC" w:rsidRDefault="00506505" w:rsidP="0000512F">
      <w:pPr>
        <w:pStyle w:val="PINormal"/>
        <w:keepLines/>
        <w:rPr>
          <w:b/>
          <w:bCs/>
        </w:rPr>
      </w:pPr>
      <w:r>
        <w:t>Treatment-emergent all-causality b</w:t>
      </w:r>
      <w:r w:rsidRPr="001205E3">
        <w:t>radycardia</w:t>
      </w:r>
      <w:r>
        <w:t xml:space="preserve"> </w:t>
      </w:r>
      <w:r w:rsidR="00D116B0" w:rsidRPr="001205E3">
        <w:t xml:space="preserve">was experienced by </w:t>
      </w:r>
      <w:r w:rsidR="00D116B0">
        <w:t>8</w:t>
      </w:r>
      <w:r w:rsidR="00D116B0" w:rsidRPr="001205E3">
        <w:t xml:space="preserve"> (</w:t>
      </w:r>
      <w:r w:rsidR="00D116B0">
        <w:t>5</w:t>
      </w:r>
      <w:r w:rsidR="00D116B0" w:rsidRPr="001205E3">
        <w:t xml:space="preserve">%) patients in Study </w:t>
      </w:r>
      <w:r w:rsidR="00D116B0">
        <w:t>1007</w:t>
      </w:r>
      <w:r w:rsidR="00D116B0" w:rsidRPr="001205E3">
        <w:t xml:space="preserve"> </w:t>
      </w:r>
      <w:r w:rsidR="00D116B0" w:rsidRPr="00496BE5">
        <w:t xml:space="preserve">and </w:t>
      </w:r>
      <w:r w:rsidR="00496BE5">
        <w:t>13</w:t>
      </w:r>
      <w:r w:rsidR="00496BE5" w:rsidRPr="00496BE5">
        <w:t xml:space="preserve"> (</w:t>
      </w:r>
      <w:r w:rsidR="00496BE5">
        <w:t>9</w:t>
      </w:r>
      <w:r w:rsidR="00496BE5" w:rsidRPr="00496BE5">
        <w:t xml:space="preserve">%) </w:t>
      </w:r>
      <w:r w:rsidR="00D116B0" w:rsidRPr="00305252">
        <w:t>and 57 (6%) patients</w:t>
      </w:r>
      <w:r w:rsidR="00D116B0" w:rsidRPr="001205E3">
        <w:t xml:space="preserve"> in Studies </w:t>
      </w:r>
      <w:r w:rsidR="00D116B0">
        <w:t>1001</w:t>
      </w:r>
      <w:r w:rsidR="00D116B0" w:rsidRPr="001205E3">
        <w:t xml:space="preserve"> and </w:t>
      </w:r>
      <w:r w:rsidR="00D116B0">
        <w:t>1005</w:t>
      </w:r>
      <w:r w:rsidR="00D116B0" w:rsidRPr="001205E3">
        <w:t>, respectively.</w:t>
      </w:r>
      <w:r w:rsidR="00D116B0">
        <w:t xml:space="preserve">  Investigator-assessed treatment-related b</w:t>
      </w:r>
      <w:r w:rsidR="00D116B0" w:rsidRPr="001205E3">
        <w:t>radycardia</w:t>
      </w:r>
      <w:r w:rsidR="00D116B0">
        <w:t xml:space="preserve"> </w:t>
      </w:r>
      <w:r w:rsidR="00D116B0" w:rsidRPr="001A457F">
        <w:t xml:space="preserve">was experienced by </w:t>
      </w:r>
      <w:r w:rsidR="00D116B0">
        <w:t xml:space="preserve">7 (4%) patients in Study 1007 </w:t>
      </w:r>
      <w:r w:rsidR="00D116B0" w:rsidRPr="00305252">
        <w:t xml:space="preserve">and </w:t>
      </w:r>
      <w:r w:rsidR="00FE5BCF">
        <w:t>10</w:t>
      </w:r>
      <w:r w:rsidR="00D116B0" w:rsidRPr="00305252">
        <w:t xml:space="preserve"> (</w:t>
      </w:r>
      <w:r w:rsidR="00FE5BCF">
        <w:t>7</w:t>
      </w:r>
      <w:r w:rsidR="00D116B0" w:rsidRPr="00305252">
        <w:t>%) and 49 (5%) patients in Studies 1001 and 1005, respectively. The majority of these case</w:t>
      </w:r>
      <w:r w:rsidR="00D116B0">
        <w:t xml:space="preserve">s were Grade 1 or 2 in severity.  In Studies 1007, </w:t>
      </w:r>
      <w:r w:rsidR="00D116B0" w:rsidRPr="00FB422F">
        <w:t xml:space="preserve">1001 and 1005, 19 of 170 (11%) patients, </w:t>
      </w:r>
      <w:r w:rsidR="00FB422F">
        <w:t xml:space="preserve">26 of 144 (18%) </w:t>
      </w:r>
      <w:r w:rsidR="00D116B0" w:rsidRPr="00FB422F">
        <w:t>patients and 90 of 890 (10%) patients had a pulse rate &lt;50 bpm.  The use of concomitant medications associated with bradycardia should</w:t>
      </w:r>
      <w:r w:rsidR="00D116B0">
        <w:t xml:space="preserve"> be carefully evaluated. </w:t>
      </w:r>
      <w:r w:rsidR="00303397">
        <w:t xml:space="preserve"> </w:t>
      </w:r>
      <w:r w:rsidR="00D116B0">
        <w:t>P</w:t>
      </w:r>
      <w:r w:rsidR="00D116B0" w:rsidRPr="00A65B6B">
        <w:t>ati</w:t>
      </w:r>
      <w:r w:rsidR="00D116B0" w:rsidRPr="001A457F">
        <w:t xml:space="preserve">ents </w:t>
      </w:r>
      <w:r w:rsidR="00D116B0">
        <w:t>who develop</w:t>
      </w:r>
      <w:r w:rsidR="00D116B0" w:rsidRPr="001A457F">
        <w:t xml:space="preserve"> </w:t>
      </w:r>
      <w:r w:rsidR="00D116B0">
        <w:t xml:space="preserve">symptomatic bradycardia should be managed as recommended in </w:t>
      </w:r>
      <w:r w:rsidR="00D116B0" w:rsidRPr="00514DC5">
        <w:t xml:space="preserve">the </w:t>
      </w:r>
      <w:r w:rsidR="00514DC5" w:rsidRPr="00514DC5">
        <w:t xml:space="preserve">PRECAUTIONS and </w:t>
      </w:r>
      <w:r w:rsidR="00514DC5" w:rsidRPr="004F38C8">
        <w:rPr>
          <w:color w:val="000000"/>
          <w:szCs w:val="24"/>
        </w:rPr>
        <w:t>DOSAGE AND</w:t>
      </w:r>
      <w:r w:rsidR="00514DC5" w:rsidRPr="001261B6">
        <w:rPr>
          <w:color w:val="000000"/>
          <w:szCs w:val="24"/>
        </w:rPr>
        <w:t xml:space="preserve"> ADMINISTRATION</w:t>
      </w:r>
      <w:r w:rsidR="00514DC5">
        <w:rPr>
          <w:color w:val="000000"/>
          <w:szCs w:val="24"/>
        </w:rPr>
        <w:t xml:space="preserve"> - </w:t>
      </w:r>
      <w:r w:rsidR="00514DC5" w:rsidRPr="004F38C8">
        <w:rPr>
          <w:color w:val="000000"/>
          <w:szCs w:val="24"/>
        </w:rPr>
        <w:t>Dose Modification</w:t>
      </w:r>
      <w:r w:rsidR="00514DC5">
        <w:rPr>
          <w:color w:val="000000"/>
          <w:szCs w:val="24"/>
        </w:rPr>
        <w:t xml:space="preserve"> </w:t>
      </w:r>
      <w:r w:rsidR="00D116B0" w:rsidRPr="00514DC5">
        <w:t>sections</w:t>
      </w:r>
      <w:r w:rsidR="00D116B0" w:rsidRPr="001A457F">
        <w:t>.</w:t>
      </w:r>
      <w:r w:rsidR="00D116B0" w:rsidRPr="000D5917">
        <w:rPr>
          <w:color w:val="3333FF"/>
        </w:rPr>
        <w:t xml:space="preserve"> </w:t>
      </w:r>
      <w:r w:rsidR="00D116B0" w:rsidRPr="00891EFC">
        <w:t xml:space="preserve"> </w:t>
      </w:r>
    </w:p>
    <w:p w:rsidR="002B59DD" w:rsidRPr="00012BAA" w:rsidRDefault="002B59DD" w:rsidP="00C454D6">
      <w:pPr>
        <w:pStyle w:val="PIHeading3"/>
      </w:pPr>
      <w:r w:rsidRPr="00012BAA">
        <w:t>Renal Cyst</w:t>
      </w:r>
    </w:p>
    <w:p w:rsidR="002B59DD" w:rsidRPr="00891EFC" w:rsidRDefault="002B59DD" w:rsidP="0000512F">
      <w:pPr>
        <w:pStyle w:val="PINormal"/>
        <w:keepLines/>
        <w:rPr>
          <w:b/>
          <w:bCs/>
        </w:rPr>
      </w:pPr>
      <w:r w:rsidRPr="00012BAA">
        <w:t>Treatment-emergent all-causality</w:t>
      </w:r>
      <w:r w:rsidR="004F3B36">
        <w:t xml:space="preserve">   </w:t>
      </w:r>
      <w:r w:rsidR="004F3B36" w:rsidRPr="00012BAA">
        <w:t>complex renal cysts</w:t>
      </w:r>
      <w:r w:rsidR="004F3B36">
        <w:t xml:space="preserve"> </w:t>
      </w:r>
      <w:r w:rsidRPr="00012BAA">
        <w:t xml:space="preserve">were experienced by 7 (4%) patients in Study 1007 and </w:t>
      </w:r>
      <w:r w:rsidR="00FE5BCF">
        <w:t>1 (&lt;1%)</w:t>
      </w:r>
      <w:r w:rsidRPr="00012BAA">
        <w:t xml:space="preserve"> and 12 (1%) patients in Studies 1001 and 1005, respectively. </w:t>
      </w:r>
      <w:r w:rsidRPr="00012BAA">
        <w:rPr>
          <w:sz w:val="22"/>
          <w:szCs w:val="22"/>
        </w:rPr>
        <w:t xml:space="preserve"> </w:t>
      </w:r>
      <w:r w:rsidRPr="00012BAA">
        <w:t xml:space="preserve">Investigator-assessed treatment-related complex renal cysts were reported in 7 (4%) patients in Study 1007 and </w:t>
      </w:r>
      <w:r w:rsidR="00FE5BCF">
        <w:t xml:space="preserve">1 (&lt;1%) and </w:t>
      </w:r>
      <w:r w:rsidRPr="00012BAA">
        <w:t>11 (1%) patients in</w:t>
      </w:r>
      <w:r w:rsidR="00FE5BCF">
        <w:t xml:space="preserve"> Studies 1001 and</w:t>
      </w:r>
      <w:r w:rsidRPr="00012BAA">
        <w:t xml:space="preserve"> Study 1005</w:t>
      </w:r>
      <w:r w:rsidR="00FE5BCF">
        <w:t>, respectively</w:t>
      </w:r>
      <w:r w:rsidRPr="00012BAA">
        <w:t>.  There were no reports of clinically relevant abnormal urinalyses or renal impairment in these cases, although local cystic invasion beyond the kidney was observed in some patients.  P</w:t>
      </w:r>
      <w:r w:rsidRPr="00012BAA">
        <w:rPr>
          <w:color w:val="000000"/>
        </w:rPr>
        <w:t>eriodic monitoring with imaging and urinalysis should be considered in patients who develop renal cysts</w:t>
      </w:r>
      <w:r w:rsidRPr="00012BAA">
        <w:t>.</w:t>
      </w:r>
      <w:r w:rsidRPr="000D5917">
        <w:rPr>
          <w:color w:val="3333FF"/>
        </w:rPr>
        <w:t xml:space="preserve"> </w:t>
      </w:r>
      <w:r w:rsidRPr="00891EFC">
        <w:t xml:space="preserve"> </w:t>
      </w:r>
    </w:p>
    <w:p w:rsidR="006E24BF" w:rsidRPr="001261B6" w:rsidRDefault="006E24BF" w:rsidP="0091400E">
      <w:pPr>
        <w:pStyle w:val="PIHeading2"/>
        <w:rPr>
          <w:color w:val="000000"/>
          <w:szCs w:val="24"/>
        </w:rPr>
      </w:pPr>
      <w:r w:rsidRPr="001261B6">
        <w:rPr>
          <w:color w:val="000000"/>
          <w:szCs w:val="24"/>
        </w:rPr>
        <w:t>Laboratory Abnormalities/Testing</w:t>
      </w:r>
    </w:p>
    <w:p w:rsidR="003909BA" w:rsidRPr="001261B6" w:rsidRDefault="003909BA" w:rsidP="003909BA">
      <w:pPr>
        <w:pStyle w:val="PIHeading3"/>
        <w:rPr>
          <w:color w:val="000000"/>
          <w:szCs w:val="24"/>
        </w:rPr>
      </w:pPr>
      <w:r>
        <w:rPr>
          <w:color w:val="000000"/>
          <w:szCs w:val="24"/>
        </w:rPr>
        <w:t>H</w:t>
      </w:r>
      <w:r w:rsidR="00B62556">
        <w:rPr>
          <w:color w:val="000000"/>
          <w:szCs w:val="24"/>
        </w:rPr>
        <w:t>a</w:t>
      </w:r>
      <w:r>
        <w:rPr>
          <w:color w:val="000000"/>
          <w:szCs w:val="24"/>
        </w:rPr>
        <w:t>ematological Laboratory Abnormalities</w:t>
      </w:r>
    </w:p>
    <w:p w:rsidR="00733EEF" w:rsidRDefault="00AF0189" w:rsidP="0000512F">
      <w:pPr>
        <w:pStyle w:val="PINormal"/>
        <w:keepLines/>
        <w:rPr>
          <w:color w:val="000000"/>
          <w:szCs w:val="24"/>
        </w:rPr>
      </w:pPr>
      <w:r w:rsidRPr="001A457F">
        <w:t xml:space="preserve">In Study </w:t>
      </w:r>
      <w:r>
        <w:t>1007</w:t>
      </w:r>
      <w:r w:rsidRPr="001A457F">
        <w:t xml:space="preserve">, </w:t>
      </w:r>
      <w:r>
        <w:t xml:space="preserve">shifts </w:t>
      </w:r>
      <w:r w:rsidRPr="00775FC3">
        <w:t xml:space="preserve">to Grade 3 or 4 </w:t>
      </w:r>
      <w:r>
        <w:t xml:space="preserve">decreases in </w:t>
      </w:r>
      <w:r w:rsidRPr="00775FC3">
        <w:t>l</w:t>
      </w:r>
      <w:r>
        <w:t>eu</w:t>
      </w:r>
      <w:r w:rsidR="00ED738E">
        <w:t>c</w:t>
      </w:r>
      <w:r>
        <w:t xml:space="preserve">ocytes and neutrophils </w:t>
      </w:r>
      <w:r w:rsidRPr="00775FC3">
        <w:t>w</w:t>
      </w:r>
      <w:r>
        <w:t>ere</w:t>
      </w:r>
      <w:r w:rsidRPr="00775FC3">
        <w:t xml:space="preserve"> observed at</w:t>
      </w:r>
      <w:r>
        <w:t xml:space="preserve"> frequencies</w:t>
      </w:r>
      <w:r w:rsidRPr="00775FC3">
        <w:t xml:space="preserve"> of </w:t>
      </w:r>
      <w:r>
        <w:t>5% and 13%, respectively</w:t>
      </w:r>
      <w:r w:rsidRPr="00775FC3">
        <w:t>.</w:t>
      </w:r>
      <w:r>
        <w:t xml:space="preserve">  </w:t>
      </w:r>
      <w:r w:rsidRPr="001A457F">
        <w:t xml:space="preserve">In Study </w:t>
      </w:r>
      <w:r>
        <w:t>1001</w:t>
      </w:r>
      <w:r w:rsidRPr="001A457F">
        <w:t xml:space="preserve">, </w:t>
      </w:r>
      <w:r>
        <w:t xml:space="preserve">shifts to </w:t>
      </w:r>
      <w:r w:rsidRPr="001A457F">
        <w:t xml:space="preserve">Grade 3 or 4 </w:t>
      </w:r>
      <w:r>
        <w:t>decreases in leu</w:t>
      </w:r>
      <w:r w:rsidR="00ED738E">
        <w:t>c</w:t>
      </w:r>
      <w:r>
        <w:t>ocytes and neutrophils</w:t>
      </w:r>
      <w:r w:rsidRPr="001A457F">
        <w:t xml:space="preserve"> were observed in patients at frequencies of</w:t>
      </w:r>
      <w:r>
        <w:t xml:space="preserve"> </w:t>
      </w:r>
      <w:r w:rsidR="007074D3">
        <w:rPr>
          <w:color w:val="000000"/>
          <w:sz w:val="22"/>
          <w:szCs w:val="22"/>
        </w:rPr>
        <w:t>&lt;3</w:t>
      </w:r>
      <w:r w:rsidRPr="004232D2">
        <w:t>%</w:t>
      </w:r>
      <w:r w:rsidR="004232D2">
        <w:t xml:space="preserve"> </w:t>
      </w:r>
      <w:r w:rsidR="004232D2" w:rsidRPr="00CE4349">
        <w:t>and 8% respectively</w:t>
      </w:r>
      <w:r w:rsidRPr="004232D2">
        <w:t xml:space="preserve">.  </w:t>
      </w:r>
      <w:r w:rsidRPr="00CE4349">
        <w:t>In Study 1005, shifts to Grade 3 or 4 decreases in leu</w:t>
      </w:r>
      <w:r w:rsidR="00ED738E" w:rsidRPr="00CE4349">
        <w:t>c</w:t>
      </w:r>
      <w:r w:rsidRPr="00CE4349">
        <w:t xml:space="preserve">ocytes and neutrophils were observed in patients at frequencies of &lt;3% and 8%, respectively.  </w:t>
      </w:r>
      <w:r w:rsidR="006E24BF" w:rsidRPr="00CE4349">
        <w:rPr>
          <w:color w:val="000000"/>
          <w:szCs w:val="24"/>
        </w:rPr>
        <w:t>Complete blood counts including differential</w:t>
      </w:r>
      <w:r w:rsidR="006E24BF" w:rsidRPr="001261B6">
        <w:rPr>
          <w:color w:val="000000"/>
          <w:szCs w:val="24"/>
        </w:rPr>
        <w:t xml:space="preserve"> white blood cell counts should be monitored as clinically indicated, with more frequent repeat testing if Grade 3 or 4 abnormalities are observed, or if fever or infection occurs.  In </w:t>
      </w:r>
      <w:r w:rsidR="006E24BF" w:rsidRPr="004F38C8">
        <w:rPr>
          <w:color w:val="000000"/>
          <w:szCs w:val="24"/>
        </w:rPr>
        <w:t>patients who develop h</w:t>
      </w:r>
      <w:r w:rsidR="00597659">
        <w:rPr>
          <w:color w:val="000000"/>
          <w:szCs w:val="24"/>
        </w:rPr>
        <w:t>a</w:t>
      </w:r>
      <w:r w:rsidR="006E24BF" w:rsidRPr="004F38C8">
        <w:rPr>
          <w:color w:val="000000"/>
          <w:szCs w:val="24"/>
        </w:rPr>
        <w:t xml:space="preserve">ematologic laboratory abnormalities, see </w:t>
      </w:r>
      <w:r w:rsidR="00032A27" w:rsidRPr="004F38C8">
        <w:rPr>
          <w:color w:val="000000"/>
          <w:szCs w:val="24"/>
        </w:rPr>
        <w:t>DOSAGE AND</w:t>
      </w:r>
      <w:r w:rsidR="00032A27" w:rsidRPr="001261B6">
        <w:rPr>
          <w:color w:val="000000"/>
          <w:szCs w:val="24"/>
        </w:rPr>
        <w:t xml:space="preserve"> ADMINISTRATION</w:t>
      </w:r>
      <w:r w:rsidR="005B5402">
        <w:rPr>
          <w:color w:val="000000"/>
          <w:szCs w:val="24"/>
        </w:rPr>
        <w:t xml:space="preserve"> -</w:t>
      </w:r>
      <w:r w:rsidR="004F38C8">
        <w:rPr>
          <w:color w:val="000000"/>
          <w:szCs w:val="24"/>
        </w:rPr>
        <w:t xml:space="preserve"> </w:t>
      </w:r>
      <w:r w:rsidR="004F38C8" w:rsidRPr="004F38C8">
        <w:rPr>
          <w:color w:val="000000"/>
          <w:szCs w:val="24"/>
        </w:rPr>
        <w:t>Dose Modification</w:t>
      </w:r>
      <w:r w:rsidR="006E24BF" w:rsidRPr="001261B6">
        <w:rPr>
          <w:color w:val="000000"/>
          <w:szCs w:val="24"/>
        </w:rPr>
        <w:t>.</w:t>
      </w:r>
    </w:p>
    <w:p w:rsidR="002B59DD" w:rsidRPr="001261B6" w:rsidRDefault="002B59DD" w:rsidP="002B59DD">
      <w:pPr>
        <w:pStyle w:val="PIHeading3"/>
        <w:rPr>
          <w:color w:val="000000"/>
          <w:szCs w:val="24"/>
        </w:rPr>
      </w:pPr>
      <w:r>
        <w:rPr>
          <w:color w:val="000000"/>
          <w:szCs w:val="24"/>
        </w:rPr>
        <w:t>Hepatic Laboratory Abnormalities</w:t>
      </w:r>
    </w:p>
    <w:p w:rsidR="002B59DD" w:rsidRDefault="002B59DD" w:rsidP="0000512F">
      <w:pPr>
        <w:pStyle w:val="PINormal"/>
        <w:keepLines/>
        <w:rPr>
          <w:color w:val="000000"/>
          <w:szCs w:val="24"/>
        </w:rPr>
      </w:pPr>
      <w:r w:rsidRPr="00583875">
        <w:t>In Study 1</w:t>
      </w:r>
      <w:r>
        <w:t>007</w:t>
      </w:r>
      <w:r w:rsidRPr="00583875">
        <w:t xml:space="preserve">, increases to Grade 3 or 4 ALT, AST </w:t>
      </w:r>
      <w:r>
        <w:t xml:space="preserve">and </w:t>
      </w:r>
      <w:r w:rsidRPr="00583875">
        <w:t xml:space="preserve">alkaline phosphatase were observed in patients at frequencies of 17%, 9% </w:t>
      </w:r>
      <w:r>
        <w:t xml:space="preserve">and </w:t>
      </w:r>
      <w:r w:rsidRPr="00583875">
        <w:t>2%, respectively.</w:t>
      </w:r>
      <w:r>
        <w:t xml:space="preserve"> </w:t>
      </w:r>
      <w:r w:rsidRPr="00583875">
        <w:t xml:space="preserve"> In Study </w:t>
      </w:r>
      <w:r>
        <w:t>1001</w:t>
      </w:r>
      <w:r w:rsidRPr="00583875">
        <w:t xml:space="preserve">, increases to Grade 3 or 4 ALT, AST </w:t>
      </w:r>
      <w:r>
        <w:t xml:space="preserve">and </w:t>
      </w:r>
      <w:r w:rsidRPr="00583875">
        <w:t xml:space="preserve">alkaline phosphatase were observed in patients at frequencies </w:t>
      </w:r>
      <w:r w:rsidRPr="000F18DB">
        <w:t xml:space="preserve">of </w:t>
      </w:r>
      <w:r w:rsidR="000F18DB">
        <w:t>7</w:t>
      </w:r>
      <w:r w:rsidRPr="000F18DB">
        <w:t xml:space="preserve">%, </w:t>
      </w:r>
      <w:r w:rsidR="000F18DB">
        <w:t>4</w:t>
      </w:r>
      <w:r w:rsidRPr="000F18DB">
        <w:t>% and 0%, respectively.  In Study 1005, increases to Grade 3 or 4 ALT, AST and alkaline</w:t>
      </w:r>
      <w:r w:rsidRPr="00583875">
        <w:t xml:space="preserve"> phosphatase were observed in patients at frequencies of 8%, 4% </w:t>
      </w:r>
      <w:r>
        <w:t xml:space="preserve">and </w:t>
      </w:r>
      <w:r w:rsidRPr="00583875">
        <w:t>2%, respectively.</w:t>
      </w:r>
      <w:r>
        <w:t xml:space="preserve"> </w:t>
      </w:r>
      <w:r w:rsidRPr="00583875">
        <w:t xml:space="preserve"> Patients should be monitored for hepatotoxicity and managed as recommended in </w:t>
      </w:r>
      <w:r>
        <w:t>the Precautions section (see PRECAUTIONS)</w:t>
      </w:r>
      <w:r w:rsidRPr="001261B6">
        <w:rPr>
          <w:color w:val="000000"/>
          <w:szCs w:val="24"/>
        </w:rPr>
        <w:t>.</w:t>
      </w:r>
    </w:p>
    <w:p w:rsidR="00812C64" w:rsidRPr="00F171BC" w:rsidRDefault="00812C64" w:rsidP="00CC1938">
      <w:pPr>
        <w:pStyle w:val="PIHeading1"/>
        <w:rPr>
          <w:color w:val="000000"/>
        </w:rPr>
      </w:pPr>
      <w:r w:rsidRPr="00F171BC">
        <w:rPr>
          <w:color w:val="000000"/>
        </w:rPr>
        <w:t>DOSAGE AND ADMINISTRATION</w:t>
      </w:r>
      <w:r w:rsidR="00E40213">
        <w:rPr>
          <w:color w:val="000000"/>
        </w:rPr>
        <w:t xml:space="preserve"> </w:t>
      </w:r>
    </w:p>
    <w:p w:rsidR="00E40213" w:rsidRPr="00B225B1" w:rsidRDefault="00E40213" w:rsidP="00E40213">
      <w:pPr>
        <w:pStyle w:val="PIHeading2"/>
      </w:pPr>
      <w:r w:rsidRPr="00B225B1">
        <w:t>ALK Testing</w:t>
      </w:r>
    </w:p>
    <w:p w:rsidR="00243B3E" w:rsidRPr="001A457F" w:rsidRDefault="00243B3E" w:rsidP="00243B3E">
      <w:pPr>
        <w:pStyle w:val="PINormal"/>
      </w:pPr>
      <w:r w:rsidRPr="001A457F">
        <w:rPr>
          <w:kern w:val="32"/>
        </w:rPr>
        <w:t xml:space="preserve">Detection of ALK-positive </w:t>
      </w:r>
      <w:r>
        <w:rPr>
          <w:kern w:val="32"/>
        </w:rPr>
        <w:t>NSCLC</w:t>
      </w:r>
      <w:r w:rsidRPr="001A457F">
        <w:rPr>
          <w:kern w:val="32"/>
        </w:rPr>
        <w:t xml:space="preserve"> is necessary for selection of patients for treatment with crizotinib because these are the only patients for whom benefit has been shown.</w:t>
      </w:r>
      <w:r w:rsidRPr="001A457F">
        <w:t xml:space="preserve"> </w:t>
      </w:r>
    </w:p>
    <w:p w:rsidR="00E40213" w:rsidRPr="00FB5D56" w:rsidRDefault="00E40213" w:rsidP="0000512F">
      <w:pPr>
        <w:pStyle w:val="PINormal"/>
        <w:keepLines/>
      </w:pPr>
      <w:r w:rsidRPr="00C71BF7">
        <w:lastRenderedPageBreak/>
        <w:t xml:space="preserve">Assessment for </w:t>
      </w:r>
      <w:r>
        <w:t>ALK-positive</w:t>
      </w:r>
      <w:r w:rsidRPr="00C71BF7">
        <w:t xml:space="preserve"> NSCLC should be </w:t>
      </w:r>
      <w:r w:rsidRPr="00FB5D56">
        <w:t xml:space="preserve">performed by laboratories with demonstrated proficiency in the </w:t>
      </w:r>
      <w:r w:rsidR="00243B3E" w:rsidRPr="00FB5D56">
        <w:t>specific technology being utilis</w:t>
      </w:r>
      <w:r w:rsidRPr="00FB5D56">
        <w:t>ed.</w:t>
      </w:r>
      <w:r w:rsidRPr="00FB5D56" w:rsidDel="00294B3D">
        <w:t xml:space="preserve"> </w:t>
      </w:r>
      <w:r w:rsidR="00243B3E" w:rsidRPr="00FB5D56">
        <w:t xml:space="preserve"> </w:t>
      </w:r>
      <w:r w:rsidR="00FB5D56" w:rsidRPr="00FB5D56">
        <w:t>Improper assay performance can lead to unreliable test results.</w:t>
      </w:r>
    </w:p>
    <w:p w:rsidR="00E40213" w:rsidRDefault="00E40213" w:rsidP="00E40213">
      <w:pPr>
        <w:pStyle w:val="PIHeading2"/>
      </w:pPr>
      <w:r w:rsidRPr="00B225B1">
        <w:t>Recommended Dosing</w:t>
      </w:r>
    </w:p>
    <w:p w:rsidR="00E40213" w:rsidRPr="00883897" w:rsidRDefault="00E40213" w:rsidP="00E40213">
      <w:pPr>
        <w:pStyle w:val="PINormal"/>
        <w:rPr>
          <w:color w:val="000000"/>
          <w:szCs w:val="16"/>
        </w:rPr>
      </w:pPr>
      <w:r w:rsidRPr="00001A34">
        <w:t xml:space="preserve">The recommended dose </w:t>
      </w:r>
      <w:r>
        <w:t xml:space="preserve">schedule </w:t>
      </w:r>
      <w:r w:rsidRPr="00001A34">
        <w:t xml:space="preserve">of </w:t>
      </w:r>
      <w:r w:rsidRPr="00F65CF6">
        <w:t>XALKORI</w:t>
      </w:r>
      <w:r w:rsidRPr="00001A34">
        <w:t xml:space="preserve"> is 250</w:t>
      </w:r>
      <w:r w:rsidR="00434F92">
        <w:t> </w:t>
      </w:r>
      <w:r w:rsidRPr="00001A34">
        <w:t>mg taken orally twice daily.</w:t>
      </w:r>
      <w:r>
        <w:t xml:space="preserve"> </w:t>
      </w:r>
      <w:r w:rsidR="00FB5D56">
        <w:t xml:space="preserve"> </w:t>
      </w:r>
      <w:r>
        <w:rPr>
          <w:szCs w:val="16"/>
        </w:rPr>
        <w:t xml:space="preserve">Continue </w:t>
      </w:r>
      <w:r w:rsidRPr="00883897">
        <w:rPr>
          <w:color w:val="000000"/>
          <w:szCs w:val="16"/>
        </w:rPr>
        <w:t>treatment as long as the patient is deriving clinical benefit from therapy</w:t>
      </w:r>
      <w:r w:rsidR="00662D45" w:rsidRPr="00883897">
        <w:rPr>
          <w:color w:val="000000"/>
        </w:rPr>
        <w:t>.</w:t>
      </w:r>
      <w:r w:rsidR="000C072B" w:rsidRPr="00883897">
        <w:rPr>
          <w:color w:val="000000"/>
        </w:rPr>
        <w:t xml:space="preserve"> </w:t>
      </w:r>
      <w:r w:rsidRPr="00883897">
        <w:rPr>
          <w:color w:val="000000"/>
          <w:szCs w:val="16"/>
        </w:rPr>
        <w:t xml:space="preserve"> </w:t>
      </w:r>
    </w:p>
    <w:p w:rsidR="005B7922" w:rsidRPr="00883897" w:rsidRDefault="00E40213" w:rsidP="00E40213">
      <w:pPr>
        <w:pStyle w:val="PINormal"/>
        <w:rPr>
          <w:color w:val="000000"/>
        </w:rPr>
      </w:pPr>
      <w:r w:rsidRPr="00883897">
        <w:rPr>
          <w:color w:val="000000"/>
        </w:rPr>
        <w:t xml:space="preserve">XALKORI may be taken with or without food (see </w:t>
      </w:r>
      <w:r w:rsidR="006430CD" w:rsidRPr="00883897">
        <w:rPr>
          <w:color w:val="000000"/>
        </w:rPr>
        <w:t>Pharmacokinetics</w:t>
      </w:r>
      <w:r w:rsidRPr="00883897">
        <w:rPr>
          <w:color w:val="000000"/>
        </w:rPr>
        <w:t>)</w:t>
      </w:r>
      <w:r w:rsidR="00662D45" w:rsidRPr="00883897">
        <w:rPr>
          <w:color w:val="000000"/>
        </w:rPr>
        <w:t>.</w:t>
      </w:r>
      <w:r w:rsidRPr="00883897">
        <w:rPr>
          <w:color w:val="000000"/>
        </w:rPr>
        <w:t xml:space="preserve"> </w:t>
      </w:r>
      <w:r w:rsidR="002358E0" w:rsidRPr="00883897">
        <w:rPr>
          <w:color w:val="000000"/>
        </w:rPr>
        <w:t xml:space="preserve"> </w:t>
      </w:r>
      <w:r w:rsidRPr="00883897">
        <w:rPr>
          <w:color w:val="000000"/>
        </w:rPr>
        <w:t xml:space="preserve">Capsules should be swallowed whole.  </w:t>
      </w:r>
    </w:p>
    <w:p w:rsidR="00096A09" w:rsidRPr="00883897" w:rsidRDefault="00096A09" w:rsidP="00096A09">
      <w:pPr>
        <w:pStyle w:val="PIHeading2"/>
        <w:rPr>
          <w:color w:val="000000"/>
        </w:rPr>
      </w:pPr>
      <w:r w:rsidRPr="00883897">
        <w:rPr>
          <w:color w:val="000000"/>
        </w:rPr>
        <w:t>Missed Dose</w:t>
      </w:r>
    </w:p>
    <w:p w:rsidR="00096A09" w:rsidRPr="00883897" w:rsidRDefault="00096A09" w:rsidP="00096A09">
      <w:pPr>
        <w:pStyle w:val="PINormal"/>
        <w:keepLines/>
        <w:rPr>
          <w:color w:val="000000"/>
        </w:rPr>
      </w:pPr>
      <w:r w:rsidRPr="00883897">
        <w:rPr>
          <w:color w:val="000000"/>
        </w:rPr>
        <w:t xml:space="preserve">If a dose of XALKORI is missed, then it should be taken as soon as the patient remembers unless it is less than 6 hours until the next dose, in which case the patient should not take the missed dose.  Patients should not take </w:t>
      </w:r>
      <w:r w:rsidR="002358E0" w:rsidRPr="00883897">
        <w:rPr>
          <w:color w:val="000000"/>
        </w:rPr>
        <w:t>2</w:t>
      </w:r>
      <w:r w:rsidRPr="00883897">
        <w:rPr>
          <w:color w:val="000000"/>
        </w:rPr>
        <w:t xml:space="preserve"> doses at the same time to make up for a missed dose.</w:t>
      </w:r>
    </w:p>
    <w:p w:rsidR="00E40213" w:rsidRPr="00883897" w:rsidRDefault="00E40213" w:rsidP="00E40213">
      <w:pPr>
        <w:pStyle w:val="PIHeading2"/>
        <w:rPr>
          <w:color w:val="000000"/>
        </w:rPr>
      </w:pPr>
      <w:r w:rsidRPr="00883897">
        <w:rPr>
          <w:color w:val="000000"/>
        </w:rPr>
        <w:t xml:space="preserve">Dose </w:t>
      </w:r>
      <w:r w:rsidR="002B1F63" w:rsidRPr="00883897">
        <w:rPr>
          <w:color w:val="000000"/>
        </w:rPr>
        <w:t>Modification</w:t>
      </w:r>
    </w:p>
    <w:p w:rsidR="00E40213" w:rsidRPr="00883897" w:rsidRDefault="00E40213" w:rsidP="00B762C2">
      <w:pPr>
        <w:pStyle w:val="PINormal"/>
        <w:keepLines/>
        <w:rPr>
          <w:color w:val="000000"/>
        </w:rPr>
      </w:pPr>
      <w:r w:rsidRPr="00883897">
        <w:rPr>
          <w:color w:val="000000"/>
        </w:rPr>
        <w:t>Dosing interruption and/or dose reduction may be required based on individual safety and tolerability.  If dose reduction is necessary, then the dose of XALKORI should be reduced to 200</w:t>
      </w:r>
      <w:r w:rsidR="009966C7" w:rsidRPr="00883897">
        <w:rPr>
          <w:color w:val="000000"/>
        </w:rPr>
        <w:t> </w:t>
      </w:r>
      <w:r w:rsidRPr="00883897">
        <w:rPr>
          <w:color w:val="000000"/>
        </w:rPr>
        <w:t>mg taken orally twice daily and</w:t>
      </w:r>
      <w:r w:rsidR="00303397">
        <w:rPr>
          <w:color w:val="000000"/>
        </w:rPr>
        <w:t>,</w:t>
      </w:r>
      <w:r w:rsidRPr="00883897">
        <w:rPr>
          <w:color w:val="000000"/>
        </w:rPr>
        <w:t xml:space="preserve"> if further dose reduction is necessary, </w:t>
      </w:r>
      <w:r w:rsidR="002B1651" w:rsidRPr="00883897">
        <w:rPr>
          <w:color w:val="000000"/>
        </w:rPr>
        <w:t>then reduce the dosage</w:t>
      </w:r>
      <w:r w:rsidRPr="00883897">
        <w:rPr>
          <w:color w:val="000000"/>
        </w:rPr>
        <w:t xml:space="preserve"> to 250</w:t>
      </w:r>
      <w:r w:rsidR="00871D64" w:rsidRPr="00883897">
        <w:rPr>
          <w:color w:val="000000"/>
        </w:rPr>
        <w:t> </w:t>
      </w:r>
      <w:r w:rsidRPr="00883897">
        <w:rPr>
          <w:color w:val="000000"/>
        </w:rPr>
        <w:t xml:space="preserve">mg taken orally once </w:t>
      </w:r>
      <w:r w:rsidRPr="00027AC9">
        <w:rPr>
          <w:color w:val="000000"/>
        </w:rPr>
        <w:t>daily</w:t>
      </w:r>
      <w:r w:rsidR="00662D45" w:rsidRPr="00027AC9">
        <w:rPr>
          <w:color w:val="000000"/>
        </w:rPr>
        <w:t>.</w:t>
      </w:r>
      <w:r w:rsidR="002358E0" w:rsidRPr="00027AC9">
        <w:rPr>
          <w:color w:val="000000"/>
        </w:rPr>
        <w:t xml:space="preserve"> </w:t>
      </w:r>
      <w:r w:rsidR="00871D64" w:rsidRPr="00027AC9">
        <w:rPr>
          <w:color w:val="000000"/>
        </w:rPr>
        <w:t xml:space="preserve"> </w:t>
      </w:r>
      <w:r w:rsidRPr="00027AC9">
        <w:rPr>
          <w:color w:val="000000"/>
          <w:kern w:val="32"/>
        </w:rPr>
        <w:t>Do</w:t>
      </w:r>
      <w:r w:rsidRPr="00883897">
        <w:rPr>
          <w:color w:val="000000"/>
          <w:kern w:val="32"/>
        </w:rPr>
        <w:t>se reduction guidelines for h</w:t>
      </w:r>
      <w:r w:rsidR="00597659">
        <w:rPr>
          <w:color w:val="000000"/>
          <w:kern w:val="32"/>
        </w:rPr>
        <w:t>a</w:t>
      </w:r>
      <w:r w:rsidRPr="00883897">
        <w:rPr>
          <w:color w:val="000000"/>
          <w:kern w:val="32"/>
        </w:rPr>
        <w:t>ematologic and non-h</w:t>
      </w:r>
      <w:r w:rsidR="00597659">
        <w:rPr>
          <w:color w:val="000000"/>
          <w:kern w:val="32"/>
        </w:rPr>
        <w:t>a</w:t>
      </w:r>
      <w:r w:rsidRPr="00883897">
        <w:rPr>
          <w:color w:val="000000"/>
          <w:kern w:val="32"/>
        </w:rPr>
        <w:t>ematologic toxicities are provided in Tables</w:t>
      </w:r>
      <w:r w:rsidR="00987500" w:rsidRPr="00883897">
        <w:rPr>
          <w:color w:val="000000"/>
          <w:kern w:val="32"/>
        </w:rPr>
        <w:t> </w:t>
      </w:r>
      <w:r w:rsidR="00715C74">
        <w:rPr>
          <w:color w:val="000000"/>
          <w:kern w:val="32"/>
        </w:rPr>
        <w:t>6</w:t>
      </w:r>
      <w:r w:rsidR="00715C74" w:rsidRPr="00715C74">
        <w:rPr>
          <w:color w:val="000000"/>
          <w:kern w:val="32"/>
        </w:rPr>
        <w:t xml:space="preserve"> </w:t>
      </w:r>
      <w:r w:rsidRPr="00715C74">
        <w:rPr>
          <w:color w:val="000000"/>
          <w:kern w:val="32"/>
        </w:rPr>
        <w:t xml:space="preserve">and </w:t>
      </w:r>
      <w:r w:rsidR="00715C74">
        <w:rPr>
          <w:color w:val="000000"/>
          <w:kern w:val="32"/>
        </w:rPr>
        <w:t>7</w:t>
      </w:r>
      <w:r w:rsidR="00662D45" w:rsidRPr="00883897">
        <w:rPr>
          <w:color w:val="000000"/>
        </w:rPr>
        <w:t>.</w:t>
      </w:r>
    </w:p>
    <w:p w:rsidR="00E40213" w:rsidRPr="00987500" w:rsidRDefault="00E40213" w:rsidP="00987500">
      <w:pPr>
        <w:pStyle w:val="PITableTitle"/>
        <w:rPr>
          <w:rStyle w:val="TableText12"/>
        </w:rPr>
      </w:pPr>
      <w:r w:rsidRPr="00987500">
        <w:rPr>
          <w:rStyle w:val="TableText12"/>
        </w:rPr>
        <w:t xml:space="preserve">Table </w:t>
      </w:r>
      <w:r w:rsidR="00715C74">
        <w:rPr>
          <w:rStyle w:val="TableText12"/>
        </w:rPr>
        <w:t>6</w:t>
      </w:r>
      <w:r w:rsidRPr="00987500">
        <w:rPr>
          <w:rStyle w:val="TableText12"/>
        </w:rPr>
        <w:t xml:space="preserve">.  </w:t>
      </w:r>
      <w:r w:rsidR="00F14EA8">
        <w:rPr>
          <w:rStyle w:val="TableText12"/>
        </w:rPr>
        <w:t xml:space="preserve">Crizotinib </w:t>
      </w:r>
      <w:r w:rsidRPr="00987500">
        <w:rPr>
          <w:rStyle w:val="TableText12"/>
        </w:rPr>
        <w:t>Dose Modification – H</w:t>
      </w:r>
      <w:r w:rsidR="00597659">
        <w:rPr>
          <w:rStyle w:val="TableText12"/>
        </w:rPr>
        <w:t>a</w:t>
      </w:r>
      <w:r w:rsidRPr="00987500">
        <w:rPr>
          <w:rStyle w:val="TableText12"/>
        </w:rPr>
        <w:t>ematologic Toxicities</w:t>
      </w:r>
      <w:r w:rsidRPr="00987500">
        <w:rPr>
          <w:rStyle w:val="TableText12"/>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52"/>
      </w:tblGrid>
      <w:tr w:rsidR="00E40213" w:rsidRPr="00987500" w:rsidTr="00987500">
        <w:tc>
          <w:tcPr>
            <w:tcW w:w="4428" w:type="dxa"/>
            <w:vAlign w:val="center"/>
          </w:tcPr>
          <w:p w:rsidR="00E40213" w:rsidRPr="00987500" w:rsidRDefault="00E40213" w:rsidP="00987500">
            <w:pPr>
              <w:spacing w:before="40" w:after="40"/>
              <w:jc w:val="center"/>
              <w:rPr>
                <w:b/>
              </w:rPr>
            </w:pPr>
            <w:r w:rsidRPr="00987500">
              <w:rPr>
                <w:b/>
              </w:rPr>
              <w:t>CTCAE</w:t>
            </w:r>
            <w:r w:rsidRPr="00987500">
              <w:rPr>
                <w:b/>
                <w:vertAlign w:val="superscript"/>
              </w:rPr>
              <w:t>b</w:t>
            </w:r>
            <w:r w:rsidRPr="00987500">
              <w:rPr>
                <w:b/>
              </w:rPr>
              <w:t xml:space="preserve"> Grade</w:t>
            </w:r>
          </w:p>
        </w:tc>
        <w:tc>
          <w:tcPr>
            <w:tcW w:w="4752" w:type="dxa"/>
            <w:vAlign w:val="center"/>
          </w:tcPr>
          <w:p w:rsidR="00E40213" w:rsidRPr="00987500" w:rsidRDefault="00E40213" w:rsidP="00987500">
            <w:pPr>
              <w:spacing w:before="40" w:after="40"/>
              <w:jc w:val="center"/>
              <w:rPr>
                <w:b/>
              </w:rPr>
            </w:pPr>
            <w:r w:rsidRPr="00987500">
              <w:rPr>
                <w:b/>
                <w:color w:val="000000"/>
                <w:szCs w:val="22"/>
              </w:rPr>
              <w:t>XALKORI</w:t>
            </w:r>
            <w:r w:rsidRPr="00987500">
              <w:rPr>
                <w:b/>
              </w:rPr>
              <w:t xml:space="preserve"> Dosing</w:t>
            </w:r>
          </w:p>
        </w:tc>
      </w:tr>
      <w:tr w:rsidR="00E40213" w:rsidRPr="00987500" w:rsidTr="00987500">
        <w:tc>
          <w:tcPr>
            <w:tcW w:w="4428" w:type="dxa"/>
          </w:tcPr>
          <w:p w:rsidR="00E40213" w:rsidRPr="00987500" w:rsidRDefault="00E40213" w:rsidP="00681891">
            <w:pPr>
              <w:spacing w:before="40" w:after="40"/>
              <w:jc w:val="left"/>
            </w:pPr>
            <w:r w:rsidRPr="00987500">
              <w:t>Grade 3</w:t>
            </w:r>
          </w:p>
        </w:tc>
        <w:tc>
          <w:tcPr>
            <w:tcW w:w="4752" w:type="dxa"/>
          </w:tcPr>
          <w:p w:rsidR="00E40213" w:rsidRPr="00987500" w:rsidRDefault="00E40213" w:rsidP="00681891">
            <w:pPr>
              <w:spacing w:before="40" w:after="40"/>
              <w:jc w:val="left"/>
            </w:pPr>
            <w:r w:rsidRPr="00987500">
              <w:t xml:space="preserve">Withhold until recovery to Grade </w:t>
            </w:r>
            <w:r w:rsidRPr="00987500">
              <w:rPr>
                <w:u w:val="single"/>
              </w:rPr>
              <w:t>&lt;</w:t>
            </w:r>
            <w:r w:rsidRPr="00987500">
              <w:t>2, then resume at the same dose schedule</w:t>
            </w:r>
          </w:p>
        </w:tc>
      </w:tr>
      <w:tr w:rsidR="00E40213" w:rsidRPr="00987500" w:rsidTr="00987500">
        <w:tc>
          <w:tcPr>
            <w:tcW w:w="4428" w:type="dxa"/>
          </w:tcPr>
          <w:p w:rsidR="00E40213" w:rsidRPr="00987500" w:rsidRDefault="00E40213" w:rsidP="00681891">
            <w:pPr>
              <w:spacing w:before="40" w:after="40"/>
              <w:jc w:val="left"/>
            </w:pPr>
            <w:r w:rsidRPr="00987500">
              <w:t>Grade 4</w:t>
            </w:r>
          </w:p>
        </w:tc>
        <w:tc>
          <w:tcPr>
            <w:tcW w:w="4752" w:type="dxa"/>
          </w:tcPr>
          <w:p w:rsidR="00E40213" w:rsidRPr="00987500" w:rsidRDefault="00E40213" w:rsidP="00681891">
            <w:pPr>
              <w:spacing w:before="40" w:after="40"/>
              <w:jc w:val="left"/>
              <w:rPr>
                <w:vertAlign w:val="superscript"/>
              </w:rPr>
            </w:pPr>
            <w:r w:rsidRPr="00987500">
              <w:t xml:space="preserve">Withhold until recovery to Grade </w:t>
            </w:r>
            <w:r w:rsidRPr="00987500">
              <w:rPr>
                <w:u w:val="single"/>
              </w:rPr>
              <w:t>&lt;</w:t>
            </w:r>
            <w:r w:rsidRPr="00987500">
              <w:t>2, then resume at 200</w:t>
            </w:r>
            <w:r w:rsidR="00987500">
              <w:t> </w:t>
            </w:r>
            <w:r w:rsidRPr="00987500">
              <w:t>mg twice daily</w:t>
            </w:r>
            <w:r w:rsidRPr="00987500">
              <w:rPr>
                <w:vertAlign w:val="superscript"/>
              </w:rPr>
              <w:t>c</w:t>
            </w:r>
          </w:p>
        </w:tc>
      </w:tr>
    </w:tbl>
    <w:p w:rsidR="00E40213" w:rsidRPr="003A2873" w:rsidRDefault="00E40213" w:rsidP="00704FF8">
      <w:pPr>
        <w:pStyle w:val="TableText0"/>
        <w:ind w:left="142" w:hanging="142"/>
      </w:pPr>
      <w:r w:rsidRPr="003A2873">
        <w:rPr>
          <w:vertAlign w:val="superscript"/>
        </w:rPr>
        <w:t>a</w:t>
      </w:r>
      <w:r w:rsidR="00987500" w:rsidRPr="003A2873">
        <w:rPr>
          <w:vertAlign w:val="superscript"/>
        </w:rPr>
        <w:tab/>
      </w:r>
      <w:r w:rsidRPr="003A2873">
        <w:t>Except lymphopenia</w:t>
      </w:r>
      <w:r w:rsidR="003A2873">
        <w:t xml:space="preserve"> </w:t>
      </w:r>
      <w:r w:rsidR="003A2873" w:rsidRPr="003A2873">
        <w:t>(unless associated with clinical events, e.g., opportunistic infections).</w:t>
      </w:r>
    </w:p>
    <w:p w:rsidR="00E40213" w:rsidRPr="00CC4FB8" w:rsidRDefault="00E40213" w:rsidP="00704FF8">
      <w:pPr>
        <w:pStyle w:val="TableText0"/>
        <w:ind w:left="142" w:hanging="142"/>
      </w:pPr>
      <w:r w:rsidRPr="00CC4FB8">
        <w:rPr>
          <w:vertAlign w:val="superscript"/>
        </w:rPr>
        <w:t>b</w:t>
      </w:r>
      <w:r w:rsidR="00987500">
        <w:rPr>
          <w:vertAlign w:val="superscript"/>
        </w:rPr>
        <w:tab/>
      </w:r>
      <w:r w:rsidRPr="00CC4FB8">
        <w:t>NCI Common Terminology Criteria for Adverse Events</w:t>
      </w:r>
    </w:p>
    <w:p w:rsidR="00E40213" w:rsidRPr="00CC4FB8" w:rsidRDefault="00E40213" w:rsidP="00987500">
      <w:pPr>
        <w:pStyle w:val="TableText0"/>
        <w:ind w:left="142" w:hanging="142"/>
      </w:pPr>
      <w:r w:rsidRPr="00CC4FB8">
        <w:rPr>
          <w:vertAlign w:val="superscript"/>
        </w:rPr>
        <w:t>c</w:t>
      </w:r>
      <w:r w:rsidR="00987500">
        <w:rPr>
          <w:vertAlign w:val="superscript"/>
        </w:rPr>
        <w:tab/>
      </w:r>
      <w:r w:rsidRPr="00CC4FB8">
        <w:t xml:space="preserve">In case of recurrence, withhold until recovery to Grade </w:t>
      </w:r>
      <w:r w:rsidRPr="00F76182">
        <w:rPr>
          <w:u w:val="single"/>
        </w:rPr>
        <w:t>&lt;</w:t>
      </w:r>
      <w:r w:rsidRPr="00CC4FB8">
        <w:t>2, then resume at 250</w:t>
      </w:r>
      <w:r w:rsidR="004B2D7F">
        <w:t> </w:t>
      </w:r>
      <w:r w:rsidRPr="00CC4FB8">
        <w:t xml:space="preserve">mg once daily. </w:t>
      </w:r>
      <w:r w:rsidR="003A2873">
        <w:t xml:space="preserve"> </w:t>
      </w:r>
      <w:r w:rsidRPr="00CC4FB8">
        <w:t>Permanently discontinue in case of further Grade 4 recurrence</w:t>
      </w:r>
      <w:r>
        <w:t>.</w:t>
      </w:r>
    </w:p>
    <w:p w:rsidR="00E40213" w:rsidRPr="00987500" w:rsidRDefault="00E40213" w:rsidP="00987500">
      <w:pPr>
        <w:pStyle w:val="PITableTitle"/>
        <w:rPr>
          <w:rStyle w:val="TableText12"/>
        </w:rPr>
      </w:pPr>
      <w:r w:rsidRPr="00987500">
        <w:rPr>
          <w:rStyle w:val="TableText12"/>
        </w:rPr>
        <w:t xml:space="preserve">Table </w:t>
      </w:r>
      <w:r w:rsidR="00715C74">
        <w:rPr>
          <w:rStyle w:val="TableText12"/>
        </w:rPr>
        <w:t>7</w:t>
      </w:r>
      <w:r w:rsidRPr="00987500">
        <w:rPr>
          <w:rStyle w:val="TableText12"/>
        </w:rPr>
        <w:t xml:space="preserve">.  </w:t>
      </w:r>
      <w:r w:rsidR="00F14EA8">
        <w:rPr>
          <w:rStyle w:val="TableText12"/>
        </w:rPr>
        <w:t xml:space="preserve">Crizotinib </w:t>
      </w:r>
      <w:r w:rsidRPr="00987500">
        <w:rPr>
          <w:rStyle w:val="TableText12"/>
        </w:rPr>
        <w:t>Dose Modification – Non-H</w:t>
      </w:r>
      <w:r w:rsidR="00597659">
        <w:rPr>
          <w:rStyle w:val="TableText12"/>
        </w:rPr>
        <w:t>a</w:t>
      </w:r>
      <w:r w:rsidRPr="00987500">
        <w:rPr>
          <w:rStyle w:val="TableText12"/>
        </w:rPr>
        <w:t>ematologic Toxicities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E40213" w:rsidRPr="00987500" w:rsidTr="00987500">
        <w:tc>
          <w:tcPr>
            <w:tcW w:w="4503" w:type="dxa"/>
            <w:vAlign w:val="center"/>
          </w:tcPr>
          <w:p w:rsidR="00E40213" w:rsidRPr="00987500" w:rsidRDefault="00E40213" w:rsidP="00987500">
            <w:pPr>
              <w:spacing w:before="40" w:after="40"/>
              <w:jc w:val="center"/>
              <w:rPr>
                <w:b/>
              </w:rPr>
            </w:pPr>
            <w:r w:rsidRPr="00987500">
              <w:rPr>
                <w:b/>
              </w:rPr>
              <w:t>CTCAE</w:t>
            </w:r>
            <w:r w:rsidRPr="00987500">
              <w:rPr>
                <w:b/>
                <w:vertAlign w:val="superscript"/>
              </w:rPr>
              <w:t xml:space="preserve">a </w:t>
            </w:r>
            <w:r w:rsidRPr="00987500">
              <w:rPr>
                <w:b/>
              </w:rPr>
              <w:t>Grade</w:t>
            </w:r>
          </w:p>
        </w:tc>
        <w:tc>
          <w:tcPr>
            <w:tcW w:w="4677" w:type="dxa"/>
            <w:vAlign w:val="center"/>
          </w:tcPr>
          <w:p w:rsidR="00E40213" w:rsidRPr="00987500" w:rsidRDefault="00E40213" w:rsidP="00987500">
            <w:pPr>
              <w:spacing w:before="40" w:after="40"/>
              <w:jc w:val="center"/>
              <w:rPr>
                <w:b/>
              </w:rPr>
            </w:pPr>
            <w:r w:rsidRPr="00987500">
              <w:rPr>
                <w:b/>
                <w:color w:val="000000"/>
                <w:szCs w:val="22"/>
              </w:rPr>
              <w:t>XALKORI</w:t>
            </w:r>
            <w:r w:rsidRPr="00987500">
              <w:rPr>
                <w:b/>
              </w:rPr>
              <w:t xml:space="preserve"> Dosing</w:t>
            </w:r>
          </w:p>
        </w:tc>
      </w:tr>
      <w:tr w:rsidR="00E40213" w:rsidRPr="00987500" w:rsidTr="00987500">
        <w:tc>
          <w:tcPr>
            <w:tcW w:w="4503" w:type="dxa"/>
          </w:tcPr>
          <w:p w:rsidR="00E40213" w:rsidRPr="00987500" w:rsidRDefault="00E40213" w:rsidP="00681891">
            <w:pPr>
              <w:spacing w:before="40" w:after="40"/>
              <w:jc w:val="left"/>
            </w:pPr>
            <w:r w:rsidRPr="00987500">
              <w:t xml:space="preserve">Grade 3 or 4 </w:t>
            </w:r>
            <w:r w:rsidR="00DE3E2B">
              <w:t>ALT</w:t>
            </w:r>
            <w:r w:rsidRPr="00987500">
              <w:t xml:space="preserve"> or </w:t>
            </w:r>
            <w:r w:rsidR="00DE3E2B">
              <w:t>AST</w:t>
            </w:r>
            <w:r w:rsidRPr="00987500">
              <w:t xml:space="preserve"> elevation with Grade </w:t>
            </w:r>
            <w:r w:rsidRPr="00987500">
              <w:rPr>
                <w:u w:val="single"/>
              </w:rPr>
              <w:t>&lt;</w:t>
            </w:r>
            <w:r w:rsidRPr="00987500">
              <w:t>1 total bilirubin</w:t>
            </w:r>
          </w:p>
        </w:tc>
        <w:tc>
          <w:tcPr>
            <w:tcW w:w="4677" w:type="dxa"/>
          </w:tcPr>
          <w:p w:rsidR="00E40213" w:rsidRPr="00987500" w:rsidRDefault="00E40213" w:rsidP="00681891">
            <w:pPr>
              <w:spacing w:before="40" w:after="40"/>
              <w:jc w:val="left"/>
              <w:rPr>
                <w:vertAlign w:val="superscript"/>
              </w:rPr>
            </w:pPr>
            <w:r w:rsidRPr="00987500">
              <w:t xml:space="preserve">Withhold until recovery to Grade </w:t>
            </w:r>
            <w:r w:rsidRPr="00987500">
              <w:sym w:font="Symbol" w:char="F0A3"/>
            </w:r>
            <w:r w:rsidRPr="00987500">
              <w:t>1 or baseline, then resume at 200</w:t>
            </w:r>
            <w:r w:rsidR="00B762C2" w:rsidRPr="00987500">
              <w:t> </w:t>
            </w:r>
            <w:r w:rsidRPr="00987500">
              <w:t>mg twice daily</w:t>
            </w:r>
            <w:r w:rsidRPr="00987500">
              <w:rPr>
                <w:vertAlign w:val="superscript"/>
              </w:rPr>
              <w:t>b</w:t>
            </w:r>
          </w:p>
        </w:tc>
      </w:tr>
      <w:tr w:rsidR="00E40213" w:rsidRPr="00987500" w:rsidTr="00987500">
        <w:tc>
          <w:tcPr>
            <w:tcW w:w="4503" w:type="dxa"/>
          </w:tcPr>
          <w:p w:rsidR="00E40213" w:rsidRPr="00987500" w:rsidRDefault="00E40213" w:rsidP="00681891">
            <w:pPr>
              <w:spacing w:before="40" w:after="40"/>
              <w:jc w:val="left"/>
            </w:pPr>
            <w:r w:rsidRPr="00987500">
              <w:t xml:space="preserve">Grade 2, 3 or </w:t>
            </w:r>
            <w:r w:rsidRPr="00987500" w:rsidDel="00717883">
              <w:t>4</w:t>
            </w:r>
            <w:r w:rsidRPr="00987500">
              <w:t xml:space="preserve"> ALT or AST elevation with concurrent Grade 2, 3 or </w:t>
            </w:r>
            <w:r w:rsidRPr="00987500" w:rsidDel="0051672E">
              <w:t>4</w:t>
            </w:r>
            <w:r w:rsidRPr="00987500">
              <w:t xml:space="preserve"> total bilirubin elevation (in the absence of cholestasis or h</w:t>
            </w:r>
            <w:r w:rsidR="007A078E">
              <w:t>a</w:t>
            </w:r>
            <w:r w:rsidRPr="00987500">
              <w:t>emolysis)</w:t>
            </w:r>
          </w:p>
        </w:tc>
        <w:tc>
          <w:tcPr>
            <w:tcW w:w="4677" w:type="dxa"/>
          </w:tcPr>
          <w:p w:rsidR="00E40213" w:rsidRPr="00987500" w:rsidRDefault="00E40213" w:rsidP="00681891">
            <w:pPr>
              <w:spacing w:before="40" w:after="40"/>
              <w:jc w:val="left"/>
            </w:pPr>
            <w:r w:rsidRPr="00987500">
              <w:t>Permanently discontinue</w:t>
            </w:r>
          </w:p>
        </w:tc>
      </w:tr>
      <w:tr w:rsidR="00E40213" w:rsidRPr="00987500" w:rsidTr="00987500">
        <w:tc>
          <w:tcPr>
            <w:tcW w:w="4503" w:type="dxa"/>
          </w:tcPr>
          <w:p w:rsidR="00E40213" w:rsidRPr="00987500" w:rsidRDefault="00E40213" w:rsidP="00681891">
            <w:pPr>
              <w:keepNext/>
              <w:spacing w:before="40" w:after="40"/>
              <w:jc w:val="left"/>
            </w:pPr>
            <w:r w:rsidRPr="00987500">
              <w:t xml:space="preserve">Any Grade </w:t>
            </w:r>
            <w:r w:rsidR="00AF018F">
              <w:t xml:space="preserve">interstitial lung disease/ </w:t>
            </w:r>
            <w:r w:rsidRPr="00987500">
              <w:t>pneumonitis</w:t>
            </w:r>
            <w:r w:rsidRPr="00987500">
              <w:rPr>
                <w:vertAlign w:val="superscript"/>
              </w:rPr>
              <w:t>c</w:t>
            </w:r>
          </w:p>
        </w:tc>
        <w:tc>
          <w:tcPr>
            <w:tcW w:w="4677" w:type="dxa"/>
          </w:tcPr>
          <w:p w:rsidR="00E40213" w:rsidRPr="00987500" w:rsidRDefault="00E40213" w:rsidP="00681891">
            <w:pPr>
              <w:spacing w:before="40" w:after="40"/>
              <w:jc w:val="left"/>
            </w:pPr>
            <w:r w:rsidRPr="00987500">
              <w:t>Permanently discontinue</w:t>
            </w:r>
          </w:p>
        </w:tc>
      </w:tr>
      <w:tr w:rsidR="00E40213" w:rsidRPr="00987500" w:rsidTr="00987500">
        <w:tc>
          <w:tcPr>
            <w:tcW w:w="4503" w:type="dxa"/>
          </w:tcPr>
          <w:p w:rsidR="00E40213" w:rsidRPr="00987500" w:rsidRDefault="00E40213" w:rsidP="00681891">
            <w:pPr>
              <w:spacing w:before="40" w:after="40"/>
              <w:jc w:val="left"/>
              <w:rPr>
                <w:lang w:val="fr-FR"/>
              </w:rPr>
            </w:pPr>
            <w:r w:rsidRPr="00987500">
              <w:rPr>
                <w:lang w:val="fr-FR"/>
              </w:rPr>
              <w:t>Grade 3 QTc prolongation</w:t>
            </w:r>
          </w:p>
        </w:tc>
        <w:tc>
          <w:tcPr>
            <w:tcW w:w="4677" w:type="dxa"/>
          </w:tcPr>
          <w:p w:rsidR="00E40213" w:rsidRPr="00987500" w:rsidRDefault="00E40213" w:rsidP="00681891">
            <w:pPr>
              <w:spacing w:before="40" w:after="40"/>
              <w:jc w:val="left"/>
            </w:pPr>
            <w:r w:rsidRPr="00987500">
              <w:t xml:space="preserve">Withhold until recovery to Grade </w:t>
            </w:r>
            <w:r w:rsidRPr="00987500">
              <w:rPr>
                <w:u w:val="single"/>
              </w:rPr>
              <w:t>&lt;</w:t>
            </w:r>
            <w:r w:rsidR="00B762C2" w:rsidRPr="00987500">
              <w:t>1, then resume at 200 </w:t>
            </w:r>
            <w:r w:rsidRPr="00987500">
              <w:t>mg twice daily</w:t>
            </w:r>
            <w:r w:rsidRPr="00987500">
              <w:rPr>
                <w:vertAlign w:val="superscript"/>
              </w:rPr>
              <w:t>b</w:t>
            </w:r>
          </w:p>
        </w:tc>
      </w:tr>
      <w:tr w:rsidR="00E40213" w:rsidRPr="00987500" w:rsidTr="00987500">
        <w:tc>
          <w:tcPr>
            <w:tcW w:w="4503" w:type="dxa"/>
          </w:tcPr>
          <w:p w:rsidR="00E40213" w:rsidRPr="00987500" w:rsidRDefault="00E40213" w:rsidP="00681891">
            <w:pPr>
              <w:spacing w:before="40" w:after="40"/>
              <w:jc w:val="left"/>
              <w:rPr>
                <w:lang w:val="fr-FR"/>
              </w:rPr>
            </w:pPr>
            <w:r w:rsidRPr="00987500">
              <w:rPr>
                <w:lang w:val="fr-FR"/>
              </w:rPr>
              <w:lastRenderedPageBreak/>
              <w:t>Grade 4 QTc prolongation</w:t>
            </w:r>
          </w:p>
        </w:tc>
        <w:tc>
          <w:tcPr>
            <w:tcW w:w="4677" w:type="dxa"/>
          </w:tcPr>
          <w:p w:rsidR="004B19C5" w:rsidRPr="004B19C5" w:rsidRDefault="00E40213" w:rsidP="00681891">
            <w:pPr>
              <w:spacing w:before="40" w:after="40"/>
              <w:jc w:val="left"/>
            </w:pPr>
            <w:r w:rsidRPr="00987500">
              <w:t>Permanently discontinue</w:t>
            </w:r>
          </w:p>
        </w:tc>
      </w:tr>
      <w:tr w:rsidR="004B19C5" w:rsidRPr="00987500" w:rsidTr="00987500">
        <w:tc>
          <w:tcPr>
            <w:tcW w:w="4503" w:type="dxa"/>
          </w:tcPr>
          <w:p w:rsidR="004B19C5" w:rsidRPr="008C5FDC" w:rsidRDefault="004B19C5" w:rsidP="00681891">
            <w:pPr>
              <w:pStyle w:val="Paragraph"/>
              <w:spacing w:before="40" w:after="40"/>
              <w:rPr>
                <w:lang w:val="fr-FR"/>
              </w:rPr>
            </w:pPr>
            <w:r w:rsidRPr="008C5FDC">
              <w:rPr>
                <w:lang w:val="fr-FR"/>
              </w:rPr>
              <w:t>Grade 2, 3 Bradycardia</w:t>
            </w:r>
            <w:r>
              <w:rPr>
                <w:szCs w:val="22"/>
                <w:vertAlign w:val="superscript"/>
              </w:rPr>
              <w:t>d</w:t>
            </w:r>
          </w:p>
          <w:p w:rsidR="004B19C5" w:rsidRPr="00987500" w:rsidRDefault="00D94AE7" w:rsidP="00681891">
            <w:pPr>
              <w:spacing w:before="40" w:after="40"/>
              <w:jc w:val="left"/>
              <w:rPr>
                <w:lang w:val="fr-FR"/>
              </w:rPr>
            </w:pPr>
            <w:r>
              <w:t>(s</w:t>
            </w:r>
            <w:r w:rsidRPr="003262D5">
              <w:t>ymptomatic, may be severe and medically significant, medical intervention indicated</w:t>
            </w:r>
            <w:r>
              <w:t>)</w:t>
            </w:r>
          </w:p>
        </w:tc>
        <w:tc>
          <w:tcPr>
            <w:tcW w:w="4677" w:type="dxa"/>
          </w:tcPr>
          <w:p w:rsidR="00D94AE7" w:rsidRPr="00C410B6" w:rsidRDefault="00D94AE7" w:rsidP="00681891">
            <w:pPr>
              <w:pStyle w:val="Paragraph"/>
              <w:keepNext/>
              <w:keepLines/>
            </w:pPr>
            <w:r w:rsidRPr="003262D5">
              <w:t xml:space="preserve">Withhold until recovery to </w:t>
            </w:r>
            <w:r w:rsidRPr="003262D5">
              <w:rPr>
                <w:sz w:val="22"/>
              </w:rPr>
              <w:t>Grade ≤ </w:t>
            </w:r>
            <w:r w:rsidRPr="008D3965">
              <w:rPr>
                <w:sz w:val="22"/>
              </w:rPr>
              <w:t xml:space="preserve">1 </w:t>
            </w:r>
            <w:r w:rsidRPr="008D3965">
              <w:rPr>
                <w:color w:val="000000"/>
                <w:kern w:val="32"/>
              </w:rPr>
              <w:t>or to heart</w:t>
            </w:r>
            <w:r w:rsidRPr="003262D5">
              <w:rPr>
                <w:color w:val="000000"/>
                <w:kern w:val="32"/>
              </w:rPr>
              <w:t xml:space="preserve"> rate of 60</w:t>
            </w:r>
            <w:r>
              <w:rPr>
                <w:color w:val="000000"/>
                <w:kern w:val="32"/>
              </w:rPr>
              <w:t> </w:t>
            </w:r>
            <w:r w:rsidRPr="003262D5">
              <w:rPr>
                <w:color w:val="000000"/>
                <w:kern w:val="32"/>
              </w:rPr>
              <w:t>bpm or above</w:t>
            </w:r>
          </w:p>
          <w:p w:rsidR="00D94AE7" w:rsidRPr="00C410B6" w:rsidRDefault="00D94AE7" w:rsidP="00681891">
            <w:pPr>
              <w:pStyle w:val="Paragraph"/>
              <w:keepNext/>
              <w:keepLines/>
            </w:pPr>
            <w:r w:rsidRPr="00C410B6">
              <w:t>Evaluate concomitant medications known to cause bradycardia, as well as anti-hypertensive medications</w:t>
            </w:r>
          </w:p>
          <w:p w:rsidR="00D94AE7" w:rsidRPr="00C410B6" w:rsidRDefault="00D94AE7" w:rsidP="00681891">
            <w:pPr>
              <w:pStyle w:val="Paragraph"/>
              <w:keepNext/>
              <w:keepLines/>
            </w:pPr>
            <w:r w:rsidRPr="00C410B6">
              <w:t>If contributing concomitant medication is identified and discontinued, or its dose is adjusted</w:t>
            </w:r>
            <w:r w:rsidRPr="003262D5">
              <w:t xml:space="preserve">, resume at previous dose upon recovery to </w:t>
            </w:r>
            <w:r w:rsidRPr="003262D5">
              <w:rPr>
                <w:color w:val="000000"/>
                <w:kern w:val="32"/>
              </w:rPr>
              <w:t xml:space="preserve">Grade </w:t>
            </w:r>
            <w:r w:rsidRPr="003262D5">
              <w:rPr>
                <w:sz w:val="22"/>
              </w:rPr>
              <w:t>≤ 1</w:t>
            </w:r>
            <w:r>
              <w:rPr>
                <w:sz w:val="22"/>
              </w:rPr>
              <w:t xml:space="preserve"> </w:t>
            </w:r>
            <w:r w:rsidRPr="008D3965">
              <w:rPr>
                <w:color w:val="000000"/>
                <w:kern w:val="32"/>
              </w:rPr>
              <w:t>or to heart rate</w:t>
            </w:r>
            <w:r w:rsidRPr="003262D5">
              <w:rPr>
                <w:color w:val="000000"/>
                <w:kern w:val="32"/>
              </w:rPr>
              <w:t xml:space="preserve"> of 60 bpm</w:t>
            </w:r>
            <w:r w:rsidRPr="00C410B6">
              <w:rPr>
                <w:color w:val="000000"/>
                <w:kern w:val="32"/>
              </w:rPr>
              <w:t xml:space="preserve"> or above</w:t>
            </w:r>
          </w:p>
          <w:p w:rsidR="00D94AE7" w:rsidRPr="00987500" w:rsidRDefault="00D94AE7" w:rsidP="00681891">
            <w:pPr>
              <w:spacing w:before="40" w:after="40"/>
              <w:jc w:val="left"/>
            </w:pPr>
            <w:r w:rsidRPr="00C410B6">
              <w:t xml:space="preserve">If no contributing concomitant medication is identified, or if contributing concomitant medications are not discontinued or dose modified, resume at reduced dose upon recovery </w:t>
            </w:r>
            <w:r w:rsidRPr="003262D5">
              <w:t xml:space="preserve">to </w:t>
            </w:r>
            <w:r w:rsidRPr="003262D5">
              <w:rPr>
                <w:sz w:val="22"/>
              </w:rPr>
              <w:t xml:space="preserve">Grade ≤ 1 </w:t>
            </w:r>
            <w:r w:rsidRPr="008D3965">
              <w:rPr>
                <w:color w:val="000000"/>
                <w:kern w:val="32"/>
              </w:rPr>
              <w:t>or to heart rate</w:t>
            </w:r>
            <w:r w:rsidRPr="00C410B6">
              <w:rPr>
                <w:color w:val="000000"/>
                <w:kern w:val="32"/>
              </w:rPr>
              <w:t xml:space="preserve"> of 60</w:t>
            </w:r>
            <w:r>
              <w:rPr>
                <w:color w:val="000000"/>
                <w:kern w:val="32"/>
              </w:rPr>
              <w:t> </w:t>
            </w:r>
            <w:r w:rsidRPr="00C410B6">
              <w:rPr>
                <w:color w:val="000000"/>
                <w:kern w:val="32"/>
              </w:rPr>
              <w:t>bpm or above</w:t>
            </w:r>
          </w:p>
        </w:tc>
      </w:tr>
      <w:tr w:rsidR="004B19C5" w:rsidRPr="00987500" w:rsidTr="00987500">
        <w:tc>
          <w:tcPr>
            <w:tcW w:w="4503" w:type="dxa"/>
          </w:tcPr>
          <w:p w:rsidR="004B19C5" w:rsidRPr="008C5FDC" w:rsidRDefault="004B19C5" w:rsidP="00681891">
            <w:pPr>
              <w:pStyle w:val="Paragraph"/>
              <w:spacing w:before="40" w:after="40"/>
              <w:rPr>
                <w:lang w:val="fr-FR"/>
              </w:rPr>
            </w:pPr>
            <w:r w:rsidRPr="008C5FDC">
              <w:rPr>
                <w:lang w:val="fr-FR"/>
              </w:rPr>
              <w:t>Grade 4 Bradycardia</w:t>
            </w:r>
            <w:r>
              <w:rPr>
                <w:szCs w:val="22"/>
                <w:vertAlign w:val="superscript"/>
              </w:rPr>
              <w:t>d</w:t>
            </w:r>
            <w:r w:rsidR="00510ADF">
              <w:rPr>
                <w:szCs w:val="22"/>
                <w:vertAlign w:val="superscript"/>
              </w:rPr>
              <w:t>,e</w:t>
            </w:r>
          </w:p>
          <w:p w:rsidR="004B19C5" w:rsidRPr="00987500" w:rsidRDefault="00510ADF" w:rsidP="00681891">
            <w:pPr>
              <w:spacing w:before="40" w:after="40"/>
              <w:jc w:val="left"/>
              <w:rPr>
                <w:lang w:val="fr-FR"/>
              </w:rPr>
            </w:pPr>
            <w:r>
              <w:rPr>
                <w:lang w:val="fr-FR"/>
              </w:rPr>
              <w:t>(l</w:t>
            </w:r>
            <w:r w:rsidR="004B19C5" w:rsidRPr="008C5FDC">
              <w:rPr>
                <w:lang w:val="fr-FR"/>
              </w:rPr>
              <w:t>ife-threatening</w:t>
            </w:r>
            <w:r w:rsidRPr="003262D5">
              <w:t xml:space="preserve"> </w:t>
            </w:r>
            <w:r w:rsidRPr="00C410B6">
              <w:t>consequences, urgent intervention indicated)</w:t>
            </w:r>
          </w:p>
        </w:tc>
        <w:tc>
          <w:tcPr>
            <w:tcW w:w="4677" w:type="dxa"/>
          </w:tcPr>
          <w:p w:rsidR="00510ADF" w:rsidRPr="00C410B6" w:rsidRDefault="00510ADF" w:rsidP="00681891">
            <w:pPr>
              <w:pStyle w:val="Paragraph"/>
              <w:keepNext/>
              <w:keepLines/>
              <w:rPr>
                <w:rFonts w:cs="Calibri"/>
              </w:rPr>
            </w:pPr>
            <w:r w:rsidRPr="00C410B6">
              <w:t>Permanently discontinue if no contributing concomitant medication is identified</w:t>
            </w:r>
          </w:p>
          <w:p w:rsidR="004B19C5" w:rsidRPr="00987500" w:rsidRDefault="00510ADF" w:rsidP="00681891">
            <w:pPr>
              <w:spacing w:before="40" w:after="40"/>
              <w:jc w:val="left"/>
            </w:pPr>
            <w:r w:rsidRPr="00C410B6">
              <w:t xml:space="preserve">If contributing concomitant medication is identified and discontinued, or its dose is adjusted, resume at 250 mg once daily upon recovery to </w:t>
            </w:r>
            <w:r w:rsidRPr="003262D5">
              <w:rPr>
                <w:sz w:val="22"/>
              </w:rPr>
              <w:t xml:space="preserve">Grade ≤ 1 </w:t>
            </w:r>
            <w:r w:rsidRPr="008D3965">
              <w:rPr>
                <w:color w:val="000000"/>
                <w:kern w:val="32"/>
              </w:rPr>
              <w:t>or to heart rate of 60</w:t>
            </w:r>
            <w:r>
              <w:rPr>
                <w:color w:val="000000"/>
                <w:kern w:val="32"/>
              </w:rPr>
              <w:t> </w:t>
            </w:r>
            <w:r w:rsidRPr="008D3965">
              <w:rPr>
                <w:color w:val="000000"/>
                <w:kern w:val="32"/>
              </w:rPr>
              <w:t>bpm or above</w:t>
            </w:r>
            <w:r w:rsidRPr="008D3965">
              <w:t>, with frequent monitoring</w:t>
            </w:r>
            <w:r w:rsidR="00527303">
              <w:t>.</w:t>
            </w:r>
          </w:p>
        </w:tc>
      </w:tr>
    </w:tbl>
    <w:p w:rsidR="00E40213" w:rsidRPr="00D94AE7" w:rsidRDefault="00E40213" w:rsidP="00D94AE7">
      <w:pPr>
        <w:pStyle w:val="TableText0"/>
        <w:ind w:left="142" w:hanging="142"/>
      </w:pPr>
      <w:r w:rsidRPr="00CC4FB8">
        <w:rPr>
          <w:vertAlign w:val="superscript"/>
        </w:rPr>
        <w:t>a</w:t>
      </w:r>
      <w:r w:rsidR="00B762C2">
        <w:rPr>
          <w:vertAlign w:val="superscript"/>
        </w:rPr>
        <w:tab/>
      </w:r>
      <w:r w:rsidRPr="00D94AE7">
        <w:t>NCI Common Terminology Criteria for Adverse Events</w:t>
      </w:r>
    </w:p>
    <w:p w:rsidR="00E40213" w:rsidRPr="00D94AE7" w:rsidRDefault="00E40213" w:rsidP="00D94AE7">
      <w:pPr>
        <w:pStyle w:val="TableText0"/>
        <w:ind w:left="142" w:hanging="142"/>
      </w:pPr>
      <w:r w:rsidRPr="00D94AE7">
        <w:t>b</w:t>
      </w:r>
      <w:r w:rsidR="00B762C2" w:rsidRPr="00D94AE7">
        <w:tab/>
      </w:r>
      <w:r w:rsidRPr="00D94AE7">
        <w:t xml:space="preserve">In case of recurrence, withhold until recovery to Grade </w:t>
      </w:r>
      <w:r w:rsidRPr="00D94AE7">
        <w:sym w:font="Symbol" w:char="F0A3"/>
      </w:r>
      <w:r w:rsidRPr="00D94AE7">
        <w:t>1, then resume at 250</w:t>
      </w:r>
      <w:r w:rsidR="00B762C2" w:rsidRPr="00D94AE7">
        <w:t> </w:t>
      </w:r>
      <w:r w:rsidRPr="00D94AE7">
        <w:t xml:space="preserve">mg once daily. </w:t>
      </w:r>
      <w:r w:rsidR="00B762C2" w:rsidRPr="00D94AE7">
        <w:t xml:space="preserve"> </w:t>
      </w:r>
      <w:r w:rsidRPr="00D94AE7">
        <w:t xml:space="preserve">Permanently discontinue in case of further Grade </w:t>
      </w:r>
      <w:r w:rsidR="00DF5DF1" w:rsidRPr="00D94AE7">
        <w:t>≥</w:t>
      </w:r>
      <w:r w:rsidRPr="00D94AE7">
        <w:t>3 recurrence.</w:t>
      </w:r>
    </w:p>
    <w:p w:rsidR="00E40213" w:rsidRPr="00D94AE7" w:rsidRDefault="00E40213" w:rsidP="00D94AE7">
      <w:pPr>
        <w:pStyle w:val="TableText0"/>
        <w:ind w:left="142" w:hanging="142"/>
      </w:pPr>
      <w:r w:rsidRPr="00D94AE7">
        <w:t>c</w:t>
      </w:r>
      <w:r w:rsidR="00B762C2" w:rsidRPr="00D94AE7">
        <w:tab/>
      </w:r>
      <w:r w:rsidRPr="00D94AE7">
        <w:t>Not attributable to NSCLC progression, other pulmonary d</w:t>
      </w:r>
      <w:r w:rsidR="004B19C5" w:rsidRPr="00D94AE7">
        <w:t>isease, infection</w:t>
      </w:r>
      <w:r w:rsidRPr="00D94AE7">
        <w:t xml:space="preserve"> or radiation effect.</w:t>
      </w:r>
    </w:p>
    <w:p w:rsidR="00D94AE7" w:rsidRPr="00D94AE7" w:rsidRDefault="004B19C5" w:rsidP="00D94AE7">
      <w:pPr>
        <w:pStyle w:val="TableText0"/>
        <w:ind w:left="142" w:hanging="142"/>
      </w:pPr>
      <w:r w:rsidRPr="00D94AE7">
        <w:rPr>
          <w:szCs w:val="22"/>
        </w:rPr>
        <w:t>d</w:t>
      </w:r>
      <w:r w:rsidRPr="00D94AE7">
        <w:rPr>
          <w:szCs w:val="22"/>
        </w:rPr>
        <w:tab/>
      </w:r>
      <w:r w:rsidR="00D94AE7" w:rsidRPr="00D94AE7">
        <w:t>Heart rate less than 60 beats per minute (bpm).</w:t>
      </w:r>
    </w:p>
    <w:p w:rsidR="00D94AE7" w:rsidRPr="00D94AE7" w:rsidRDefault="00D94AE7" w:rsidP="00D94AE7">
      <w:pPr>
        <w:pStyle w:val="TableText0"/>
        <w:spacing w:after="240"/>
        <w:ind w:left="142" w:hanging="142"/>
        <w:rPr>
          <w:szCs w:val="22"/>
        </w:rPr>
      </w:pPr>
      <w:r w:rsidRPr="00D94AE7">
        <w:t xml:space="preserve">e </w:t>
      </w:r>
      <w:r>
        <w:tab/>
      </w:r>
      <w:r w:rsidRPr="00D94AE7">
        <w:t>Permanently discontinue for recurrence.</w:t>
      </w:r>
    </w:p>
    <w:p w:rsidR="00552A9E" w:rsidRDefault="00E40213" w:rsidP="00552A9E">
      <w:pPr>
        <w:pStyle w:val="PIHeading3"/>
      </w:pPr>
      <w:r w:rsidRPr="00891EFC">
        <w:t xml:space="preserve">Hepatic impairment  </w:t>
      </w:r>
    </w:p>
    <w:p w:rsidR="00E40213" w:rsidRPr="00883897" w:rsidRDefault="00704FF8" w:rsidP="0000512F">
      <w:pPr>
        <w:pStyle w:val="PINormal"/>
        <w:keepLines/>
        <w:rPr>
          <w:color w:val="000000"/>
        </w:rPr>
      </w:pPr>
      <w:r w:rsidRPr="00883897">
        <w:rPr>
          <w:rFonts w:eastAsia="Batang"/>
          <w:color w:val="000000"/>
          <w:lang w:eastAsia="zh-CN"/>
        </w:rPr>
        <w:t>As crizotinib is extensively metabol</w:t>
      </w:r>
      <w:r w:rsidR="00FF14D4" w:rsidRPr="00883897">
        <w:rPr>
          <w:rFonts w:eastAsia="Batang"/>
          <w:color w:val="000000"/>
          <w:lang w:eastAsia="zh-CN"/>
        </w:rPr>
        <w:t>is</w:t>
      </w:r>
      <w:r w:rsidRPr="00883897">
        <w:rPr>
          <w:rFonts w:eastAsia="Batang"/>
          <w:color w:val="000000"/>
          <w:lang w:eastAsia="zh-CN"/>
        </w:rPr>
        <w:t>ed in the liver, hepatic impairment is likely to increase plasma crizotinib concentrations.</w:t>
      </w:r>
      <w:r w:rsidR="00697CDA">
        <w:rPr>
          <w:rFonts w:eastAsia="Batang"/>
          <w:color w:val="000000"/>
          <w:lang w:eastAsia="zh-CN"/>
        </w:rPr>
        <w:t xml:space="preserve"> </w:t>
      </w:r>
      <w:r w:rsidRPr="00883897">
        <w:rPr>
          <w:rFonts w:eastAsia="Batang"/>
          <w:color w:val="000000"/>
          <w:lang w:eastAsia="zh-CN"/>
        </w:rPr>
        <w:t xml:space="preserve"> </w:t>
      </w:r>
      <w:r w:rsidR="00E40213" w:rsidRPr="00883897">
        <w:rPr>
          <w:color w:val="000000"/>
        </w:rPr>
        <w:t xml:space="preserve">XALKORI should be used with caution in patients with hepatic impairment (see </w:t>
      </w:r>
      <w:r w:rsidR="00F14EA8">
        <w:t xml:space="preserve">PHARMACOLOGY - Pharmacokinetics in Special Patient Groups – </w:t>
      </w:r>
      <w:r w:rsidR="00F14EA8">
        <w:rPr>
          <w:i/>
        </w:rPr>
        <w:t>Hepatic</w:t>
      </w:r>
      <w:r w:rsidR="00F14EA8" w:rsidRPr="00F14EA8">
        <w:rPr>
          <w:i/>
        </w:rPr>
        <w:t xml:space="preserve"> Insufficiency</w:t>
      </w:r>
      <w:r w:rsidR="00F14EA8" w:rsidRPr="00883897">
        <w:rPr>
          <w:color w:val="000000"/>
        </w:rPr>
        <w:t xml:space="preserve"> </w:t>
      </w:r>
      <w:r w:rsidR="00E40213" w:rsidRPr="00883897">
        <w:rPr>
          <w:color w:val="000000"/>
        </w:rPr>
        <w:t xml:space="preserve">and </w:t>
      </w:r>
      <w:r w:rsidR="00CE1AA2">
        <w:rPr>
          <w:color w:val="000000"/>
        </w:rPr>
        <w:t>PRECAUTIONS - Hepatotoxicity</w:t>
      </w:r>
      <w:r w:rsidR="00E40213" w:rsidRPr="00883897">
        <w:rPr>
          <w:color w:val="000000"/>
        </w:rPr>
        <w:t>).</w:t>
      </w:r>
      <w:r w:rsidR="00697CDA">
        <w:rPr>
          <w:color w:val="000000"/>
        </w:rPr>
        <w:t xml:space="preserve">  For patients who develop transaminase elevations, see Table</w:t>
      </w:r>
      <w:r w:rsidR="00F26836">
        <w:rPr>
          <w:color w:val="000000"/>
        </w:rPr>
        <w:t> </w:t>
      </w:r>
      <w:r w:rsidR="00BB6E00">
        <w:rPr>
          <w:color w:val="000000"/>
        </w:rPr>
        <w:t>7</w:t>
      </w:r>
      <w:r w:rsidR="00697CDA">
        <w:rPr>
          <w:color w:val="000000"/>
        </w:rPr>
        <w:t xml:space="preserve"> Crizotinib Dose Modification – Non-H</w:t>
      </w:r>
      <w:r w:rsidR="00597659">
        <w:rPr>
          <w:color w:val="000000"/>
        </w:rPr>
        <w:t>a</w:t>
      </w:r>
      <w:r w:rsidR="00697CDA">
        <w:rPr>
          <w:color w:val="000000"/>
        </w:rPr>
        <w:t>ematologic Toxicities</w:t>
      </w:r>
      <w:r w:rsidR="00F14EA8">
        <w:rPr>
          <w:color w:val="000000"/>
        </w:rPr>
        <w:t>.</w:t>
      </w:r>
    </w:p>
    <w:p w:rsidR="00552A9E" w:rsidRDefault="00E40213" w:rsidP="00552A9E">
      <w:pPr>
        <w:pStyle w:val="PIHeading3"/>
      </w:pPr>
      <w:r w:rsidRPr="00891EFC">
        <w:t>Renal impairment</w:t>
      </w:r>
    </w:p>
    <w:p w:rsidR="00023884" w:rsidRPr="00883897" w:rsidRDefault="00023884" w:rsidP="0000512F">
      <w:pPr>
        <w:pStyle w:val="PINormal"/>
        <w:keepLines/>
        <w:rPr>
          <w:color w:val="000000"/>
        </w:rPr>
      </w:pPr>
      <w:r w:rsidRPr="00352CCA">
        <w:t xml:space="preserve">No starting dose adjustment is needed for patients with mild (CLcr </w:t>
      </w:r>
      <w:r w:rsidR="00BA6D16">
        <w:t xml:space="preserve">60 to </w:t>
      </w:r>
      <w:r>
        <w:rPr>
          <w:kern w:val="32"/>
        </w:rPr>
        <w:t>&lt; </w:t>
      </w:r>
      <w:r w:rsidRPr="00352CCA">
        <w:t>90</w:t>
      </w:r>
      <w:r>
        <w:t> </w:t>
      </w:r>
      <w:r w:rsidRPr="00352CCA">
        <w:t xml:space="preserve">mL/min) </w:t>
      </w:r>
      <w:r>
        <w:t xml:space="preserve">or </w:t>
      </w:r>
      <w:r w:rsidRPr="00352CCA">
        <w:t xml:space="preserve">moderate </w:t>
      </w:r>
      <w:r>
        <w:t xml:space="preserve">(CLcr </w:t>
      </w:r>
      <w:r w:rsidR="00BA6D16">
        <w:t xml:space="preserve">30 to </w:t>
      </w:r>
      <w:r>
        <w:t>&lt; 60 </w:t>
      </w:r>
      <w:r w:rsidRPr="00352CCA">
        <w:t>mL/min)</w:t>
      </w:r>
      <w:r w:rsidRPr="00555F71">
        <w:t xml:space="preserve"> </w:t>
      </w:r>
      <w:r>
        <w:t>renal impairment</w:t>
      </w:r>
      <w:r w:rsidR="00FF360B">
        <w:t>.</w:t>
      </w:r>
      <w:r w:rsidRPr="00771FA3">
        <w:t xml:space="preserve">  The crizotinib dose should be adjusted to 250 mg taken orally once daily in patients with severe renal impairment not requiring peritoneal dialysis or h</w:t>
      </w:r>
      <w:r w:rsidR="00C60D8D" w:rsidRPr="00771FA3">
        <w:t>a</w:t>
      </w:r>
      <w:r w:rsidRPr="00771FA3">
        <w:t xml:space="preserve">emodialysis.  The dose may be increased to 200 mg twice daily based on individual safety and tolerability after at least 4 weeks of treatment (see </w:t>
      </w:r>
      <w:r w:rsidR="00697CDA" w:rsidRPr="00771FA3">
        <w:t xml:space="preserve">PHARMACOLOGY - Pharmacokinetics in Special Patient Groups – </w:t>
      </w:r>
      <w:r w:rsidR="00697CDA" w:rsidRPr="00771FA3">
        <w:rPr>
          <w:i/>
        </w:rPr>
        <w:t>Renal Insufficiency</w:t>
      </w:r>
      <w:r w:rsidRPr="00771FA3">
        <w:t>).</w:t>
      </w:r>
      <w:r>
        <w:t xml:space="preserve">  </w:t>
      </w:r>
    </w:p>
    <w:p w:rsidR="00812C64" w:rsidRPr="00883897" w:rsidRDefault="00812C64" w:rsidP="00CC1938">
      <w:pPr>
        <w:pStyle w:val="PIHeading1"/>
        <w:rPr>
          <w:color w:val="000000"/>
        </w:rPr>
      </w:pPr>
      <w:r w:rsidRPr="00883897">
        <w:rPr>
          <w:color w:val="000000"/>
        </w:rPr>
        <w:lastRenderedPageBreak/>
        <w:t>OVERDOSAGE</w:t>
      </w:r>
      <w:r w:rsidR="003233A7" w:rsidRPr="00883897">
        <w:rPr>
          <w:color w:val="000000"/>
        </w:rPr>
        <w:t xml:space="preserve"> </w:t>
      </w:r>
    </w:p>
    <w:p w:rsidR="00032A27" w:rsidRPr="00883897" w:rsidRDefault="00032A27" w:rsidP="0000512F">
      <w:pPr>
        <w:pStyle w:val="PINormal"/>
        <w:keepLines/>
        <w:rPr>
          <w:color w:val="000000"/>
          <w:szCs w:val="22"/>
        </w:rPr>
      </w:pPr>
      <w:r w:rsidRPr="00883897">
        <w:rPr>
          <w:color w:val="000000"/>
          <w:szCs w:val="22"/>
        </w:rPr>
        <w:t xml:space="preserve">There have been no known cases of XALKORI overdose.  Treatment of overdose with XALKORI should consist of general supportive measures.  There is no antidote for XALKORI. </w:t>
      </w:r>
    </w:p>
    <w:p w:rsidR="00032A27" w:rsidRPr="00883897" w:rsidRDefault="00032A27" w:rsidP="00032A27">
      <w:pPr>
        <w:pStyle w:val="PINormal"/>
        <w:rPr>
          <w:color w:val="000000"/>
          <w:szCs w:val="22"/>
        </w:rPr>
      </w:pPr>
      <w:r w:rsidRPr="00883897">
        <w:rPr>
          <w:color w:val="000000"/>
          <w:szCs w:val="22"/>
        </w:rPr>
        <w:t>For information on the management of overdose, contact the Poison Information Centre on 13 11 26.</w:t>
      </w:r>
    </w:p>
    <w:p w:rsidR="00812C64" w:rsidRPr="00883897" w:rsidRDefault="00812C64" w:rsidP="00CC1938">
      <w:pPr>
        <w:pStyle w:val="PIHeading1"/>
        <w:rPr>
          <w:color w:val="000000"/>
        </w:rPr>
      </w:pPr>
      <w:r w:rsidRPr="00883897">
        <w:rPr>
          <w:color w:val="000000"/>
        </w:rPr>
        <w:t>PRESENTATION</w:t>
      </w:r>
      <w:r w:rsidR="00BA4894" w:rsidRPr="00883897">
        <w:rPr>
          <w:color w:val="000000"/>
        </w:rPr>
        <w:t xml:space="preserve"> AND STORAGE CONDITIONS</w:t>
      </w:r>
      <w:r w:rsidR="003233A7" w:rsidRPr="00883897">
        <w:rPr>
          <w:color w:val="000000"/>
        </w:rPr>
        <w:t xml:space="preserve"> </w:t>
      </w:r>
    </w:p>
    <w:p w:rsidR="00133C97" w:rsidRPr="00883897" w:rsidRDefault="00133C97" w:rsidP="0000512F">
      <w:pPr>
        <w:pStyle w:val="PINormal"/>
        <w:keepLines/>
        <w:rPr>
          <w:b/>
          <w:color w:val="000000"/>
        </w:rPr>
      </w:pPr>
      <w:r w:rsidRPr="00883897">
        <w:rPr>
          <w:color w:val="000000"/>
        </w:rPr>
        <w:t xml:space="preserve">200 mg strength: hard gelatin capsule with white </w:t>
      </w:r>
      <w:r w:rsidR="00847DE2" w:rsidRPr="00883897">
        <w:rPr>
          <w:color w:val="000000"/>
        </w:rPr>
        <w:t xml:space="preserve">opaque </w:t>
      </w:r>
      <w:r w:rsidRPr="00883897">
        <w:rPr>
          <w:color w:val="000000"/>
        </w:rPr>
        <w:t>body</w:t>
      </w:r>
      <w:r w:rsidR="00FA04A4" w:rsidRPr="00883897">
        <w:rPr>
          <w:color w:val="000000"/>
        </w:rPr>
        <w:t xml:space="preserve"> and pink opaque cap containing a white</w:t>
      </w:r>
      <w:r w:rsidR="00D562DC" w:rsidRPr="00883897">
        <w:rPr>
          <w:color w:val="000000"/>
        </w:rPr>
        <w:t xml:space="preserve"> to pale </w:t>
      </w:r>
      <w:r w:rsidR="00FA04A4" w:rsidRPr="00883897">
        <w:rPr>
          <w:color w:val="000000"/>
        </w:rPr>
        <w:t>yellow powder</w:t>
      </w:r>
      <w:r w:rsidRPr="00883897">
        <w:rPr>
          <w:color w:val="000000"/>
        </w:rPr>
        <w:t>, printed with black ink “Pfizer” on the cap, “CRZ 200” on the body</w:t>
      </w:r>
      <w:r w:rsidR="00662D45" w:rsidRPr="00883897">
        <w:rPr>
          <w:color w:val="000000"/>
        </w:rPr>
        <w:t>.</w:t>
      </w:r>
      <w:r w:rsidR="002358E0" w:rsidRPr="00883897">
        <w:rPr>
          <w:color w:val="000000"/>
        </w:rPr>
        <w:t xml:space="preserve"> </w:t>
      </w:r>
      <w:r w:rsidRPr="00883897">
        <w:rPr>
          <w:color w:val="000000"/>
        </w:rPr>
        <w:t xml:space="preserve"> Bottles or blister packs contain 60 capsules.</w:t>
      </w:r>
      <w:r w:rsidR="00D16F35" w:rsidRPr="00883897">
        <w:rPr>
          <w:color w:val="000000"/>
        </w:rPr>
        <w:t xml:space="preserve"> </w:t>
      </w:r>
    </w:p>
    <w:p w:rsidR="00133C97" w:rsidRPr="00883897" w:rsidRDefault="00133C97" w:rsidP="0000512F">
      <w:pPr>
        <w:pStyle w:val="PINormal"/>
        <w:keepLines/>
        <w:rPr>
          <w:color w:val="000000"/>
        </w:rPr>
      </w:pPr>
      <w:r w:rsidRPr="00883897">
        <w:rPr>
          <w:color w:val="000000"/>
        </w:rPr>
        <w:t xml:space="preserve">250 mg strength: hard gelatin capsule with pink </w:t>
      </w:r>
      <w:r w:rsidR="00847DE2" w:rsidRPr="00883897">
        <w:rPr>
          <w:color w:val="000000"/>
        </w:rPr>
        <w:t xml:space="preserve">opaque </w:t>
      </w:r>
      <w:r w:rsidRPr="00883897">
        <w:rPr>
          <w:color w:val="000000"/>
        </w:rPr>
        <w:t>cap and body</w:t>
      </w:r>
      <w:r w:rsidR="00183D3F" w:rsidRPr="00883897">
        <w:rPr>
          <w:color w:val="000000"/>
        </w:rPr>
        <w:t xml:space="preserve"> containing a white</w:t>
      </w:r>
      <w:r w:rsidR="00D562DC" w:rsidRPr="00883897">
        <w:rPr>
          <w:color w:val="000000"/>
        </w:rPr>
        <w:t xml:space="preserve"> to pale </w:t>
      </w:r>
      <w:r w:rsidR="00183D3F" w:rsidRPr="00883897">
        <w:rPr>
          <w:color w:val="000000"/>
        </w:rPr>
        <w:t>yellow powder</w:t>
      </w:r>
      <w:r w:rsidRPr="00883897">
        <w:rPr>
          <w:color w:val="000000"/>
        </w:rPr>
        <w:t>, printed with black ink “Pfizer” on the cap, “CRZ 250” on the body</w:t>
      </w:r>
      <w:r w:rsidR="00662D45" w:rsidRPr="00883897">
        <w:rPr>
          <w:color w:val="000000"/>
        </w:rPr>
        <w:t>.</w:t>
      </w:r>
      <w:r w:rsidR="002358E0" w:rsidRPr="00883897">
        <w:rPr>
          <w:color w:val="000000"/>
        </w:rPr>
        <w:t xml:space="preserve"> </w:t>
      </w:r>
      <w:r w:rsidRPr="00883897">
        <w:rPr>
          <w:color w:val="000000"/>
        </w:rPr>
        <w:t xml:space="preserve"> Bottles or blister packs contain 60 capsules.</w:t>
      </w:r>
      <w:r w:rsidR="00D16F35" w:rsidRPr="00883897">
        <w:rPr>
          <w:color w:val="000000"/>
        </w:rPr>
        <w:t xml:space="preserve"> </w:t>
      </w:r>
    </w:p>
    <w:p w:rsidR="003233A7" w:rsidRPr="00883897" w:rsidRDefault="00133C97" w:rsidP="00133C97">
      <w:pPr>
        <w:pStyle w:val="PINormal"/>
        <w:rPr>
          <w:color w:val="000000"/>
          <w:szCs w:val="24"/>
        </w:rPr>
      </w:pPr>
      <w:r w:rsidRPr="00883897">
        <w:rPr>
          <w:color w:val="000000"/>
        </w:rPr>
        <w:t>Store below 30°C.</w:t>
      </w:r>
      <w:r w:rsidR="00D16F35" w:rsidRPr="00883897">
        <w:rPr>
          <w:color w:val="000000"/>
        </w:rPr>
        <w:t xml:space="preserve"> </w:t>
      </w:r>
    </w:p>
    <w:p w:rsidR="00812C64" w:rsidRPr="00883897" w:rsidRDefault="00812C64" w:rsidP="001A5262">
      <w:pPr>
        <w:pStyle w:val="PIHeading1"/>
        <w:rPr>
          <w:color w:val="000000"/>
        </w:rPr>
      </w:pPr>
      <w:r w:rsidRPr="00883897">
        <w:rPr>
          <w:color w:val="000000"/>
        </w:rPr>
        <w:t xml:space="preserve">NAME AND ADDRESS OF </w:t>
      </w:r>
      <w:r w:rsidR="00773BA3" w:rsidRPr="00883897">
        <w:rPr>
          <w:color w:val="000000"/>
        </w:rPr>
        <w:t xml:space="preserve">the </w:t>
      </w:r>
      <w:r w:rsidRPr="00883897">
        <w:rPr>
          <w:color w:val="000000"/>
        </w:rPr>
        <w:t>SPONSOR</w:t>
      </w:r>
    </w:p>
    <w:p w:rsidR="00812C64" w:rsidRPr="00883897" w:rsidRDefault="00812C64" w:rsidP="00FA489A">
      <w:pPr>
        <w:pStyle w:val="PITableText"/>
      </w:pPr>
      <w:r w:rsidRPr="00883897">
        <w:t>Pfizer Australia Pt</w:t>
      </w:r>
      <w:r w:rsidR="00832C92" w:rsidRPr="00883897">
        <w:t>y Ltd</w:t>
      </w:r>
    </w:p>
    <w:p w:rsidR="00812C64" w:rsidRPr="00883897" w:rsidRDefault="00812C64" w:rsidP="00FA489A">
      <w:pPr>
        <w:pStyle w:val="PITableText"/>
      </w:pPr>
      <w:r w:rsidRPr="00883897">
        <w:t>A.B.N. 5000 8422 348</w:t>
      </w:r>
    </w:p>
    <w:p w:rsidR="00812C64" w:rsidRPr="00883897" w:rsidRDefault="00812C64" w:rsidP="00FA489A">
      <w:pPr>
        <w:pStyle w:val="PITableText"/>
      </w:pPr>
      <w:r w:rsidRPr="00883897">
        <w:t>38-42 Wharf Road</w:t>
      </w:r>
    </w:p>
    <w:p w:rsidR="00812C64" w:rsidRPr="00883897" w:rsidRDefault="00812C64" w:rsidP="006F3A0E">
      <w:pPr>
        <w:pStyle w:val="PINormal"/>
        <w:rPr>
          <w:color w:val="000000"/>
        </w:rPr>
      </w:pPr>
      <w:r w:rsidRPr="00883897">
        <w:rPr>
          <w:color w:val="000000"/>
        </w:rPr>
        <w:t>WEST RYDE  NSW  2114</w:t>
      </w:r>
    </w:p>
    <w:p w:rsidR="00EC69FE" w:rsidRPr="00883897" w:rsidRDefault="00894142" w:rsidP="00CC1938">
      <w:pPr>
        <w:pStyle w:val="PIHeading1"/>
        <w:rPr>
          <w:color w:val="000000"/>
        </w:rPr>
      </w:pPr>
      <w:r w:rsidRPr="00883897">
        <w:rPr>
          <w:color w:val="000000"/>
        </w:rPr>
        <w:t>POISO</w:t>
      </w:r>
      <w:r w:rsidR="00EC69FE" w:rsidRPr="00883897">
        <w:rPr>
          <w:color w:val="000000"/>
        </w:rPr>
        <w:t>N SCHEDULE</w:t>
      </w:r>
      <w:r w:rsidR="00861B27" w:rsidRPr="00883897">
        <w:rPr>
          <w:color w:val="000000"/>
        </w:rPr>
        <w:t xml:space="preserve"> </w:t>
      </w:r>
      <w:r w:rsidR="00FA489A" w:rsidRPr="00883897">
        <w:rPr>
          <w:color w:val="000000"/>
        </w:rPr>
        <w:t>OF THE MEDICINE</w:t>
      </w:r>
    </w:p>
    <w:p w:rsidR="003233A7" w:rsidRPr="00883897" w:rsidRDefault="001A5262" w:rsidP="001A5262">
      <w:pPr>
        <w:pStyle w:val="PINormal"/>
        <w:rPr>
          <w:color w:val="000000"/>
        </w:rPr>
      </w:pPr>
      <w:r w:rsidRPr="00883897">
        <w:rPr>
          <w:color w:val="000000"/>
        </w:rPr>
        <w:t xml:space="preserve">S4 </w:t>
      </w:r>
      <w:r w:rsidR="003233A7" w:rsidRPr="00883897">
        <w:rPr>
          <w:color w:val="000000"/>
        </w:rPr>
        <w:t>(</w:t>
      </w:r>
      <w:r w:rsidRPr="00883897">
        <w:rPr>
          <w:color w:val="000000"/>
        </w:rPr>
        <w:t>Prescription Medicine</w:t>
      </w:r>
      <w:r w:rsidR="003233A7" w:rsidRPr="00883897">
        <w:rPr>
          <w:color w:val="000000"/>
        </w:rPr>
        <w:t>)</w:t>
      </w:r>
    </w:p>
    <w:p w:rsidR="00EC69FE" w:rsidRPr="00F171BC" w:rsidRDefault="00EC69FE" w:rsidP="00CC1938">
      <w:pPr>
        <w:pStyle w:val="PIHeading1"/>
        <w:rPr>
          <w:color w:val="000000"/>
        </w:rPr>
      </w:pPr>
      <w:r w:rsidRPr="00F171BC">
        <w:rPr>
          <w:color w:val="000000"/>
        </w:rPr>
        <w:t xml:space="preserve">DATE OF </w:t>
      </w:r>
      <w:r w:rsidR="00847DE2">
        <w:rPr>
          <w:color w:val="000000"/>
        </w:rPr>
        <w:t>FIRST INCLUSION IN THE AUSTRALIAN REGISTER OF THERAPEUTIC GOODS (the ARTG)</w:t>
      </w:r>
    </w:p>
    <w:p w:rsidR="003233A7" w:rsidRDefault="0084294C" w:rsidP="00847DE2">
      <w:pPr>
        <w:pStyle w:val="PINormal"/>
      </w:pPr>
      <w:r>
        <w:t>27 September</w:t>
      </w:r>
      <w:r w:rsidR="00847DE2" w:rsidRPr="00450196">
        <w:t xml:space="preserve"> 201</w:t>
      </w:r>
      <w:r w:rsidR="006E730B">
        <w:t>3</w:t>
      </w:r>
    </w:p>
    <w:p w:rsidR="00D026AF" w:rsidRDefault="00D026AF" w:rsidP="00D026AF">
      <w:pPr>
        <w:pStyle w:val="PIHeading1"/>
      </w:pPr>
      <w:r>
        <w:t>Date of most recent amendment</w:t>
      </w:r>
    </w:p>
    <w:p w:rsidR="00D026AF" w:rsidRPr="000D1DC2" w:rsidRDefault="003B0F22" w:rsidP="00D026AF">
      <w:pPr>
        <w:pStyle w:val="PINormal"/>
        <w:rPr>
          <w:color w:val="000000"/>
        </w:rPr>
      </w:pPr>
      <w:r>
        <w:rPr>
          <w:color w:val="000000"/>
        </w:rPr>
        <w:t>11</w:t>
      </w:r>
      <w:r w:rsidR="004A63A7">
        <w:rPr>
          <w:color w:val="000000"/>
        </w:rPr>
        <w:t> </w:t>
      </w:r>
      <w:r>
        <w:rPr>
          <w:color w:val="000000"/>
        </w:rPr>
        <w:t>March</w:t>
      </w:r>
      <w:r w:rsidR="004A63A7">
        <w:rPr>
          <w:color w:val="000000"/>
        </w:rPr>
        <w:t xml:space="preserve"> 2014</w:t>
      </w:r>
    </w:p>
    <w:p w:rsidR="00F26C63" w:rsidRPr="001A5262" w:rsidRDefault="00B60D1F" w:rsidP="00494681">
      <w:pPr>
        <w:pStyle w:val="PINormal"/>
        <w:rPr>
          <w:b/>
          <w:color w:val="000000"/>
          <w:szCs w:val="24"/>
        </w:rPr>
      </w:pPr>
      <w:r>
        <w:rPr>
          <w:rStyle w:val="PIRegisteredTrademarkSign"/>
          <w:color w:val="000000"/>
          <w:szCs w:val="32"/>
        </w:rPr>
        <w:t>®</w:t>
      </w:r>
      <w:r w:rsidR="00F26C63" w:rsidRPr="00F171BC">
        <w:rPr>
          <w:color w:val="000000"/>
        </w:rPr>
        <w:t xml:space="preserve"> </w:t>
      </w:r>
      <w:r>
        <w:rPr>
          <w:color w:val="000000"/>
        </w:rPr>
        <w:t>Registered</w:t>
      </w:r>
      <w:r w:rsidRPr="00F171BC">
        <w:rPr>
          <w:color w:val="000000"/>
        </w:rPr>
        <w:t xml:space="preserve"> </w:t>
      </w:r>
      <w:r w:rsidR="00F26C63" w:rsidRPr="00F171BC">
        <w:rPr>
          <w:color w:val="000000"/>
        </w:rPr>
        <w:t>trademark</w:t>
      </w:r>
    </w:p>
    <w:sectPr w:rsidR="00F26C63" w:rsidRPr="001A5262" w:rsidSect="00ED6724">
      <w:headerReference w:type="default" r:id="rId12"/>
      <w:footerReference w:type="default" r:id="rId13"/>
      <w:pgSz w:w="11906" w:h="16838" w:code="9"/>
      <w:pgMar w:top="1134" w:right="1247" w:bottom="1134" w:left="147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EA3" w:rsidRDefault="00ED5EA3">
      <w:r>
        <w:separator/>
      </w:r>
    </w:p>
  </w:endnote>
  <w:endnote w:type="continuationSeparator" w:id="0">
    <w:p w:rsidR="00ED5EA3" w:rsidRDefault="00ED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03" w:rsidRPr="00BB3EB3" w:rsidRDefault="00527303" w:rsidP="000A3A34">
    <w:pPr>
      <w:pStyle w:val="PIFooter"/>
      <w:tabs>
        <w:tab w:val="clear" w:pos="8800"/>
        <w:tab w:val="right" w:pos="9214"/>
      </w:tabs>
      <w:spacing w:line="240" w:lineRule="auto"/>
      <w:rPr>
        <w:color w:val="000000"/>
      </w:rPr>
    </w:pPr>
    <w:r w:rsidRPr="00BB3EB3">
      <w:rPr>
        <w:color w:val="000000"/>
      </w:rPr>
      <w:t>Version: pfp</w:t>
    </w:r>
    <w:r>
      <w:rPr>
        <w:color w:val="000000"/>
      </w:rPr>
      <w:t>xalk</w:t>
    </w:r>
    <w:r w:rsidRPr="00BB3EB3">
      <w:rPr>
        <w:color w:val="000000"/>
      </w:rPr>
      <w:t>c</w:t>
    </w:r>
    <w:r>
      <w:rPr>
        <w:color w:val="000000"/>
      </w:rPr>
      <w:t>10</w:t>
    </w:r>
    <w:r w:rsidR="003B0F22">
      <w:rPr>
        <w:color w:val="000000"/>
      </w:rPr>
      <w:t>3</w:t>
    </w:r>
    <w:r>
      <w:rPr>
        <w:color w:val="000000"/>
      </w:rPr>
      <w:t>14</w:t>
    </w:r>
    <w:r w:rsidRPr="00BB3EB3">
      <w:rPr>
        <w:color w:val="000000"/>
      </w:rPr>
      <w:tab/>
      <w:t xml:space="preserve">Supersedes: </w:t>
    </w:r>
    <w:r w:rsidRPr="00E20BE8">
      <w:rPr>
        <w:color w:val="000000"/>
      </w:rPr>
      <w:t xml:space="preserve"> </w:t>
    </w:r>
    <w:r w:rsidRPr="00BB3EB3">
      <w:rPr>
        <w:color w:val="000000"/>
      </w:rPr>
      <w:t>pfpcrizc</w:t>
    </w:r>
    <w:r>
      <w:rPr>
        <w:color w:val="000000"/>
      </w:rPr>
      <w:t>11213</w:t>
    </w:r>
  </w:p>
  <w:p w:rsidR="00527303" w:rsidRPr="00BB3EB3" w:rsidRDefault="00527303" w:rsidP="000A3A34">
    <w:pPr>
      <w:pStyle w:val="PIFooter"/>
      <w:tabs>
        <w:tab w:val="clear" w:pos="8800"/>
        <w:tab w:val="right" w:pos="9214"/>
        <w:tab w:val="right" w:pos="9356"/>
      </w:tabs>
      <w:spacing w:line="240" w:lineRule="auto"/>
      <w:rPr>
        <w:color w:val="000000"/>
      </w:rPr>
    </w:pPr>
    <w:r w:rsidRPr="00BB3EB3">
      <w:rPr>
        <w:color w:val="000000"/>
      </w:rPr>
      <w:tab/>
    </w:r>
    <w:r w:rsidRPr="00BB3EB3">
      <w:rPr>
        <w:color w:val="000000"/>
        <w:lang w:val="en-US"/>
      </w:rPr>
      <w:t xml:space="preserve">Page </w:t>
    </w:r>
    <w:r w:rsidRPr="00BB3EB3">
      <w:rPr>
        <w:color w:val="000000"/>
        <w:lang w:val="en-US"/>
      </w:rPr>
      <w:fldChar w:fldCharType="begin"/>
    </w:r>
    <w:r w:rsidRPr="00BB3EB3">
      <w:rPr>
        <w:color w:val="000000"/>
        <w:lang w:val="en-US"/>
      </w:rPr>
      <w:instrText xml:space="preserve"> PAGE </w:instrText>
    </w:r>
    <w:r w:rsidRPr="00BB3EB3">
      <w:rPr>
        <w:color w:val="000000"/>
        <w:lang w:val="en-US"/>
      </w:rPr>
      <w:fldChar w:fldCharType="separate"/>
    </w:r>
    <w:r w:rsidR="00D736E2">
      <w:rPr>
        <w:noProof/>
        <w:color w:val="000000"/>
        <w:lang w:val="en-US"/>
      </w:rPr>
      <w:t>1</w:t>
    </w:r>
    <w:r w:rsidRPr="00BB3EB3">
      <w:rPr>
        <w:color w:val="000000"/>
        <w:lang w:val="en-US"/>
      </w:rPr>
      <w:fldChar w:fldCharType="end"/>
    </w:r>
    <w:r w:rsidRPr="00BB3EB3">
      <w:rPr>
        <w:color w:val="000000"/>
        <w:lang w:val="en-US"/>
      </w:rPr>
      <w:t xml:space="preserve"> of </w:t>
    </w:r>
    <w:r w:rsidRPr="00BB3EB3">
      <w:rPr>
        <w:color w:val="000000"/>
        <w:lang w:val="en-US"/>
      </w:rPr>
      <w:fldChar w:fldCharType="begin"/>
    </w:r>
    <w:r w:rsidRPr="00BB3EB3">
      <w:rPr>
        <w:color w:val="000000"/>
        <w:lang w:val="en-US"/>
      </w:rPr>
      <w:instrText xml:space="preserve"> NUMPAGES </w:instrText>
    </w:r>
    <w:r w:rsidRPr="00BB3EB3">
      <w:rPr>
        <w:color w:val="000000"/>
        <w:lang w:val="en-US"/>
      </w:rPr>
      <w:fldChar w:fldCharType="separate"/>
    </w:r>
    <w:r w:rsidR="00D736E2">
      <w:rPr>
        <w:noProof/>
        <w:color w:val="000000"/>
        <w:lang w:val="en-US"/>
      </w:rPr>
      <w:t>22</w:t>
    </w:r>
    <w:r w:rsidRPr="00BB3EB3">
      <w:rPr>
        <w:color w:val="00000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EA3" w:rsidRDefault="00ED5EA3">
      <w:r>
        <w:separator/>
      </w:r>
    </w:p>
  </w:footnote>
  <w:footnote w:type="continuationSeparator" w:id="0">
    <w:p w:rsidR="00ED5EA3" w:rsidRDefault="00ED5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D736E2" w:rsidRPr="00D736E2" w:rsidTr="007C7AAB">
      <w:tc>
        <w:tcPr>
          <w:tcW w:w="8720" w:type="dxa"/>
          <w:shd w:val="clear" w:color="auto" w:fill="E4F2E0"/>
        </w:tcPr>
        <w:p w:rsidR="00D736E2" w:rsidRPr="00D736E2" w:rsidRDefault="00D736E2" w:rsidP="00D736E2">
          <w:pPr>
            <w:spacing w:before="40" w:after="40" w:line="240" w:lineRule="atLeast"/>
            <w:jc w:val="left"/>
            <w:rPr>
              <w:b/>
              <w:sz w:val="20"/>
            </w:rPr>
          </w:pPr>
          <w:r w:rsidRPr="00D736E2">
            <w:rPr>
              <w:b/>
              <w:sz w:val="20"/>
            </w:rPr>
            <w:t>Attachment 1: Product information for AusPAR Xalkori Crizotinib Pfizer Australia Pty Ltd PM-2011-02752-3-4 Final 20 June 2013 Updated 12 March 2014. This Product Information was approved at the time this AusPAR was published.</w:t>
          </w:r>
        </w:p>
      </w:tc>
    </w:tr>
  </w:tbl>
  <w:p w:rsidR="00D736E2" w:rsidRDefault="00D73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60BAE0"/>
    <w:lvl w:ilvl="0">
      <w:start w:val="1"/>
      <w:numFmt w:val="decimal"/>
      <w:lvlText w:val="%1."/>
      <w:lvlJc w:val="left"/>
      <w:pPr>
        <w:tabs>
          <w:tab w:val="num" w:pos="1492"/>
        </w:tabs>
        <w:ind w:left="1492" w:hanging="360"/>
      </w:pPr>
    </w:lvl>
  </w:abstractNum>
  <w:abstractNum w:abstractNumId="1">
    <w:nsid w:val="FFFFFF7D"/>
    <w:multiLevelType w:val="singleLevel"/>
    <w:tmpl w:val="B700FE54"/>
    <w:lvl w:ilvl="0">
      <w:start w:val="1"/>
      <w:numFmt w:val="decimal"/>
      <w:lvlText w:val="%1."/>
      <w:lvlJc w:val="left"/>
      <w:pPr>
        <w:tabs>
          <w:tab w:val="num" w:pos="1209"/>
        </w:tabs>
        <w:ind w:left="1209" w:hanging="360"/>
      </w:pPr>
    </w:lvl>
  </w:abstractNum>
  <w:abstractNum w:abstractNumId="2">
    <w:nsid w:val="FFFFFF7E"/>
    <w:multiLevelType w:val="singleLevel"/>
    <w:tmpl w:val="290AB4DA"/>
    <w:lvl w:ilvl="0">
      <w:start w:val="1"/>
      <w:numFmt w:val="decimal"/>
      <w:lvlText w:val="%1."/>
      <w:lvlJc w:val="left"/>
      <w:pPr>
        <w:tabs>
          <w:tab w:val="num" w:pos="926"/>
        </w:tabs>
        <w:ind w:left="926" w:hanging="360"/>
      </w:pPr>
    </w:lvl>
  </w:abstractNum>
  <w:abstractNum w:abstractNumId="3">
    <w:nsid w:val="FFFFFF7F"/>
    <w:multiLevelType w:val="singleLevel"/>
    <w:tmpl w:val="242C01FC"/>
    <w:lvl w:ilvl="0">
      <w:start w:val="1"/>
      <w:numFmt w:val="decimal"/>
      <w:lvlText w:val="%1."/>
      <w:lvlJc w:val="left"/>
      <w:pPr>
        <w:tabs>
          <w:tab w:val="num" w:pos="643"/>
        </w:tabs>
        <w:ind w:left="643" w:hanging="360"/>
      </w:pPr>
    </w:lvl>
  </w:abstractNum>
  <w:abstractNum w:abstractNumId="4">
    <w:nsid w:val="FFFFFF80"/>
    <w:multiLevelType w:val="singleLevel"/>
    <w:tmpl w:val="3CA62E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5025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74CC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0A92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58D0CA"/>
    <w:lvl w:ilvl="0">
      <w:start w:val="1"/>
      <w:numFmt w:val="decimal"/>
      <w:lvlText w:val="%1."/>
      <w:lvlJc w:val="left"/>
      <w:pPr>
        <w:tabs>
          <w:tab w:val="num" w:pos="360"/>
        </w:tabs>
        <w:ind w:left="360" w:hanging="360"/>
      </w:pPr>
    </w:lvl>
  </w:abstractNum>
  <w:abstractNum w:abstractNumId="9">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477382"/>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1"/>
  </w:num>
  <w:num w:numId="3">
    <w:abstractNumId w:val="9"/>
  </w:num>
  <w:num w:numId="4">
    <w:abstractNumId w:val="8"/>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09"/>
    <w:rsid w:val="00002595"/>
    <w:rsid w:val="0000512F"/>
    <w:rsid w:val="000059C4"/>
    <w:rsid w:val="0000682E"/>
    <w:rsid w:val="00006C2C"/>
    <w:rsid w:val="000104F7"/>
    <w:rsid w:val="0001187F"/>
    <w:rsid w:val="00012BAA"/>
    <w:rsid w:val="00013F39"/>
    <w:rsid w:val="00014743"/>
    <w:rsid w:val="00020D3F"/>
    <w:rsid w:val="00021A95"/>
    <w:rsid w:val="00023057"/>
    <w:rsid w:val="00023884"/>
    <w:rsid w:val="0002396C"/>
    <w:rsid w:val="00024D0F"/>
    <w:rsid w:val="00025122"/>
    <w:rsid w:val="00026C99"/>
    <w:rsid w:val="00027AC9"/>
    <w:rsid w:val="000318AB"/>
    <w:rsid w:val="00032A27"/>
    <w:rsid w:val="000333D7"/>
    <w:rsid w:val="00037B14"/>
    <w:rsid w:val="00037DE6"/>
    <w:rsid w:val="00043652"/>
    <w:rsid w:val="00043B84"/>
    <w:rsid w:val="000444F9"/>
    <w:rsid w:val="00044BB2"/>
    <w:rsid w:val="00045242"/>
    <w:rsid w:val="000452D4"/>
    <w:rsid w:val="000466F6"/>
    <w:rsid w:val="00050E16"/>
    <w:rsid w:val="00052CDE"/>
    <w:rsid w:val="00054DC6"/>
    <w:rsid w:val="00054F08"/>
    <w:rsid w:val="000553E4"/>
    <w:rsid w:val="000567E5"/>
    <w:rsid w:val="00056EF5"/>
    <w:rsid w:val="000571B7"/>
    <w:rsid w:val="00061A1B"/>
    <w:rsid w:val="00061BA7"/>
    <w:rsid w:val="00061BB8"/>
    <w:rsid w:val="00062063"/>
    <w:rsid w:val="000646A6"/>
    <w:rsid w:val="0006492E"/>
    <w:rsid w:val="00064CA3"/>
    <w:rsid w:val="000650A1"/>
    <w:rsid w:val="000731BF"/>
    <w:rsid w:val="00073BC9"/>
    <w:rsid w:val="00074307"/>
    <w:rsid w:val="0007667C"/>
    <w:rsid w:val="000801D5"/>
    <w:rsid w:val="000803FD"/>
    <w:rsid w:val="000807D5"/>
    <w:rsid w:val="00084F79"/>
    <w:rsid w:val="00085942"/>
    <w:rsid w:val="00086BA0"/>
    <w:rsid w:val="00090388"/>
    <w:rsid w:val="00091595"/>
    <w:rsid w:val="00093107"/>
    <w:rsid w:val="00094489"/>
    <w:rsid w:val="000960CF"/>
    <w:rsid w:val="00096A09"/>
    <w:rsid w:val="000A2CFF"/>
    <w:rsid w:val="000A3A34"/>
    <w:rsid w:val="000A6789"/>
    <w:rsid w:val="000A7CCF"/>
    <w:rsid w:val="000B3979"/>
    <w:rsid w:val="000B601C"/>
    <w:rsid w:val="000B7BA3"/>
    <w:rsid w:val="000C01CC"/>
    <w:rsid w:val="000C072B"/>
    <w:rsid w:val="000C0841"/>
    <w:rsid w:val="000C228C"/>
    <w:rsid w:val="000C507A"/>
    <w:rsid w:val="000D3524"/>
    <w:rsid w:val="000D4917"/>
    <w:rsid w:val="000D5917"/>
    <w:rsid w:val="000D5E28"/>
    <w:rsid w:val="000D6F9B"/>
    <w:rsid w:val="000D7B5D"/>
    <w:rsid w:val="000E060A"/>
    <w:rsid w:val="000E0D64"/>
    <w:rsid w:val="000E1AFE"/>
    <w:rsid w:val="000E1FAF"/>
    <w:rsid w:val="000E25CC"/>
    <w:rsid w:val="000E4973"/>
    <w:rsid w:val="000E6D4C"/>
    <w:rsid w:val="000E76C6"/>
    <w:rsid w:val="000F00DC"/>
    <w:rsid w:val="000F0621"/>
    <w:rsid w:val="000F18DB"/>
    <w:rsid w:val="000F3025"/>
    <w:rsid w:val="000F3508"/>
    <w:rsid w:val="000F4799"/>
    <w:rsid w:val="000F5BBF"/>
    <w:rsid w:val="000F6C17"/>
    <w:rsid w:val="000F6F06"/>
    <w:rsid w:val="000F70AD"/>
    <w:rsid w:val="00101093"/>
    <w:rsid w:val="00105030"/>
    <w:rsid w:val="00106853"/>
    <w:rsid w:val="001102CA"/>
    <w:rsid w:val="001113CA"/>
    <w:rsid w:val="001256C0"/>
    <w:rsid w:val="001261B6"/>
    <w:rsid w:val="00131EB2"/>
    <w:rsid w:val="00132E3D"/>
    <w:rsid w:val="00133BDC"/>
    <w:rsid w:val="00133C97"/>
    <w:rsid w:val="00134527"/>
    <w:rsid w:val="00134CF6"/>
    <w:rsid w:val="00135C35"/>
    <w:rsid w:val="00140AD1"/>
    <w:rsid w:val="00141391"/>
    <w:rsid w:val="00141AA7"/>
    <w:rsid w:val="00141F76"/>
    <w:rsid w:val="00143BB7"/>
    <w:rsid w:val="00144313"/>
    <w:rsid w:val="00144DC0"/>
    <w:rsid w:val="00146C1D"/>
    <w:rsid w:val="00151B2E"/>
    <w:rsid w:val="00151F61"/>
    <w:rsid w:val="00153445"/>
    <w:rsid w:val="00155B4E"/>
    <w:rsid w:val="00157F8D"/>
    <w:rsid w:val="00160022"/>
    <w:rsid w:val="0016125C"/>
    <w:rsid w:val="00162B03"/>
    <w:rsid w:val="00163561"/>
    <w:rsid w:val="00167E8E"/>
    <w:rsid w:val="00170780"/>
    <w:rsid w:val="00170B6A"/>
    <w:rsid w:val="00170F60"/>
    <w:rsid w:val="00173FE5"/>
    <w:rsid w:val="00176D4C"/>
    <w:rsid w:val="00177C8B"/>
    <w:rsid w:val="00181869"/>
    <w:rsid w:val="00181FAF"/>
    <w:rsid w:val="00182ABA"/>
    <w:rsid w:val="00183D3F"/>
    <w:rsid w:val="0018421E"/>
    <w:rsid w:val="00185499"/>
    <w:rsid w:val="001901C8"/>
    <w:rsid w:val="001902FF"/>
    <w:rsid w:val="0019354C"/>
    <w:rsid w:val="0019528C"/>
    <w:rsid w:val="001978C2"/>
    <w:rsid w:val="001A05E3"/>
    <w:rsid w:val="001A2B5B"/>
    <w:rsid w:val="001A41BC"/>
    <w:rsid w:val="001A5262"/>
    <w:rsid w:val="001A5402"/>
    <w:rsid w:val="001A5A1C"/>
    <w:rsid w:val="001A71E3"/>
    <w:rsid w:val="001B2FD7"/>
    <w:rsid w:val="001B433D"/>
    <w:rsid w:val="001B6897"/>
    <w:rsid w:val="001C105A"/>
    <w:rsid w:val="001C2A77"/>
    <w:rsid w:val="001C3521"/>
    <w:rsid w:val="001C4D5E"/>
    <w:rsid w:val="001C62F1"/>
    <w:rsid w:val="001D17B4"/>
    <w:rsid w:val="001D4A65"/>
    <w:rsid w:val="001D4C61"/>
    <w:rsid w:val="001D52CE"/>
    <w:rsid w:val="001D6907"/>
    <w:rsid w:val="001D734F"/>
    <w:rsid w:val="001D7CC3"/>
    <w:rsid w:val="001E0D90"/>
    <w:rsid w:val="001E111F"/>
    <w:rsid w:val="001E112B"/>
    <w:rsid w:val="001E128C"/>
    <w:rsid w:val="001E1F4F"/>
    <w:rsid w:val="001E2554"/>
    <w:rsid w:val="001E5281"/>
    <w:rsid w:val="001E6140"/>
    <w:rsid w:val="001E68E3"/>
    <w:rsid w:val="001E6EF0"/>
    <w:rsid w:val="001E713A"/>
    <w:rsid w:val="001E7835"/>
    <w:rsid w:val="001E7C0C"/>
    <w:rsid w:val="001F09ED"/>
    <w:rsid w:val="001F0DCC"/>
    <w:rsid w:val="001F494B"/>
    <w:rsid w:val="00200444"/>
    <w:rsid w:val="00200BE9"/>
    <w:rsid w:val="00203072"/>
    <w:rsid w:val="00206404"/>
    <w:rsid w:val="0020721A"/>
    <w:rsid w:val="002076CF"/>
    <w:rsid w:val="00207AB0"/>
    <w:rsid w:val="002107D3"/>
    <w:rsid w:val="00211C05"/>
    <w:rsid w:val="002156F4"/>
    <w:rsid w:val="002160C0"/>
    <w:rsid w:val="002162E9"/>
    <w:rsid w:val="00221648"/>
    <w:rsid w:val="0022239C"/>
    <w:rsid w:val="0022384F"/>
    <w:rsid w:val="00223E17"/>
    <w:rsid w:val="00226306"/>
    <w:rsid w:val="00234EF8"/>
    <w:rsid w:val="002358E0"/>
    <w:rsid w:val="00235FC0"/>
    <w:rsid w:val="00236152"/>
    <w:rsid w:val="00237196"/>
    <w:rsid w:val="002414C2"/>
    <w:rsid w:val="00243B3E"/>
    <w:rsid w:val="00247407"/>
    <w:rsid w:val="002522C1"/>
    <w:rsid w:val="00254097"/>
    <w:rsid w:val="00254E33"/>
    <w:rsid w:val="00255C18"/>
    <w:rsid w:val="00255EE0"/>
    <w:rsid w:val="00256CAF"/>
    <w:rsid w:val="00257AB2"/>
    <w:rsid w:val="00262531"/>
    <w:rsid w:val="00264373"/>
    <w:rsid w:val="00265402"/>
    <w:rsid w:val="0026658F"/>
    <w:rsid w:val="00267318"/>
    <w:rsid w:val="00267BB7"/>
    <w:rsid w:val="00272377"/>
    <w:rsid w:val="0027699C"/>
    <w:rsid w:val="00281F9B"/>
    <w:rsid w:val="0029081C"/>
    <w:rsid w:val="002914E9"/>
    <w:rsid w:val="002921D8"/>
    <w:rsid w:val="00294041"/>
    <w:rsid w:val="0029432E"/>
    <w:rsid w:val="002952D3"/>
    <w:rsid w:val="002953DB"/>
    <w:rsid w:val="00295D7C"/>
    <w:rsid w:val="00297C4D"/>
    <w:rsid w:val="002A16BE"/>
    <w:rsid w:val="002A3609"/>
    <w:rsid w:val="002A6C69"/>
    <w:rsid w:val="002B1651"/>
    <w:rsid w:val="002B185A"/>
    <w:rsid w:val="002B1F63"/>
    <w:rsid w:val="002B38B3"/>
    <w:rsid w:val="002B59DD"/>
    <w:rsid w:val="002B5ED1"/>
    <w:rsid w:val="002B7637"/>
    <w:rsid w:val="002B7C14"/>
    <w:rsid w:val="002C18B4"/>
    <w:rsid w:val="002C2230"/>
    <w:rsid w:val="002D262E"/>
    <w:rsid w:val="002D76D5"/>
    <w:rsid w:val="002F0960"/>
    <w:rsid w:val="002F0A40"/>
    <w:rsid w:val="002F0D74"/>
    <w:rsid w:val="002F2085"/>
    <w:rsid w:val="002F3436"/>
    <w:rsid w:val="002F5E21"/>
    <w:rsid w:val="003007AA"/>
    <w:rsid w:val="00302465"/>
    <w:rsid w:val="00303397"/>
    <w:rsid w:val="00305252"/>
    <w:rsid w:val="0030768D"/>
    <w:rsid w:val="003130E1"/>
    <w:rsid w:val="00313584"/>
    <w:rsid w:val="00313BA2"/>
    <w:rsid w:val="00317BFF"/>
    <w:rsid w:val="00320B0A"/>
    <w:rsid w:val="003215E2"/>
    <w:rsid w:val="00322EBC"/>
    <w:rsid w:val="003233A7"/>
    <w:rsid w:val="00324FD6"/>
    <w:rsid w:val="0033765E"/>
    <w:rsid w:val="00337C7E"/>
    <w:rsid w:val="00340FC2"/>
    <w:rsid w:val="0034394B"/>
    <w:rsid w:val="0034791B"/>
    <w:rsid w:val="003502FD"/>
    <w:rsid w:val="00351563"/>
    <w:rsid w:val="00351CC1"/>
    <w:rsid w:val="00352CCA"/>
    <w:rsid w:val="003536A9"/>
    <w:rsid w:val="00354C58"/>
    <w:rsid w:val="003569EA"/>
    <w:rsid w:val="003628E5"/>
    <w:rsid w:val="00362FCB"/>
    <w:rsid w:val="00363C4A"/>
    <w:rsid w:val="00364F10"/>
    <w:rsid w:val="00366C38"/>
    <w:rsid w:val="00367842"/>
    <w:rsid w:val="00370096"/>
    <w:rsid w:val="00374308"/>
    <w:rsid w:val="003743A5"/>
    <w:rsid w:val="00376F05"/>
    <w:rsid w:val="003833AA"/>
    <w:rsid w:val="00386FE2"/>
    <w:rsid w:val="00387437"/>
    <w:rsid w:val="00387FAB"/>
    <w:rsid w:val="003909BA"/>
    <w:rsid w:val="00391703"/>
    <w:rsid w:val="00393A4F"/>
    <w:rsid w:val="00395A49"/>
    <w:rsid w:val="003965B0"/>
    <w:rsid w:val="003A2463"/>
    <w:rsid w:val="003A2692"/>
    <w:rsid w:val="003A2873"/>
    <w:rsid w:val="003A4A12"/>
    <w:rsid w:val="003A57A1"/>
    <w:rsid w:val="003A656E"/>
    <w:rsid w:val="003B0F22"/>
    <w:rsid w:val="003B230E"/>
    <w:rsid w:val="003B284D"/>
    <w:rsid w:val="003B3B5F"/>
    <w:rsid w:val="003B5416"/>
    <w:rsid w:val="003B69A3"/>
    <w:rsid w:val="003C0793"/>
    <w:rsid w:val="003C5BED"/>
    <w:rsid w:val="003C7263"/>
    <w:rsid w:val="003D2F2E"/>
    <w:rsid w:val="003D4A20"/>
    <w:rsid w:val="003D5953"/>
    <w:rsid w:val="003E1E46"/>
    <w:rsid w:val="003E4492"/>
    <w:rsid w:val="003E6C12"/>
    <w:rsid w:val="003E7DAB"/>
    <w:rsid w:val="003F0E79"/>
    <w:rsid w:val="003F2A4B"/>
    <w:rsid w:val="003F6140"/>
    <w:rsid w:val="003F795B"/>
    <w:rsid w:val="0040102B"/>
    <w:rsid w:val="00401890"/>
    <w:rsid w:val="00401A0C"/>
    <w:rsid w:val="004028B6"/>
    <w:rsid w:val="00404B7C"/>
    <w:rsid w:val="0040662A"/>
    <w:rsid w:val="00410590"/>
    <w:rsid w:val="0041071A"/>
    <w:rsid w:val="00412300"/>
    <w:rsid w:val="00413E91"/>
    <w:rsid w:val="00415085"/>
    <w:rsid w:val="00415FA5"/>
    <w:rsid w:val="00417398"/>
    <w:rsid w:val="00417755"/>
    <w:rsid w:val="00420DE7"/>
    <w:rsid w:val="004232D2"/>
    <w:rsid w:val="004251D9"/>
    <w:rsid w:val="004277BD"/>
    <w:rsid w:val="004277C8"/>
    <w:rsid w:val="00430607"/>
    <w:rsid w:val="0043180E"/>
    <w:rsid w:val="004324E1"/>
    <w:rsid w:val="004329DC"/>
    <w:rsid w:val="004333E6"/>
    <w:rsid w:val="004346A5"/>
    <w:rsid w:val="00434F92"/>
    <w:rsid w:val="004356BB"/>
    <w:rsid w:val="004375BC"/>
    <w:rsid w:val="004417C6"/>
    <w:rsid w:val="00442625"/>
    <w:rsid w:val="00442A48"/>
    <w:rsid w:val="00443380"/>
    <w:rsid w:val="004440DC"/>
    <w:rsid w:val="004475BA"/>
    <w:rsid w:val="004476D7"/>
    <w:rsid w:val="0044792C"/>
    <w:rsid w:val="00450196"/>
    <w:rsid w:val="0045336E"/>
    <w:rsid w:val="00453753"/>
    <w:rsid w:val="0045456F"/>
    <w:rsid w:val="0045680A"/>
    <w:rsid w:val="004616F5"/>
    <w:rsid w:val="00464E0C"/>
    <w:rsid w:val="0046560F"/>
    <w:rsid w:val="004665D5"/>
    <w:rsid w:val="00471D48"/>
    <w:rsid w:val="004749D7"/>
    <w:rsid w:val="00481150"/>
    <w:rsid w:val="0048177F"/>
    <w:rsid w:val="004856AB"/>
    <w:rsid w:val="00485737"/>
    <w:rsid w:val="004862A5"/>
    <w:rsid w:val="00487790"/>
    <w:rsid w:val="004915A9"/>
    <w:rsid w:val="00494681"/>
    <w:rsid w:val="0049550B"/>
    <w:rsid w:val="00495CC5"/>
    <w:rsid w:val="00496BE5"/>
    <w:rsid w:val="00496CBD"/>
    <w:rsid w:val="00497EBA"/>
    <w:rsid w:val="004A1D00"/>
    <w:rsid w:val="004A4F55"/>
    <w:rsid w:val="004A604B"/>
    <w:rsid w:val="004A63A7"/>
    <w:rsid w:val="004B19C5"/>
    <w:rsid w:val="004B2D7F"/>
    <w:rsid w:val="004C0E53"/>
    <w:rsid w:val="004C0FBD"/>
    <w:rsid w:val="004C174A"/>
    <w:rsid w:val="004C6686"/>
    <w:rsid w:val="004C77B8"/>
    <w:rsid w:val="004D1C5D"/>
    <w:rsid w:val="004D1E74"/>
    <w:rsid w:val="004D6151"/>
    <w:rsid w:val="004D61FE"/>
    <w:rsid w:val="004D7C3A"/>
    <w:rsid w:val="004E04CB"/>
    <w:rsid w:val="004E2076"/>
    <w:rsid w:val="004E22CE"/>
    <w:rsid w:val="004E3AE9"/>
    <w:rsid w:val="004E5E40"/>
    <w:rsid w:val="004F0FAF"/>
    <w:rsid w:val="004F1002"/>
    <w:rsid w:val="004F3856"/>
    <w:rsid w:val="004F3871"/>
    <w:rsid w:val="004F38C8"/>
    <w:rsid w:val="004F39A9"/>
    <w:rsid w:val="004F39DB"/>
    <w:rsid w:val="004F3B36"/>
    <w:rsid w:val="004F6C12"/>
    <w:rsid w:val="00501C4F"/>
    <w:rsid w:val="00505A4F"/>
    <w:rsid w:val="00506505"/>
    <w:rsid w:val="00507623"/>
    <w:rsid w:val="00507F74"/>
    <w:rsid w:val="00510188"/>
    <w:rsid w:val="00510ADF"/>
    <w:rsid w:val="005136C6"/>
    <w:rsid w:val="00513B8C"/>
    <w:rsid w:val="00514885"/>
    <w:rsid w:val="00514DC5"/>
    <w:rsid w:val="00516317"/>
    <w:rsid w:val="00520081"/>
    <w:rsid w:val="00520E90"/>
    <w:rsid w:val="00522D19"/>
    <w:rsid w:val="00524E2B"/>
    <w:rsid w:val="00527303"/>
    <w:rsid w:val="00530188"/>
    <w:rsid w:val="00530D2F"/>
    <w:rsid w:val="00531FCC"/>
    <w:rsid w:val="00535F03"/>
    <w:rsid w:val="005371E6"/>
    <w:rsid w:val="00537FC7"/>
    <w:rsid w:val="00540B00"/>
    <w:rsid w:val="00540CB0"/>
    <w:rsid w:val="00547379"/>
    <w:rsid w:val="00552A9E"/>
    <w:rsid w:val="0055361C"/>
    <w:rsid w:val="00554E84"/>
    <w:rsid w:val="005557F2"/>
    <w:rsid w:val="00555F71"/>
    <w:rsid w:val="005640F8"/>
    <w:rsid w:val="00565C36"/>
    <w:rsid w:val="00565F7E"/>
    <w:rsid w:val="0057002F"/>
    <w:rsid w:val="0057018C"/>
    <w:rsid w:val="00571287"/>
    <w:rsid w:val="00571779"/>
    <w:rsid w:val="00573D65"/>
    <w:rsid w:val="00583CB4"/>
    <w:rsid w:val="00585369"/>
    <w:rsid w:val="0059018E"/>
    <w:rsid w:val="00590589"/>
    <w:rsid w:val="0059372F"/>
    <w:rsid w:val="00596B7B"/>
    <w:rsid w:val="0059714B"/>
    <w:rsid w:val="005971DC"/>
    <w:rsid w:val="00597659"/>
    <w:rsid w:val="00597977"/>
    <w:rsid w:val="005A1020"/>
    <w:rsid w:val="005A1B2D"/>
    <w:rsid w:val="005A58C5"/>
    <w:rsid w:val="005B094F"/>
    <w:rsid w:val="005B0E41"/>
    <w:rsid w:val="005B2583"/>
    <w:rsid w:val="005B27BE"/>
    <w:rsid w:val="005B3034"/>
    <w:rsid w:val="005B5402"/>
    <w:rsid w:val="005B743F"/>
    <w:rsid w:val="005B7922"/>
    <w:rsid w:val="005B7B9A"/>
    <w:rsid w:val="005C2353"/>
    <w:rsid w:val="005C24A7"/>
    <w:rsid w:val="005D0DB4"/>
    <w:rsid w:val="005D3A20"/>
    <w:rsid w:val="005D3FDA"/>
    <w:rsid w:val="005D4498"/>
    <w:rsid w:val="005D4513"/>
    <w:rsid w:val="005D4984"/>
    <w:rsid w:val="005D65A2"/>
    <w:rsid w:val="005E0068"/>
    <w:rsid w:val="005E12A0"/>
    <w:rsid w:val="005E1D94"/>
    <w:rsid w:val="005E3EE7"/>
    <w:rsid w:val="005E4E93"/>
    <w:rsid w:val="005E5A16"/>
    <w:rsid w:val="005E662B"/>
    <w:rsid w:val="005E6887"/>
    <w:rsid w:val="005E7482"/>
    <w:rsid w:val="005E78C4"/>
    <w:rsid w:val="005F0963"/>
    <w:rsid w:val="005F3D3B"/>
    <w:rsid w:val="005F7680"/>
    <w:rsid w:val="006021BF"/>
    <w:rsid w:val="00605331"/>
    <w:rsid w:val="00605CA4"/>
    <w:rsid w:val="0060603B"/>
    <w:rsid w:val="00607484"/>
    <w:rsid w:val="00607F74"/>
    <w:rsid w:val="006130A6"/>
    <w:rsid w:val="00613193"/>
    <w:rsid w:val="00613943"/>
    <w:rsid w:val="006163A3"/>
    <w:rsid w:val="00617FBC"/>
    <w:rsid w:val="00622067"/>
    <w:rsid w:val="00626D14"/>
    <w:rsid w:val="00627D5D"/>
    <w:rsid w:val="006305B7"/>
    <w:rsid w:val="00631ACB"/>
    <w:rsid w:val="006346CF"/>
    <w:rsid w:val="006371E2"/>
    <w:rsid w:val="00637AD5"/>
    <w:rsid w:val="00642304"/>
    <w:rsid w:val="006430CD"/>
    <w:rsid w:val="00650ADC"/>
    <w:rsid w:val="0065389D"/>
    <w:rsid w:val="006538F6"/>
    <w:rsid w:val="0065627A"/>
    <w:rsid w:val="0065737D"/>
    <w:rsid w:val="00662BB9"/>
    <w:rsid w:val="00662D45"/>
    <w:rsid w:val="00664CC9"/>
    <w:rsid w:val="00670FF1"/>
    <w:rsid w:val="006758EE"/>
    <w:rsid w:val="006763B6"/>
    <w:rsid w:val="00676C01"/>
    <w:rsid w:val="0067775E"/>
    <w:rsid w:val="00680EA7"/>
    <w:rsid w:val="00681891"/>
    <w:rsid w:val="0068205D"/>
    <w:rsid w:val="0068226B"/>
    <w:rsid w:val="006851FA"/>
    <w:rsid w:val="0069043E"/>
    <w:rsid w:val="00693138"/>
    <w:rsid w:val="00695A62"/>
    <w:rsid w:val="00697CDA"/>
    <w:rsid w:val="006A1261"/>
    <w:rsid w:val="006A282C"/>
    <w:rsid w:val="006A32CA"/>
    <w:rsid w:val="006A4212"/>
    <w:rsid w:val="006A4F7D"/>
    <w:rsid w:val="006B064C"/>
    <w:rsid w:val="006B168E"/>
    <w:rsid w:val="006B2FFF"/>
    <w:rsid w:val="006B51CB"/>
    <w:rsid w:val="006B5A55"/>
    <w:rsid w:val="006B6C4E"/>
    <w:rsid w:val="006B79A7"/>
    <w:rsid w:val="006C1319"/>
    <w:rsid w:val="006C2CF7"/>
    <w:rsid w:val="006C3AD4"/>
    <w:rsid w:val="006C6494"/>
    <w:rsid w:val="006D1595"/>
    <w:rsid w:val="006D2697"/>
    <w:rsid w:val="006D3F94"/>
    <w:rsid w:val="006D412C"/>
    <w:rsid w:val="006D6136"/>
    <w:rsid w:val="006E24BF"/>
    <w:rsid w:val="006E37B4"/>
    <w:rsid w:val="006E59C4"/>
    <w:rsid w:val="006E5D8D"/>
    <w:rsid w:val="006E730B"/>
    <w:rsid w:val="006F1A3C"/>
    <w:rsid w:val="006F2522"/>
    <w:rsid w:val="006F34E6"/>
    <w:rsid w:val="006F3A0E"/>
    <w:rsid w:val="006F734C"/>
    <w:rsid w:val="00700A05"/>
    <w:rsid w:val="007021C9"/>
    <w:rsid w:val="00702D91"/>
    <w:rsid w:val="00704FF8"/>
    <w:rsid w:val="00705DB7"/>
    <w:rsid w:val="007074D3"/>
    <w:rsid w:val="00710C3B"/>
    <w:rsid w:val="00714CD9"/>
    <w:rsid w:val="00715C74"/>
    <w:rsid w:val="00716151"/>
    <w:rsid w:val="00716C89"/>
    <w:rsid w:val="007223E8"/>
    <w:rsid w:val="00723929"/>
    <w:rsid w:val="0072729A"/>
    <w:rsid w:val="00727FEE"/>
    <w:rsid w:val="00730A27"/>
    <w:rsid w:val="007310AC"/>
    <w:rsid w:val="0073143A"/>
    <w:rsid w:val="00733EEF"/>
    <w:rsid w:val="00735E9E"/>
    <w:rsid w:val="0073614C"/>
    <w:rsid w:val="00737E25"/>
    <w:rsid w:val="00741359"/>
    <w:rsid w:val="0074195E"/>
    <w:rsid w:val="00742C7F"/>
    <w:rsid w:val="00745619"/>
    <w:rsid w:val="00750532"/>
    <w:rsid w:val="00750869"/>
    <w:rsid w:val="00753634"/>
    <w:rsid w:val="00753E56"/>
    <w:rsid w:val="0075755B"/>
    <w:rsid w:val="0076285D"/>
    <w:rsid w:val="00763DD9"/>
    <w:rsid w:val="00765D86"/>
    <w:rsid w:val="00766FFE"/>
    <w:rsid w:val="00767542"/>
    <w:rsid w:val="00771FA3"/>
    <w:rsid w:val="00773BA3"/>
    <w:rsid w:val="007770CC"/>
    <w:rsid w:val="00777E5E"/>
    <w:rsid w:val="00781073"/>
    <w:rsid w:val="007826E7"/>
    <w:rsid w:val="00784050"/>
    <w:rsid w:val="00784554"/>
    <w:rsid w:val="00784A8F"/>
    <w:rsid w:val="007952FB"/>
    <w:rsid w:val="00797310"/>
    <w:rsid w:val="007A01F8"/>
    <w:rsid w:val="007A078E"/>
    <w:rsid w:val="007A2C48"/>
    <w:rsid w:val="007A4C1B"/>
    <w:rsid w:val="007A5009"/>
    <w:rsid w:val="007A5EEE"/>
    <w:rsid w:val="007A6446"/>
    <w:rsid w:val="007B21AE"/>
    <w:rsid w:val="007B2C3D"/>
    <w:rsid w:val="007B37B7"/>
    <w:rsid w:val="007B37E8"/>
    <w:rsid w:val="007B5BD5"/>
    <w:rsid w:val="007B676F"/>
    <w:rsid w:val="007B7597"/>
    <w:rsid w:val="007C195B"/>
    <w:rsid w:val="007D04AA"/>
    <w:rsid w:val="007D0F5D"/>
    <w:rsid w:val="007D6DA6"/>
    <w:rsid w:val="007D7C3F"/>
    <w:rsid w:val="007E0BA9"/>
    <w:rsid w:val="007E0F6F"/>
    <w:rsid w:val="007E457F"/>
    <w:rsid w:val="007F006A"/>
    <w:rsid w:val="007F4002"/>
    <w:rsid w:val="007F726E"/>
    <w:rsid w:val="00800E09"/>
    <w:rsid w:val="00801436"/>
    <w:rsid w:val="00807AF1"/>
    <w:rsid w:val="00810ACF"/>
    <w:rsid w:val="00810EA4"/>
    <w:rsid w:val="00811C3E"/>
    <w:rsid w:val="00812C64"/>
    <w:rsid w:val="0081338B"/>
    <w:rsid w:val="0081358C"/>
    <w:rsid w:val="00813BAD"/>
    <w:rsid w:val="00813C8B"/>
    <w:rsid w:val="00817D05"/>
    <w:rsid w:val="008219A1"/>
    <w:rsid w:val="00821A7E"/>
    <w:rsid w:val="00823CA4"/>
    <w:rsid w:val="00826EBE"/>
    <w:rsid w:val="008326F8"/>
    <w:rsid w:val="00832C92"/>
    <w:rsid w:val="008356EF"/>
    <w:rsid w:val="0084294C"/>
    <w:rsid w:val="0084295A"/>
    <w:rsid w:val="00845D22"/>
    <w:rsid w:val="00845EEA"/>
    <w:rsid w:val="008469EC"/>
    <w:rsid w:val="00847461"/>
    <w:rsid w:val="00847DE2"/>
    <w:rsid w:val="00851B65"/>
    <w:rsid w:val="0085376C"/>
    <w:rsid w:val="0085494E"/>
    <w:rsid w:val="00854FF9"/>
    <w:rsid w:val="008555DD"/>
    <w:rsid w:val="008569D2"/>
    <w:rsid w:val="008600AE"/>
    <w:rsid w:val="00860C04"/>
    <w:rsid w:val="0086106B"/>
    <w:rsid w:val="00861B27"/>
    <w:rsid w:val="00861D9D"/>
    <w:rsid w:val="00863395"/>
    <w:rsid w:val="00864397"/>
    <w:rsid w:val="0086670A"/>
    <w:rsid w:val="00866A0F"/>
    <w:rsid w:val="00866F42"/>
    <w:rsid w:val="00871D64"/>
    <w:rsid w:val="008729B2"/>
    <w:rsid w:val="00873ED5"/>
    <w:rsid w:val="008764A8"/>
    <w:rsid w:val="00876A8C"/>
    <w:rsid w:val="008823C3"/>
    <w:rsid w:val="00883897"/>
    <w:rsid w:val="00883B01"/>
    <w:rsid w:val="00884C09"/>
    <w:rsid w:val="00885833"/>
    <w:rsid w:val="00886E24"/>
    <w:rsid w:val="00894142"/>
    <w:rsid w:val="008948E0"/>
    <w:rsid w:val="00897607"/>
    <w:rsid w:val="00897C81"/>
    <w:rsid w:val="008A0D87"/>
    <w:rsid w:val="008A142C"/>
    <w:rsid w:val="008A2494"/>
    <w:rsid w:val="008A2A20"/>
    <w:rsid w:val="008A458B"/>
    <w:rsid w:val="008A46E8"/>
    <w:rsid w:val="008B03C7"/>
    <w:rsid w:val="008B37D4"/>
    <w:rsid w:val="008B58B3"/>
    <w:rsid w:val="008C5DAA"/>
    <w:rsid w:val="008C6495"/>
    <w:rsid w:val="008D22AB"/>
    <w:rsid w:val="008D3752"/>
    <w:rsid w:val="008D3837"/>
    <w:rsid w:val="008D53DB"/>
    <w:rsid w:val="008D68A4"/>
    <w:rsid w:val="008D6ABF"/>
    <w:rsid w:val="008E12A5"/>
    <w:rsid w:val="008E1EE8"/>
    <w:rsid w:val="008E20D4"/>
    <w:rsid w:val="008E2567"/>
    <w:rsid w:val="008E38B2"/>
    <w:rsid w:val="008E6A87"/>
    <w:rsid w:val="008E6B6C"/>
    <w:rsid w:val="008E7258"/>
    <w:rsid w:val="008F1542"/>
    <w:rsid w:val="008F1626"/>
    <w:rsid w:val="008F4514"/>
    <w:rsid w:val="008F4ECF"/>
    <w:rsid w:val="008F68C4"/>
    <w:rsid w:val="009007C6"/>
    <w:rsid w:val="0090203A"/>
    <w:rsid w:val="0090300D"/>
    <w:rsid w:val="00903A66"/>
    <w:rsid w:val="00905FA6"/>
    <w:rsid w:val="00906613"/>
    <w:rsid w:val="00912D28"/>
    <w:rsid w:val="009130EF"/>
    <w:rsid w:val="009135F7"/>
    <w:rsid w:val="00913739"/>
    <w:rsid w:val="0091400E"/>
    <w:rsid w:val="0091441D"/>
    <w:rsid w:val="00914C15"/>
    <w:rsid w:val="00914D52"/>
    <w:rsid w:val="00914F3E"/>
    <w:rsid w:val="0092206E"/>
    <w:rsid w:val="00922688"/>
    <w:rsid w:val="00923E1C"/>
    <w:rsid w:val="009255C7"/>
    <w:rsid w:val="00925952"/>
    <w:rsid w:val="00925EFA"/>
    <w:rsid w:val="00926FBB"/>
    <w:rsid w:val="00927D86"/>
    <w:rsid w:val="00932438"/>
    <w:rsid w:val="0093349C"/>
    <w:rsid w:val="0093588D"/>
    <w:rsid w:val="009362FC"/>
    <w:rsid w:val="00937474"/>
    <w:rsid w:val="009403EA"/>
    <w:rsid w:val="00941762"/>
    <w:rsid w:val="0094320D"/>
    <w:rsid w:val="009440AC"/>
    <w:rsid w:val="009441A3"/>
    <w:rsid w:val="00945705"/>
    <w:rsid w:val="009457F2"/>
    <w:rsid w:val="00953F9D"/>
    <w:rsid w:val="00954FEB"/>
    <w:rsid w:val="00955F3B"/>
    <w:rsid w:val="00956459"/>
    <w:rsid w:val="00957F1C"/>
    <w:rsid w:val="009603DC"/>
    <w:rsid w:val="0096238F"/>
    <w:rsid w:val="009678E7"/>
    <w:rsid w:val="00970571"/>
    <w:rsid w:val="0097090B"/>
    <w:rsid w:val="00972DAA"/>
    <w:rsid w:val="009732BD"/>
    <w:rsid w:val="009735F4"/>
    <w:rsid w:val="00976953"/>
    <w:rsid w:val="00981844"/>
    <w:rsid w:val="00981F7F"/>
    <w:rsid w:val="0098200D"/>
    <w:rsid w:val="00982A82"/>
    <w:rsid w:val="00983CF7"/>
    <w:rsid w:val="00987500"/>
    <w:rsid w:val="009913E6"/>
    <w:rsid w:val="009928D2"/>
    <w:rsid w:val="00993499"/>
    <w:rsid w:val="009937F9"/>
    <w:rsid w:val="00994317"/>
    <w:rsid w:val="009959F1"/>
    <w:rsid w:val="009966C7"/>
    <w:rsid w:val="009A0120"/>
    <w:rsid w:val="009A172F"/>
    <w:rsid w:val="009A77B5"/>
    <w:rsid w:val="009B0267"/>
    <w:rsid w:val="009B197C"/>
    <w:rsid w:val="009B3515"/>
    <w:rsid w:val="009B53DC"/>
    <w:rsid w:val="009B633D"/>
    <w:rsid w:val="009C1E4C"/>
    <w:rsid w:val="009C23B5"/>
    <w:rsid w:val="009C2E12"/>
    <w:rsid w:val="009C49BD"/>
    <w:rsid w:val="009C50B9"/>
    <w:rsid w:val="009C6520"/>
    <w:rsid w:val="009C6C50"/>
    <w:rsid w:val="009C7E82"/>
    <w:rsid w:val="009D0777"/>
    <w:rsid w:val="009D1F7C"/>
    <w:rsid w:val="009D2995"/>
    <w:rsid w:val="009D473F"/>
    <w:rsid w:val="009D53B7"/>
    <w:rsid w:val="009D5872"/>
    <w:rsid w:val="009E06D4"/>
    <w:rsid w:val="009E1224"/>
    <w:rsid w:val="009E1C29"/>
    <w:rsid w:val="009E27C2"/>
    <w:rsid w:val="009E45C8"/>
    <w:rsid w:val="009E4A04"/>
    <w:rsid w:val="009E61B0"/>
    <w:rsid w:val="009F092C"/>
    <w:rsid w:val="009F1409"/>
    <w:rsid w:val="009F31EA"/>
    <w:rsid w:val="009F7BD3"/>
    <w:rsid w:val="00A00A44"/>
    <w:rsid w:val="00A01218"/>
    <w:rsid w:val="00A01242"/>
    <w:rsid w:val="00A03B09"/>
    <w:rsid w:val="00A04257"/>
    <w:rsid w:val="00A0495B"/>
    <w:rsid w:val="00A04D3D"/>
    <w:rsid w:val="00A16EF0"/>
    <w:rsid w:val="00A17999"/>
    <w:rsid w:val="00A17DD9"/>
    <w:rsid w:val="00A205A0"/>
    <w:rsid w:val="00A2112F"/>
    <w:rsid w:val="00A2216E"/>
    <w:rsid w:val="00A22499"/>
    <w:rsid w:val="00A23518"/>
    <w:rsid w:val="00A32391"/>
    <w:rsid w:val="00A34D8F"/>
    <w:rsid w:val="00A35886"/>
    <w:rsid w:val="00A36B57"/>
    <w:rsid w:val="00A40F47"/>
    <w:rsid w:val="00A41D06"/>
    <w:rsid w:val="00A46BCF"/>
    <w:rsid w:val="00A47A05"/>
    <w:rsid w:val="00A47B01"/>
    <w:rsid w:val="00A54B81"/>
    <w:rsid w:val="00A5563F"/>
    <w:rsid w:val="00A56014"/>
    <w:rsid w:val="00A565D7"/>
    <w:rsid w:val="00A574B6"/>
    <w:rsid w:val="00A578A8"/>
    <w:rsid w:val="00A6002C"/>
    <w:rsid w:val="00A61709"/>
    <w:rsid w:val="00A61D6D"/>
    <w:rsid w:val="00A72058"/>
    <w:rsid w:val="00A72282"/>
    <w:rsid w:val="00A80461"/>
    <w:rsid w:val="00A80C8F"/>
    <w:rsid w:val="00A8390F"/>
    <w:rsid w:val="00A843EC"/>
    <w:rsid w:val="00A84B4E"/>
    <w:rsid w:val="00A9240F"/>
    <w:rsid w:val="00A93837"/>
    <w:rsid w:val="00A9416E"/>
    <w:rsid w:val="00A97172"/>
    <w:rsid w:val="00A972BE"/>
    <w:rsid w:val="00A97AC5"/>
    <w:rsid w:val="00AA0E0A"/>
    <w:rsid w:val="00AA3820"/>
    <w:rsid w:val="00AA7527"/>
    <w:rsid w:val="00AA755C"/>
    <w:rsid w:val="00AB0DAD"/>
    <w:rsid w:val="00AB0F22"/>
    <w:rsid w:val="00AB3E9D"/>
    <w:rsid w:val="00AB5980"/>
    <w:rsid w:val="00AB6C1C"/>
    <w:rsid w:val="00AC1529"/>
    <w:rsid w:val="00AC4FB3"/>
    <w:rsid w:val="00AC56A9"/>
    <w:rsid w:val="00AC6F56"/>
    <w:rsid w:val="00AD44D7"/>
    <w:rsid w:val="00AD617C"/>
    <w:rsid w:val="00AE08CD"/>
    <w:rsid w:val="00AE2948"/>
    <w:rsid w:val="00AE4A2B"/>
    <w:rsid w:val="00AE4D1C"/>
    <w:rsid w:val="00AE5982"/>
    <w:rsid w:val="00AE72B6"/>
    <w:rsid w:val="00AF0189"/>
    <w:rsid w:val="00AF018F"/>
    <w:rsid w:val="00AF0E81"/>
    <w:rsid w:val="00AF1FB3"/>
    <w:rsid w:val="00AF22B0"/>
    <w:rsid w:val="00AF4D71"/>
    <w:rsid w:val="00AF61BB"/>
    <w:rsid w:val="00AF6D69"/>
    <w:rsid w:val="00B02290"/>
    <w:rsid w:val="00B02A1C"/>
    <w:rsid w:val="00B041F6"/>
    <w:rsid w:val="00B051E8"/>
    <w:rsid w:val="00B0737E"/>
    <w:rsid w:val="00B07A03"/>
    <w:rsid w:val="00B10409"/>
    <w:rsid w:val="00B10784"/>
    <w:rsid w:val="00B14400"/>
    <w:rsid w:val="00B152E9"/>
    <w:rsid w:val="00B20F8E"/>
    <w:rsid w:val="00B25805"/>
    <w:rsid w:val="00B32540"/>
    <w:rsid w:val="00B33A9D"/>
    <w:rsid w:val="00B365F4"/>
    <w:rsid w:val="00B368A8"/>
    <w:rsid w:val="00B4502F"/>
    <w:rsid w:val="00B467A0"/>
    <w:rsid w:val="00B50F23"/>
    <w:rsid w:val="00B60D1F"/>
    <w:rsid w:val="00B60E44"/>
    <w:rsid w:val="00B61F55"/>
    <w:rsid w:val="00B623B7"/>
    <w:rsid w:val="00B62556"/>
    <w:rsid w:val="00B6310E"/>
    <w:rsid w:val="00B6340D"/>
    <w:rsid w:val="00B644D4"/>
    <w:rsid w:val="00B7055B"/>
    <w:rsid w:val="00B71A5A"/>
    <w:rsid w:val="00B751CE"/>
    <w:rsid w:val="00B762C2"/>
    <w:rsid w:val="00B76C21"/>
    <w:rsid w:val="00B77BCA"/>
    <w:rsid w:val="00B80AFA"/>
    <w:rsid w:val="00B81D91"/>
    <w:rsid w:val="00B82AAB"/>
    <w:rsid w:val="00B83075"/>
    <w:rsid w:val="00B83FE2"/>
    <w:rsid w:val="00B87623"/>
    <w:rsid w:val="00B91E64"/>
    <w:rsid w:val="00B96111"/>
    <w:rsid w:val="00B96B4B"/>
    <w:rsid w:val="00B9709E"/>
    <w:rsid w:val="00BA075E"/>
    <w:rsid w:val="00BA0A29"/>
    <w:rsid w:val="00BA4156"/>
    <w:rsid w:val="00BA4894"/>
    <w:rsid w:val="00BA514C"/>
    <w:rsid w:val="00BA67C3"/>
    <w:rsid w:val="00BA6D16"/>
    <w:rsid w:val="00BB1F40"/>
    <w:rsid w:val="00BB323E"/>
    <w:rsid w:val="00BB3EB3"/>
    <w:rsid w:val="00BB3EC8"/>
    <w:rsid w:val="00BB584C"/>
    <w:rsid w:val="00BB5F58"/>
    <w:rsid w:val="00BB6E00"/>
    <w:rsid w:val="00BB7BB8"/>
    <w:rsid w:val="00BB7D93"/>
    <w:rsid w:val="00BB7D9F"/>
    <w:rsid w:val="00BC00D8"/>
    <w:rsid w:val="00BC2769"/>
    <w:rsid w:val="00BC27B8"/>
    <w:rsid w:val="00BC39DE"/>
    <w:rsid w:val="00BC5FEB"/>
    <w:rsid w:val="00BC6108"/>
    <w:rsid w:val="00BC6E1B"/>
    <w:rsid w:val="00BC6E6E"/>
    <w:rsid w:val="00BC7EC8"/>
    <w:rsid w:val="00BD1BB4"/>
    <w:rsid w:val="00BD3997"/>
    <w:rsid w:val="00BD4A4C"/>
    <w:rsid w:val="00BE19E6"/>
    <w:rsid w:val="00BE2464"/>
    <w:rsid w:val="00BE374A"/>
    <w:rsid w:val="00BE3D0C"/>
    <w:rsid w:val="00BE4B87"/>
    <w:rsid w:val="00BE6339"/>
    <w:rsid w:val="00BE7DE1"/>
    <w:rsid w:val="00BE7E7A"/>
    <w:rsid w:val="00BF196D"/>
    <w:rsid w:val="00BF1BCB"/>
    <w:rsid w:val="00BF3DAA"/>
    <w:rsid w:val="00BF6377"/>
    <w:rsid w:val="00BF63B2"/>
    <w:rsid w:val="00C0157F"/>
    <w:rsid w:val="00C05A3C"/>
    <w:rsid w:val="00C07594"/>
    <w:rsid w:val="00C10529"/>
    <w:rsid w:val="00C12538"/>
    <w:rsid w:val="00C12CA4"/>
    <w:rsid w:val="00C147A2"/>
    <w:rsid w:val="00C1689C"/>
    <w:rsid w:val="00C16949"/>
    <w:rsid w:val="00C20C9C"/>
    <w:rsid w:val="00C2595B"/>
    <w:rsid w:val="00C305DA"/>
    <w:rsid w:val="00C36474"/>
    <w:rsid w:val="00C406E0"/>
    <w:rsid w:val="00C41583"/>
    <w:rsid w:val="00C41F97"/>
    <w:rsid w:val="00C42CFD"/>
    <w:rsid w:val="00C43E92"/>
    <w:rsid w:val="00C454D6"/>
    <w:rsid w:val="00C50E7B"/>
    <w:rsid w:val="00C52E6B"/>
    <w:rsid w:val="00C53128"/>
    <w:rsid w:val="00C553CC"/>
    <w:rsid w:val="00C57C07"/>
    <w:rsid w:val="00C60D8D"/>
    <w:rsid w:val="00C638C6"/>
    <w:rsid w:val="00C646F7"/>
    <w:rsid w:val="00C70264"/>
    <w:rsid w:val="00C704BD"/>
    <w:rsid w:val="00C72375"/>
    <w:rsid w:val="00C7315D"/>
    <w:rsid w:val="00C764BB"/>
    <w:rsid w:val="00C77876"/>
    <w:rsid w:val="00C82120"/>
    <w:rsid w:val="00C82E99"/>
    <w:rsid w:val="00C82EE2"/>
    <w:rsid w:val="00C82F4C"/>
    <w:rsid w:val="00C83D12"/>
    <w:rsid w:val="00C862E8"/>
    <w:rsid w:val="00C86A12"/>
    <w:rsid w:val="00C87EAE"/>
    <w:rsid w:val="00C905D2"/>
    <w:rsid w:val="00C925D2"/>
    <w:rsid w:val="00C9449C"/>
    <w:rsid w:val="00CA08EA"/>
    <w:rsid w:val="00CA5387"/>
    <w:rsid w:val="00CA621B"/>
    <w:rsid w:val="00CA69DE"/>
    <w:rsid w:val="00CB2AF9"/>
    <w:rsid w:val="00CB2F6F"/>
    <w:rsid w:val="00CB4999"/>
    <w:rsid w:val="00CB53C1"/>
    <w:rsid w:val="00CB607B"/>
    <w:rsid w:val="00CB77BE"/>
    <w:rsid w:val="00CC12D7"/>
    <w:rsid w:val="00CC1938"/>
    <w:rsid w:val="00CC1BD0"/>
    <w:rsid w:val="00CC2C7E"/>
    <w:rsid w:val="00CD0375"/>
    <w:rsid w:val="00CD2293"/>
    <w:rsid w:val="00CD5801"/>
    <w:rsid w:val="00CD65EA"/>
    <w:rsid w:val="00CE109A"/>
    <w:rsid w:val="00CE187D"/>
    <w:rsid w:val="00CE1AA2"/>
    <w:rsid w:val="00CE2496"/>
    <w:rsid w:val="00CE28CF"/>
    <w:rsid w:val="00CE4349"/>
    <w:rsid w:val="00CE7145"/>
    <w:rsid w:val="00CF0F95"/>
    <w:rsid w:val="00CF1E2F"/>
    <w:rsid w:val="00CF2FDB"/>
    <w:rsid w:val="00CF68C8"/>
    <w:rsid w:val="00D026AF"/>
    <w:rsid w:val="00D063F0"/>
    <w:rsid w:val="00D0656B"/>
    <w:rsid w:val="00D116B0"/>
    <w:rsid w:val="00D11E35"/>
    <w:rsid w:val="00D123D8"/>
    <w:rsid w:val="00D124A9"/>
    <w:rsid w:val="00D13EB3"/>
    <w:rsid w:val="00D158C4"/>
    <w:rsid w:val="00D15D9D"/>
    <w:rsid w:val="00D15F66"/>
    <w:rsid w:val="00D16F35"/>
    <w:rsid w:val="00D200D6"/>
    <w:rsid w:val="00D23905"/>
    <w:rsid w:val="00D2405D"/>
    <w:rsid w:val="00D25109"/>
    <w:rsid w:val="00D26C39"/>
    <w:rsid w:val="00D2713D"/>
    <w:rsid w:val="00D355BC"/>
    <w:rsid w:val="00D3766C"/>
    <w:rsid w:val="00D40C8D"/>
    <w:rsid w:val="00D4143D"/>
    <w:rsid w:val="00D42C25"/>
    <w:rsid w:val="00D45DDA"/>
    <w:rsid w:val="00D46DE4"/>
    <w:rsid w:val="00D528F1"/>
    <w:rsid w:val="00D52AB4"/>
    <w:rsid w:val="00D53E2C"/>
    <w:rsid w:val="00D559BA"/>
    <w:rsid w:val="00D562DC"/>
    <w:rsid w:val="00D5659C"/>
    <w:rsid w:val="00D56E53"/>
    <w:rsid w:val="00D605EF"/>
    <w:rsid w:val="00D62EC5"/>
    <w:rsid w:val="00D635F8"/>
    <w:rsid w:val="00D65023"/>
    <w:rsid w:val="00D652C0"/>
    <w:rsid w:val="00D6530C"/>
    <w:rsid w:val="00D668C1"/>
    <w:rsid w:val="00D71B32"/>
    <w:rsid w:val="00D736E2"/>
    <w:rsid w:val="00D74418"/>
    <w:rsid w:val="00D74830"/>
    <w:rsid w:val="00D76FB6"/>
    <w:rsid w:val="00D80E96"/>
    <w:rsid w:val="00D8166D"/>
    <w:rsid w:val="00D83EB0"/>
    <w:rsid w:val="00D85BBB"/>
    <w:rsid w:val="00D91167"/>
    <w:rsid w:val="00D93830"/>
    <w:rsid w:val="00D9409F"/>
    <w:rsid w:val="00D94AE7"/>
    <w:rsid w:val="00D97E0D"/>
    <w:rsid w:val="00DA1AAF"/>
    <w:rsid w:val="00DA29A7"/>
    <w:rsid w:val="00DA35EF"/>
    <w:rsid w:val="00DA540E"/>
    <w:rsid w:val="00DA6B03"/>
    <w:rsid w:val="00DB094B"/>
    <w:rsid w:val="00DB0E2D"/>
    <w:rsid w:val="00DB24D0"/>
    <w:rsid w:val="00DB2A83"/>
    <w:rsid w:val="00DB3156"/>
    <w:rsid w:val="00DB5D71"/>
    <w:rsid w:val="00DC0726"/>
    <w:rsid w:val="00DC3242"/>
    <w:rsid w:val="00DC49AC"/>
    <w:rsid w:val="00DC5F62"/>
    <w:rsid w:val="00DD255B"/>
    <w:rsid w:val="00DD301D"/>
    <w:rsid w:val="00DD355F"/>
    <w:rsid w:val="00DD3A29"/>
    <w:rsid w:val="00DD54F4"/>
    <w:rsid w:val="00DD5F4C"/>
    <w:rsid w:val="00DD7D0D"/>
    <w:rsid w:val="00DE09AC"/>
    <w:rsid w:val="00DE1E55"/>
    <w:rsid w:val="00DE3ABE"/>
    <w:rsid w:val="00DE3C7A"/>
    <w:rsid w:val="00DE3E2B"/>
    <w:rsid w:val="00DF33DE"/>
    <w:rsid w:val="00DF4854"/>
    <w:rsid w:val="00DF4A0F"/>
    <w:rsid w:val="00DF5DF1"/>
    <w:rsid w:val="00DF6FCD"/>
    <w:rsid w:val="00E012FC"/>
    <w:rsid w:val="00E030B3"/>
    <w:rsid w:val="00E032E7"/>
    <w:rsid w:val="00E03E96"/>
    <w:rsid w:val="00E045B5"/>
    <w:rsid w:val="00E0486A"/>
    <w:rsid w:val="00E056DD"/>
    <w:rsid w:val="00E07698"/>
    <w:rsid w:val="00E10D61"/>
    <w:rsid w:val="00E11F76"/>
    <w:rsid w:val="00E129ED"/>
    <w:rsid w:val="00E159AC"/>
    <w:rsid w:val="00E16A7C"/>
    <w:rsid w:val="00E16B26"/>
    <w:rsid w:val="00E16D8A"/>
    <w:rsid w:val="00E20BE8"/>
    <w:rsid w:val="00E2205F"/>
    <w:rsid w:val="00E2355D"/>
    <w:rsid w:val="00E25B32"/>
    <w:rsid w:val="00E25BD9"/>
    <w:rsid w:val="00E26AA9"/>
    <w:rsid w:val="00E26EF0"/>
    <w:rsid w:val="00E27227"/>
    <w:rsid w:val="00E30103"/>
    <w:rsid w:val="00E33B57"/>
    <w:rsid w:val="00E40213"/>
    <w:rsid w:val="00E40F6A"/>
    <w:rsid w:val="00E4182E"/>
    <w:rsid w:val="00E43E4D"/>
    <w:rsid w:val="00E47298"/>
    <w:rsid w:val="00E50AAE"/>
    <w:rsid w:val="00E53B2B"/>
    <w:rsid w:val="00E5629C"/>
    <w:rsid w:val="00E60FBE"/>
    <w:rsid w:val="00E63FCF"/>
    <w:rsid w:val="00E64E3F"/>
    <w:rsid w:val="00E661F5"/>
    <w:rsid w:val="00E66389"/>
    <w:rsid w:val="00E66932"/>
    <w:rsid w:val="00E66FC7"/>
    <w:rsid w:val="00E7005E"/>
    <w:rsid w:val="00E70DBA"/>
    <w:rsid w:val="00E77F77"/>
    <w:rsid w:val="00E8018D"/>
    <w:rsid w:val="00E82A53"/>
    <w:rsid w:val="00E8485F"/>
    <w:rsid w:val="00E8588F"/>
    <w:rsid w:val="00E870E3"/>
    <w:rsid w:val="00E87D81"/>
    <w:rsid w:val="00E9579D"/>
    <w:rsid w:val="00E97CE9"/>
    <w:rsid w:val="00EA0515"/>
    <w:rsid w:val="00EA4398"/>
    <w:rsid w:val="00EB03C0"/>
    <w:rsid w:val="00EB16DF"/>
    <w:rsid w:val="00EB202F"/>
    <w:rsid w:val="00EB2444"/>
    <w:rsid w:val="00EB2FBA"/>
    <w:rsid w:val="00EB5127"/>
    <w:rsid w:val="00EB6862"/>
    <w:rsid w:val="00EB6D75"/>
    <w:rsid w:val="00EB7BEC"/>
    <w:rsid w:val="00EB7C12"/>
    <w:rsid w:val="00EC121D"/>
    <w:rsid w:val="00EC2DB3"/>
    <w:rsid w:val="00EC3ABE"/>
    <w:rsid w:val="00EC3C57"/>
    <w:rsid w:val="00EC63E4"/>
    <w:rsid w:val="00EC69FE"/>
    <w:rsid w:val="00EC6B64"/>
    <w:rsid w:val="00EC6E7B"/>
    <w:rsid w:val="00EC6F75"/>
    <w:rsid w:val="00ED044F"/>
    <w:rsid w:val="00ED5EA3"/>
    <w:rsid w:val="00ED6724"/>
    <w:rsid w:val="00ED738E"/>
    <w:rsid w:val="00EE1B2E"/>
    <w:rsid w:val="00EE1D4F"/>
    <w:rsid w:val="00EE252B"/>
    <w:rsid w:val="00EE476A"/>
    <w:rsid w:val="00EE4D6B"/>
    <w:rsid w:val="00EE5531"/>
    <w:rsid w:val="00EE5CE5"/>
    <w:rsid w:val="00EF058B"/>
    <w:rsid w:val="00EF2BAD"/>
    <w:rsid w:val="00EF6472"/>
    <w:rsid w:val="00F0074B"/>
    <w:rsid w:val="00F00FFD"/>
    <w:rsid w:val="00F0464A"/>
    <w:rsid w:val="00F04948"/>
    <w:rsid w:val="00F05F39"/>
    <w:rsid w:val="00F1093D"/>
    <w:rsid w:val="00F11AFE"/>
    <w:rsid w:val="00F12EA2"/>
    <w:rsid w:val="00F12F77"/>
    <w:rsid w:val="00F14A1E"/>
    <w:rsid w:val="00F14EA8"/>
    <w:rsid w:val="00F164F2"/>
    <w:rsid w:val="00F171BC"/>
    <w:rsid w:val="00F20F54"/>
    <w:rsid w:val="00F225D5"/>
    <w:rsid w:val="00F25001"/>
    <w:rsid w:val="00F26836"/>
    <w:rsid w:val="00F26C63"/>
    <w:rsid w:val="00F2757C"/>
    <w:rsid w:val="00F2797E"/>
    <w:rsid w:val="00F34345"/>
    <w:rsid w:val="00F3570A"/>
    <w:rsid w:val="00F35DB9"/>
    <w:rsid w:val="00F37780"/>
    <w:rsid w:val="00F37A41"/>
    <w:rsid w:val="00F37A9B"/>
    <w:rsid w:val="00F400EF"/>
    <w:rsid w:val="00F4138D"/>
    <w:rsid w:val="00F41A96"/>
    <w:rsid w:val="00F44BA1"/>
    <w:rsid w:val="00F457F1"/>
    <w:rsid w:val="00F51490"/>
    <w:rsid w:val="00F52541"/>
    <w:rsid w:val="00F56503"/>
    <w:rsid w:val="00F56603"/>
    <w:rsid w:val="00F573E3"/>
    <w:rsid w:val="00F577DA"/>
    <w:rsid w:val="00F61F08"/>
    <w:rsid w:val="00F62547"/>
    <w:rsid w:val="00F626E0"/>
    <w:rsid w:val="00F63EBC"/>
    <w:rsid w:val="00F647C5"/>
    <w:rsid w:val="00F65A61"/>
    <w:rsid w:val="00F65D96"/>
    <w:rsid w:val="00F66CD6"/>
    <w:rsid w:val="00F71188"/>
    <w:rsid w:val="00F71327"/>
    <w:rsid w:val="00F74DBB"/>
    <w:rsid w:val="00F760AE"/>
    <w:rsid w:val="00F85C8F"/>
    <w:rsid w:val="00F91C14"/>
    <w:rsid w:val="00F939BD"/>
    <w:rsid w:val="00F948E7"/>
    <w:rsid w:val="00F96325"/>
    <w:rsid w:val="00FA04A4"/>
    <w:rsid w:val="00FA0FBA"/>
    <w:rsid w:val="00FA18A0"/>
    <w:rsid w:val="00FA1A12"/>
    <w:rsid w:val="00FA284A"/>
    <w:rsid w:val="00FA4862"/>
    <w:rsid w:val="00FA489A"/>
    <w:rsid w:val="00FA58D4"/>
    <w:rsid w:val="00FA5966"/>
    <w:rsid w:val="00FA6DC5"/>
    <w:rsid w:val="00FA78F2"/>
    <w:rsid w:val="00FB0B25"/>
    <w:rsid w:val="00FB106A"/>
    <w:rsid w:val="00FB2062"/>
    <w:rsid w:val="00FB3466"/>
    <w:rsid w:val="00FB422F"/>
    <w:rsid w:val="00FB5D56"/>
    <w:rsid w:val="00FC0B0B"/>
    <w:rsid w:val="00FC0D9A"/>
    <w:rsid w:val="00FC6FDA"/>
    <w:rsid w:val="00FD25F2"/>
    <w:rsid w:val="00FD2804"/>
    <w:rsid w:val="00FD575B"/>
    <w:rsid w:val="00FE053D"/>
    <w:rsid w:val="00FE1A75"/>
    <w:rsid w:val="00FE1BDF"/>
    <w:rsid w:val="00FE2BB4"/>
    <w:rsid w:val="00FE2FC4"/>
    <w:rsid w:val="00FE3269"/>
    <w:rsid w:val="00FE4DAD"/>
    <w:rsid w:val="00FE5BCF"/>
    <w:rsid w:val="00FE5E11"/>
    <w:rsid w:val="00FF14D4"/>
    <w:rsid w:val="00FF1DB1"/>
    <w:rsid w:val="00FF360B"/>
    <w:rsid w:val="00FF51C8"/>
    <w:rsid w:val="00FF51E7"/>
    <w:rsid w:val="00FF5A15"/>
    <w:rsid w:val="00FF5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55C"/>
    <w:pPr>
      <w:spacing w:after="240"/>
      <w:jc w:val="both"/>
    </w:pPr>
    <w:rPr>
      <w:sz w:val="24"/>
      <w:lang w:eastAsia="en-US"/>
    </w:rPr>
  </w:style>
  <w:style w:type="paragraph" w:styleId="Heading1">
    <w:name w:val="heading 1"/>
    <w:basedOn w:val="Normal"/>
    <w:next w:val="Normal"/>
    <w:qFormat/>
    <w:rsid w:val="003536A9"/>
    <w:pPr>
      <w:keepNext/>
      <w:spacing w:before="360" w:line="280" w:lineRule="exact"/>
      <w:outlineLvl w:val="0"/>
    </w:pPr>
    <w:rPr>
      <w:b/>
      <w:caps/>
      <w:kern w:val="28"/>
      <w:sz w:val="28"/>
    </w:rPr>
  </w:style>
  <w:style w:type="paragraph" w:styleId="Heading2">
    <w:name w:val="heading 2"/>
    <w:basedOn w:val="Normal"/>
    <w:next w:val="Normal"/>
    <w:qFormat/>
    <w:rsid w:val="003536A9"/>
    <w:pPr>
      <w:keepNext/>
      <w:spacing w:before="240" w:after="120" w:line="280" w:lineRule="exact"/>
      <w:outlineLvl w:val="1"/>
    </w:pPr>
    <w:rPr>
      <w:b/>
    </w:rPr>
  </w:style>
  <w:style w:type="paragraph" w:styleId="Heading3">
    <w:name w:val="heading 3"/>
    <w:basedOn w:val="Normal"/>
    <w:next w:val="Normal"/>
    <w:qFormat/>
    <w:rsid w:val="003536A9"/>
    <w:pPr>
      <w:keepNext/>
      <w:spacing w:before="120" w:after="120"/>
      <w:outlineLvl w:val="2"/>
    </w:pPr>
    <w:rPr>
      <w:b/>
      <w:i/>
      <w:iCs/>
    </w:rPr>
  </w:style>
  <w:style w:type="paragraph" w:styleId="Heading4">
    <w:name w:val="heading 4"/>
    <w:basedOn w:val="Normal"/>
    <w:next w:val="Normal"/>
    <w:qFormat/>
    <w:rsid w:val="003536A9"/>
    <w:pPr>
      <w:keepNext/>
      <w:outlineLvl w:val="3"/>
    </w:pPr>
    <w:rPr>
      <w:i/>
      <w:iCs/>
    </w:rPr>
  </w:style>
  <w:style w:type="paragraph" w:styleId="Heading5">
    <w:name w:val="heading 5"/>
    <w:basedOn w:val="Normal"/>
    <w:next w:val="Normal"/>
    <w:qFormat/>
    <w:rsid w:val="00662BB9"/>
    <w:pPr>
      <w:spacing w:before="240" w:after="60"/>
      <w:outlineLvl w:val="4"/>
    </w:pPr>
    <w:rPr>
      <w:b/>
      <w:bCs/>
      <w:i/>
      <w:iCs/>
      <w:sz w:val="26"/>
      <w:szCs w:val="26"/>
    </w:rPr>
  </w:style>
  <w:style w:type="character" w:default="1" w:styleId="DefaultParagraphFont">
    <w:name w:val="Default Paragraph Font"/>
    <w:semiHidden/>
    <w:rsid w:val="003536A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536A9"/>
  </w:style>
  <w:style w:type="paragraph" w:customStyle="1" w:styleId="Figure">
    <w:name w:val="Figure"/>
    <w:basedOn w:val="Normal"/>
    <w:next w:val="Normal"/>
    <w:semiHidden/>
    <w:rsid w:val="003536A9"/>
    <w:pPr>
      <w:spacing w:before="240" w:after="360"/>
    </w:pPr>
    <w:rPr>
      <w:color w:val="000000"/>
    </w:rPr>
  </w:style>
  <w:style w:type="paragraph" w:customStyle="1" w:styleId="FigureFootnote">
    <w:name w:val="Figure Footnote"/>
    <w:basedOn w:val="Normal"/>
    <w:next w:val="Normal"/>
    <w:semiHidden/>
    <w:rsid w:val="003536A9"/>
    <w:pPr>
      <w:spacing w:before="240" w:after="360"/>
    </w:pPr>
    <w:rPr>
      <w:color w:val="000000"/>
    </w:rPr>
  </w:style>
  <w:style w:type="paragraph" w:customStyle="1" w:styleId="FigureTitle">
    <w:name w:val="Figure Title"/>
    <w:basedOn w:val="Normal"/>
    <w:next w:val="Figure"/>
    <w:semiHidden/>
    <w:rsid w:val="003536A9"/>
    <w:pPr>
      <w:keepNext/>
      <w:spacing w:before="360"/>
    </w:pPr>
    <w:rPr>
      <w:b/>
      <w:color w:val="000000"/>
    </w:rPr>
  </w:style>
  <w:style w:type="character" w:styleId="FootnoteReference">
    <w:name w:val="footnote reference"/>
    <w:semiHidden/>
    <w:rsid w:val="003536A9"/>
    <w:rPr>
      <w:sz w:val="24"/>
      <w:vertAlign w:val="superscript"/>
    </w:rPr>
  </w:style>
  <w:style w:type="paragraph" w:styleId="Header">
    <w:name w:val="header"/>
    <w:basedOn w:val="Normal"/>
    <w:semiHidden/>
    <w:rsid w:val="003536A9"/>
    <w:pPr>
      <w:tabs>
        <w:tab w:val="center" w:pos="4153"/>
        <w:tab w:val="right" w:pos="8306"/>
      </w:tabs>
    </w:pPr>
  </w:style>
  <w:style w:type="paragraph" w:styleId="Footer">
    <w:name w:val="footer"/>
    <w:basedOn w:val="Normal"/>
    <w:link w:val="FooterChar"/>
    <w:rsid w:val="003536A9"/>
    <w:pPr>
      <w:pBdr>
        <w:top w:val="single" w:sz="6" w:space="1" w:color="auto"/>
      </w:pBdr>
      <w:tabs>
        <w:tab w:val="left" w:pos="9923"/>
      </w:tabs>
      <w:spacing w:after="0" w:line="280" w:lineRule="exact"/>
      <w:jc w:val="left"/>
    </w:pPr>
    <w:rPr>
      <w:sz w:val="20"/>
    </w:rPr>
  </w:style>
  <w:style w:type="table" w:styleId="TableGrid">
    <w:name w:val="Table Grid"/>
    <w:basedOn w:val="TableNormal"/>
    <w:rsid w:val="00DB5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Figure"/>
    <w:link w:val="TableTextChar"/>
    <w:rsid w:val="003536A9"/>
    <w:pPr>
      <w:spacing w:before="0" w:after="0"/>
      <w:jc w:val="left"/>
    </w:pPr>
    <w:rPr>
      <w:snapToGrid w:val="0"/>
      <w:szCs w:val="24"/>
    </w:rPr>
  </w:style>
  <w:style w:type="paragraph" w:customStyle="1" w:styleId="TableHeading">
    <w:name w:val="Table Heading"/>
    <w:basedOn w:val="TableText"/>
    <w:semiHidden/>
    <w:rsid w:val="003536A9"/>
    <w:pPr>
      <w:keepNext/>
    </w:pPr>
    <w:rPr>
      <w:b/>
      <w:bCs/>
    </w:rPr>
  </w:style>
  <w:style w:type="character" w:styleId="Hyperlink">
    <w:name w:val="Hyperlink"/>
    <w:semiHidden/>
    <w:rsid w:val="003536A9"/>
    <w:rPr>
      <w:color w:val="auto"/>
      <w:u w:val="none"/>
    </w:rPr>
  </w:style>
  <w:style w:type="paragraph" w:styleId="ListNumber">
    <w:name w:val="List Number"/>
    <w:basedOn w:val="Normal"/>
    <w:semiHidden/>
    <w:rsid w:val="003536A9"/>
    <w:pPr>
      <w:numPr>
        <w:numId w:val="5"/>
      </w:numPr>
    </w:pPr>
  </w:style>
  <w:style w:type="paragraph" w:customStyle="1" w:styleId="TableTitle">
    <w:name w:val="Table Title"/>
    <w:basedOn w:val="FigureTitle"/>
    <w:next w:val="TableText"/>
    <w:semiHidden/>
    <w:rsid w:val="003536A9"/>
    <w:pPr>
      <w:spacing w:after="0"/>
      <w:jc w:val="left"/>
    </w:pPr>
    <w:rPr>
      <w:szCs w:val="24"/>
    </w:rPr>
  </w:style>
  <w:style w:type="paragraph" w:styleId="ListBullet">
    <w:name w:val="List Bullet"/>
    <w:basedOn w:val="Normal"/>
    <w:semiHidden/>
    <w:rsid w:val="003536A9"/>
    <w:pPr>
      <w:numPr>
        <w:numId w:val="3"/>
      </w:numPr>
    </w:pPr>
  </w:style>
  <w:style w:type="paragraph" w:styleId="Subtitle">
    <w:name w:val="Subtitle"/>
    <w:basedOn w:val="Normal"/>
    <w:link w:val="SubtitleChar"/>
    <w:qFormat/>
    <w:rsid w:val="003536A9"/>
    <w:pPr>
      <w:spacing w:after="60"/>
      <w:outlineLvl w:val="1"/>
    </w:pPr>
    <w:rPr>
      <w:b/>
      <w:sz w:val="32"/>
    </w:rPr>
  </w:style>
  <w:style w:type="paragraph" w:customStyle="1" w:styleId="TableFootnote">
    <w:name w:val="Table Footnote"/>
    <w:basedOn w:val="FigureFootnote"/>
    <w:next w:val="Normal"/>
    <w:semiHidden/>
    <w:rsid w:val="003536A9"/>
    <w:pPr>
      <w:spacing w:before="0" w:after="0"/>
      <w:jc w:val="left"/>
    </w:pPr>
    <w:rPr>
      <w:sz w:val="20"/>
      <w:szCs w:val="24"/>
    </w:rPr>
  </w:style>
  <w:style w:type="paragraph" w:customStyle="1" w:styleId="TableSpace">
    <w:name w:val="Table Space"/>
    <w:basedOn w:val="Figure"/>
    <w:next w:val="Normal"/>
    <w:semiHidden/>
    <w:rsid w:val="003536A9"/>
    <w:pPr>
      <w:spacing w:before="0" w:after="480"/>
      <w:jc w:val="left"/>
    </w:pPr>
    <w:rPr>
      <w:szCs w:val="24"/>
    </w:rPr>
  </w:style>
  <w:style w:type="paragraph" w:customStyle="1" w:styleId="TableTitleCont">
    <w:name w:val="Table Title Cont"/>
    <w:basedOn w:val="TableTitle"/>
    <w:next w:val="TableText"/>
    <w:semiHidden/>
    <w:rsid w:val="003536A9"/>
    <w:pPr>
      <w:spacing w:before="0"/>
    </w:pPr>
    <w:rPr>
      <w:b w:val="0"/>
    </w:rPr>
  </w:style>
  <w:style w:type="paragraph" w:styleId="Title">
    <w:name w:val="Title"/>
    <w:basedOn w:val="Normal"/>
    <w:qFormat/>
    <w:rsid w:val="003536A9"/>
    <w:pPr>
      <w:spacing w:before="240" w:after="60"/>
      <w:outlineLvl w:val="0"/>
    </w:pPr>
    <w:rPr>
      <w:b/>
      <w:kern w:val="28"/>
      <w:sz w:val="40"/>
    </w:rPr>
  </w:style>
  <w:style w:type="paragraph" w:styleId="BalloonText">
    <w:name w:val="Balloon Text"/>
    <w:basedOn w:val="Normal"/>
    <w:semiHidden/>
    <w:rsid w:val="00FD575B"/>
    <w:rPr>
      <w:rFonts w:ascii="Tahoma" w:hAnsi="Tahoma" w:cs="Tahoma"/>
      <w:sz w:val="16"/>
      <w:szCs w:val="16"/>
    </w:rPr>
  </w:style>
  <w:style w:type="character" w:styleId="CommentReference">
    <w:name w:val="annotation reference"/>
    <w:rsid w:val="00C57C07"/>
    <w:rPr>
      <w:sz w:val="16"/>
      <w:szCs w:val="16"/>
    </w:rPr>
  </w:style>
  <w:style w:type="paragraph" w:styleId="CommentText">
    <w:name w:val="annotation text"/>
    <w:basedOn w:val="Normal"/>
    <w:link w:val="CommentTextChar"/>
    <w:rsid w:val="00C57C07"/>
    <w:rPr>
      <w:sz w:val="20"/>
    </w:rPr>
  </w:style>
  <w:style w:type="paragraph" w:styleId="CommentSubject">
    <w:name w:val="annotation subject"/>
    <w:basedOn w:val="CommentText"/>
    <w:next w:val="CommentText"/>
    <w:semiHidden/>
    <w:rsid w:val="00C57C07"/>
    <w:rPr>
      <w:b/>
      <w:bCs/>
    </w:rPr>
  </w:style>
  <w:style w:type="character" w:styleId="PageNumber">
    <w:name w:val="page number"/>
    <w:basedOn w:val="DefaultParagraphFont"/>
    <w:semiHidden/>
    <w:rsid w:val="001B2FD7"/>
  </w:style>
  <w:style w:type="paragraph" w:customStyle="1" w:styleId="PITITLE">
    <w:name w:val="PI TITLE"/>
    <w:basedOn w:val="Title"/>
    <w:qFormat/>
    <w:rsid w:val="00CF1E2F"/>
  </w:style>
  <w:style w:type="paragraph" w:customStyle="1" w:styleId="PISubtitle">
    <w:name w:val="PI Subtitle"/>
    <w:basedOn w:val="Subtitle"/>
    <w:uiPriority w:val="1"/>
    <w:qFormat/>
    <w:rsid w:val="00CF1E2F"/>
  </w:style>
  <w:style w:type="paragraph" w:customStyle="1" w:styleId="PIHeading1">
    <w:name w:val="PI Heading 1"/>
    <w:basedOn w:val="Heading1"/>
    <w:uiPriority w:val="2"/>
    <w:qFormat/>
    <w:rsid w:val="00CF1E2F"/>
  </w:style>
  <w:style w:type="paragraph" w:customStyle="1" w:styleId="PINormal">
    <w:name w:val="PI Normal"/>
    <w:basedOn w:val="Normal"/>
    <w:uiPriority w:val="6"/>
    <w:qFormat/>
    <w:rsid w:val="00CF1E2F"/>
  </w:style>
  <w:style w:type="paragraph" w:customStyle="1" w:styleId="PIFigure">
    <w:name w:val="PI Figure"/>
    <w:basedOn w:val="Figure"/>
    <w:uiPriority w:val="7"/>
    <w:qFormat/>
    <w:rsid w:val="00CF1E2F"/>
  </w:style>
  <w:style w:type="paragraph" w:customStyle="1" w:styleId="PIHeading2">
    <w:name w:val="PI Heading 2"/>
    <w:basedOn w:val="Heading2"/>
    <w:uiPriority w:val="3"/>
    <w:qFormat/>
    <w:rsid w:val="00BB1F40"/>
  </w:style>
  <w:style w:type="paragraph" w:customStyle="1" w:styleId="PIHeading3">
    <w:name w:val="PI Heading 3"/>
    <w:basedOn w:val="Heading3"/>
    <w:uiPriority w:val="4"/>
    <w:qFormat/>
    <w:rsid w:val="00BB1F40"/>
  </w:style>
  <w:style w:type="paragraph" w:customStyle="1" w:styleId="PIHeading4">
    <w:name w:val="PI Heading 4"/>
    <w:basedOn w:val="Heading4"/>
    <w:uiPriority w:val="5"/>
    <w:qFormat/>
    <w:rsid w:val="00BB1F40"/>
    <w:pPr>
      <w:spacing w:before="120" w:after="120"/>
    </w:pPr>
  </w:style>
  <w:style w:type="paragraph" w:customStyle="1" w:styleId="PIFooter">
    <w:name w:val="PI Footer"/>
    <w:basedOn w:val="Footer"/>
    <w:uiPriority w:val="7"/>
    <w:qFormat/>
    <w:rsid w:val="00056EF5"/>
    <w:pPr>
      <w:tabs>
        <w:tab w:val="clear" w:pos="9923"/>
        <w:tab w:val="right" w:pos="8800"/>
      </w:tabs>
    </w:pPr>
  </w:style>
  <w:style w:type="paragraph" w:customStyle="1" w:styleId="PITableTitle">
    <w:name w:val="PI Table Title"/>
    <w:basedOn w:val="TableTitle"/>
    <w:uiPriority w:val="7"/>
    <w:qFormat/>
    <w:rsid w:val="008A46E8"/>
    <w:pPr>
      <w:keepLines/>
    </w:pPr>
  </w:style>
  <w:style w:type="paragraph" w:customStyle="1" w:styleId="PITableText">
    <w:name w:val="PI Table Text"/>
    <w:basedOn w:val="TableText"/>
    <w:uiPriority w:val="7"/>
    <w:qFormat/>
    <w:rsid w:val="00CC1938"/>
  </w:style>
  <w:style w:type="paragraph" w:customStyle="1" w:styleId="PITableSpace">
    <w:name w:val="PI Table Space"/>
    <w:basedOn w:val="TableSpace"/>
    <w:uiPriority w:val="7"/>
    <w:qFormat/>
    <w:rsid w:val="00CC1938"/>
    <w:pPr>
      <w:spacing w:after="120"/>
    </w:pPr>
  </w:style>
  <w:style w:type="paragraph" w:customStyle="1" w:styleId="PITableFootnote">
    <w:name w:val="PI Table Footnote"/>
    <w:basedOn w:val="TableFootnote"/>
    <w:uiPriority w:val="7"/>
    <w:qFormat/>
    <w:rsid w:val="00CC1938"/>
    <w:pPr>
      <w:spacing w:after="240"/>
    </w:pPr>
  </w:style>
  <w:style w:type="paragraph" w:customStyle="1" w:styleId="HeaderTitle">
    <w:name w:val="Header Title"/>
    <w:basedOn w:val="Normal"/>
    <w:rsid w:val="00F647C5"/>
    <w:pPr>
      <w:spacing w:after="120"/>
      <w:jc w:val="center"/>
    </w:pPr>
    <w:rPr>
      <w:rFonts w:ascii="Arial" w:hAnsi="Arial"/>
      <w:b/>
      <w:szCs w:val="24"/>
      <w:lang w:val="en-US"/>
    </w:rPr>
  </w:style>
  <w:style w:type="paragraph" w:customStyle="1" w:styleId="HeaderSubtitle">
    <w:name w:val="Header Subtitle"/>
    <w:basedOn w:val="Normal"/>
    <w:rsid w:val="00F647C5"/>
    <w:pPr>
      <w:spacing w:before="120" w:after="120"/>
    </w:pPr>
    <w:rPr>
      <w:rFonts w:ascii="Arial" w:hAnsi="Arial"/>
      <w:b/>
      <w:sz w:val="18"/>
      <w:lang w:val="en-US"/>
    </w:rPr>
  </w:style>
  <w:style w:type="paragraph" w:customStyle="1" w:styleId="HeaderText">
    <w:name w:val="Header Text"/>
    <w:basedOn w:val="HeaderSubtitle"/>
    <w:rsid w:val="00F647C5"/>
    <w:rPr>
      <w:b w:val="0"/>
    </w:rPr>
  </w:style>
  <w:style w:type="character" w:customStyle="1" w:styleId="SubtitleChar">
    <w:name w:val="Subtitle Char"/>
    <w:link w:val="Subtitle"/>
    <w:rsid w:val="00FB0B25"/>
    <w:rPr>
      <w:b/>
      <w:sz w:val="32"/>
      <w:lang w:eastAsia="en-US"/>
    </w:rPr>
  </w:style>
  <w:style w:type="character" w:customStyle="1" w:styleId="PITradename">
    <w:name w:val="PI Tradename"/>
    <w:basedOn w:val="SubtitleChar"/>
    <w:rsid w:val="00FB0B25"/>
    <w:rPr>
      <w:b/>
      <w:sz w:val="32"/>
      <w:lang w:eastAsia="en-US"/>
    </w:rPr>
  </w:style>
  <w:style w:type="character" w:customStyle="1" w:styleId="PIRegisteredTrademarkSign">
    <w:name w:val="PI Registered Trademark Sign"/>
    <w:rsid w:val="00FB0B25"/>
    <w:rPr>
      <w:b/>
      <w:sz w:val="32"/>
      <w:vertAlign w:val="superscript"/>
      <w:lang w:eastAsia="en-US"/>
    </w:rPr>
  </w:style>
  <w:style w:type="paragraph" w:customStyle="1" w:styleId="Paragraph">
    <w:name w:val="Paragraph"/>
    <w:link w:val="ParagraphChar"/>
    <w:qFormat/>
    <w:rsid w:val="00953F9D"/>
    <w:pPr>
      <w:spacing w:after="240"/>
    </w:pPr>
    <w:rPr>
      <w:sz w:val="24"/>
      <w:szCs w:val="24"/>
      <w:lang w:val="en-US" w:eastAsia="en-US"/>
    </w:rPr>
  </w:style>
  <w:style w:type="paragraph" w:customStyle="1" w:styleId="Heading2NoTOC">
    <w:name w:val="Heading 2 NoTOC"/>
    <w:next w:val="Paragraph"/>
    <w:link w:val="Heading2NoTOCChar"/>
    <w:rsid w:val="00953F9D"/>
    <w:pPr>
      <w:keepNext/>
      <w:spacing w:after="240"/>
    </w:pPr>
    <w:rPr>
      <w:rFonts w:ascii="Times New Roman Bold" w:hAnsi="Times New Roman Bold" w:cs="Arial"/>
      <w:b/>
      <w:bCs/>
      <w:sz w:val="24"/>
      <w:szCs w:val="26"/>
      <w:lang w:val="en-US" w:eastAsia="en-US"/>
    </w:rPr>
  </w:style>
  <w:style w:type="character" w:customStyle="1" w:styleId="Instructions">
    <w:name w:val="Instructions"/>
    <w:rsid w:val="00953F9D"/>
    <w:rPr>
      <w:i/>
      <w:iCs/>
      <w:color w:val="008000"/>
    </w:rPr>
  </w:style>
  <w:style w:type="character" w:customStyle="1" w:styleId="ParagraphChar">
    <w:name w:val="Paragraph Char"/>
    <w:link w:val="Paragraph"/>
    <w:rsid w:val="00953F9D"/>
    <w:rPr>
      <w:sz w:val="24"/>
      <w:szCs w:val="24"/>
      <w:lang w:val="en-US" w:eastAsia="en-US" w:bidi="ar-SA"/>
    </w:rPr>
  </w:style>
  <w:style w:type="character" w:customStyle="1" w:styleId="Heading2NoTOCChar">
    <w:name w:val="Heading 2 NoTOC Char"/>
    <w:link w:val="Heading2NoTOC"/>
    <w:rsid w:val="00953F9D"/>
    <w:rPr>
      <w:rFonts w:ascii="Times New Roman Bold" w:hAnsi="Times New Roman Bold" w:cs="Arial"/>
      <w:b/>
      <w:bCs/>
      <w:sz w:val="24"/>
      <w:szCs w:val="26"/>
      <w:lang w:val="en-US" w:eastAsia="en-US" w:bidi="ar-SA"/>
    </w:rPr>
  </w:style>
  <w:style w:type="paragraph" w:customStyle="1" w:styleId="TableText0">
    <w:name w:val="TableText"/>
    <w:link w:val="TableTextChar0"/>
    <w:rsid w:val="00E40213"/>
    <w:rPr>
      <w:rFonts w:cs="Arial"/>
      <w:lang w:val="en-US" w:eastAsia="en-US"/>
    </w:rPr>
  </w:style>
  <w:style w:type="character" w:customStyle="1" w:styleId="TableText12">
    <w:name w:val="TableText 12"/>
    <w:rsid w:val="00E40213"/>
    <w:rPr>
      <w:rFonts w:ascii="Times New Roman" w:hAnsi="Times New Roman"/>
      <w:sz w:val="24"/>
    </w:rPr>
  </w:style>
  <w:style w:type="paragraph" w:styleId="Revision">
    <w:name w:val="Revision"/>
    <w:hidden/>
    <w:uiPriority w:val="99"/>
    <w:semiHidden/>
    <w:rsid w:val="00BD4A4C"/>
    <w:rPr>
      <w:sz w:val="24"/>
      <w:lang w:eastAsia="en-US"/>
    </w:rPr>
  </w:style>
  <w:style w:type="character" w:customStyle="1" w:styleId="TableText9">
    <w:name w:val="TableText 9"/>
    <w:rsid w:val="008A46E8"/>
    <w:rPr>
      <w:rFonts w:ascii="Times New Roman" w:hAnsi="Times New Roman"/>
      <w:sz w:val="18"/>
    </w:rPr>
  </w:style>
  <w:style w:type="paragraph" w:styleId="FootnoteText">
    <w:name w:val="footnote text"/>
    <w:link w:val="FootnoteTextChar"/>
    <w:semiHidden/>
    <w:rsid w:val="008A46E8"/>
    <w:pPr>
      <w:spacing w:after="120"/>
      <w:ind w:firstLine="461"/>
    </w:pPr>
    <w:rPr>
      <w:lang w:val="en-US" w:eastAsia="en-US"/>
    </w:rPr>
  </w:style>
  <w:style w:type="character" w:customStyle="1" w:styleId="FootnoteTextChar">
    <w:name w:val="Footnote Text Char"/>
    <w:link w:val="FootnoteText"/>
    <w:semiHidden/>
    <w:rsid w:val="008A46E8"/>
    <w:rPr>
      <w:lang w:val="en-US" w:eastAsia="en-US" w:bidi="ar-SA"/>
    </w:rPr>
  </w:style>
  <w:style w:type="paragraph" w:customStyle="1" w:styleId="TableTextCentered">
    <w:name w:val="TableText Centered"/>
    <w:rsid w:val="008A46E8"/>
    <w:pPr>
      <w:jc w:val="center"/>
    </w:pPr>
    <w:rPr>
      <w:lang w:val="en-US" w:eastAsia="en-US"/>
    </w:rPr>
  </w:style>
  <w:style w:type="character" w:customStyle="1" w:styleId="TableTextChar">
    <w:name w:val="Table Text Char"/>
    <w:link w:val="TableText"/>
    <w:locked/>
    <w:rsid w:val="008A46E8"/>
    <w:rPr>
      <w:snapToGrid w:val="0"/>
      <w:color w:val="000000"/>
      <w:sz w:val="24"/>
      <w:szCs w:val="24"/>
      <w:lang w:eastAsia="en-US"/>
    </w:rPr>
  </w:style>
  <w:style w:type="paragraph" w:customStyle="1" w:styleId="Default">
    <w:name w:val="Default"/>
    <w:rsid w:val="000F5BBF"/>
    <w:pPr>
      <w:autoSpaceDE w:val="0"/>
      <w:autoSpaceDN w:val="0"/>
      <w:adjustRightInd w:val="0"/>
    </w:pPr>
    <w:rPr>
      <w:color w:val="000000"/>
      <w:sz w:val="24"/>
      <w:szCs w:val="24"/>
    </w:rPr>
  </w:style>
  <w:style w:type="character" w:customStyle="1" w:styleId="st1">
    <w:name w:val="st1"/>
    <w:basedOn w:val="DefaultParagraphFont"/>
    <w:rsid w:val="008823C3"/>
  </w:style>
  <w:style w:type="character" w:customStyle="1" w:styleId="CommentTextChar">
    <w:name w:val="Comment Text Char"/>
    <w:link w:val="CommentText"/>
    <w:rsid w:val="00531FCC"/>
    <w:rPr>
      <w:lang w:eastAsia="en-US"/>
    </w:rPr>
  </w:style>
  <w:style w:type="character" w:customStyle="1" w:styleId="FooterChar">
    <w:name w:val="Footer Char"/>
    <w:link w:val="Footer"/>
    <w:locked/>
    <w:rsid w:val="00037DE6"/>
    <w:rPr>
      <w:lang w:eastAsia="en-US"/>
    </w:rPr>
  </w:style>
  <w:style w:type="paragraph" w:customStyle="1" w:styleId="TableTextFootnote">
    <w:name w:val="TableText Footnote"/>
    <w:rsid w:val="00D528F1"/>
    <w:pPr>
      <w:tabs>
        <w:tab w:val="left" w:pos="360"/>
      </w:tabs>
    </w:pPr>
    <w:rPr>
      <w:lang w:val="en-US" w:eastAsia="en-US"/>
    </w:rPr>
  </w:style>
  <w:style w:type="character" w:customStyle="1" w:styleId="BlueText">
    <w:name w:val="Blue Text"/>
    <w:rsid w:val="006A4F7D"/>
    <w:rPr>
      <w:color w:val="0000FF"/>
    </w:rPr>
  </w:style>
  <w:style w:type="character" w:customStyle="1" w:styleId="TableTextChar0">
    <w:name w:val="TableText Char"/>
    <w:link w:val="TableText0"/>
    <w:rsid w:val="00C1689C"/>
    <w:rPr>
      <w:rFonts w:cs="Arial"/>
      <w:lang w:val="en-US" w:eastAsia="en-US" w:bidi="ar-SA"/>
    </w:rPr>
  </w:style>
  <w:style w:type="paragraph" w:customStyle="1" w:styleId="AxisLabel">
    <w:name w:val="Axis Label"/>
    <w:basedOn w:val="Normal"/>
    <w:qFormat/>
    <w:rsid w:val="00D736E2"/>
    <w:pPr>
      <w:spacing w:before="180" w:after="0"/>
      <w:jc w:val="left"/>
    </w:pPr>
    <w:rPr>
      <w:rFonts w:ascii="Arial" w:eastAsia="Cambria" w:hAnsi="Arial"/>
      <w:noProof/>
      <w:sz w:val="14"/>
      <w:szCs w:val="22"/>
      <w:lang w:eastAsia="en-AU"/>
    </w:rPr>
  </w:style>
  <w:style w:type="table" w:customStyle="1" w:styleId="TableGrid1">
    <w:name w:val="Table Grid1"/>
    <w:basedOn w:val="TableNormal"/>
    <w:next w:val="TableGrid"/>
    <w:uiPriority w:val="59"/>
    <w:rsid w:val="00D736E2"/>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55C"/>
    <w:pPr>
      <w:spacing w:after="240"/>
      <w:jc w:val="both"/>
    </w:pPr>
    <w:rPr>
      <w:sz w:val="24"/>
      <w:lang w:eastAsia="en-US"/>
    </w:rPr>
  </w:style>
  <w:style w:type="paragraph" w:styleId="Heading1">
    <w:name w:val="heading 1"/>
    <w:basedOn w:val="Normal"/>
    <w:next w:val="Normal"/>
    <w:qFormat/>
    <w:rsid w:val="003536A9"/>
    <w:pPr>
      <w:keepNext/>
      <w:spacing w:before="360" w:line="280" w:lineRule="exact"/>
      <w:outlineLvl w:val="0"/>
    </w:pPr>
    <w:rPr>
      <w:b/>
      <w:caps/>
      <w:kern w:val="28"/>
      <w:sz w:val="28"/>
    </w:rPr>
  </w:style>
  <w:style w:type="paragraph" w:styleId="Heading2">
    <w:name w:val="heading 2"/>
    <w:basedOn w:val="Normal"/>
    <w:next w:val="Normal"/>
    <w:qFormat/>
    <w:rsid w:val="003536A9"/>
    <w:pPr>
      <w:keepNext/>
      <w:spacing w:before="240" w:after="120" w:line="280" w:lineRule="exact"/>
      <w:outlineLvl w:val="1"/>
    </w:pPr>
    <w:rPr>
      <w:b/>
    </w:rPr>
  </w:style>
  <w:style w:type="paragraph" w:styleId="Heading3">
    <w:name w:val="heading 3"/>
    <w:basedOn w:val="Normal"/>
    <w:next w:val="Normal"/>
    <w:qFormat/>
    <w:rsid w:val="003536A9"/>
    <w:pPr>
      <w:keepNext/>
      <w:spacing w:before="120" w:after="120"/>
      <w:outlineLvl w:val="2"/>
    </w:pPr>
    <w:rPr>
      <w:b/>
      <w:i/>
      <w:iCs/>
    </w:rPr>
  </w:style>
  <w:style w:type="paragraph" w:styleId="Heading4">
    <w:name w:val="heading 4"/>
    <w:basedOn w:val="Normal"/>
    <w:next w:val="Normal"/>
    <w:qFormat/>
    <w:rsid w:val="003536A9"/>
    <w:pPr>
      <w:keepNext/>
      <w:outlineLvl w:val="3"/>
    </w:pPr>
    <w:rPr>
      <w:i/>
      <w:iCs/>
    </w:rPr>
  </w:style>
  <w:style w:type="paragraph" w:styleId="Heading5">
    <w:name w:val="heading 5"/>
    <w:basedOn w:val="Normal"/>
    <w:next w:val="Normal"/>
    <w:qFormat/>
    <w:rsid w:val="00662BB9"/>
    <w:pPr>
      <w:spacing w:before="240" w:after="60"/>
      <w:outlineLvl w:val="4"/>
    </w:pPr>
    <w:rPr>
      <w:b/>
      <w:bCs/>
      <w:i/>
      <w:iCs/>
      <w:sz w:val="26"/>
      <w:szCs w:val="26"/>
    </w:rPr>
  </w:style>
  <w:style w:type="character" w:default="1" w:styleId="DefaultParagraphFont">
    <w:name w:val="Default Paragraph Font"/>
    <w:semiHidden/>
    <w:rsid w:val="003536A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536A9"/>
  </w:style>
  <w:style w:type="paragraph" w:customStyle="1" w:styleId="Figure">
    <w:name w:val="Figure"/>
    <w:basedOn w:val="Normal"/>
    <w:next w:val="Normal"/>
    <w:semiHidden/>
    <w:rsid w:val="003536A9"/>
    <w:pPr>
      <w:spacing w:before="240" w:after="360"/>
    </w:pPr>
    <w:rPr>
      <w:color w:val="000000"/>
    </w:rPr>
  </w:style>
  <w:style w:type="paragraph" w:customStyle="1" w:styleId="FigureFootnote">
    <w:name w:val="Figure Footnote"/>
    <w:basedOn w:val="Normal"/>
    <w:next w:val="Normal"/>
    <w:semiHidden/>
    <w:rsid w:val="003536A9"/>
    <w:pPr>
      <w:spacing w:before="240" w:after="360"/>
    </w:pPr>
    <w:rPr>
      <w:color w:val="000000"/>
    </w:rPr>
  </w:style>
  <w:style w:type="paragraph" w:customStyle="1" w:styleId="FigureTitle">
    <w:name w:val="Figure Title"/>
    <w:basedOn w:val="Normal"/>
    <w:next w:val="Figure"/>
    <w:semiHidden/>
    <w:rsid w:val="003536A9"/>
    <w:pPr>
      <w:keepNext/>
      <w:spacing w:before="360"/>
    </w:pPr>
    <w:rPr>
      <w:b/>
      <w:color w:val="000000"/>
    </w:rPr>
  </w:style>
  <w:style w:type="character" w:styleId="FootnoteReference">
    <w:name w:val="footnote reference"/>
    <w:semiHidden/>
    <w:rsid w:val="003536A9"/>
    <w:rPr>
      <w:sz w:val="24"/>
      <w:vertAlign w:val="superscript"/>
    </w:rPr>
  </w:style>
  <w:style w:type="paragraph" w:styleId="Header">
    <w:name w:val="header"/>
    <w:basedOn w:val="Normal"/>
    <w:semiHidden/>
    <w:rsid w:val="003536A9"/>
    <w:pPr>
      <w:tabs>
        <w:tab w:val="center" w:pos="4153"/>
        <w:tab w:val="right" w:pos="8306"/>
      </w:tabs>
    </w:pPr>
  </w:style>
  <w:style w:type="paragraph" w:styleId="Footer">
    <w:name w:val="footer"/>
    <w:basedOn w:val="Normal"/>
    <w:link w:val="FooterChar"/>
    <w:rsid w:val="003536A9"/>
    <w:pPr>
      <w:pBdr>
        <w:top w:val="single" w:sz="6" w:space="1" w:color="auto"/>
      </w:pBdr>
      <w:tabs>
        <w:tab w:val="left" w:pos="9923"/>
      </w:tabs>
      <w:spacing w:after="0" w:line="280" w:lineRule="exact"/>
      <w:jc w:val="left"/>
    </w:pPr>
    <w:rPr>
      <w:sz w:val="20"/>
    </w:rPr>
  </w:style>
  <w:style w:type="table" w:styleId="TableGrid">
    <w:name w:val="Table Grid"/>
    <w:basedOn w:val="TableNormal"/>
    <w:rsid w:val="00DB5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Figure"/>
    <w:link w:val="TableTextChar"/>
    <w:rsid w:val="003536A9"/>
    <w:pPr>
      <w:spacing w:before="0" w:after="0"/>
      <w:jc w:val="left"/>
    </w:pPr>
    <w:rPr>
      <w:snapToGrid w:val="0"/>
      <w:szCs w:val="24"/>
    </w:rPr>
  </w:style>
  <w:style w:type="paragraph" w:customStyle="1" w:styleId="TableHeading">
    <w:name w:val="Table Heading"/>
    <w:basedOn w:val="TableText"/>
    <w:semiHidden/>
    <w:rsid w:val="003536A9"/>
    <w:pPr>
      <w:keepNext/>
    </w:pPr>
    <w:rPr>
      <w:b/>
      <w:bCs/>
    </w:rPr>
  </w:style>
  <w:style w:type="character" w:styleId="Hyperlink">
    <w:name w:val="Hyperlink"/>
    <w:semiHidden/>
    <w:rsid w:val="003536A9"/>
    <w:rPr>
      <w:color w:val="auto"/>
      <w:u w:val="none"/>
    </w:rPr>
  </w:style>
  <w:style w:type="paragraph" w:styleId="ListNumber">
    <w:name w:val="List Number"/>
    <w:basedOn w:val="Normal"/>
    <w:semiHidden/>
    <w:rsid w:val="003536A9"/>
    <w:pPr>
      <w:numPr>
        <w:numId w:val="5"/>
      </w:numPr>
    </w:pPr>
  </w:style>
  <w:style w:type="paragraph" w:customStyle="1" w:styleId="TableTitle">
    <w:name w:val="Table Title"/>
    <w:basedOn w:val="FigureTitle"/>
    <w:next w:val="TableText"/>
    <w:semiHidden/>
    <w:rsid w:val="003536A9"/>
    <w:pPr>
      <w:spacing w:after="0"/>
      <w:jc w:val="left"/>
    </w:pPr>
    <w:rPr>
      <w:szCs w:val="24"/>
    </w:rPr>
  </w:style>
  <w:style w:type="paragraph" w:styleId="ListBullet">
    <w:name w:val="List Bullet"/>
    <w:basedOn w:val="Normal"/>
    <w:semiHidden/>
    <w:rsid w:val="003536A9"/>
    <w:pPr>
      <w:numPr>
        <w:numId w:val="3"/>
      </w:numPr>
    </w:pPr>
  </w:style>
  <w:style w:type="paragraph" w:styleId="Subtitle">
    <w:name w:val="Subtitle"/>
    <w:basedOn w:val="Normal"/>
    <w:link w:val="SubtitleChar"/>
    <w:qFormat/>
    <w:rsid w:val="003536A9"/>
    <w:pPr>
      <w:spacing w:after="60"/>
      <w:outlineLvl w:val="1"/>
    </w:pPr>
    <w:rPr>
      <w:b/>
      <w:sz w:val="32"/>
    </w:rPr>
  </w:style>
  <w:style w:type="paragraph" w:customStyle="1" w:styleId="TableFootnote">
    <w:name w:val="Table Footnote"/>
    <w:basedOn w:val="FigureFootnote"/>
    <w:next w:val="Normal"/>
    <w:semiHidden/>
    <w:rsid w:val="003536A9"/>
    <w:pPr>
      <w:spacing w:before="0" w:after="0"/>
      <w:jc w:val="left"/>
    </w:pPr>
    <w:rPr>
      <w:sz w:val="20"/>
      <w:szCs w:val="24"/>
    </w:rPr>
  </w:style>
  <w:style w:type="paragraph" w:customStyle="1" w:styleId="TableSpace">
    <w:name w:val="Table Space"/>
    <w:basedOn w:val="Figure"/>
    <w:next w:val="Normal"/>
    <w:semiHidden/>
    <w:rsid w:val="003536A9"/>
    <w:pPr>
      <w:spacing w:before="0" w:after="480"/>
      <w:jc w:val="left"/>
    </w:pPr>
    <w:rPr>
      <w:szCs w:val="24"/>
    </w:rPr>
  </w:style>
  <w:style w:type="paragraph" w:customStyle="1" w:styleId="TableTitleCont">
    <w:name w:val="Table Title Cont"/>
    <w:basedOn w:val="TableTitle"/>
    <w:next w:val="TableText"/>
    <w:semiHidden/>
    <w:rsid w:val="003536A9"/>
    <w:pPr>
      <w:spacing w:before="0"/>
    </w:pPr>
    <w:rPr>
      <w:b w:val="0"/>
    </w:rPr>
  </w:style>
  <w:style w:type="paragraph" w:styleId="Title">
    <w:name w:val="Title"/>
    <w:basedOn w:val="Normal"/>
    <w:qFormat/>
    <w:rsid w:val="003536A9"/>
    <w:pPr>
      <w:spacing w:before="240" w:after="60"/>
      <w:outlineLvl w:val="0"/>
    </w:pPr>
    <w:rPr>
      <w:b/>
      <w:kern w:val="28"/>
      <w:sz w:val="40"/>
    </w:rPr>
  </w:style>
  <w:style w:type="paragraph" w:styleId="BalloonText">
    <w:name w:val="Balloon Text"/>
    <w:basedOn w:val="Normal"/>
    <w:semiHidden/>
    <w:rsid w:val="00FD575B"/>
    <w:rPr>
      <w:rFonts w:ascii="Tahoma" w:hAnsi="Tahoma" w:cs="Tahoma"/>
      <w:sz w:val="16"/>
      <w:szCs w:val="16"/>
    </w:rPr>
  </w:style>
  <w:style w:type="character" w:styleId="CommentReference">
    <w:name w:val="annotation reference"/>
    <w:rsid w:val="00C57C07"/>
    <w:rPr>
      <w:sz w:val="16"/>
      <w:szCs w:val="16"/>
    </w:rPr>
  </w:style>
  <w:style w:type="paragraph" w:styleId="CommentText">
    <w:name w:val="annotation text"/>
    <w:basedOn w:val="Normal"/>
    <w:link w:val="CommentTextChar"/>
    <w:rsid w:val="00C57C07"/>
    <w:rPr>
      <w:sz w:val="20"/>
    </w:rPr>
  </w:style>
  <w:style w:type="paragraph" w:styleId="CommentSubject">
    <w:name w:val="annotation subject"/>
    <w:basedOn w:val="CommentText"/>
    <w:next w:val="CommentText"/>
    <w:semiHidden/>
    <w:rsid w:val="00C57C07"/>
    <w:rPr>
      <w:b/>
      <w:bCs/>
    </w:rPr>
  </w:style>
  <w:style w:type="character" w:styleId="PageNumber">
    <w:name w:val="page number"/>
    <w:basedOn w:val="DefaultParagraphFont"/>
    <w:semiHidden/>
    <w:rsid w:val="001B2FD7"/>
  </w:style>
  <w:style w:type="paragraph" w:customStyle="1" w:styleId="PITITLE">
    <w:name w:val="PI TITLE"/>
    <w:basedOn w:val="Title"/>
    <w:qFormat/>
    <w:rsid w:val="00CF1E2F"/>
  </w:style>
  <w:style w:type="paragraph" w:customStyle="1" w:styleId="PISubtitle">
    <w:name w:val="PI Subtitle"/>
    <w:basedOn w:val="Subtitle"/>
    <w:uiPriority w:val="1"/>
    <w:qFormat/>
    <w:rsid w:val="00CF1E2F"/>
  </w:style>
  <w:style w:type="paragraph" w:customStyle="1" w:styleId="PIHeading1">
    <w:name w:val="PI Heading 1"/>
    <w:basedOn w:val="Heading1"/>
    <w:uiPriority w:val="2"/>
    <w:qFormat/>
    <w:rsid w:val="00CF1E2F"/>
  </w:style>
  <w:style w:type="paragraph" w:customStyle="1" w:styleId="PINormal">
    <w:name w:val="PI Normal"/>
    <w:basedOn w:val="Normal"/>
    <w:uiPriority w:val="6"/>
    <w:qFormat/>
    <w:rsid w:val="00CF1E2F"/>
  </w:style>
  <w:style w:type="paragraph" w:customStyle="1" w:styleId="PIFigure">
    <w:name w:val="PI Figure"/>
    <w:basedOn w:val="Figure"/>
    <w:uiPriority w:val="7"/>
    <w:qFormat/>
    <w:rsid w:val="00CF1E2F"/>
  </w:style>
  <w:style w:type="paragraph" w:customStyle="1" w:styleId="PIHeading2">
    <w:name w:val="PI Heading 2"/>
    <w:basedOn w:val="Heading2"/>
    <w:uiPriority w:val="3"/>
    <w:qFormat/>
    <w:rsid w:val="00BB1F40"/>
  </w:style>
  <w:style w:type="paragraph" w:customStyle="1" w:styleId="PIHeading3">
    <w:name w:val="PI Heading 3"/>
    <w:basedOn w:val="Heading3"/>
    <w:uiPriority w:val="4"/>
    <w:qFormat/>
    <w:rsid w:val="00BB1F40"/>
  </w:style>
  <w:style w:type="paragraph" w:customStyle="1" w:styleId="PIHeading4">
    <w:name w:val="PI Heading 4"/>
    <w:basedOn w:val="Heading4"/>
    <w:uiPriority w:val="5"/>
    <w:qFormat/>
    <w:rsid w:val="00BB1F40"/>
    <w:pPr>
      <w:spacing w:before="120" w:after="120"/>
    </w:pPr>
  </w:style>
  <w:style w:type="paragraph" w:customStyle="1" w:styleId="PIFooter">
    <w:name w:val="PI Footer"/>
    <w:basedOn w:val="Footer"/>
    <w:uiPriority w:val="7"/>
    <w:qFormat/>
    <w:rsid w:val="00056EF5"/>
    <w:pPr>
      <w:tabs>
        <w:tab w:val="clear" w:pos="9923"/>
        <w:tab w:val="right" w:pos="8800"/>
      </w:tabs>
    </w:pPr>
  </w:style>
  <w:style w:type="paragraph" w:customStyle="1" w:styleId="PITableTitle">
    <w:name w:val="PI Table Title"/>
    <w:basedOn w:val="TableTitle"/>
    <w:uiPriority w:val="7"/>
    <w:qFormat/>
    <w:rsid w:val="008A46E8"/>
    <w:pPr>
      <w:keepLines/>
    </w:pPr>
  </w:style>
  <w:style w:type="paragraph" w:customStyle="1" w:styleId="PITableText">
    <w:name w:val="PI Table Text"/>
    <w:basedOn w:val="TableText"/>
    <w:uiPriority w:val="7"/>
    <w:qFormat/>
    <w:rsid w:val="00CC1938"/>
  </w:style>
  <w:style w:type="paragraph" w:customStyle="1" w:styleId="PITableSpace">
    <w:name w:val="PI Table Space"/>
    <w:basedOn w:val="TableSpace"/>
    <w:uiPriority w:val="7"/>
    <w:qFormat/>
    <w:rsid w:val="00CC1938"/>
    <w:pPr>
      <w:spacing w:after="120"/>
    </w:pPr>
  </w:style>
  <w:style w:type="paragraph" w:customStyle="1" w:styleId="PITableFootnote">
    <w:name w:val="PI Table Footnote"/>
    <w:basedOn w:val="TableFootnote"/>
    <w:uiPriority w:val="7"/>
    <w:qFormat/>
    <w:rsid w:val="00CC1938"/>
    <w:pPr>
      <w:spacing w:after="240"/>
    </w:pPr>
  </w:style>
  <w:style w:type="paragraph" w:customStyle="1" w:styleId="HeaderTitle">
    <w:name w:val="Header Title"/>
    <w:basedOn w:val="Normal"/>
    <w:rsid w:val="00F647C5"/>
    <w:pPr>
      <w:spacing w:after="120"/>
      <w:jc w:val="center"/>
    </w:pPr>
    <w:rPr>
      <w:rFonts w:ascii="Arial" w:hAnsi="Arial"/>
      <w:b/>
      <w:szCs w:val="24"/>
      <w:lang w:val="en-US"/>
    </w:rPr>
  </w:style>
  <w:style w:type="paragraph" w:customStyle="1" w:styleId="HeaderSubtitle">
    <w:name w:val="Header Subtitle"/>
    <w:basedOn w:val="Normal"/>
    <w:rsid w:val="00F647C5"/>
    <w:pPr>
      <w:spacing w:before="120" w:after="120"/>
    </w:pPr>
    <w:rPr>
      <w:rFonts w:ascii="Arial" w:hAnsi="Arial"/>
      <w:b/>
      <w:sz w:val="18"/>
      <w:lang w:val="en-US"/>
    </w:rPr>
  </w:style>
  <w:style w:type="paragraph" w:customStyle="1" w:styleId="HeaderText">
    <w:name w:val="Header Text"/>
    <w:basedOn w:val="HeaderSubtitle"/>
    <w:rsid w:val="00F647C5"/>
    <w:rPr>
      <w:b w:val="0"/>
    </w:rPr>
  </w:style>
  <w:style w:type="character" w:customStyle="1" w:styleId="SubtitleChar">
    <w:name w:val="Subtitle Char"/>
    <w:link w:val="Subtitle"/>
    <w:rsid w:val="00FB0B25"/>
    <w:rPr>
      <w:b/>
      <w:sz w:val="32"/>
      <w:lang w:eastAsia="en-US"/>
    </w:rPr>
  </w:style>
  <w:style w:type="character" w:customStyle="1" w:styleId="PITradename">
    <w:name w:val="PI Tradename"/>
    <w:basedOn w:val="SubtitleChar"/>
    <w:rsid w:val="00FB0B25"/>
    <w:rPr>
      <w:b/>
      <w:sz w:val="32"/>
      <w:lang w:eastAsia="en-US"/>
    </w:rPr>
  </w:style>
  <w:style w:type="character" w:customStyle="1" w:styleId="PIRegisteredTrademarkSign">
    <w:name w:val="PI Registered Trademark Sign"/>
    <w:rsid w:val="00FB0B25"/>
    <w:rPr>
      <w:b/>
      <w:sz w:val="32"/>
      <w:vertAlign w:val="superscript"/>
      <w:lang w:eastAsia="en-US"/>
    </w:rPr>
  </w:style>
  <w:style w:type="paragraph" w:customStyle="1" w:styleId="Paragraph">
    <w:name w:val="Paragraph"/>
    <w:link w:val="ParagraphChar"/>
    <w:qFormat/>
    <w:rsid w:val="00953F9D"/>
    <w:pPr>
      <w:spacing w:after="240"/>
    </w:pPr>
    <w:rPr>
      <w:sz w:val="24"/>
      <w:szCs w:val="24"/>
      <w:lang w:val="en-US" w:eastAsia="en-US"/>
    </w:rPr>
  </w:style>
  <w:style w:type="paragraph" w:customStyle="1" w:styleId="Heading2NoTOC">
    <w:name w:val="Heading 2 NoTOC"/>
    <w:next w:val="Paragraph"/>
    <w:link w:val="Heading2NoTOCChar"/>
    <w:rsid w:val="00953F9D"/>
    <w:pPr>
      <w:keepNext/>
      <w:spacing w:after="240"/>
    </w:pPr>
    <w:rPr>
      <w:rFonts w:ascii="Times New Roman Bold" w:hAnsi="Times New Roman Bold" w:cs="Arial"/>
      <w:b/>
      <w:bCs/>
      <w:sz w:val="24"/>
      <w:szCs w:val="26"/>
      <w:lang w:val="en-US" w:eastAsia="en-US"/>
    </w:rPr>
  </w:style>
  <w:style w:type="character" w:customStyle="1" w:styleId="Instructions">
    <w:name w:val="Instructions"/>
    <w:rsid w:val="00953F9D"/>
    <w:rPr>
      <w:i/>
      <w:iCs/>
      <w:color w:val="008000"/>
    </w:rPr>
  </w:style>
  <w:style w:type="character" w:customStyle="1" w:styleId="ParagraphChar">
    <w:name w:val="Paragraph Char"/>
    <w:link w:val="Paragraph"/>
    <w:rsid w:val="00953F9D"/>
    <w:rPr>
      <w:sz w:val="24"/>
      <w:szCs w:val="24"/>
      <w:lang w:val="en-US" w:eastAsia="en-US" w:bidi="ar-SA"/>
    </w:rPr>
  </w:style>
  <w:style w:type="character" w:customStyle="1" w:styleId="Heading2NoTOCChar">
    <w:name w:val="Heading 2 NoTOC Char"/>
    <w:link w:val="Heading2NoTOC"/>
    <w:rsid w:val="00953F9D"/>
    <w:rPr>
      <w:rFonts w:ascii="Times New Roman Bold" w:hAnsi="Times New Roman Bold" w:cs="Arial"/>
      <w:b/>
      <w:bCs/>
      <w:sz w:val="24"/>
      <w:szCs w:val="26"/>
      <w:lang w:val="en-US" w:eastAsia="en-US" w:bidi="ar-SA"/>
    </w:rPr>
  </w:style>
  <w:style w:type="paragraph" w:customStyle="1" w:styleId="TableText0">
    <w:name w:val="TableText"/>
    <w:link w:val="TableTextChar0"/>
    <w:rsid w:val="00E40213"/>
    <w:rPr>
      <w:rFonts w:cs="Arial"/>
      <w:lang w:val="en-US" w:eastAsia="en-US"/>
    </w:rPr>
  </w:style>
  <w:style w:type="character" w:customStyle="1" w:styleId="TableText12">
    <w:name w:val="TableText 12"/>
    <w:rsid w:val="00E40213"/>
    <w:rPr>
      <w:rFonts w:ascii="Times New Roman" w:hAnsi="Times New Roman"/>
      <w:sz w:val="24"/>
    </w:rPr>
  </w:style>
  <w:style w:type="paragraph" w:styleId="Revision">
    <w:name w:val="Revision"/>
    <w:hidden/>
    <w:uiPriority w:val="99"/>
    <w:semiHidden/>
    <w:rsid w:val="00BD4A4C"/>
    <w:rPr>
      <w:sz w:val="24"/>
      <w:lang w:eastAsia="en-US"/>
    </w:rPr>
  </w:style>
  <w:style w:type="character" w:customStyle="1" w:styleId="TableText9">
    <w:name w:val="TableText 9"/>
    <w:rsid w:val="008A46E8"/>
    <w:rPr>
      <w:rFonts w:ascii="Times New Roman" w:hAnsi="Times New Roman"/>
      <w:sz w:val="18"/>
    </w:rPr>
  </w:style>
  <w:style w:type="paragraph" w:styleId="FootnoteText">
    <w:name w:val="footnote text"/>
    <w:link w:val="FootnoteTextChar"/>
    <w:semiHidden/>
    <w:rsid w:val="008A46E8"/>
    <w:pPr>
      <w:spacing w:after="120"/>
      <w:ind w:firstLine="461"/>
    </w:pPr>
    <w:rPr>
      <w:lang w:val="en-US" w:eastAsia="en-US"/>
    </w:rPr>
  </w:style>
  <w:style w:type="character" w:customStyle="1" w:styleId="FootnoteTextChar">
    <w:name w:val="Footnote Text Char"/>
    <w:link w:val="FootnoteText"/>
    <w:semiHidden/>
    <w:rsid w:val="008A46E8"/>
    <w:rPr>
      <w:lang w:val="en-US" w:eastAsia="en-US" w:bidi="ar-SA"/>
    </w:rPr>
  </w:style>
  <w:style w:type="paragraph" w:customStyle="1" w:styleId="TableTextCentered">
    <w:name w:val="TableText Centered"/>
    <w:rsid w:val="008A46E8"/>
    <w:pPr>
      <w:jc w:val="center"/>
    </w:pPr>
    <w:rPr>
      <w:lang w:val="en-US" w:eastAsia="en-US"/>
    </w:rPr>
  </w:style>
  <w:style w:type="character" w:customStyle="1" w:styleId="TableTextChar">
    <w:name w:val="Table Text Char"/>
    <w:link w:val="TableText"/>
    <w:locked/>
    <w:rsid w:val="008A46E8"/>
    <w:rPr>
      <w:snapToGrid w:val="0"/>
      <w:color w:val="000000"/>
      <w:sz w:val="24"/>
      <w:szCs w:val="24"/>
      <w:lang w:eastAsia="en-US"/>
    </w:rPr>
  </w:style>
  <w:style w:type="paragraph" w:customStyle="1" w:styleId="Default">
    <w:name w:val="Default"/>
    <w:rsid w:val="000F5BBF"/>
    <w:pPr>
      <w:autoSpaceDE w:val="0"/>
      <w:autoSpaceDN w:val="0"/>
      <w:adjustRightInd w:val="0"/>
    </w:pPr>
    <w:rPr>
      <w:color w:val="000000"/>
      <w:sz w:val="24"/>
      <w:szCs w:val="24"/>
    </w:rPr>
  </w:style>
  <w:style w:type="character" w:customStyle="1" w:styleId="st1">
    <w:name w:val="st1"/>
    <w:basedOn w:val="DefaultParagraphFont"/>
    <w:rsid w:val="008823C3"/>
  </w:style>
  <w:style w:type="character" w:customStyle="1" w:styleId="CommentTextChar">
    <w:name w:val="Comment Text Char"/>
    <w:link w:val="CommentText"/>
    <w:rsid w:val="00531FCC"/>
    <w:rPr>
      <w:lang w:eastAsia="en-US"/>
    </w:rPr>
  </w:style>
  <w:style w:type="character" w:customStyle="1" w:styleId="FooterChar">
    <w:name w:val="Footer Char"/>
    <w:link w:val="Footer"/>
    <w:locked/>
    <w:rsid w:val="00037DE6"/>
    <w:rPr>
      <w:lang w:eastAsia="en-US"/>
    </w:rPr>
  </w:style>
  <w:style w:type="paragraph" w:customStyle="1" w:styleId="TableTextFootnote">
    <w:name w:val="TableText Footnote"/>
    <w:rsid w:val="00D528F1"/>
    <w:pPr>
      <w:tabs>
        <w:tab w:val="left" w:pos="360"/>
      </w:tabs>
    </w:pPr>
    <w:rPr>
      <w:lang w:val="en-US" w:eastAsia="en-US"/>
    </w:rPr>
  </w:style>
  <w:style w:type="character" w:customStyle="1" w:styleId="BlueText">
    <w:name w:val="Blue Text"/>
    <w:rsid w:val="006A4F7D"/>
    <w:rPr>
      <w:color w:val="0000FF"/>
    </w:rPr>
  </w:style>
  <w:style w:type="character" w:customStyle="1" w:styleId="TableTextChar0">
    <w:name w:val="TableText Char"/>
    <w:link w:val="TableText0"/>
    <w:rsid w:val="00C1689C"/>
    <w:rPr>
      <w:rFonts w:cs="Arial"/>
      <w:lang w:val="en-US" w:eastAsia="en-US" w:bidi="ar-SA"/>
    </w:rPr>
  </w:style>
  <w:style w:type="paragraph" w:customStyle="1" w:styleId="AxisLabel">
    <w:name w:val="Axis Label"/>
    <w:basedOn w:val="Normal"/>
    <w:qFormat/>
    <w:rsid w:val="00D736E2"/>
    <w:pPr>
      <w:spacing w:before="180" w:after="0"/>
      <w:jc w:val="left"/>
    </w:pPr>
    <w:rPr>
      <w:rFonts w:ascii="Arial" w:eastAsia="Cambria" w:hAnsi="Arial"/>
      <w:noProof/>
      <w:sz w:val="14"/>
      <w:szCs w:val="22"/>
      <w:lang w:eastAsia="en-AU"/>
    </w:rPr>
  </w:style>
  <w:style w:type="table" w:customStyle="1" w:styleId="TableGrid1">
    <w:name w:val="Table Grid1"/>
    <w:basedOn w:val="TableNormal"/>
    <w:next w:val="TableGrid"/>
    <w:uiPriority w:val="59"/>
    <w:rsid w:val="00D736E2"/>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1032808093">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558395072">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GeneralAdministration\Templates\LPD%20Templates%20(Admin%20only!)\SupersededTemplates\PI%20Current%20Dec%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D552-0900-466D-AF38-D77977E1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 Current Dec 09.dot</Template>
  <TotalTime>0</TotalTime>
  <Pages>22</Pages>
  <Words>7615</Words>
  <Characters>43408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Attachment 1. Product Information for Crizotinib</vt:lpstr>
    </vt:vector>
  </TitlesOfParts>
  <Company>Pfizer Australia Pty Ltd</Company>
  <LinksUpToDate>false</LinksUpToDate>
  <CharactersWithSpaces>50922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Crizotinib</dc:title>
  <dc:subject>prescription medicine regulation</dc:subject>
  <dc:creator>Pfizer Australia Pty Ltd</dc:creator>
  <cp:keywords>product, information, prescription, medicine, regulation, crizotinib, pfizer, australia, xalkori</cp:keywords>
  <cp:lastModifiedBy>dixonj</cp:lastModifiedBy>
  <cp:revision>2</cp:revision>
  <cp:lastPrinted>2014-01-06T04:03:00Z</cp:lastPrinted>
  <dcterms:created xsi:type="dcterms:W3CDTF">2014-04-11T00:44:00Z</dcterms:created>
  <dcterms:modified xsi:type="dcterms:W3CDTF">2014-04-11T00:44:00Z</dcterms:modified>
</cp:coreProperties>
</file>