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7"/>
      </w:tblGrid>
      <w:tr w:rsidR="008E7846" w:rsidRPr="00487162" w:rsidTr="00CE4F74">
        <w:trPr>
          <w:trHeight w:val="1742"/>
        </w:trPr>
        <w:tc>
          <w:tcPr>
            <w:tcW w:w="5417" w:type="dxa"/>
            <w:tcBorders>
              <w:top w:val="nil"/>
              <w:left w:val="nil"/>
              <w:bottom w:val="nil"/>
              <w:right w:val="nil"/>
            </w:tcBorders>
          </w:tcPr>
          <w:p w:rsidR="008E7846" w:rsidRPr="0017078F" w:rsidRDefault="00CE4F74" w:rsidP="0017078F">
            <w:pPr>
              <w:rPr>
                <w:rFonts w:ascii="Arial" w:hAnsi="Arial" w:cs="Arial"/>
                <w:b/>
                <w:color w:val="002C47"/>
                <w:sz w:val="36"/>
                <w:szCs w:val="36"/>
              </w:rPr>
            </w:pPr>
            <w:r>
              <w:rPr>
                <w:rFonts w:ascii="Arial" w:hAnsi="Arial" w:cs="Arial"/>
                <w:b/>
                <w:color w:val="002C47"/>
                <w:sz w:val="36"/>
                <w:szCs w:val="36"/>
              </w:rPr>
              <w:t>Date of report: 29 April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CE4F74">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w:t>
            </w:r>
            <w:r w:rsidR="00CE4F74">
              <w:rPr>
                <w:color w:val="FFFFFF" w:themeColor="background1"/>
              </w:rPr>
              <w:t>3</w:t>
            </w:r>
          </w:p>
        </w:tc>
      </w:tr>
      <w:tr w:rsidR="00E07F15" w:rsidRPr="00A964D1" w:rsidTr="00E07F15">
        <w:trPr>
          <w:trHeight w:val="868"/>
        </w:trPr>
        <w:tc>
          <w:tcPr>
            <w:tcW w:w="9079" w:type="dxa"/>
          </w:tcPr>
          <w:p w:rsidR="00E07F15" w:rsidRPr="00A964D1" w:rsidRDefault="00CE4F74" w:rsidP="00E07F15">
            <w:pPr>
              <w:pStyle w:val="Title"/>
              <w:rPr>
                <w:color w:val="FFFFFF" w:themeColor="background1"/>
              </w:rPr>
            </w:pPr>
            <w:r>
              <w:rPr>
                <w:color w:val="FFFFFF"/>
              </w:rPr>
              <w:t>Extract from the Clinical Evaluation Report</w:t>
            </w:r>
            <w:r w:rsidRPr="00A964D1">
              <w:rPr>
                <w:color w:val="FFFFFF"/>
              </w:rPr>
              <w:t xml:space="preserve"> </w:t>
            </w:r>
            <w:r>
              <w:rPr>
                <w:color w:val="FFFFFF"/>
              </w:rPr>
              <w:t>of Study A8081007</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proofErr w:type="spellStart"/>
            <w:r w:rsidR="00CE4F74">
              <w:rPr>
                <w:color w:val="FFFFFF"/>
              </w:rPr>
              <w:t>Xalkori</w:t>
            </w:r>
            <w:proofErr w:type="spellEnd"/>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CE4F74">
              <w:rPr>
                <w:color w:val="FFFFFF"/>
              </w:rPr>
              <w:t>Pfizer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340C3">
        <w:rPr>
          <w:rFonts w:cs="Arial"/>
          <w:lang w:val="en-GB"/>
        </w:rPr>
        <w:t>3</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w:t>
      </w:r>
      <w:proofErr w:type="gramStart"/>
      <w:r w:rsidRPr="00191B3B">
        <w:rPr>
          <w:rFonts w:cs="Arial"/>
          <w:lang w:val="en-GB"/>
        </w:rPr>
        <w:t>organisation</w:t>
      </w:r>
      <w:proofErr w:type="gramEnd"/>
      <w:r w:rsidRPr="00191B3B">
        <w:rPr>
          <w:rFonts w:cs="Arial"/>
          <w:lang w:val="en-GB"/>
        </w:rPr>
        <w:t xml:space="preserve">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5B4BFC" w:rsidRDefault="004F4AF5">
          <w:pPr>
            <w:pStyle w:val="TOC2"/>
            <w:tabs>
              <w:tab w:val="left" w:pos="1247"/>
            </w:tabs>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4975283" w:history="1">
            <w:r w:rsidR="005B4BFC" w:rsidRPr="00AB1D55">
              <w:rPr>
                <w:rStyle w:val="Hyperlink"/>
                <w:noProof/>
              </w:rPr>
              <w:t>1.</w:t>
            </w:r>
            <w:r w:rsidR="005B4BFC">
              <w:rPr>
                <w:rFonts w:asciiTheme="minorHAnsi" w:eastAsiaTheme="minorEastAsia" w:hAnsiTheme="minorHAnsi" w:cstheme="minorBidi"/>
                <w:b w:val="0"/>
                <w:noProof/>
                <w:sz w:val="22"/>
                <w:lang w:eastAsia="en-AU"/>
              </w:rPr>
              <w:tab/>
            </w:r>
            <w:r w:rsidR="005B4BFC" w:rsidRPr="00AB1D55">
              <w:rPr>
                <w:rStyle w:val="Hyperlink"/>
                <w:noProof/>
              </w:rPr>
              <w:t>Introduction</w:t>
            </w:r>
            <w:r w:rsidR="005B4BFC">
              <w:rPr>
                <w:noProof/>
                <w:webHidden/>
              </w:rPr>
              <w:tab/>
            </w:r>
            <w:r w:rsidR="005B4BFC">
              <w:rPr>
                <w:noProof/>
                <w:webHidden/>
              </w:rPr>
              <w:fldChar w:fldCharType="begin"/>
            </w:r>
            <w:r w:rsidR="005B4BFC">
              <w:rPr>
                <w:noProof/>
                <w:webHidden/>
              </w:rPr>
              <w:instrText xml:space="preserve"> PAGEREF _Toc384975283 \h </w:instrText>
            </w:r>
            <w:r w:rsidR="005B4BFC">
              <w:rPr>
                <w:noProof/>
                <w:webHidden/>
              </w:rPr>
            </w:r>
            <w:r w:rsidR="005B4BFC">
              <w:rPr>
                <w:noProof/>
                <w:webHidden/>
              </w:rPr>
              <w:fldChar w:fldCharType="separate"/>
            </w:r>
            <w:r w:rsidR="005B4BFC">
              <w:rPr>
                <w:noProof/>
                <w:webHidden/>
              </w:rPr>
              <w:t>3</w:t>
            </w:r>
            <w:r w:rsidR="005B4BFC">
              <w:rPr>
                <w:noProof/>
                <w:webHidden/>
              </w:rPr>
              <w:fldChar w:fldCharType="end"/>
            </w:r>
          </w:hyperlink>
        </w:p>
        <w:p w:rsidR="005B4BFC" w:rsidRDefault="005B4BFC">
          <w:pPr>
            <w:pStyle w:val="TOC2"/>
            <w:tabs>
              <w:tab w:val="left" w:pos="1247"/>
            </w:tabs>
            <w:rPr>
              <w:rFonts w:asciiTheme="minorHAnsi" w:eastAsiaTheme="minorEastAsia" w:hAnsiTheme="minorHAnsi" w:cstheme="minorBidi"/>
              <w:b w:val="0"/>
              <w:noProof/>
              <w:sz w:val="22"/>
              <w:lang w:eastAsia="en-AU"/>
            </w:rPr>
          </w:pPr>
          <w:hyperlink w:anchor="_Toc384975284" w:history="1">
            <w:r w:rsidRPr="00AB1D55">
              <w:rPr>
                <w:rStyle w:val="Hyperlink"/>
                <w:noProof/>
              </w:rPr>
              <w:t>2.</w:t>
            </w:r>
            <w:r>
              <w:rPr>
                <w:rFonts w:asciiTheme="minorHAnsi" w:eastAsiaTheme="minorEastAsia" w:hAnsiTheme="minorHAnsi" w:cstheme="minorBidi"/>
                <w:b w:val="0"/>
                <w:noProof/>
                <w:sz w:val="22"/>
                <w:lang w:eastAsia="en-AU"/>
              </w:rPr>
              <w:tab/>
            </w:r>
            <w:r w:rsidRPr="00AB1D55">
              <w:rPr>
                <w:rStyle w:val="Hyperlink"/>
                <w:noProof/>
              </w:rPr>
              <w:t>Study A8081007 (Preliminary CSR)</w:t>
            </w:r>
            <w:r>
              <w:rPr>
                <w:noProof/>
                <w:webHidden/>
              </w:rPr>
              <w:tab/>
            </w:r>
            <w:r>
              <w:rPr>
                <w:noProof/>
                <w:webHidden/>
              </w:rPr>
              <w:fldChar w:fldCharType="begin"/>
            </w:r>
            <w:r>
              <w:rPr>
                <w:noProof/>
                <w:webHidden/>
              </w:rPr>
              <w:instrText xml:space="preserve"> PAGEREF _Toc384975284 \h </w:instrText>
            </w:r>
            <w:r>
              <w:rPr>
                <w:noProof/>
                <w:webHidden/>
              </w:rPr>
            </w:r>
            <w:r>
              <w:rPr>
                <w:noProof/>
                <w:webHidden/>
              </w:rPr>
              <w:fldChar w:fldCharType="separate"/>
            </w:r>
            <w:r>
              <w:rPr>
                <w:noProof/>
                <w:webHidden/>
              </w:rPr>
              <w:t>4</w:t>
            </w:r>
            <w:r>
              <w:rPr>
                <w:noProof/>
                <w:webHidden/>
              </w:rPr>
              <w:fldChar w:fldCharType="end"/>
            </w:r>
          </w:hyperlink>
        </w:p>
        <w:p w:rsidR="005B4BFC" w:rsidRDefault="005B4BFC">
          <w:pPr>
            <w:pStyle w:val="TOC3"/>
            <w:tabs>
              <w:tab w:val="left" w:pos="1575"/>
            </w:tabs>
            <w:rPr>
              <w:rFonts w:asciiTheme="minorHAnsi" w:eastAsiaTheme="minorEastAsia" w:hAnsiTheme="minorHAnsi" w:cstheme="minorBidi"/>
              <w:noProof/>
              <w:lang w:eastAsia="en-AU"/>
            </w:rPr>
          </w:pPr>
          <w:hyperlink w:anchor="_Toc384975285" w:history="1">
            <w:r w:rsidRPr="00AB1D55">
              <w:rPr>
                <w:rStyle w:val="Hyperlink"/>
                <w:noProof/>
              </w:rPr>
              <w:t>2.1.</w:t>
            </w:r>
            <w:r>
              <w:rPr>
                <w:rFonts w:asciiTheme="minorHAnsi" w:eastAsiaTheme="minorEastAsia" w:hAnsiTheme="minorHAnsi" w:cstheme="minorBidi"/>
                <w:noProof/>
                <w:lang w:eastAsia="en-AU"/>
              </w:rPr>
              <w:tab/>
            </w:r>
            <w:r w:rsidRPr="00AB1D55">
              <w:rPr>
                <w:rStyle w:val="Hyperlink"/>
                <w:noProof/>
              </w:rPr>
              <w:t>Pharmacokinetics</w:t>
            </w:r>
            <w:r>
              <w:rPr>
                <w:noProof/>
                <w:webHidden/>
              </w:rPr>
              <w:tab/>
            </w:r>
            <w:r>
              <w:rPr>
                <w:noProof/>
                <w:webHidden/>
              </w:rPr>
              <w:fldChar w:fldCharType="begin"/>
            </w:r>
            <w:r>
              <w:rPr>
                <w:noProof/>
                <w:webHidden/>
              </w:rPr>
              <w:instrText xml:space="preserve"> PAGEREF _Toc384975285 \h </w:instrText>
            </w:r>
            <w:r>
              <w:rPr>
                <w:noProof/>
                <w:webHidden/>
              </w:rPr>
            </w:r>
            <w:r>
              <w:rPr>
                <w:noProof/>
                <w:webHidden/>
              </w:rPr>
              <w:fldChar w:fldCharType="separate"/>
            </w:r>
            <w:r>
              <w:rPr>
                <w:noProof/>
                <w:webHidden/>
              </w:rPr>
              <w:t>4</w:t>
            </w:r>
            <w:r>
              <w:rPr>
                <w:noProof/>
                <w:webHidden/>
              </w:rPr>
              <w:fldChar w:fldCharType="end"/>
            </w:r>
          </w:hyperlink>
        </w:p>
        <w:p w:rsidR="005B4BFC" w:rsidRDefault="005B4BFC">
          <w:pPr>
            <w:pStyle w:val="TOC3"/>
            <w:tabs>
              <w:tab w:val="left" w:pos="1575"/>
            </w:tabs>
            <w:rPr>
              <w:rFonts w:asciiTheme="minorHAnsi" w:eastAsiaTheme="minorEastAsia" w:hAnsiTheme="minorHAnsi" w:cstheme="minorBidi"/>
              <w:noProof/>
              <w:lang w:eastAsia="en-AU"/>
            </w:rPr>
          </w:pPr>
          <w:hyperlink w:anchor="_Toc384975286" w:history="1">
            <w:r w:rsidRPr="00AB1D55">
              <w:rPr>
                <w:rStyle w:val="Hyperlink"/>
                <w:noProof/>
              </w:rPr>
              <w:t>2.2.</w:t>
            </w:r>
            <w:r>
              <w:rPr>
                <w:rFonts w:asciiTheme="minorHAnsi" w:eastAsiaTheme="minorEastAsia" w:hAnsiTheme="minorHAnsi" w:cstheme="minorBidi"/>
                <w:noProof/>
                <w:lang w:eastAsia="en-AU"/>
              </w:rPr>
              <w:tab/>
            </w:r>
            <w:r w:rsidRPr="00AB1D55">
              <w:rPr>
                <w:rStyle w:val="Hyperlink"/>
                <w:noProof/>
              </w:rPr>
              <w:t>Pharmacodynamics</w:t>
            </w:r>
            <w:r>
              <w:rPr>
                <w:noProof/>
                <w:webHidden/>
              </w:rPr>
              <w:tab/>
            </w:r>
            <w:r>
              <w:rPr>
                <w:noProof/>
                <w:webHidden/>
              </w:rPr>
              <w:fldChar w:fldCharType="begin"/>
            </w:r>
            <w:r>
              <w:rPr>
                <w:noProof/>
                <w:webHidden/>
              </w:rPr>
              <w:instrText xml:space="preserve"> PAGEREF _Toc384975286 \h </w:instrText>
            </w:r>
            <w:r>
              <w:rPr>
                <w:noProof/>
                <w:webHidden/>
              </w:rPr>
            </w:r>
            <w:r>
              <w:rPr>
                <w:noProof/>
                <w:webHidden/>
              </w:rPr>
              <w:fldChar w:fldCharType="separate"/>
            </w:r>
            <w:r>
              <w:rPr>
                <w:noProof/>
                <w:webHidden/>
              </w:rPr>
              <w:t>5</w:t>
            </w:r>
            <w:r>
              <w:rPr>
                <w:noProof/>
                <w:webHidden/>
              </w:rPr>
              <w:fldChar w:fldCharType="end"/>
            </w:r>
          </w:hyperlink>
        </w:p>
        <w:p w:rsidR="005B4BFC" w:rsidRDefault="005B4BFC">
          <w:pPr>
            <w:pStyle w:val="TOC3"/>
            <w:tabs>
              <w:tab w:val="left" w:pos="1575"/>
            </w:tabs>
            <w:rPr>
              <w:rFonts w:asciiTheme="minorHAnsi" w:eastAsiaTheme="minorEastAsia" w:hAnsiTheme="minorHAnsi" w:cstheme="minorBidi"/>
              <w:noProof/>
              <w:lang w:eastAsia="en-AU"/>
            </w:rPr>
          </w:pPr>
          <w:hyperlink w:anchor="_Toc384975287" w:history="1">
            <w:r w:rsidRPr="00AB1D55">
              <w:rPr>
                <w:rStyle w:val="Hyperlink"/>
                <w:noProof/>
              </w:rPr>
              <w:t>2.3.</w:t>
            </w:r>
            <w:r>
              <w:rPr>
                <w:rFonts w:asciiTheme="minorHAnsi" w:eastAsiaTheme="minorEastAsia" w:hAnsiTheme="minorHAnsi" w:cstheme="minorBidi"/>
                <w:noProof/>
                <w:lang w:eastAsia="en-AU"/>
              </w:rPr>
              <w:tab/>
            </w:r>
            <w:r w:rsidRPr="00AB1D55">
              <w:rPr>
                <w:rStyle w:val="Hyperlink"/>
                <w:noProof/>
              </w:rPr>
              <w:t>Safety and efficacy-study methods</w:t>
            </w:r>
            <w:r>
              <w:rPr>
                <w:noProof/>
                <w:webHidden/>
              </w:rPr>
              <w:tab/>
            </w:r>
            <w:r>
              <w:rPr>
                <w:noProof/>
                <w:webHidden/>
              </w:rPr>
              <w:fldChar w:fldCharType="begin"/>
            </w:r>
            <w:r>
              <w:rPr>
                <w:noProof/>
                <w:webHidden/>
              </w:rPr>
              <w:instrText xml:space="preserve"> PAGEREF _Toc384975287 \h </w:instrText>
            </w:r>
            <w:r>
              <w:rPr>
                <w:noProof/>
                <w:webHidden/>
              </w:rPr>
            </w:r>
            <w:r>
              <w:rPr>
                <w:noProof/>
                <w:webHidden/>
              </w:rPr>
              <w:fldChar w:fldCharType="separate"/>
            </w:r>
            <w:r>
              <w:rPr>
                <w:noProof/>
                <w:webHidden/>
              </w:rPr>
              <w:t>5</w:t>
            </w:r>
            <w:r>
              <w:rPr>
                <w:noProof/>
                <w:webHidden/>
              </w:rPr>
              <w:fldChar w:fldCharType="end"/>
            </w:r>
          </w:hyperlink>
        </w:p>
        <w:p w:rsidR="005B4BFC" w:rsidRDefault="005B4BFC">
          <w:pPr>
            <w:pStyle w:val="TOC3"/>
            <w:tabs>
              <w:tab w:val="left" w:pos="1575"/>
            </w:tabs>
            <w:rPr>
              <w:rFonts w:asciiTheme="minorHAnsi" w:eastAsiaTheme="minorEastAsia" w:hAnsiTheme="minorHAnsi" w:cstheme="minorBidi"/>
              <w:noProof/>
              <w:lang w:eastAsia="en-AU"/>
            </w:rPr>
          </w:pPr>
          <w:hyperlink w:anchor="_Toc384975288" w:history="1">
            <w:r w:rsidRPr="00AB1D55">
              <w:rPr>
                <w:rStyle w:val="Hyperlink"/>
                <w:noProof/>
              </w:rPr>
              <w:t>2.4.</w:t>
            </w:r>
            <w:r>
              <w:rPr>
                <w:rFonts w:asciiTheme="minorHAnsi" w:eastAsiaTheme="minorEastAsia" w:hAnsiTheme="minorHAnsi" w:cstheme="minorBidi"/>
                <w:noProof/>
                <w:lang w:eastAsia="en-AU"/>
              </w:rPr>
              <w:tab/>
            </w:r>
            <w:r w:rsidRPr="00AB1D55">
              <w:rPr>
                <w:rStyle w:val="Hyperlink"/>
                <w:noProof/>
              </w:rPr>
              <w:t>Efficacy – Results</w:t>
            </w:r>
            <w:r>
              <w:rPr>
                <w:noProof/>
                <w:webHidden/>
              </w:rPr>
              <w:tab/>
            </w:r>
            <w:r>
              <w:rPr>
                <w:noProof/>
                <w:webHidden/>
              </w:rPr>
              <w:fldChar w:fldCharType="begin"/>
            </w:r>
            <w:r>
              <w:rPr>
                <w:noProof/>
                <w:webHidden/>
              </w:rPr>
              <w:instrText xml:space="preserve"> PAGEREF _Toc384975288 \h </w:instrText>
            </w:r>
            <w:r>
              <w:rPr>
                <w:noProof/>
                <w:webHidden/>
              </w:rPr>
            </w:r>
            <w:r>
              <w:rPr>
                <w:noProof/>
                <w:webHidden/>
              </w:rPr>
              <w:fldChar w:fldCharType="separate"/>
            </w:r>
            <w:r>
              <w:rPr>
                <w:noProof/>
                <w:webHidden/>
              </w:rPr>
              <w:t>16</w:t>
            </w:r>
            <w:r>
              <w:rPr>
                <w:noProof/>
                <w:webHidden/>
              </w:rPr>
              <w:fldChar w:fldCharType="end"/>
            </w:r>
          </w:hyperlink>
        </w:p>
        <w:p w:rsidR="005B4BFC" w:rsidRDefault="005B4BFC">
          <w:pPr>
            <w:pStyle w:val="TOC3"/>
            <w:tabs>
              <w:tab w:val="left" w:pos="1575"/>
            </w:tabs>
            <w:rPr>
              <w:rFonts w:asciiTheme="minorHAnsi" w:eastAsiaTheme="minorEastAsia" w:hAnsiTheme="minorHAnsi" w:cstheme="minorBidi"/>
              <w:noProof/>
              <w:lang w:eastAsia="en-AU"/>
            </w:rPr>
          </w:pPr>
          <w:hyperlink w:anchor="_Toc384975289" w:history="1">
            <w:r w:rsidRPr="00AB1D55">
              <w:rPr>
                <w:rStyle w:val="Hyperlink"/>
                <w:noProof/>
              </w:rPr>
              <w:t>2.5.</w:t>
            </w:r>
            <w:r>
              <w:rPr>
                <w:rFonts w:asciiTheme="minorHAnsi" w:eastAsiaTheme="minorEastAsia" w:hAnsiTheme="minorHAnsi" w:cstheme="minorBidi"/>
                <w:noProof/>
                <w:lang w:eastAsia="en-AU"/>
              </w:rPr>
              <w:tab/>
            </w:r>
            <w:r w:rsidRPr="00AB1D55">
              <w:rPr>
                <w:rStyle w:val="Hyperlink"/>
                <w:noProof/>
              </w:rPr>
              <w:t>Safety – Results</w:t>
            </w:r>
            <w:r>
              <w:rPr>
                <w:noProof/>
                <w:webHidden/>
              </w:rPr>
              <w:tab/>
            </w:r>
            <w:r>
              <w:rPr>
                <w:noProof/>
                <w:webHidden/>
              </w:rPr>
              <w:fldChar w:fldCharType="begin"/>
            </w:r>
            <w:r>
              <w:rPr>
                <w:noProof/>
                <w:webHidden/>
              </w:rPr>
              <w:instrText xml:space="preserve"> PAGEREF _Toc384975289 \h </w:instrText>
            </w:r>
            <w:r>
              <w:rPr>
                <w:noProof/>
                <w:webHidden/>
              </w:rPr>
            </w:r>
            <w:r>
              <w:rPr>
                <w:noProof/>
                <w:webHidden/>
              </w:rPr>
              <w:fldChar w:fldCharType="separate"/>
            </w:r>
            <w:r>
              <w:rPr>
                <w:noProof/>
                <w:webHidden/>
              </w:rPr>
              <w:t>25</w:t>
            </w:r>
            <w:r>
              <w:rPr>
                <w:noProof/>
                <w:webHidden/>
              </w:rPr>
              <w:fldChar w:fldCharType="end"/>
            </w:r>
          </w:hyperlink>
        </w:p>
        <w:p w:rsidR="005B4BFC" w:rsidRDefault="005B4BFC">
          <w:pPr>
            <w:pStyle w:val="TOC3"/>
            <w:tabs>
              <w:tab w:val="left" w:pos="1575"/>
            </w:tabs>
            <w:rPr>
              <w:rFonts w:asciiTheme="minorHAnsi" w:eastAsiaTheme="minorEastAsia" w:hAnsiTheme="minorHAnsi" w:cstheme="minorBidi"/>
              <w:noProof/>
              <w:lang w:eastAsia="en-AU"/>
            </w:rPr>
          </w:pPr>
          <w:hyperlink w:anchor="_Toc384975290" w:history="1">
            <w:r w:rsidRPr="00AB1D55">
              <w:rPr>
                <w:rStyle w:val="Hyperlink"/>
                <w:noProof/>
              </w:rPr>
              <w:t>2.6.</w:t>
            </w:r>
            <w:r>
              <w:rPr>
                <w:rFonts w:asciiTheme="minorHAnsi" w:eastAsiaTheme="minorEastAsia" w:hAnsiTheme="minorHAnsi" w:cstheme="minorBidi"/>
                <w:noProof/>
                <w:lang w:eastAsia="en-AU"/>
              </w:rPr>
              <w:tab/>
            </w:r>
            <w:r w:rsidRPr="00AB1D55">
              <w:rPr>
                <w:rStyle w:val="Hyperlink"/>
                <w:noProof/>
              </w:rPr>
              <w:t>Evaluator’s comments on benefits of treatment with crizotinib based on Study A8081007</w:t>
            </w:r>
            <w:r>
              <w:rPr>
                <w:noProof/>
                <w:webHidden/>
              </w:rPr>
              <w:tab/>
            </w:r>
            <w:r>
              <w:rPr>
                <w:noProof/>
                <w:webHidden/>
              </w:rPr>
              <w:fldChar w:fldCharType="begin"/>
            </w:r>
            <w:r>
              <w:rPr>
                <w:noProof/>
                <w:webHidden/>
              </w:rPr>
              <w:instrText xml:space="preserve"> PAGEREF _Toc384975290 \h </w:instrText>
            </w:r>
            <w:r>
              <w:rPr>
                <w:noProof/>
                <w:webHidden/>
              </w:rPr>
            </w:r>
            <w:r>
              <w:rPr>
                <w:noProof/>
                <w:webHidden/>
              </w:rPr>
              <w:fldChar w:fldCharType="separate"/>
            </w:r>
            <w:r>
              <w:rPr>
                <w:noProof/>
                <w:webHidden/>
              </w:rPr>
              <w:t>42</w:t>
            </w:r>
            <w:r>
              <w:rPr>
                <w:noProof/>
                <w:webHidden/>
              </w:rPr>
              <w:fldChar w:fldCharType="end"/>
            </w:r>
          </w:hyperlink>
        </w:p>
        <w:p w:rsidR="005B4BFC" w:rsidRDefault="005B4BFC">
          <w:pPr>
            <w:pStyle w:val="TOC3"/>
            <w:tabs>
              <w:tab w:val="left" w:pos="1575"/>
            </w:tabs>
            <w:rPr>
              <w:rFonts w:asciiTheme="minorHAnsi" w:eastAsiaTheme="minorEastAsia" w:hAnsiTheme="minorHAnsi" w:cstheme="minorBidi"/>
              <w:noProof/>
              <w:lang w:eastAsia="en-AU"/>
            </w:rPr>
          </w:pPr>
          <w:hyperlink w:anchor="_Toc384975291" w:history="1">
            <w:r w:rsidRPr="00AB1D55">
              <w:rPr>
                <w:rStyle w:val="Hyperlink"/>
                <w:noProof/>
              </w:rPr>
              <w:t>2.7.</w:t>
            </w:r>
            <w:r>
              <w:rPr>
                <w:rFonts w:asciiTheme="minorHAnsi" w:eastAsiaTheme="minorEastAsia" w:hAnsiTheme="minorHAnsi" w:cstheme="minorBidi"/>
                <w:noProof/>
                <w:lang w:eastAsia="en-AU"/>
              </w:rPr>
              <w:tab/>
            </w:r>
            <w:r w:rsidRPr="00AB1D55">
              <w:rPr>
                <w:rStyle w:val="Hyperlink"/>
                <w:noProof/>
              </w:rPr>
              <w:t>Evaluator’s comments on risks of treatment with crizotinib based on study A8081007</w:t>
            </w:r>
            <w:r>
              <w:rPr>
                <w:noProof/>
                <w:webHidden/>
              </w:rPr>
              <w:tab/>
            </w:r>
            <w:r>
              <w:rPr>
                <w:noProof/>
                <w:webHidden/>
              </w:rPr>
              <w:fldChar w:fldCharType="begin"/>
            </w:r>
            <w:r>
              <w:rPr>
                <w:noProof/>
                <w:webHidden/>
              </w:rPr>
              <w:instrText xml:space="preserve"> PAGEREF _Toc384975291 \h </w:instrText>
            </w:r>
            <w:r>
              <w:rPr>
                <w:noProof/>
                <w:webHidden/>
              </w:rPr>
            </w:r>
            <w:r>
              <w:rPr>
                <w:noProof/>
                <w:webHidden/>
              </w:rPr>
              <w:fldChar w:fldCharType="separate"/>
            </w:r>
            <w:r>
              <w:rPr>
                <w:noProof/>
                <w:webHidden/>
              </w:rPr>
              <w:t>44</w:t>
            </w:r>
            <w:r>
              <w:rPr>
                <w:noProof/>
                <w:webHidden/>
              </w:rPr>
              <w:fldChar w:fldCharType="end"/>
            </w:r>
          </w:hyperlink>
        </w:p>
        <w:p w:rsidR="005B4BFC" w:rsidRDefault="005B4BFC">
          <w:pPr>
            <w:pStyle w:val="TOC3"/>
            <w:tabs>
              <w:tab w:val="left" w:pos="1575"/>
            </w:tabs>
            <w:rPr>
              <w:rFonts w:asciiTheme="minorHAnsi" w:eastAsiaTheme="minorEastAsia" w:hAnsiTheme="minorHAnsi" w:cstheme="minorBidi"/>
              <w:noProof/>
              <w:lang w:eastAsia="en-AU"/>
            </w:rPr>
          </w:pPr>
          <w:hyperlink w:anchor="_Toc384975292" w:history="1">
            <w:r w:rsidRPr="00AB1D55">
              <w:rPr>
                <w:rStyle w:val="Hyperlink"/>
                <w:noProof/>
              </w:rPr>
              <w:t>2.8.</w:t>
            </w:r>
            <w:r>
              <w:rPr>
                <w:rFonts w:asciiTheme="minorHAnsi" w:eastAsiaTheme="minorEastAsia" w:hAnsiTheme="minorHAnsi" w:cstheme="minorBidi"/>
                <w:noProof/>
                <w:lang w:eastAsia="en-AU"/>
              </w:rPr>
              <w:tab/>
            </w:r>
            <w:r w:rsidRPr="00AB1D55">
              <w:rPr>
                <w:rStyle w:val="Hyperlink"/>
                <w:noProof/>
              </w:rPr>
              <w:t>Risk-benefit balance based on Study A8081007</w:t>
            </w:r>
            <w:r>
              <w:rPr>
                <w:noProof/>
                <w:webHidden/>
              </w:rPr>
              <w:tab/>
            </w:r>
            <w:r>
              <w:rPr>
                <w:noProof/>
                <w:webHidden/>
              </w:rPr>
              <w:fldChar w:fldCharType="begin"/>
            </w:r>
            <w:r>
              <w:rPr>
                <w:noProof/>
                <w:webHidden/>
              </w:rPr>
              <w:instrText xml:space="preserve"> PAGEREF _Toc384975292 \h </w:instrText>
            </w:r>
            <w:r>
              <w:rPr>
                <w:noProof/>
                <w:webHidden/>
              </w:rPr>
            </w:r>
            <w:r>
              <w:rPr>
                <w:noProof/>
                <w:webHidden/>
              </w:rPr>
              <w:fldChar w:fldCharType="separate"/>
            </w:r>
            <w:r>
              <w:rPr>
                <w:noProof/>
                <w:webHidden/>
              </w:rPr>
              <w:t>52</w:t>
            </w:r>
            <w:r>
              <w:rPr>
                <w:noProof/>
                <w:webHidden/>
              </w:rPr>
              <w:fldChar w:fldCharType="end"/>
            </w:r>
          </w:hyperlink>
        </w:p>
        <w:p w:rsidR="005B4BFC" w:rsidRDefault="005B4BFC">
          <w:pPr>
            <w:pStyle w:val="TOC3"/>
            <w:tabs>
              <w:tab w:val="left" w:pos="1575"/>
            </w:tabs>
            <w:rPr>
              <w:rFonts w:asciiTheme="minorHAnsi" w:eastAsiaTheme="minorEastAsia" w:hAnsiTheme="minorHAnsi" w:cstheme="minorBidi"/>
              <w:noProof/>
              <w:lang w:eastAsia="en-AU"/>
            </w:rPr>
          </w:pPr>
          <w:hyperlink w:anchor="_Toc384975293" w:history="1">
            <w:r w:rsidRPr="00AB1D55">
              <w:rPr>
                <w:rStyle w:val="Hyperlink"/>
                <w:noProof/>
              </w:rPr>
              <w:t>2.9.</w:t>
            </w:r>
            <w:r>
              <w:rPr>
                <w:rFonts w:asciiTheme="minorHAnsi" w:eastAsiaTheme="minorEastAsia" w:hAnsiTheme="minorHAnsi" w:cstheme="minorBidi"/>
                <w:noProof/>
                <w:lang w:eastAsia="en-AU"/>
              </w:rPr>
              <w:tab/>
            </w:r>
            <w:r w:rsidRPr="00AB1D55">
              <w:rPr>
                <w:rStyle w:val="Hyperlink"/>
                <w:noProof/>
              </w:rPr>
              <w:t>Relevant safety data from the RMP V4.0 dated 25 February 2013</w:t>
            </w:r>
            <w:r>
              <w:rPr>
                <w:noProof/>
                <w:webHidden/>
              </w:rPr>
              <w:tab/>
            </w:r>
            <w:r>
              <w:rPr>
                <w:noProof/>
                <w:webHidden/>
              </w:rPr>
              <w:fldChar w:fldCharType="begin"/>
            </w:r>
            <w:r>
              <w:rPr>
                <w:noProof/>
                <w:webHidden/>
              </w:rPr>
              <w:instrText xml:space="preserve"> PAGEREF _Toc384975293 \h </w:instrText>
            </w:r>
            <w:r>
              <w:rPr>
                <w:noProof/>
                <w:webHidden/>
              </w:rPr>
            </w:r>
            <w:r>
              <w:rPr>
                <w:noProof/>
                <w:webHidden/>
              </w:rPr>
              <w:fldChar w:fldCharType="separate"/>
            </w:r>
            <w:r>
              <w:rPr>
                <w:noProof/>
                <w:webHidden/>
              </w:rPr>
              <w:t>52</w:t>
            </w:r>
            <w:r>
              <w:rPr>
                <w:noProof/>
                <w:webHidden/>
              </w:rPr>
              <w:fldChar w:fldCharType="end"/>
            </w:r>
          </w:hyperlink>
        </w:p>
        <w:p w:rsidR="003A7F6C" w:rsidRPr="00B811C6" w:rsidRDefault="005B4BFC" w:rsidP="009437AB">
          <w:pPr>
            <w:pStyle w:val="TOC2"/>
            <w:tabs>
              <w:tab w:val="left" w:pos="1247"/>
            </w:tabs>
          </w:pPr>
          <w:hyperlink w:anchor="_Toc384975294" w:history="1">
            <w:r w:rsidRPr="00AB1D55">
              <w:rPr>
                <w:rStyle w:val="Hyperlink"/>
                <w:noProof/>
              </w:rPr>
              <w:t>3.</w:t>
            </w:r>
            <w:r>
              <w:rPr>
                <w:rFonts w:asciiTheme="minorHAnsi" w:eastAsiaTheme="minorEastAsia" w:hAnsiTheme="minorHAnsi" w:cstheme="minorBidi"/>
                <w:b w:val="0"/>
                <w:noProof/>
                <w:sz w:val="22"/>
                <w:lang w:eastAsia="en-AU"/>
              </w:rPr>
              <w:tab/>
            </w:r>
            <w:r w:rsidRPr="00AB1D55">
              <w:rPr>
                <w:rStyle w:val="Hyperlink"/>
                <w:noProof/>
              </w:rPr>
              <w:t>References</w:t>
            </w:r>
            <w:r>
              <w:rPr>
                <w:noProof/>
                <w:webHidden/>
              </w:rPr>
              <w:tab/>
            </w:r>
            <w:r>
              <w:rPr>
                <w:noProof/>
                <w:webHidden/>
              </w:rPr>
              <w:fldChar w:fldCharType="begin"/>
            </w:r>
            <w:r>
              <w:rPr>
                <w:noProof/>
                <w:webHidden/>
              </w:rPr>
              <w:instrText xml:space="preserve"> PAGEREF _Toc384975294 \h </w:instrText>
            </w:r>
            <w:r>
              <w:rPr>
                <w:noProof/>
                <w:webHidden/>
              </w:rPr>
            </w:r>
            <w:r>
              <w:rPr>
                <w:noProof/>
                <w:webHidden/>
              </w:rPr>
              <w:fldChar w:fldCharType="separate"/>
            </w:r>
            <w:r>
              <w:rPr>
                <w:noProof/>
                <w:webHidden/>
              </w:rPr>
              <w:t>60</w:t>
            </w:r>
            <w:r>
              <w:rPr>
                <w:noProof/>
                <w:webHidden/>
              </w:rPr>
              <w:fldChar w:fldCharType="end"/>
            </w:r>
          </w:hyperlink>
          <w:r w:rsidR="004F4AF5">
            <w:fldChar w:fldCharType="end"/>
          </w:r>
        </w:p>
      </w:sdtContent>
    </w:sdt>
    <w:bookmarkStart w:id="2" w:name="_Toc314842482" w:displacedByCustomXml="prev"/>
    <w:p w:rsidR="00CE4F74" w:rsidRPr="00C31183" w:rsidRDefault="00CE4F74" w:rsidP="009437AB">
      <w:pPr>
        <w:pStyle w:val="Heading2"/>
      </w:pPr>
      <w:bookmarkStart w:id="3" w:name="_Toc228773316"/>
      <w:bookmarkStart w:id="4" w:name="_Toc380058429"/>
      <w:bookmarkStart w:id="5" w:name="_Toc384975283"/>
      <w:bookmarkEnd w:id="2"/>
      <w:bookmarkEnd w:id="1"/>
      <w:bookmarkEnd w:id="0"/>
      <w:r w:rsidRPr="00C31183">
        <w:t>Introduction</w:t>
      </w:r>
      <w:bookmarkEnd w:id="3"/>
      <w:bookmarkEnd w:id="4"/>
      <w:bookmarkEnd w:id="5"/>
    </w:p>
    <w:p w:rsidR="00CE4F74" w:rsidRPr="00C31183" w:rsidRDefault="00CE4F74" w:rsidP="009437AB">
      <w:pPr>
        <w:rPr>
          <w:lang w:eastAsia="ja-JP"/>
        </w:rPr>
      </w:pPr>
      <w:r w:rsidRPr="00C31183">
        <w:rPr>
          <w:lang w:eastAsia="ja-JP"/>
        </w:rPr>
        <w:t xml:space="preserve">This report centres on the clinical evaluation of the data provided </w:t>
      </w:r>
      <w:r>
        <w:rPr>
          <w:lang w:eastAsia="ja-JP"/>
        </w:rPr>
        <w:t>by</w:t>
      </w:r>
      <w:r w:rsidRPr="00C31183">
        <w:rPr>
          <w:lang w:eastAsia="ja-JP"/>
        </w:rPr>
        <w:t xml:space="preserve"> </w:t>
      </w:r>
      <w:r>
        <w:rPr>
          <w:lang w:eastAsia="ja-JP"/>
        </w:rPr>
        <w:t>the sponsor</w:t>
      </w:r>
      <w:r w:rsidRPr="00C31183">
        <w:rPr>
          <w:lang w:eastAsia="ja-JP"/>
        </w:rPr>
        <w:t xml:space="preserve"> </w:t>
      </w:r>
      <w:r>
        <w:rPr>
          <w:lang w:eastAsia="ja-JP"/>
        </w:rPr>
        <w:t xml:space="preserve">on </w:t>
      </w:r>
      <w:r w:rsidRPr="00C31183">
        <w:rPr>
          <w:lang w:eastAsia="ja-JP"/>
        </w:rPr>
        <w:t>22 March 2013</w:t>
      </w:r>
      <w:r>
        <w:rPr>
          <w:lang w:eastAsia="ja-JP"/>
        </w:rPr>
        <w:t>,</w:t>
      </w:r>
      <w:r w:rsidRPr="00C31183">
        <w:rPr>
          <w:lang w:eastAsia="ja-JP"/>
        </w:rPr>
        <w:t xml:space="preserve"> </w:t>
      </w:r>
      <w:r>
        <w:rPr>
          <w:lang w:eastAsia="ja-JP"/>
        </w:rPr>
        <w:t xml:space="preserve">and on 19 April 2013 in response to </w:t>
      </w:r>
      <w:r w:rsidRPr="00C31183">
        <w:rPr>
          <w:lang w:eastAsia="ja-JP"/>
        </w:rPr>
        <w:t>questions raised by the TGA</w:t>
      </w:r>
      <w:r>
        <w:rPr>
          <w:lang w:eastAsia="ja-JP"/>
        </w:rPr>
        <w:t>,</w:t>
      </w:r>
      <w:r w:rsidRPr="00C31183">
        <w:rPr>
          <w:lang w:eastAsia="ja-JP"/>
        </w:rPr>
        <w:t xml:space="preserve"> </w:t>
      </w:r>
      <w:r>
        <w:rPr>
          <w:lang w:eastAsia="ja-JP"/>
        </w:rPr>
        <w:t>relevant</w:t>
      </w:r>
      <w:r w:rsidRPr="00C31183">
        <w:rPr>
          <w:lang w:eastAsia="ja-JP"/>
        </w:rPr>
        <w:t xml:space="preserve"> to the sponsor’s application to the Administrative Appeals Tribunal (AAT 2013/0179) appealing against the decision of the “Delegate of the Secretary” to reject its submission to register </w:t>
      </w:r>
      <w:proofErr w:type="spellStart"/>
      <w:r w:rsidRPr="00C31183">
        <w:rPr>
          <w:lang w:eastAsia="ja-JP"/>
        </w:rPr>
        <w:t>Xalkori</w:t>
      </w:r>
      <w:proofErr w:type="spellEnd"/>
      <w:r w:rsidRPr="00C31183">
        <w:rPr>
          <w:lang w:eastAsia="ja-JP"/>
        </w:rPr>
        <w:t xml:space="preserve"> for the treatment of patients with anaplastic lymphoma kinase (ALK)-positive advanced non-</w:t>
      </w:r>
      <w:r w:rsidR="009437AB">
        <w:rPr>
          <w:lang w:eastAsia="ja-JP"/>
        </w:rPr>
        <w:t>small cell lung cancer (NSCLC).</w:t>
      </w:r>
    </w:p>
    <w:p w:rsidR="00CE4F74" w:rsidRPr="00C31183" w:rsidRDefault="00CE4F74" w:rsidP="009437AB">
      <w:pPr>
        <w:rPr>
          <w:lang w:eastAsia="ja-JP"/>
        </w:rPr>
      </w:pPr>
      <w:r w:rsidRPr="00C31183">
        <w:rPr>
          <w:lang w:eastAsia="ja-JP"/>
        </w:rPr>
        <w:t>The evaluated data include</w:t>
      </w:r>
      <w:r>
        <w:rPr>
          <w:lang w:eastAsia="ja-JP"/>
        </w:rPr>
        <w:t>d</w:t>
      </w:r>
      <w:r w:rsidRPr="00C31183">
        <w:rPr>
          <w:lang w:eastAsia="ja-JP"/>
        </w:rPr>
        <w:t>:</w:t>
      </w:r>
    </w:p>
    <w:p w:rsidR="00CE4F74" w:rsidRDefault="00CE4F74" w:rsidP="009437AB">
      <w:pPr>
        <w:pStyle w:val="ListBullet"/>
        <w:rPr>
          <w:lang w:eastAsia="ja-JP"/>
        </w:rPr>
      </w:pPr>
      <w:r>
        <w:rPr>
          <w:lang w:eastAsia="ja-JP"/>
        </w:rPr>
        <w:t xml:space="preserve">The preliminary Clinical </w:t>
      </w:r>
      <w:r w:rsidRPr="009437AB">
        <w:t>Study</w:t>
      </w:r>
      <w:r w:rsidRPr="00C31183">
        <w:rPr>
          <w:lang w:eastAsia="ja-JP"/>
        </w:rPr>
        <w:t xml:space="preserve"> </w:t>
      </w:r>
      <w:r>
        <w:rPr>
          <w:lang w:eastAsia="ja-JP"/>
        </w:rPr>
        <w:t>R</w:t>
      </w:r>
      <w:r w:rsidRPr="00C31183">
        <w:rPr>
          <w:lang w:eastAsia="ja-JP"/>
        </w:rPr>
        <w:t xml:space="preserve">eport (CSR) for </w:t>
      </w:r>
      <w:r>
        <w:rPr>
          <w:lang w:eastAsia="ja-JP"/>
        </w:rPr>
        <w:t>S</w:t>
      </w:r>
      <w:r w:rsidRPr="00C31183">
        <w:rPr>
          <w:lang w:eastAsia="ja-JP"/>
        </w:rPr>
        <w:t>tudy A8081</w:t>
      </w:r>
      <w:r>
        <w:rPr>
          <w:lang w:eastAsia="ja-JP"/>
        </w:rPr>
        <w:t>0</w:t>
      </w:r>
      <w:r w:rsidR="009437AB">
        <w:rPr>
          <w:lang w:eastAsia="ja-JP"/>
        </w:rPr>
        <w:t>07, a Phase III study comparing</w:t>
      </w:r>
    </w:p>
    <w:p w:rsidR="00CE4F74" w:rsidRDefault="00CE4F74" w:rsidP="009437AB">
      <w:pPr>
        <w:pStyle w:val="ListBullet2"/>
        <w:rPr>
          <w:lang w:eastAsia="ja-JP"/>
        </w:rPr>
      </w:pPr>
      <w:r w:rsidRPr="009437AB">
        <w:t>standard</w:t>
      </w:r>
      <w:r w:rsidRPr="00C31183">
        <w:rPr>
          <w:lang w:eastAsia="ja-JP"/>
        </w:rPr>
        <w:t>-of-care chemotherapy (</w:t>
      </w:r>
      <w:proofErr w:type="spellStart"/>
      <w:r w:rsidRPr="00C31183">
        <w:rPr>
          <w:lang w:eastAsia="ja-JP"/>
        </w:rPr>
        <w:t>pemetrexed</w:t>
      </w:r>
      <w:proofErr w:type="spellEnd"/>
      <w:r w:rsidRPr="00C31183">
        <w:rPr>
          <w:lang w:eastAsia="ja-JP"/>
        </w:rPr>
        <w:t xml:space="preserve"> or </w:t>
      </w:r>
      <w:proofErr w:type="spellStart"/>
      <w:r w:rsidRPr="00C31183">
        <w:rPr>
          <w:lang w:eastAsia="ja-JP"/>
        </w:rPr>
        <w:t>docetaxel</w:t>
      </w:r>
      <w:proofErr w:type="spellEnd"/>
      <w:r w:rsidRPr="00C31183">
        <w:rPr>
          <w:lang w:eastAsia="ja-JP"/>
        </w:rPr>
        <w:t xml:space="preserve">) with </w:t>
      </w:r>
      <w:proofErr w:type="spellStart"/>
      <w:r w:rsidRPr="00C31183">
        <w:rPr>
          <w:lang w:eastAsia="ja-JP"/>
        </w:rPr>
        <w:t>c</w:t>
      </w:r>
      <w:r w:rsidR="009437AB">
        <w:rPr>
          <w:lang w:eastAsia="ja-JP"/>
        </w:rPr>
        <w:t>rizotinib</w:t>
      </w:r>
      <w:proofErr w:type="spellEnd"/>
      <w:r w:rsidR="009437AB">
        <w:rPr>
          <w:lang w:eastAsia="ja-JP"/>
        </w:rPr>
        <w:t xml:space="preserve"> in previously treated</w:t>
      </w:r>
    </w:p>
    <w:p w:rsidR="00CE4F74" w:rsidRDefault="00CE4F74" w:rsidP="009437AB">
      <w:pPr>
        <w:pStyle w:val="ListBullet2"/>
        <w:rPr>
          <w:lang w:eastAsia="ja-JP"/>
        </w:rPr>
      </w:pPr>
      <w:proofErr w:type="gramStart"/>
      <w:r w:rsidRPr="00C31183">
        <w:rPr>
          <w:lang w:eastAsia="ja-JP"/>
        </w:rPr>
        <w:t>patients</w:t>
      </w:r>
      <w:proofErr w:type="gramEnd"/>
      <w:r w:rsidRPr="00C31183">
        <w:rPr>
          <w:lang w:eastAsia="ja-JP"/>
        </w:rPr>
        <w:t xml:space="preserve"> with ALK-positive non-small cell cancer (NSCLC). The sponsor state</w:t>
      </w:r>
      <w:r>
        <w:rPr>
          <w:lang w:eastAsia="ja-JP"/>
        </w:rPr>
        <w:t>d</w:t>
      </w:r>
      <w:r w:rsidRPr="00C31183">
        <w:rPr>
          <w:lang w:eastAsia="ja-JP"/>
        </w:rPr>
        <w:t xml:space="preserve"> that the final CSR for </w:t>
      </w:r>
      <w:r>
        <w:rPr>
          <w:lang w:eastAsia="ja-JP"/>
        </w:rPr>
        <w:t>S</w:t>
      </w:r>
      <w:r w:rsidRPr="00C31183">
        <w:rPr>
          <w:lang w:eastAsia="ja-JP"/>
        </w:rPr>
        <w:t xml:space="preserve">tudy A8081007 will be generated following the completion of the final analysis for overall survival (OS), and anticipates that this report will be available </w:t>
      </w:r>
      <w:r>
        <w:rPr>
          <w:lang w:eastAsia="ja-JP"/>
        </w:rPr>
        <w:t>in the first quar</w:t>
      </w:r>
      <w:r w:rsidR="009437AB">
        <w:rPr>
          <w:lang w:eastAsia="ja-JP"/>
        </w:rPr>
        <w:t>ter of 2016. The sponsor states</w:t>
      </w:r>
    </w:p>
    <w:p w:rsidR="00CE4F74" w:rsidRPr="00C31183" w:rsidRDefault="00CE4F74" w:rsidP="009437AB">
      <w:pPr>
        <w:pStyle w:val="ListBullet2"/>
        <w:rPr>
          <w:lang w:eastAsia="ja-JP"/>
        </w:rPr>
      </w:pPr>
      <w:proofErr w:type="gramStart"/>
      <w:r w:rsidRPr="00C31183">
        <w:rPr>
          <w:lang w:eastAsia="ja-JP"/>
        </w:rPr>
        <w:t>that</w:t>
      </w:r>
      <w:proofErr w:type="gramEnd"/>
      <w:r w:rsidRPr="00C31183">
        <w:rPr>
          <w:lang w:eastAsia="ja-JP"/>
        </w:rPr>
        <w:t xml:space="preserve"> the preliminary CSR for </w:t>
      </w:r>
      <w:r>
        <w:rPr>
          <w:lang w:eastAsia="ja-JP"/>
        </w:rPr>
        <w:t>S</w:t>
      </w:r>
      <w:r w:rsidRPr="00C31183">
        <w:rPr>
          <w:lang w:eastAsia="ja-JP"/>
        </w:rPr>
        <w:t xml:space="preserve">tudy </w:t>
      </w:r>
      <w:r w:rsidRPr="009437AB">
        <w:t>A8081007</w:t>
      </w:r>
      <w:r w:rsidRPr="00C31183">
        <w:rPr>
          <w:lang w:eastAsia="ja-JP"/>
        </w:rPr>
        <w:t xml:space="preserve"> is considered “final for the pu</w:t>
      </w:r>
      <w:r w:rsidR="009437AB">
        <w:rPr>
          <w:lang w:eastAsia="ja-JP"/>
        </w:rPr>
        <w:t>rposes of global registration”.</w:t>
      </w:r>
    </w:p>
    <w:p w:rsidR="00CE4F74" w:rsidRPr="00C31183" w:rsidRDefault="00CE4F74" w:rsidP="009437AB">
      <w:pPr>
        <w:pStyle w:val="ListBullet"/>
        <w:rPr>
          <w:lang w:eastAsia="ja-JP"/>
        </w:rPr>
      </w:pPr>
      <w:r>
        <w:rPr>
          <w:lang w:eastAsia="ja-JP"/>
        </w:rPr>
        <w:t>A</w:t>
      </w:r>
      <w:r w:rsidRPr="00C31183">
        <w:rPr>
          <w:lang w:eastAsia="ja-JP"/>
        </w:rPr>
        <w:t xml:space="preserve"> </w:t>
      </w:r>
      <w:r>
        <w:rPr>
          <w:lang w:eastAsia="ja-JP"/>
        </w:rPr>
        <w:t>“</w:t>
      </w:r>
      <w:r w:rsidRPr="00C31183">
        <w:rPr>
          <w:lang w:eastAsia="ja-JP"/>
        </w:rPr>
        <w:t>Technical Report</w:t>
      </w:r>
      <w:r>
        <w:rPr>
          <w:lang w:eastAsia="ja-JP"/>
        </w:rPr>
        <w:t>”</w:t>
      </w:r>
      <w:r w:rsidRPr="00C31183">
        <w:rPr>
          <w:lang w:eastAsia="ja-JP"/>
        </w:rPr>
        <w:t xml:space="preserve"> </w:t>
      </w:r>
      <w:r w:rsidRPr="009437AB">
        <w:t>providing</w:t>
      </w:r>
      <w:r w:rsidRPr="00C31183">
        <w:rPr>
          <w:lang w:eastAsia="ja-JP"/>
        </w:rPr>
        <w:t xml:space="preserve"> the pre-specified sensitivity a</w:t>
      </w:r>
      <w:r>
        <w:rPr>
          <w:lang w:eastAsia="ja-JP"/>
        </w:rPr>
        <w:t xml:space="preserve">nalyses of the interim OS data </w:t>
      </w:r>
      <w:r w:rsidRPr="00C31183">
        <w:rPr>
          <w:lang w:eastAsia="ja-JP"/>
        </w:rPr>
        <w:t xml:space="preserve">from </w:t>
      </w:r>
      <w:r>
        <w:rPr>
          <w:lang w:eastAsia="ja-JP"/>
        </w:rPr>
        <w:t>S</w:t>
      </w:r>
      <w:r w:rsidRPr="00C31183">
        <w:rPr>
          <w:lang w:eastAsia="ja-JP"/>
        </w:rPr>
        <w:t>tudy A081007. The sponsor state</w:t>
      </w:r>
      <w:r>
        <w:rPr>
          <w:lang w:eastAsia="ja-JP"/>
        </w:rPr>
        <w:t>d</w:t>
      </w:r>
      <w:r w:rsidRPr="00C31183">
        <w:rPr>
          <w:lang w:eastAsia="ja-JP"/>
        </w:rPr>
        <w:t xml:space="preserve"> that it “chose to evaluate the impact of follow-up therapy in a separate </w:t>
      </w:r>
      <w:r>
        <w:rPr>
          <w:lang w:eastAsia="ja-JP"/>
        </w:rPr>
        <w:t>“</w:t>
      </w:r>
      <w:r w:rsidRPr="00C31183">
        <w:rPr>
          <w:lang w:eastAsia="ja-JP"/>
        </w:rPr>
        <w:t>Technical Report</w:t>
      </w:r>
      <w:r>
        <w:rPr>
          <w:lang w:eastAsia="ja-JP"/>
        </w:rPr>
        <w:t>”</w:t>
      </w:r>
      <w:r w:rsidRPr="00C31183">
        <w:rPr>
          <w:lang w:eastAsia="ja-JP"/>
        </w:rPr>
        <w:t xml:space="preserve"> due to the complexity of the statistical methodology for these</w:t>
      </w:r>
      <w:r>
        <w:rPr>
          <w:lang w:eastAsia="ja-JP"/>
        </w:rPr>
        <w:t xml:space="preserve"> </w:t>
      </w:r>
      <w:r w:rsidRPr="00C31183">
        <w:rPr>
          <w:lang w:eastAsia="ja-JP"/>
        </w:rPr>
        <w:t>[sensitivity] analyses as well as that associated with description of the results obtained.”</w:t>
      </w:r>
    </w:p>
    <w:p w:rsidR="00CE4F74" w:rsidRPr="00C31183" w:rsidRDefault="00CE4F74" w:rsidP="009437AB">
      <w:pPr>
        <w:pStyle w:val="ListBullet"/>
        <w:rPr>
          <w:lang w:eastAsia="ja-JP"/>
        </w:rPr>
      </w:pPr>
      <w:r w:rsidRPr="00C31183">
        <w:rPr>
          <w:lang w:eastAsia="ja-JP"/>
        </w:rPr>
        <w:t>The updated Risk Management Plan (RMP), Version 4.0, dated 25 February 2013. The evaluation of the RMP focuse</w:t>
      </w:r>
      <w:r>
        <w:rPr>
          <w:lang w:eastAsia="ja-JP"/>
        </w:rPr>
        <w:t>d</w:t>
      </w:r>
      <w:r w:rsidRPr="00C31183">
        <w:rPr>
          <w:lang w:eastAsia="ja-JP"/>
        </w:rPr>
        <w:t xml:space="preserve"> on the updated safety </w:t>
      </w:r>
      <w:r w:rsidR="009437AB">
        <w:rPr>
          <w:lang w:eastAsia="ja-JP"/>
        </w:rPr>
        <w:t>data.</w:t>
      </w:r>
    </w:p>
    <w:p w:rsidR="00CE4F74" w:rsidRPr="00C31183" w:rsidRDefault="00CE4F74" w:rsidP="009437AB">
      <w:pPr>
        <w:pStyle w:val="ListBullet"/>
        <w:rPr>
          <w:lang w:eastAsia="ja-JP"/>
        </w:rPr>
      </w:pPr>
      <w:r w:rsidRPr="00C31183">
        <w:rPr>
          <w:lang w:eastAsia="ja-JP"/>
        </w:rPr>
        <w:lastRenderedPageBreak/>
        <w:t xml:space="preserve">The sponsor’s response of 19 April 2013 to questions </w:t>
      </w:r>
      <w:r w:rsidRPr="009437AB">
        <w:t>raised</w:t>
      </w:r>
      <w:r w:rsidRPr="00C31183">
        <w:rPr>
          <w:lang w:eastAsia="ja-JP"/>
        </w:rPr>
        <w:t xml:space="preserve"> </w:t>
      </w:r>
      <w:r>
        <w:rPr>
          <w:lang w:eastAsia="ja-JP"/>
        </w:rPr>
        <w:t xml:space="preserve">by the evaluator </w:t>
      </w:r>
      <w:r w:rsidRPr="00C31183">
        <w:rPr>
          <w:lang w:eastAsia="ja-JP"/>
        </w:rPr>
        <w:t xml:space="preserve">during the evaluation of </w:t>
      </w:r>
      <w:r>
        <w:rPr>
          <w:lang w:eastAsia="ja-JP"/>
        </w:rPr>
        <w:t>the Clinical Study Report A8081007</w:t>
      </w:r>
      <w:r w:rsidRPr="00C31183">
        <w:rPr>
          <w:lang w:eastAsia="ja-JP"/>
        </w:rPr>
        <w:t xml:space="preserve">. The relevant information from this response </w:t>
      </w:r>
      <w:r>
        <w:rPr>
          <w:lang w:eastAsia="ja-JP"/>
        </w:rPr>
        <w:t>was taken into account by the evaluator</w:t>
      </w:r>
      <w:r w:rsidR="009437AB">
        <w:rPr>
          <w:lang w:eastAsia="ja-JP"/>
        </w:rPr>
        <w:t>.</w:t>
      </w:r>
    </w:p>
    <w:p w:rsidR="00CE4F74" w:rsidRPr="00C31183" w:rsidRDefault="00CE4F74" w:rsidP="009437AB">
      <w:pPr>
        <w:pStyle w:val="Heading2"/>
      </w:pPr>
      <w:bookmarkStart w:id="6" w:name="_Toc228773317"/>
      <w:bookmarkStart w:id="7" w:name="_Toc380058430"/>
      <w:bookmarkStart w:id="8" w:name="_Toc384975284"/>
      <w:r w:rsidRPr="00C31183">
        <w:t>Study A8081007 (Preliminary CSR</w:t>
      </w:r>
      <w:r>
        <w:t>)</w:t>
      </w:r>
      <w:bookmarkEnd w:id="6"/>
      <w:r>
        <w:rPr>
          <w:rStyle w:val="FootnoteReference"/>
        </w:rPr>
        <w:footnoteReference w:id="1"/>
      </w:r>
      <w:bookmarkEnd w:id="7"/>
      <w:bookmarkEnd w:id="8"/>
    </w:p>
    <w:p w:rsidR="00CE4F74" w:rsidRPr="00C31183" w:rsidRDefault="00CE4F74" w:rsidP="009437AB">
      <w:pPr>
        <w:pStyle w:val="Heading3"/>
      </w:pPr>
      <w:bookmarkStart w:id="9" w:name="_Toc228773318"/>
      <w:bookmarkStart w:id="10" w:name="_Toc380058431"/>
      <w:bookmarkStart w:id="11" w:name="_Toc384975285"/>
      <w:r w:rsidRPr="00C31183">
        <w:t>Pharmacokinetics</w:t>
      </w:r>
      <w:bookmarkEnd w:id="9"/>
      <w:bookmarkEnd w:id="10"/>
      <w:bookmarkEnd w:id="11"/>
    </w:p>
    <w:p w:rsidR="00CE4F74" w:rsidRPr="00C31183" w:rsidRDefault="00CE4F74" w:rsidP="009437AB">
      <w:pPr>
        <w:pStyle w:val="Heading4"/>
      </w:pPr>
      <w:bookmarkStart w:id="12" w:name="_Toc228773319"/>
      <w:r w:rsidRPr="00C31183">
        <w:t>Overview</w:t>
      </w:r>
      <w:bookmarkEnd w:id="12"/>
    </w:p>
    <w:p w:rsidR="00CE4F74" w:rsidRPr="00C31183" w:rsidRDefault="00CE4F74" w:rsidP="009437AB">
      <w:pPr>
        <w:rPr>
          <w:lang w:eastAsia="ja-JP"/>
        </w:rPr>
      </w:pPr>
      <w:r w:rsidRPr="00C31183">
        <w:rPr>
          <w:lang w:eastAsia="ja-JP"/>
        </w:rPr>
        <w:t xml:space="preserve">Study A8081007 included a pharmacokinetic (PK) evaluation of patients in the </w:t>
      </w:r>
      <w:proofErr w:type="spellStart"/>
      <w:r w:rsidRPr="00C31183">
        <w:rPr>
          <w:lang w:eastAsia="ja-JP"/>
        </w:rPr>
        <w:t>crizotinib</w:t>
      </w:r>
      <w:proofErr w:type="spellEnd"/>
      <w:r w:rsidRPr="00C31183">
        <w:rPr>
          <w:lang w:eastAsia="ja-JP"/>
        </w:rPr>
        <w:t xml:space="preserve"> arm of the study. The PK concentration population was defined as any patient in the safety analysis (SA) population who had at least 1 concentration of </w:t>
      </w:r>
      <w:proofErr w:type="spellStart"/>
      <w:r w:rsidRPr="00C31183">
        <w:rPr>
          <w:lang w:eastAsia="ja-JP"/>
        </w:rPr>
        <w:t>crizotinib</w:t>
      </w:r>
      <w:proofErr w:type="spellEnd"/>
      <w:r w:rsidRPr="00C31183">
        <w:rPr>
          <w:lang w:eastAsia="ja-JP"/>
        </w:rPr>
        <w:t xml:space="preserve"> or its metabolite PF-06260182 following </w:t>
      </w:r>
      <w:proofErr w:type="spellStart"/>
      <w:r w:rsidRPr="00C31183">
        <w:rPr>
          <w:lang w:eastAsia="ja-JP"/>
        </w:rPr>
        <w:t>crizotinib</w:t>
      </w:r>
      <w:proofErr w:type="spellEnd"/>
      <w:r w:rsidRPr="00C31183">
        <w:rPr>
          <w:lang w:eastAsia="ja-JP"/>
        </w:rPr>
        <w:t xml:space="preserve"> treatment at the data </w:t>
      </w:r>
      <w:proofErr w:type="spellStart"/>
      <w:r w:rsidRPr="00C31183">
        <w:rPr>
          <w:lang w:eastAsia="ja-JP"/>
        </w:rPr>
        <w:t>cut</w:t>
      </w:r>
      <w:r>
        <w:rPr>
          <w:lang w:eastAsia="ja-JP"/>
        </w:rPr>
        <w:t xml:space="preserve"> </w:t>
      </w:r>
      <w:r w:rsidRPr="00C31183">
        <w:rPr>
          <w:lang w:eastAsia="ja-JP"/>
        </w:rPr>
        <w:t>off</w:t>
      </w:r>
      <w:proofErr w:type="spellEnd"/>
      <w:r w:rsidRPr="00C31183">
        <w:rPr>
          <w:lang w:eastAsia="ja-JP"/>
        </w:rPr>
        <w:t xml:space="preserve"> date of 30 March 2012. The plasma pre-dose concentration population was defined as any patient in the PK concentration population who had at least 1 pre-dose concentration of </w:t>
      </w:r>
      <w:proofErr w:type="spellStart"/>
      <w:r w:rsidRPr="00C31183">
        <w:rPr>
          <w:lang w:eastAsia="ja-JP"/>
        </w:rPr>
        <w:t>cr</w:t>
      </w:r>
      <w:bookmarkStart w:id="13" w:name="_GoBack"/>
      <w:bookmarkEnd w:id="13"/>
      <w:r w:rsidRPr="00C31183">
        <w:rPr>
          <w:lang w:eastAsia="ja-JP"/>
        </w:rPr>
        <w:t>izotinib</w:t>
      </w:r>
      <w:proofErr w:type="spellEnd"/>
      <w:r w:rsidRPr="00C31183">
        <w:rPr>
          <w:lang w:eastAsia="ja-JP"/>
        </w:rPr>
        <w:t xml:space="preserve"> or PF-06260182, with the actual sample collection time between -1.2 to 0 hours (</w:t>
      </w:r>
      <w:r>
        <w:rPr>
          <w:lang w:eastAsia="ja-JP"/>
        </w:rPr>
        <w:t>h</w:t>
      </w:r>
      <w:r w:rsidR="009437AB">
        <w:rPr>
          <w:lang w:eastAsia="ja-JP"/>
        </w:rPr>
        <w:t>) prior to the morning dose.</w:t>
      </w:r>
    </w:p>
    <w:p w:rsidR="00CE4F74" w:rsidRPr="00C31183" w:rsidRDefault="00CE4F74" w:rsidP="009437AB">
      <w:pPr>
        <w:rPr>
          <w:lang w:eastAsia="ja-JP"/>
        </w:rPr>
      </w:pPr>
      <w:r w:rsidRPr="00C31183">
        <w:rPr>
          <w:lang w:eastAsia="ja-JP"/>
        </w:rPr>
        <w:t xml:space="preserve">The steady-state mean trough plasma concentrations for </w:t>
      </w:r>
      <w:proofErr w:type="spellStart"/>
      <w:r w:rsidRPr="00C31183">
        <w:rPr>
          <w:lang w:eastAsia="ja-JP"/>
        </w:rPr>
        <w:t>crizotinib</w:t>
      </w:r>
      <w:proofErr w:type="spellEnd"/>
      <w:r w:rsidRPr="00C31183">
        <w:rPr>
          <w:lang w:eastAsia="ja-JP"/>
        </w:rPr>
        <w:t xml:space="preserve"> and PF-06260182 were obtained for each patient using the arithmetic mean of all available plasma pre-dose trough plasma concentrations for that patient on Cycle 2 Day 1, Cycle 3 Day 1, and Cycle 5 Day 1 after at least 14 consecutive days of </w:t>
      </w:r>
      <w:proofErr w:type="spellStart"/>
      <w:r w:rsidRPr="00C31183">
        <w:rPr>
          <w:lang w:eastAsia="ja-JP"/>
        </w:rPr>
        <w:t>crizotinib</w:t>
      </w:r>
      <w:proofErr w:type="spellEnd"/>
      <w:r w:rsidRPr="00C31183">
        <w:rPr>
          <w:lang w:eastAsia="ja-JP"/>
        </w:rPr>
        <w:t xml:space="preserve"> 250 mg twice daily (BID). In addition to the assessment of mean plasma trough concentrations of </w:t>
      </w:r>
      <w:proofErr w:type="spellStart"/>
      <w:r w:rsidRPr="00C31183">
        <w:rPr>
          <w:lang w:eastAsia="ja-JP"/>
        </w:rPr>
        <w:t>crizotinib</w:t>
      </w:r>
      <w:proofErr w:type="spellEnd"/>
      <w:r w:rsidRPr="00C31183">
        <w:rPr>
          <w:lang w:eastAsia="ja-JP"/>
        </w:rPr>
        <w:t xml:space="preserve"> and PF-0620182, mean PF-06260182 to </w:t>
      </w:r>
      <w:proofErr w:type="spellStart"/>
      <w:r w:rsidRPr="00C31183">
        <w:rPr>
          <w:lang w:eastAsia="ja-JP"/>
        </w:rPr>
        <w:t>crizotinib</w:t>
      </w:r>
      <w:proofErr w:type="spellEnd"/>
      <w:r w:rsidRPr="00C31183">
        <w:rPr>
          <w:lang w:eastAsia="ja-JP"/>
        </w:rPr>
        <w:t xml:space="preserve"> ratios </w:t>
      </w:r>
      <w:proofErr w:type="gramStart"/>
      <w:r w:rsidRPr="00C31183">
        <w:rPr>
          <w:lang w:eastAsia="ja-JP"/>
        </w:rPr>
        <w:t>were</w:t>
      </w:r>
      <w:proofErr w:type="gramEnd"/>
      <w:r w:rsidRPr="00C31183">
        <w:rPr>
          <w:lang w:eastAsia="ja-JP"/>
        </w:rPr>
        <w:t xml:space="preserve"> calculated.</w:t>
      </w:r>
    </w:p>
    <w:p w:rsidR="00CE4F74" w:rsidRPr="00C31183" w:rsidRDefault="00CE4F74" w:rsidP="009437AB">
      <w:pPr>
        <w:rPr>
          <w:lang w:eastAsia="ja-JP"/>
        </w:rPr>
      </w:pPr>
      <w:r w:rsidRPr="00C31183">
        <w:rPr>
          <w:lang w:eastAsia="ja-JP"/>
        </w:rPr>
        <w:t xml:space="preserve">Plasma concentrations of </w:t>
      </w:r>
      <w:proofErr w:type="spellStart"/>
      <w:r w:rsidRPr="00C31183">
        <w:rPr>
          <w:lang w:eastAsia="ja-JP"/>
        </w:rPr>
        <w:t>crizotinib</w:t>
      </w:r>
      <w:proofErr w:type="spellEnd"/>
      <w:r w:rsidRPr="00C31183">
        <w:rPr>
          <w:lang w:eastAsia="ja-JP"/>
        </w:rPr>
        <w:t xml:space="preserve"> and PF-06260182 were measured using validated, sensitive, and specific high-performance liquid chromatography tandem mass spe</w:t>
      </w:r>
      <w:r w:rsidR="009437AB">
        <w:rPr>
          <w:lang w:eastAsia="ja-JP"/>
        </w:rPr>
        <w:t>ctrometric (HPLC-MS/MS) methods</w:t>
      </w:r>
    </w:p>
    <w:p w:rsidR="00CE4F74" w:rsidRPr="00C31183" w:rsidRDefault="00CE4F74" w:rsidP="009437AB">
      <w:pPr>
        <w:rPr>
          <w:lang w:eastAsia="ja-JP"/>
        </w:rPr>
      </w:pPr>
      <w:r w:rsidRPr="00C31183">
        <w:rPr>
          <w:lang w:eastAsia="ja-JP"/>
        </w:rPr>
        <w:t>The sponsor indicates that the plas</w:t>
      </w:r>
      <w:r>
        <w:rPr>
          <w:lang w:eastAsia="ja-JP"/>
        </w:rPr>
        <w:t>ma concentration data set from S</w:t>
      </w:r>
      <w:r w:rsidRPr="00C31183">
        <w:rPr>
          <w:lang w:eastAsia="ja-JP"/>
        </w:rPr>
        <w:t xml:space="preserve">tudy A8081007 will be pooled with appropriate data sets from additional </w:t>
      </w:r>
      <w:proofErr w:type="spellStart"/>
      <w:r w:rsidRPr="00C31183">
        <w:rPr>
          <w:lang w:eastAsia="ja-JP"/>
        </w:rPr>
        <w:t>crizotinib</w:t>
      </w:r>
      <w:proofErr w:type="spellEnd"/>
      <w:r w:rsidRPr="00C31183">
        <w:rPr>
          <w:lang w:eastAsia="ja-JP"/>
        </w:rPr>
        <w:t xml:space="preserve"> studies for a population PK analysis. The results of this analysis will be </w:t>
      </w:r>
      <w:r w:rsidR="009437AB">
        <w:rPr>
          <w:lang w:eastAsia="ja-JP"/>
        </w:rPr>
        <w:t>presented in a separate report.</w:t>
      </w:r>
    </w:p>
    <w:p w:rsidR="00CE4F74" w:rsidRPr="00C31183" w:rsidRDefault="00CE4F74" w:rsidP="00640CC5">
      <w:pPr>
        <w:pStyle w:val="Heading4"/>
      </w:pPr>
      <w:bookmarkStart w:id="14" w:name="_Toc228773320"/>
      <w:r w:rsidRPr="00C31183">
        <w:t>Results</w:t>
      </w:r>
      <w:bookmarkEnd w:id="14"/>
    </w:p>
    <w:p w:rsidR="00CE4F74" w:rsidRPr="00C31183" w:rsidRDefault="00CE4F74" w:rsidP="00640CC5">
      <w:pPr>
        <w:pStyle w:val="Heading5"/>
        <w:numPr>
          <w:ilvl w:val="0"/>
          <w:numId w:val="0"/>
        </w:numPr>
        <w:ind w:left="1418" w:hanging="1191"/>
        <w:rPr>
          <w:lang w:eastAsia="ja-JP"/>
        </w:rPr>
      </w:pPr>
      <w:r w:rsidRPr="00C31183">
        <w:rPr>
          <w:lang w:eastAsia="ja-JP"/>
        </w:rPr>
        <w:t>(a)</w:t>
      </w:r>
      <w:r w:rsidRPr="00C31183">
        <w:rPr>
          <w:lang w:eastAsia="ja-JP"/>
        </w:rPr>
        <w:tab/>
      </w:r>
      <w:r w:rsidRPr="00640CC5">
        <w:t>Steady</w:t>
      </w:r>
      <w:r w:rsidRPr="00C31183">
        <w:rPr>
          <w:lang w:eastAsia="ja-JP"/>
        </w:rPr>
        <w:t xml:space="preserve">-state trough plasma concentrations for </w:t>
      </w:r>
      <w:proofErr w:type="spellStart"/>
      <w:r w:rsidRPr="00C31183">
        <w:rPr>
          <w:lang w:eastAsia="ja-JP"/>
        </w:rPr>
        <w:t>crizotinib</w:t>
      </w:r>
      <w:proofErr w:type="spellEnd"/>
      <w:r w:rsidRPr="00C31183">
        <w:rPr>
          <w:lang w:eastAsia="ja-JP"/>
        </w:rPr>
        <w:t xml:space="preserve"> and PK-06260182</w:t>
      </w:r>
    </w:p>
    <w:p w:rsidR="00CE4F74" w:rsidRPr="00C31183" w:rsidRDefault="00CE4F74" w:rsidP="00640CC5">
      <w:pPr>
        <w:rPr>
          <w:lang w:eastAsia="ja-JP"/>
        </w:rPr>
      </w:pPr>
      <w:r w:rsidRPr="00C31183">
        <w:rPr>
          <w:lang w:eastAsia="ja-JP"/>
        </w:rPr>
        <w:t xml:space="preserve">The demographics of the 152 patients in the PK concentration population were: 65 male, 87 female; 72 White, 77 Asian, 1 Black, 1 </w:t>
      </w:r>
      <w:proofErr w:type="gramStart"/>
      <w:r w:rsidRPr="00C31183">
        <w:rPr>
          <w:lang w:eastAsia="ja-JP"/>
        </w:rPr>
        <w:t>Other</w:t>
      </w:r>
      <w:proofErr w:type="gramEnd"/>
      <w:r w:rsidRPr="00C31183">
        <w:rPr>
          <w:lang w:eastAsia="ja-JP"/>
        </w:rPr>
        <w:t xml:space="preserve"> race; mean age 49.4 years (range: 22, 78 years); mean height 164.2 cm (range: 141, 193 cm); and mean weight 64.4 kg (range: 35.2, 160.0 kg). Of these 152 patients, 150 provided relevant data and were included in the analyses.</w:t>
      </w:r>
    </w:p>
    <w:p w:rsidR="00CE4F74" w:rsidRPr="00C31183" w:rsidRDefault="00CE4F74" w:rsidP="00640CC5">
      <w:pPr>
        <w:rPr>
          <w:lang w:eastAsia="ja-JP"/>
        </w:rPr>
      </w:pPr>
      <w:proofErr w:type="spellStart"/>
      <w:r w:rsidRPr="00C31183">
        <w:rPr>
          <w:lang w:eastAsia="ja-JP"/>
        </w:rPr>
        <w:t>Crizotinib</w:t>
      </w:r>
      <w:proofErr w:type="spellEnd"/>
      <w:r w:rsidRPr="00C31183">
        <w:rPr>
          <w:lang w:eastAsia="ja-JP"/>
        </w:rPr>
        <w:t xml:space="preserve"> reached steady-state within the first cycle after repeated oral administration of </w:t>
      </w:r>
      <w:proofErr w:type="spellStart"/>
      <w:r w:rsidRPr="00C31183">
        <w:rPr>
          <w:lang w:eastAsia="ja-JP"/>
        </w:rPr>
        <w:t>crizotinib</w:t>
      </w:r>
      <w:proofErr w:type="spellEnd"/>
      <w:r w:rsidRPr="00C31183">
        <w:rPr>
          <w:lang w:eastAsia="ja-JP"/>
        </w:rPr>
        <w:t xml:space="preserve"> 250 mg BID. The geometric mean pre-dose concentrations of </w:t>
      </w:r>
      <w:proofErr w:type="spellStart"/>
      <w:r w:rsidRPr="00C31183">
        <w:rPr>
          <w:lang w:eastAsia="ja-JP"/>
        </w:rPr>
        <w:t>crizotinib</w:t>
      </w:r>
      <w:proofErr w:type="spellEnd"/>
      <w:r w:rsidRPr="00C31183">
        <w:rPr>
          <w:lang w:eastAsia="ja-JP"/>
        </w:rPr>
        <w:t xml:space="preserve"> were 293, 306, and </w:t>
      </w:r>
      <w:proofErr w:type="gramStart"/>
      <w:r w:rsidRPr="00C31183">
        <w:rPr>
          <w:lang w:eastAsia="ja-JP"/>
        </w:rPr>
        <w:t xml:space="preserve">291 </w:t>
      </w:r>
      <w:proofErr w:type="spellStart"/>
      <w:r w:rsidRPr="00C31183">
        <w:rPr>
          <w:lang w:eastAsia="ja-JP"/>
        </w:rPr>
        <w:t>ng</w:t>
      </w:r>
      <w:proofErr w:type="spellEnd"/>
      <w:r w:rsidRPr="00C31183">
        <w:rPr>
          <w:lang w:eastAsia="ja-JP"/>
        </w:rPr>
        <w:t>/mL on Cycle 2 Day 1, Cycle 3 Day 1, and Cycle 5 Day 1, respectively</w:t>
      </w:r>
      <w:proofErr w:type="gramEnd"/>
      <w:r w:rsidRPr="00C31183">
        <w:rPr>
          <w:lang w:eastAsia="ja-JP"/>
        </w:rPr>
        <w:t xml:space="preserve">. Similarly, the steady-state plasma concentrations of PF-0620182 achieved steady state within the first cycle. The geometric mean pre-dose concentrations of PF-06260182 following </w:t>
      </w:r>
      <w:proofErr w:type="spellStart"/>
      <w:r w:rsidRPr="00C31183">
        <w:rPr>
          <w:lang w:eastAsia="ja-JP"/>
        </w:rPr>
        <w:t>crizotinib</w:t>
      </w:r>
      <w:proofErr w:type="spellEnd"/>
      <w:r w:rsidRPr="00C31183">
        <w:rPr>
          <w:lang w:eastAsia="ja-JP"/>
        </w:rPr>
        <w:t xml:space="preserve"> 250 mg BID were 81.3, 85.7 and 87.1 </w:t>
      </w:r>
      <w:proofErr w:type="spellStart"/>
      <w:r w:rsidRPr="00C31183">
        <w:rPr>
          <w:lang w:eastAsia="ja-JP"/>
        </w:rPr>
        <w:t>ng</w:t>
      </w:r>
      <w:proofErr w:type="spellEnd"/>
      <w:r w:rsidRPr="00C31183">
        <w:rPr>
          <w:lang w:eastAsia="ja-JP"/>
        </w:rPr>
        <w:t xml:space="preserve">/mL on Cycle 2 Day 1, Cycle 3 Day 1 and Cycle 5 Day 1, respectively. The geometric mean pre-dose concentration ratios of PF-06260182 to </w:t>
      </w:r>
      <w:proofErr w:type="spellStart"/>
      <w:r w:rsidRPr="00C31183">
        <w:rPr>
          <w:lang w:eastAsia="ja-JP"/>
        </w:rPr>
        <w:t>crizotinib</w:t>
      </w:r>
      <w:proofErr w:type="spellEnd"/>
      <w:r w:rsidRPr="00C31183">
        <w:rPr>
          <w:lang w:eastAsia="ja-JP"/>
        </w:rPr>
        <w:t xml:space="preserve"> were 0.267, 0.267 and 0.291 on Cycle 2 Day 1, Cycle 3 Day 1 a</w:t>
      </w:r>
      <w:r w:rsidR="00640CC5">
        <w:rPr>
          <w:lang w:eastAsia="ja-JP"/>
        </w:rPr>
        <w:t>nd Cycle 5 Day 1, respectively.</w:t>
      </w:r>
    </w:p>
    <w:p w:rsidR="00CE4F74" w:rsidRPr="00C31183" w:rsidRDefault="00CE4F74" w:rsidP="00640CC5">
      <w:pPr>
        <w:pStyle w:val="Heading5"/>
        <w:numPr>
          <w:ilvl w:val="0"/>
          <w:numId w:val="0"/>
        </w:numPr>
        <w:ind w:left="1418" w:hanging="1191"/>
        <w:rPr>
          <w:lang w:eastAsia="ja-JP"/>
        </w:rPr>
      </w:pPr>
      <w:r w:rsidRPr="00C31183">
        <w:rPr>
          <w:lang w:eastAsia="ja-JP"/>
        </w:rPr>
        <w:t>(b)</w:t>
      </w:r>
      <w:r w:rsidRPr="00C31183">
        <w:rPr>
          <w:lang w:eastAsia="ja-JP"/>
        </w:rPr>
        <w:tab/>
        <w:t>Ethnic differences – steady-sta</w:t>
      </w:r>
      <w:r w:rsidR="00640CC5">
        <w:rPr>
          <w:lang w:eastAsia="ja-JP"/>
        </w:rPr>
        <w:t>te trough plasma concentrations</w:t>
      </w:r>
    </w:p>
    <w:p w:rsidR="00CE4F74" w:rsidRPr="00C31183" w:rsidRDefault="00CE4F74" w:rsidP="00640CC5">
      <w:pPr>
        <w:rPr>
          <w:lang w:eastAsia="ja-JP"/>
        </w:rPr>
      </w:pPr>
      <w:r w:rsidRPr="00C31183">
        <w:rPr>
          <w:lang w:eastAsia="ja-JP"/>
        </w:rPr>
        <w:t xml:space="preserve">The demographics of the 92 patients in the PK concentration population providing relevant data were: 38 male, 54 female; 49 White, 40 Asian, 1 Black, 2 </w:t>
      </w:r>
      <w:proofErr w:type="gramStart"/>
      <w:r w:rsidRPr="00C31183">
        <w:rPr>
          <w:lang w:eastAsia="ja-JP"/>
        </w:rPr>
        <w:t>Other</w:t>
      </w:r>
      <w:proofErr w:type="gramEnd"/>
      <w:r w:rsidRPr="00C31183">
        <w:rPr>
          <w:lang w:eastAsia="ja-JP"/>
        </w:rPr>
        <w:t xml:space="preserve"> races; mean age 50.4 years </w:t>
      </w:r>
      <w:r w:rsidRPr="00C31183">
        <w:rPr>
          <w:lang w:eastAsia="ja-JP"/>
        </w:rPr>
        <w:lastRenderedPageBreak/>
        <w:t>(range: 22, 78 years); mean height 162.9 cm (range: 141, 189 cm); and mean weight w</w:t>
      </w:r>
      <w:r w:rsidR="00640CC5">
        <w:rPr>
          <w:lang w:eastAsia="ja-JP"/>
        </w:rPr>
        <w:t>as 63.8 kg (range: 37, 160 kg).</w:t>
      </w:r>
    </w:p>
    <w:p w:rsidR="00CE4F74" w:rsidRPr="00C31183" w:rsidRDefault="00CE4F74" w:rsidP="00640CC5">
      <w:pPr>
        <w:rPr>
          <w:lang w:eastAsia="ja-JP"/>
        </w:rPr>
      </w:pPr>
      <w:r w:rsidRPr="00C31183">
        <w:rPr>
          <w:lang w:eastAsia="ja-JP"/>
        </w:rPr>
        <w:t xml:space="preserve">The geometric steady-state mean trough plasma concentrations of </w:t>
      </w:r>
      <w:proofErr w:type="spellStart"/>
      <w:r w:rsidRPr="00C31183">
        <w:rPr>
          <w:lang w:eastAsia="ja-JP"/>
        </w:rPr>
        <w:t>crizotinib</w:t>
      </w:r>
      <w:proofErr w:type="spellEnd"/>
      <w:r w:rsidRPr="00C31183">
        <w:rPr>
          <w:lang w:eastAsia="ja-JP"/>
        </w:rPr>
        <w:t xml:space="preserve"> and PF-06260182 were 298 (CV% = 45) </w:t>
      </w:r>
      <w:proofErr w:type="spellStart"/>
      <w:r w:rsidRPr="00C31183">
        <w:rPr>
          <w:lang w:eastAsia="ja-JP"/>
        </w:rPr>
        <w:t>ng</w:t>
      </w:r>
      <w:proofErr w:type="spellEnd"/>
      <w:r w:rsidRPr="00C31183">
        <w:rPr>
          <w:lang w:eastAsia="ja-JP"/>
        </w:rPr>
        <w:t xml:space="preserve">/mL and 84.1 (CV% = 53) </w:t>
      </w:r>
      <w:proofErr w:type="spellStart"/>
      <w:r w:rsidRPr="00C31183">
        <w:rPr>
          <w:lang w:eastAsia="ja-JP"/>
        </w:rPr>
        <w:t>ng</w:t>
      </w:r>
      <w:proofErr w:type="spellEnd"/>
      <w:r w:rsidRPr="00C31183">
        <w:rPr>
          <w:lang w:eastAsia="ja-JP"/>
        </w:rPr>
        <w:t>/mL, respectively. The geometric mean ratio (</w:t>
      </w:r>
      <w:proofErr w:type="gramStart"/>
      <w:r w:rsidRPr="00C31183">
        <w:rPr>
          <w:lang w:eastAsia="ja-JP"/>
        </w:rPr>
        <w:t>CV%</w:t>
      </w:r>
      <w:proofErr w:type="gramEnd"/>
      <w:r w:rsidRPr="00C31183">
        <w:rPr>
          <w:lang w:eastAsia="ja-JP"/>
        </w:rPr>
        <w:t xml:space="preserve">) of PF-06260182 to </w:t>
      </w:r>
      <w:proofErr w:type="spellStart"/>
      <w:r w:rsidRPr="00C31183">
        <w:rPr>
          <w:lang w:eastAsia="ja-JP"/>
        </w:rPr>
        <w:t>crizotinib</w:t>
      </w:r>
      <w:proofErr w:type="spellEnd"/>
      <w:r w:rsidRPr="00C31183">
        <w:rPr>
          <w:lang w:eastAsia="ja-JP"/>
        </w:rPr>
        <w:t xml:space="preserve"> for the steady-state trough plasma concentrations was 0.272 (24%). The geometric steady-state mean trough concentration of </w:t>
      </w:r>
      <w:proofErr w:type="spellStart"/>
      <w:r w:rsidRPr="00C31183">
        <w:rPr>
          <w:lang w:eastAsia="ja-JP"/>
        </w:rPr>
        <w:t>crizotinib</w:t>
      </w:r>
      <w:proofErr w:type="spellEnd"/>
      <w:r w:rsidRPr="00C31183">
        <w:rPr>
          <w:lang w:eastAsia="ja-JP"/>
        </w:rPr>
        <w:t xml:space="preserve"> was higher in Asian patients than in non-Asian patients (347 [CV% = 40]</w:t>
      </w:r>
      <w:r>
        <w:rPr>
          <w:lang w:eastAsia="ja-JP"/>
        </w:rPr>
        <w:t xml:space="preserve"> versus </w:t>
      </w:r>
      <w:r w:rsidRPr="00C31183">
        <w:rPr>
          <w:lang w:eastAsia="ja-JP"/>
        </w:rPr>
        <w:t xml:space="preserve">266 [CV% = 45] </w:t>
      </w:r>
      <w:proofErr w:type="spellStart"/>
      <w:r w:rsidRPr="00C31183">
        <w:rPr>
          <w:lang w:eastAsia="ja-JP"/>
        </w:rPr>
        <w:t>ng</w:t>
      </w:r>
      <w:proofErr w:type="spellEnd"/>
      <w:r w:rsidRPr="00C31183">
        <w:rPr>
          <w:lang w:eastAsia="ja-JP"/>
        </w:rPr>
        <w:t>/mL). Similarly, the geometric steady-state mean trough plasma concentration of PF-06260182 was higher in Asian patients than in non-Asian patients (95.4 [CV% = 54]</w:t>
      </w:r>
      <w:r>
        <w:rPr>
          <w:lang w:eastAsia="ja-JP"/>
        </w:rPr>
        <w:t xml:space="preserve"> versus </w:t>
      </w:r>
      <w:r w:rsidRPr="00C31183">
        <w:rPr>
          <w:lang w:eastAsia="ja-JP"/>
        </w:rPr>
        <w:t>75.8 [CV% = 44]). The geometric mean ratios (</w:t>
      </w:r>
      <w:proofErr w:type="gramStart"/>
      <w:r w:rsidRPr="00C31183">
        <w:rPr>
          <w:lang w:eastAsia="ja-JP"/>
        </w:rPr>
        <w:t>CV%</w:t>
      </w:r>
      <w:proofErr w:type="gramEnd"/>
      <w:r w:rsidRPr="00C31183">
        <w:rPr>
          <w:lang w:eastAsia="ja-JP"/>
        </w:rPr>
        <w:t xml:space="preserve">) of PF-06260182 to </w:t>
      </w:r>
      <w:proofErr w:type="spellStart"/>
      <w:r w:rsidRPr="00C31183">
        <w:rPr>
          <w:lang w:eastAsia="ja-JP"/>
        </w:rPr>
        <w:t>crizotinib</w:t>
      </w:r>
      <w:proofErr w:type="spellEnd"/>
      <w:r w:rsidRPr="00C31183">
        <w:rPr>
          <w:lang w:eastAsia="ja-JP"/>
        </w:rPr>
        <w:t xml:space="preserve"> for the steady-state trough plasma concentrations were similar in Asian and non-Asian patients (0.267 [27%]</w:t>
      </w:r>
      <w:r>
        <w:rPr>
          <w:lang w:eastAsia="ja-JP"/>
        </w:rPr>
        <w:t xml:space="preserve"> versus </w:t>
      </w:r>
      <w:r w:rsidRPr="00C31183">
        <w:rPr>
          <w:lang w:eastAsia="ja-JP"/>
        </w:rPr>
        <w:t xml:space="preserve">0.276 [21%], respectively). The results suggest that Asian patients may potentially be at an increased risk of adverse events related to </w:t>
      </w:r>
      <w:proofErr w:type="spellStart"/>
      <w:r w:rsidRPr="00C31183">
        <w:rPr>
          <w:lang w:eastAsia="ja-JP"/>
        </w:rPr>
        <w:t>Xalkori</w:t>
      </w:r>
      <w:proofErr w:type="spellEnd"/>
      <w:r w:rsidRPr="00C31183">
        <w:rPr>
          <w:lang w:eastAsia="ja-JP"/>
        </w:rPr>
        <w:t xml:space="preserve"> compared with non-Asian patients due to increased</w:t>
      </w:r>
      <w:r w:rsidR="00640CC5">
        <w:rPr>
          <w:lang w:eastAsia="ja-JP"/>
        </w:rPr>
        <w:t xml:space="preserve"> systemic exposure to the drug.</w:t>
      </w:r>
    </w:p>
    <w:p w:rsidR="00CE4F74" w:rsidRPr="00C31183" w:rsidRDefault="00CE4F74" w:rsidP="00640CC5">
      <w:pPr>
        <w:pStyle w:val="Heading3"/>
      </w:pPr>
      <w:bookmarkStart w:id="15" w:name="_Toc228773321"/>
      <w:bookmarkStart w:id="16" w:name="_Toc380058432"/>
      <w:bookmarkStart w:id="17" w:name="_Toc384975286"/>
      <w:r w:rsidRPr="00C31183">
        <w:t>Pharmacodynamics</w:t>
      </w:r>
      <w:bookmarkEnd w:id="15"/>
      <w:bookmarkEnd w:id="16"/>
      <w:bookmarkEnd w:id="17"/>
    </w:p>
    <w:p w:rsidR="00CE4F74" w:rsidRPr="00C31183" w:rsidRDefault="00CE4F74" w:rsidP="00640CC5">
      <w:pPr>
        <w:rPr>
          <w:lang w:eastAsia="ja-JP"/>
        </w:rPr>
      </w:pPr>
      <w:proofErr w:type="spellStart"/>
      <w:r w:rsidRPr="00C31183">
        <w:rPr>
          <w:lang w:eastAsia="ja-JP"/>
        </w:rPr>
        <w:t>Pharmacodynamic</w:t>
      </w:r>
      <w:proofErr w:type="spellEnd"/>
      <w:r w:rsidRPr="00C31183">
        <w:rPr>
          <w:lang w:eastAsia="ja-JP"/>
        </w:rPr>
        <w:t xml:space="preserve"> evaluations included molecular profiling and optional biomarker analyses. The molecular profiling and biomarker analyses are ongoing and will be included in the final CSR.</w:t>
      </w:r>
      <w:r>
        <w:rPr>
          <w:lang w:eastAsia="ja-JP"/>
        </w:rPr>
        <w:t xml:space="preserve"> </w:t>
      </w:r>
      <w:r w:rsidRPr="00C31183">
        <w:rPr>
          <w:lang w:eastAsia="ja-JP"/>
        </w:rPr>
        <w:t>Concentration-</w:t>
      </w:r>
      <w:proofErr w:type="spellStart"/>
      <w:r w:rsidRPr="00C31183">
        <w:rPr>
          <w:lang w:eastAsia="ja-JP"/>
        </w:rPr>
        <w:t>QTc</w:t>
      </w:r>
      <w:proofErr w:type="spellEnd"/>
      <w:r w:rsidRPr="00C31183">
        <w:rPr>
          <w:lang w:eastAsia="ja-JP"/>
        </w:rPr>
        <w:t xml:space="preserve"> modelling and population PK/</w:t>
      </w:r>
      <w:proofErr w:type="spellStart"/>
      <w:r w:rsidRPr="00C31183">
        <w:rPr>
          <w:lang w:eastAsia="ja-JP"/>
        </w:rPr>
        <w:t>pharmacodynamic</w:t>
      </w:r>
      <w:proofErr w:type="spellEnd"/>
      <w:r w:rsidRPr="00C31183">
        <w:rPr>
          <w:lang w:eastAsia="ja-JP"/>
        </w:rPr>
        <w:t xml:space="preserve"> analysis for safety/clinical response data were planned. The sponsor states that the details and results of the population PK/</w:t>
      </w:r>
      <w:proofErr w:type="spellStart"/>
      <w:r w:rsidRPr="00C31183">
        <w:rPr>
          <w:lang w:eastAsia="ja-JP"/>
        </w:rPr>
        <w:t>pharmacodynamic</w:t>
      </w:r>
      <w:proofErr w:type="spellEnd"/>
      <w:r w:rsidRPr="00C31183">
        <w:rPr>
          <w:lang w:eastAsia="ja-JP"/>
        </w:rPr>
        <w:t xml:space="preserve"> analyses will be reported</w:t>
      </w:r>
      <w:r w:rsidR="00640CC5">
        <w:rPr>
          <w:lang w:eastAsia="ja-JP"/>
        </w:rPr>
        <w:t xml:space="preserve"> separately (“as appropriate”).</w:t>
      </w:r>
    </w:p>
    <w:p w:rsidR="00CE4F74" w:rsidRPr="00C31183" w:rsidRDefault="00CE4F74" w:rsidP="00640CC5">
      <w:pPr>
        <w:rPr>
          <w:lang w:eastAsia="ja-JP"/>
        </w:rPr>
      </w:pPr>
      <w:r w:rsidRPr="00C31183">
        <w:rPr>
          <w:lang w:eastAsia="ja-JP"/>
        </w:rPr>
        <w:t xml:space="preserve">NSCLC was determined to be ALK-positive by an investigational use only diagnostic test from Abbott Molecular. The means and median percentages of ALK-positive cells using this test were similar for the two treatment arms. Of the 173 patients tested in each of the two treatment arms, the mean (SD), median, and range of ALK positive cells (%) in the </w:t>
      </w:r>
      <w:proofErr w:type="spellStart"/>
      <w:r w:rsidRPr="00C31183">
        <w:rPr>
          <w:lang w:eastAsia="ja-JP"/>
        </w:rPr>
        <w:t>crizotinib</w:t>
      </w:r>
      <w:proofErr w:type="spellEnd"/>
      <w:r w:rsidRPr="00C31183">
        <w:rPr>
          <w:lang w:eastAsia="ja-JP"/>
        </w:rPr>
        <w:t xml:space="preserve"> arm were 57.4 (21.80), 58.0, and 15 to 98, respectively, and the corresponding values in the chemotherapy arm were 59</w:t>
      </w:r>
      <w:r w:rsidR="00640CC5">
        <w:rPr>
          <w:lang w:eastAsia="ja-JP"/>
        </w:rPr>
        <w:t>.5 (20.05), 58.1, and 15 to 98.</w:t>
      </w:r>
    </w:p>
    <w:p w:rsidR="00CE4F74" w:rsidRPr="00C31183" w:rsidRDefault="00CE4F74" w:rsidP="00640CC5">
      <w:pPr>
        <w:pStyle w:val="Heading3"/>
      </w:pPr>
      <w:bookmarkStart w:id="18" w:name="_Toc228773322"/>
      <w:bookmarkStart w:id="19" w:name="_Toc380058433"/>
      <w:bookmarkStart w:id="20" w:name="_Toc384975287"/>
      <w:r w:rsidRPr="00C31183">
        <w:t xml:space="preserve">Safety and </w:t>
      </w:r>
      <w:r w:rsidR="00640CC5">
        <w:t>e</w:t>
      </w:r>
      <w:r w:rsidRPr="00C31183">
        <w:t>fficacy</w:t>
      </w:r>
      <w:bookmarkEnd w:id="18"/>
      <w:r>
        <w:t>-</w:t>
      </w:r>
      <w:r w:rsidR="00640CC5">
        <w:t>s</w:t>
      </w:r>
      <w:r>
        <w:t xml:space="preserve">tudy </w:t>
      </w:r>
      <w:r w:rsidR="00640CC5">
        <w:t>m</w:t>
      </w:r>
      <w:r>
        <w:t>ethods</w:t>
      </w:r>
      <w:bookmarkEnd w:id="19"/>
      <w:bookmarkEnd w:id="20"/>
    </w:p>
    <w:p w:rsidR="00CE4F74" w:rsidRDefault="00CE4F74" w:rsidP="00640CC5">
      <w:pPr>
        <w:pStyle w:val="Heading4"/>
      </w:pPr>
      <w:r>
        <w:t>Introduction</w:t>
      </w:r>
    </w:p>
    <w:p w:rsidR="00CE4F74" w:rsidRPr="00C31183" w:rsidRDefault="00CE4F74" w:rsidP="00640CC5">
      <w:pPr>
        <w:rPr>
          <w:lang w:eastAsia="ja-JP"/>
        </w:rPr>
      </w:pPr>
      <w:r w:rsidRPr="00C31183">
        <w:rPr>
          <w:lang w:eastAsia="ja-JP"/>
        </w:rPr>
        <w:t>Study A8081007</w:t>
      </w:r>
      <w:r>
        <w:rPr>
          <w:lang w:eastAsia="ja-JP"/>
        </w:rPr>
        <w:t>.</w:t>
      </w:r>
      <w:r w:rsidRPr="00C31183">
        <w:rPr>
          <w:lang w:eastAsia="ja-JP"/>
        </w:rPr>
        <w:t xml:space="preserve"> A Phase </w:t>
      </w:r>
      <w:r>
        <w:rPr>
          <w:lang w:eastAsia="ja-JP"/>
        </w:rPr>
        <w:t>III,</w:t>
      </w:r>
      <w:r w:rsidRPr="00C31183">
        <w:rPr>
          <w:lang w:eastAsia="ja-JP"/>
        </w:rPr>
        <w:t xml:space="preserve"> Randomized Open-Label Study of the Efficacy and Safety of PF-02341066 (</w:t>
      </w:r>
      <w:proofErr w:type="spellStart"/>
      <w:r w:rsidRPr="00C31183">
        <w:rPr>
          <w:lang w:eastAsia="ja-JP"/>
        </w:rPr>
        <w:t>Crizotinib</w:t>
      </w:r>
      <w:proofErr w:type="spellEnd"/>
      <w:r w:rsidRPr="00C31183">
        <w:rPr>
          <w:lang w:eastAsia="ja-JP"/>
        </w:rPr>
        <w:t>) Versus Standard-of-Care Chemotherapy (</w:t>
      </w:r>
      <w:proofErr w:type="spellStart"/>
      <w:r w:rsidRPr="00C31183">
        <w:rPr>
          <w:lang w:eastAsia="ja-JP"/>
        </w:rPr>
        <w:t>Pemetrexed</w:t>
      </w:r>
      <w:proofErr w:type="spellEnd"/>
      <w:r w:rsidRPr="00C31183">
        <w:rPr>
          <w:lang w:eastAsia="ja-JP"/>
        </w:rPr>
        <w:t xml:space="preserve"> or </w:t>
      </w:r>
      <w:proofErr w:type="spellStart"/>
      <w:r w:rsidRPr="00C31183">
        <w:rPr>
          <w:lang w:eastAsia="ja-JP"/>
        </w:rPr>
        <w:t>Docetaxel</w:t>
      </w:r>
      <w:proofErr w:type="spellEnd"/>
      <w:r w:rsidRPr="00C31183">
        <w:rPr>
          <w:lang w:eastAsia="ja-JP"/>
        </w:rPr>
        <w:t xml:space="preserve">) in </w:t>
      </w:r>
      <w:r>
        <w:rPr>
          <w:lang w:eastAsia="ja-JP"/>
        </w:rPr>
        <w:t>p</w:t>
      </w:r>
      <w:r w:rsidRPr="00C31183">
        <w:rPr>
          <w:lang w:eastAsia="ja-JP"/>
        </w:rPr>
        <w:t xml:space="preserve">atients with Advanced Non-Small Cell Lung Cancer (NSCLC) </w:t>
      </w:r>
      <w:proofErr w:type="spellStart"/>
      <w:r w:rsidRPr="00C31183">
        <w:rPr>
          <w:lang w:eastAsia="ja-JP"/>
        </w:rPr>
        <w:t>Harboring</w:t>
      </w:r>
      <w:proofErr w:type="spellEnd"/>
      <w:r w:rsidRPr="00C31183">
        <w:rPr>
          <w:lang w:eastAsia="ja-JP"/>
        </w:rPr>
        <w:t xml:space="preserve"> a Translocation or Inversion Event Involving the Anaplastic Lymphoma Kinase (ALK) Gene Locus.</w:t>
      </w:r>
    </w:p>
    <w:p w:rsidR="00CE4F74" w:rsidRPr="00C31183" w:rsidRDefault="00CE4F74" w:rsidP="00640CC5">
      <w:pPr>
        <w:pStyle w:val="Heading4"/>
      </w:pPr>
      <w:bookmarkStart w:id="21" w:name="_Toc228773324"/>
      <w:r w:rsidRPr="00C31183">
        <w:t>Objectives, design, dates, locations</w:t>
      </w:r>
      <w:bookmarkEnd w:id="21"/>
    </w:p>
    <w:p w:rsidR="00CE4F74" w:rsidRPr="00C31183" w:rsidRDefault="00CE4F74" w:rsidP="00640CC5">
      <w:pPr>
        <w:pStyle w:val="Heading5"/>
        <w:numPr>
          <w:ilvl w:val="0"/>
          <w:numId w:val="0"/>
        </w:numPr>
        <w:ind w:left="1418" w:hanging="1191"/>
        <w:rPr>
          <w:lang w:eastAsia="ja-JP"/>
        </w:rPr>
      </w:pPr>
      <w:r w:rsidRPr="00C31183">
        <w:rPr>
          <w:lang w:eastAsia="ja-JP"/>
        </w:rPr>
        <w:t>(a)</w:t>
      </w:r>
      <w:r w:rsidRPr="00C31183">
        <w:rPr>
          <w:lang w:eastAsia="ja-JP"/>
        </w:rPr>
        <w:tab/>
        <w:t>Objectives</w:t>
      </w:r>
    </w:p>
    <w:p w:rsidR="00CE4F74" w:rsidRPr="00C31183" w:rsidRDefault="00CE4F74" w:rsidP="00640CC5">
      <w:pPr>
        <w:rPr>
          <w:lang w:eastAsia="ja-JP"/>
        </w:rPr>
      </w:pPr>
      <w:r w:rsidRPr="00C31183">
        <w:rPr>
          <w:lang w:eastAsia="ja-JP"/>
        </w:rPr>
        <w:t>The primary objective of the study was:</w:t>
      </w:r>
    </w:p>
    <w:p w:rsidR="00CE4F74" w:rsidRPr="00C31183" w:rsidRDefault="00CE4F74" w:rsidP="00640CC5">
      <w:pPr>
        <w:pStyle w:val="ListBullet"/>
        <w:rPr>
          <w:lang w:eastAsia="ja-JP"/>
        </w:rPr>
      </w:pPr>
      <w:r w:rsidRPr="00C31183">
        <w:rPr>
          <w:lang w:eastAsia="ja-JP"/>
        </w:rPr>
        <w:t xml:space="preserve">to demonstrate that </w:t>
      </w:r>
      <w:proofErr w:type="spellStart"/>
      <w:r w:rsidRPr="00C31183">
        <w:rPr>
          <w:lang w:eastAsia="ja-JP"/>
        </w:rPr>
        <w:t>crizotinib</w:t>
      </w:r>
      <w:proofErr w:type="spellEnd"/>
      <w:r w:rsidRPr="00C31183">
        <w:rPr>
          <w:lang w:eastAsia="ja-JP"/>
        </w:rPr>
        <w:t xml:space="preserve"> (Arm A) was superior to standard-of-care chemothe</w:t>
      </w:r>
      <w:r>
        <w:rPr>
          <w:lang w:eastAsia="ja-JP"/>
        </w:rPr>
        <w:t xml:space="preserve">rapy, </w:t>
      </w:r>
      <w:proofErr w:type="spellStart"/>
      <w:r w:rsidRPr="00C31183">
        <w:rPr>
          <w:lang w:eastAsia="ja-JP"/>
        </w:rPr>
        <w:t>pemetrexed</w:t>
      </w:r>
      <w:proofErr w:type="spellEnd"/>
      <w:r w:rsidRPr="00C31183">
        <w:rPr>
          <w:lang w:eastAsia="ja-JP"/>
        </w:rPr>
        <w:t xml:space="preserve"> or </w:t>
      </w:r>
      <w:proofErr w:type="spellStart"/>
      <w:r w:rsidRPr="00C31183">
        <w:rPr>
          <w:lang w:eastAsia="ja-JP"/>
        </w:rPr>
        <w:t>docetaxel</w:t>
      </w:r>
      <w:proofErr w:type="spellEnd"/>
      <w:r w:rsidRPr="00C31183">
        <w:rPr>
          <w:lang w:eastAsia="ja-JP"/>
        </w:rPr>
        <w:t xml:space="preserve"> (Arm B), in prolonging progression-free survival (PFS) in patients with advanced non-small cell lung cancer (NSCLC) whose tumours harbor a translocation or inversion event involving the ALK gene locus and who had received only 1 prior chemotherapy regimen for advanced NSCLC (and this regimen </w:t>
      </w:r>
      <w:r w:rsidR="00640CC5">
        <w:rPr>
          <w:lang w:eastAsia="ja-JP"/>
        </w:rPr>
        <w:t>must have been platinum-based).</w:t>
      </w:r>
    </w:p>
    <w:p w:rsidR="00CE4F74" w:rsidRPr="00C31183" w:rsidRDefault="00CE4F74" w:rsidP="00640CC5">
      <w:pPr>
        <w:rPr>
          <w:lang w:eastAsia="ja-JP"/>
        </w:rPr>
      </w:pPr>
      <w:r w:rsidRPr="00C31183">
        <w:rPr>
          <w:lang w:eastAsia="ja-JP"/>
        </w:rPr>
        <w:t>The secondary objectives of the study were</w:t>
      </w:r>
      <w:r>
        <w:rPr>
          <w:lang w:eastAsia="ja-JP"/>
        </w:rPr>
        <w:t xml:space="preserve"> to</w:t>
      </w:r>
      <w:r w:rsidRPr="00C31183">
        <w:rPr>
          <w:lang w:eastAsia="ja-JP"/>
        </w:rPr>
        <w:t>:</w:t>
      </w:r>
    </w:p>
    <w:p w:rsidR="00CE4F74" w:rsidRPr="00C31183" w:rsidRDefault="00CE4F74" w:rsidP="00640CC5">
      <w:pPr>
        <w:pStyle w:val="ListBullet"/>
        <w:rPr>
          <w:lang w:eastAsia="ja-JP"/>
        </w:rPr>
      </w:pPr>
      <w:r w:rsidRPr="00640CC5">
        <w:t>compare</w:t>
      </w:r>
      <w:r w:rsidRPr="00C31183">
        <w:rPr>
          <w:lang w:eastAsia="ja-JP"/>
        </w:rPr>
        <w:t xml:space="preserve"> secondary measures of clinical efficacy including overall survival (OS), objective response rate (ORR), and disease control rate (DCR) between the 2 treatment arms, and to evaluate the duration of response (DR) and time-to-tumour response (TTR);</w:t>
      </w:r>
    </w:p>
    <w:p w:rsidR="00CE4F74" w:rsidRPr="00C31183" w:rsidRDefault="00CE4F74" w:rsidP="00640CC5">
      <w:pPr>
        <w:pStyle w:val="ListBullet"/>
        <w:rPr>
          <w:lang w:eastAsia="ja-JP"/>
        </w:rPr>
      </w:pPr>
      <w:r w:rsidRPr="00C31183">
        <w:rPr>
          <w:lang w:eastAsia="ja-JP"/>
        </w:rPr>
        <w:lastRenderedPageBreak/>
        <w:t xml:space="preserve">assess the safety and tolerability of </w:t>
      </w:r>
      <w:proofErr w:type="spellStart"/>
      <w:r w:rsidRPr="00C31183">
        <w:rPr>
          <w:lang w:eastAsia="ja-JP"/>
        </w:rPr>
        <w:t>crizotinib</w:t>
      </w:r>
      <w:proofErr w:type="spellEnd"/>
      <w:r w:rsidRPr="00C31183">
        <w:rPr>
          <w:lang w:eastAsia="ja-JP"/>
        </w:rPr>
        <w:t xml:space="preserve"> compared to chemotherapy (</w:t>
      </w:r>
      <w:proofErr w:type="spellStart"/>
      <w:r w:rsidRPr="00C31183">
        <w:rPr>
          <w:lang w:eastAsia="ja-JP"/>
        </w:rPr>
        <w:t>pemetrexed</w:t>
      </w:r>
      <w:proofErr w:type="spellEnd"/>
      <w:r w:rsidRPr="00C31183">
        <w:rPr>
          <w:lang w:eastAsia="ja-JP"/>
        </w:rPr>
        <w:t xml:space="preserve"> or </w:t>
      </w:r>
      <w:proofErr w:type="spellStart"/>
      <w:r w:rsidRPr="00640CC5">
        <w:t>docetaxel</w:t>
      </w:r>
      <w:proofErr w:type="spellEnd"/>
      <w:r w:rsidRPr="00C31183">
        <w:rPr>
          <w:lang w:eastAsia="ja-JP"/>
        </w:rPr>
        <w:t>);</w:t>
      </w:r>
    </w:p>
    <w:p w:rsidR="00CE4F74" w:rsidRPr="00C31183" w:rsidRDefault="00CE4F74" w:rsidP="00640CC5">
      <w:pPr>
        <w:pStyle w:val="ListBullet"/>
        <w:rPr>
          <w:lang w:eastAsia="ja-JP"/>
        </w:rPr>
      </w:pPr>
      <w:r w:rsidRPr="00640CC5">
        <w:t>compare</w:t>
      </w:r>
      <w:r w:rsidRPr="00C31183">
        <w:rPr>
          <w:lang w:eastAsia="ja-JP"/>
        </w:rPr>
        <w:t xml:space="preserve"> patient-reported outcomes (PRO) of health-related quality of life (</w:t>
      </w:r>
      <w:proofErr w:type="spellStart"/>
      <w:r w:rsidRPr="00C31183">
        <w:rPr>
          <w:lang w:eastAsia="ja-JP"/>
        </w:rPr>
        <w:t>HRQoL</w:t>
      </w:r>
      <w:proofErr w:type="spellEnd"/>
      <w:r w:rsidRPr="00C31183">
        <w:rPr>
          <w:lang w:eastAsia="ja-JP"/>
        </w:rPr>
        <w:t>), disease/treatment-related symptoms of lung cancer, and general health status in both treatment arms;</w:t>
      </w:r>
    </w:p>
    <w:p w:rsidR="00CE4F74" w:rsidRPr="00C31183" w:rsidRDefault="00CE4F74" w:rsidP="00640CC5">
      <w:pPr>
        <w:pStyle w:val="ListBullet"/>
        <w:rPr>
          <w:lang w:eastAsia="ja-JP"/>
        </w:rPr>
      </w:pPr>
      <w:r w:rsidRPr="00640CC5">
        <w:t>characterise</w:t>
      </w:r>
      <w:r>
        <w:rPr>
          <w:lang w:eastAsia="ja-JP"/>
        </w:rPr>
        <w:t xml:space="preserve"> </w:t>
      </w:r>
      <w:r w:rsidRPr="00C31183">
        <w:rPr>
          <w:lang w:eastAsia="ja-JP"/>
        </w:rPr>
        <w:t xml:space="preserve">the effects of </w:t>
      </w:r>
      <w:proofErr w:type="spellStart"/>
      <w:r w:rsidRPr="00C31183">
        <w:rPr>
          <w:lang w:eastAsia="ja-JP"/>
        </w:rPr>
        <w:t>crizotinib</w:t>
      </w:r>
      <w:proofErr w:type="spellEnd"/>
      <w:r w:rsidRPr="00C31183">
        <w:rPr>
          <w:lang w:eastAsia="ja-JP"/>
        </w:rPr>
        <w:t xml:space="preserve"> at therapeutic doses on QT interval (</w:t>
      </w:r>
      <w:r w:rsidR="00640CC5">
        <w:rPr>
          <w:lang w:eastAsia="ja-JP"/>
        </w:rPr>
        <w:t>QT) in this patient population;</w:t>
      </w:r>
    </w:p>
    <w:p w:rsidR="00CE4F74" w:rsidRPr="00C31183" w:rsidRDefault="00CE4F74" w:rsidP="00640CC5">
      <w:pPr>
        <w:pStyle w:val="ListBullet"/>
        <w:rPr>
          <w:lang w:eastAsia="ja-JP"/>
        </w:rPr>
      </w:pPr>
      <w:proofErr w:type="gramStart"/>
      <w:r w:rsidRPr="00C31183">
        <w:rPr>
          <w:lang w:eastAsia="ja-JP"/>
        </w:rPr>
        <w:t>determine</w:t>
      </w:r>
      <w:proofErr w:type="gramEnd"/>
      <w:r w:rsidRPr="00C31183">
        <w:rPr>
          <w:lang w:eastAsia="ja-JP"/>
        </w:rPr>
        <w:t xml:space="preserve"> </w:t>
      </w:r>
      <w:r w:rsidRPr="00640CC5">
        <w:t>the</w:t>
      </w:r>
      <w:r w:rsidRPr="00C31183">
        <w:rPr>
          <w:lang w:eastAsia="ja-JP"/>
        </w:rPr>
        <w:t xml:space="preserve"> pharmacokinetics (PK) in this patient population using population PK (POPPK) methods and explore correlations between PK, response, and/or safety findings; to explore the relationship of ALK gene fusion to the presence of ALK protein and fusion transcript; and to correlate modulation of soluble biomark</w:t>
      </w:r>
      <w:r w:rsidR="00640CC5">
        <w:rPr>
          <w:lang w:eastAsia="ja-JP"/>
        </w:rPr>
        <w:t>ers to PK and outcome measures.</w:t>
      </w:r>
    </w:p>
    <w:p w:rsidR="00CE4F74" w:rsidRPr="00C31183" w:rsidRDefault="00CE4F74" w:rsidP="00640CC5">
      <w:pPr>
        <w:pStyle w:val="Heading5"/>
        <w:numPr>
          <w:ilvl w:val="0"/>
          <w:numId w:val="0"/>
        </w:numPr>
        <w:ind w:left="1418" w:hanging="1191"/>
        <w:rPr>
          <w:lang w:eastAsia="ja-JP"/>
        </w:rPr>
      </w:pPr>
      <w:r w:rsidRPr="00C31183">
        <w:rPr>
          <w:lang w:eastAsia="ja-JP"/>
        </w:rPr>
        <w:t>(b)</w:t>
      </w:r>
      <w:r w:rsidRPr="00C31183">
        <w:rPr>
          <w:lang w:eastAsia="ja-JP"/>
        </w:rPr>
        <w:tab/>
        <w:t>Design, dates, and locations</w:t>
      </w:r>
    </w:p>
    <w:p w:rsidR="00CE4F74" w:rsidRPr="00C31183" w:rsidRDefault="00CE4F74" w:rsidP="00640CC5">
      <w:pPr>
        <w:rPr>
          <w:lang w:eastAsia="ja-JP"/>
        </w:rPr>
      </w:pPr>
      <w:r w:rsidRPr="00C31183">
        <w:rPr>
          <w:lang w:eastAsia="ja-JP"/>
        </w:rPr>
        <w:t>Study A808</w:t>
      </w:r>
      <w:r w:rsidRPr="00143CC0">
        <w:rPr>
          <w:lang w:eastAsia="ja-JP"/>
        </w:rPr>
        <w:t>1007 is an o</w:t>
      </w:r>
      <w:r w:rsidRPr="00C31183">
        <w:rPr>
          <w:lang w:eastAsia="ja-JP"/>
        </w:rPr>
        <w:t xml:space="preserve">ngoing, Phase </w:t>
      </w:r>
      <w:r>
        <w:rPr>
          <w:lang w:eastAsia="ja-JP"/>
        </w:rPr>
        <w:t>III</w:t>
      </w:r>
      <w:r w:rsidRPr="00C31183">
        <w:rPr>
          <w:lang w:eastAsia="ja-JP"/>
        </w:rPr>
        <w:t xml:space="preserve">, multi-national, multi-centre, </w:t>
      </w:r>
      <w:r>
        <w:rPr>
          <w:lang w:eastAsia="ja-JP"/>
        </w:rPr>
        <w:t>randomised</w:t>
      </w:r>
      <w:r w:rsidRPr="00C31183">
        <w:rPr>
          <w:lang w:eastAsia="ja-JP"/>
        </w:rPr>
        <w:t xml:space="preserve">, open-label, efficacy and safety study of </w:t>
      </w:r>
      <w:proofErr w:type="spellStart"/>
      <w:r w:rsidRPr="00C31183">
        <w:rPr>
          <w:lang w:eastAsia="ja-JP"/>
        </w:rPr>
        <w:t>crizotinib</w:t>
      </w:r>
      <w:proofErr w:type="spellEnd"/>
      <w:r w:rsidRPr="00C31183">
        <w:rPr>
          <w:lang w:eastAsia="ja-JP"/>
        </w:rPr>
        <w:t xml:space="preserve"> versus standard-of-care chemotherapy (</w:t>
      </w:r>
      <w:proofErr w:type="spellStart"/>
      <w:r w:rsidRPr="00C31183">
        <w:rPr>
          <w:lang w:eastAsia="ja-JP"/>
        </w:rPr>
        <w:t>pemetrexed</w:t>
      </w:r>
      <w:proofErr w:type="spellEnd"/>
      <w:r w:rsidRPr="00C31183">
        <w:rPr>
          <w:lang w:eastAsia="ja-JP"/>
        </w:rPr>
        <w:t xml:space="preserve"> or </w:t>
      </w:r>
      <w:proofErr w:type="spellStart"/>
      <w:r w:rsidRPr="00C31183">
        <w:rPr>
          <w:lang w:eastAsia="ja-JP"/>
        </w:rPr>
        <w:t>docetaxel</w:t>
      </w:r>
      <w:proofErr w:type="spellEnd"/>
      <w:r w:rsidRPr="00C31183">
        <w:rPr>
          <w:lang w:eastAsia="ja-JP"/>
        </w:rPr>
        <w:t>) in patients with previously treated NSCLC (with 1 prior platinum-based chemotherapy regimen) whose tumours harbor ALK fusions. The sponsor states that the study was conducted in compliance with Good Clinical Practice (GCP) guidelines and, where applicable, local country regulations relevant to the use of new therapeutic agents, including the archiving of essential documents.</w:t>
      </w:r>
    </w:p>
    <w:p w:rsidR="00CE4F74" w:rsidRPr="00C31183" w:rsidRDefault="00CE4F74" w:rsidP="00EA4B78">
      <w:pPr>
        <w:rPr>
          <w:lang w:eastAsia="ja-JP"/>
        </w:rPr>
      </w:pPr>
      <w:r>
        <w:rPr>
          <w:lang w:eastAsia="ja-JP"/>
        </w:rPr>
        <w:t>The study planned to randomis</w:t>
      </w:r>
      <w:r w:rsidRPr="00C31183">
        <w:rPr>
          <w:lang w:eastAsia="ja-JP"/>
        </w:rPr>
        <w:t xml:space="preserve">e 318 patients 1:1 to </w:t>
      </w:r>
      <w:proofErr w:type="spellStart"/>
      <w:r w:rsidRPr="00C31183">
        <w:rPr>
          <w:lang w:eastAsia="ja-JP"/>
        </w:rPr>
        <w:t>crizotinib</w:t>
      </w:r>
      <w:proofErr w:type="spellEnd"/>
      <w:r w:rsidRPr="00C31183">
        <w:rPr>
          <w:lang w:eastAsia="ja-JP"/>
        </w:rPr>
        <w:t xml:space="preserve"> (Arm A) or </w:t>
      </w:r>
      <w:proofErr w:type="spellStart"/>
      <w:r w:rsidRPr="00C31183">
        <w:rPr>
          <w:lang w:eastAsia="ja-JP"/>
        </w:rPr>
        <w:t>pemetrexe</w:t>
      </w:r>
      <w:r>
        <w:rPr>
          <w:lang w:eastAsia="ja-JP"/>
        </w:rPr>
        <w:t>d</w:t>
      </w:r>
      <w:proofErr w:type="spellEnd"/>
      <w:r>
        <w:rPr>
          <w:lang w:eastAsia="ja-JP"/>
        </w:rPr>
        <w:t xml:space="preserve"> or </w:t>
      </w:r>
      <w:proofErr w:type="spellStart"/>
      <w:r>
        <w:rPr>
          <w:lang w:eastAsia="ja-JP"/>
        </w:rPr>
        <w:t>docetaxel</w:t>
      </w:r>
      <w:proofErr w:type="spellEnd"/>
      <w:r>
        <w:rPr>
          <w:lang w:eastAsia="ja-JP"/>
        </w:rPr>
        <w:t xml:space="preserve"> (Arm B). Randomis</w:t>
      </w:r>
      <w:r w:rsidRPr="00C31183">
        <w:rPr>
          <w:lang w:eastAsia="ja-JP"/>
        </w:rPr>
        <w:t>ation was stratified for baseline factors of Eastern Cooperative Oncology Group (ECOG) performance status (PS) (0-1</w:t>
      </w:r>
      <w:r>
        <w:rPr>
          <w:lang w:eastAsia="ja-JP"/>
        </w:rPr>
        <w:t xml:space="preserve"> versus </w:t>
      </w:r>
      <w:r w:rsidRPr="00C31183">
        <w:rPr>
          <w:lang w:eastAsia="ja-JP"/>
        </w:rPr>
        <w:t>2), brain metastases (present</w:t>
      </w:r>
      <w:r>
        <w:rPr>
          <w:lang w:eastAsia="ja-JP"/>
        </w:rPr>
        <w:t xml:space="preserve"> versus </w:t>
      </w:r>
      <w:r w:rsidRPr="00C31183">
        <w:rPr>
          <w:lang w:eastAsia="ja-JP"/>
        </w:rPr>
        <w:t>absent) and prior epidermal growth factor receptor (EGFR) inhibitor treatment (yes</w:t>
      </w:r>
      <w:r>
        <w:rPr>
          <w:lang w:eastAsia="ja-JP"/>
        </w:rPr>
        <w:t xml:space="preserve"> versus </w:t>
      </w:r>
      <w:r w:rsidRPr="00C31183">
        <w:rPr>
          <w:lang w:eastAsia="ja-JP"/>
        </w:rPr>
        <w:t xml:space="preserve">no). Patients continued with assigned treatment until objective disease progression occurred, unacceptable toxicity occurred, or consent was withdrawn. The Response Evaluation Criteria in Solid </w:t>
      </w:r>
      <w:proofErr w:type="spellStart"/>
      <w:r w:rsidRPr="00C31183">
        <w:rPr>
          <w:lang w:eastAsia="ja-JP"/>
        </w:rPr>
        <w:t>Tumors</w:t>
      </w:r>
      <w:proofErr w:type="spellEnd"/>
      <w:r w:rsidRPr="00C31183">
        <w:rPr>
          <w:lang w:eastAsia="ja-JP"/>
        </w:rPr>
        <w:t xml:space="preserve"> (RECIST), version 1.1, assessed by independent radiology review (IRR), was used to determine objective disease progression. Assigned treatment could continue beyond RECIST defined disease progression (assessed by IRR) for patients considered by the investigator to be experiencing clinical benefit. For these patients, tumour assessments were no longer to be evaluated by the IRR laboratory. In addition, patients in the chemotherapy arm who had RECIST defined disease progression (assessed by IRR) were given the option to receive </w:t>
      </w:r>
      <w:proofErr w:type="spellStart"/>
      <w:r w:rsidRPr="00C31183">
        <w:rPr>
          <w:lang w:eastAsia="ja-JP"/>
        </w:rPr>
        <w:t>crizotinib</w:t>
      </w:r>
      <w:proofErr w:type="spellEnd"/>
      <w:r w:rsidRPr="00C31183">
        <w:rPr>
          <w:lang w:eastAsia="ja-JP"/>
        </w:rPr>
        <w:t xml:space="preserve"> in </w:t>
      </w:r>
      <w:r>
        <w:rPr>
          <w:lang w:eastAsia="ja-JP"/>
        </w:rPr>
        <w:t>Study A8081005</w:t>
      </w:r>
      <w:r w:rsidR="00EA4B78">
        <w:rPr>
          <w:lang w:eastAsia="ja-JP"/>
        </w:rPr>
        <w:t>.</w:t>
      </w:r>
    </w:p>
    <w:p w:rsidR="00CE4F74" w:rsidRPr="00C31183" w:rsidRDefault="00CE4F74" w:rsidP="00EA4B78">
      <w:pPr>
        <w:rPr>
          <w:lang w:eastAsia="ja-JP"/>
        </w:rPr>
      </w:pPr>
      <w:r w:rsidRPr="00C31183">
        <w:rPr>
          <w:lang w:eastAsia="ja-JP"/>
        </w:rPr>
        <w:t xml:space="preserve">The study was initiated on 18 September 2009 (first patient visit), the data </w:t>
      </w:r>
      <w:proofErr w:type="spellStart"/>
      <w:r w:rsidRPr="00C31183">
        <w:rPr>
          <w:lang w:eastAsia="ja-JP"/>
        </w:rPr>
        <w:t>cut</w:t>
      </w:r>
      <w:r>
        <w:rPr>
          <w:lang w:eastAsia="ja-JP"/>
        </w:rPr>
        <w:t xml:space="preserve"> </w:t>
      </w:r>
      <w:r w:rsidRPr="00C31183">
        <w:rPr>
          <w:lang w:eastAsia="ja-JP"/>
        </w:rPr>
        <w:t>off</w:t>
      </w:r>
      <w:proofErr w:type="spellEnd"/>
      <w:r w:rsidRPr="00C31183">
        <w:rPr>
          <w:lang w:eastAsia="ja-JP"/>
        </w:rPr>
        <w:t xml:space="preserve"> date for the preliminary CSR was 30 March 2012, and the preliminary CSR was dated 02 December 2012. As of the data </w:t>
      </w:r>
      <w:proofErr w:type="spellStart"/>
      <w:r w:rsidRPr="00C31183">
        <w:rPr>
          <w:lang w:eastAsia="ja-JP"/>
        </w:rPr>
        <w:t>cut</w:t>
      </w:r>
      <w:r>
        <w:rPr>
          <w:lang w:eastAsia="ja-JP"/>
        </w:rPr>
        <w:t xml:space="preserve"> </w:t>
      </w:r>
      <w:r w:rsidRPr="00C31183">
        <w:rPr>
          <w:lang w:eastAsia="ja-JP"/>
        </w:rPr>
        <w:t>off</w:t>
      </w:r>
      <w:proofErr w:type="spellEnd"/>
      <w:r w:rsidRPr="00C31183">
        <w:rPr>
          <w:lang w:eastAsia="ja-JP"/>
        </w:rPr>
        <w:t xml:space="preserve"> date, 106 centres in 21 countries had enrolled patients (Australia [2 centres], Brazil [5 centres], Canada [3 centres], China [8 centres], France [6 centres], Germany [9 centres], Greece [1 centre], Hong Kong [2 centres], Hungary [2 centres], Ireland [2 centres], Italy [11 centres], Japan [10 centres], Republic of Korea [3 centres], Netherlands [1 centre], Poland [3 centres], Russian Federation [2 centres], Spain [8 centres], Sweden [1 centre], Taiwan [1 centre], United Kingdom [4 centres], and United States [22 centres]). An additional 59 centres received study dr</w:t>
      </w:r>
      <w:r w:rsidR="00EA4B78">
        <w:rPr>
          <w:lang w:eastAsia="ja-JP"/>
        </w:rPr>
        <w:t>ug, but did not enrol patients.</w:t>
      </w:r>
    </w:p>
    <w:p w:rsidR="00CE4F74" w:rsidRPr="00C31183" w:rsidRDefault="00CE4F74" w:rsidP="00EA4B78">
      <w:pPr>
        <w:pStyle w:val="Heading4"/>
      </w:pPr>
      <w:bookmarkStart w:id="22" w:name="_Toc228773325"/>
      <w:r w:rsidRPr="00C31183">
        <w:t>Inclusion and exclusion criteria</w:t>
      </w:r>
      <w:bookmarkEnd w:id="22"/>
    </w:p>
    <w:p w:rsidR="00CE4F74" w:rsidRDefault="00CE4F74" w:rsidP="00EA4B78">
      <w:pPr>
        <w:rPr>
          <w:lang w:eastAsia="ja-JP"/>
        </w:rPr>
      </w:pPr>
      <w:r w:rsidRPr="00C31183">
        <w:rPr>
          <w:lang w:eastAsia="ja-JP"/>
        </w:rPr>
        <w:t xml:space="preserve">The main inclusion criteria were female or male patients, aged </w:t>
      </w:r>
      <w:r>
        <w:rPr>
          <w:lang w:eastAsia="ja-JP"/>
        </w:rPr>
        <w:t>≥</w:t>
      </w:r>
      <w:r w:rsidRPr="00C31183">
        <w:rPr>
          <w:lang w:eastAsia="ja-JP"/>
        </w:rPr>
        <w:t xml:space="preserve"> 18 years of age, with histologically or </w:t>
      </w:r>
      <w:proofErr w:type="spellStart"/>
      <w:r w:rsidRPr="00C31183">
        <w:rPr>
          <w:lang w:eastAsia="ja-JP"/>
        </w:rPr>
        <w:t>cytologically</w:t>
      </w:r>
      <w:proofErr w:type="spellEnd"/>
      <w:r w:rsidRPr="00C31183">
        <w:rPr>
          <w:lang w:eastAsia="ja-JP"/>
        </w:rPr>
        <w:t xml:space="preserve"> proven NSCLC that was locally advanced or metastatic, and positive for translocation or inversion events involving the ALK gene locus (</w:t>
      </w:r>
      <w:r>
        <w:rPr>
          <w:lang w:eastAsia="ja-JP"/>
        </w:rPr>
        <w:t>for example,</w:t>
      </w:r>
      <w:r w:rsidRPr="00C31183">
        <w:rPr>
          <w:lang w:eastAsia="ja-JP"/>
        </w:rPr>
        <w:t xml:space="preserve"> resulting in EML4-ALK fusion) as determined by an ALK break-apart FISH assay. In addition, patients were required to have progressive disease (PD) after only 1 prior platinum-based chemotherapy regimen and must have been considered appropriate candidates for additional chemotherapy with either single-agent </w:t>
      </w:r>
      <w:proofErr w:type="spellStart"/>
      <w:r w:rsidRPr="00C31183">
        <w:rPr>
          <w:lang w:eastAsia="ja-JP"/>
        </w:rPr>
        <w:t>pemetrexed</w:t>
      </w:r>
      <w:proofErr w:type="spellEnd"/>
      <w:r w:rsidRPr="00C31183">
        <w:rPr>
          <w:lang w:eastAsia="ja-JP"/>
        </w:rPr>
        <w:t xml:space="preserve"> or single-agent </w:t>
      </w:r>
      <w:proofErr w:type="spellStart"/>
      <w:r w:rsidRPr="00C31183">
        <w:rPr>
          <w:lang w:eastAsia="ja-JP"/>
        </w:rPr>
        <w:t>docetaxel</w:t>
      </w:r>
      <w:proofErr w:type="spellEnd"/>
      <w:r w:rsidRPr="00C31183">
        <w:rPr>
          <w:lang w:eastAsia="ja-JP"/>
        </w:rPr>
        <w:t xml:space="preserve">. Patients who had </w:t>
      </w:r>
      <w:r w:rsidRPr="00C31183">
        <w:rPr>
          <w:lang w:eastAsia="ja-JP"/>
        </w:rPr>
        <w:lastRenderedPageBreak/>
        <w:t xml:space="preserve">received 2 prior platinum based chemotherapy regimens were eligible if the first regimen had been given as adjuvant therapy or had been given in combination with radiation therapy for locally advanced disease. </w:t>
      </w:r>
      <w:proofErr w:type="gramStart"/>
      <w:r w:rsidRPr="00C31183">
        <w:rPr>
          <w:lang w:eastAsia="ja-JP"/>
        </w:rPr>
        <w:t>Patients</w:t>
      </w:r>
      <w:proofErr w:type="gramEnd"/>
      <w:r w:rsidRPr="00C31183">
        <w:rPr>
          <w:lang w:eastAsia="ja-JP"/>
        </w:rPr>
        <w:t xml:space="preserve"> who had received prior treatment with an EGFR tyrosine kinase inhibitor (TKI), such as </w:t>
      </w:r>
      <w:proofErr w:type="spellStart"/>
      <w:r w:rsidRPr="00C31183">
        <w:rPr>
          <w:lang w:eastAsia="ja-JP"/>
        </w:rPr>
        <w:t>erlotinib</w:t>
      </w:r>
      <w:proofErr w:type="spellEnd"/>
      <w:r w:rsidRPr="00C31183">
        <w:rPr>
          <w:lang w:eastAsia="ja-JP"/>
        </w:rPr>
        <w:t xml:space="preserve"> or </w:t>
      </w:r>
      <w:proofErr w:type="spellStart"/>
      <w:r w:rsidRPr="00C31183">
        <w:rPr>
          <w:lang w:eastAsia="ja-JP"/>
        </w:rPr>
        <w:t>gefitinib</w:t>
      </w:r>
      <w:proofErr w:type="spellEnd"/>
      <w:r w:rsidRPr="00C31183">
        <w:rPr>
          <w:lang w:eastAsia="ja-JP"/>
        </w:rPr>
        <w:t>, were also eligible provided that they had also received only 1 prior platinum-based chemotherapy regimen. Tumours were required to be meas</w:t>
      </w:r>
      <w:r w:rsidR="00EA4B78">
        <w:rPr>
          <w:lang w:eastAsia="ja-JP"/>
        </w:rPr>
        <w:t>urable by RECIST v1.1 criteria.</w:t>
      </w:r>
    </w:p>
    <w:p w:rsidR="00CE4F74" w:rsidRPr="00C31183" w:rsidRDefault="00CE4F74" w:rsidP="00EA4B78">
      <w:pPr>
        <w:rPr>
          <w:lang w:eastAsia="ja-JP"/>
        </w:rPr>
      </w:pPr>
      <w:r w:rsidRPr="00C31183">
        <w:rPr>
          <w:lang w:eastAsia="ja-JP"/>
        </w:rPr>
        <w:t>The study included pre-specified criteria for removing patients from therapy or assessment. Patients could withdraw from treatment at any time at their own request or they could be withdrawn at any time at the discretion of the investigator or sponsor for safety, behavioural, or administrative reasons. If a patient did not return for a scheduled visit, every effort was to be made to contact the patient. In all circumstances, every effort was to be made to document patient outcome. If a patient withdrew from the study and also withdrew consent for disclosure of future information, no further evaluations were to be performed, and no additional data were to be collected. The sponsor could retain and continue to</w:t>
      </w:r>
      <w:r>
        <w:rPr>
          <w:lang w:eastAsia="ja-JP"/>
        </w:rPr>
        <w:t xml:space="preserve"> use any data collected before </w:t>
      </w:r>
      <w:r w:rsidR="00EA4B78">
        <w:rPr>
          <w:lang w:eastAsia="ja-JP"/>
        </w:rPr>
        <w:t>withdrawal of consent.</w:t>
      </w:r>
    </w:p>
    <w:p w:rsidR="00CE4F74" w:rsidRPr="00C31183" w:rsidRDefault="00CE4F74" w:rsidP="00EA4B78">
      <w:pPr>
        <w:pStyle w:val="Heading4"/>
      </w:pPr>
      <w:bookmarkStart w:id="23" w:name="_Toc228773326"/>
      <w:r w:rsidRPr="00C31183">
        <w:t>Treatments</w:t>
      </w:r>
      <w:bookmarkEnd w:id="23"/>
    </w:p>
    <w:p w:rsidR="00CE4F74" w:rsidRPr="00C31183" w:rsidRDefault="00CE4F74" w:rsidP="00EA4B78">
      <w:pPr>
        <w:pStyle w:val="Heading5"/>
        <w:rPr>
          <w:lang w:eastAsia="ja-JP"/>
        </w:rPr>
      </w:pPr>
      <w:bookmarkStart w:id="24" w:name="_Toc228773327"/>
      <w:r w:rsidRPr="00C31183">
        <w:rPr>
          <w:lang w:eastAsia="ja-JP"/>
        </w:rPr>
        <w:t>Study drugs</w:t>
      </w:r>
      <w:bookmarkEnd w:id="24"/>
    </w:p>
    <w:p w:rsidR="00CE4F74" w:rsidRPr="00C31183" w:rsidRDefault="00CE4F74" w:rsidP="00EA4B78">
      <w:pPr>
        <w:rPr>
          <w:lang w:eastAsia="ja-JP"/>
        </w:rPr>
      </w:pPr>
      <w:r w:rsidRPr="00C31183">
        <w:rPr>
          <w:lang w:eastAsia="ja-JP"/>
        </w:rPr>
        <w:t xml:space="preserve">Patients were </w:t>
      </w:r>
      <w:r>
        <w:rPr>
          <w:lang w:eastAsia="ja-JP"/>
        </w:rPr>
        <w:t>randomised</w:t>
      </w:r>
      <w:r w:rsidRPr="00C31183">
        <w:rPr>
          <w:lang w:eastAsia="ja-JP"/>
        </w:rPr>
        <w:t xml:space="preserve"> 1:1 to receive </w:t>
      </w:r>
      <w:proofErr w:type="spellStart"/>
      <w:r w:rsidRPr="00C31183">
        <w:rPr>
          <w:lang w:eastAsia="ja-JP"/>
        </w:rPr>
        <w:t>crizotinib</w:t>
      </w:r>
      <w:proofErr w:type="spellEnd"/>
      <w:r w:rsidRPr="00C31183">
        <w:rPr>
          <w:lang w:eastAsia="ja-JP"/>
        </w:rPr>
        <w:t xml:space="preserve"> (Arm A) or chemotherapy (</w:t>
      </w:r>
      <w:proofErr w:type="spellStart"/>
      <w:r w:rsidRPr="00C31183">
        <w:rPr>
          <w:lang w:eastAsia="ja-JP"/>
        </w:rPr>
        <w:t>pemetrexed</w:t>
      </w:r>
      <w:proofErr w:type="spellEnd"/>
      <w:r w:rsidRPr="00C31183">
        <w:rPr>
          <w:lang w:eastAsia="ja-JP"/>
        </w:rPr>
        <w:t xml:space="preserve"> or </w:t>
      </w:r>
      <w:proofErr w:type="spellStart"/>
      <w:r w:rsidRPr="00C31183">
        <w:rPr>
          <w:lang w:eastAsia="ja-JP"/>
        </w:rPr>
        <w:t>docetaxel</w:t>
      </w:r>
      <w:proofErr w:type="spellEnd"/>
      <w:r w:rsidRPr="00C31183">
        <w:rPr>
          <w:lang w:eastAsia="ja-JP"/>
        </w:rPr>
        <w:t>; Arm B), with each treatment cycle being 21 days. The treatments were:</w:t>
      </w:r>
    </w:p>
    <w:p w:rsidR="00CE4F74" w:rsidRPr="00C31183" w:rsidRDefault="00CE4F74" w:rsidP="00EA4B78">
      <w:pPr>
        <w:pStyle w:val="ListBullet"/>
        <w:rPr>
          <w:lang w:eastAsia="ja-JP"/>
        </w:rPr>
      </w:pPr>
      <w:proofErr w:type="spellStart"/>
      <w:r w:rsidRPr="00C31183">
        <w:rPr>
          <w:b/>
          <w:lang w:eastAsia="ja-JP"/>
        </w:rPr>
        <w:t>Crizotinib</w:t>
      </w:r>
      <w:proofErr w:type="spellEnd"/>
      <w:r w:rsidRPr="00C31183">
        <w:rPr>
          <w:b/>
          <w:lang w:eastAsia="ja-JP"/>
        </w:rPr>
        <w:t xml:space="preserve"> 250 mg</w:t>
      </w:r>
      <w:r w:rsidRPr="00C31183">
        <w:rPr>
          <w:lang w:eastAsia="ja-JP"/>
        </w:rPr>
        <w:t xml:space="preserve"> (2 x 100 mg tablets plus 1x 50 mg tablet) was administered orally without regard to meals BID at approximately the same time each day on a continuous dosing schedule. Investigators were encouraged to employ best supportive care according to local institutional clinical practices. In addition, investigators were encouraged to employ pre-specified treatment guidance for selected </w:t>
      </w:r>
      <w:r>
        <w:rPr>
          <w:lang w:eastAsia="ja-JP"/>
        </w:rPr>
        <w:t>adverse events (</w:t>
      </w:r>
      <w:r w:rsidRPr="00C31183">
        <w:rPr>
          <w:lang w:eastAsia="ja-JP"/>
        </w:rPr>
        <w:t>AEs</w:t>
      </w:r>
      <w:r>
        <w:rPr>
          <w:lang w:eastAsia="ja-JP"/>
        </w:rPr>
        <w:t>)</w:t>
      </w:r>
      <w:r w:rsidRPr="00C31183">
        <w:rPr>
          <w:lang w:eastAsia="ja-JP"/>
        </w:rPr>
        <w:t xml:space="preserve"> (</w:t>
      </w:r>
      <w:r>
        <w:rPr>
          <w:lang w:eastAsia="ja-JP"/>
        </w:rPr>
        <w:t>that is,</w:t>
      </w:r>
      <w:r w:rsidRPr="00C31183">
        <w:rPr>
          <w:lang w:eastAsia="ja-JP"/>
        </w:rPr>
        <w:t xml:space="preserve"> diarrhoea, bradycardia, pneumonitis, pneumonia, renal cysts), and additional safety monitoring (</w:t>
      </w:r>
      <w:r>
        <w:rPr>
          <w:lang w:eastAsia="ja-JP"/>
        </w:rPr>
        <w:t>that is,</w:t>
      </w:r>
      <w:r w:rsidRPr="00C31183">
        <w:rPr>
          <w:lang w:eastAsia="ja-JP"/>
        </w:rPr>
        <w:t xml:space="preserve"> renal imaging, urinalysis, avoidance of prolonged unprotected sun exposure or tanning). Treatment was monitored for both haematological and non-haematological toxicity and the dose</w:t>
      </w:r>
      <w:r w:rsidR="00EA4B78">
        <w:rPr>
          <w:lang w:eastAsia="ja-JP"/>
        </w:rPr>
        <w:t xml:space="preserve"> could be adjusted accordingly.</w:t>
      </w:r>
    </w:p>
    <w:p w:rsidR="00CE4F74" w:rsidRPr="00A71210" w:rsidRDefault="00CE4F74" w:rsidP="00EA4B78">
      <w:pPr>
        <w:pStyle w:val="ListBullet"/>
      </w:pPr>
      <w:proofErr w:type="spellStart"/>
      <w:r w:rsidRPr="00A71210">
        <w:t>Docetaxel</w:t>
      </w:r>
      <w:proofErr w:type="spellEnd"/>
      <w:r w:rsidRPr="00A71210">
        <w:t>, 75 mg/m</w:t>
      </w:r>
      <w:r w:rsidRPr="008271D2">
        <w:rPr>
          <w:vertAlign w:val="superscript"/>
        </w:rPr>
        <w:t>2</w:t>
      </w:r>
      <w:r w:rsidRPr="00A71210">
        <w:t xml:space="preserve"> was administered by IV infusion over 1 hour on Day 1 of a 21-day cycle or according to institutional practices. Patients were monitored for both haematological and non-haematological toxicity and the dose</w:t>
      </w:r>
      <w:r w:rsidR="00EA4B78">
        <w:t xml:space="preserve"> could be adjusted accordingly.</w:t>
      </w:r>
    </w:p>
    <w:p w:rsidR="00CE4F74" w:rsidRPr="00A71210" w:rsidRDefault="00CE4F74" w:rsidP="00EA4B78">
      <w:pPr>
        <w:pStyle w:val="ListBullet"/>
      </w:pPr>
      <w:proofErr w:type="spellStart"/>
      <w:r>
        <w:t>P</w:t>
      </w:r>
      <w:r w:rsidRPr="00A71210">
        <w:t>emetrexed</w:t>
      </w:r>
      <w:proofErr w:type="spellEnd"/>
      <w:r w:rsidRPr="00A71210">
        <w:t>, 500 mg/m</w:t>
      </w:r>
      <w:r w:rsidRPr="008271D2">
        <w:rPr>
          <w:vertAlign w:val="superscript"/>
        </w:rPr>
        <w:t>2</w:t>
      </w:r>
      <w:r w:rsidRPr="00A71210">
        <w:t xml:space="preserve"> was administered by IV infusion over 10 minutes on Day 1 of a 21-day cycle or according to institutional practices. Patients were monitored for both haematological and non-haematological toxicity and the dose</w:t>
      </w:r>
      <w:r w:rsidR="00EA4B78">
        <w:t xml:space="preserve"> could be adjusted accordingly.</w:t>
      </w:r>
    </w:p>
    <w:p w:rsidR="00CE4F74" w:rsidRPr="00C31183" w:rsidRDefault="00CE4F74" w:rsidP="00EA4B78">
      <w:pPr>
        <w:rPr>
          <w:lang w:eastAsia="ja-JP"/>
        </w:rPr>
      </w:pPr>
      <w:r w:rsidRPr="00C31183">
        <w:rPr>
          <w:lang w:eastAsia="ja-JP"/>
        </w:rPr>
        <w:t xml:space="preserve">Patients were not to begin a new treatment cycle with </w:t>
      </w:r>
      <w:proofErr w:type="spellStart"/>
      <w:r w:rsidRPr="00C31183">
        <w:rPr>
          <w:lang w:eastAsia="ja-JP"/>
        </w:rPr>
        <w:t>pemetrexed</w:t>
      </w:r>
      <w:proofErr w:type="spellEnd"/>
      <w:r w:rsidRPr="00C31183">
        <w:rPr>
          <w:lang w:eastAsia="ja-JP"/>
        </w:rPr>
        <w:t xml:space="preserve"> or </w:t>
      </w:r>
      <w:proofErr w:type="spellStart"/>
      <w:r w:rsidRPr="00C31183">
        <w:rPr>
          <w:lang w:eastAsia="ja-JP"/>
        </w:rPr>
        <w:t>docetaxel</w:t>
      </w:r>
      <w:proofErr w:type="spellEnd"/>
      <w:r w:rsidRPr="00C31183">
        <w:rPr>
          <w:lang w:eastAsia="ja-JP"/>
        </w:rPr>
        <w:t xml:space="preserve"> unless the following re-treatment criteria were met: </w:t>
      </w:r>
      <w:r>
        <w:rPr>
          <w:lang w:eastAsia="ja-JP"/>
        </w:rPr>
        <w:t>absolute neutrophil count (</w:t>
      </w:r>
      <w:r w:rsidRPr="00C31183">
        <w:rPr>
          <w:lang w:eastAsia="ja-JP"/>
        </w:rPr>
        <w:t>ANC</w:t>
      </w:r>
      <w:r>
        <w:rPr>
          <w:lang w:eastAsia="ja-JP"/>
        </w:rPr>
        <w:t>)</w:t>
      </w:r>
      <w:r w:rsidRPr="00C31183">
        <w:rPr>
          <w:lang w:eastAsia="ja-JP"/>
        </w:rPr>
        <w:t xml:space="preserve"> </w:t>
      </w:r>
      <w:r>
        <w:rPr>
          <w:lang w:eastAsia="ja-JP"/>
        </w:rPr>
        <w:t>≥</w:t>
      </w:r>
      <w:r w:rsidRPr="00C31183">
        <w:rPr>
          <w:lang w:eastAsia="ja-JP"/>
        </w:rPr>
        <w:t xml:space="preserve"> 1500/</w:t>
      </w:r>
      <w:r>
        <w:rPr>
          <w:lang w:eastAsia="ja-JP"/>
        </w:rPr>
        <w:t>µ</w:t>
      </w:r>
      <w:r w:rsidRPr="00C31183">
        <w:rPr>
          <w:lang w:eastAsia="ja-JP"/>
        </w:rPr>
        <w:t xml:space="preserve">L; platelet count </w:t>
      </w:r>
      <w:r>
        <w:rPr>
          <w:lang w:eastAsia="ja-JP"/>
        </w:rPr>
        <w:t>≥</w:t>
      </w:r>
      <w:r w:rsidRPr="00C31183">
        <w:rPr>
          <w:lang w:eastAsia="ja-JP"/>
        </w:rPr>
        <w:t xml:space="preserve"> 100,000/</w:t>
      </w:r>
      <w:r>
        <w:rPr>
          <w:lang w:eastAsia="ja-JP"/>
        </w:rPr>
        <w:t>µ</w:t>
      </w:r>
      <w:r w:rsidRPr="00C31183">
        <w:rPr>
          <w:lang w:eastAsia="ja-JP"/>
        </w:rPr>
        <w:t xml:space="preserve">L; calculated creatinine clearance </w:t>
      </w:r>
      <w:r>
        <w:rPr>
          <w:lang w:eastAsia="ja-JP"/>
        </w:rPr>
        <w:t>≥</w:t>
      </w:r>
      <w:r w:rsidRPr="00C31183">
        <w:rPr>
          <w:lang w:eastAsia="ja-JP"/>
        </w:rPr>
        <w:t xml:space="preserve"> 45 mL/minute (</w:t>
      </w:r>
      <w:proofErr w:type="spellStart"/>
      <w:r w:rsidRPr="00C31183">
        <w:rPr>
          <w:lang w:eastAsia="ja-JP"/>
        </w:rPr>
        <w:t>pemetrexed</w:t>
      </w:r>
      <w:proofErr w:type="spellEnd"/>
      <w:r w:rsidRPr="00C31183">
        <w:rPr>
          <w:lang w:eastAsia="ja-JP"/>
        </w:rPr>
        <w:t xml:space="preserve"> only); total bilirubin </w:t>
      </w:r>
      <w:r>
        <w:rPr>
          <w:lang w:eastAsia="ja-JP"/>
        </w:rPr>
        <w:t>≤</w:t>
      </w:r>
      <w:r w:rsidRPr="00C31183">
        <w:rPr>
          <w:lang w:eastAsia="ja-JP"/>
        </w:rPr>
        <w:t xml:space="preserve"> 1 x </w:t>
      </w:r>
      <w:r>
        <w:rPr>
          <w:lang w:eastAsia="ja-JP"/>
        </w:rPr>
        <w:t>upper limit of normal (</w:t>
      </w:r>
      <w:r w:rsidRPr="00C31183">
        <w:rPr>
          <w:lang w:eastAsia="ja-JP"/>
        </w:rPr>
        <w:t>ULN</w:t>
      </w:r>
      <w:r>
        <w:rPr>
          <w:lang w:eastAsia="ja-JP"/>
        </w:rPr>
        <w:t>)</w:t>
      </w:r>
      <w:r w:rsidRPr="00C31183">
        <w:rPr>
          <w:lang w:eastAsia="ja-JP"/>
        </w:rPr>
        <w:t xml:space="preserve"> (</w:t>
      </w:r>
      <w:proofErr w:type="spellStart"/>
      <w:r w:rsidRPr="00C31183">
        <w:rPr>
          <w:lang w:eastAsia="ja-JP"/>
        </w:rPr>
        <w:t>docetaxel</w:t>
      </w:r>
      <w:proofErr w:type="spellEnd"/>
      <w:r w:rsidRPr="00C31183">
        <w:rPr>
          <w:lang w:eastAsia="ja-JP"/>
        </w:rPr>
        <w:t xml:space="preserve"> only); </w:t>
      </w:r>
      <w:r>
        <w:rPr>
          <w:lang w:eastAsia="ja-JP"/>
        </w:rPr>
        <w:t>alanine aminotransferase (</w:t>
      </w:r>
      <w:r w:rsidRPr="00C31183">
        <w:rPr>
          <w:lang w:eastAsia="ja-JP"/>
        </w:rPr>
        <w:t>ALT</w:t>
      </w:r>
      <w:r>
        <w:rPr>
          <w:lang w:eastAsia="ja-JP"/>
        </w:rPr>
        <w:t>)</w:t>
      </w:r>
      <w:r w:rsidRPr="00C31183">
        <w:rPr>
          <w:lang w:eastAsia="ja-JP"/>
        </w:rPr>
        <w:t xml:space="preserve"> and/or </w:t>
      </w:r>
      <w:r>
        <w:rPr>
          <w:lang w:eastAsia="ja-JP"/>
        </w:rPr>
        <w:t>aspartate aminotransferase (</w:t>
      </w:r>
      <w:r w:rsidRPr="00C31183">
        <w:rPr>
          <w:lang w:eastAsia="ja-JP"/>
        </w:rPr>
        <w:t>AST</w:t>
      </w:r>
      <w:r>
        <w:rPr>
          <w:lang w:eastAsia="ja-JP"/>
        </w:rPr>
        <w:t>)</w:t>
      </w:r>
      <w:r w:rsidRPr="00C31183">
        <w:rPr>
          <w:lang w:eastAsia="ja-JP"/>
        </w:rPr>
        <w:t xml:space="preserve"> not &gt;1.5 x ULN when alkaline phosphatase was &gt;2.5 x ULN (</w:t>
      </w:r>
      <w:proofErr w:type="spellStart"/>
      <w:r w:rsidRPr="00C31183">
        <w:rPr>
          <w:lang w:eastAsia="ja-JP"/>
        </w:rPr>
        <w:t>docetaxel</w:t>
      </w:r>
      <w:proofErr w:type="spellEnd"/>
      <w:r w:rsidRPr="00C31183">
        <w:rPr>
          <w:lang w:eastAsia="ja-JP"/>
        </w:rPr>
        <w:t xml:space="preserve"> only). If these re-treatment criteria were not met (including other pre-specified AEs for each drug) on the day that a new treatment cycle was scheduled to start, then </w:t>
      </w:r>
      <w:proofErr w:type="spellStart"/>
      <w:r w:rsidRPr="00C31183">
        <w:rPr>
          <w:lang w:eastAsia="ja-JP"/>
        </w:rPr>
        <w:t>pemetrexed</w:t>
      </w:r>
      <w:proofErr w:type="spellEnd"/>
      <w:r w:rsidRPr="00C31183">
        <w:rPr>
          <w:lang w:eastAsia="ja-JP"/>
        </w:rPr>
        <w:t xml:space="preserve"> or </w:t>
      </w:r>
      <w:proofErr w:type="spellStart"/>
      <w:r w:rsidRPr="00C31183">
        <w:rPr>
          <w:lang w:eastAsia="ja-JP"/>
        </w:rPr>
        <w:t>docetaxel</w:t>
      </w:r>
      <w:proofErr w:type="spellEnd"/>
      <w:r w:rsidRPr="00C31183">
        <w:rPr>
          <w:lang w:eastAsia="ja-JP"/>
        </w:rPr>
        <w:t xml:space="preserve"> was to be delayed for a maximum of 42 days to allow sufficient time for recovery. However, if a patient had a significant toxicity from </w:t>
      </w:r>
      <w:proofErr w:type="spellStart"/>
      <w:r w:rsidRPr="00C31183">
        <w:rPr>
          <w:lang w:eastAsia="ja-JP"/>
        </w:rPr>
        <w:t>pemetrexed</w:t>
      </w:r>
      <w:proofErr w:type="spellEnd"/>
      <w:r w:rsidRPr="00C31183">
        <w:rPr>
          <w:lang w:eastAsia="ja-JP"/>
        </w:rPr>
        <w:t xml:space="preserve"> or </w:t>
      </w:r>
      <w:proofErr w:type="spellStart"/>
      <w:r w:rsidRPr="00C31183">
        <w:rPr>
          <w:lang w:eastAsia="ja-JP"/>
        </w:rPr>
        <w:t>docetaxel</w:t>
      </w:r>
      <w:proofErr w:type="spellEnd"/>
      <w:r w:rsidRPr="00C31183">
        <w:rPr>
          <w:lang w:eastAsia="ja-JP"/>
        </w:rPr>
        <w:t xml:space="preserve"> which failed to recover within 21 days or required treatment discontinuation due to the severity of the AE (investigator opinion), then chemotherapy was stopped and the patient could remain in the study with ongoing tumour assessments until RECIST defined disease</w:t>
      </w:r>
      <w:r w:rsidR="00EA4B78">
        <w:rPr>
          <w:lang w:eastAsia="ja-JP"/>
        </w:rPr>
        <w:t xml:space="preserve"> progression (assessed by IRR).</w:t>
      </w:r>
    </w:p>
    <w:p w:rsidR="00CE4F74" w:rsidRPr="00C31183" w:rsidRDefault="00CE4F74" w:rsidP="00EA4B78">
      <w:pPr>
        <w:ind w:left="1418" w:hanging="1418"/>
        <w:rPr>
          <w:lang w:eastAsia="ja-JP"/>
        </w:rPr>
      </w:pPr>
      <w:r w:rsidRPr="00C31183">
        <w:rPr>
          <w:b/>
          <w:lang w:eastAsia="ja-JP"/>
        </w:rPr>
        <w:t>Comment:</w:t>
      </w:r>
      <w:r w:rsidRPr="00C31183">
        <w:rPr>
          <w:lang w:eastAsia="ja-JP"/>
        </w:rPr>
        <w:tab/>
        <w:t xml:space="preserve">The </w:t>
      </w:r>
      <w:proofErr w:type="spellStart"/>
      <w:r w:rsidRPr="00C31183">
        <w:rPr>
          <w:lang w:eastAsia="ja-JP"/>
        </w:rPr>
        <w:t>crizotinib</w:t>
      </w:r>
      <w:proofErr w:type="spellEnd"/>
      <w:r w:rsidRPr="00C31183">
        <w:rPr>
          <w:lang w:eastAsia="ja-JP"/>
        </w:rPr>
        <w:t xml:space="preserve"> dose of 250 mg BID was chosen because this was the maximum tolerated dose identified in </w:t>
      </w:r>
      <w:r>
        <w:rPr>
          <w:lang w:eastAsia="ja-JP"/>
        </w:rPr>
        <w:t>S</w:t>
      </w:r>
      <w:r w:rsidRPr="00C31183">
        <w:rPr>
          <w:lang w:eastAsia="ja-JP"/>
        </w:rPr>
        <w:t xml:space="preserve">tudy A8081001 (previously evaluated by the TGA). </w:t>
      </w:r>
      <w:r w:rsidRPr="00C31183">
        <w:rPr>
          <w:lang w:eastAsia="ja-JP"/>
        </w:rPr>
        <w:lastRenderedPageBreak/>
        <w:t xml:space="preserve">It was also the dose recommended by the sponsor in regulatory applications to approve </w:t>
      </w:r>
      <w:proofErr w:type="spellStart"/>
      <w:r w:rsidRPr="00C31183">
        <w:rPr>
          <w:lang w:eastAsia="ja-JP"/>
        </w:rPr>
        <w:t>crizotinib</w:t>
      </w:r>
      <w:proofErr w:type="spellEnd"/>
      <w:r w:rsidRPr="00C31183">
        <w:rPr>
          <w:lang w:eastAsia="ja-JP"/>
        </w:rPr>
        <w:t xml:space="preserve"> for the treatment of ALK-positive advanced NSCLC. </w:t>
      </w:r>
      <w:proofErr w:type="spellStart"/>
      <w:r w:rsidRPr="00C31183">
        <w:rPr>
          <w:lang w:eastAsia="ja-JP"/>
        </w:rPr>
        <w:t>Docetaxel</w:t>
      </w:r>
      <w:proofErr w:type="spellEnd"/>
      <w:r w:rsidRPr="00C31183">
        <w:rPr>
          <w:lang w:eastAsia="ja-JP"/>
        </w:rPr>
        <w:t xml:space="preserve"> and </w:t>
      </w:r>
      <w:proofErr w:type="spellStart"/>
      <w:r w:rsidRPr="00C31183">
        <w:rPr>
          <w:lang w:eastAsia="ja-JP"/>
        </w:rPr>
        <w:t>pemetrexed</w:t>
      </w:r>
      <w:proofErr w:type="spellEnd"/>
      <w:r w:rsidRPr="00C31183">
        <w:rPr>
          <w:lang w:eastAsia="ja-JP"/>
        </w:rPr>
        <w:t xml:space="preserve"> are considered to be appropriate controls as both are approved in Australia for the treatment of NSCLC at the doses used in </w:t>
      </w:r>
      <w:r>
        <w:rPr>
          <w:lang w:eastAsia="ja-JP"/>
        </w:rPr>
        <w:t>S</w:t>
      </w:r>
      <w:r w:rsidRPr="00C31183">
        <w:rPr>
          <w:lang w:eastAsia="ja-JP"/>
        </w:rPr>
        <w:t xml:space="preserve">tudy A8081007. However, there are no drugs approved specifically for the treatment of ALK-positive advanced NSCLC. </w:t>
      </w:r>
      <w:proofErr w:type="spellStart"/>
      <w:r w:rsidRPr="00C31183">
        <w:rPr>
          <w:lang w:eastAsia="ja-JP"/>
        </w:rPr>
        <w:t>Docetaxel</w:t>
      </w:r>
      <w:proofErr w:type="spellEnd"/>
      <w:r w:rsidRPr="00C31183">
        <w:rPr>
          <w:lang w:eastAsia="ja-JP"/>
        </w:rPr>
        <w:t xml:space="preserve"> is approved for the treatment of patients with locally advanced or metastatic NSCLC, including those who have failed platinum based chemotherapy, at a dose of 75 to 100 mg/m</w:t>
      </w:r>
      <w:r w:rsidRPr="00C31183">
        <w:rPr>
          <w:vertAlign w:val="superscript"/>
          <w:lang w:eastAsia="ja-JP"/>
        </w:rPr>
        <w:t>2</w:t>
      </w:r>
      <w:r w:rsidRPr="00C31183">
        <w:rPr>
          <w:lang w:eastAsia="ja-JP"/>
        </w:rPr>
        <w:t xml:space="preserve"> administered by </w:t>
      </w:r>
      <w:r>
        <w:rPr>
          <w:lang w:eastAsia="ja-JP"/>
        </w:rPr>
        <w:t>intravenous (</w:t>
      </w:r>
      <w:r w:rsidRPr="00C31183">
        <w:rPr>
          <w:lang w:eastAsia="ja-JP"/>
        </w:rPr>
        <w:t>IV</w:t>
      </w:r>
      <w:r>
        <w:rPr>
          <w:lang w:eastAsia="ja-JP"/>
        </w:rPr>
        <w:t>)</w:t>
      </w:r>
      <w:r w:rsidRPr="00C31183">
        <w:rPr>
          <w:lang w:eastAsia="ja-JP"/>
        </w:rPr>
        <w:t xml:space="preserve"> infusion every three weeks. </w:t>
      </w:r>
      <w:proofErr w:type="spellStart"/>
      <w:r w:rsidRPr="00C31183">
        <w:rPr>
          <w:lang w:eastAsia="ja-JP"/>
        </w:rPr>
        <w:t>Pemetrexed</w:t>
      </w:r>
      <w:proofErr w:type="spellEnd"/>
      <w:r w:rsidRPr="00C31183">
        <w:rPr>
          <w:lang w:eastAsia="ja-JP"/>
        </w:rPr>
        <w:t xml:space="preserve"> is approved in combination with </w:t>
      </w:r>
      <w:proofErr w:type="spellStart"/>
      <w:r w:rsidRPr="00C31183">
        <w:rPr>
          <w:lang w:eastAsia="ja-JP"/>
        </w:rPr>
        <w:t>cisplatin</w:t>
      </w:r>
      <w:proofErr w:type="spellEnd"/>
      <w:r w:rsidRPr="00C31183">
        <w:rPr>
          <w:lang w:eastAsia="ja-JP"/>
        </w:rPr>
        <w:t xml:space="preserve"> for the initial treatment of patients with locally advanced or metastatic NSCLC other than predominantly squamous cell histology. It is also approved as </w:t>
      </w:r>
      <w:proofErr w:type="spellStart"/>
      <w:r w:rsidRPr="00C31183">
        <w:rPr>
          <w:lang w:eastAsia="ja-JP"/>
        </w:rPr>
        <w:t>monotherapy</w:t>
      </w:r>
      <w:proofErr w:type="spellEnd"/>
      <w:r w:rsidRPr="00C31183">
        <w:rPr>
          <w:lang w:eastAsia="ja-JP"/>
        </w:rPr>
        <w:t xml:space="preserve"> for locally advanced or metastatic NSCLC other than predominantly squamous cell histology after prior platinum based chemotherapy. The recommended dose of </w:t>
      </w:r>
      <w:proofErr w:type="spellStart"/>
      <w:r w:rsidRPr="00C31183">
        <w:rPr>
          <w:lang w:eastAsia="ja-JP"/>
        </w:rPr>
        <w:t>pemetrexed</w:t>
      </w:r>
      <w:proofErr w:type="spellEnd"/>
      <w:r w:rsidRPr="00C31183">
        <w:rPr>
          <w:lang w:eastAsia="ja-JP"/>
        </w:rPr>
        <w:t xml:space="preserve"> as a single use agent is 500 mg/m</w:t>
      </w:r>
      <w:r w:rsidRPr="00C31183">
        <w:rPr>
          <w:vertAlign w:val="superscript"/>
          <w:lang w:eastAsia="ja-JP"/>
        </w:rPr>
        <w:t>2</w:t>
      </w:r>
      <w:r w:rsidRPr="00C31183">
        <w:rPr>
          <w:lang w:eastAsia="ja-JP"/>
        </w:rPr>
        <w:t xml:space="preserve"> administered by IV infusion</w:t>
      </w:r>
      <w:r w:rsidR="00EA4B78">
        <w:rPr>
          <w:lang w:eastAsia="ja-JP"/>
        </w:rPr>
        <w:t xml:space="preserve"> over 10 minutes every 21-days.</w:t>
      </w:r>
    </w:p>
    <w:p w:rsidR="00CE4F74" w:rsidRPr="00C31183" w:rsidRDefault="00CE4F74" w:rsidP="00EA4B78">
      <w:pPr>
        <w:pStyle w:val="Heading5"/>
        <w:rPr>
          <w:lang w:eastAsia="ja-JP"/>
        </w:rPr>
      </w:pPr>
      <w:bookmarkStart w:id="25" w:name="_Toc228773328"/>
      <w:r w:rsidRPr="00C31183">
        <w:rPr>
          <w:lang w:eastAsia="ja-JP"/>
        </w:rPr>
        <w:t>Prior and concomitant medications and procedures</w:t>
      </w:r>
      <w:bookmarkEnd w:id="25"/>
    </w:p>
    <w:p w:rsidR="00CE4F74" w:rsidRPr="00C31183" w:rsidRDefault="00CE4F74" w:rsidP="00434EB3">
      <w:pPr>
        <w:rPr>
          <w:lang w:eastAsia="ja-JP"/>
        </w:rPr>
      </w:pPr>
      <w:r w:rsidRPr="00C31183">
        <w:rPr>
          <w:lang w:eastAsia="ja-JP"/>
        </w:rPr>
        <w:t xml:space="preserve">Anti-cancer treatment with agents other than </w:t>
      </w:r>
      <w:proofErr w:type="spellStart"/>
      <w:r w:rsidRPr="00C31183">
        <w:rPr>
          <w:lang w:eastAsia="ja-JP"/>
        </w:rPr>
        <w:t>crizotinib</w:t>
      </w:r>
      <w:proofErr w:type="spellEnd"/>
      <w:r w:rsidRPr="00C31183">
        <w:rPr>
          <w:lang w:eastAsia="ja-JP"/>
        </w:rPr>
        <w:t xml:space="preserve">, </w:t>
      </w:r>
      <w:proofErr w:type="spellStart"/>
      <w:r w:rsidRPr="00C31183">
        <w:rPr>
          <w:lang w:eastAsia="ja-JP"/>
        </w:rPr>
        <w:t>pemetrexed</w:t>
      </w:r>
      <w:proofErr w:type="spellEnd"/>
      <w:r w:rsidRPr="00C31183">
        <w:rPr>
          <w:lang w:eastAsia="ja-JP"/>
        </w:rPr>
        <w:t xml:space="preserve">, or </w:t>
      </w:r>
      <w:proofErr w:type="spellStart"/>
      <w:r w:rsidRPr="00C31183">
        <w:rPr>
          <w:lang w:eastAsia="ja-JP"/>
        </w:rPr>
        <w:t>docetaxel</w:t>
      </w:r>
      <w:proofErr w:type="spellEnd"/>
      <w:r w:rsidRPr="00C31183">
        <w:rPr>
          <w:lang w:eastAsia="ja-JP"/>
        </w:rPr>
        <w:t xml:space="preserve"> was not allowed but medications intended solely for supportive care were permitted if considered clinically indicated by the investigator (</w:t>
      </w:r>
      <w:r>
        <w:rPr>
          <w:lang w:eastAsia="ja-JP"/>
        </w:rPr>
        <w:t>for example,</w:t>
      </w:r>
      <w:r w:rsidRPr="00C31183">
        <w:rPr>
          <w:lang w:eastAsia="ja-JP"/>
        </w:rPr>
        <w:t xml:space="preserve"> haematopoietic growth factors, colony-stimulating factors, packed red blood cell transfusion, platelet transfusion, hormone replacement therapy, and bisphosphonate therapy). Concurrent use of strong CYP3A4 inhibito</w:t>
      </w:r>
      <w:r w:rsidR="00434EB3">
        <w:rPr>
          <w:lang w:eastAsia="ja-JP"/>
        </w:rPr>
        <w:t>rs or inducers was not allowed.</w:t>
      </w:r>
    </w:p>
    <w:p w:rsidR="00CE4F74" w:rsidRPr="00C31183" w:rsidRDefault="00CE4F74" w:rsidP="00434EB3">
      <w:pPr>
        <w:rPr>
          <w:lang w:eastAsia="ja-JP"/>
        </w:rPr>
      </w:pPr>
      <w:r w:rsidRPr="00C31183">
        <w:rPr>
          <w:lang w:eastAsia="ja-JP"/>
        </w:rPr>
        <w:t xml:space="preserve">In patients </w:t>
      </w:r>
      <w:r>
        <w:rPr>
          <w:lang w:eastAsia="ja-JP"/>
        </w:rPr>
        <w:t>randomised</w:t>
      </w:r>
      <w:r w:rsidRPr="00C31183">
        <w:rPr>
          <w:lang w:eastAsia="ja-JP"/>
        </w:rPr>
        <w:t xml:space="preserve"> to </w:t>
      </w:r>
      <w:proofErr w:type="spellStart"/>
      <w:r w:rsidRPr="00C31183">
        <w:rPr>
          <w:lang w:eastAsia="ja-JP"/>
        </w:rPr>
        <w:t>crizotinib</w:t>
      </w:r>
      <w:proofErr w:type="spellEnd"/>
      <w:r w:rsidRPr="00C31183">
        <w:rPr>
          <w:lang w:eastAsia="ja-JP"/>
        </w:rPr>
        <w:t xml:space="preserve">, co-administration with CYP3A4 substrates was to be avoided or used with caution. In patients </w:t>
      </w:r>
      <w:r>
        <w:rPr>
          <w:lang w:eastAsia="ja-JP"/>
        </w:rPr>
        <w:t>randomised</w:t>
      </w:r>
      <w:r w:rsidRPr="00C31183">
        <w:rPr>
          <w:lang w:eastAsia="ja-JP"/>
        </w:rPr>
        <w:t xml:space="preserve"> to </w:t>
      </w:r>
      <w:proofErr w:type="spellStart"/>
      <w:r w:rsidRPr="00C31183">
        <w:rPr>
          <w:lang w:eastAsia="ja-JP"/>
        </w:rPr>
        <w:t>pemetrexed</w:t>
      </w:r>
      <w:proofErr w:type="spellEnd"/>
      <w:r w:rsidRPr="00C31183">
        <w:rPr>
          <w:lang w:eastAsia="ja-JP"/>
        </w:rPr>
        <w:t xml:space="preserve">, non-steroidal anti-inflammatory drugs (NSAIDs) with long half-lives were to be discontinued at least 5 days before administration, the day of administration, and 2 days after administration. Patients who took NSAIDs concomitantly with </w:t>
      </w:r>
      <w:proofErr w:type="spellStart"/>
      <w:r w:rsidRPr="00C31183">
        <w:rPr>
          <w:lang w:eastAsia="ja-JP"/>
        </w:rPr>
        <w:t>pemetrexed</w:t>
      </w:r>
      <w:proofErr w:type="spellEnd"/>
      <w:r w:rsidRPr="00C31183">
        <w:rPr>
          <w:lang w:eastAsia="ja-JP"/>
        </w:rPr>
        <w:t xml:space="preserve"> were to be closely monitored for toxicity, especially </w:t>
      </w:r>
      <w:proofErr w:type="spellStart"/>
      <w:r w:rsidRPr="00C31183">
        <w:rPr>
          <w:lang w:eastAsia="ja-JP"/>
        </w:rPr>
        <w:t>myelosuppression</w:t>
      </w:r>
      <w:proofErr w:type="spellEnd"/>
      <w:r w:rsidRPr="00C31183">
        <w:rPr>
          <w:lang w:eastAsia="ja-JP"/>
        </w:rPr>
        <w:t>, renal toxicity</w:t>
      </w:r>
      <w:r w:rsidR="00434EB3">
        <w:rPr>
          <w:lang w:eastAsia="ja-JP"/>
        </w:rPr>
        <w:t xml:space="preserve"> and gastrointestinal toxicity.</w:t>
      </w:r>
    </w:p>
    <w:p w:rsidR="00CE4F74" w:rsidRPr="00C31183" w:rsidRDefault="00CE4F74" w:rsidP="00434EB3">
      <w:pPr>
        <w:rPr>
          <w:lang w:eastAsia="ja-JP"/>
        </w:rPr>
      </w:pPr>
      <w:r w:rsidRPr="00C31183">
        <w:rPr>
          <w:lang w:eastAsia="ja-JP"/>
        </w:rPr>
        <w:t xml:space="preserve">Palliative radiotherapy to specific disease sites was permitted if considered medically necessary by the treating physician. </w:t>
      </w:r>
      <w:proofErr w:type="spellStart"/>
      <w:r w:rsidRPr="00C31183">
        <w:rPr>
          <w:lang w:eastAsia="ja-JP"/>
        </w:rPr>
        <w:t>Crizotinib</w:t>
      </w:r>
      <w:proofErr w:type="spellEnd"/>
      <w:r w:rsidRPr="00C31183">
        <w:rPr>
          <w:lang w:eastAsia="ja-JP"/>
        </w:rPr>
        <w:t xml:space="preserve"> treatment was to be interrupted during palliative radiotherapy stopping 1 day before and resuming treatment 1 day after, and palliative radiotherapy was to be performed at least 1 day before or 1 day after </w:t>
      </w:r>
      <w:proofErr w:type="spellStart"/>
      <w:r w:rsidRPr="00C31183">
        <w:rPr>
          <w:lang w:eastAsia="ja-JP"/>
        </w:rPr>
        <w:t>pemetrexed</w:t>
      </w:r>
      <w:proofErr w:type="spellEnd"/>
      <w:r w:rsidRPr="00C31183">
        <w:rPr>
          <w:lang w:eastAsia="ja-JP"/>
        </w:rPr>
        <w:t xml:space="preserve"> or </w:t>
      </w:r>
      <w:proofErr w:type="spellStart"/>
      <w:r w:rsidRPr="00C31183">
        <w:rPr>
          <w:lang w:eastAsia="ja-JP"/>
        </w:rPr>
        <w:t>docetaxel</w:t>
      </w:r>
      <w:proofErr w:type="spellEnd"/>
      <w:r w:rsidRPr="00C31183">
        <w:rPr>
          <w:lang w:eastAsia="ja-JP"/>
        </w:rPr>
        <w:t xml:space="preserve"> dosing. In the event elective surgery was necessary during study participation, dosing was to be stopped 48 hours before surgery and resumed no sooner than 48 hours after surgery for all t</w:t>
      </w:r>
      <w:r w:rsidR="00434EB3">
        <w:rPr>
          <w:lang w:eastAsia="ja-JP"/>
        </w:rPr>
        <w:t>hree treatments.</w:t>
      </w:r>
    </w:p>
    <w:p w:rsidR="00CE4F74" w:rsidRPr="00C31183" w:rsidRDefault="00CE4F74" w:rsidP="00434EB3">
      <w:pPr>
        <w:pStyle w:val="Heading4"/>
      </w:pPr>
      <w:bookmarkStart w:id="26" w:name="_Toc228773329"/>
      <w:r w:rsidRPr="00434EB3">
        <w:t>Efficacy</w:t>
      </w:r>
      <w:r w:rsidRPr="00C31183">
        <w:t xml:space="preserve"> endpoints</w:t>
      </w:r>
      <w:bookmarkEnd w:id="26"/>
    </w:p>
    <w:p w:rsidR="00CE4F74" w:rsidRPr="00C31183" w:rsidRDefault="00CE4F74" w:rsidP="00434EB3">
      <w:pPr>
        <w:pStyle w:val="Heading5"/>
        <w:rPr>
          <w:lang w:eastAsia="ja-JP"/>
        </w:rPr>
      </w:pPr>
      <w:bookmarkStart w:id="27" w:name="_Toc228773330"/>
      <w:r w:rsidRPr="00C31183">
        <w:rPr>
          <w:lang w:eastAsia="ja-JP"/>
        </w:rPr>
        <w:t>Primary efficacy endpoint - Progression free survival (PFS)</w:t>
      </w:r>
      <w:bookmarkEnd w:id="27"/>
    </w:p>
    <w:p w:rsidR="00CE4F74" w:rsidRPr="00C31183" w:rsidRDefault="00CE4F74" w:rsidP="00434EB3">
      <w:pPr>
        <w:rPr>
          <w:lang w:eastAsia="ja-JP"/>
        </w:rPr>
      </w:pPr>
      <w:r w:rsidRPr="00C31183">
        <w:rPr>
          <w:lang w:eastAsia="ja-JP"/>
        </w:rPr>
        <w:t xml:space="preserve">The primary efficacy endpoint was progression free survival (PFS) based on RECIST v1.1 (assessed by independent radiological review </w:t>
      </w:r>
      <w:r>
        <w:rPr>
          <w:lang w:eastAsia="ja-JP"/>
        </w:rPr>
        <w:t>(</w:t>
      </w:r>
      <w:r w:rsidRPr="00C31183">
        <w:rPr>
          <w:lang w:eastAsia="ja-JP"/>
        </w:rPr>
        <w:t>IRR</w:t>
      </w:r>
      <w:r>
        <w:rPr>
          <w:lang w:eastAsia="ja-JP"/>
        </w:rPr>
        <w:t>)</w:t>
      </w:r>
      <w:r w:rsidRPr="00C31183">
        <w:rPr>
          <w:lang w:eastAsia="ja-JP"/>
        </w:rPr>
        <w:t xml:space="preserve">). PFS was defined as the time from the date of </w:t>
      </w:r>
      <w:r>
        <w:rPr>
          <w:lang w:eastAsia="ja-JP"/>
        </w:rPr>
        <w:t>randomisation</w:t>
      </w:r>
      <w:r w:rsidRPr="00C31183">
        <w:rPr>
          <w:lang w:eastAsia="ja-JP"/>
        </w:rPr>
        <w:t xml:space="preserve"> to the date of the first documentation of objective tumour progression or death on study due to any c</w:t>
      </w:r>
      <w:r w:rsidR="00434EB3">
        <w:rPr>
          <w:lang w:eastAsia="ja-JP"/>
        </w:rPr>
        <w:t>ause, whichever occurred first.</w:t>
      </w:r>
    </w:p>
    <w:p w:rsidR="00CE4F74" w:rsidRPr="00C31183" w:rsidRDefault="00CE4F74" w:rsidP="00434EB3">
      <w:pPr>
        <w:rPr>
          <w:lang w:eastAsia="ja-JP"/>
        </w:rPr>
      </w:pPr>
      <w:r w:rsidRPr="00C31183">
        <w:rPr>
          <w:lang w:eastAsia="ja-JP"/>
        </w:rPr>
        <w:t xml:space="preserve">The </w:t>
      </w:r>
      <w:r>
        <w:rPr>
          <w:lang w:eastAsia="ja-JP"/>
        </w:rPr>
        <w:t>randomisation</w:t>
      </w:r>
      <w:r w:rsidRPr="00C31183">
        <w:rPr>
          <w:lang w:eastAsia="ja-JP"/>
        </w:rPr>
        <w:t xml:space="preserve"> date was used as the baseline to calculate the date of tumour assessment. On-study tumour assessments were to be performed every 6 weeks from the date of </w:t>
      </w:r>
      <w:r>
        <w:rPr>
          <w:lang w:eastAsia="ja-JP"/>
        </w:rPr>
        <w:t>randomisation</w:t>
      </w:r>
      <w:r w:rsidRPr="00C31183">
        <w:rPr>
          <w:lang w:eastAsia="ja-JP"/>
        </w:rPr>
        <w:t xml:space="preserve"> (with the exception of bone scans) until radiographic progressive disease (PD) was documented by computed tomography (CT) or magnetic resonance imaging (MRI). CT or MRI scans were also to be performed whenever disease progression was suspected and the same imaging modality was used throughout the study to measure disease. Tumour evaluation by positron emission tomography (PET) scan or by ultrasound could not substitute for CT or MRI scans. CT or MRI scans included chest, brain, abdomen and pelvis at screening. The brain was to be included in subsequent tumour assessments if a patient had brain metastases at </w:t>
      </w:r>
      <w:r w:rsidRPr="00C31183">
        <w:rPr>
          <w:lang w:eastAsia="ja-JP"/>
        </w:rPr>
        <w:lastRenderedPageBreak/>
        <w:t>screening, otherwise the brain was only evaluated when clinically indicated. A bone scan was required at screening and repeat bone scans were to be repeated every 12 weeks only if bone metastases were present at baseline, otherwise a repeat bone scan was required only if new bone metastases were suspected. A bone scan was also required at the time of determination of response for pa</w:t>
      </w:r>
      <w:r w:rsidR="00434EB3">
        <w:rPr>
          <w:lang w:eastAsia="ja-JP"/>
        </w:rPr>
        <w:t>tients who had bone metastases.</w:t>
      </w:r>
    </w:p>
    <w:p w:rsidR="00CE4F74" w:rsidRPr="00C31183" w:rsidRDefault="00CE4F74" w:rsidP="00434EB3">
      <w:pPr>
        <w:rPr>
          <w:lang w:eastAsia="ja-JP"/>
        </w:rPr>
      </w:pPr>
      <w:r w:rsidRPr="00C31183">
        <w:rPr>
          <w:lang w:eastAsia="ja-JP"/>
        </w:rPr>
        <w:t xml:space="preserve">All scans were sent for a blinded RECIST independent radiological review (IRR) at a central laboratory located in the USA. Tumour assessments continued every 6 weeks until RECIST-defined disease progression was confirmed by the IRR. Measurable lesions that had been previously irradiated were not to be considered target lesions unless an increase in size had been observed following completion of radiation therapy. If study drug was discontinued in the absence of confirmed RECIST-defined disease progression, patients were to remain on study until confirmation of PD was received by the IRR. When new effusions or ascites were present and represented the only potential site of disease progression, </w:t>
      </w:r>
      <w:proofErr w:type="spellStart"/>
      <w:r w:rsidRPr="00C31183">
        <w:rPr>
          <w:lang w:eastAsia="ja-JP"/>
        </w:rPr>
        <w:t>cytologic</w:t>
      </w:r>
      <w:proofErr w:type="spellEnd"/>
      <w:r w:rsidRPr="00C31183">
        <w:rPr>
          <w:lang w:eastAsia="ja-JP"/>
        </w:rPr>
        <w:t xml:space="preserve"> analysis was to be performed and the results, malignant or non-malignant, w</w:t>
      </w:r>
      <w:r w:rsidR="00434EB3">
        <w:rPr>
          <w:lang w:eastAsia="ja-JP"/>
        </w:rPr>
        <w:t xml:space="preserve">ere to be recorded on the </w:t>
      </w:r>
      <w:proofErr w:type="spellStart"/>
      <w:r w:rsidR="00434EB3">
        <w:rPr>
          <w:lang w:eastAsia="ja-JP"/>
        </w:rPr>
        <w:t>eCRF</w:t>
      </w:r>
      <w:proofErr w:type="spellEnd"/>
      <w:r w:rsidR="00434EB3">
        <w:rPr>
          <w:lang w:eastAsia="ja-JP"/>
        </w:rPr>
        <w:t>.</w:t>
      </w:r>
    </w:p>
    <w:p w:rsidR="00CE4F74" w:rsidRPr="00C31183" w:rsidRDefault="00CE4F74" w:rsidP="00434EB3">
      <w:pPr>
        <w:ind w:left="1418" w:hanging="1418"/>
        <w:rPr>
          <w:lang w:eastAsia="ja-JP"/>
        </w:rPr>
      </w:pPr>
      <w:r w:rsidRPr="00C31183">
        <w:rPr>
          <w:b/>
          <w:lang w:eastAsia="ja-JP"/>
        </w:rPr>
        <w:t>Comment:</w:t>
      </w:r>
      <w:r w:rsidRPr="00C31183">
        <w:rPr>
          <w:b/>
          <w:lang w:eastAsia="ja-JP"/>
        </w:rPr>
        <w:tab/>
      </w:r>
      <w:r w:rsidRPr="00C31183">
        <w:rPr>
          <w:lang w:eastAsia="ja-JP"/>
        </w:rPr>
        <w:t>PFS is an acceptable primary endpoint (TGA adopted EMEA guideline on the clinical evaluation of anti-cancer medicines, CPMP/EWP/205/95/Rev.3/</w:t>
      </w:r>
      <w:proofErr w:type="spellStart"/>
      <w:r w:rsidRPr="00C31183">
        <w:rPr>
          <w:lang w:eastAsia="ja-JP"/>
        </w:rPr>
        <w:t>Corr</w:t>
      </w:r>
      <w:proofErr w:type="spellEnd"/>
      <w:r>
        <w:rPr>
          <w:rStyle w:val="FootnoteReference"/>
          <w:lang w:eastAsia="ja-JP"/>
        </w:rPr>
        <w:footnoteReference w:id="2"/>
      </w:r>
      <w:r w:rsidRPr="00C31183">
        <w:rPr>
          <w:lang w:eastAsia="ja-JP"/>
        </w:rPr>
        <w:t>). Furthermore, PFS based on blinded independent radiological review of RECIST defined disease progression is consistent with the relevant EMEA/TGA guideline and mitigates the risk of bias relating to the ass</w:t>
      </w:r>
      <w:r w:rsidR="00434EB3">
        <w:rPr>
          <w:lang w:eastAsia="ja-JP"/>
        </w:rPr>
        <w:t>essment of disease progression.</w:t>
      </w:r>
    </w:p>
    <w:p w:rsidR="00CE4F74" w:rsidRPr="00C31183" w:rsidRDefault="00CE4F74" w:rsidP="00434EB3">
      <w:pPr>
        <w:pStyle w:val="Heading5"/>
      </w:pPr>
      <w:bookmarkStart w:id="28" w:name="_Toc228773331"/>
      <w:r w:rsidRPr="00C31183">
        <w:t>Secondary and other efficacy variables</w:t>
      </w:r>
      <w:bookmarkEnd w:id="28"/>
    </w:p>
    <w:p w:rsidR="00CE4F74" w:rsidRPr="00C31183" w:rsidRDefault="00CE4F74" w:rsidP="00434EB3">
      <w:pPr>
        <w:rPr>
          <w:lang w:eastAsia="ja-JP"/>
        </w:rPr>
      </w:pPr>
      <w:r w:rsidRPr="00C31183">
        <w:rPr>
          <w:b/>
          <w:lang w:eastAsia="ja-JP"/>
        </w:rPr>
        <w:t>Secondary efficacy endpoints</w:t>
      </w:r>
      <w:r w:rsidRPr="00C31183">
        <w:rPr>
          <w:lang w:eastAsia="ja-JP"/>
        </w:rPr>
        <w:t xml:space="preserve"> were overall survival (OS) and 6-month and 1-year OS, objective response rate (ORR), disease control rate (DCR) at 6 and 12 weeks, disease response (DR), and time-to-tumour response (TTR).</w:t>
      </w:r>
    </w:p>
    <w:p w:rsidR="00CE4F74" w:rsidRPr="00C31183" w:rsidRDefault="00CE4F74" w:rsidP="00434EB3">
      <w:pPr>
        <w:pStyle w:val="ListBullet"/>
        <w:rPr>
          <w:lang w:eastAsia="ja-JP"/>
        </w:rPr>
      </w:pPr>
      <w:r>
        <w:rPr>
          <w:lang w:eastAsia="ja-JP"/>
        </w:rPr>
        <w:t>O</w:t>
      </w:r>
      <w:r w:rsidRPr="00C31183">
        <w:rPr>
          <w:lang w:eastAsia="ja-JP"/>
        </w:rPr>
        <w:t xml:space="preserve">S was defined as the time </w:t>
      </w:r>
      <w:r w:rsidRPr="00434EB3">
        <w:t>from</w:t>
      </w:r>
      <w:r w:rsidRPr="00C31183">
        <w:rPr>
          <w:lang w:eastAsia="ja-JP"/>
        </w:rPr>
        <w:t xml:space="preserve"> </w:t>
      </w:r>
      <w:r>
        <w:rPr>
          <w:lang w:eastAsia="ja-JP"/>
        </w:rPr>
        <w:t>randomisation</w:t>
      </w:r>
      <w:r w:rsidRPr="00C31183">
        <w:rPr>
          <w:lang w:eastAsia="ja-JP"/>
        </w:rPr>
        <w:t xml:space="preserve"> to th</w:t>
      </w:r>
      <w:r w:rsidR="00434EB3">
        <w:rPr>
          <w:lang w:eastAsia="ja-JP"/>
        </w:rPr>
        <w:t>e data of death from any cause.</w:t>
      </w:r>
    </w:p>
    <w:p w:rsidR="00CE4F74" w:rsidRPr="00143CC0" w:rsidRDefault="00CE4F74" w:rsidP="00434EB3">
      <w:pPr>
        <w:pStyle w:val="ListBullet"/>
        <w:rPr>
          <w:lang w:eastAsia="ja-JP"/>
        </w:rPr>
      </w:pPr>
      <w:r w:rsidRPr="00C31183">
        <w:rPr>
          <w:lang w:eastAsia="ja-JP"/>
        </w:rPr>
        <w:t>ORR was defined as the percent of patients with a complete response (CR) or a partial response (PR) according to RECIST v1.1 criter</w:t>
      </w:r>
      <w:r w:rsidR="00434EB3">
        <w:rPr>
          <w:lang w:eastAsia="ja-JP"/>
        </w:rPr>
        <w:t>ia as assessed by IRR.</w:t>
      </w:r>
    </w:p>
    <w:p w:rsidR="00CE4F74" w:rsidRPr="00C31183" w:rsidRDefault="00CE4F74" w:rsidP="00434EB3">
      <w:pPr>
        <w:pStyle w:val="ListBullet"/>
        <w:rPr>
          <w:lang w:eastAsia="ja-JP"/>
        </w:rPr>
      </w:pPr>
      <w:r w:rsidRPr="00C31183">
        <w:rPr>
          <w:lang w:eastAsia="ja-JP"/>
        </w:rPr>
        <w:t xml:space="preserve">DR was defined as the date from the first documentation of objective tumour response (CR or DR), as assessed by IRR, to the first documentation of tumour progression assessed by the IRR, </w:t>
      </w:r>
      <w:r>
        <w:rPr>
          <w:lang w:eastAsia="ja-JP"/>
        </w:rPr>
        <w:t xml:space="preserve">or </w:t>
      </w:r>
      <w:r w:rsidRPr="00C31183">
        <w:rPr>
          <w:lang w:eastAsia="ja-JP"/>
        </w:rPr>
        <w:t>to death due to any objective c</w:t>
      </w:r>
      <w:r w:rsidR="00434EB3">
        <w:rPr>
          <w:lang w:eastAsia="ja-JP"/>
        </w:rPr>
        <w:t>ause which ever occurred first.</w:t>
      </w:r>
    </w:p>
    <w:p w:rsidR="00CE4F74" w:rsidRPr="00C31183" w:rsidRDefault="00CE4F74" w:rsidP="00434EB3">
      <w:pPr>
        <w:pStyle w:val="ListBullet"/>
        <w:rPr>
          <w:lang w:eastAsia="ja-JP"/>
        </w:rPr>
      </w:pPr>
      <w:r w:rsidRPr="00C31183">
        <w:rPr>
          <w:lang w:eastAsia="ja-JP"/>
        </w:rPr>
        <w:t xml:space="preserve">TTR was defined as the time from </w:t>
      </w:r>
      <w:r>
        <w:rPr>
          <w:lang w:eastAsia="ja-JP"/>
        </w:rPr>
        <w:t>randomisation</w:t>
      </w:r>
      <w:r w:rsidRPr="00C31183">
        <w:rPr>
          <w:lang w:eastAsia="ja-JP"/>
        </w:rPr>
        <w:t xml:space="preserve"> to first documentation of objective tumour response (CR</w:t>
      </w:r>
      <w:r w:rsidR="00434EB3">
        <w:rPr>
          <w:lang w:eastAsia="ja-JP"/>
        </w:rPr>
        <w:t xml:space="preserve"> or PR) as assessed by the IRR.</w:t>
      </w:r>
    </w:p>
    <w:p w:rsidR="00CE4F74" w:rsidRPr="00C31183" w:rsidRDefault="00CE4F74" w:rsidP="00434EB3">
      <w:pPr>
        <w:pStyle w:val="ListBullet"/>
        <w:rPr>
          <w:lang w:eastAsia="ja-JP"/>
        </w:rPr>
      </w:pPr>
      <w:r w:rsidRPr="00C31183">
        <w:rPr>
          <w:lang w:eastAsia="ja-JP"/>
        </w:rPr>
        <w:t xml:space="preserve">DCR at 6 and 12 weeks was defined as the </w:t>
      </w:r>
      <w:r w:rsidRPr="00434EB3">
        <w:t>percent</w:t>
      </w:r>
      <w:r w:rsidRPr="00C31183">
        <w:rPr>
          <w:lang w:eastAsia="ja-JP"/>
        </w:rPr>
        <w:t xml:space="preserve"> of patients with CR, PR, or stable disease (SD) at 6 and 12 weeks according to RECIST v1.1 as assessed by IRR. The best response of SD could be assigned if SD criteria were met at least once after </w:t>
      </w:r>
      <w:r>
        <w:rPr>
          <w:lang w:eastAsia="ja-JP"/>
        </w:rPr>
        <w:t>randomisation</w:t>
      </w:r>
      <w:r w:rsidRPr="00C31183">
        <w:rPr>
          <w:lang w:eastAsia="ja-JP"/>
        </w:rPr>
        <w:t xml:space="preserve"> at</w:t>
      </w:r>
      <w:r w:rsidR="00434EB3">
        <w:rPr>
          <w:lang w:eastAsia="ja-JP"/>
        </w:rPr>
        <w:t xml:space="preserve"> a minimum interval of 6 weeks.</w:t>
      </w:r>
    </w:p>
    <w:p w:rsidR="00CE4F74" w:rsidRPr="00C31183" w:rsidRDefault="00CE4F74" w:rsidP="00434EB3">
      <w:pPr>
        <w:ind w:left="1418" w:hanging="1418"/>
        <w:rPr>
          <w:lang w:eastAsia="ja-JP"/>
        </w:rPr>
      </w:pPr>
      <w:r w:rsidRPr="00C31183">
        <w:rPr>
          <w:b/>
          <w:lang w:eastAsia="ja-JP"/>
        </w:rPr>
        <w:t>Comment:</w:t>
      </w:r>
      <w:r w:rsidRPr="00C31183">
        <w:rPr>
          <w:lang w:eastAsia="ja-JP"/>
        </w:rPr>
        <w:tab/>
        <w:t>All the secondary efficacy endpoints are considered to be acceptable. The selection of OS as a secondary endpoint is consistent with the relevant TGA adopted EMEA guideline relating to the clinical evaluation of anti-cancer medicines. This guideline states that OS should be reported as a secondary endpoint when PFS is re</w:t>
      </w:r>
      <w:r w:rsidR="00434EB3">
        <w:rPr>
          <w:lang w:eastAsia="ja-JP"/>
        </w:rPr>
        <w:t>ported as the primary endpoint.</w:t>
      </w:r>
    </w:p>
    <w:p w:rsidR="00CE4F74" w:rsidRPr="00C31183" w:rsidRDefault="00CE4F74" w:rsidP="000B78FC">
      <w:pPr>
        <w:rPr>
          <w:lang w:eastAsia="ja-JP"/>
        </w:rPr>
      </w:pPr>
      <w:r w:rsidRPr="00C31183">
        <w:rPr>
          <w:b/>
          <w:lang w:eastAsia="ja-JP"/>
        </w:rPr>
        <w:t>Other efficacy endpoints</w:t>
      </w:r>
      <w:r w:rsidRPr="00C31183">
        <w:rPr>
          <w:lang w:eastAsia="ja-JP"/>
        </w:rPr>
        <w:t xml:space="preserve"> included patient reported outcomes (PROs) using a validated lung cancer specific questionnaire, the European Organization for the Research and Treatment of Cancer Quality of Life Questionnaire-Core 30 (EORTC QLQ-C30) and its corresponding module for Lung Cancer (QLQ-LC13) and the EuroQol-5D (EQ-5D) questionnaire. In addition, visual symptoms were assessed using the Visual Symptom Assessment Questionnaire-ALK (VSAQ-</w:t>
      </w:r>
      <w:r w:rsidRPr="00C31183">
        <w:rPr>
          <w:lang w:eastAsia="ja-JP"/>
        </w:rPr>
        <w:lastRenderedPageBreak/>
        <w:t xml:space="preserve">ALK). The self-administered questionnaires were to be completed at baseline, Day 1 of every cycle and at the </w:t>
      </w:r>
      <w:r w:rsidR="000B78FC">
        <w:rPr>
          <w:lang w:eastAsia="ja-JP"/>
        </w:rPr>
        <w:t>End of Treatment or withdrawal.</w:t>
      </w:r>
    </w:p>
    <w:p w:rsidR="00CE4F74" w:rsidRPr="00C31183" w:rsidRDefault="00CE4F74" w:rsidP="000B78FC">
      <w:pPr>
        <w:pStyle w:val="Heading4"/>
      </w:pPr>
      <w:bookmarkStart w:id="29" w:name="_Toc228773332"/>
      <w:r>
        <w:t>Randomis</w:t>
      </w:r>
      <w:r w:rsidRPr="00C31183">
        <w:t xml:space="preserve">ation and blinding </w:t>
      </w:r>
      <w:r w:rsidRPr="000B78FC">
        <w:t>methods</w:t>
      </w:r>
      <w:bookmarkEnd w:id="29"/>
    </w:p>
    <w:p w:rsidR="00CE4F74" w:rsidRPr="00C31183" w:rsidRDefault="00CE4F74" w:rsidP="000B78FC">
      <w:pPr>
        <w:rPr>
          <w:lang w:eastAsia="ja-JP"/>
        </w:rPr>
      </w:pPr>
      <w:r w:rsidRPr="00C31183">
        <w:rPr>
          <w:lang w:eastAsia="ja-JP"/>
        </w:rPr>
        <w:t xml:space="preserve">Patients were </w:t>
      </w:r>
      <w:r>
        <w:rPr>
          <w:lang w:eastAsia="ja-JP"/>
        </w:rPr>
        <w:t>randomised</w:t>
      </w:r>
      <w:r w:rsidRPr="00C31183">
        <w:rPr>
          <w:lang w:eastAsia="ja-JP"/>
        </w:rPr>
        <w:t xml:space="preserve"> 1:1, based on a random permute</w:t>
      </w:r>
      <w:r>
        <w:rPr>
          <w:lang w:eastAsia="ja-JP"/>
        </w:rPr>
        <w:t>d block design using a centralis</w:t>
      </w:r>
      <w:r w:rsidRPr="00C31183">
        <w:rPr>
          <w:lang w:eastAsia="ja-JP"/>
        </w:rPr>
        <w:t xml:space="preserve">ed interactive voice response system (IVRS), to receive either </w:t>
      </w:r>
      <w:proofErr w:type="spellStart"/>
      <w:r w:rsidRPr="00C31183">
        <w:rPr>
          <w:lang w:eastAsia="ja-JP"/>
        </w:rPr>
        <w:t>crizotinib</w:t>
      </w:r>
      <w:proofErr w:type="spellEnd"/>
      <w:r w:rsidRPr="00C31183">
        <w:rPr>
          <w:lang w:eastAsia="ja-JP"/>
        </w:rPr>
        <w:t xml:space="preserve"> (Arm A) o</w:t>
      </w:r>
      <w:r>
        <w:rPr>
          <w:lang w:eastAsia="ja-JP"/>
        </w:rPr>
        <w:t>r chemotherapy (Arm B). Randomis</w:t>
      </w:r>
      <w:r w:rsidRPr="00C31183">
        <w:rPr>
          <w:lang w:eastAsia="ja-JP"/>
        </w:rPr>
        <w:t>ation was stratified by ECOG PS (0-1</w:t>
      </w:r>
      <w:r>
        <w:rPr>
          <w:lang w:eastAsia="ja-JP"/>
        </w:rPr>
        <w:t xml:space="preserve"> versus </w:t>
      </w:r>
      <w:r w:rsidRPr="00C31183">
        <w:rPr>
          <w:lang w:eastAsia="ja-JP"/>
        </w:rPr>
        <w:t>2), brain metastases (present</w:t>
      </w:r>
      <w:r>
        <w:rPr>
          <w:lang w:eastAsia="ja-JP"/>
        </w:rPr>
        <w:t xml:space="preserve"> versus </w:t>
      </w:r>
      <w:r w:rsidRPr="00C31183">
        <w:rPr>
          <w:lang w:eastAsia="ja-JP"/>
        </w:rPr>
        <w:t>absent) and previous treatment with an EGFR tyrosine kinase inhibitor (yes</w:t>
      </w:r>
      <w:r>
        <w:rPr>
          <w:lang w:eastAsia="ja-JP"/>
        </w:rPr>
        <w:t xml:space="preserve"> versus </w:t>
      </w:r>
      <w:r w:rsidR="000B78FC">
        <w:rPr>
          <w:lang w:eastAsia="ja-JP"/>
        </w:rPr>
        <w:t>no).</w:t>
      </w:r>
    </w:p>
    <w:p w:rsidR="00CE4F74" w:rsidRPr="00C31183" w:rsidRDefault="00CE4F74" w:rsidP="000B78FC">
      <w:pPr>
        <w:rPr>
          <w:lang w:eastAsia="ja-JP"/>
        </w:rPr>
      </w:pPr>
      <w:r w:rsidRPr="00C31183">
        <w:rPr>
          <w:lang w:eastAsia="ja-JP"/>
        </w:rPr>
        <w:t xml:space="preserve">For patients </w:t>
      </w:r>
      <w:r>
        <w:rPr>
          <w:lang w:eastAsia="ja-JP"/>
        </w:rPr>
        <w:t>randomised</w:t>
      </w:r>
      <w:r w:rsidRPr="00C31183">
        <w:rPr>
          <w:lang w:eastAsia="ja-JP"/>
        </w:rPr>
        <w:t xml:space="preserve"> to Arm B, the first choice was </w:t>
      </w:r>
      <w:proofErr w:type="spellStart"/>
      <w:r w:rsidRPr="00C31183">
        <w:rPr>
          <w:lang w:eastAsia="ja-JP"/>
        </w:rPr>
        <w:t>pemetrexed</w:t>
      </w:r>
      <w:proofErr w:type="spellEnd"/>
      <w:r w:rsidRPr="00C31183">
        <w:rPr>
          <w:lang w:eastAsia="ja-JP"/>
        </w:rPr>
        <w:t xml:space="preserve">. This was due to </w:t>
      </w:r>
      <w:proofErr w:type="spellStart"/>
      <w:r w:rsidRPr="00C31183">
        <w:rPr>
          <w:lang w:eastAsia="ja-JP"/>
        </w:rPr>
        <w:t>docetaxel</w:t>
      </w:r>
      <w:proofErr w:type="spellEnd"/>
      <w:r w:rsidRPr="00C31183">
        <w:rPr>
          <w:lang w:eastAsia="ja-JP"/>
        </w:rPr>
        <w:t xml:space="preserve"> restrictive labelling (prescribing information) for liver function test (LFT) elevations and peripheral neuropathy. There were two exceptions: patients who had </w:t>
      </w:r>
      <w:proofErr w:type="spellStart"/>
      <w:r w:rsidRPr="00C31183">
        <w:rPr>
          <w:lang w:eastAsia="ja-JP"/>
        </w:rPr>
        <w:t>pemetrexed</w:t>
      </w:r>
      <w:proofErr w:type="spellEnd"/>
      <w:r w:rsidRPr="00C31183">
        <w:rPr>
          <w:lang w:eastAsia="ja-JP"/>
        </w:rPr>
        <w:t xml:space="preserve"> as part of their prior chemotherapy regimen and patients who had received </w:t>
      </w:r>
      <w:proofErr w:type="spellStart"/>
      <w:r w:rsidRPr="00C31183">
        <w:rPr>
          <w:lang w:eastAsia="ja-JP"/>
        </w:rPr>
        <w:t>pemetrexed</w:t>
      </w:r>
      <w:proofErr w:type="spellEnd"/>
      <w:r w:rsidRPr="00C31183">
        <w:rPr>
          <w:lang w:eastAsia="ja-JP"/>
        </w:rPr>
        <w:t xml:space="preserve"> as maintenance therapy. These patients were to receive </w:t>
      </w:r>
      <w:proofErr w:type="spellStart"/>
      <w:r w:rsidRPr="00C31183">
        <w:rPr>
          <w:lang w:eastAsia="ja-JP"/>
        </w:rPr>
        <w:t>docetaxel</w:t>
      </w:r>
      <w:proofErr w:type="spellEnd"/>
      <w:r w:rsidRPr="00C31183">
        <w:rPr>
          <w:lang w:eastAsia="ja-JP"/>
        </w:rPr>
        <w:t xml:space="preserve"> if </w:t>
      </w:r>
      <w:r>
        <w:rPr>
          <w:lang w:eastAsia="ja-JP"/>
        </w:rPr>
        <w:t>randomised</w:t>
      </w:r>
      <w:r w:rsidRPr="00C31183">
        <w:rPr>
          <w:lang w:eastAsia="ja-JP"/>
        </w:rPr>
        <w:t xml:space="preserve"> to Arm B. These patients were only allowed to enter the study if they met the LFT and peripheral neuropathy eligibility criteria before being </w:t>
      </w:r>
      <w:r>
        <w:rPr>
          <w:lang w:eastAsia="ja-JP"/>
        </w:rPr>
        <w:t>randomised</w:t>
      </w:r>
      <w:r w:rsidRPr="00C31183">
        <w:rPr>
          <w:lang w:eastAsia="ja-JP"/>
        </w:rPr>
        <w:t xml:space="preserve">. If a patient did not meet the </w:t>
      </w:r>
      <w:proofErr w:type="spellStart"/>
      <w:r w:rsidRPr="00C31183">
        <w:rPr>
          <w:lang w:eastAsia="ja-JP"/>
        </w:rPr>
        <w:t>docetaxel</w:t>
      </w:r>
      <w:proofErr w:type="spellEnd"/>
      <w:r w:rsidRPr="00C31183">
        <w:rPr>
          <w:lang w:eastAsia="ja-JP"/>
        </w:rPr>
        <w:t xml:space="preserve"> eligibility criteria they had the option to enrol in Protocol A8081005. Patients who had </w:t>
      </w:r>
      <w:proofErr w:type="spellStart"/>
      <w:r w:rsidRPr="00C31183">
        <w:rPr>
          <w:lang w:eastAsia="ja-JP"/>
        </w:rPr>
        <w:t>docetaxel</w:t>
      </w:r>
      <w:proofErr w:type="spellEnd"/>
      <w:r w:rsidRPr="00C31183">
        <w:rPr>
          <w:lang w:eastAsia="ja-JP"/>
        </w:rPr>
        <w:t xml:space="preserve"> as part of their prior chemotherapy and had NSCLC that was predominantly squamous cell carcinoma were not eligible for this study, but had the option to receive </w:t>
      </w:r>
      <w:proofErr w:type="spellStart"/>
      <w:r w:rsidRPr="00C31183">
        <w:rPr>
          <w:lang w:eastAsia="ja-JP"/>
        </w:rPr>
        <w:t>c</w:t>
      </w:r>
      <w:r w:rsidR="000B78FC">
        <w:rPr>
          <w:lang w:eastAsia="ja-JP"/>
        </w:rPr>
        <w:t>rizotinib</w:t>
      </w:r>
      <w:proofErr w:type="spellEnd"/>
      <w:r w:rsidR="000B78FC">
        <w:rPr>
          <w:lang w:eastAsia="ja-JP"/>
        </w:rPr>
        <w:t xml:space="preserve"> in Protocol A8081005.</w:t>
      </w:r>
    </w:p>
    <w:p w:rsidR="00CE4F74" w:rsidRPr="00C31183" w:rsidRDefault="00CE4F74" w:rsidP="000B78FC">
      <w:pPr>
        <w:pStyle w:val="Heading4"/>
      </w:pPr>
      <w:bookmarkStart w:id="30" w:name="_Toc228773333"/>
      <w:r w:rsidRPr="00C31183">
        <w:t>Analysis populations</w:t>
      </w:r>
      <w:bookmarkEnd w:id="30"/>
    </w:p>
    <w:p w:rsidR="00CE4F74" w:rsidRPr="00C31183" w:rsidRDefault="00CE4F74" w:rsidP="000B78FC">
      <w:pPr>
        <w:pStyle w:val="ListBullet"/>
        <w:rPr>
          <w:lang w:eastAsia="ja-JP"/>
        </w:rPr>
      </w:pPr>
      <w:r w:rsidRPr="00C31183">
        <w:rPr>
          <w:lang w:eastAsia="ja-JP"/>
        </w:rPr>
        <w:t xml:space="preserve">The </w:t>
      </w:r>
      <w:r w:rsidRPr="00C31183">
        <w:rPr>
          <w:b/>
          <w:lang w:eastAsia="ja-JP"/>
        </w:rPr>
        <w:t>full analysis (FA) population</w:t>
      </w:r>
      <w:r w:rsidRPr="00C31183">
        <w:rPr>
          <w:lang w:eastAsia="ja-JP"/>
        </w:rPr>
        <w:t xml:space="preserve"> included all patients who were </w:t>
      </w:r>
      <w:r>
        <w:rPr>
          <w:lang w:eastAsia="ja-JP"/>
        </w:rPr>
        <w:t>randomised</w:t>
      </w:r>
      <w:r w:rsidRPr="00C31183">
        <w:rPr>
          <w:lang w:eastAsia="ja-JP"/>
        </w:rPr>
        <w:t xml:space="preserve"> with study drug assignment designated according to initial </w:t>
      </w:r>
      <w:r>
        <w:rPr>
          <w:lang w:eastAsia="ja-JP"/>
        </w:rPr>
        <w:t>randomisation</w:t>
      </w:r>
      <w:r w:rsidRPr="00C31183">
        <w:rPr>
          <w:lang w:eastAsia="ja-JP"/>
        </w:rPr>
        <w:t xml:space="preserve">. The FA </w:t>
      </w:r>
      <w:r w:rsidRPr="000B78FC">
        <w:t>population</w:t>
      </w:r>
      <w:r w:rsidRPr="00C31183">
        <w:rPr>
          <w:lang w:eastAsia="ja-JP"/>
        </w:rPr>
        <w:t xml:space="preserve"> was the primary population for evaluation of the primary and secondary efficacy endpoints, patient characteri</w:t>
      </w:r>
      <w:r w:rsidR="000B78FC">
        <w:rPr>
          <w:lang w:eastAsia="ja-JP"/>
        </w:rPr>
        <w:t>stics, and patient disposition.</w:t>
      </w:r>
    </w:p>
    <w:p w:rsidR="00CE4F74" w:rsidRPr="00C31183" w:rsidRDefault="00CE4F74" w:rsidP="000B78FC">
      <w:pPr>
        <w:pStyle w:val="ListBullet"/>
        <w:rPr>
          <w:lang w:eastAsia="ja-JP"/>
        </w:rPr>
      </w:pPr>
      <w:r>
        <w:rPr>
          <w:lang w:eastAsia="ja-JP"/>
        </w:rPr>
        <w:t>T</w:t>
      </w:r>
      <w:r w:rsidRPr="00C31183">
        <w:rPr>
          <w:lang w:eastAsia="ja-JP"/>
        </w:rPr>
        <w:t>he</w:t>
      </w:r>
      <w:r w:rsidRPr="00C31183">
        <w:rPr>
          <w:b/>
          <w:lang w:eastAsia="ja-JP"/>
        </w:rPr>
        <w:t xml:space="preserve"> safety analysis (SA) population</w:t>
      </w:r>
      <w:r w:rsidRPr="00C31183">
        <w:rPr>
          <w:lang w:eastAsia="ja-JP"/>
        </w:rPr>
        <w:t xml:space="preserve"> </w:t>
      </w:r>
      <w:r w:rsidRPr="000B78FC">
        <w:t>included</w:t>
      </w:r>
      <w:r w:rsidRPr="00C31183">
        <w:rPr>
          <w:lang w:eastAsia="ja-JP"/>
        </w:rPr>
        <w:t xml:space="preserve"> all patients who received at least 1 dose of study drug, with treatment assignments designated according to actual study treatment received. The SA population was the primary population for evaluating safety, and was also used for selected efficacy analyses assessing </w:t>
      </w:r>
      <w:proofErr w:type="spellStart"/>
      <w:r w:rsidRPr="00C31183">
        <w:rPr>
          <w:lang w:eastAsia="ja-JP"/>
        </w:rPr>
        <w:t>docet</w:t>
      </w:r>
      <w:r w:rsidR="000B78FC">
        <w:rPr>
          <w:lang w:eastAsia="ja-JP"/>
        </w:rPr>
        <w:t>axel</w:t>
      </w:r>
      <w:proofErr w:type="spellEnd"/>
      <w:r w:rsidR="000B78FC">
        <w:rPr>
          <w:lang w:eastAsia="ja-JP"/>
        </w:rPr>
        <w:t xml:space="preserve"> and </w:t>
      </w:r>
      <w:proofErr w:type="spellStart"/>
      <w:r w:rsidR="000B78FC">
        <w:rPr>
          <w:lang w:eastAsia="ja-JP"/>
        </w:rPr>
        <w:t>pemetrexed</w:t>
      </w:r>
      <w:proofErr w:type="spellEnd"/>
      <w:r w:rsidR="000B78FC">
        <w:rPr>
          <w:lang w:eastAsia="ja-JP"/>
        </w:rPr>
        <w:t xml:space="preserve"> separately.</w:t>
      </w:r>
    </w:p>
    <w:p w:rsidR="00CE4F74" w:rsidRPr="00C31183" w:rsidRDefault="00CE4F74" w:rsidP="000B78FC">
      <w:pPr>
        <w:pStyle w:val="ListBullet"/>
        <w:rPr>
          <w:lang w:eastAsia="ja-JP"/>
        </w:rPr>
      </w:pPr>
      <w:r w:rsidRPr="00C31183">
        <w:rPr>
          <w:lang w:eastAsia="ja-JP"/>
        </w:rPr>
        <w:t xml:space="preserve">The </w:t>
      </w:r>
      <w:r w:rsidRPr="00C31183">
        <w:rPr>
          <w:b/>
          <w:lang w:eastAsia="ja-JP"/>
        </w:rPr>
        <w:t>PRO-evaluable population</w:t>
      </w:r>
      <w:r w:rsidRPr="00C31183">
        <w:rPr>
          <w:lang w:eastAsia="ja-JP"/>
        </w:rPr>
        <w:t xml:space="preserve"> was defined as patients from the FA population </w:t>
      </w:r>
      <w:r w:rsidRPr="000B78FC">
        <w:t>who</w:t>
      </w:r>
      <w:r w:rsidRPr="00C31183">
        <w:rPr>
          <w:lang w:eastAsia="ja-JP"/>
        </w:rPr>
        <w:t xml:space="preserve"> completed a baseline and at least 1 post-baseline PRO assessment. The PRO-evaluable population was the primary population for the analysis of change from baseline scores and time-to-deterioration (TTD) in patient-reported pai</w:t>
      </w:r>
      <w:r w:rsidR="000B78FC">
        <w:rPr>
          <w:lang w:eastAsia="ja-JP"/>
        </w:rPr>
        <w:t>n in chest, dyspnoea, or cough.</w:t>
      </w:r>
    </w:p>
    <w:p w:rsidR="00CE4F74" w:rsidRPr="00C31183" w:rsidRDefault="00CE4F74" w:rsidP="000B78FC">
      <w:pPr>
        <w:pStyle w:val="ListBullet"/>
        <w:rPr>
          <w:lang w:eastAsia="ja-JP"/>
        </w:rPr>
      </w:pPr>
      <w:r w:rsidRPr="00C31183">
        <w:rPr>
          <w:lang w:eastAsia="ja-JP"/>
        </w:rPr>
        <w:t xml:space="preserve">The </w:t>
      </w:r>
      <w:r w:rsidRPr="00C31183">
        <w:rPr>
          <w:b/>
          <w:lang w:eastAsia="ja-JP"/>
        </w:rPr>
        <w:t>ECG-evaluable population</w:t>
      </w:r>
      <w:r w:rsidRPr="00C31183">
        <w:rPr>
          <w:lang w:eastAsia="ja-JP"/>
        </w:rPr>
        <w:t xml:space="preserve"> for the ECG </w:t>
      </w:r>
      <w:proofErr w:type="spellStart"/>
      <w:r w:rsidRPr="00C31183">
        <w:rPr>
          <w:lang w:eastAsia="ja-JP"/>
        </w:rPr>
        <w:t>substudy</w:t>
      </w:r>
      <w:proofErr w:type="spellEnd"/>
      <w:r w:rsidRPr="00C31183">
        <w:rPr>
          <w:lang w:eastAsia="ja-JP"/>
        </w:rPr>
        <w:t xml:space="preserve"> was defined as patients from the SA population who received </w:t>
      </w:r>
      <w:proofErr w:type="spellStart"/>
      <w:r w:rsidRPr="00C31183">
        <w:rPr>
          <w:lang w:eastAsia="ja-JP"/>
        </w:rPr>
        <w:t>crizotinib</w:t>
      </w:r>
      <w:proofErr w:type="spellEnd"/>
      <w:r w:rsidRPr="00C31183">
        <w:rPr>
          <w:lang w:eastAsia="ja-JP"/>
        </w:rPr>
        <w:t xml:space="preserve"> and who participated in the ECG </w:t>
      </w:r>
      <w:proofErr w:type="spellStart"/>
      <w:r w:rsidRPr="00C31183">
        <w:rPr>
          <w:lang w:eastAsia="ja-JP"/>
        </w:rPr>
        <w:t>substudy</w:t>
      </w:r>
      <w:proofErr w:type="spellEnd"/>
      <w:r w:rsidRPr="00C31183">
        <w:rPr>
          <w:lang w:eastAsia="ja-JP"/>
        </w:rPr>
        <w:t>, and had at least</w:t>
      </w:r>
      <w:r>
        <w:rPr>
          <w:lang w:eastAsia="ja-JP"/>
        </w:rPr>
        <w:t xml:space="preserve"> </w:t>
      </w:r>
      <w:r w:rsidRPr="00C31183">
        <w:rPr>
          <w:lang w:eastAsia="ja-JP"/>
        </w:rPr>
        <w:t xml:space="preserve">one Cycle 2 Day 1 ECG measurement performed by the ECG core laboratory. The ECG </w:t>
      </w:r>
      <w:proofErr w:type="spellStart"/>
      <w:r w:rsidRPr="00C31183">
        <w:rPr>
          <w:lang w:eastAsia="ja-JP"/>
        </w:rPr>
        <w:t>substudy</w:t>
      </w:r>
      <w:proofErr w:type="spellEnd"/>
      <w:r w:rsidRPr="00C31183">
        <w:rPr>
          <w:lang w:eastAsia="ja-JP"/>
        </w:rPr>
        <w:t xml:space="preserve"> is being conducted at selected sites for </w:t>
      </w:r>
      <w:r>
        <w:rPr>
          <w:lang w:eastAsia="ja-JP"/>
        </w:rPr>
        <w:t>S</w:t>
      </w:r>
      <w:r w:rsidRPr="00C31183">
        <w:rPr>
          <w:lang w:eastAsia="ja-JP"/>
        </w:rPr>
        <w:t xml:space="preserve">tudies A8081007 and A8081005 and aims to enrol approximately 40 patients. Data </w:t>
      </w:r>
      <w:r>
        <w:rPr>
          <w:lang w:eastAsia="ja-JP"/>
        </w:rPr>
        <w:t>from both studies will be analys</w:t>
      </w:r>
      <w:r w:rsidRPr="00C31183">
        <w:rPr>
          <w:lang w:eastAsia="ja-JP"/>
        </w:rPr>
        <w:t>ed together. The analyses are ongoing and the final analyses are to be reported in a separate document. It is noted that this population does not include a control chemotherapy</w:t>
      </w:r>
      <w:r w:rsidR="000B78FC">
        <w:rPr>
          <w:lang w:eastAsia="ja-JP"/>
        </w:rPr>
        <w:t xml:space="preserve"> arm.</w:t>
      </w:r>
    </w:p>
    <w:p w:rsidR="00CE4F74" w:rsidRPr="00C31183" w:rsidRDefault="00CE4F74" w:rsidP="000B78FC">
      <w:pPr>
        <w:pStyle w:val="Heading4"/>
      </w:pPr>
      <w:bookmarkStart w:id="31" w:name="_Toc228773334"/>
      <w:r w:rsidRPr="00C31183">
        <w:t>Sample size</w:t>
      </w:r>
      <w:bookmarkEnd w:id="31"/>
    </w:p>
    <w:p w:rsidR="00CE4F74" w:rsidRPr="00C31183" w:rsidRDefault="00CE4F74" w:rsidP="000B78FC">
      <w:pPr>
        <w:pStyle w:val="Heading5"/>
        <w:numPr>
          <w:ilvl w:val="0"/>
          <w:numId w:val="0"/>
        </w:numPr>
        <w:ind w:left="1418" w:hanging="1191"/>
        <w:rPr>
          <w:lang w:eastAsia="ja-JP"/>
        </w:rPr>
      </w:pPr>
      <w:r w:rsidRPr="00C31183">
        <w:rPr>
          <w:lang w:eastAsia="ja-JP"/>
        </w:rPr>
        <w:t>(a)</w:t>
      </w:r>
      <w:r w:rsidRPr="00C31183">
        <w:rPr>
          <w:lang w:eastAsia="ja-JP"/>
        </w:rPr>
        <w:tab/>
        <w:t>PFS (</w:t>
      </w:r>
      <w:r w:rsidRPr="000B78FC">
        <w:t>primary</w:t>
      </w:r>
      <w:r w:rsidR="000B78FC">
        <w:rPr>
          <w:lang w:eastAsia="ja-JP"/>
        </w:rPr>
        <w:t xml:space="preserve"> efficacy endpoint)</w:t>
      </w:r>
    </w:p>
    <w:p w:rsidR="00CE4F74" w:rsidRPr="00C31183" w:rsidRDefault="00CE4F74" w:rsidP="000B78FC">
      <w:pPr>
        <w:rPr>
          <w:lang w:eastAsia="ja-JP"/>
        </w:rPr>
      </w:pPr>
      <w:r w:rsidRPr="00C31183">
        <w:rPr>
          <w:lang w:eastAsia="ja-JP"/>
        </w:rPr>
        <w:t>A total sample size of 288 patients (217 total PFS events) would provide 90% probability to demonstrate superiority of Ar</w:t>
      </w:r>
      <w:r>
        <w:rPr>
          <w:lang w:eastAsia="ja-JP"/>
        </w:rPr>
        <w:t xml:space="preserve">m A over Arm B, assuming a 1.56 </w:t>
      </w:r>
      <w:r w:rsidRPr="00C31183">
        <w:rPr>
          <w:lang w:eastAsia="ja-JP"/>
        </w:rPr>
        <w:t>fold improvement over Arm B (</w:t>
      </w:r>
      <w:r>
        <w:rPr>
          <w:lang w:eastAsia="ja-JP"/>
        </w:rPr>
        <w:t>that is,</w:t>
      </w:r>
      <w:r w:rsidRPr="00C31183">
        <w:rPr>
          <w:lang w:eastAsia="ja-JP"/>
        </w:rPr>
        <w:t xml:space="preserve"> median PFS 7 months in Arm A</w:t>
      </w:r>
      <w:r>
        <w:rPr>
          <w:lang w:eastAsia="ja-JP"/>
        </w:rPr>
        <w:t xml:space="preserve"> versus </w:t>
      </w:r>
      <w:r w:rsidRPr="00C31183">
        <w:rPr>
          <w:lang w:eastAsia="ja-JP"/>
        </w:rPr>
        <w:t>4.5 months in Arm B; hazard ratio [HR</w:t>
      </w:r>
      <w:proofErr w:type="gramStart"/>
      <w:r w:rsidRPr="00C31183">
        <w:rPr>
          <w:lang w:eastAsia="ja-JP"/>
        </w:rPr>
        <w:t>]=</w:t>
      </w:r>
      <w:proofErr w:type="gramEnd"/>
      <w:r w:rsidRPr="00C31183">
        <w:rPr>
          <w:lang w:eastAsia="ja-JP"/>
        </w:rPr>
        <w:t>0.643 based on a 1-sided log-rank test at the 2.5% level of significance). It was assumed that accrual was to be accomplished over a 20</w:t>
      </w:r>
      <w:r>
        <w:rPr>
          <w:lang w:eastAsia="ja-JP"/>
        </w:rPr>
        <w:t xml:space="preserve"> </w:t>
      </w:r>
      <w:r w:rsidRPr="00C31183">
        <w:rPr>
          <w:lang w:eastAsia="ja-JP"/>
        </w:rPr>
        <w:t xml:space="preserve">month period and follow-up for PFS would continue until the required numbers of events were observed. Under the assumed improvement for PFS in the sample size estimation, the follow-up period would be at least 4 months after the last patient was </w:t>
      </w:r>
      <w:r>
        <w:rPr>
          <w:lang w:eastAsia="ja-JP"/>
        </w:rPr>
        <w:t>randomised</w:t>
      </w:r>
      <w:r w:rsidRPr="00C31183">
        <w:rPr>
          <w:lang w:eastAsia="ja-JP"/>
        </w:rPr>
        <w:t xml:space="preserve">. To account for events being censored due to potential discordance between </w:t>
      </w:r>
      <w:r w:rsidRPr="00C31183">
        <w:rPr>
          <w:lang w:eastAsia="ja-JP"/>
        </w:rPr>
        <w:lastRenderedPageBreak/>
        <w:t>the investigator and the IRR assessment of PFS, up to 30 extra patients were to be enrolled for a tot</w:t>
      </w:r>
      <w:r w:rsidR="000B78FC">
        <w:rPr>
          <w:lang w:eastAsia="ja-JP"/>
        </w:rPr>
        <w:t>al sample size of 318 patients.</w:t>
      </w:r>
    </w:p>
    <w:p w:rsidR="00CE4F74" w:rsidRPr="00C31183" w:rsidRDefault="00CE4F74" w:rsidP="000B78FC">
      <w:pPr>
        <w:pStyle w:val="Heading5"/>
        <w:numPr>
          <w:ilvl w:val="0"/>
          <w:numId w:val="0"/>
        </w:numPr>
        <w:ind w:left="1418" w:hanging="1191"/>
        <w:rPr>
          <w:lang w:eastAsia="ja-JP"/>
        </w:rPr>
      </w:pPr>
      <w:r w:rsidRPr="00C31183">
        <w:rPr>
          <w:lang w:eastAsia="ja-JP"/>
        </w:rPr>
        <w:t>(b)</w:t>
      </w:r>
      <w:r w:rsidRPr="00C31183">
        <w:rPr>
          <w:lang w:eastAsia="ja-JP"/>
        </w:rPr>
        <w:tab/>
        <w:t>OS (</w:t>
      </w:r>
      <w:r w:rsidR="000B78FC">
        <w:rPr>
          <w:lang w:eastAsia="ja-JP"/>
        </w:rPr>
        <w:t>a secondary efficacy endpoint)</w:t>
      </w:r>
    </w:p>
    <w:p w:rsidR="00CE4F74" w:rsidRPr="00C31183" w:rsidRDefault="00CE4F74" w:rsidP="000B78FC">
      <w:pPr>
        <w:rPr>
          <w:lang w:eastAsia="ja-JP"/>
        </w:rPr>
      </w:pPr>
      <w:r w:rsidRPr="00C31183">
        <w:rPr>
          <w:lang w:eastAsia="ja-JP"/>
        </w:rPr>
        <w:t>The median OS for Arm B was assumed to be 8 months. With an overall 1-sided α of 0.025 and one interim analysis (at the time of PFS analysis), the study would have 80% power to detect a 44% increase in OS when 241 deaths have occurred.</w:t>
      </w:r>
    </w:p>
    <w:p w:rsidR="00CE4F74" w:rsidRPr="00C31183" w:rsidRDefault="000B78FC" w:rsidP="000B78FC">
      <w:pPr>
        <w:pStyle w:val="Heading5"/>
        <w:numPr>
          <w:ilvl w:val="0"/>
          <w:numId w:val="0"/>
        </w:numPr>
        <w:ind w:left="1418" w:hanging="1191"/>
        <w:rPr>
          <w:lang w:eastAsia="ja-JP"/>
        </w:rPr>
      </w:pPr>
      <w:r>
        <w:rPr>
          <w:lang w:eastAsia="ja-JP"/>
        </w:rPr>
        <w:t>(c)</w:t>
      </w:r>
      <w:r>
        <w:rPr>
          <w:lang w:eastAsia="ja-JP"/>
        </w:rPr>
        <w:tab/>
      </w:r>
      <w:r>
        <w:rPr>
          <w:lang w:eastAsia="ja-JP"/>
        </w:rPr>
        <w:tab/>
        <w:t>Other analyses</w:t>
      </w:r>
    </w:p>
    <w:p w:rsidR="00CE4F74" w:rsidRPr="00C31183" w:rsidRDefault="00CE4F74" w:rsidP="000B78FC">
      <w:pPr>
        <w:rPr>
          <w:lang w:eastAsia="ja-JP"/>
        </w:rPr>
      </w:pPr>
      <w:r w:rsidRPr="00C31183">
        <w:rPr>
          <w:lang w:eastAsia="ja-JP"/>
        </w:rPr>
        <w:t xml:space="preserve">Pre-specified sample size calculations were also undertaken for the ECG </w:t>
      </w:r>
      <w:proofErr w:type="spellStart"/>
      <w:r w:rsidRPr="00C31183">
        <w:rPr>
          <w:lang w:eastAsia="ja-JP"/>
        </w:rPr>
        <w:t>substudy</w:t>
      </w:r>
      <w:proofErr w:type="spellEnd"/>
      <w:r w:rsidRPr="00C31183">
        <w:rPr>
          <w:lang w:eastAsia="ja-JP"/>
        </w:rPr>
        <w:t xml:space="preserve"> of Arm A, and th</w:t>
      </w:r>
      <w:r w:rsidR="000B78FC">
        <w:rPr>
          <w:lang w:eastAsia="ja-JP"/>
        </w:rPr>
        <w:t xml:space="preserve">e MUGA/echocardiogram </w:t>
      </w:r>
      <w:proofErr w:type="spellStart"/>
      <w:r w:rsidR="000B78FC">
        <w:rPr>
          <w:lang w:eastAsia="ja-JP"/>
        </w:rPr>
        <w:t>substudy</w:t>
      </w:r>
      <w:proofErr w:type="spellEnd"/>
      <w:r w:rsidR="000B78FC">
        <w:rPr>
          <w:lang w:eastAsia="ja-JP"/>
        </w:rPr>
        <w:t>.</w:t>
      </w:r>
    </w:p>
    <w:p w:rsidR="00CE4F74" w:rsidRPr="00C31183" w:rsidRDefault="00CE4F74" w:rsidP="000B78FC">
      <w:pPr>
        <w:pStyle w:val="Heading4"/>
      </w:pPr>
      <w:bookmarkStart w:id="32" w:name="_Toc228773335"/>
      <w:r w:rsidRPr="00C31183">
        <w:t>Statistical methods</w:t>
      </w:r>
      <w:bookmarkEnd w:id="32"/>
    </w:p>
    <w:p w:rsidR="00CE4F74" w:rsidRPr="00C31183" w:rsidRDefault="00CE4F74" w:rsidP="000B78FC">
      <w:pPr>
        <w:pStyle w:val="Heading5"/>
        <w:rPr>
          <w:lang w:eastAsia="ja-JP"/>
        </w:rPr>
      </w:pPr>
      <w:bookmarkStart w:id="33" w:name="_Toc228773336"/>
      <w:r w:rsidRPr="00C31183">
        <w:rPr>
          <w:lang w:eastAsia="ja-JP"/>
        </w:rPr>
        <w:t xml:space="preserve">Statistical </w:t>
      </w:r>
      <w:r w:rsidRPr="000B78FC">
        <w:t>hypotheses</w:t>
      </w:r>
      <w:bookmarkEnd w:id="33"/>
    </w:p>
    <w:p w:rsidR="00CE4F74" w:rsidRPr="00C31183" w:rsidRDefault="00CE4F74" w:rsidP="000B78FC">
      <w:pPr>
        <w:rPr>
          <w:lang w:eastAsia="ja-JP"/>
        </w:rPr>
      </w:pPr>
      <w:r w:rsidRPr="00C31183">
        <w:rPr>
          <w:lang w:eastAsia="ja-JP"/>
        </w:rPr>
        <w:t xml:space="preserve">The main purpose of the study was to demonstrate superiority of </w:t>
      </w:r>
      <w:proofErr w:type="spellStart"/>
      <w:r w:rsidRPr="00C31183">
        <w:rPr>
          <w:lang w:eastAsia="ja-JP"/>
        </w:rPr>
        <w:t>crizotinib</w:t>
      </w:r>
      <w:proofErr w:type="spellEnd"/>
      <w:r w:rsidRPr="00C31183">
        <w:rPr>
          <w:lang w:eastAsia="ja-JP"/>
        </w:rPr>
        <w:t xml:space="preserve"> (Arm A) over </w:t>
      </w:r>
      <w:proofErr w:type="spellStart"/>
      <w:r w:rsidRPr="00C31183">
        <w:rPr>
          <w:lang w:eastAsia="ja-JP"/>
        </w:rPr>
        <w:t>pemetrexed</w:t>
      </w:r>
      <w:proofErr w:type="spellEnd"/>
      <w:r w:rsidRPr="00C31183">
        <w:rPr>
          <w:lang w:eastAsia="ja-JP"/>
        </w:rPr>
        <w:t xml:space="preserve"> or </w:t>
      </w:r>
      <w:proofErr w:type="spellStart"/>
      <w:r w:rsidRPr="00C31183">
        <w:rPr>
          <w:lang w:eastAsia="ja-JP"/>
        </w:rPr>
        <w:t>docetaxel</w:t>
      </w:r>
      <w:proofErr w:type="spellEnd"/>
      <w:r w:rsidRPr="00C31183">
        <w:rPr>
          <w:lang w:eastAsia="ja-JP"/>
        </w:rPr>
        <w:t xml:space="preserve"> (Arm B) in PFS. The study was designed to test the null hypothesis H</w:t>
      </w:r>
      <w:r w:rsidRPr="00C31183">
        <w:rPr>
          <w:vertAlign w:val="subscript"/>
          <w:lang w:eastAsia="ja-JP"/>
        </w:rPr>
        <w:t>0</w:t>
      </w:r>
      <w:r w:rsidRPr="00C31183">
        <w:rPr>
          <w:lang w:eastAsia="ja-JP"/>
        </w:rPr>
        <w:t>: λ =1.0 versus the alternative hypothesis H</w:t>
      </w:r>
      <w:r w:rsidRPr="00C31183">
        <w:rPr>
          <w:vertAlign w:val="subscript"/>
          <w:lang w:eastAsia="ja-JP"/>
        </w:rPr>
        <w:t>A</w:t>
      </w:r>
      <w:r w:rsidRPr="00C31183">
        <w:rPr>
          <w:lang w:eastAsia="ja-JP"/>
        </w:rPr>
        <w:t xml:space="preserve">: λ &lt; 1.0, where λ is </w:t>
      </w:r>
      <w:r w:rsidR="000B78FC">
        <w:rPr>
          <w:lang w:eastAsia="ja-JP"/>
        </w:rPr>
        <w:t>the hazard ratio (Arm A/Arm B).</w:t>
      </w:r>
    </w:p>
    <w:p w:rsidR="00CE4F74" w:rsidRPr="00C31183" w:rsidRDefault="00CE4F74" w:rsidP="000B78FC">
      <w:pPr>
        <w:pStyle w:val="Heading5"/>
        <w:rPr>
          <w:lang w:eastAsia="ja-JP"/>
        </w:rPr>
      </w:pPr>
      <w:bookmarkStart w:id="34" w:name="_Toc228773337"/>
      <w:r w:rsidRPr="00C31183">
        <w:rPr>
          <w:lang w:eastAsia="ja-JP"/>
        </w:rPr>
        <w:t>Primary endpoint analysis</w:t>
      </w:r>
      <w:bookmarkEnd w:id="34"/>
    </w:p>
    <w:p w:rsidR="00CE4F74" w:rsidRPr="00C31183" w:rsidRDefault="00CE4F74" w:rsidP="000B78FC">
      <w:pPr>
        <w:rPr>
          <w:lang w:eastAsia="ja-JP"/>
        </w:rPr>
      </w:pPr>
      <w:r w:rsidRPr="00C31183">
        <w:rPr>
          <w:lang w:eastAsia="ja-JP"/>
        </w:rPr>
        <w:t xml:space="preserve">The analysis of PFS included in the preliminary CSR was specified as the final analysis of this parameter. Differences in PFS between treatment arms were </w:t>
      </w:r>
      <w:r>
        <w:rPr>
          <w:lang w:eastAsia="ja-JP"/>
        </w:rPr>
        <w:t>analysed</w:t>
      </w:r>
      <w:r w:rsidRPr="00C31183">
        <w:rPr>
          <w:lang w:eastAsia="ja-JP"/>
        </w:rPr>
        <w:t xml:space="preserve"> by a 1-sided log-rank test stratified for baseline factors of ECOG PS (0-1</w:t>
      </w:r>
      <w:r>
        <w:rPr>
          <w:lang w:eastAsia="ja-JP"/>
        </w:rPr>
        <w:t xml:space="preserve"> versus </w:t>
      </w:r>
      <w:r w:rsidRPr="00C31183">
        <w:rPr>
          <w:lang w:eastAsia="ja-JP"/>
        </w:rPr>
        <w:t>2), brain metastases (present</w:t>
      </w:r>
      <w:r>
        <w:rPr>
          <w:lang w:eastAsia="ja-JP"/>
        </w:rPr>
        <w:t xml:space="preserve"> versus </w:t>
      </w:r>
      <w:r w:rsidRPr="00C31183">
        <w:rPr>
          <w:lang w:eastAsia="ja-JP"/>
        </w:rPr>
        <w:t>absent), and prior EGFR inhibitor treatment (yes</w:t>
      </w:r>
      <w:r>
        <w:rPr>
          <w:lang w:eastAsia="ja-JP"/>
        </w:rPr>
        <w:t xml:space="preserve"> versus </w:t>
      </w:r>
      <w:r w:rsidRPr="00C31183">
        <w:rPr>
          <w:lang w:eastAsia="ja-JP"/>
        </w:rPr>
        <w:t xml:space="preserve">no). For patients who were incorrectly stratified at the time of </w:t>
      </w:r>
      <w:r>
        <w:rPr>
          <w:lang w:eastAsia="ja-JP"/>
        </w:rPr>
        <w:t>randomisation</w:t>
      </w:r>
      <w:r w:rsidRPr="00C31183">
        <w:rPr>
          <w:lang w:eastAsia="ja-JP"/>
        </w:rPr>
        <w:t xml:space="preserve">, either because of information available subsequent to </w:t>
      </w:r>
      <w:r>
        <w:rPr>
          <w:lang w:eastAsia="ja-JP"/>
        </w:rPr>
        <w:t>randomisation</w:t>
      </w:r>
      <w:r w:rsidRPr="00C31183">
        <w:rPr>
          <w:lang w:eastAsia="ja-JP"/>
        </w:rPr>
        <w:t xml:space="preserve"> or due to clerical error, the actual baseline value, as reported on the </w:t>
      </w:r>
      <w:proofErr w:type="spellStart"/>
      <w:r w:rsidRPr="00C31183">
        <w:rPr>
          <w:lang w:eastAsia="ja-JP"/>
        </w:rPr>
        <w:t>eCRF</w:t>
      </w:r>
      <w:proofErr w:type="spellEnd"/>
      <w:r w:rsidRPr="00C31183">
        <w:rPr>
          <w:lang w:eastAsia="ja-JP"/>
        </w:rPr>
        <w:t>, for these 3 variables was used in all stratified analyses. Estimates of the PFS curves obtained from the Kaplan-Meier method were presented and displayed graphically. The median event time (and other quartiles) and corresponding 2-sided 95% CI were provided for each treatment arm. Additionally, for each treatment arm, the median PFS and a 2-sided 95% CI were provided for each level of the stratification variables and for subgroups of other relevant patient baseline characteristics. Cox regression models, adjusted for baseline stratification factors and other patient baseline characteristics, were fitted. The estimated HR an</w:t>
      </w:r>
      <w:r w:rsidR="000B78FC">
        <w:rPr>
          <w:lang w:eastAsia="ja-JP"/>
        </w:rPr>
        <w:t>d 2-sided 95% CI were provided.</w:t>
      </w:r>
    </w:p>
    <w:p w:rsidR="00CE4F74" w:rsidRPr="00C31183" w:rsidRDefault="00CE4F74" w:rsidP="000B78FC">
      <w:pPr>
        <w:rPr>
          <w:lang w:eastAsia="ja-JP"/>
        </w:rPr>
      </w:pPr>
      <w:r w:rsidRPr="00C31183">
        <w:rPr>
          <w:lang w:eastAsia="ja-JP"/>
        </w:rPr>
        <w:t xml:space="preserve">PFS was also </w:t>
      </w:r>
      <w:r>
        <w:rPr>
          <w:lang w:eastAsia="ja-JP"/>
        </w:rPr>
        <w:t>analysed</w:t>
      </w:r>
      <w:r w:rsidRPr="00C31183">
        <w:rPr>
          <w:lang w:eastAsia="ja-JP"/>
        </w:rPr>
        <w:t xml:space="preserve"> using an </w:t>
      </w:r>
      <w:proofErr w:type="spellStart"/>
      <w:r w:rsidRPr="00C31183">
        <w:rPr>
          <w:lang w:eastAsia="ja-JP"/>
        </w:rPr>
        <w:t>unstratified</w:t>
      </w:r>
      <w:proofErr w:type="spellEnd"/>
      <w:r w:rsidRPr="00C31183">
        <w:rPr>
          <w:lang w:eastAsia="ja-JP"/>
        </w:rPr>
        <w:t xml:space="preserve"> log-rank test and following an Intent-to-Treat like approach in which PD or death were considered PFS events regardless of when they were documented (no censoring applied). In addition, PFS analysis was provided with progression of disease according to investigator assessment. Disagreement rates between PFS based on the IRR and the investigator assessment of tumo</w:t>
      </w:r>
      <w:r>
        <w:rPr>
          <w:lang w:eastAsia="ja-JP"/>
        </w:rPr>
        <w:t>u</w:t>
      </w:r>
      <w:r w:rsidR="000B78FC">
        <w:rPr>
          <w:lang w:eastAsia="ja-JP"/>
        </w:rPr>
        <w:t>r data were presented.</w:t>
      </w:r>
    </w:p>
    <w:p w:rsidR="00CE4F74" w:rsidRPr="00C31183" w:rsidRDefault="00CE4F74" w:rsidP="000B78FC">
      <w:pPr>
        <w:rPr>
          <w:lang w:eastAsia="ja-JP"/>
        </w:rPr>
      </w:pPr>
      <w:r w:rsidRPr="00C31183">
        <w:rPr>
          <w:lang w:eastAsia="ja-JP"/>
        </w:rPr>
        <w:t xml:space="preserve">An analysis of PFS in the SA population was performed separately for </w:t>
      </w:r>
      <w:proofErr w:type="spellStart"/>
      <w:r w:rsidRPr="00C31183">
        <w:rPr>
          <w:lang w:eastAsia="ja-JP"/>
        </w:rPr>
        <w:t>docetaxel</w:t>
      </w:r>
      <w:proofErr w:type="spellEnd"/>
      <w:r w:rsidRPr="00C31183">
        <w:rPr>
          <w:lang w:eastAsia="ja-JP"/>
        </w:rPr>
        <w:t xml:space="preserve"> and </w:t>
      </w:r>
      <w:proofErr w:type="spellStart"/>
      <w:r w:rsidRPr="00C31183">
        <w:rPr>
          <w:lang w:eastAsia="ja-JP"/>
        </w:rPr>
        <w:t>pemetrexed</w:t>
      </w:r>
      <w:proofErr w:type="spellEnd"/>
      <w:r w:rsidRPr="00C31183">
        <w:rPr>
          <w:lang w:eastAsia="ja-JP"/>
        </w:rPr>
        <w:t>.</w:t>
      </w:r>
    </w:p>
    <w:p w:rsidR="00CE4F74" w:rsidRPr="00143CC0" w:rsidRDefault="00CE4F74" w:rsidP="000B78FC">
      <w:pPr>
        <w:pStyle w:val="Heading4"/>
      </w:pPr>
      <w:bookmarkStart w:id="35" w:name="_Toc228773338"/>
      <w:r w:rsidRPr="00C31183">
        <w:t>Secondary endpoint analys</w:t>
      </w:r>
      <w:r w:rsidRPr="00143CC0">
        <w:t>es</w:t>
      </w:r>
      <w:bookmarkEnd w:id="35"/>
      <w:r w:rsidRPr="00143CC0">
        <w:rPr>
          <w:rStyle w:val="FootnoteReference"/>
        </w:rPr>
        <w:footnoteReference w:id="3"/>
      </w:r>
    </w:p>
    <w:p w:rsidR="00CE4F74" w:rsidRPr="00C31183" w:rsidRDefault="00CE4F74" w:rsidP="000B78FC">
      <w:pPr>
        <w:pStyle w:val="Heading5"/>
        <w:rPr>
          <w:lang w:eastAsia="ja-JP"/>
        </w:rPr>
      </w:pPr>
      <w:r w:rsidRPr="00C31183">
        <w:rPr>
          <w:lang w:eastAsia="ja-JP"/>
        </w:rPr>
        <w:t>Overall Survival (OS)</w:t>
      </w:r>
    </w:p>
    <w:p w:rsidR="00CE4F74" w:rsidRPr="00C31183" w:rsidRDefault="00CE4F74" w:rsidP="000B78FC">
      <w:pPr>
        <w:rPr>
          <w:lang w:eastAsia="ja-JP"/>
        </w:rPr>
      </w:pPr>
      <w:r w:rsidRPr="00C31183">
        <w:rPr>
          <w:lang w:eastAsia="ja-JP"/>
        </w:rPr>
        <w:t xml:space="preserve">The analysis of OS included in the preliminary CSR was specified as the interim analysis of this parameter. On confirmation of PD by IRR, patients in the chemotherapy arm (Arm B) had the opportunity to receive </w:t>
      </w:r>
      <w:proofErr w:type="spellStart"/>
      <w:r w:rsidRPr="00C31183">
        <w:rPr>
          <w:lang w:eastAsia="ja-JP"/>
        </w:rPr>
        <w:t>crizotinib</w:t>
      </w:r>
      <w:proofErr w:type="spellEnd"/>
      <w:r w:rsidRPr="00C31183">
        <w:rPr>
          <w:lang w:eastAsia="ja-JP"/>
        </w:rPr>
        <w:t xml:space="preserve"> in </w:t>
      </w:r>
      <w:r>
        <w:rPr>
          <w:lang w:eastAsia="ja-JP"/>
        </w:rPr>
        <w:t>Study A8081005</w:t>
      </w:r>
      <w:r w:rsidRPr="00C31183">
        <w:rPr>
          <w:lang w:eastAsia="ja-JP"/>
        </w:rPr>
        <w:t xml:space="preserve">. For these patients, survival follow-up data and follow-up systemic therapies were collected in </w:t>
      </w:r>
      <w:r>
        <w:rPr>
          <w:lang w:eastAsia="ja-JP"/>
        </w:rPr>
        <w:t>Study A8081005</w:t>
      </w:r>
      <w:r w:rsidRPr="00C31183">
        <w:rPr>
          <w:lang w:eastAsia="ja-JP"/>
        </w:rPr>
        <w:t xml:space="preserve">. Data from both study databases using the same data </w:t>
      </w:r>
      <w:proofErr w:type="spellStart"/>
      <w:r w:rsidRPr="00C31183">
        <w:rPr>
          <w:lang w:eastAsia="ja-JP"/>
        </w:rPr>
        <w:t>cut</w:t>
      </w:r>
      <w:r>
        <w:rPr>
          <w:lang w:eastAsia="ja-JP"/>
        </w:rPr>
        <w:t xml:space="preserve"> </w:t>
      </w:r>
      <w:r w:rsidRPr="00C31183">
        <w:rPr>
          <w:lang w:eastAsia="ja-JP"/>
        </w:rPr>
        <w:t>off</w:t>
      </w:r>
      <w:proofErr w:type="spellEnd"/>
      <w:r w:rsidRPr="00C31183">
        <w:rPr>
          <w:lang w:eastAsia="ja-JP"/>
        </w:rPr>
        <w:t xml:space="preserve"> date were used for analysis of OS and reported under </w:t>
      </w:r>
      <w:r>
        <w:rPr>
          <w:lang w:eastAsia="ja-JP"/>
        </w:rPr>
        <w:t>S</w:t>
      </w:r>
      <w:r w:rsidRPr="00C31183">
        <w:rPr>
          <w:lang w:eastAsia="ja-JP"/>
        </w:rPr>
        <w:t xml:space="preserve">tudy A8081007. Differences in OS between treatment arms were </w:t>
      </w:r>
      <w:r>
        <w:rPr>
          <w:lang w:eastAsia="ja-JP"/>
        </w:rPr>
        <w:t>analysed</w:t>
      </w:r>
      <w:r w:rsidRPr="00C31183">
        <w:rPr>
          <w:lang w:eastAsia="ja-JP"/>
        </w:rPr>
        <w:t xml:space="preserve"> by the 1-sided log </w:t>
      </w:r>
      <w:r w:rsidRPr="00C31183">
        <w:rPr>
          <w:lang w:eastAsia="ja-JP"/>
        </w:rPr>
        <w:lastRenderedPageBreak/>
        <w:t xml:space="preserve">rank test stratified for baseline factors. Estimates of the OS curves obtained from the Kaplan-Meier method were presented. The median event time (and other quartiles) and corresponding 2-sided 95% CI for the event times were provided for each treatment arm. Treatment group comparison was also performed using the </w:t>
      </w:r>
      <w:proofErr w:type="spellStart"/>
      <w:r w:rsidRPr="00C31183">
        <w:rPr>
          <w:lang w:eastAsia="ja-JP"/>
        </w:rPr>
        <w:t>unstratified</w:t>
      </w:r>
      <w:proofErr w:type="spellEnd"/>
      <w:r w:rsidRPr="00C31183">
        <w:rPr>
          <w:lang w:eastAsia="ja-JP"/>
        </w:rPr>
        <w:t xml:space="preserve"> log-rank test. Cox regression models were fitted, adjusted for baseline stratification factors and other patient baseline characteristics. The estimated HR and 2-sided 95% CI were provided. Six-month and 1</w:t>
      </w:r>
      <w:r>
        <w:rPr>
          <w:lang w:eastAsia="ja-JP"/>
        </w:rPr>
        <w:t xml:space="preserve"> </w:t>
      </w:r>
      <w:r w:rsidRPr="00C31183">
        <w:rPr>
          <w:lang w:eastAsia="ja-JP"/>
        </w:rPr>
        <w:t>year survival probabilities were estimated using the Kaplan-Meier method together with the 2-sided 95% CI.</w:t>
      </w:r>
      <w:r>
        <w:rPr>
          <w:lang w:eastAsia="ja-JP"/>
        </w:rPr>
        <w:t xml:space="preserve"> </w:t>
      </w:r>
      <w:r w:rsidRPr="00C31183">
        <w:rPr>
          <w:lang w:eastAsia="ja-JP"/>
        </w:rPr>
        <w:t>Subgroup analyses were provided for major baseline patient characteristics and for the baseline stratification factors: median OS (and other quartiles) and</w:t>
      </w:r>
      <w:r w:rsidR="000B78FC">
        <w:rPr>
          <w:lang w:eastAsia="ja-JP"/>
        </w:rPr>
        <w:t xml:space="preserve"> 2-sided 95% CI were estimated.</w:t>
      </w:r>
    </w:p>
    <w:p w:rsidR="00CE4F74" w:rsidRPr="00C31183" w:rsidRDefault="00CE4F74" w:rsidP="000B78FC">
      <w:pPr>
        <w:rPr>
          <w:lang w:eastAsia="ja-JP"/>
        </w:rPr>
      </w:pPr>
      <w:r w:rsidRPr="00C31183">
        <w:rPr>
          <w:lang w:eastAsia="ja-JP"/>
        </w:rPr>
        <w:t xml:space="preserve">Since after disease progression patients in the </w:t>
      </w:r>
      <w:proofErr w:type="spellStart"/>
      <w:r w:rsidRPr="00C31183">
        <w:rPr>
          <w:lang w:eastAsia="ja-JP"/>
        </w:rPr>
        <w:t>crizotinib</w:t>
      </w:r>
      <w:proofErr w:type="spellEnd"/>
      <w:r w:rsidRPr="00C31183">
        <w:rPr>
          <w:lang w:eastAsia="ja-JP"/>
        </w:rPr>
        <w:t xml:space="preserve"> (Arm A) received other available treatments and patients in chemotherapy arm (Arm B) could have crossed over to </w:t>
      </w:r>
      <w:proofErr w:type="spellStart"/>
      <w:r w:rsidRPr="00C31183">
        <w:rPr>
          <w:lang w:eastAsia="ja-JP"/>
        </w:rPr>
        <w:t>crizotinib</w:t>
      </w:r>
      <w:proofErr w:type="spellEnd"/>
      <w:r w:rsidRPr="00C31183">
        <w:rPr>
          <w:lang w:eastAsia="ja-JP"/>
        </w:rPr>
        <w:t xml:space="preserve">, the treatment effect on OS estimated by methods presented for the primary analysis may have been confounded. Therefore, the Statistical Analysis Plan (SAP) pre-specified that sensitivity analyses of OS based on the interim data were to be undertaken. These OS sensitivity analyses included the Rank-Preserving Structural Failure Time Model (RPSFTM) proposed by Robins and </w:t>
      </w:r>
      <w:proofErr w:type="spellStart"/>
      <w:r w:rsidRPr="00C31183">
        <w:rPr>
          <w:lang w:eastAsia="ja-JP"/>
        </w:rPr>
        <w:t>Tsiatis</w:t>
      </w:r>
      <w:proofErr w:type="spellEnd"/>
      <w:r w:rsidRPr="00C31183">
        <w:rPr>
          <w:lang w:eastAsia="ja-JP"/>
        </w:rPr>
        <w:t xml:space="preserve"> (1991)</w:t>
      </w:r>
      <w:r w:rsidRPr="00C31183">
        <w:rPr>
          <w:vertAlign w:val="superscript"/>
          <w:lang w:eastAsia="ja-JP"/>
        </w:rPr>
        <w:t>1</w:t>
      </w:r>
      <w:r w:rsidRPr="00C31183">
        <w:rPr>
          <w:lang w:eastAsia="ja-JP"/>
        </w:rPr>
        <w:t xml:space="preserve"> and any applicable extensions (</w:t>
      </w:r>
      <w:r>
        <w:rPr>
          <w:lang w:eastAsia="ja-JP"/>
        </w:rPr>
        <w:t>for example,</w:t>
      </w:r>
      <w:r w:rsidRPr="00C31183">
        <w:rPr>
          <w:lang w:eastAsia="ja-JP"/>
        </w:rPr>
        <w:t xml:space="preserve"> by White et al., 1999)</w:t>
      </w:r>
      <w:r w:rsidRPr="00C31183">
        <w:rPr>
          <w:vertAlign w:val="superscript"/>
          <w:lang w:eastAsia="ja-JP"/>
        </w:rPr>
        <w:t>2</w:t>
      </w:r>
      <w:r w:rsidRPr="00C31183">
        <w:rPr>
          <w:lang w:eastAsia="ja-JP"/>
        </w:rPr>
        <w:t>, the time-dependent Cox model and inverse probability of treatment weighting method (</w:t>
      </w:r>
      <w:r>
        <w:rPr>
          <w:lang w:eastAsia="ja-JP"/>
        </w:rPr>
        <w:t>for example,</w:t>
      </w:r>
      <w:r w:rsidRPr="00C31183">
        <w:rPr>
          <w:lang w:eastAsia="ja-JP"/>
        </w:rPr>
        <w:t xml:space="preserve"> by Robins et al., 2000)</w:t>
      </w:r>
      <w:r w:rsidRPr="00C31183">
        <w:rPr>
          <w:vertAlign w:val="superscript"/>
          <w:lang w:eastAsia="ja-JP"/>
        </w:rPr>
        <w:t>3</w:t>
      </w:r>
      <w:r w:rsidR="000B78FC">
        <w:rPr>
          <w:lang w:eastAsia="ja-JP"/>
        </w:rPr>
        <w:t>.</w:t>
      </w:r>
    </w:p>
    <w:p w:rsidR="00CE4F74" w:rsidRPr="00C31183" w:rsidRDefault="00CE4F74" w:rsidP="000B78FC">
      <w:pPr>
        <w:ind w:left="1418" w:hanging="1418"/>
        <w:rPr>
          <w:lang w:eastAsia="ja-JP"/>
        </w:rPr>
      </w:pPr>
      <w:r w:rsidRPr="00C31183">
        <w:rPr>
          <w:b/>
          <w:lang w:eastAsia="ja-JP"/>
        </w:rPr>
        <w:t>Comment:</w:t>
      </w:r>
      <w:r w:rsidR="000B78FC">
        <w:rPr>
          <w:b/>
          <w:lang w:eastAsia="ja-JP"/>
        </w:rPr>
        <w:tab/>
      </w:r>
      <w:r w:rsidRPr="00C31183">
        <w:rPr>
          <w:lang w:eastAsia="ja-JP"/>
        </w:rPr>
        <w:t>The submitted Technical Report for “Evaluating the Impact of Follow-up Systemic Therapy on Overall Survival in Study A8081007 at the Time of Interim Overall Survival Analysis” presented the results of separate OS sensitivity analyses accounting for (a) crossover and (b) post-study systemic anti-cancer therapy. The results for these sensitivity analyses and a sensitivity included in the CSR a</w:t>
      </w:r>
      <w:r w:rsidR="000B78FC">
        <w:rPr>
          <w:lang w:eastAsia="ja-JP"/>
        </w:rPr>
        <w:t>re discussed later in this CER.</w:t>
      </w:r>
    </w:p>
    <w:p w:rsidR="00CE4F74" w:rsidRPr="00C31183" w:rsidRDefault="000B78FC" w:rsidP="000B78FC">
      <w:pPr>
        <w:pStyle w:val="Heading5"/>
        <w:rPr>
          <w:lang w:eastAsia="ja-JP"/>
        </w:rPr>
      </w:pPr>
      <w:r>
        <w:rPr>
          <w:lang w:eastAsia="ja-JP"/>
        </w:rPr>
        <w:t>Objective Response Rate (ORR)</w:t>
      </w:r>
    </w:p>
    <w:p w:rsidR="00CE4F74" w:rsidRPr="00C31183" w:rsidRDefault="00CE4F74" w:rsidP="000B78FC">
      <w:pPr>
        <w:rPr>
          <w:lang w:eastAsia="ja-JP"/>
        </w:rPr>
      </w:pPr>
      <w:r w:rsidRPr="00C31183">
        <w:rPr>
          <w:lang w:eastAsia="ja-JP"/>
        </w:rPr>
        <w:t xml:space="preserve">The ORR was </w:t>
      </w:r>
      <w:r>
        <w:rPr>
          <w:lang w:eastAsia="ja-JP"/>
        </w:rPr>
        <w:t>summarised</w:t>
      </w:r>
      <w:r w:rsidRPr="00C31183">
        <w:rPr>
          <w:lang w:eastAsia="ja-JP"/>
        </w:rPr>
        <w:t xml:space="preserve"> for each treatment arm along with the corresponding exact 2-sided 95% CI using a method based on the F-distribution. ORR between the 2 treatment arms was compared using a 2-sided Cochran-Mantel-</w:t>
      </w:r>
      <w:proofErr w:type="spellStart"/>
      <w:r w:rsidRPr="00C31183">
        <w:rPr>
          <w:lang w:eastAsia="ja-JP"/>
        </w:rPr>
        <w:t>Haenszel</w:t>
      </w:r>
      <w:proofErr w:type="spellEnd"/>
      <w:r w:rsidRPr="00C31183">
        <w:rPr>
          <w:lang w:eastAsia="ja-JP"/>
        </w:rPr>
        <w:t xml:space="preserve"> (CMH) test stratified for baseline factors and an </w:t>
      </w:r>
      <w:proofErr w:type="spellStart"/>
      <w:r w:rsidRPr="00C31183">
        <w:rPr>
          <w:lang w:eastAsia="ja-JP"/>
        </w:rPr>
        <w:t>unstratified</w:t>
      </w:r>
      <w:proofErr w:type="spellEnd"/>
      <w:r w:rsidRPr="00C31183">
        <w:rPr>
          <w:lang w:eastAsia="ja-JP"/>
        </w:rPr>
        <w:t xml:space="preserve"> test (2-sided Pearson). An analysis of ORR in the SA population was performed separately for </w:t>
      </w:r>
      <w:proofErr w:type="spellStart"/>
      <w:r w:rsidRPr="00C31183">
        <w:rPr>
          <w:lang w:eastAsia="ja-JP"/>
        </w:rPr>
        <w:t>docetaxel</w:t>
      </w:r>
      <w:proofErr w:type="spellEnd"/>
      <w:r w:rsidRPr="00C31183">
        <w:rPr>
          <w:lang w:eastAsia="ja-JP"/>
        </w:rPr>
        <w:t xml:space="preserve"> and </w:t>
      </w:r>
      <w:proofErr w:type="spellStart"/>
      <w:r w:rsidRPr="00C31183">
        <w:rPr>
          <w:lang w:eastAsia="ja-JP"/>
        </w:rPr>
        <w:t>pemetrexed</w:t>
      </w:r>
      <w:proofErr w:type="spellEnd"/>
      <w:r w:rsidRPr="00C31183">
        <w:rPr>
          <w:lang w:eastAsia="ja-JP"/>
        </w:rPr>
        <w:t>. Disagreement rates between ORR based on IRR and investigator assessments of t</w:t>
      </w:r>
      <w:r w:rsidR="000B78FC">
        <w:rPr>
          <w:lang w:eastAsia="ja-JP"/>
        </w:rPr>
        <w:t>umour responses were presented.</w:t>
      </w:r>
    </w:p>
    <w:p w:rsidR="00CE4F74" w:rsidRPr="00C31183" w:rsidRDefault="00CE4F74" w:rsidP="000B78FC">
      <w:pPr>
        <w:pStyle w:val="Heading5"/>
        <w:rPr>
          <w:lang w:eastAsia="ja-JP"/>
        </w:rPr>
      </w:pPr>
      <w:r w:rsidRPr="00C31183">
        <w:rPr>
          <w:lang w:eastAsia="ja-JP"/>
        </w:rPr>
        <w:t>Time-to-Tumour Response (TTR)</w:t>
      </w:r>
    </w:p>
    <w:p w:rsidR="00CE4F74" w:rsidRPr="00C31183" w:rsidRDefault="00CE4F74" w:rsidP="000B78FC">
      <w:pPr>
        <w:rPr>
          <w:lang w:eastAsia="ja-JP"/>
        </w:rPr>
      </w:pPr>
      <w:r w:rsidRPr="00C31183">
        <w:rPr>
          <w:lang w:eastAsia="ja-JP"/>
        </w:rPr>
        <w:t>TTR was calculated for the subgroup of patients with objective tumo</w:t>
      </w:r>
      <w:r>
        <w:rPr>
          <w:lang w:eastAsia="ja-JP"/>
        </w:rPr>
        <w:t>u</w:t>
      </w:r>
      <w:r w:rsidRPr="00C31183">
        <w:rPr>
          <w:lang w:eastAsia="ja-JP"/>
        </w:rPr>
        <w:t>r response. Descri</w:t>
      </w:r>
      <w:r w:rsidR="000B78FC">
        <w:rPr>
          <w:lang w:eastAsia="ja-JP"/>
        </w:rPr>
        <w:t>ptive statistics were provided.</w:t>
      </w:r>
    </w:p>
    <w:p w:rsidR="00CE4F74" w:rsidRPr="00C31183" w:rsidRDefault="00CE4F74" w:rsidP="000B78FC">
      <w:pPr>
        <w:pStyle w:val="Heading5"/>
        <w:rPr>
          <w:lang w:eastAsia="ja-JP"/>
        </w:rPr>
      </w:pPr>
      <w:r w:rsidRPr="00C31183">
        <w:rPr>
          <w:lang w:eastAsia="ja-JP"/>
        </w:rPr>
        <w:t>Disease Control Rate (DCR)</w:t>
      </w:r>
    </w:p>
    <w:p w:rsidR="00CE4F74" w:rsidRPr="00C31183" w:rsidRDefault="00CE4F74" w:rsidP="000B78FC">
      <w:pPr>
        <w:rPr>
          <w:lang w:eastAsia="ja-JP"/>
        </w:rPr>
      </w:pPr>
      <w:r w:rsidRPr="00C31183">
        <w:rPr>
          <w:lang w:eastAsia="ja-JP"/>
        </w:rPr>
        <w:t xml:space="preserve">The DCR between the 2 treatment arms was compared using a 2-sided CMH test stratified for baseline stratification factors and an </w:t>
      </w:r>
      <w:proofErr w:type="spellStart"/>
      <w:r w:rsidRPr="00C31183">
        <w:rPr>
          <w:lang w:eastAsia="ja-JP"/>
        </w:rPr>
        <w:t>unstratified</w:t>
      </w:r>
      <w:proofErr w:type="spellEnd"/>
      <w:r w:rsidRPr="00C31183">
        <w:rPr>
          <w:lang w:eastAsia="ja-JP"/>
        </w:rPr>
        <w:t xml:space="preserve"> test (2-</w:t>
      </w:r>
      <w:r w:rsidR="000B78FC">
        <w:rPr>
          <w:lang w:eastAsia="ja-JP"/>
        </w:rPr>
        <w:t>sided Pearson chi-square test).</w:t>
      </w:r>
    </w:p>
    <w:p w:rsidR="00CE4F74" w:rsidRPr="00C31183" w:rsidRDefault="00CE4F74" w:rsidP="000B78FC">
      <w:pPr>
        <w:pStyle w:val="Heading4"/>
      </w:pPr>
      <w:bookmarkStart w:id="36" w:name="_Toc228773339"/>
      <w:r w:rsidRPr="00C31183">
        <w:t>Adjustment for multiple comparisons</w:t>
      </w:r>
      <w:bookmarkEnd w:id="36"/>
    </w:p>
    <w:p w:rsidR="00CE4F74" w:rsidRPr="00C31183" w:rsidRDefault="00CE4F74" w:rsidP="000B78FC">
      <w:pPr>
        <w:rPr>
          <w:lang w:eastAsia="ja-JP"/>
        </w:rPr>
      </w:pPr>
      <w:r w:rsidRPr="00C31183">
        <w:rPr>
          <w:lang w:eastAsia="ja-JP"/>
        </w:rPr>
        <w:t xml:space="preserve">To control the family-wise Type I error for the multiple comparison between </w:t>
      </w:r>
      <w:proofErr w:type="spellStart"/>
      <w:r w:rsidRPr="00C31183">
        <w:rPr>
          <w:lang w:eastAsia="ja-JP"/>
        </w:rPr>
        <w:t>crizotinib</w:t>
      </w:r>
      <w:proofErr w:type="spellEnd"/>
      <w:r w:rsidRPr="00C31183">
        <w:rPr>
          <w:lang w:eastAsia="ja-JP"/>
        </w:rPr>
        <w:t xml:space="preserve"> (Arm A) and chemotherapy (Arm B), an hierarchal step-down procedure was applied to the efficacy endpoints in the following order: (1) PFS</w:t>
      </w:r>
      <w:r w:rsidR="000B78FC">
        <w:rPr>
          <w:lang w:eastAsia="ja-JP"/>
        </w:rPr>
        <w:t>; (2) ORR; (3) OS; and (4) DCR.</w:t>
      </w:r>
    </w:p>
    <w:p w:rsidR="00CE4F74" w:rsidRPr="00C31183" w:rsidRDefault="00CE4F74" w:rsidP="000B78FC">
      <w:pPr>
        <w:pStyle w:val="Heading4"/>
      </w:pPr>
      <w:bookmarkStart w:id="37" w:name="_Toc228773340"/>
      <w:r w:rsidRPr="00C31183">
        <w:t>Handling of missing efficacy endpoint data</w:t>
      </w:r>
      <w:bookmarkEnd w:id="37"/>
    </w:p>
    <w:p w:rsidR="00CE4F74" w:rsidRPr="00C31183" w:rsidRDefault="00CE4F74" w:rsidP="000B78FC">
      <w:pPr>
        <w:rPr>
          <w:lang w:eastAsia="ja-JP"/>
        </w:rPr>
      </w:pPr>
      <w:r w:rsidRPr="00C31183">
        <w:rPr>
          <w:lang w:eastAsia="ja-JP"/>
        </w:rPr>
        <w:t>The SAP stated that no values were to be imputed for missing data for the primary and secondary analyses. For time-to-event endpoints (OS and PFS), non-event observations were to be censored and for ORR, patients with no post-baseline or missing baseline tumour evaluations were to be counted as non-responders. Appropriate methods were provided for handling ambivalent or missing answers to the EORTC QLQ-C30, QLQ-LC13, and EQ-5D questionnaires.</w:t>
      </w:r>
    </w:p>
    <w:p w:rsidR="00CE4F74" w:rsidRPr="00C31183" w:rsidRDefault="00CE4F74" w:rsidP="000B78FC">
      <w:pPr>
        <w:pStyle w:val="Heading4"/>
      </w:pPr>
      <w:bookmarkStart w:id="38" w:name="_Toc228773341"/>
      <w:r w:rsidRPr="00C31183">
        <w:lastRenderedPageBreak/>
        <w:t>Interim analysis</w:t>
      </w:r>
      <w:bookmarkEnd w:id="38"/>
    </w:p>
    <w:p w:rsidR="00CE4F74" w:rsidRPr="00C31183" w:rsidRDefault="00CE4F74" w:rsidP="000B78FC">
      <w:pPr>
        <w:rPr>
          <w:lang w:eastAsia="ja-JP"/>
        </w:rPr>
      </w:pPr>
      <w:r w:rsidRPr="00C31183">
        <w:rPr>
          <w:lang w:eastAsia="ja-JP"/>
        </w:rPr>
        <w:t>No interim analysis was planned for the primary endpoint of PFS. The final analysis of PFS was to be conducted after 217 PFS events had been documented and the results of this final PFS analysis were presented in the submitted CSR. One interim analysis of OS was performed at the time of the final PFS analysis and the results of this interim OS analysis were presented in the submitted CSR. The final analysis of OS will be pro</w:t>
      </w:r>
      <w:r w:rsidR="000B78FC">
        <w:rPr>
          <w:lang w:eastAsia="ja-JP"/>
        </w:rPr>
        <w:t>vided in the final CSR.</w:t>
      </w:r>
    </w:p>
    <w:p w:rsidR="00CE4F74" w:rsidRPr="00C31183" w:rsidRDefault="00CE4F74" w:rsidP="000B78FC">
      <w:pPr>
        <w:pStyle w:val="Heading4"/>
      </w:pPr>
      <w:bookmarkStart w:id="39" w:name="_Toc228773342"/>
      <w:r w:rsidRPr="00C31183">
        <w:t>Participant flow</w:t>
      </w:r>
      <w:bookmarkEnd w:id="39"/>
    </w:p>
    <w:p w:rsidR="00CE4F74" w:rsidRPr="00C31183" w:rsidRDefault="00CE4F74" w:rsidP="000B78FC">
      <w:pPr>
        <w:rPr>
          <w:lang w:eastAsia="ja-JP"/>
        </w:rPr>
      </w:pPr>
      <w:r>
        <w:rPr>
          <w:lang w:eastAsia="ja-JP"/>
        </w:rPr>
        <w:t xml:space="preserve">The study </w:t>
      </w:r>
      <w:proofErr w:type="spellStart"/>
      <w:r>
        <w:rPr>
          <w:lang w:eastAsia="ja-JP"/>
        </w:rPr>
        <w:t>planed</w:t>
      </w:r>
      <w:proofErr w:type="spellEnd"/>
      <w:r>
        <w:rPr>
          <w:lang w:eastAsia="ja-JP"/>
        </w:rPr>
        <w:t xml:space="preserve"> to randomis</w:t>
      </w:r>
      <w:r w:rsidRPr="00C31183">
        <w:rPr>
          <w:lang w:eastAsia="ja-JP"/>
        </w:rPr>
        <w:t xml:space="preserve">e a total of 318 patients. However, 347 patients were actually </w:t>
      </w:r>
      <w:r>
        <w:rPr>
          <w:lang w:eastAsia="ja-JP"/>
        </w:rPr>
        <w:t>randomised</w:t>
      </w:r>
      <w:r w:rsidRPr="00C31183">
        <w:rPr>
          <w:lang w:eastAsia="ja-JP"/>
        </w:rPr>
        <w:t xml:space="preserve"> as all patients who signed an informed consent form in the screening period and meeting entry criteria were </w:t>
      </w:r>
      <w:r>
        <w:rPr>
          <w:lang w:eastAsia="ja-JP"/>
        </w:rPr>
        <w:t>randomised</w:t>
      </w:r>
      <w:r w:rsidRPr="00C31183">
        <w:rPr>
          <w:lang w:eastAsia="ja-JP"/>
        </w:rPr>
        <w:t xml:space="preserve"> to study treatment. Of the 347 </w:t>
      </w:r>
      <w:r>
        <w:rPr>
          <w:lang w:eastAsia="ja-JP"/>
        </w:rPr>
        <w:t>randomised</w:t>
      </w:r>
      <w:r w:rsidRPr="00C31183">
        <w:rPr>
          <w:lang w:eastAsia="ja-JP"/>
        </w:rPr>
        <w:t xml:space="preserve"> patients, 343 (172 </w:t>
      </w:r>
      <w:proofErr w:type="spellStart"/>
      <w:r w:rsidRPr="00C31183">
        <w:rPr>
          <w:lang w:eastAsia="ja-JP"/>
        </w:rPr>
        <w:t>crizotinib</w:t>
      </w:r>
      <w:proofErr w:type="spellEnd"/>
      <w:r w:rsidRPr="00C31183">
        <w:rPr>
          <w:lang w:eastAsia="ja-JP"/>
        </w:rPr>
        <w:t xml:space="preserve"> and 171 chemotherapy) received study treatment, and 4 were </w:t>
      </w:r>
      <w:r>
        <w:rPr>
          <w:lang w:eastAsia="ja-JP"/>
        </w:rPr>
        <w:t>randomised</w:t>
      </w:r>
      <w:r w:rsidRPr="00C31183">
        <w:rPr>
          <w:lang w:eastAsia="ja-JP"/>
        </w:rPr>
        <w:t xml:space="preserve"> but not treated (1 </w:t>
      </w:r>
      <w:r>
        <w:rPr>
          <w:lang w:eastAsia="ja-JP"/>
        </w:rPr>
        <w:t>randomised</w:t>
      </w:r>
      <w:r w:rsidRPr="00C31183">
        <w:rPr>
          <w:lang w:eastAsia="ja-JP"/>
        </w:rPr>
        <w:t xml:space="preserve"> to chemotherapy died before dosing, 1 </w:t>
      </w:r>
      <w:r>
        <w:rPr>
          <w:lang w:eastAsia="ja-JP"/>
        </w:rPr>
        <w:t>randomised</w:t>
      </w:r>
      <w:r w:rsidRPr="00C31183">
        <w:rPr>
          <w:lang w:eastAsia="ja-JP"/>
        </w:rPr>
        <w:t xml:space="preserve"> to chemotherapy was not eligible due to a protocol violation, 1 </w:t>
      </w:r>
      <w:r>
        <w:rPr>
          <w:lang w:eastAsia="ja-JP"/>
        </w:rPr>
        <w:t>randomised</w:t>
      </w:r>
      <w:r w:rsidRPr="00C31183">
        <w:rPr>
          <w:lang w:eastAsia="ja-JP"/>
        </w:rPr>
        <w:t xml:space="preserve"> to chemotherapy received </w:t>
      </w:r>
      <w:proofErr w:type="spellStart"/>
      <w:r w:rsidRPr="00C31183">
        <w:rPr>
          <w:lang w:eastAsia="ja-JP"/>
        </w:rPr>
        <w:t>crizotinib</w:t>
      </w:r>
      <w:proofErr w:type="spellEnd"/>
      <w:r w:rsidRPr="00C31183">
        <w:rPr>
          <w:lang w:eastAsia="ja-JP"/>
        </w:rPr>
        <w:t xml:space="preserve"> outside the study and subsequently died and 1 was </w:t>
      </w:r>
      <w:r>
        <w:rPr>
          <w:lang w:eastAsia="ja-JP"/>
        </w:rPr>
        <w:t>randomised</w:t>
      </w:r>
      <w:r w:rsidRPr="00C31183">
        <w:rPr>
          <w:lang w:eastAsia="ja-JP"/>
        </w:rPr>
        <w:t xml:space="preserve"> to </w:t>
      </w:r>
      <w:proofErr w:type="spellStart"/>
      <w:r w:rsidRPr="00C31183">
        <w:rPr>
          <w:lang w:eastAsia="ja-JP"/>
        </w:rPr>
        <w:t>crizotinib</w:t>
      </w:r>
      <w:proofErr w:type="spellEnd"/>
      <w:r w:rsidRPr="00C31183">
        <w:rPr>
          <w:lang w:eastAsia="ja-JP"/>
        </w:rPr>
        <w:t xml:space="preserve"> in error but was not treated and was later enrolled in </w:t>
      </w:r>
      <w:r>
        <w:rPr>
          <w:lang w:eastAsia="ja-JP"/>
        </w:rPr>
        <w:t>Study A8081005</w:t>
      </w:r>
      <w:r w:rsidRPr="00C31183">
        <w:rPr>
          <w:lang w:eastAsia="ja-JP"/>
        </w:rPr>
        <w:t xml:space="preserve">). Of the total number of </w:t>
      </w:r>
      <w:r>
        <w:rPr>
          <w:lang w:eastAsia="ja-JP"/>
        </w:rPr>
        <w:t>randomised</w:t>
      </w:r>
      <w:r w:rsidRPr="00C31183">
        <w:rPr>
          <w:lang w:eastAsia="ja-JP"/>
        </w:rPr>
        <w:t xml:space="preserve"> patients, 50.3% in the </w:t>
      </w:r>
      <w:proofErr w:type="spellStart"/>
      <w:r w:rsidRPr="00C31183">
        <w:rPr>
          <w:lang w:eastAsia="ja-JP"/>
        </w:rPr>
        <w:t>crizotinib</w:t>
      </w:r>
      <w:proofErr w:type="spellEnd"/>
      <w:r w:rsidRPr="00C31183">
        <w:rPr>
          <w:lang w:eastAsia="ja-JP"/>
        </w:rPr>
        <w:t xml:space="preserve"> and 82.2% in the chemotherapy arm permanently discontinued study treatment. The most common reasons for permanent discontinuation were global deterioration of health status and objective progression or relapse, which when combined occurred at a greater incidence in the chemotherapy arm than in the </w:t>
      </w:r>
      <w:proofErr w:type="spellStart"/>
      <w:r w:rsidRPr="00C31183">
        <w:rPr>
          <w:lang w:eastAsia="ja-JP"/>
        </w:rPr>
        <w:t>crizotinib</w:t>
      </w:r>
      <w:proofErr w:type="spellEnd"/>
      <w:r w:rsidRPr="00C31183">
        <w:rPr>
          <w:lang w:eastAsia="ja-JP"/>
        </w:rPr>
        <w:t xml:space="preserve"> arm. Deaths at the end of treatment were reported more frequently in the </w:t>
      </w:r>
      <w:proofErr w:type="spellStart"/>
      <w:r w:rsidRPr="00C31183">
        <w:rPr>
          <w:lang w:eastAsia="ja-JP"/>
        </w:rPr>
        <w:t>crizotinib</w:t>
      </w:r>
      <w:proofErr w:type="spellEnd"/>
      <w:r w:rsidRPr="00C31183">
        <w:rPr>
          <w:lang w:eastAsia="ja-JP"/>
        </w:rPr>
        <w:t xml:space="preserve"> arm than in the chemotherapy arm. Patient disposition at end of treatment is </w:t>
      </w:r>
      <w:r>
        <w:rPr>
          <w:lang w:eastAsia="ja-JP"/>
        </w:rPr>
        <w:t>summarised</w:t>
      </w:r>
      <w:r w:rsidR="000B78FC">
        <w:rPr>
          <w:lang w:eastAsia="ja-JP"/>
        </w:rPr>
        <w:t xml:space="preserve"> below in Table 1.</w:t>
      </w:r>
    </w:p>
    <w:p w:rsidR="00E45E56" w:rsidRDefault="00CE4F74" w:rsidP="00E45E56">
      <w:pPr>
        <w:pStyle w:val="TableTitle"/>
        <w:rPr>
          <w:lang w:eastAsia="ja-JP"/>
        </w:rPr>
      </w:pPr>
      <w:bookmarkStart w:id="40" w:name="_Toc228773424"/>
      <w:r w:rsidRPr="00C31183">
        <w:rPr>
          <w:lang w:eastAsia="ja-JP"/>
        </w:rPr>
        <w:t xml:space="preserve">Table </w:t>
      </w:r>
      <w:r w:rsidRPr="00C31183">
        <w:rPr>
          <w:lang w:eastAsia="ja-JP"/>
        </w:rPr>
        <w:fldChar w:fldCharType="begin"/>
      </w:r>
      <w:r w:rsidRPr="00C31183">
        <w:rPr>
          <w:lang w:eastAsia="ja-JP"/>
        </w:rPr>
        <w:instrText xml:space="preserve"> SEQ Table \* ARABIC </w:instrText>
      </w:r>
      <w:r w:rsidRPr="00C31183">
        <w:rPr>
          <w:lang w:eastAsia="ja-JP"/>
        </w:rPr>
        <w:fldChar w:fldCharType="separate"/>
      </w:r>
      <w:r>
        <w:rPr>
          <w:noProof/>
          <w:lang w:eastAsia="ja-JP"/>
        </w:rPr>
        <w:t>1</w:t>
      </w:r>
      <w:r w:rsidRPr="00C31183">
        <w:rPr>
          <w:lang w:eastAsia="ja-JP"/>
        </w:rPr>
        <w:fldChar w:fldCharType="end"/>
      </w:r>
      <w:r w:rsidRPr="00C31183">
        <w:rPr>
          <w:lang w:eastAsia="ja-JP"/>
        </w:rPr>
        <w:t>: Study A8081007 - Patient disposition at end of treatment; FA.</w:t>
      </w:r>
      <w:bookmarkEnd w:id="40"/>
    </w:p>
    <w:p w:rsidR="00CE4F74" w:rsidRDefault="00CE4F74" w:rsidP="00E45E56">
      <w:pPr>
        <w:rPr>
          <w:lang w:eastAsia="ja-JP"/>
        </w:rPr>
      </w:pPr>
      <w:r>
        <w:rPr>
          <w:noProof/>
          <w:lang w:eastAsia="en-AU"/>
        </w:rPr>
        <w:drawing>
          <wp:inline distT="0" distB="0" distL="0" distR="0" wp14:anchorId="06CEA7E0" wp14:editId="410AF145">
            <wp:extent cx="5876925" cy="2857500"/>
            <wp:effectExtent l="0" t="0" r="0" b="0"/>
            <wp:docPr id="8" name="Picture 8" descr="Table 1: Study A8081007 - Patient disposition at end of treatment; 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Table 1: Study A8081007 - Patient disposition at end of treatment; FA."/>
                    <pic:cNvPicPr>
                      <a:picLocks noChangeAspect="1" noChangeArrowheads="1"/>
                    </pic:cNvPicPr>
                  </pic:nvPicPr>
                  <pic:blipFill>
                    <a:blip r:embed="rId15">
                      <a:extLst>
                        <a:ext uri="{28A0092B-C50C-407E-A947-70E740481C1C}">
                          <a14:useLocalDpi xmlns:a14="http://schemas.microsoft.com/office/drawing/2010/main" val="0"/>
                        </a:ext>
                      </a:extLst>
                    </a:blip>
                    <a:srcRect b="1434"/>
                    <a:stretch>
                      <a:fillRect/>
                    </a:stretch>
                  </pic:blipFill>
                  <pic:spPr bwMode="auto">
                    <a:xfrm>
                      <a:off x="0" y="0"/>
                      <a:ext cx="5876925" cy="2857500"/>
                    </a:xfrm>
                    <a:prstGeom prst="rect">
                      <a:avLst/>
                    </a:prstGeom>
                    <a:noFill/>
                    <a:ln>
                      <a:noFill/>
                    </a:ln>
                  </pic:spPr>
                </pic:pic>
              </a:graphicData>
            </a:graphic>
          </wp:inline>
        </w:drawing>
      </w:r>
    </w:p>
    <w:p w:rsidR="00CE4F74" w:rsidRPr="009B3EF4" w:rsidRDefault="00CE4F74" w:rsidP="00E45E56">
      <w:pPr>
        <w:pStyle w:val="TableDescription"/>
        <w:rPr>
          <w:lang w:eastAsia="ja-JP"/>
        </w:rPr>
      </w:pPr>
      <w:r w:rsidRPr="009B3EF4">
        <w:rPr>
          <w:lang w:eastAsia="ja-JP"/>
        </w:rPr>
        <w:t>[</w:t>
      </w:r>
      <w:proofErr w:type="gramStart"/>
      <w:r w:rsidRPr="009B3EF4">
        <w:rPr>
          <w:lang w:eastAsia="ja-JP"/>
        </w:rPr>
        <w:t>a</w:t>
      </w:r>
      <w:proofErr w:type="gramEnd"/>
      <w:r w:rsidRPr="009B3EF4">
        <w:rPr>
          <w:lang w:eastAsia="ja-JP"/>
        </w:rPr>
        <w:t>] Other reasons = investigator decision to discontinue study drug due to patient lack of cooperation (1 patient) and subjective progression (1 patient).</w:t>
      </w:r>
    </w:p>
    <w:p w:rsidR="00CE4F74" w:rsidRPr="009B3EF4" w:rsidRDefault="00CE4F74" w:rsidP="00E45E56">
      <w:pPr>
        <w:pStyle w:val="TableDescription"/>
        <w:rPr>
          <w:lang w:eastAsia="ja-JP"/>
        </w:rPr>
      </w:pPr>
      <w:r w:rsidRPr="009B3EF4">
        <w:rPr>
          <w:lang w:eastAsia="ja-JP"/>
        </w:rPr>
        <w:t>[b] Other reasons included = local site guidance for maximum treatment duration was 6 cycles of chemotherapy (6 patients), crossover (2 patients), patient planned to have surgery for voice hoarseness after completing 6 cycles of chemotherapy (1 patient), local radiology laboratory confirmed pa</w:t>
      </w:r>
      <w:r w:rsidR="00E45E56">
        <w:rPr>
          <w:lang w:eastAsia="ja-JP"/>
        </w:rPr>
        <w:t>tient progression (2 patients).</w:t>
      </w:r>
    </w:p>
    <w:p w:rsidR="00CE4F74" w:rsidRPr="00C31183" w:rsidRDefault="00CE4F74" w:rsidP="00E45E56">
      <w:pPr>
        <w:rPr>
          <w:lang w:eastAsia="ja-JP"/>
        </w:rPr>
      </w:pPr>
      <w:r w:rsidRPr="00C31183">
        <w:rPr>
          <w:lang w:eastAsia="ja-JP"/>
        </w:rPr>
        <w:t>Patient disposit</w:t>
      </w:r>
      <w:r w:rsidRPr="00143CC0">
        <w:rPr>
          <w:lang w:eastAsia="ja-JP"/>
        </w:rPr>
        <w:t xml:space="preserve">ion at the end of treatment by study </w:t>
      </w:r>
      <w:r w:rsidRPr="00C31183">
        <w:rPr>
          <w:lang w:eastAsia="ja-JP"/>
        </w:rPr>
        <w:t xml:space="preserve">drug is </w:t>
      </w:r>
      <w:r>
        <w:rPr>
          <w:lang w:eastAsia="ja-JP"/>
        </w:rPr>
        <w:t>summarised</w:t>
      </w:r>
      <w:r w:rsidRPr="00C31183">
        <w:rPr>
          <w:lang w:eastAsia="ja-JP"/>
        </w:rPr>
        <w:t xml:space="preserve"> below in Table 2. Based on the SA population, 172 patients were treated with </w:t>
      </w:r>
      <w:proofErr w:type="spellStart"/>
      <w:r w:rsidRPr="00C31183">
        <w:rPr>
          <w:lang w:eastAsia="ja-JP"/>
        </w:rPr>
        <w:t>crizotinib</w:t>
      </w:r>
      <w:proofErr w:type="spellEnd"/>
      <w:r w:rsidRPr="00C31183">
        <w:rPr>
          <w:lang w:eastAsia="ja-JP"/>
        </w:rPr>
        <w:t xml:space="preserve">, 99 patients with </w:t>
      </w:r>
      <w:proofErr w:type="spellStart"/>
      <w:r w:rsidRPr="00C31183">
        <w:rPr>
          <w:lang w:eastAsia="ja-JP"/>
        </w:rPr>
        <w:t>pemetrexed</w:t>
      </w:r>
      <w:proofErr w:type="spellEnd"/>
      <w:r w:rsidRPr="00C31183">
        <w:rPr>
          <w:lang w:eastAsia="ja-JP"/>
        </w:rPr>
        <w:t xml:space="preserve"> and 72 patients with </w:t>
      </w:r>
      <w:proofErr w:type="spellStart"/>
      <w:r w:rsidRPr="00C31183">
        <w:rPr>
          <w:lang w:eastAsia="ja-JP"/>
        </w:rPr>
        <w:t>docetaxel</w:t>
      </w:r>
      <w:proofErr w:type="spellEnd"/>
      <w:r w:rsidRPr="00C31183">
        <w:rPr>
          <w:lang w:eastAsia="ja-JP"/>
        </w:rPr>
        <w:t xml:space="preserve">. More patients on </w:t>
      </w:r>
      <w:proofErr w:type="spellStart"/>
      <w:r w:rsidRPr="00C31183">
        <w:rPr>
          <w:lang w:eastAsia="ja-JP"/>
        </w:rPr>
        <w:t>pemetrexed</w:t>
      </w:r>
      <w:proofErr w:type="spellEnd"/>
      <w:r w:rsidRPr="00C31183">
        <w:rPr>
          <w:lang w:eastAsia="ja-JP"/>
        </w:rPr>
        <w:t xml:space="preserve"> (78.8%) and </w:t>
      </w:r>
      <w:proofErr w:type="spellStart"/>
      <w:r w:rsidRPr="00C31183">
        <w:rPr>
          <w:lang w:eastAsia="ja-JP"/>
        </w:rPr>
        <w:t>docetaxel</w:t>
      </w:r>
      <w:proofErr w:type="spellEnd"/>
      <w:r w:rsidRPr="00C31183">
        <w:rPr>
          <w:lang w:eastAsia="ja-JP"/>
        </w:rPr>
        <w:t xml:space="preserve"> (90.3%) permanently discontinued study treatment than patients on </w:t>
      </w:r>
      <w:proofErr w:type="spellStart"/>
      <w:r w:rsidRPr="00C31183">
        <w:rPr>
          <w:lang w:eastAsia="ja-JP"/>
        </w:rPr>
        <w:t>crizotinib</w:t>
      </w:r>
      <w:proofErr w:type="spellEnd"/>
      <w:r w:rsidRPr="00C31183">
        <w:rPr>
          <w:lang w:eastAsia="ja-JP"/>
        </w:rPr>
        <w:t xml:space="preserve"> (50.6%).</w:t>
      </w:r>
    </w:p>
    <w:p w:rsidR="00CE4F74" w:rsidRPr="00E45E56" w:rsidRDefault="00CE4F74" w:rsidP="00E45E56">
      <w:pPr>
        <w:pStyle w:val="TableTitle"/>
      </w:pPr>
      <w:bookmarkStart w:id="41" w:name="_Toc228773425"/>
      <w:proofErr w:type="gramStart"/>
      <w:r w:rsidRPr="00C31183">
        <w:rPr>
          <w:lang w:eastAsia="ja-JP"/>
        </w:rPr>
        <w:lastRenderedPageBreak/>
        <w:t xml:space="preserve">Table </w:t>
      </w:r>
      <w:r w:rsidRPr="00C31183">
        <w:rPr>
          <w:lang w:eastAsia="ja-JP"/>
        </w:rPr>
        <w:fldChar w:fldCharType="begin"/>
      </w:r>
      <w:r w:rsidRPr="00C31183">
        <w:rPr>
          <w:lang w:eastAsia="ja-JP"/>
        </w:rPr>
        <w:instrText xml:space="preserve"> SEQ Table \* ARABIC </w:instrText>
      </w:r>
      <w:r w:rsidRPr="00C31183">
        <w:rPr>
          <w:lang w:eastAsia="ja-JP"/>
        </w:rPr>
        <w:fldChar w:fldCharType="separate"/>
      </w:r>
      <w:r>
        <w:rPr>
          <w:noProof/>
          <w:lang w:eastAsia="ja-JP"/>
        </w:rPr>
        <w:t>2</w:t>
      </w:r>
      <w:r w:rsidRPr="00C31183">
        <w:rPr>
          <w:lang w:eastAsia="ja-JP"/>
        </w:rPr>
        <w:fldChar w:fldCharType="end"/>
      </w:r>
      <w:r w:rsidRPr="00C31183">
        <w:rPr>
          <w:lang w:eastAsia="ja-JP"/>
        </w:rPr>
        <w:t>: Patient disposi</w:t>
      </w:r>
      <w:r w:rsidRPr="00143CC0">
        <w:rPr>
          <w:lang w:eastAsia="ja-JP"/>
        </w:rPr>
        <w:t>tion at end of treatment by</w:t>
      </w:r>
      <w:r w:rsidRPr="00C31183">
        <w:rPr>
          <w:lang w:eastAsia="ja-JP"/>
        </w:rPr>
        <w:t xml:space="preserve"> study drug; SA.</w:t>
      </w:r>
      <w:bookmarkEnd w:id="41"/>
      <w:proofErr w:type="gramEnd"/>
    </w:p>
    <w:p w:rsidR="00CE4F74" w:rsidRPr="00C31183" w:rsidRDefault="00CE4F74" w:rsidP="00E45E56">
      <w:pPr>
        <w:rPr>
          <w:lang w:eastAsia="ja-JP"/>
        </w:rPr>
      </w:pPr>
      <w:r>
        <w:rPr>
          <w:noProof/>
          <w:lang w:eastAsia="en-AU"/>
        </w:rPr>
        <w:drawing>
          <wp:inline distT="0" distB="0" distL="0" distR="0" wp14:anchorId="7B89DEF6" wp14:editId="733B860A">
            <wp:extent cx="5915025" cy="1200150"/>
            <wp:effectExtent l="0" t="0" r="0" b="0"/>
            <wp:docPr id="7" name="Picture 7" descr="Table 2: Patient disposition by study drug; 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able 2: Patient disposition by study drug; SA.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5025" cy="1200150"/>
                    </a:xfrm>
                    <a:prstGeom prst="rect">
                      <a:avLst/>
                    </a:prstGeom>
                    <a:noFill/>
                    <a:ln>
                      <a:noFill/>
                    </a:ln>
                  </pic:spPr>
                </pic:pic>
              </a:graphicData>
            </a:graphic>
          </wp:inline>
        </w:drawing>
      </w:r>
    </w:p>
    <w:p w:rsidR="00CE4F74" w:rsidRPr="00C31183" w:rsidRDefault="00CE4F74" w:rsidP="00E45E56">
      <w:pPr>
        <w:rPr>
          <w:lang w:eastAsia="ja-JP"/>
        </w:rPr>
      </w:pPr>
      <w:r w:rsidRPr="00C31183">
        <w:rPr>
          <w:lang w:eastAsia="ja-JP"/>
        </w:rPr>
        <w:t xml:space="preserve">The protocol design included long-term survival follow-up after patients discontinued from treatment. Information on the reason for discontinuation from long-term survival follow-up was collected on the “End of Study” </w:t>
      </w:r>
      <w:proofErr w:type="spellStart"/>
      <w:r w:rsidRPr="00C31183">
        <w:rPr>
          <w:lang w:eastAsia="ja-JP"/>
        </w:rPr>
        <w:t>eCRF</w:t>
      </w:r>
      <w:proofErr w:type="spellEnd"/>
      <w:r w:rsidRPr="00C31183">
        <w:rPr>
          <w:lang w:eastAsia="ja-JP"/>
        </w:rPr>
        <w:t xml:space="preserve">. The most common reason for discontinuing from long-term follow-up in the </w:t>
      </w:r>
      <w:proofErr w:type="spellStart"/>
      <w:r w:rsidRPr="00C31183">
        <w:rPr>
          <w:lang w:eastAsia="ja-JP"/>
        </w:rPr>
        <w:t>crizotinib</w:t>
      </w:r>
      <w:proofErr w:type="spellEnd"/>
      <w:r w:rsidRPr="00C31183">
        <w:rPr>
          <w:lang w:eastAsia="ja-JP"/>
        </w:rPr>
        <w:t xml:space="preserve"> arm was death (26.6%), and “other” (61.5%) in the chemotherapy arm (most frequently due to “crossed over to Study A8081005”). The patient disposition at the end of the study (</w:t>
      </w:r>
      <w:r>
        <w:rPr>
          <w:lang w:eastAsia="ja-JP"/>
        </w:rPr>
        <w:t>that is,</w:t>
      </w:r>
      <w:r w:rsidRPr="00C31183">
        <w:rPr>
          <w:lang w:eastAsia="ja-JP"/>
        </w:rPr>
        <w:t xml:space="preserve"> end of follow-up) is </w:t>
      </w:r>
      <w:r>
        <w:rPr>
          <w:lang w:eastAsia="ja-JP"/>
        </w:rPr>
        <w:t>summarised</w:t>
      </w:r>
      <w:r w:rsidR="00E45E56">
        <w:rPr>
          <w:lang w:eastAsia="ja-JP"/>
        </w:rPr>
        <w:t xml:space="preserve"> below in Table 3.</w:t>
      </w:r>
    </w:p>
    <w:p w:rsidR="00E45E56" w:rsidRDefault="00CE4F74" w:rsidP="00E45E56">
      <w:pPr>
        <w:pStyle w:val="TableTitle"/>
        <w:rPr>
          <w:lang w:eastAsia="ja-JP"/>
        </w:rPr>
      </w:pPr>
      <w:bookmarkStart w:id="42" w:name="_Toc228773426"/>
      <w:r w:rsidRPr="00C31183">
        <w:rPr>
          <w:lang w:eastAsia="ja-JP"/>
        </w:rPr>
        <w:t xml:space="preserve">Table </w:t>
      </w:r>
      <w:r w:rsidRPr="00C31183">
        <w:rPr>
          <w:lang w:eastAsia="ja-JP"/>
        </w:rPr>
        <w:fldChar w:fldCharType="begin"/>
      </w:r>
      <w:r w:rsidRPr="00C31183">
        <w:rPr>
          <w:lang w:eastAsia="ja-JP"/>
        </w:rPr>
        <w:instrText xml:space="preserve"> SEQ Table \* ARABIC </w:instrText>
      </w:r>
      <w:r w:rsidRPr="00C31183">
        <w:rPr>
          <w:lang w:eastAsia="ja-JP"/>
        </w:rPr>
        <w:fldChar w:fldCharType="separate"/>
      </w:r>
      <w:r>
        <w:rPr>
          <w:noProof/>
          <w:lang w:eastAsia="ja-JP"/>
        </w:rPr>
        <w:t>3</w:t>
      </w:r>
      <w:r w:rsidRPr="00C31183">
        <w:rPr>
          <w:lang w:eastAsia="ja-JP"/>
        </w:rPr>
        <w:fldChar w:fldCharType="end"/>
      </w:r>
      <w:r w:rsidRPr="00C31183">
        <w:rPr>
          <w:lang w:eastAsia="ja-JP"/>
        </w:rPr>
        <w:t>: Patient disposition at end of study (</w:t>
      </w:r>
      <w:r>
        <w:rPr>
          <w:lang w:eastAsia="ja-JP"/>
        </w:rPr>
        <w:t>that is,</w:t>
      </w:r>
      <w:r w:rsidRPr="00C31183">
        <w:rPr>
          <w:lang w:eastAsia="ja-JP"/>
        </w:rPr>
        <w:t xml:space="preserve"> at the end of </w:t>
      </w:r>
      <w:r w:rsidRPr="00E45E56">
        <w:t>follow</w:t>
      </w:r>
      <w:r w:rsidRPr="00C31183">
        <w:rPr>
          <w:lang w:eastAsia="ja-JP"/>
        </w:rPr>
        <w:t>-up); FA.</w:t>
      </w:r>
      <w:bookmarkEnd w:id="42"/>
    </w:p>
    <w:p w:rsidR="00CE4F74" w:rsidRPr="00C31183" w:rsidRDefault="00CE4F74" w:rsidP="00E45E56">
      <w:pPr>
        <w:rPr>
          <w:lang w:eastAsia="ja-JP"/>
        </w:rPr>
      </w:pPr>
      <w:r>
        <w:rPr>
          <w:noProof/>
          <w:lang w:eastAsia="en-AU"/>
        </w:rPr>
        <w:drawing>
          <wp:inline distT="0" distB="0" distL="0" distR="0" wp14:anchorId="6D9B7263" wp14:editId="7F803958">
            <wp:extent cx="5934075" cy="1943100"/>
            <wp:effectExtent l="0" t="0" r="0" b="0"/>
            <wp:docPr id="6" name="Picture 6" descr="Table 3: Patient disposition at end of study (that is, at the end of follow-up); F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able 3: Patient disposition at end of study (that is, at the end of follow-up); FA. "/>
                    <pic:cNvPicPr>
                      <a:picLocks noChangeAspect="1" noChangeArrowheads="1"/>
                    </pic:cNvPicPr>
                  </pic:nvPicPr>
                  <pic:blipFill>
                    <a:blip r:embed="rId17">
                      <a:extLst>
                        <a:ext uri="{28A0092B-C50C-407E-A947-70E740481C1C}">
                          <a14:useLocalDpi xmlns:a14="http://schemas.microsoft.com/office/drawing/2010/main" val="0"/>
                        </a:ext>
                      </a:extLst>
                    </a:blip>
                    <a:srcRect t="3044" b="2238"/>
                    <a:stretch>
                      <a:fillRect/>
                    </a:stretch>
                  </pic:blipFill>
                  <pic:spPr bwMode="auto">
                    <a:xfrm>
                      <a:off x="0" y="0"/>
                      <a:ext cx="5934075" cy="1943100"/>
                    </a:xfrm>
                    <a:prstGeom prst="rect">
                      <a:avLst/>
                    </a:prstGeom>
                    <a:noFill/>
                    <a:ln>
                      <a:noFill/>
                    </a:ln>
                  </pic:spPr>
                </pic:pic>
              </a:graphicData>
            </a:graphic>
          </wp:inline>
        </w:drawing>
      </w:r>
    </w:p>
    <w:p w:rsidR="00CE4F74" w:rsidRPr="009B3EF4" w:rsidRDefault="00CE4F74" w:rsidP="00E45E56">
      <w:pPr>
        <w:pStyle w:val="TableDescription"/>
        <w:rPr>
          <w:lang w:eastAsia="ja-JP"/>
        </w:rPr>
      </w:pPr>
      <w:r w:rsidRPr="009B3EF4">
        <w:rPr>
          <w:lang w:eastAsia="ja-JP"/>
        </w:rPr>
        <w:t>[</w:t>
      </w:r>
      <w:proofErr w:type="gramStart"/>
      <w:r w:rsidRPr="009B3EF4">
        <w:rPr>
          <w:lang w:eastAsia="ja-JP"/>
        </w:rPr>
        <w:t>a</w:t>
      </w:r>
      <w:proofErr w:type="gramEnd"/>
      <w:r w:rsidRPr="009B3EF4">
        <w:rPr>
          <w:lang w:eastAsia="ja-JP"/>
        </w:rPr>
        <w:t>]</w:t>
      </w:r>
      <w:r>
        <w:rPr>
          <w:lang w:eastAsia="ja-JP"/>
        </w:rPr>
        <w:t xml:space="preserve"> </w:t>
      </w:r>
      <w:r w:rsidRPr="009B3EF4">
        <w:rPr>
          <w:lang w:eastAsia="ja-JP"/>
        </w:rPr>
        <w:t>Three additional patients died, but were listed with other as a reason for dis</w:t>
      </w:r>
      <w:r w:rsidR="00E45E56">
        <w:rPr>
          <w:lang w:eastAsia="ja-JP"/>
        </w:rPr>
        <w:t>continuation rather than death.</w:t>
      </w:r>
    </w:p>
    <w:p w:rsidR="00CE4F74" w:rsidRPr="009B3EF4" w:rsidRDefault="00CE4F74" w:rsidP="00E45E56">
      <w:pPr>
        <w:pStyle w:val="TableDescription"/>
        <w:rPr>
          <w:lang w:eastAsia="ja-JP"/>
        </w:rPr>
      </w:pPr>
      <w:r w:rsidRPr="009B3EF4">
        <w:rPr>
          <w:lang w:eastAsia="ja-JP"/>
        </w:rPr>
        <w:t>[b] Other reasons: randomised by mistake, not eligible for this study; inadmissible AE; patient gave up treatment and unwilling to continue the study; confirmed progressive disease and withdrew from the study; subsequent cycle could not initiate on a planned day and need for treatment delay for more than 42 days due to AE (pneumonia).</w:t>
      </w:r>
    </w:p>
    <w:p w:rsidR="00CE4F74" w:rsidRPr="009B3EF4" w:rsidRDefault="00CE4F74" w:rsidP="00E45E56">
      <w:pPr>
        <w:pStyle w:val="TableDescription"/>
        <w:rPr>
          <w:lang w:eastAsia="ja-JP"/>
        </w:rPr>
      </w:pPr>
      <w:r w:rsidRPr="009B3EF4">
        <w:rPr>
          <w:lang w:eastAsia="ja-JP"/>
        </w:rPr>
        <w:t>[c] Most were “c</w:t>
      </w:r>
      <w:r w:rsidR="00E45E56">
        <w:rPr>
          <w:lang w:eastAsia="ja-JP"/>
        </w:rPr>
        <w:t>rossed over to Study A8081005”.</w:t>
      </w:r>
    </w:p>
    <w:p w:rsidR="00CE4F74" w:rsidRPr="00C31183" w:rsidRDefault="00CE4F74" w:rsidP="00E45E56">
      <w:pPr>
        <w:pStyle w:val="Heading4"/>
      </w:pPr>
      <w:bookmarkStart w:id="43" w:name="_Toc228773343"/>
      <w:r w:rsidRPr="00C31183">
        <w:t>Baseline data</w:t>
      </w:r>
      <w:bookmarkEnd w:id="43"/>
    </w:p>
    <w:p w:rsidR="00CE4F74" w:rsidRPr="00C31183" w:rsidRDefault="00CE4F74" w:rsidP="00E45E56">
      <w:pPr>
        <w:pStyle w:val="Heading5"/>
      </w:pPr>
      <w:bookmarkStart w:id="44" w:name="_Toc228773344"/>
      <w:r w:rsidRPr="00C31183">
        <w:t>Demographics</w:t>
      </w:r>
      <w:bookmarkEnd w:id="44"/>
    </w:p>
    <w:p w:rsidR="00CE4F74" w:rsidRPr="00C31183" w:rsidRDefault="00CE4F74" w:rsidP="00E45E56">
      <w:pPr>
        <w:rPr>
          <w:lang w:eastAsia="ja-JP"/>
        </w:rPr>
      </w:pPr>
      <w:r w:rsidRPr="00C31183">
        <w:rPr>
          <w:lang w:eastAsia="ja-JP"/>
        </w:rPr>
        <w:t xml:space="preserve">The baseline demographics for patients in the FA population were well balanced between the two </w:t>
      </w:r>
      <w:r>
        <w:rPr>
          <w:lang w:eastAsia="ja-JP"/>
        </w:rPr>
        <w:t>randomised</w:t>
      </w:r>
      <w:r w:rsidRPr="00C31183">
        <w:rPr>
          <w:lang w:eastAsia="ja-JP"/>
        </w:rPr>
        <w:t xml:space="preserve"> treatment arms. The mean (SD) patient age in the total FA population w</w:t>
      </w:r>
      <w:r w:rsidRPr="00143CC0">
        <w:rPr>
          <w:lang w:eastAsia="ja-JP"/>
        </w:rPr>
        <w:t>as 50.1</w:t>
      </w:r>
      <w:r w:rsidRPr="00C31183">
        <w:rPr>
          <w:lang w:eastAsia="ja-JP"/>
        </w:rPr>
        <w:t xml:space="preserve"> (13.0) years and ranged from 2</w:t>
      </w:r>
      <w:r w:rsidRPr="00143CC0">
        <w:rPr>
          <w:lang w:eastAsia="ja-JP"/>
        </w:rPr>
        <w:t>2 to 85 years,</w:t>
      </w:r>
      <w:r w:rsidRPr="00C31183">
        <w:rPr>
          <w:lang w:eastAsia="ja-JP"/>
        </w:rPr>
        <w:t xml:space="preserve"> with 85.6% (n=297) of the total population being aged &lt; 65 years and 14.4% (n=50) being aged </w:t>
      </w:r>
      <w:r>
        <w:rPr>
          <w:lang w:eastAsia="ja-JP"/>
        </w:rPr>
        <w:t>≥</w:t>
      </w:r>
      <w:r w:rsidRPr="00C31183">
        <w:rPr>
          <w:lang w:eastAsia="ja-JP"/>
        </w:rPr>
        <w:t xml:space="preserve"> 65 years. The total population included 153 (44.1%) males and 194 (55.9%) females. The racial grouping of the total population was White (52.2%, n=181), Asian (45.2%, n=157) and Black (1.4%, n=5). Perusal of the baseline demographics for each of the three study drugs showed that patients aged </w:t>
      </w:r>
      <w:r>
        <w:rPr>
          <w:lang w:eastAsia="ja-JP"/>
        </w:rPr>
        <w:t>≥</w:t>
      </w:r>
      <w:r w:rsidRPr="00C31183">
        <w:rPr>
          <w:lang w:eastAsia="ja-JP"/>
        </w:rPr>
        <w:t xml:space="preserve"> 65 years were more common in the </w:t>
      </w:r>
      <w:proofErr w:type="spellStart"/>
      <w:r w:rsidRPr="00C31183">
        <w:rPr>
          <w:lang w:eastAsia="ja-JP"/>
        </w:rPr>
        <w:t>crizotinib</w:t>
      </w:r>
      <w:proofErr w:type="spellEnd"/>
      <w:r w:rsidRPr="00C31183">
        <w:rPr>
          <w:lang w:eastAsia="ja-JP"/>
        </w:rPr>
        <w:t xml:space="preserve"> (15.7%, n=27) and </w:t>
      </w:r>
      <w:proofErr w:type="spellStart"/>
      <w:r w:rsidRPr="00C31183">
        <w:rPr>
          <w:lang w:eastAsia="ja-JP"/>
        </w:rPr>
        <w:t>pemetrexed</w:t>
      </w:r>
      <w:proofErr w:type="spellEnd"/>
      <w:r w:rsidRPr="00C31183">
        <w:rPr>
          <w:lang w:eastAsia="ja-JP"/>
        </w:rPr>
        <w:t xml:space="preserve"> (17.2%, n=17) groups than in the </w:t>
      </w:r>
      <w:proofErr w:type="spellStart"/>
      <w:r w:rsidRPr="00C31183">
        <w:rPr>
          <w:lang w:eastAsia="ja-JP"/>
        </w:rPr>
        <w:t>docetaxel</w:t>
      </w:r>
      <w:proofErr w:type="spellEnd"/>
      <w:r w:rsidRPr="00C31183">
        <w:rPr>
          <w:lang w:eastAsia="ja-JP"/>
        </w:rPr>
        <w:t xml:space="preserve"> group (8.3%, n=6), w</w:t>
      </w:r>
      <w:r>
        <w:rPr>
          <w:lang w:eastAsia="ja-JP"/>
        </w:rPr>
        <w:t>hile patients categoris</w:t>
      </w:r>
      <w:r w:rsidRPr="00C31183">
        <w:rPr>
          <w:lang w:eastAsia="ja-JP"/>
        </w:rPr>
        <w:t xml:space="preserve">ed as White were marginally more common in the </w:t>
      </w:r>
      <w:proofErr w:type="spellStart"/>
      <w:r w:rsidRPr="00C31183">
        <w:rPr>
          <w:lang w:eastAsia="ja-JP"/>
        </w:rPr>
        <w:t>docetaxel</w:t>
      </w:r>
      <w:proofErr w:type="spellEnd"/>
      <w:r w:rsidRPr="00C31183">
        <w:rPr>
          <w:lang w:eastAsia="ja-JP"/>
        </w:rPr>
        <w:t xml:space="preserve"> group (58.3%, n=42) than in the </w:t>
      </w:r>
      <w:proofErr w:type="spellStart"/>
      <w:r w:rsidRPr="00C31183">
        <w:rPr>
          <w:lang w:eastAsia="ja-JP"/>
        </w:rPr>
        <w:t>crizotinib</w:t>
      </w:r>
      <w:proofErr w:type="spellEnd"/>
      <w:r w:rsidRPr="00C31183">
        <w:rPr>
          <w:lang w:eastAsia="ja-JP"/>
        </w:rPr>
        <w:t xml:space="preserve"> (51.7%, n=89) and the </w:t>
      </w:r>
      <w:proofErr w:type="spellStart"/>
      <w:r w:rsidRPr="00C31183">
        <w:rPr>
          <w:lang w:eastAsia="ja-JP"/>
        </w:rPr>
        <w:t>p</w:t>
      </w:r>
      <w:r w:rsidR="00E45E56">
        <w:rPr>
          <w:lang w:eastAsia="ja-JP"/>
        </w:rPr>
        <w:t>emetrexed</w:t>
      </w:r>
      <w:proofErr w:type="spellEnd"/>
      <w:r w:rsidR="00E45E56">
        <w:rPr>
          <w:lang w:eastAsia="ja-JP"/>
        </w:rPr>
        <w:t xml:space="preserve"> (47.5%, n=47) groups.</w:t>
      </w:r>
    </w:p>
    <w:p w:rsidR="00CE4F74" w:rsidRPr="00C31183" w:rsidRDefault="00CE4F74" w:rsidP="00E45E56">
      <w:pPr>
        <w:pStyle w:val="Heading5"/>
      </w:pPr>
      <w:bookmarkStart w:id="45" w:name="_Toc228773345"/>
      <w:r w:rsidRPr="00C31183">
        <w:t>Disease characteristics</w:t>
      </w:r>
      <w:bookmarkEnd w:id="45"/>
    </w:p>
    <w:p w:rsidR="00CE4F74" w:rsidRPr="00C31183" w:rsidRDefault="00CE4F74" w:rsidP="00E45E56">
      <w:pPr>
        <w:rPr>
          <w:lang w:eastAsia="ja-JP"/>
        </w:rPr>
      </w:pPr>
      <w:r w:rsidRPr="00C31183">
        <w:rPr>
          <w:lang w:eastAsia="ja-JP"/>
        </w:rPr>
        <w:t xml:space="preserve">The baseline disease characteristics in the FA population were well balanced between the two </w:t>
      </w:r>
      <w:r>
        <w:rPr>
          <w:lang w:eastAsia="ja-JP"/>
        </w:rPr>
        <w:t>randomised</w:t>
      </w:r>
      <w:r w:rsidRPr="00C31183">
        <w:rPr>
          <w:lang w:eastAsia="ja-JP"/>
        </w:rPr>
        <w:t xml:space="preserve"> treatment arms and all patients in both treatment arms had a primary diagnosis of </w:t>
      </w:r>
      <w:r w:rsidRPr="00C31183">
        <w:rPr>
          <w:lang w:eastAsia="ja-JP"/>
        </w:rPr>
        <w:lastRenderedPageBreak/>
        <w:t xml:space="preserve">NSCLC. In the total FA population, the mean duration of </w:t>
      </w:r>
      <w:proofErr w:type="spellStart"/>
      <w:r w:rsidRPr="00C31183">
        <w:rPr>
          <w:lang w:eastAsia="ja-JP"/>
        </w:rPr>
        <w:t>histopathological</w:t>
      </w:r>
      <w:proofErr w:type="spellEnd"/>
      <w:r w:rsidRPr="00C31183">
        <w:rPr>
          <w:lang w:eastAsia="ja-JP"/>
        </w:rPr>
        <w:t xml:space="preserve"> diagnosis until the date of </w:t>
      </w:r>
      <w:r>
        <w:rPr>
          <w:lang w:eastAsia="ja-JP"/>
        </w:rPr>
        <w:t>randomisation</w:t>
      </w:r>
      <w:r w:rsidRPr="00C31183">
        <w:rPr>
          <w:lang w:eastAsia="ja-JP"/>
        </w:rPr>
        <w:t xml:space="preserve"> was 1.2 years, with a median of 0.7 years and a range of 0.1 to 12.4 years. Measurable disease was present in 345 (99.4%) of patients, with no measurable disease being reported in 1 patient (chemotherapy arm) and status being not reported in 1 patient (</w:t>
      </w:r>
      <w:proofErr w:type="spellStart"/>
      <w:r w:rsidRPr="00C31183">
        <w:rPr>
          <w:lang w:eastAsia="ja-JP"/>
        </w:rPr>
        <w:t>crizotinib</w:t>
      </w:r>
      <w:proofErr w:type="spellEnd"/>
      <w:r w:rsidRPr="00C31183">
        <w:rPr>
          <w:lang w:eastAsia="ja-JP"/>
        </w:rPr>
        <w:t xml:space="preserve"> arm). Measurable disease was defined as at least 1 target lesion </w:t>
      </w:r>
      <w:r>
        <w:rPr>
          <w:lang w:eastAsia="ja-JP"/>
        </w:rPr>
        <w:t>≥</w:t>
      </w:r>
      <w:r w:rsidRPr="00C31183">
        <w:rPr>
          <w:lang w:eastAsia="ja-JP"/>
        </w:rPr>
        <w:t xml:space="preserve"> 2 cm or at least 1 target lesion </w:t>
      </w:r>
      <w:r>
        <w:rPr>
          <w:lang w:eastAsia="ja-JP"/>
        </w:rPr>
        <w:t>≥</w:t>
      </w:r>
      <w:r w:rsidRPr="00C31183">
        <w:rPr>
          <w:lang w:eastAsia="ja-JP"/>
        </w:rPr>
        <w:t xml:space="preserve"> 1 cm for spiral CT or at least 1 lymph node target lesion with shortest diameter </w:t>
      </w:r>
      <w:r>
        <w:rPr>
          <w:lang w:eastAsia="ja-JP"/>
        </w:rPr>
        <w:t>≥</w:t>
      </w:r>
      <w:r w:rsidRPr="00C31183">
        <w:rPr>
          <w:lang w:eastAsia="ja-JP"/>
        </w:rPr>
        <w:t xml:space="preserve"> 1.5 cm. Adequate baseline assessment was reported in 345 (99.4%) of patients, with inadequate assessment being reported in 1 patient (chemotherapy arm) and status being not reported in 1 patient (</w:t>
      </w:r>
      <w:proofErr w:type="spellStart"/>
      <w:r w:rsidRPr="00C31183">
        <w:rPr>
          <w:lang w:eastAsia="ja-JP"/>
        </w:rPr>
        <w:t>crizotinib</w:t>
      </w:r>
      <w:proofErr w:type="spellEnd"/>
      <w:r w:rsidRPr="00C31183">
        <w:rPr>
          <w:lang w:eastAsia="ja-JP"/>
        </w:rPr>
        <w:t xml:space="preserve"> arm). Adequate baseline assessment was defined as all evaluations, target and non-target, being within the study specific time window prior to </w:t>
      </w:r>
      <w:r>
        <w:rPr>
          <w:lang w:eastAsia="ja-JP"/>
        </w:rPr>
        <w:t>randomisation</w:t>
      </w:r>
      <w:r w:rsidRPr="00C31183">
        <w:rPr>
          <w:lang w:eastAsia="ja-JP"/>
        </w:rPr>
        <w:t xml:space="preserve">. ECOG PS at baseline was reported as 0, 1, 2, or not reported in 137 (39.5%) patients, 179 (51.6%) patients, 30 (8.6%) patients and 1 (&lt;1.0%) patient, respectively. The primary diagnosis, duration of disease since </w:t>
      </w:r>
      <w:proofErr w:type="spellStart"/>
      <w:r w:rsidRPr="00C31183">
        <w:rPr>
          <w:lang w:eastAsia="ja-JP"/>
        </w:rPr>
        <w:t>histopathological</w:t>
      </w:r>
      <w:proofErr w:type="spellEnd"/>
      <w:r w:rsidRPr="00C31183">
        <w:rPr>
          <w:lang w:eastAsia="ja-JP"/>
        </w:rPr>
        <w:t xml:space="preserve"> diagnosis to date of </w:t>
      </w:r>
      <w:r>
        <w:rPr>
          <w:lang w:eastAsia="ja-JP"/>
        </w:rPr>
        <w:t>randomisation</w:t>
      </w:r>
      <w:r w:rsidRPr="00C31183">
        <w:rPr>
          <w:lang w:eastAsia="ja-JP"/>
        </w:rPr>
        <w:t xml:space="preserve"> and ECOG PS at baseline did not markedly differ for the three study drugs.</w:t>
      </w:r>
    </w:p>
    <w:p w:rsidR="00CE4F74" w:rsidRPr="00C31183" w:rsidRDefault="00CE4F74" w:rsidP="00E45E56">
      <w:pPr>
        <w:pStyle w:val="Heading5"/>
      </w:pPr>
      <w:bookmarkStart w:id="46" w:name="_Toc228773346"/>
      <w:r w:rsidRPr="00C31183">
        <w:t>Primary diagnosis</w:t>
      </w:r>
      <w:bookmarkEnd w:id="46"/>
    </w:p>
    <w:p w:rsidR="00CE4F74" w:rsidRPr="00C31183" w:rsidRDefault="00CE4F74" w:rsidP="00E45E56">
      <w:pPr>
        <w:rPr>
          <w:lang w:eastAsia="ja-JP"/>
        </w:rPr>
      </w:pPr>
      <w:r w:rsidRPr="00C31183">
        <w:rPr>
          <w:lang w:eastAsia="ja-JP"/>
        </w:rPr>
        <w:t xml:space="preserve">The primary diagnosis did not markedly differ between the two </w:t>
      </w:r>
      <w:r>
        <w:rPr>
          <w:lang w:eastAsia="ja-JP"/>
        </w:rPr>
        <w:t>randomised</w:t>
      </w:r>
      <w:r w:rsidRPr="00C31183">
        <w:rPr>
          <w:lang w:eastAsia="ja-JP"/>
        </w:rPr>
        <w:t xml:space="preserve"> treatment arms in the FA population, with 323 (93.1%) patients having adenocarcinoma. Locally advanced disease occurred more commonly in the chemotherapy arm than in the </w:t>
      </w:r>
      <w:proofErr w:type="spellStart"/>
      <w:r w:rsidRPr="00C31183">
        <w:rPr>
          <w:lang w:eastAsia="ja-JP"/>
        </w:rPr>
        <w:t>crizotinib</w:t>
      </w:r>
      <w:proofErr w:type="spellEnd"/>
      <w:r w:rsidRPr="00C31183">
        <w:rPr>
          <w:lang w:eastAsia="ja-JP"/>
        </w:rPr>
        <w:t xml:space="preserve"> arm (9.2%</w:t>
      </w:r>
      <w:r>
        <w:rPr>
          <w:lang w:eastAsia="ja-JP"/>
        </w:rPr>
        <w:t xml:space="preserve"> versus </w:t>
      </w:r>
      <w:r w:rsidRPr="00C31183">
        <w:rPr>
          <w:lang w:eastAsia="ja-JP"/>
        </w:rPr>
        <w:t>4.0%, respectively)</w:t>
      </w:r>
      <w:proofErr w:type="gramStart"/>
      <w:r w:rsidRPr="00C31183">
        <w:rPr>
          <w:lang w:eastAsia="ja-JP"/>
        </w:rPr>
        <w:t>,</w:t>
      </w:r>
      <w:proofErr w:type="gramEnd"/>
      <w:r w:rsidRPr="00C31183">
        <w:rPr>
          <w:lang w:eastAsia="ja-JP"/>
        </w:rPr>
        <w:t xml:space="preserve"> while metastatic disease was reported more commonly in the </w:t>
      </w:r>
      <w:proofErr w:type="spellStart"/>
      <w:r w:rsidRPr="00C31183">
        <w:rPr>
          <w:lang w:eastAsia="ja-JP"/>
        </w:rPr>
        <w:t>crizotinib</w:t>
      </w:r>
      <w:proofErr w:type="spellEnd"/>
      <w:r w:rsidRPr="00C31183">
        <w:rPr>
          <w:lang w:eastAsia="ja-JP"/>
        </w:rPr>
        <w:t xml:space="preserve"> arm than in the chemotherapy arm (95.4%</w:t>
      </w:r>
      <w:r>
        <w:rPr>
          <w:lang w:eastAsia="ja-JP"/>
        </w:rPr>
        <w:t xml:space="preserve"> versus </w:t>
      </w:r>
      <w:r w:rsidRPr="00C31183">
        <w:rPr>
          <w:lang w:eastAsia="ja-JP"/>
        </w:rPr>
        <w:t xml:space="preserve">90.8%, respectively). The percentage of patients with a primary histological diagnosis of adenocarcinoma was similar among the three study drugs (range: 92.9% to 94.8%). Metastatic disease was reported more frequently in patients in the </w:t>
      </w:r>
      <w:proofErr w:type="spellStart"/>
      <w:r w:rsidRPr="00C31183">
        <w:rPr>
          <w:lang w:eastAsia="ja-JP"/>
        </w:rPr>
        <w:t>crizotinib</w:t>
      </w:r>
      <w:proofErr w:type="spellEnd"/>
      <w:r w:rsidRPr="00C31183">
        <w:rPr>
          <w:lang w:eastAsia="ja-JP"/>
        </w:rPr>
        <w:t xml:space="preserve"> and </w:t>
      </w:r>
      <w:proofErr w:type="spellStart"/>
      <w:r w:rsidRPr="00C31183">
        <w:rPr>
          <w:lang w:eastAsia="ja-JP"/>
        </w:rPr>
        <w:t>docetaxel</w:t>
      </w:r>
      <w:proofErr w:type="spellEnd"/>
      <w:r w:rsidRPr="00C31183">
        <w:rPr>
          <w:lang w:eastAsia="ja-JP"/>
        </w:rPr>
        <w:t xml:space="preserve"> groups (95.9%, n=165 and 93.1%, n=67), than in the </w:t>
      </w:r>
      <w:proofErr w:type="spellStart"/>
      <w:r w:rsidR="00E45E56">
        <w:rPr>
          <w:lang w:eastAsia="ja-JP"/>
        </w:rPr>
        <w:t>pemetrexed</w:t>
      </w:r>
      <w:proofErr w:type="spellEnd"/>
      <w:r w:rsidR="00E45E56">
        <w:rPr>
          <w:lang w:eastAsia="ja-JP"/>
        </w:rPr>
        <w:t xml:space="preserve"> group (88.9%, n=88).</w:t>
      </w:r>
    </w:p>
    <w:p w:rsidR="00CE4F74" w:rsidRPr="00C31183" w:rsidRDefault="00CE4F74" w:rsidP="00E45E56">
      <w:pPr>
        <w:pStyle w:val="Heading5"/>
      </w:pPr>
      <w:bookmarkStart w:id="47" w:name="_Toc228773347"/>
      <w:r w:rsidRPr="00C31183">
        <w:t xml:space="preserve">Prior </w:t>
      </w:r>
      <w:r w:rsidRPr="00E45E56">
        <w:t>treatments</w:t>
      </w:r>
      <w:r w:rsidRPr="00C31183">
        <w:t xml:space="preserve"> for the primary diagnosis</w:t>
      </w:r>
      <w:bookmarkEnd w:id="47"/>
    </w:p>
    <w:p w:rsidR="00CE4F74" w:rsidRPr="00C31183" w:rsidRDefault="00CE4F74" w:rsidP="00E45E56">
      <w:pPr>
        <w:rPr>
          <w:lang w:eastAsia="ja-JP"/>
        </w:rPr>
      </w:pPr>
      <w:r w:rsidRPr="00C31183">
        <w:rPr>
          <w:lang w:eastAsia="ja-JP"/>
        </w:rPr>
        <w:t xml:space="preserve">Prior treatments for the primary diagnosis were similar in the two </w:t>
      </w:r>
      <w:r>
        <w:rPr>
          <w:lang w:eastAsia="ja-JP"/>
        </w:rPr>
        <w:t>randomised</w:t>
      </w:r>
      <w:r w:rsidRPr="00C31183">
        <w:rPr>
          <w:lang w:eastAsia="ja-JP"/>
        </w:rPr>
        <w:t xml:space="preserve"> treatment arms in the FA population. Prior surgery had occurred in 172 patients (99.4%) in the </w:t>
      </w:r>
      <w:proofErr w:type="spellStart"/>
      <w:r w:rsidRPr="00C31183">
        <w:rPr>
          <w:lang w:eastAsia="ja-JP"/>
        </w:rPr>
        <w:t>crizotinib</w:t>
      </w:r>
      <w:proofErr w:type="spellEnd"/>
      <w:r w:rsidRPr="00C31183">
        <w:rPr>
          <w:lang w:eastAsia="ja-JP"/>
        </w:rPr>
        <w:t xml:space="preserve"> arm and all 174 (100.0%) patients in the chemotherapy arm, with tumour resected being reported in 35 (20.3%) and 32 (18.4%) patients, respectively. Prior radiation therapy had been used in 77 (44.5%) patients in the </w:t>
      </w:r>
      <w:proofErr w:type="spellStart"/>
      <w:r w:rsidRPr="00C31183">
        <w:rPr>
          <w:lang w:eastAsia="ja-JP"/>
        </w:rPr>
        <w:t>crizotinib</w:t>
      </w:r>
      <w:proofErr w:type="spellEnd"/>
      <w:r w:rsidRPr="00C31183">
        <w:rPr>
          <w:lang w:eastAsia="ja-JP"/>
        </w:rPr>
        <w:t xml:space="preserve"> arm and 80 (46.0%) patients in the chemotherapy arm, while all patients in both treatment arms had received prior systemic therapies apart from 1 patient in the </w:t>
      </w:r>
      <w:proofErr w:type="spellStart"/>
      <w:r w:rsidRPr="00C31183">
        <w:rPr>
          <w:lang w:eastAsia="ja-JP"/>
        </w:rPr>
        <w:t>crizotinib</w:t>
      </w:r>
      <w:proofErr w:type="spellEnd"/>
      <w:r w:rsidRPr="00C31183">
        <w:rPr>
          <w:lang w:eastAsia="ja-JP"/>
        </w:rPr>
        <w:t xml:space="preserve"> arm for who this information was not collected. The best overall response profile to first line of metastatic chemotherapy was similar for the two </w:t>
      </w:r>
      <w:r>
        <w:rPr>
          <w:lang w:eastAsia="ja-JP"/>
        </w:rPr>
        <w:t>randomised</w:t>
      </w:r>
      <w:r w:rsidR="00E45E56">
        <w:rPr>
          <w:lang w:eastAsia="ja-JP"/>
        </w:rPr>
        <w:t xml:space="preserve"> treatment arms.</w:t>
      </w:r>
    </w:p>
    <w:p w:rsidR="00CE4F74" w:rsidRPr="00C31183" w:rsidRDefault="00CE4F74" w:rsidP="00E45E56">
      <w:pPr>
        <w:pStyle w:val="Heading5"/>
      </w:pPr>
      <w:bookmarkStart w:id="48" w:name="_Toc228773348"/>
      <w:r w:rsidRPr="00C31183">
        <w:t>Past medical history</w:t>
      </w:r>
      <w:bookmarkEnd w:id="48"/>
    </w:p>
    <w:p w:rsidR="00CE4F74" w:rsidRPr="00C31183" w:rsidRDefault="00CE4F74" w:rsidP="00E45E56">
      <w:pPr>
        <w:rPr>
          <w:lang w:eastAsia="ja-JP"/>
        </w:rPr>
      </w:pPr>
      <w:r w:rsidRPr="00C31183">
        <w:rPr>
          <w:lang w:eastAsia="ja-JP"/>
        </w:rPr>
        <w:t xml:space="preserve">Of the 347 </w:t>
      </w:r>
      <w:r>
        <w:rPr>
          <w:lang w:eastAsia="ja-JP"/>
        </w:rPr>
        <w:t>randomised</w:t>
      </w:r>
      <w:r w:rsidRPr="00C31183">
        <w:rPr>
          <w:lang w:eastAsia="ja-JP"/>
        </w:rPr>
        <w:t xml:space="preserve"> patients, 200 (57.6%) reported a past medical history and 331 (95.4%) reported a present medical history. Past and present medical histories were generally comparable between two </w:t>
      </w:r>
      <w:r>
        <w:rPr>
          <w:lang w:eastAsia="ja-JP"/>
        </w:rPr>
        <w:t>randomised</w:t>
      </w:r>
      <w:r w:rsidRPr="00C31183">
        <w:rPr>
          <w:lang w:eastAsia="ja-JP"/>
        </w:rPr>
        <w:t xml:space="preserve"> treatment arms. The most commonly reported present medical histories (</w:t>
      </w:r>
      <w:r>
        <w:rPr>
          <w:lang w:eastAsia="ja-JP"/>
        </w:rPr>
        <w:t>≥</w:t>
      </w:r>
      <w:r w:rsidRPr="00C31183">
        <w:rPr>
          <w:lang w:eastAsia="ja-JP"/>
        </w:rPr>
        <w:t xml:space="preserve"> 10% of patients) and </w:t>
      </w:r>
      <w:proofErr w:type="spellStart"/>
      <w:r w:rsidRPr="00C31183">
        <w:rPr>
          <w:lang w:eastAsia="ja-JP"/>
        </w:rPr>
        <w:t>crizotinib</w:t>
      </w:r>
      <w:proofErr w:type="spellEnd"/>
      <w:r>
        <w:rPr>
          <w:lang w:eastAsia="ja-JP"/>
        </w:rPr>
        <w:t xml:space="preserve"> versus </w:t>
      </w:r>
      <w:r w:rsidRPr="00C31183">
        <w:rPr>
          <w:lang w:eastAsia="ja-JP"/>
        </w:rPr>
        <w:t>chemotherapy, respectively, were: cough (41.6%</w:t>
      </w:r>
      <w:r>
        <w:rPr>
          <w:lang w:eastAsia="ja-JP"/>
        </w:rPr>
        <w:t xml:space="preserve"> versus </w:t>
      </w:r>
      <w:r w:rsidRPr="00C31183">
        <w:rPr>
          <w:lang w:eastAsia="ja-JP"/>
        </w:rPr>
        <w:t xml:space="preserve">40.8%), </w:t>
      </w:r>
      <w:proofErr w:type="spellStart"/>
      <w:r w:rsidRPr="00C31183">
        <w:rPr>
          <w:lang w:eastAsia="ja-JP"/>
        </w:rPr>
        <w:t>dyspnea</w:t>
      </w:r>
      <w:proofErr w:type="spellEnd"/>
      <w:r w:rsidRPr="00C31183">
        <w:rPr>
          <w:lang w:eastAsia="ja-JP"/>
        </w:rPr>
        <w:t xml:space="preserve"> (21.4%</w:t>
      </w:r>
      <w:r>
        <w:rPr>
          <w:lang w:eastAsia="ja-JP"/>
        </w:rPr>
        <w:t xml:space="preserve"> versus </w:t>
      </w:r>
      <w:r w:rsidRPr="00C31183">
        <w:rPr>
          <w:lang w:eastAsia="ja-JP"/>
        </w:rPr>
        <w:t>27.0%), hypertension (19.7%</w:t>
      </w:r>
      <w:r>
        <w:rPr>
          <w:lang w:eastAsia="ja-JP"/>
        </w:rPr>
        <w:t xml:space="preserve"> versus </w:t>
      </w:r>
      <w:r w:rsidRPr="00C31183">
        <w:rPr>
          <w:lang w:eastAsia="ja-JP"/>
        </w:rPr>
        <w:t>12.6%), constipation (12.7%</w:t>
      </w:r>
      <w:r>
        <w:rPr>
          <w:lang w:eastAsia="ja-JP"/>
        </w:rPr>
        <w:t xml:space="preserve"> versus </w:t>
      </w:r>
      <w:r w:rsidRPr="00C31183">
        <w:rPr>
          <w:lang w:eastAsia="ja-JP"/>
        </w:rPr>
        <w:t>15.5%), back pain (10.4%</w:t>
      </w:r>
      <w:r>
        <w:rPr>
          <w:lang w:eastAsia="ja-JP"/>
        </w:rPr>
        <w:t xml:space="preserve"> versus </w:t>
      </w:r>
      <w:r w:rsidRPr="00C31183">
        <w:rPr>
          <w:lang w:eastAsia="ja-JP"/>
        </w:rPr>
        <w:t>16.1%), fatigue (13.3%</w:t>
      </w:r>
      <w:r>
        <w:rPr>
          <w:lang w:eastAsia="ja-JP"/>
        </w:rPr>
        <w:t xml:space="preserve"> versus </w:t>
      </w:r>
      <w:r w:rsidRPr="00C31183">
        <w:rPr>
          <w:lang w:eastAsia="ja-JP"/>
        </w:rPr>
        <w:t>12.6%), insomnia (13.9%</w:t>
      </w:r>
      <w:r>
        <w:rPr>
          <w:lang w:eastAsia="ja-JP"/>
        </w:rPr>
        <w:t xml:space="preserve"> versus </w:t>
      </w:r>
      <w:r w:rsidRPr="00C31183">
        <w:rPr>
          <w:lang w:eastAsia="ja-JP"/>
        </w:rPr>
        <w:t>10.3%), metastases to bone (9.2%</w:t>
      </w:r>
      <w:r>
        <w:rPr>
          <w:lang w:eastAsia="ja-JP"/>
        </w:rPr>
        <w:t xml:space="preserve"> versus </w:t>
      </w:r>
      <w:r w:rsidRPr="00C31183">
        <w:rPr>
          <w:lang w:eastAsia="ja-JP"/>
        </w:rPr>
        <w:t>13.8%), and chest pain (6.4%</w:t>
      </w:r>
      <w:r>
        <w:rPr>
          <w:lang w:eastAsia="ja-JP"/>
        </w:rPr>
        <w:t xml:space="preserve"> versus </w:t>
      </w:r>
      <w:r w:rsidR="00E45E56">
        <w:rPr>
          <w:lang w:eastAsia="ja-JP"/>
        </w:rPr>
        <w:t>16.1%).</w:t>
      </w:r>
    </w:p>
    <w:p w:rsidR="00CE4F74" w:rsidRPr="00C31183" w:rsidRDefault="00CE4F74" w:rsidP="00E45E56">
      <w:pPr>
        <w:pStyle w:val="Heading5"/>
      </w:pPr>
      <w:bookmarkStart w:id="49" w:name="_Toc228773349"/>
      <w:r w:rsidRPr="00C31183">
        <w:t xml:space="preserve">Prior </w:t>
      </w:r>
      <w:r w:rsidRPr="00E45E56">
        <w:t>treatments</w:t>
      </w:r>
      <w:r w:rsidRPr="00C31183">
        <w:t>, not including treatments for primary disease</w:t>
      </w:r>
      <w:bookmarkEnd w:id="49"/>
    </w:p>
    <w:p w:rsidR="00CE4F74" w:rsidRPr="00C31183" w:rsidRDefault="00CE4F74" w:rsidP="00E45E56">
      <w:pPr>
        <w:rPr>
          <w:lang w:eastAsia="ja-JP"/>
        </w:rPr>
      </w:pPr>
      <w:r w:rsidRPr="00C31183">
        <w:rPr>
          <w:lang w:eastAsia="ja-JP"/>
        </w:rPr>
        <w:t xml:space="preserve">Overall, 156 (90.7%) patients on </w:t>
      </w:r>
      <w:proofErr w:type="spellStart"/>
      <w:r w:rsidRPr="00C31183">
        <w:rPr>
          <w:lang w:eastAsia="ja-JP"/>
        </w:rPr>
        <w:t>crizotinib</w:t>
      </w:r>
      <w:proofErr w:type="spellEnd"/>
      <w:r w:rsidRPr="00C31183">
        <w:rPr>
          <w:lang w:eastAsia="ja-JP"/>
        </w:rPr>
        <w:t xml:space="preserve"> and 166 (97.1%) patients on chemotherapy received prior drug treatment, not including treatment for their primary disease. The most commonly reported prior medications (</w:t>
      </w:r>
      <w:r>
        <w:rPr>
          <w:lang w:eastAsia="ja-JP"/>
        </w:rPr>
        <w:t>≥</w:t>
      </w:r>
      <w:r w:rsidRPr="00C31183">
        <w:rPr>
          <w:lang w:eastAsia="ja-JP"/>
        </w:rPr>
        <w:t xml:space="preserve"> 25% of patients) in the </w:t>
      </w:r>
      <w:proofErr w:type="spellStart"/>
      <w:r w:rsidRPr="00C31183">
        <w:rPr>
          <w:lang w:eastAsia="ja-JP"/>
        </w:rPr>
        <w:t>crizotinib</w:t>
      </w:r>
      <w:proofErr w:type="spellEnd"/>
      <w:r>
        <w:rPr>
          <w:lang w:eastAsia="ja-JP"/>
        </w:rPr>
        <w:t xml:space="preserve"> versus </w:t>
      </w:r>
      <w:r w:rsidRPr="00C31183">
        <w:rPr>
          <w:lang w:eastAsia="ja-JP"/>
        </w:rPr>
        <w:t>chemotherapy arms, respectively, were: folic acid (18.6%</w:t>
      </w:r>
      <w:r>
        <w:rPr>
          <w:lang w:eastAsia="ja-JP"/>
        </w:rPr>
        <w:t xml:space="preserve"> versus </w:t>
      </w:r>
      <w:r w:rsidRPr="00C31183">
        <w:rPr>
          <w:lang w:eastAsia="ja-JP"/>
        </w:rPr>
        <w:t>46.8%); dexamethasone (13.4%</w:t>
      </w:r>
      <w:r>
        <w:rPr>
          <w:lang w:eastAsia="ja-JP"/>
        </w:rPr>
        <w:t xml:space="preserve"> versus </w:t>
      </w:r>
      <w:r w:rsidRPr="00C31183">
        <w:rPr>
          <w:lang w:eastAsia="ja-JP"/>
        </w:rPr>
        <w:t xml:space="preserve">71.9%); </w:t>
      </w:r>
      <w:proofErr w:type="spellStart"/>
      <w:r w:rsidRPr="00C31183">
        <w:rPr>
          <w:lang w:eastAsia="ja-JP"/>
        </w:rPr>
        <w:t>cyanocobalamin</w:t>
      </w:r>
      <w:proofErr w:type="spellEnd"/>
      <w:r w:rsidRPr="00C31183">
        <w:rPr>
          <w:lang w:eastAsia="ja-JP"/>
        </w:rPr>
        <w:t xml:space="preserve"> (8.1%</w:t>
      </w:r>
      <w:r>
        <w:rPr>
          <w:lang w:eastAsia="ja-JP"/>
        </w:rPr>
        <w:t xml:space="preserve"> versus </w:t>
      </w:r>
      <w:r w:rsidR="00E45E56">
        <w:rPr>
          <w:lang w:eastAsia="ja-JP"/>
        </w:rPr>
        <w:t>26.9%).</w:t>
      </w:r>
    </w:p>
    <w:p w:rsidR="00CE4F74" w:rsidRPr="00C31183" w:rsidRDefault="00CE4F74" w:rsidP="00E45E56">
      <w:pPr>
        <w:pStyle w:val="Heading5"/>
      </w:pPr>
      <w:bookmarkStart w:id="50" w:name="_Toc228773350"/>
      <w:r w:rsidRPr="00C31183">
        <w:lastRenderedPageBreak/>
        <w:t>Baseline stratification factors</w:t>
      </w:r>
      <w:bookmarkEnd w:id="50"/>
    </w:p>
    <w:p w:rsidR="00CE4F74" w:rsidRPr="00C31183" w:rsidRDefault="00CE4F74" w:rsidP="00E45E56">
      <w:pPr>
        <w:rPr>
          <w:lang w:eastAsia="ja-JP"/>
        </w:rPr>
      </w:pPr>
      <w:r w:rsidRPr="00C31183">
        <w:rPr>
          <w:lang w:eastAsia="ja-JP"/>
        </w:rPr>
        <w:t xml:space="preserve">Baseline stratification factors were similar between the two </w:t>
      </w:r>
      <w:r>
        <w:rPr>
          <w:lang w:eastAsia="ja-JP"/>
        </w:rPr>
        <w:t>randomised</w:t>
      </w:r>
      <w:r w:rsidRPr="00C31183">
        <w:rPr>
          <w:lang w:eastAsia="ja-JP"/>
        </w:rPr>
        <w:t xml:space="preserve"> treatment arms in the FA. The baseline stratification factors for the </w:t>
      </w:r>
      <w:proofErr w:type="spellStart"/>
      <w:r w:rsidRPr="00C31183">
        <w:rPr>
          <w:lang w:eastAsia="ja-JP"/>
        </w:rPr>
        <w:t>crizotinib</w:t>
      </w:r>
      <w:proofErr w:type="spellEnd"/>
      <w:r>
        <w:rPr>
          <w:lang w:eastAsia="ja-JP"/>
        </w:rPr>
        <w:t xml:space="preserve"> versus </w:t>
      </w:r>
      <w:r w:rsidRPr="00C31183">
        <w:rPr>
          <w:lang w:eastAsia="ja-JP"/>
        </w:rPr>
        <w:t>chemotherapy arms, respectively, were: ECOG PS 0-1/PS 2 89.0% (n=154)/11.0% (n=19)</w:t>
      </w:r>
      <w:r>
        <w:rPr>
          <w:lang w:eastAsia="ja-JP"/>
        </w:rPr>
        <w:t xml:space="preserve"> versus </w:t>
      </w:r>
      <w:r w:rsidRPr="00C31183">
        <w:rPr>
          <w:lang w:eastAsia="ja-JP"/>
        </w:rPr>
        <w:t>91.4% (n=159)/8.6% (n=15); brain metastases present/absent 34.7% (n=60)/65.3% (n=113)</w:t>
      </w:r>
      <w:r>
        <w:rPr>
          <w:lang w:eastAsia="ja-JP"/>
        </w:rPr>
        <w:t xml:space="preserve"> versus </w:t>
      </w:r>
      <w:r w:rsidRPr="00C31183">
        <w:rPr>
          <w:lang w:eastAsia="ja-JP"/>
        </w:rPr>
        <w:t>34.5% (n=60)/65.5% (n=114); and prior EGFR TKI treatment yes/no 11.6% (n=20)/88.4% (n=153)</w:t>
      </w:r>
      <w:r>
        <w:rPr>
          <w:lang w:eastAsia="ja-JP"/>
        </w:rPr>
        <w:t xml:space="preserve"> versus </w:t>
      </w:r>
      <w:r w:rsidR="00E45E56">
        <w:rPr>
          <w:lang w:eastAsia="ja-JP"/>
        </w:rPr>
        <w:t>12.1% (n=21)/87.9% (n=153).</w:t>
      </w:r>
    </w:p>
    <w:p w:rsidR="00CE4F74" w:rsidRPr="00C31183" w:rsidRDefault="00CE4F74" w:rsidP="00E45E56">
      <w:pPr>
        <w:pStyle w:val="Heading4"/>
      </w:pPr>
      <w:bookmarkStart w:id="51" w:name="_Toc228773351"/>
      <w:r w:rsidRPr="00C31183">
        <w:t xml:space="preserve">Major </w:t>
      </w:r>
      <w:r w:rsidRPr="00E45E56">
        <w:t>protocol</w:t>
      </w:r>
      <w:r w:rsidRPr="00C31183">
        <w:t xml:space="preserve"> deviations</w:t>
      </w:r>
      <w:bookmarkEnd w:id="51"/>
    </w:p>
    <w:p w:rsidR="00CE4F74" w:rsidRPr="00C31183" w:rsidRDefault="00CE4F74" w:rsidP="00E45E56">
      <w:pPr>
        <w:rPr>
          <w:lang w:eastAsia="ja-JP"/>
        </w:rPr>
      </w:pPr>
      <w:r w:rsidRPr="00C31183">
        <w:rPr>
          <w:lang w:eastAsia="ja-JP"/>
        </w:rPr>
        <w:t>There were a number of patients with major a</w:t>
      </w:r>
      <w:r>
        <w:rPr>
          <w:lang w:eastAsia="ja-JP"/>
        </w:rPr>
        <w:t>nd relevant protocol deviations.</w:t>
      </w:r>
      <w:r w:rsidRPr="00C31183">
        <w:rPr>
          <w:lang w:eastAsia="ja-JP"/>
        </w:rPr>
        <w:t xml:space="preserve"> The relevant study personnel warranted that “known deviations in the study do not invalidate the text in the section titled </w:t>
      </w:r>
      <w:r w:rsidRPr="00C31183">
        <w:rPr>
          <w:i/>
          <w:lang w:eastAsia="ja-JP"/>
        </w:rPr>
        <w:t>‘Ethical Conduct of Study’</w:t>
      </w:r>
      <w:r w:rsidRPr="00C31183">
        <w:rPr>
          <w:lang w:eastAsia="ja-JP"/>
        </w:rPr>
        <w:t xml:space="preserve"> regarding GCP compliance, and where, applicab</w:t>
      </w:r>
      <w:r w:rsidR="00E45E56">
        <w:rPr>
          <w:lang w:eastAsia="ja-JP"/>
        </w:rPr>
        <w:t>le, local country regulations”.</w:t>
      </w:r>
    </w:p>
    <w:p w:rsidR="00CE4F74" w:rsidRPr="00C31183" w:rsidRDefault="00CE4F74" w:rsidP="00E45E56">
      <w:pPr>
        <w:ind w:left="1418" w:hanging="1418"/>
        <w:rPr>
          <w:lang w:eastAsia="ja-JP"/>
        </w:rPr>
      </w:pPr>
      <w:r w:rsidRPr="00C31183">
        <w:rPr>
          <w:b/>
          <w:lang w:eastAsia="ja-JP"/>
        </w:rPr>
        <w:t>Comment:</w:t>
      </w:r>
      <w:r w:rsidR="00E45E56">
        <w:rPr>
          <w:lang w:eastAsia="ja-JP"/>
        </w:rPr>
        <w:tab/>
      </w:r>
      <w:r w:rsidRPr="00C31183">
        <w:rPr>
          <w:lang w:eastAsia="ja-JP"/>
        </w:rPr>
        <w:t>It is considered unlikely that the listed protocol deviations invalidated the analysis of the efficacy and/or safety data. In general, the protocol deviations were balanced between the two treatment arms.</w:t>
      </w:r>
    </w:p>
    <w:p w:rsidR="00CE4F74" w:rsidRPr="00C31183" w:rsidRDefault="00CE4F74" w:rsidP="00E45E56">
      <w:pPr>
        <w:pStyle w:val="Heading4"/>
      </w:pPr>
      <w:bookmarkStart w:id="52" w:name="_Toc228773352"/>
      <w:r w:rsidRPr="00C31183">
        <w:t>Concomitant medications</w:t>
      </w:r>
      <w:bookmarkEnd w:id="52"/>
    </w:p>
    <w:p w:rsidR="00CE4F74" w:rsidRPr="00C31183" w:rsidRDefault="00CE4F74" w:rsidP="00E45E56">
      <w:pPr>
        <w:rPr>
          <w:lang w:eastAsia="ja-JP"/>
        </w:rPr>
      </w:pPr>
      <w:r w:rsidRPr="00C31183">
        <w:rPr>
          <w:lang w:eastAsia="ja-JP"/>
        </w:rPr>
        <w:t xml:space="preserve">Overall, 169 (98.3%) patients in the </w:t>
      </w:r>
      <w:proofErr w:type="spellStart"/>
      <w:r w:rsidRPr="00C31183">
        <w:rPr>
          <w:lang w:eastAsia="ja-JP"/>
        </w:rPr>
        <w:t>crizotinib</w:t>
      </w:r>
      <w:proofErr w:type="spellEnd"/>
      <w:r w:rsidRPr="00C31183">
        <w:rPr>
          <w:lang w:eastAsia="ja-JP"/>
        </w:rPr>
        <w:t xml:space="preserve"> arm and 171 (100%) patients in the chemotherapy arm received concomitant drug treatment. The most commonly reported concomitant medications (</w:t>
      </w:r>
      <w:r>
        <w:rPr>
          <w:lang w:eastAsia="ja-JP"/>
        </w:rPr>
        <w:t>≥</w:t>
      </w:r>
      <w:r w:rsidRPr="00C31183">
        <w:rPr>
          <w:lang w:eastAsia="ja-JP"/>
        </w:rPr>
        <w:t xml:space="preserve"> 25% of patients) and </w:t>
      </w:r>
      <w:proofErr w:type="spellStart"/>
      <w:r w:rsidRPr="00C31183">
        <w:rPr>
          <w:lang w:eastAsia="ja-JP"/>
        </w:rPr>
        <w:t>crizotinib</w:t>
      </w:r>
      <w:proofErr w:type="spellEnd"/>
      <w:r>
        <w:rPr>
          <w:lang w:eastAsia="ja-JP"/>
        </w:rPr>
        <w:t xml:space="preserve"> versus </w:t>
      </w:r>
      <w:r w:rsidRPr="00C31183">
        <w:rPr>
          <w:lang w:eastAsia="ja-JP"/>
        </w:rPr>
        <w:t>chemotherapy, respectively, were: paracetamol (27.9%</w:t>
      </w:r>
      <w:r>
        <w:rPr>
          <w:lang w:eastAsia="ja-JP"/>
        </w:rPr>
        <w:t xml:space="preserve"> versus </w:t>
      </w:r>
      <w:r w:rsidRPr="00C31183">
        <w:rPr>
          <w:lang w:eastAsia="ja-JP"/>
        </w:rPr>
        <w:t>31.0%); dexamethasone (19.8% v</w:t>
      </w:r>
      <w:r>
        <w:rPr>
          <w:lang w:eastAsia="ja-JP"/>
        </w:rPr>
        <w:t>ersus</w:t>
      </w:r>
      <w:r w:rsidRPr="00C31183">
        <w:rPr>
          <w:lang w:eastAsia="ja-JP"/>
        </w:rPr>
        <w:t xml:space="preserve"> 90.6%); folic acid (16.3%</w:t>
      </w:r>
      <w:r>
        <w:rPr>
          <w:lang w:eastAsia="ja-JP"/>
        </w:rPr>
        <w:t xml:space="preserve"> versus </w:t>
      </w:r>
      <w:r w:rsidRPr="00C31183">
        <w:rPr>
          <w:lang w:eastAsia="ja-JP"/>
        </w:rPr>
        <w:t xml:space="preserve">46.2%); and </w:t>
      </w:r>
      <w:proofErr w:type="spellStart"/>
      <w:r w:rsidRPr="00C31183">
        <w:rPr>
          <w:lang w:eastAsia="ja-JP"/>
        </w:rPr>
        <w:t>cyanocobalamin</w:t>
      </w:r>
      <w:proofErr w:type="spellEnd"/>
      <w:r w:rsidRPr="00C31183">
        <w:rPr>
          <w:lang w:eastAsia="ja-JP"/>
        </w:rPr>
        <w:t xml:space="preserve"> (4.7%</w:t>
      </w:r>
      <w:r>
        <w:rPr>
          <w:lang w:eastAsia="ja-JP"/>
        </w:rPr>
        <w:t xml:space="preserve"> versus </w:t>
      </w:r>
      <w:r w:rsidRPr="00C31183">
        <w:rPr>
          <w:lang w:eastAsia="ja-JP"/>
        </w:rPr>
        <w:t xml:space="preserve">25.7%). Overall, 69 (40.1%) patients in the </w:t>
      </w:r>
      <w:proofErr w:type="spellStart"/>
      <w:r w:rsidRPr="00C31183">
        <w:rPr>
          <w:lang w:eastAsia="ja-JP"/>
        </w:rPr>
        <w:t>crizotinib</w:t>
      </w:r>
      <w:proofErr w:type="spellEnd"/>
      <w:r w:rsidRPr="00C31183">
        <w:rPr>
          <w:lang w:eastAsia="ja-JP"/>
        </w:rPr>
        <w:t xml:space="preserve"> arm and 63 (36.8%) patients in the chemotherapy arm reported concomitant no</w:t>
      </w:r>
      <w:r w:rsidR="00E45E56">
        <w:rPr>
          <w:lang w:eastAsia="ja-JP"/>
        </w:rPr>
        <w:t>n-drug treatment.</w:t>
      </w:r>
    </w:p>
    <w:p w:rsidR="00CE4F74" w:rsidRPr="00C31183" w:rsidRDefault="00CE4F74" w:rsidP="00E45E56">
      <w:pPr>
        <w:pStyle w:val="Heading3"/>
      </w:pPr>
      <w:bookmarkStart w:id="53" w:name="_Toc228773353"/>
      <w:bookmarkStart w:id="54" w:name="_Toc380058434"/>
      <w:bookmarkStart w:id="55" w:name="_Toc384975288"/>
      <w:r w:rsidRPr="00C31183">
        <w:t>Efficacy – Results</w:t>
      </w:r>
      <w:bookmarkEnd w:id="53"/>
      <w:bookmarkEnd w:id="54"/>
      <w:bookmarkEnd w:id="55"/>
    </w:p>
    <w:p w:rsidR="00CE4F74" w:rsidRPr="00C31183" w:rsidRDefault="00CE4F74" w:rsidP="00E45E56">
      <w:pPr>
        <w:pStyle w:val="Heading4"/>
      </w:pPr>
      <w:bookmarkStart w:id="56" w:name="_Toc228773354"/>
      <w:r w:rsidRPr="00C31183">
        <w:t xml:space="preserve">Progression free </w:t>
      </w:r>
      <w:r w:rsidRPr="00E45E56">
        <w:t>survival</w:t>
      </w:r>
      <w:r w:rsidRPr="00C31183">
        <w:t xml:space="preserve"> – primary efficacy endpoint (final analysis)</w:t>
      </w:r>
      <w:bookmarkEnd w:id="56"/>
    </w:p>
    <w:p w:rsidR="00CE4F74" w:rsidRPr="00C31183" w:rsidRDefault="00CE4F74" w:rsidP="00E45E56">
      <w:pPr>
        <w:rPr>
          <w:lang w:eastAsia="ja-JP"/>
        </w:rPr>
      </w:pPr>
      <w:r w:rsidRPr="00C31183">
        <w:rPr>
          <w:lang w:eastAsia="ja-JP"/>
        </w:rPr>
        <w:t xml:space="preserve">The 30 March 2012 data </w:t>
      </w:r>
      <w:proofErr w:type="spellStart"/>
      <w:r w:rsidRPr="00C31183">
        <w:rPr>
          <w:lang w:eastAsia="ja-JP"/>
        </w:rPr>
        <w:t>cut</w:t>
      </w:r>
      <w:r>
        <w:rPr>
          <w:lang w:eastAsia="ja-JP"/>
        </w:rPr>
        <w:t xml:space="preserve"> </w:t>
      </w:r>
      <w:r w:rsidRPr="00C31183">
        <w:rPr>
          <w:lang w:eastAsia="ja-JP"/>
        </w:rPr>
        <w:t>off</w:t>
      </w:r>
      <w:proofErr w:type="spellEnd"/>
      <w:r w:rsidRPr="00C31183">
        <w:rPr>
          <w:lang w:eastAsia="ja-JP"/>
        </w:rPr>
        <w:t xml:space="preserve"> date for the primary efficacy analysis was selected because the 217 PFS events required for the final analysis of PFS had occurred at this time-point. However, by the time of the “database snapshot” on 08 June 2012, an additional 10 PFS events had occurred within the data cut</w:t>
      </w:r>
      <w:r>
        <w:rPr>
          <w:lang w:eastAsia="ja-JP"/>
        </w:rPr>
        <w:t xml:space="preserve"> </w:t>
      </w:r>
      <w:r w:rsidRPr="00C31183">
        <w:rPr>
          <w:lang w:eastAsia="ja-JP"/>
        </w:rPr>
        <w:t xml:space="preserve">off period. Therefore, a total of 227 PFS events were included in the PFS analyses. The key results are </w:t>
      </w:r>
      <w:r>
        <w:rPr>
          <w:lang w:eastAsia="ja-JP"/>
        </w:rPr>
        <w:t>summarised</w:t>
      </w:r>
      <w:r w:rsidRPr="00C31183">
        <w:rPr>
          <w:lang w:eastAsia="ja-JP"/>
        </w:rPr>
        <w:t xml:space="preserve"> below in Table 4. The Kaplan-Meier plot of PFS</w:t>
      </w:r>
      <w:r w:rsidR="00E45E56">
        <w:rPr>
          <w:lang w:eastAsia="ja-JP"/>
        </w:rPr>
        <w:t xml:space="preserve"> is provided below in Figure 1.</w:t>
      </w:r>
    </w:p>
    <w:p w:rsidR="00CE4F74" w:rsidRPr="00C31183" w:rsidRDefault="00CE4F74" w:rsidP="00E45E56">
      <w:pPr>
        <w:pStyle w:val="TableTitle"/>
        <w:rPr>
          <w:lang w:eastAsia="ja-JP"/>
        </w:rPr>
      </w:pPr>
      <w:bookmarkStart w:id="57" w:name="_Toc228773427"/>
      <w:proofErr w:type="gramStart"/>
      <w:r w:rsidRPr="00C31183">
        <w:rPr>
          <w:lang w:eastAsia="ja-JP"/>
        </w:rPr>
        <w:t xml:space="preserve">Table </w:t>
      </w:r>
      <w:r w:rsidRPr="00C31183">
        <w:rPr>
          <w:lang w:eastAsia="ja-JP"/>
        </w:rPr>
        <w:fldChar w:fldCharType="begin"/>
      </w:r>
      <w:r w:rsidRPr="00C31183">
        <w:rPr>
          <w:lang w:eastAsia="ja-JP"/>
        </w:rPr>
        <w:instrText xml:space="preserve"> SEQ Table \* ARABIC </w:instrText>
      </w:r>
      <w:r w:rsidRPr="00C31183">
        <w:rPr>
          <w:lang w:eastAsia="ja-JP"/>
        </w:rPr>
        <w:fldChar w:fldCharType="separate"/>
      </w:r>
      <w:r>
        <w:rPr>
          <w:noProof/>
          <w:lang w:eastAsia="ja-JP"/>
        </w:rPr>
        <w:t>4</w:t>
      </w:r>
      <w:r w:rsidRPr="00C31183">
        <w:rPr>
          <w:lang w:eastAsia="ja-JP"/>
        </w:rPr>
        <w:fldChar w:fldCharType="end"/>
      </w:r>
      <w:r w:rsidRPr="00C31183">
        <w:rPr>
          <w:lang w:eastAsia="ja-JP"/>
        </w:rPr>
        <w:t>: Final progression-</w:t>
      </w:r>
      <w:r w:rsidRPr="00E45E56">
        <w:t>free</w:t>
      </w:r>
      <w:r w:rsidRPr="00C31183">
        <w:rPr>
          <w:lang w:eastAsia="ja-JP"/>
        </w:rPr>
        <w:t xml:space="preserve"> survival (PFS) analysis based on IRR; FA population.</w:t>
      </w:r>
      <w:bookmarkEnd w:id="57"/>
      <w:proofErr w:type="gramEnd"/>
    </w:p>
    <w:tbl>
      <w:tblPr>
        <w:tblStyle w:val="TableTGAblue"/>
        <w:tblW w:w="0" w:type="auto"/>
        <w:tblLook w:val="00A0" w:firstRow="1" w:lastRow="0" w:firstColumn="1" w:lastColumn="0" w:noHBand="0" w:noVBand="0"/>
      </w:tblPr>
      <w:tblGrid>
        <w:gridCol w:w="3113"/>
        <w:gridCol w:w="2857"/>
        <w:gridCol w:w="2677"/>
      </w:tblGrid>
      <w:tr w:rsidR="00CE4F74" w:rsidRPr="00C31183" w:rsidTr="003902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3" w:type="dxa"/>
          </w:tcPr>
          <w:p w:rsidR="00CE4F74" w:rsidRPr="00DA4DDC" w:rsidRDefault="00CE4F74" w:rsidP="003902EC">
            <w:pPr>
              <w:ind w:left="0" w:right="0"/>
              <w:rPr>
                <w:lang w:eastAsia="ja-JP"/>
              </w:rPr>
            </w:pPr>
            <w:r w:rsidRPr="00DA4DDC">
              <w:rPr>
                <w:lang w:eastAsia="ja-JP"/>
              </w:rPr>
              <w:t>Parameter</w:t>
            </w:r>
          </w:p>
        </w:tc>
        <w:tc>
          <w:tcPr>
            <w:tcW w:w="2857" w:type="dxa"/>
          </w:tcPr>
          <w:p w:rsidR="00CE4F74" w:rsidRPr="00DA4DDC" w:rsidRDefault="00CE4F74" w:rsidP="003902EC">
            <w:pPr>
              <w:ind w:left="6" w:right="0"/>
              <w:cnfStyle w:val="100000000000" w:firstRow="1" w:lastRow="0" w:firstColumn="0" w:lastColumn="0" w:oddVBand="0" w:evenVBand="0" w:oddHBand="0" w:evenHBand="0" w:firstRowFirstColumn="0" w:firstRowLastColumn="0" w:lastRowFirstColumn="0" w:lastRowLastColumn="0"/>
              <w:rPr>
                <w:lang w:eastAsia="ja-JP"/>
              </w:rPr>
            </w:pPr>
            <w:proofErr w:type="spellStart"/>
            <w:r w:rsidRPr="00DA4DDC">
              <w:rPr>
                <w:lang w:eastAsia="ja-JP"/>
              </w:rPr>
              <w:t>Crizotinib</w:t>
            </w:r>
            <w:proofErr w:type="spellEnd"/>
            <w:r w:rsidRPr="00DA4DDC">
              <w:rPr>
                <w:lang w:eastAsia="ja-JP"/>
              </w:rPr>
              <w:t xml:space="preserve"> (n=173)</w:t>
            </w:r>
          </w:p>
        </w:tc>
        <w:tc>
          <w:tcPr>
            <w:tcW w:w="2677" w:type="dxa"/>
          </w:tcPr>
          <w:p w:rsidR="00CE4F74" w:rsidRPr="00DA4DDC" w:rsidRDefault="00CE4F74" w:rsidP="003902EC">
            <w:pPr>
              <w:cnfStyle w:val="100000000000" w:firstRow="1" w:lastRow="0" w:firstColumn="0" w:lastColumn="0" w:oddVBand="0" w:evenVBand="0" w:oddHBand="0" w:evenHBand="0" w:firstRowFirstColumn="0" w:firstRowLastColumn="0" w:lastRowFirstColumn="0" w:lastRowLastColumn="0"/>
              <w:rPr>
                <w:lang w:eastAsia="ja-JP"/>
              </w:rPr>
            </w:pPr>
            <w:r w:rsidRPr="00DA4DDC">
              <w:rPr>
                <w:lang w:eastAsia="ja-JP"/>
              </w:rPr>
              <w:t>Chemotherapy (n=174)</w:t>
            </w:r>
          </w:p>
        </w:tc>
      </w:tr>
      <w:tr w:rsidR="00CE4F74" w:rsidRPr="00C31183" w:rsidTr="003902EC">
        <w:tc>
          <w:tcPr>
            <w:cnfStyle w:val="001000000000" w:firstRow="0" w:lastRow="0" w:firstColumn="1" w:lastColumn="0" w:oddVBand="0" w:evenVBand="0" w:oddHBand="0" w:evenHBand="0" w:firstRowFirstColumn="0" w:firstRowLastColumn="0" w:lastRowFirstColumn="0" w:lastRowLastColumn="0"/>
            <w:tcW w:w="3113" w:type="dxa"/>
          </w:tcPr>
          <w:p w:rsidR="00CE4F74" w:rsidRPr="00DA4DDC" w:rsidRDefault="00CE4F74" w:rsidP="003902EC">
            <w:pPr>
              <w:ind w:left="0" w:right="0"/>
              <w:rPr>
                <w:color w:val="000000"/>
                <w:lang w:eastAsia="ja-JP"/>
              </w:rPr>
            </w:pPr>
            <w:r w:rsidRPr="00DA4DDC">
              <w:rPr>
                <w:color w:val="000000"/>
                <w:lang w:eastAsia="ja-JP"/>
              </w:rPr>
              <w:t>Number with PFS event, n (%)</w:t>
            </w:r>
          </w:p>
        </w:tc>
        <w:tc>
          <w:tcPr>
            <w:tcW w:w="2857" w:type="dxa"/>
          </w:tcPr>
          <w:p w:rsidR="00CE4F74" w:rsidRPr="00DA4DDC" w:rsidRDefault="00CE4F74" w:rsidP="003902EC">
            <w:pPr>
              <w:ind w:left="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100 (57.8%)</w:t>
            </w:r>
          </w:p>
        </w:tc>
        <w:tc>
          <w:tcPr>
            <w:tcW w:w="2677" w:type="dxa"/>
          </w:tcPr>
          <w:p w:rsidR="00CE4F74" w:rsidRPr="00DA4DDC" w:rsidRDefault="00CE4F74" w:rsidP="003902EC">
            <w:pPr>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127 (73.0%)</w:t>
            </w:r>
          </w:p>
        </w:tc>
      </w:tr>
      <w:tr w:rsidR="00CE4F74" w:rsidRPr="00C31183" w:rsidTr="003902EC">
        <w:tc>
          <w:tcPr>
            <w:cnfStyle w:val="001000000000" w:firstRow="0" w:lastRow="0" w:firstColumn="1" w:lastColumn="0" w:oddVBand="0" w:evenVBand="0" w:oddHBand="0" w:evenHBand="0" w:firstRowFirstColumn="0" w:firstRowLastColumn="0" w:lastRowFirstColumn="0" w:lastRowLastColumn="0"/>
            <w:tcW w:w="3113" w:type="dxa"/>
          </w:tcPr>
          <w:p w:rsidR="00CE4F74" w:rsidRPr="00DA4DDC" w:rsidRDefault="00CE4F74" w:rsidP="003902EC">
            <w:pPr>
              <w:ind w:left="0" w:right="0"/>
              <w:rPr>
                <w:color w:val="000000"/>
                <w:lang w:eastAsia="ja-JP"/>
              </w:rPr>
            </w:pPr>
            <w:r w:rsidRPr="00DA4DDC">
              <w:rPr>
                <w:color w:val="000000"/>
                <w:lang w:eastAsia="ja-JP"/>
              </w:rPr>
              <w:t xml:space="preserve">Objective progression </w:t>
            </w:r>
          </w:p>
        </w:tc>
        <w:tc>
          <w:tcPr>
            <w:tcW w:w="2857" w:type="dxa"/>
          </w:tcPr>
          <w:p w:rsidR="00CE4F74" w:rsidRPr="00DA4DDC" w:rsidRDefault="00CE4F74" w:rsidP="003902EC">
            <w:pPr>
              <w:ind w:left="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84 (48.6%)</w:t>
            </w:r>
          </w:p>
        </w:tc>
        <w:tc>
          <w:tcPr>
            <w:tcW w:w="2677" w:type="dxa"/>
          </w:tcPr>
          <w:p w:rsidR="00CE4F74" w:rsidRPr="00DA4DDC" w:rsidRDefault="00CE4F74" w:rsidP="003902EC">
            <w:pPr>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119 (68.4%)</w:t>
            </w:r>
          </w:p>
        </w:tc>
      </w:tr>
      <w:tr w:rsidR="00CE4F74" w:rsidRPr="00C31183" w:rsidTr="003902EC">
        <w:tc>
          <w:tcPr>
            <w:cnfStyle w:val="001000000000" w:firstRow="0" w:lastRow="0" w:firstColumn="1" w:lastColumn="0" w:oddVBand="0" w:evenVBand="0" w:oddHBand="0" w:evenHBand="0" w:firstRowFirstColumn="0" w:firstRowLastColumn="0" w:lastRowFirstColumn="0" w:lastRowLastColumn="0"/>
            <w:tcW w:w="3113" w:type="dxa"/>
          </w:tcPr>
          <w:p w:rsidR="00CE4F74" w:rsidRPr="00DA4DDC" w:rsidRDefault="00CE4F74" w:rsidP="003902EC">
            <w:pPr>
              <w:ind w:left="0" w:right="0"/>
              <w:rPr>
                <w:color w:val="000000"/>
                <w:lang w:eastAsia="ja-JP"/>
              </w:rPr>
            </w:pPr>
            <w:r w:rsidRPr="00DA4DDC">
              <w:rPr>
                <w:color w:val="000000"/>
                <w:lang w:eastAsia="ja-JP"/>
              </w:rPr>
              <w:t xml:space="preserve">Death without objective progression </w:t>
            </w:r>
          </w:p>
        </w:tc>
        <w:tc>
          <w:tcPr>
            <w:tcW w:w="2857" w:type="dxa"/>
          </w:tcPr>
          <w:p w:rsidR="00CE4F74" w:rsidRPr="00DA4DDC" w:rsidRDefault="00CE4F74" w:rsidP="003902EC">
            <w:pPr>
              <w:ind w:left="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16 (9.2%)</w:t>
            </w:r>
          </w:p>
        </w:tc>
        <w:tc>
          <w:tcPr>
            <w:tcW w:w="2677" w:type="dxa"/>
          </w:tcPr>
          <w:p w:rsidR="00CE4F74" w:rsidRPr="00DA4DDC" w:rsidRDefault="00CE4F74" w:rsidP="003902EC">
            <w:pPr>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8 (4.6%)</w:t>
            </w:r>
          </w:p>
        </w:tc>
      </w:tr>
      <w:tr w:rsidR="00CE4F74" w:rsidRPr="00C31183" w:rsidTr="003902EC">
        <w:tc>
          <w:tcPr>
            <w:cnfStyle w:val="001000000000" w:firstRow="0" w:lastRow="0" w:firstColumn="1" w:lastColumn="0" w:oddVBand="0" w:evenVBand="0" w:oddHBand="0" w:evenHBand="0" w:firstRowFirstColumn="0" w:firstRowLastColumn="0" w:lastRowFirstColumn="0" w:lastRowLastColumn="0"/>
            <w:tcW w:w="3113" w:type="dxa"/>
          </w:tcPr>
          <w:p w:rsidR="00CE4F74" w:rsidRPr="00DA4DDC" w:rsidRDefault="00CE4F74" w:rsidP="003902EC">
            <w:pPr>
              <w:ind w:left="0" w:right="0"/>
              <w:rPr>
                <w:color w:val="000000"/>
                <w:lang w:eastAsia="ja-JP"/>
              </w:rPr>
            </w:pPr>
            <w:r w:rsidRPr="00DA4DDC">
              <w:rPr>
                <w:color w:val="000000"/>
                <w:lang w:eastAsia="ja-JP"/>
              </w:rPr>
              <w:t>Censored, n (%)</w:t>
            </w:r>
          </w:p>
        </w:tc>
        <w:tc>
          <w:tcPr>
            <w:tcW w:w="2857" w:type="dxa"/>
          </w:tcPr>
          <w:p w:rsidR="00CE4F74" w:rsidRPr="00DA4DDC" w:rsidRDefault="00CE4F74" w:rsidP="003902EC">
            <w:pPr>
              <w:ind w:left="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73 (42.2%)</w:t>
            </w:r>
          </w:p>
        </w:tc>
        <w:tc>
          <w:tcPr>
            <w:tcW w:w="2677" w:type="dxa"/>
          </w:tcPr>
          <w:p w:rsidR="00CE4F74" w:rsidRPr="00DA4DDC" w:rsidRDefault="00CE4F74" w:rsidP="003902EC">
            <w:pPr>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47 (27.0%)</w:t>
            </w:r>
          </w:p>
        </w:tc>
      </w:tr>
      <w:tr w:rsidR="00CE4F74" w:rsidRPr="00C31183" w:rsidTr="003902EC">
        <w:tc>
          <w:tcPr>
            <w:cnfStyle w:val="001000000000" w:firstRow="0" w:lastRow="0" w:firstColumn="1" w:lastColumn="0" w:oddVBand="0" w:evenVBand="0" w:oddHBand="0" w:evenHBand="0" w:firstRowFirstColumn="0" w:firstRowLastColumn="0" w:lastRowFirstColumn="0" w:lastRowLastColumn="0"/>
            <w:tcW w:w="3113" w:type="dxa"/>
          </w:tcPr>
          <w:p w:rsidR="00CE4F74" w:rsidRPr="00DA4DDC" w:rsidRDefault="00CE4F74" w:rsidP="003902EC">
            <w:pPr>
              <w:ind w:left="0" w:right="0"/>
              <w:rPr>
                <w:color w:val="000000"/>
                <w:lang w:eastAsia="ja-JP"/>
              </w:rPr>
            </w:pPr>
            <w:r w:rsidRPr="00DA4DDC">
              <w:rPr>
                <w:color w:val="000000"/>
                <w:lang w:eastAsia="ja-JP"/>
              </w:rPr>
              <w:t xml:space="preserve">Median PFS, months (95% CI) </w:t>
            </w:r>
            <w:r w:rsidRPr="00DA4DDC">
              <w:rPr>
                <w:color w:val="000000"/>
                <w:vertAlign w:val="superscript"/>
                <w:lang w:eastAsia="ja-JP"/>
              </w:rPr>
              <w:t>a</w:t>
            </w:r>
          </w:p>
        </w:tc>
        <w:tc>
          <w:tcPr>
            <w:tcW w:w="2857" w:type="dxa"/>
          </w:tcPr>
          <w:p w:rsidR="00CE4F74" w:rsidRPr="00DA4DDC" w:rsidRDefault="00CE4F74" w:rsidP="003902EC">
            <w:pPr>
              <w:ind w:left="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7.7 (6.0, 8.8)</w:t>
            </w:r>
          </w:p>
        </w:tc>
        <w:tc>
          <w:tcPr>
            <w:tcW w:w="2677" w:type="dxa"/>
          </w:tcPr>
          <w:p w:rsidR="00CE4F74" w:rsidRPr="00DA4DDC" w:rsidRDefault="00CE4F74" w:rsidP="003902EC">
            <w:pPr>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3.0 (2.6, 4.3)</w:t>
            </w:r>
          </w:p>
        </w:tc>
      </w:tr>
      <w:tr w:rsidR="00CE4F74" w:rsidRPr="00C31183" w:rsidTr="003902EC">
        <w:tc>
          <w:tcPr>
            <w:cnfStyle w:val="001000000000" w:firstRow="0" w:lastRow="0" w:firstColumn="1" w:lastColumn="0" w:oddVBand="0" w:evenVBand="0" w:oddHBand="0" w:evenHBand="0" w:firstRowFirstColumn="0" w:firstRowLastColumn="0" w:lastRowFirstColumn="0" w:lastRowLastColumn="0"/>
            <w:tcW w:w="3113" w:type="dxa"/>
          </w:tcPr>
          <w:p w:rsidR="00CE4F74" w:rsidRPr="00DA4DDC" w:rsidRDefault="00CE4F74" w:rsidP="003902EC">
            <w:pPr>
              <w:ind w:left="0" w:right="0"/>
              <w:rPr>
                <w:color w:val="000000"/>
                <w:lang w:eastAsia="ja-JP"/>
              </w:rPr>
            </w:pPr>
            <w:r w:rsidRPr="00DA4DDC">
              <w:rPr>
                <w:color w:val="000000"/>
                <w:lang w:eastAsia="ja-JP"/>
              </w:rPr>
              <w:lastRenderedPageBreak/>
              <w:t xml:space="preserve">Hazard Ratio (95% CI) </w:t>
            </w:r>
            <w:r w:rsidRPr="00DA4DDC">
              <w:rPr>
                <w:color w:val="000000"/>
                <w:vertAlign w:val="superscript"/>
                <w:lang w:eastAsia="ja-JP"/>
              </w:rPr>
              <w:t>b</w:t>
            </w:r>
            <w:r w:rsidRPr="00DA4DDC">
              <w:rPr>
                <w:color w:val="000000"/>
                <w:lang w:eastAsia="ja-JP"/>
              </w:rPr>
              <w:t xml:space="preserve">; p -value </w:t>
            </w:r>
            <w:r w:rsidRPr="00DA4DDC">
              <w:rPr>
                <w:color w:val="000000"/>
                <w:vertAlign w:val="superscript"/>
                <w:lang w:eastAsia="ja-JP"/>
              </w:rPr>
              <w:t>c</w:t>
            </w:r>
          </w:p>
        </w:tc>
        <w:tc>
          <w:tcPr>
            <w:tcW w:w="5534" w:type="dxa"/>
            <w:gridSpan w:val="2"/>
          </w:tcPr>
          <w:p w:rsidR="00CE4F74" w:rsidRPr="00DA4DDC" w:rsidRDefault="00CE4F74" w:rsidP="003902EC">
            <w:pPr>
              <w:ind w:left="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HR = 0.487 (95%CI: 0.371, 0.638); p &lt; 0.0001</w:t>
            </w:r>
          </w:p>
        </w:tc>
      </w:tr>
    </w:tbl>
    <w:p w:rsidR="00CE4F74" w:rsidRPr="001E1264" w:rsidRDefault="00CE4F74" w:rsidP="003902EC">
      <w:pPr>
        <w:pStyle w:val="TableDescription"/>
        <w:rPr>
          <w:lang w:eastAsia="ja-JP"/>
        </w:rPr>
      </w:pPr>
      <w:r w:rsidRPr="001E1264">
        <w:rPr>
          <w:lang w:eastAsia="ja-JP"/>
        </w:rPr>
        <w:t>Sour</w:t>
      </w:r>
      <w:r w:rsidR="003902EC">
        <w:rPr>
          <w:lang w:eastAsia="ja-JP"/>
        </w:rPr>
        <w:t>ce: CSR, Adapted from Table 23.</w:t>
      </w:r>
    </w:p>
    <w:p w:rsidR="00CE4F74" w:rsidRPr="001E1264" w:rsidRDefault="00CE4F74" w:rsidP="003902EC">
      <w:pPr>
        <w:pStyle w:val="TableDescription"/>
        <w:rPr>
          <w:lang w:eastAsia="ja-JP"/>
        </w:rPr>
      </w:pPr>
      <w:r w:rsidRPr="001E1264">
        <w:rPr>
          <w:lang w:eastAsia="ja-JP"/>
        </w:rPr>
        <w:t>[</w:t>
      </w:r>
      <w:proofErr w:type="gramStart"/>
      <w:r w:rsidRPr="001E1264">
        <w:rPr>
          <w:lang w:eastAsia="ja-JP"/>
        </w:rPr>
        <w:t>a</w:t>
      </w:r>
      <w:proofErr w:type="gramEnd"/>
      <w:r w:rsidRPr="001E1264">
        <w:rPr>
          <w:lang w:eastAsia="ja-JP"/>
        </w:rPr>
        <w:t>]</w:t>
      </w:r>
      <w:r>
        <w:rPr>
          <w:lang w:eastAsia="ja-JP"/>
        </w:rPr>
        <w:t xml:space="preserve"> </w:t>
      </w:r>
      <w:r w:rsidRPr="001E1264">
        <w:rPr>
          <w:lang w:eastAsia="ja-JP"/>
        </w:rPr>
        <w:t xml:space="preserve">Median survival estimated from Kaplan-Meier curve, 95% CI based on the </w:t>
      </w:r>
      <w:proofErr w:type="spellStart"/>
      <w:r w:rsidRPr="001E1264">
        <w:rPr>
          <w:lang w:eastAsia="ja-JP"/>
        </w:rPr>
        <w:t>Brookmyer</w:t>
      </w:r>
      <w:proofErr w:type="spellEnd"/>
      <w:r w:rsidRPr="001E1264">
        <w:rPr>
          <w:lang w:eastAsia="ja-JP"/>
        </w:rPr>
        <w:t xml:space="preserve"> and Crowley method.</w:t>
      </w:r>
    </w:p>
    <w:p w:rsidR="00CE4F74" w:rsidRPr="001E1264" w:rsidRDefault="00CE4F74" w:rsidP="003902EC">
      <w:pPr>
        <w:pStyle w:val="TableDescription"/>
        <w:rPr>
          <w:lang w:eastAsia="ja-JP"/>
        </w:rPr>
      </w:pPr>
      <w:r w:rsidRPr="001E1264">
        <w:rPr>
          <w:lang w:eastAsia="ja-JP"/>
        </w:rPr>
        <w:t>[b] Based on the Cox proportional hazards model stratified by ECOG PS score, brain metastases,</w:t>
      </w:r>
      <w:r w:rsidR="003902EC">
        <w:rPr>
          <w:lang w:eastAsia="ja-JP"/>
        </w:rPr>
        <w:t xml:space="preserve"> and prior EGFR TKI treatment. </w:t>
      </w:r>
      <w:r w:rsidRPr="001E1264">
        <w:rPr>
          <w:lang w:eastAsia="ja-JP"/>
        </w:rPr>
        <w:t xml:space="preserve">Assuming proportional hazards, a hazard ratio &lt;1 indicates a reduction in hazard rate in favour of </w:t>
      </w:r>
      <w:proofErr w:type="spellStart"/>
      <w:r w:rsidRPr="001E1264">
        <w:rPr>
          <w:lang w:eastAsia="ja-JP"/>
        </w:rPr>
        <w:t>crizotinib</w:t>
      </w:r>
      <w:proofErr w:type="spellEnd"/>
      <w:r w:rsidRPr="001E1264">
        <w:rPr>
          <w:lang w:eastAsia="ja-JP"/>
        </w:rPr>
        <w:t>.</w:t>
      </w:r>
    </w:p>
    <w:p w:rsidR="00CE4F74" w:rsidRPr="001E1264" w:rsidRDefault="00CE4F74" w:rsidP="003902EC">
      <w:pPr>
        <w:pStyle w:val="TableDescription"/>
        <w:rPr>
          <w:lang w:eastAsia="ja-JP"/>
        </w:rPr>
      </w:pPr>
      <w:r w:rsidRPr="001E1264">
        <w:rPr>
          <w:lang w:eastAsia="ja-JP"/>
        </w:rPr>
        <w:t>[c]</w:t>
      </w:r>
      <w:r>
        <w:rPr>
          <w:lang w:eastAsia="ja-JP"/>
        </w:rPr>
        <w:t xml:space="preserve"> </w:t>
      </w:r>
      <w:r w:rsidRPr="001E1264">
        <w:rPr>
          <w:lang w:eastAsia="ja-JP"/>
        </w:rPr>
        <w:t>1-sided p-value from the log-rank test stratified by ECOG PS score, brain metastases</w:t>
      </w:r>
      <w:r w:rsidR="003902EC">
        <w:rPr>
          <w:lang w:eastAsia="ja-JP"/>
        </w:rPr>
        <w:t>, and prior EGFR TKI treatment.</w:t>
      </w:r>
    </w:p>
    <w:p w:rsidR="00CE4F74" w:rsidRPr="003902EC" w:rsidRDefault="00CE4F74" w:rsidP="003902EC">
      <w:pPr>
        <w:pStyle w:val="FigureTitle"/>
      </w:pPr>
      <w:bookmarkStart w:id="58" w:name="_Toc228773507"/>
      <w:r w:rsidRPr="00C31183">
        <w:rPr>
          <w:lang w:eastAsia="ja-JP"/>
        </w:rPr>
        <w:t xml:space="preserve">Figure </w:t>
      </w:r>
      <w:r w:rsidRPr="00C31183">
        <w:rPr>
          <w:lang w:eastAsia="ja-JP"/>
        </w:rPr>
        <w:fldChar w:fldCharType="begin"/>
      </w:r>
      <w:r w:rsidRPr="00C31183">
        <w:rPr>
          <w:lang w:eastAsia="ja-JP"/>
        </w:rPr>
        <w:instrText xml:space="preserve"> SEQ Figure \* ARABIC </w:instrText>
      </w:r>
      <w:r w:rsidRPr="00C31183">
        <w:rPr>
          <w:lang w:eastAsia="ja-JP"/>
        </w:rPr>
        <w:fldChar w:fldCharType="separate"/>
      </w:r>
      <w:r>
        <w:rPr>
          <w:noProof/>
          <w:lang w:eastAsia="ja-JP"/>
        </w:rPr>
        <w:t>1</w:t>
      </w:r>
      <w:r w:rsidRPr="00C31183">
        <w:rPr>
          <w:lang w:eastAsia="ja-JP"/>
        </w:rPr>
        <w:fldChar w:fldCharType="end"/>
      </w:r>
      <w:r w:rsidRPr="00C31183">
        <w:rPr>
          <w:lang w:eastAsia="ja-JP"/>
        </w:rPr>
        <w:t>: Kaplan-Meier plot of progression-free survival (PFS) based on IRR; FA.</w:t>
      </w:r>
      <w:bookmarkEnd w:id="58"/>
    </w:p>
    <w:p w:rsidR="00CE4F74" w:rsidRPr="00C31183" w:rsidRDefault="00CE4F74" w:rsidP="003902EC">
      <w:pPr>
        <w:rPr>
          <w:lang w:eastAsia="ja-JP"/>
        </w:rPr>
      </w:pPr>
      <w:r>
        <w:rPr>
          <w:noProof/>
          <w:lang w:eastAsia="en-AU"/>
        </w:rPr>
        <w:drawing>
          <wp:inline distT="0" distB="0" distL="0" distR="0" wp14:anchorId="1495AA40" wp14:editId="4CB122FB">
            <wp:extent cx="5591175" cy="3686175"/>
            <wp:effectExtent l="0" t="0" r="0" b="0"/>
            <wp:docPr id="4" name="Picture 4" descr="Figure 1: Kaplan-Meier plot of progression-free survival (PFS) based on IRR; 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igure 1: Kaplan-Meier plot of progression-free survival (PFS) based on IRR; F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1175" cy="3686175"/>
                    </a:xfrm>
                    <a:prstGeom prst="rect">
                      <a:avLst/>
                    </a:prstGeom>
                    <a:noFill/>
                    <a:ln>
                      <a:noFill/>
                    </a:ln>
                  </pic:spPr>
                </pic:pic>
              </a:graphicData>
            </a:graphic>
          </wp:inline>
        </w:drawing>
      </w:r>
    </w:p>
    <w:p w:rsidR="00CE4F74" w:rsidRPr="00C31183" w:rsidRDefault="00CE4F74" w:rsidP="003902EC">
      <w:pPr>
        <w:rPr>
          <w:lang w:eastAsia="ja-JP"/>
        </w:rPr>
      </w:pPr>
      <w:r w:rsidRPr="00C31183">
        <w:rPr>
          <w:lang w:eastAsia="ja-JP"/>
        </w:rPr>
        <w:t xml:space="preserve">Median PFS was significantly longer in the </w:t>
      </w:r>
      <w:proofErr w:type="spellStart"/>
      <w:r w:rsidRPr="00C31183">
        <w:rPr>
          <w:lang w:eastAsia="ja-JP"/>
        </w:rPr>
        <w:t>crizotinib</w:t>
      </w:r>
      <w:proofErr w:type="spellEnd"/>
      <w:r w:rsidRPr="00C31183">
        <w:rPr>
          <w:lang w:eastAsia="ja-JP"/>
        </w:rPr>
        <w:t xml:space="preserve"> arm compared with the </w:t>
      </w:r>
      <w:proofErr w:type="spellStart"/>
      <w:r w:rsidRPr="00C31183">
        <w:rPr>
          <w:lang w:eastAsia="ja-JP"/>
        </w:rPr>
        <w:t>pemetrexed</w:t>
      </w:r>
      <w:proofErr w:type="spellEnd"/>
      <w:r w:rsidRPr="00C31183">
        <w:rPr>
          <w:lang w:eastAsia="ja-JP"/>
        </w:rPr>
        <w:t xml:space="preserve"> arm: 7.7 months (95% CI: 6.0, 8.8)</w:t>
      </w:r>
      <w:r>
        <w:rPr>
          <w:lang w:eastAsia="ja-JP"/>
        </w:rPr>
        <w:t xml:space="preserve"> versus </w:t>
      </w:r>
      <w:r w:rsidRPr="00C31183">
        <w:rPr>
          <w:lang w:eastAsia="ja-JP"/>
        </w:rPr>
        <w:t xml:space="preserve">4.2 months (95% CI: 2.8, 5.7); HR = 0.589 (95% CI: 0.431, 0.804), p=0.0004. Median PFS was significantly longer in the </w:t>
      </w:r>
      <w:proofErr w:type="spellStart"/>
      <w:r w:rsidRPr="00C31183">
        <w:rPr>
          <w:lang w:eastAsia="ja-JP"/>
        </w:rPr>
        <w:t>crizotinib</w:t>
      </w:r>
      <w:proofErr w:type="spellEnd"/>
      <w:r w:rsidRPr="00C31183">
        <w:rPr>
          <w:lang w:eastAsia="ja-JP"/>
        </w:rPr>
        <w:t xml:space="preserve"> arm compared with the </w:t>
      </w:r>
      <w:proofErr w:type="spellStart"/>
      <w:r w:rsidRPr="00C31183">
        <w:rPr>
          <w:lang w:eastAsia="ja-JP"/>
        </w:rPr>
        <w:t>docetaxel</w:t>
      </w:r>
      <w:proofErr w:type="spellEnd"/>
      <w:r w:rsidRPr="00C31183">
        <w:rPr>
          <w:lang w:eastAsia="ja-JP"/>
        </w:rPr>
        <w:t xml:space="preserve"> arm: 7.7 months (95% CI: 6.0, 8.8) for</w:t>
      </w:r>
      <w:r>
        <w:rPr>
          <w:lang w:eastAsia="ja-JP"/>
        </w:rPr>
        <w:t xml:space="preserve"> versus </w:t>
      </w:r>
      <w:r w:rsidRPr="00C31183">
        <w:rPr>
          <w:lang w:eastAsia="ja-JP"/>
        </w:rPr>
        <w:t>2.6 months (95% CI: 1.6, 4.0); HR = 0.298 (95% CI: 0.207, 0.428), p&lt;0.0001.</w:t>
      </w:r>
    </w:p>
    <w:p w:rsidR="00CE4F74" w:rsidRPr="00C31183" w:rsidRDefault="00CE4F74" w:rsidP="003902EC">
      <w:pPr>
        <w:rPr>
          <w:lang w:eastAsia="ja-JP"/>
        </w:rPr>
      </w:pPr>
      <w:r w:rsidRPr="00C31183">
        <w:rPr>
          <w:lang w:eastAsia="ja-JP"/>
        </w:rPr>
        <w:t xml:space="preserve">When controlled for baseline stratification factors, PFS favoured </w:t>
      </w:r>
      <w:proofErr w:type="spellStart"/>
      <w:r w:rsidRPr="00C31183">
        <w:rPr>
          <w:lang w:eastAsia="ja-JP"/>
        </w:rPr>
        <w:t>crizotinib</w:t>
      </w:r>
      <w:proofErr w:type="spellEnd"/>
      <w:r w:rsidRPr="00C31183">
        <w:rPr>
          <w:lang w:eastAsia="ja-JP"/>
        </w:rPr>
        <w:t xml:space="preserve"> over chemotherapy (p&lt;0.0001). As regards the stratification factors, patients with ECOG PS of 0-1 had a better PFS outcome than patients with ECOG PS of 2 (p&lt;0.0001), and patients with no brain metastases had a better PFS outcome than patients with brain metastases (p=0.0075). There was no evidence that PFS in patients with prior EGFR-TKI treatment was better than PFS in patients without prior</w:t>
      </w:r>
      <w:r w:rsidR="003902EC">
        <w:rPr>
          <w:lang w:eastAsia="ja-JP"/>
        </w:rPr>
        <w:t xml:space="preserve"> EGFR-TKI treatment (p=0.5016).</w:t>
      </w:r>
    </w:p>
    <w:p w:rsidR="00CE4F74" w:rsidRPr="00C31183" w:rsidRDefault="00CE4F74" w:rsidP="003902EC">
      <w:pPr>
        <w:rPr>
          <w:lang w:eastAsia="ja-JP"/>
        </w:rPr>
      </w:pPr>
      <w:r w:rsidRPr="00C31183">
        <w:rPr>
          <w:lang w:eastAsia="ja-JP"/>
        </w:rPr>
        <w:t xml:space="preserve">Subgroup analyses showed that PFS benefit with </w:t>
      </w:r>
      <w:proofErr w:type="spellStart"/>
      <w:r w:rsidRPr="00C31183">
        <w:rPr>
          <w:lang w:eastAsia="ja-JP"/>
        </w:rPr>
        <w:t>crizotinib</w:t>
      </w:r>
      <w:proofErr w:type="spellEnd"/>
      <w:r w:rsidRPr="00C31183">
        <w:rPr>
          <w:lang w:eastAsia="ja-JP"/>
        </w:rPr>
        <w:t xml:space="preserve"> was comparable across patients with varying baseline characteristics, including ECOG PS, brain metastases, prior EGFR inhibitor treatment group, age, gender, smoking status, </w:t>
      </w:r>
      <w:proofErr w:type="gramStart"/>
      <w:r w:rsidRPr="00C31183">
        <w:rPr>
          <w:lang w:eastAsia="ja-JP"/>
        </w:rPr>
        <w:t>histology</w:t>
      </w:r>
      <w:proofErr w:type="gramEnd"/>
      <w:r w:rsidRPr="00C31183">
        <w:rPr>
          <w:lang w:eastAsia="ja-JP"/>
        </w:rPr>
        <w:t>, duration from primary diagnosi</w:t>
      </w:r>
      <w:r w:rsidR="003902EC">
        <w:rPr>
          <w:lang w:eastAsia="ja-JP"/>
        </w:rPr>
        <w:t>s, race, and extent of disease.</w:t>
      </w:r>
    </w:p>
    <w:p w:rsidR="00CE4F74" w:rsidRPr="00C31183" w:rsidRDefault="00CE4F74" w:rsidP="003902EC">
      <w:pPr>
        <w:rPr>
          <w:lang w:eastAsia="ja-JP"/>
        </w:rPr>
      </w:pPr>
      <w:r w:rsidRPr="00C31183">
        <w:rPr>
          <w:lang w:eastAsia="ja-JP"/>
        </w:rPr>
        <w:lastRenderedPageBreak/>
        <w:t>The sensitivity analyses for PFS (</w:t>
      </w:r>
      <w:proofErr w:type="spellStart"/>
      <w:r w:rsidRPr="00C31183">
        <w:rPr>
          <w:lang w:eastAsia="ja-JP"/>
        </w:rPr>
        <w:t>unstratified</w:t>
      </w:r>
      <w:proofErr w:type="spellEnd"/>
      <w:r w:rsidRPr="00C31183">
        <w:rPr>
          <w:lang w:eastAsia="ja-JP"/>
        </w:rPr>
        <w:t xml:space="preserve"> analysis, analyses with different censoring rules for PFS, and PFS by investigator assessment) were consistent with the primary efficacy analysis for PFS. In the </w:t>
      </w:r>
      <w:proofErr w:type="spellStart"/>
      <w:r w:rsidRPr="00C31183">
        <w:rPr>
          <w:lang w:eastAsia="ja-JP"/>
        </w:rPr>
        <w:t>unstratified</w:t>
      </w:r>
      <w:proofErr w:type="spellEnd"/>
      <w:r w:rsidRPr="00C31183">
        <w:rPr>
          <w:lang w:eastAsia="ja-JP"/>
        </w:rPr>
        <w:t xml:space="preserve"> sensitivity analysis, the HR comparing </w:t>
      </w:r>
      <w:proofErr w:type="spellStart"/>
      <w:r w:rsidRPr="00C31183">
        <w:rPr>
          <w:lang w:eastAsia="ja-JP"/>
        </w:rPr>
        <w:t>crizotinib</w:t>
      </w:r>
      <w:proofErr w:type="spellEnd"/>
      <w:r w:rsidRPr="00C31183">
        <w:rPr>
          <w:lang w:eastAsia="ja-JP"/>
        </w:rPr>
        <w:t xml:space="preserve"> with chemotherapy was 0.493 (95% CI: 0.379, 0.643; p&lt;0.0001). The results for the analyses (stratified) with different censoring rules (</w:t>
      </w:r>
      <w:r>
        <w:rPr>
          <w:lang w:eastAsia="ja-JP"/>
        </w:rPr>
        <w:t>that is,</w:t>
      </w:r>
      <w:r w:rsidRPr="00C31183">
        <w:rPr>
          <w:lang w:eastAsia="ja-JP"/>
        </w:rPr>
        <w:t xml:space="preserve"> PD or death were considered PFS events regardless of when documented), and PD based on the investigator assessment </w:t>
      </w:r>
      <w:r>
        <w:rPr>
          <w:lang w:eastAsia="ja-JP"/>
        </w:rPr>
        <w:t>were summarised in two tables</w:t>
      </w:r>
      <w:r w:rsidR="003902EC">
        <w:rPr>
          <w:lang w:eastAsia="ja-JP"/>
        </w:rPr>
        <w:t>.</w:t>
      </w:r>
    </w:p>
    <w:p w:rsidR="00CE4F74" w:rsidRPr="00C31183" w:rsidRDefault="00CE4F74" w:rsidP="003902EC">
      <w:pPr>
        <w:rPr>
          <w:lang w:eastAsia="ja-JP"/>
        </w:rPr>
      </w:pPr>
      <w:r w:rsidRPr="00C31183">
        <w:rPr>
          <w:lang w:eastAsia="ja-JP"/>
        </w:rPr>
        <w:t xml:space="preserve">The overall disagreement rates (taking into account timing and occurrence of event) between PFS based on IRR assessments and investigator assessments were 35.8% (62/173) in the </w:t>
      </w:r>
      <w:proofErr w:type="spellStart"/>
      <w:r w:rsidRPr="00C31183">
        <w:rPr>
          <w:lang w:eastAsia="ja-JP"/>
        </w:rPr>
        <w:t>crizotinib</w:t>
      </w:r>
      <w:proofErr w:type="spellEnd"/>
      <w:r w:rsidRPr="00C31183">
        <w:rPr>
          <w:lang w:eastAsia="ja-JP"/>
        </w:rPr>
        <w:t xml:space="preserve"> arm and 30.5% (5</w:t>
      </w:r>
      <w:r w:rsidR="003902EC">
        <w:rPr>
          <w:lang w:eastAsia="ja-JP"/>
        </w:rPr>
        <w:t>3/174) in the chemotherapy arm.</w:t>
      </w:r>
    </w:p>
    <w:p w:rsidR="00CE4F74" w:rsidRPr="00C31183" w:rsidRDefault="00CE4F74" w:rsidP="003902EC">
      <w:pPr>
        <w:ind w:left="1418" w:hanging="1418"/>
        <w:rPr>
          <w:lang w:eastAsia="ja-JP"/>
        </w:rPr>
      </w:pPr>
      <w:r w:rsidRPr="00C31183">
        <w:rPr>
          <w:b/>
          <w:lang w:eastAsia="ja-JP"/>
        </w:rPr>
        <w:t>Comment:</w:t>
      </w:r>
      <w:r w:rsidR="003902EC">
        <w:rPr>
          <w:b/>
          <w:lang w:eastAsia="ja-JP"/>
        </w:rPr>
        <w:tab/>
      </w:r>
      <w:r w:rsidRPr="00C31183">
        <w:rPr>
          <w:lang w:eastAsia="ja-JP"/>
        </w:rPr>
        <w:t xml:space="preserve">The study met its primary objective of demonstrating that </w:t>
      </w:r>
      <w:proofErr w:type="spellStart"/>
      <w:r w:rsidRPr="00C31183">
        <w:rPr>
          <w:lang w:eastAsia="ja-JP"/>
        </w:rPr>
        <w:t>crizotinib</w:t>
      </w:r>
      <w:proofErr w:type="spellEnd"/>
      <w:r w:rsidRPr="00C31183">
        <w:rPr>
          <w:lang w:eastAsia="ja-JP"/>
        </w:rPr>
        <w:t xml:space="preserve"> significantly prolongs PFS compared with chemotherapy. The median PFS was 7.7 months for the 173 patients </w:t>
      </w:r>
      <w:r>
        <w:rPr>
          <w:lang w:eastAsia="ja-JP"/>
        </w:rPr>
        <w:t>randomised</w:t>
      </w:r>
      <w:r w:rsidRPr="00C31183">
        <w:rPr>
          <w:lang w:eastAsia="ja-JP"/>
        </w:rPr>
        <w:t xml:space="preserve"> to </w:t>
      </w:r>
      <w:proofErr w:type="spellStart"/>
      <w:r w:rsidRPr="00C31183">
        <w:rPr>
          <w:lang w:eastAsia="ja-JP"/>
        </w:rPr>
        <w:t>crizotinib</w:t>
      </w:r>
      <w:proofErr w:type="spellEnd"/>
      <w:r w:rsidRPr="00C31183">
        <w:rPr>
          <w:lang w:eastAsia="ja-JP"/>
        </w:rPr>
        <w:t xml:space="preserve"> and 3.0 months for the 174 patients </w:t>
      </w:r>
      <w:r>
        <w:rPr>
          <w:lang w:eastAsia="ja-JP"/>
        </w:rPr>
        <w:t>randomised</w:t>
      </w:r>
      <w:r w:rsidRPr="00C31183">
        <w:rPr>
          <w:lang w:eastAsia="ja-JP"/>
        </w:rPr>
        <w:t xml:space="preserve"> to chemotherapy. The hazard ratio for PFS was 0.487 (95% CI: 0.371, 0.638), p &lt; 0.0001 (1-sided stratified log-rank test), favouring </w:t>
      </w:r>
      <w:proofErr w:type="spellStart"/>
      <w:r w:rsidRPr="00C31183">
        <w:rPr>
          <w:lang w:eastAsia="ja-JP"/>
        </w:rPr>
        <w:t>crizotinib</w:t>
      </w:r>
      <w:proofErr w:type="spellEnd"/>
      <w:r w:rsidRPr="00C31183">
        <w:rPr>
          <w:lang w:eastAsia="ja-JP"/>
        </w:rPr>
        <w:t xml:space="preserve"> relative to chemotherapy. The observed results for PFS were consistent with the clinical assumptions used to calculate the sample size. The increased PFS seen in the </w:t>
      </w:r>
      <w:proofErr w:type="spellStart"/>
      <w:r w:rsidRPr="00C31183">
        <w:rPr>
          <w:lang w:eastAsia="ja-JP"/>
        </w:rPr>
        <w:t>crizotinib</w:t>
      </w:r>
      <w:proofErr w:type="spellEnd"/>
      <w:r w:rsidRPr="00C31183">
        <w:rPr>
          <w:lang w:eastAsia="ja-JP"/>
        </w:rPr>
        <w:t xml:space="preserve"> arm compared with the chemotherapy arm is considered to be clinically meaningful. The Kaplan-Meier plot showed that the curves for the </w:t>
      </w:r>
      <w:proofErr w:type="spellStart"/>
      <w:r w:rsidRPr="00C31183">
        <w:rPr>
          <w:lang w:eastAsia="ja-JP"/>
        </w:rPr>
        <w:t>crizotinib</w:t>
      </w:r>
      <w:proofErr w:type="spellEnd"/>
      <w:r w:rsidRPr="00C31183">
        <w:rPr>
          <w:lang w:eastAsia="ja-JP"/>
        </w:rPr>
        <w:t xml:space="preserve"> and the chemotherapy arms began to separate very soon after initiating therapy and continued to favour </w:t>
      </w:r>
      <w:proofErr w:type="spellStart"/>
      <w:r w:rsidRPr="00C31183">
        <w:rPr>
          <w:lang w:eastAsia="ja-JP"/>
        </w:rPr>
        <w:t>crizotinib</w:t>
      </w:r>
      <w:proofErr w:type="spellEnd"/>
      <w:r w:rsidRPr="00C31183">
        <w:rPr>
          <w:lang w:eastAsia="ja-JP"/>
        </w:rPr>
        <w:t xml:space="preserve"> over chemotherapy </w:t>
      </w:r>
      <w:r w:rsidR="003902EC">
        <w:rPr>
          <w:lang w:eastAsia="ja-JP"/>
        </w:rPr>
        <w:t>throughout the study period.</w:t>
      </w:r>
    </w:p>
    <w:p w:rsidR="00CE4F74" w:rsidRPr="00C31183" w:rsidRDefault="00CE4F74" w:rsidP="003902EC">
      <w:pPr>
        <w:rPr>
          <w:lang w:eastAsia="ja-JP"/>
        </w:rPr>
      </w:pPr>
      <w:r w:rsidRPr="00C31183">
        <w:rPr>
          <w:lang w:eastAsia="ja-JP"/>
        </w:rPr>
        <w:t xml:space="preserve">Of the 173 patients </w:t>
      </w:r>
      <w:r>
        <w:rPr>
          <w:lang w:eastAsia="ja-JP"/>
        </w:rPr>
        <w:t>randomised</w:t>
      </w:r>
      <w:r w:rsidRPr="00C31183">
        <w:rPr>
          <w:lang w:eastAsia="ja-JP"/>
        </w:rPr>
        <w:t xml:space="preserve"> to </w:t>
      </w:r>
      <w:proofErr w:type="spellStart"/>
      <w:r w:rsidRPr="00C31183">
        <w:rPr>
          <w:lang w:eastAsia="ja-JP"/>
        </w:rPr>
        <w:t>crizotinib</w:t>
      </w:r>
      <w:proofErr w:type="spellEnd"/>
      <w:r w:rsidRPr="00C31183">
        <w:rPr>
          <w:lang w:eastAsia="ja-JP"/>
        </w:rPr>
        <w:t xml:space="preserve">, 100 (57.8%) had a PFS event and 73 (42.2%) are still in follow-up, while of the 174 patients </w:t>
      </w:r>
      <w:r>
        <w:rPr>
          <w:lang w:eastAsia="ja-JP"/>
        </w:rPr>
        <w:t>randomised</w:t>
      </w:r>
      <w:r w:rsidRPr="00C31183">
        <w:rPr>
          <w:lang w:eastAsia="ja-JP"/>
        </w:rPr>
        <w:t xml:space="preserve"> to chemotherapy, 127 (73.0%) had a PFS event and 47 (27.0%) are still in follow-up. The percentage of patients with objective progression was 1.4-fold higher in the chemotherapy arm than in the </w:t>
      </w:r>
      <w:proofErr w:type="spellStart"/>
      <w:r w:rsidRPr="00C31183">
        <w:rPr>
          <w:lang w:eastAsia="ja-JP"/>
        </w:rPr>
        <w:t>crizotinib</w:t>
      </w:r>
      <w:proofErr w:type="spellEnd"/>
      <w:r w:rsidRPr="00C31183">
        <w:rPr>
          <w:lang w:eastAsia="ja-JP"/>
        </w:rPr>
        <w:t xml:space="preserve"> arm (68.4%, n=119</w:t>
      </w:r>
      <w:r>
        <w:rPr>
          <w:lang w:eastAsia="ja-JP"/>
        </w:rPr>
        <w:t xml:space="preserve"> versus </w:t>
      </w:r>
      <w:r w:rsidRPr="00C31183">
        <w:rPr>
          <w:lang w:eastAsia="ja-JP"/>
        </w:rPr>
        <w:t xml:space="preserve">48.6%, n=84) while the percentage of patients who died without objective progression was 2.0-fold higher in the </w:t>
      </w:r>
      <w:proofErr w:type="spellStart"/>
      <w:r w:rsidRPr="00C31183">
        <w:rPr>
          <w:lang w:eastAsia="ja-JP"/>
        </w:rPr>
        <w:t>crizotinib</w:t>
      </w:r>
      <w:proofErr w:type="spellEnd"/>
      <w:r w:rsidRPr="00C31183">
        <w:rPr>
          <w:lang w:eastAsia="ja-JP"/>
        </w:rPr>
        <w:t xml:space="preserve"> arm than in the chemotherapy arm (9.2%, n=16</w:t>
      </w:r>
      <w:r>
        <w:rPr>
          <w:lang w:eastAsia="ja-JP"/>
        </w:rPr>
        <w:t xml:space="preserve"> versus </w:t>
      </w:r>
      <w:r w:rsidRPr="00C31183">
        <w:rPr>
          <w:lang w:eastAsia="ja-JP"/>
        </w:rPr>
        <w:t>4.6%, n=8). These results indicate that the difference in PFS between the two treatment arms is being driven primarily by the difference in</w:t>
      </w:r>
      <w:r w:rsidR="003902EC">
        <w:rPr>
          <w:lang w:eastAsia="ja-JP"/>
        </w:rPr>
        <w:t xml:space="preserve"> objective disease progression.</w:t>
      </w:r>
    </w:p>
    <w:p w:rsidR="00CE4F74" w:rsidRPr="00C31183" w:rsidRDefault="00CE4F74" w:rsidP="003902EC">
      <w:pPr>
        <w:rPr>
          <w:lang w:eastAsia="ja-JP"/>
        </w:rPr>
      </w:pPr>
      <w:r w:rsidRPr="00C31183">
        <w:rPr>
          <w:lang w:eastAsia="ja-JP"/>
        </w:rPr>
        <w:t xml:space="preserve">In the subgroup analyses, PFS significantly favoured </w:t>
      </w:r>
      <w:proofErr w:type="spellStart"/>
      <w:r w:rsidRPr="00C31183">
        <w:rPr>
          <w:lang w:eastAsia="ja-JP"/>
        </w:rPr>
        <w:t>crizotinib</w:t>
      </w:r>
      <w:proofErr w:type="spellEnd"/>
      <w:r w:rsidRPr="00C31183">
        <w:rPr>
          <w:lang w:eastAsia="ja-JP"/>
        </w:rPr>
        <w:t xml:space="preserve"> compared with </w:t>
      </w:r>
      <w:proofErr w:type="spellStart"/>
      <w:r w:rsidRPr="00C31183">
        <w:rPr>
          <w:lang w:eastAsia="ja-JP"/>
        </w:rPr>
        <w:t>pemetrexed</w:t>
      </w:r>
      <w:proofErr w:type="spellEnd"/>
      <w:r w:rsidRPr="00C31183">
        <w:rPr>
          <w:lang w:eastAsia="ja-JP"/>
        </w:rPr>
        <w:t xml:space="preserve"> and </w:t>
      </w:r>
      <w:proofErr w:type="spellStart"/>
      <w:r w:rsidRPr="00C31183">
        <w:rPr>
          <w:lang w:eastAsia="ja-JP"/>
        </w:rPr>
        <w:t>crizotinib</w:t>
      </w:r>
      <w:proofErr w:type="spellEnd"/>
      <w:r w:rsidRPr="00C31183">
        <w:rPr>
          <w:lang w:eastAsia="ja-JP"/>
        </w:rPr>
        <w:t xml:space="preserve"> compared with </w:t>
      </w:r>
      <w:proofErr w:type="spellStart"/>
      <w:r w:rsidRPr="00C31183">
        <w:rPr>
          <w:lang w:eastAsia="ja-JP"/>
        </w:rPr>
        <w:t>docetaxel</w:t>
      </w:r>
      <w:proofErr w:type="spellEnd"/>
      <w:r w:rsidRPr="00C31183">
        <w:rPr>
          <w:lang w:eastAsia="ja-JP"/>
        </w:rPr>
        <w:t xml:space="preserve">. The median PFS durations were 7.7 months, 4.2 months and 2.6 months for </w:t>
      </w:r>
      <w:proofErr w:type="spellStart"/>
      <w:r w:rsidRPr="00C31183">
        <w:rPr>
          <w:lang w:eastAsia="ja-JP"/>
        </w:rPr>
        <w:t>crizotinib</w:t>
      </w:r>
      <w:proofErr w:type="spellEnd"/>
      <w:r w:rsidRPr="00C31183">
        <w:rPr>
          <w:lang w:eastAsia="ja-JP"/>
        </w:rPr>
        <w:t xml:space="preserve">, </w:t>
      </w:r>
      <w:proofErr w:type="spellStart"/>
      <w:r w:rsidRPr="00C31183">
        <w:rPr>
          <w:lang w:eastAsia="ja-JP"/>
        </w:rPr>
        <w:t>pemetrex</w:t>
      </w:r>
      <w:r w:rsidR="003902EC">
        <w:rPr>
          <w:lang w:eastAsia="ja-JP"/>
        </w:rPr>
        <w:t>ed</w:t>
      </w:r>
      <w:proofErr w:type="spellEnd"/>
      <w:r w:rsidR="003902EC">
        <w:rPr>
          <w:lang w:eastAsia="ja-JP"/>
        </w:rPr>
        <w:t xml:space="preserve"> and </w:t>
      </w:r>
      <w:proofErr w:type="spellStart"/>
      <w:r w:rsidR="003902EC">
        <w:rPr>
          <w:lang w:eastAsia="ja-JP"/>
        </w:rPr>
        <w:t>docetaxel</w:t>
      </w:r>
      <w:proofErr w:type="spellEnd"/>
      <w:r w:rsidR="003902EC">
        <w:rPr>
          <w:lang w:eastAsia="ja-JP"/>
        </w:rPr>
        <w:t>, respectively.</w:t>
      </w:r>
    </w:p>
    <w:p w:rsidR="00CE4F74" w:rsidRPr="00C31183" w:rsidRDefault="00CE4F74" w:rsidP="003902EC">
      <w:pPr>
        <w:pStyle w:val="Heading4"/>
      </w:pPr>
      <w:bookmarkStart w:id="59" w:name="_Toc228773355"/>
      <w:r w:rsidRPr="00C31183">
        <w:t>Results for the secondary efficacy endpoints</w:t>
      </w:r>
      <w:bookmarkEnd w:id="59"/>
    </w:p>
    <w:p w:rsidR="00CE4F74" w:rsidRPr="00C31183" w:rsidRDefault="00CE4F74" w:rsidP="003902EC">
      <w:pPr>
        <w:pStyle w:val="Heading5"/>
        <w:rPr>
          <w:lang w:eastAsia="ja-JP"/>
        </w:rPr>
      </w:pPr>
      <w:bookmarkStart w:id="60" w:name="_Toc228773356"/>
      <w:r w:rsidRPr="00C31183">
        <w:rPr>
          <w:lang w:eastAsia="ja-JP"/>
        </w:rPr>
        <w:t>Overall survival (OS) – interim analysis</w:t>
      </w:r>
      <w:bookmarkEnd w:id="60"/>
    </w:p>
    <w:p w:rsidR="00CE4F74" w:rsidRPr="00C31183" w:rsidRDefault="00CE4F74" w:rsidP="003902EC">
      <w:pPr>
        <w:pStyle w:val="Heading6"/>
        <w:rPr>
          <w:lang w:eastAsia="ja-JP"/>
        </w:rPr>
      </w:pPr>
      <w:bookmarkStart w:id="61" w:name="_Toc228773357"/>
      <w:r w:rsidRPr="00C31183">
        <w:rPr>
          <w:lang w:eastAsia="ja-JP"/>
        </w:rPr>
        <w:t>Primary OS analysis (interim analysis)</w:t>
      </w:r>
      <w:bookmarkEnd w:id="61"/>
    </w:p>
    <w:p w:rsidR="00CE4F74" w:rsidRPr="00C31183" w:rsidRDefault="00CE4F74" w:rsidP="003902EC">
      <w:pPr>
        <w:rPr>
          <w:lang w:eastAsia="ja-JP"/>
        </w:rPr>
      </w:pPr>
      <w:r w:rsidRPr="00C31183">
        <w:rPr>
          <w:lang w:eastAsia="ja-JP"/>
        </w:rPr>
        <w:t>There was no statistically signific</w:t>
      </w:r>
      <w:r w:rsidRPr="00143CC0">
        <w:rPr>
          <w:lang w:eastAsia="ja-JP"/>
        </w:rPr>
        <w:t>ant improvement</w:t>
      </w:r>
      <w:r w:rsidRPr="00143CC0">
        <w:rPr>
          <w:strike/>
          <w:lang w:eastAsia="ja-JP"/>
        </w:rPr>
        <w:t xml:space="preserve"> </w:t>
      </w:r>
      <w:r w:rsidRPr="00143CC0">
        <w:rPr>
          <w:lang w:eastAsia="ja-JP"/>
        </w:rPr>
        <w:t xml:space="preserve">in OS </w:t>
      </w:r>
      <w:r w:rsidRPr="00C31183">
        <w:rPr>
          <w:lang w:eastAsia="ja-JP"/>
        </w:rPr>
        <w:t xml:space="preserve">between the </w:t>
      </w:r>
      <w:proofErr w:type="spellStart"/>
      <w:r w:rsidRPr="00C31183">
        <w:rPr>
          <w:lang w:eastAsia="ja-JP"/>
        </w:rPr>
        <w:t>crizotinib</w:t>
      </w:r>
      <w:proofErr w:type="spellEnd"/>
      <w:r w:rsidRPr="00C31183">
        <w:rPr>
          <w:lang w:eastAsia="ja-JP"/>
        </w:rPr>
        <w:t xml:space="preserve"> arm and the chemotherapy arm, as assessed by the (interim) primary OS analysis. The key results for the primary OS analysis are </w:t>
      </w:r>
      <w:r>
        <w:rPr>
          <w:lang w:eastAsia="ja-JP"/>
        </w:rPr>
        <w:t>summarised</w:t>
      </w:r>
      <w:r w:rsidRPr="00C31183">
        <w:rPr>
          <w:lang w:eastAsia="ja-JP"/>
        </w:rPr>
        <w:t xml:space="preserve"> below in Table 5. The median duration of follow-up was similar in both the </w:t>
      </w:r>
      <w:proofErr w:type="spellStart"/>
      <w:r w:rsidRPr="00C31183">
        <w:rPr>
          <w:lang w:eastAsia="ja-JP"/>
        </w:rPr>
        <w:t>crizotinib</w:t>
      </w:r>
      <w:proofErr w:type="spellEnd"/>
      <w:r w:rsidRPr="00C31183">
        <w:rPr>
          <w:lang w:eastAsia="ja-JP"/>
        </w:rPr>
        <w:t xml:space="preserve"> and chemotherapy treatment arms (12.2 </w:t>
      </w:r>
      <w:r w:rsidR="003902EC">
        <w:rPr>
          <w:lang w:eastAsia="ja-JP"/>
        </w:rPr>
        <w:t>and 12.1 months, respectively).</w:t>
      </w:r>
    </w:p>
    <w:p w:rsidR="00CE4F74" w:rsidRPr="003902EC" w:rsidRDefault="00CE4F74" w:rsidP="003902EC">
      <w:pPr>
        <w:pStyle w:val="TableTitle"/>
      </w:pPr>
      <w:bookmarkStart w:id="62" w:name="_Toc228773428"/>
      <w:r w:rsidRPr="00C31183">
        <w:rPr>
          <w:lang w:eastAsia="ja-JP"/>
        </w:rPr>
        <w:t xml:space="preserve">Table </w:t>
      </w:r>
      <w:r w:rsidRPr="00C31183">
        <w:rPr>
          <w:lang w:eastAsia="ja-JP"/>
        </w:rPr>
        <w:fldChar w:fldCharType="begin"/>
      </w:r>
      <w:r w:rsidRPr="00C31183">
        <w:rPr>
          <w:lang w:eastAsia="ja-JP"/>
        </w:rPr>
        <w:instrText xml:space="preserve"> SEQ Table \* ARABIC </w:instrText>
      </w:r>
      <w:r w:rsidRPr="00C31183">
        <w:rPr>
          <w:lang w:eastAsia="ja-JP"/>
        </w:rPr>
        <w:fldChar w:fldCharType="separate"/>
      </w:r>
      <w:r>
        <w:rPr>
          <w:noProof/>
          <w:lang w:eastAsia="ja-JP"/>
        </w:rPr>
        <w:t>5</w:t>
      </w:r>
      <w:r w:rsidRPr="00C31183">
        <w:rPr>
          <w:lang w:eastAsia="ja-JP"/>
        </w:rPr>
        <w:fldChar w:fldCharType="end"/>
      </w:r>
      <w:r w:rsidRPr="00C31183">
        <w:rPr>
          <w:lang w:eastAsia="ja-JP"/>
        </w:rPr>
        <w:t>: Interim overall survival analysis (stratified): FA population.</w:t>
      </w:r>
      <w:bookmarkEnd w:id="62"/>
    </w:p>
    <w:tbl>
      <w:tblPr>
        <w:tblStyle w:val="TableTGAblue"/>
        <w:tblW w:w="0" w:type="auto"/>
        <w:tblLook w:val="00A0" w:firstRow="1" w:lastRow="0" w:firstColumn="1" w:lastColumn="0" w:noHBand="0" w:noVBand="0"/>
      </w:tblPr>
      <w:tblGrid>
        <w:gridCol w:w="3398"/>
        <w:gridCol w:w="2859"/>
        <w:gridCol w:w="2390"/>
      </w:tblGrid>
      <w:tr w:rsidR="00CE4F74" w:rsidRPr="00C31183" w:rsidTr="003902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rsidR="00CE4F74" w:rsidRPr="00DA4DDC" w:rsidRDefault="00CE4F74" w:rsidP="003902EC">
            <w:pPr>
              <w:keepNext/>
              <w:ind w:left="0" w:right="0"/>
              <w:rPr>
                <w:lang w:eastAsia="ja-JP"/>
              </w:rPr>
            </w:pPr>
            <w:r w:rsidRPr="00DA4DDC">
              <w:rPr>
                <w:lang w:eastAsia="ja-JP"/>
              </w:rPr>
              <w:t>Parameter</w:t>
            </w:r>
          </w:p>
        </w:tc>
        <w:tc>
          <w:tcPr>
            <w:tcW w:w="2859" w:type="dxa"/>
          </w:tcPr>
          <w:p w:rsidR="00CE4F74" w:rsidRPr="00DA4DDC" w:rsidRDefault="00CE4F74" w:rsidP="003902EC">
            <w:pPr>
              <w:ind w:left="4" w:right="67"/>
              <w:cnfStyle w:val="100000000000" w:firstRow="1" w:lastRow="0" w:firstColumn="0" w:lastColumn="0" w:oddVBand="0" w:evenVBand="0" w:oddHBand="0" w:evenHBand="0" w:firstRowFirstColumn="0" w:firstRowLastColumn="0" w:lastRowFirstColumn="0" w:lastRowLastColumn="0"/>
              <w:rPr>
                <w:lang w:eastAsia="ja-JP"/>
              </w:rPr>
            </w:pPr>
            <w:proofErr w:type="spellStart"/>
            <w:r w:rsidRPr="00DA4DDC">
              <w:rPr>
                <w:lang w:eastAsia="ja-JP"/>
              </w:rPr>
              <w:t>Crizotinib</w:t>
            </w:r>
            <w:proofErr w:type="spellEnd"/>
            <w:r w:rsidRPr="00DA4DDC">
              <w:rPr>
                <w:lang w:eastAsia="ja-JP"/>
              </w:rPr>
              <w:t xml:space="preserve"> (n=173)</w:t>
            </w:r>
          </w:p>
        </w:tc>
        <w:tc>
          <w:tcPr>
            <w:tcW w:w="2390" w:type="dxa"/>
          </w:tcPr>
          <w:p w:rsidR="00CE4F74" w:rsidRPr="00DA4DDC" w:rsidRDefault="00CE4F74" w:rsidP="003902EC">
            <w:pPr>
              <w:cnfStyle w:val="100000000000" w:firstRow="1" w:lastRow="0" w:firstColumn="0" w:lastColumn="0" w:oddVBand="0" w:evenVBand="0" w:oddHBand="0" w:evenHBand="0" w:firstRowFirstColumn="0" w:firstRowLastColumn="0" w:lastRowFirstColumn="0" w:lastRowLastColumn="0"/>
              <w:rPr>
                <w:lang w:eastAsia="ja-JP"/>
              </w:rPr>
            </w:pPr>
            <w:r w:rsidRPr="00DA4DDC">
              <w:rPr>
                <w:lang w:eastAsia="ja-JP"/>
              </w:rPr>
              <w:t>Chemotherapy (n=174)</w:t>
            </w:r>
          </w:p>
        </w:tc>
      </w:tr>
      <w:tr w:rsidR="00CE4F74" w:rsidRPr="00C31183" w:rsidTr="003902EC">
        <w:tc>
          <w:tcPr>
            <w:cnfStyle w:val="001000000000" w:firstRow="0" w:lastRow="0" w:firstColumn="1" w:lastColumn="0" w:oddVBand="0" w:evenVBand="0" w:oddHBand="0" w:evenHBand="0" w:firstRowFirstColumn="0" w:firstRowLastColumn="0" w:lastRowFirstColumn="0" w:lastRowLastColumn="0"/>
            <w:tcW w:w="3398" w:type="dxa"/>
          </w:tcPr>
          <w:p w:rsidR="00CE4F74" w:rsidRPr="00DA4DDC" w:rsidRDefault="00CE4F74" w:rsidP="003902EC">
            <w:pPr>
              <w:ind w:left="0" w:right="0"/>
              <w:rPr>
                <w:color w:val="000000"/>
                <w:lang w:eastAsia="ja-JP"/>
              </w:rPr>
            </w:pPr>
            <w:r w:rsidRPr="00DA4DDC">
              <w:rPr>
                <w:color w:val="000000"/>
                <w:lang w:eastAsia="ja-JP"/>
              </w:rPr>
              <w:t>Number of deaths, n (%)</w:t>
            </w:r>
          </w:p>
        </w:tc>
        <w:tc>
          <w:tcPr>
            <w:tcW w:w="2859" w:type="dxa"/>
          </w:tcPr>
          <w:p w:rsidR="00CE4F74" w:rsidRPr="00DA4DDC" w:rsidRDefault="00CE4F74" w:rsidP="003902EC">
            <w:pPr>
              <w:ind w:left="4"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49 (28.3%)</w:t>
            </w:r>
          </w:p>
        </w:tc>
        <w:tc>
          <w:tcPr>
            <w:tcW w:w="2390" w:type="dxa"/>
          </w:tcPr>
          <w:p w:rsidR="00CE4F74" w:rsidRPr="00DA4DDC" w:rsidRDefault="00CE4F74" w:rsidP="003902EC">
            <w:pPr>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47 (27.0%)</w:t>
            </w:r>
          </w:p>
        </w:tc>
      </w:tr>
      <w:tr w:rsidR="00CE4F74" w:rsidRPr="00C31183" w:rsidTr="003902EC">
        <w:tc>
          <w:tcPr>
            <w:cnfStyle w:val="001000000000" w:firstRow="0" w:lastRow="0" w:firstColumn="1" w:lastColumn="0" w:oddVBand="0" w:evenVBand="0" w:oddHBand="0" w:evenHBand="0" w:firstRowFirstColumn="0" w:firstRowLastColumn="0" w:lastRowFirstColumn="0" w:lastRowLastColumn="0"/>
            <w:tcW w:w="3398" w:type="dxa"/>
          </w:tcPr>
          <w:p w:rsidR="00CE4F74" w:rsidRPr="00DA4DDC" w:rsidRDefault="00CE4F74" w:rsidP="003902EC">
            <w:pPr>
              <w:ind w:left="0" w:right="0"/>
              <w:rPr>
                <w:color w:val="000000"/>
                <w:lang w:eastAsia="ja-JP"/>
              </w:rPr>
            </w:pPr>
            <w:r w:rsidRPr="00DA4DDC">
              <w:rPr>
                <w:color w:val="000000"/>
                <w:lang w:eastAsia="ja-JP"/>
              </w:rPr>
              <w:t>Number censored, n (%)</w:t>
            </w:r>
          </w:p>
        </w:tc>
        <w:tc>
          <w:tcPr>
            <w:tcW w:w="2859" w:type="dxa"/>
          </w:tcPr>
          <w:p w:rsidR="00CE4F74" w:rsidRPr="00DA4DDC" w:rsidRDefault="00CE4F74" w:rsidP="003902EC">
            <w:pPr>
              <w:ind w:left="4"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124 (71.7%)</w:t>
            </w:r>
          </w:p>
        </w:tc>
        <w:tc>
          <w:tcPr>
            <w:tcW w:w="2390" w:type="dxa"/>
          </w:tcPr>
          <w:p w:rsidR="00CE4F74" w:rsidRPr="00DA4DDC" w:rsidRDefault="00CE4F74" w:rsidP="003902EC">
            <w:pPr>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127 (73.0%)</w:t>
            </w:r>
          </w:p>
        </w:tc>
      </w:tr>
      <w:tr w:rsidR="00CE4F74" w:rsidRPr="00C31183" w:rsidTr="003902EC">
        <w:tc>
          <w:tcPr>
            <w:cnfStyle w:val="001000000000" w:firstRow="0" w:lastRow="0" w:firstColumn="1" w:lastColumn="0" w:oddVBand="0" w:evenVBand="0" w:oddHBand="0" w:evenHBand="0" w:firstRowFirstColumn="0" w:firstRowLastColumn="0" w:lastRowFirstColumn="0" w:lastRowLastColumn="0"/>
            <w:tcW w:w="3398" w:type="dxa"/>
          </w:tcPr>
          <w:p w:rsidR="00CE4F74" w:rsidRPr="00DA4DDC" w:rsidRDefault="00CE4F74" w:rsidP="003902EC">
            <w:pPr>
              <w:ind w:left="0" w:right="0"/>
              <w:rPr>
                <w:color w:val="000000"/>
                <w:lang w:eastAsia="ja-JP"/>
              </w:rPr>
            </w:pPr>
            <w:r w:rsidRPr="00DA4DDC">
              <w:rPr>
                <w:color w:val="000000"/>
                <w:lang w:eastAsia="ja-JP"/>
              </w:rPr>
              <w:lastRenderedPageBreak/>
              <w:t xml:space="preserve">Median OS, months (95% CI) </w:t>
            </w:r>
            <w:r w:rsidRPr="00DA4DDC">
              <w:rPr>
                <w:color w:val="000000"/>
                <w:vertAlign w:val="superscript"/>
                <w:lang w:eastAsia="ja-JP"/>
              </w:rPr>
              <w:t>a</w:t>
            </w:r>
          </w:p>
        </w:tc>
        <w:tc>
          <w:tcPr>
            <w:tcW w:w="2859" w:type="dxa"/>
          </w:tcPr>
          <w:p w:rsidR="00CE4F74" w:rsidRPr="00DA4DDC" w:rsidRDefault="00CE4F74" w:rsidP="003902EC">
            <w:pPr>
              <w:ind w:left="4"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20.3 (18.1, NR)</w:t>
            </w:r>
          </w:p>
        </w:tc>
        <w:tc>
          <w:tcPr>
            <w:tcW w:w="2390" w:type="dxa"/>
          </w:tcPr>
          <w:p w:rsidR="00CE4F74" w:rsidRPr="00DA4DDC" w:rsidRDefault="00CE4F74" w:rsidP="003902EC">
            <w:pPr>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22.8 (18.6, NR)</w:t>
            </w:r>
          </w:p>
        </w:tc>
      </w:tr>
      <w:tr w:rsidR="00CE4F74" w:rsidRPr="00C31183" w:rsidTr="003902EC">
        <w:tc>
          <w:tcPr>
            <w:cnfStyle w:val="001000000000" w:firstRow="0" w:lastRow="0" w:firstColumn="1" w:lastColumn="0" w:oddVBand="0" w:evenVBand="0" w:oddHBand="0" w:evenHBand="0" w:firstRowFirstColumn="0" w:firstRowLastColumn="0" w:lastRowFirstColumn="0" w:lastRowLastColumn="0"/>
            <w:tcW w:w="3398" w:type="dxa"/>
          </w:tcPr>
          <w:p w:rsidR="00CE4F74" w:rsidRPr="00DA4DDC" w:rsidRDefault="00CE4F74" w:rsidP="003902EC">
            <w:pPr>
              <w:ind w:left="0" w:right="0"/>
              <w:rPr>
                <w:color w:val="000000"/>
                <w:lang w:eastAsia="ja-JP"/>
              </w:rPr>
            </w:pPr>
            <w:r w:rsidRPr="00DA4DDC">
              <w:rPr>
                <w:color w:val="000000"/>
                <w:lang w:eastAsia="ja-JP"/>
              </w:rPr>
              <w:t xml:space="preserve">Hazard Ratio (95% CI) </w:t>
            </w:r>
            <w:r w:rsidRPr="00DA4DDC">
              <w:rPr>
                <w:color w:val="000000"/>
                <w:vertAlign w:val="superscript"/>
                <w:lang w:eastAsia="ja-JP"/>
              </w:rPr>
              <w:t>b</w:t>
            </w:r>
            <w:r w:rsidRPr="00DA4DDC">
              <w:rPr>
                <w:color w:val="000000"/>
                <w:lang w:eastAsia="ja-JP"/>
              </w:rPr>
              <w:t xml:space="preserve">; p -value </w:t>
            </w:r>
            <w:r w:rsidRPr="00DA4DDC">
              <w:rPr>
                <w:color w:val="000000"/>
                <w:vertAlign w:val="superscript"/>
                <w:lang w:eastAsia="ja-JP"/>
              </w:rPr>
              <w:t>c</w:t>
            </w:r>
          </w:p>
        </w:tc>
        <w:tc>
          <w:tcPr>
            <w:tcW w:w="5249" w:type="dxa"/>
            <w:gridSpan w:val="2"/>
          </w:tcPr>
          <w:p w:rsidR="00CE4F74" w:rsidRPr="00DA4DDC" w:rsidRDefault="00CE4F74" w:rsidP="003902EC">
            <w:pPr>
              <w:ind w:left="4"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1.021 (95% CI: 0.677, 1.540); p=0.5394</w:t>
            </w:r>
          </w:p>
        </w:tc>
      </w:tr>
    </w:tbl>
    <w:p w:rsidR="00CE4F74" w:rsidRPr="001E1264" w:rsidRDefault="00CE4F74" w:rsidP="003902EC">
      <w:pPr>
        <w:pStyle w:val="TableDescription"/>
        <w:rPr>
          <w:lang w:eastAsia="ja-JP"/>
        </w:rPr>
      </w:pPr>
      <w:r w:rsidRPr="001E1264">
        <w:rPr>
          <w:lang w:eastAsia="ja-JP"/>
        </w:rPr>
        <w:t>[</w:t>
      </w:r>
      <w:proofErr w:type="gramStart"/>
      <w:r w:rsidRPr="001E1264">
        <w:rPr>
          <w:lang w:eastAsia="ja-JP"/>
        </w:rPr>
        <w:t>a</w:t>
      </w:r>
      <w:proofErr w:type="gramEnd"/>
      <w:r w:rsidRPr="001E1264">
        <w:rPr>
          <w:lang w:eastAsia="ja-JP"/>
        </w:rPr>
        <w:t xml:space="preserve">] Median survival estimated from Kaplan-Meier curve, 95% CI based on the </w:t>
      </w:r>
      <w:proofErr w:type="spellStart"/>
      <w:r w:rsidRPr="001E1264">
        <w:rPr>
          <w:lang w:eastAsia="ja-JP"/>
        </w:rPr>
        <w:t>Brookmyer</w:t>
      </w:r>
      <w:proofErr w:type="spellEnd"/>
      <w:r w:rsidRPr="001E1264">
        <w:rPr>
          <w:lang w:eastAsia="ja-JP"/>
        </w:rPr>
        <w:t xml:space="preserve"> and Crowley method.</w:t>
      </w:r>
      <w:r>
        <w:rPr>
          <w:lang w:eastAsia="ja-JP"/>
        </w:rPr>
        <w:t xml:space="preserve"> </w:t>
      </w:r>
      <w:r w:rsidRPr="001E1264">
        <w:rPr>
          <w:lang w:eastAsia="ja-JP"/>
        </w:rPr>
        <w:t>[b]</w:t>
      </w:r>
      <w:r>
        <w:rPr>
          <w:lang w:eastAsia="ja-JP"/>
        </w:rPr>
        <w:t xml:space="preserve"> </w:t>
      </w:r>
      <w:r w:rsidRPr="001E1264">
        <w:rPr>
          <w:lang w:eastAsia="ja-JP"/>
        </w:rPr>
        <w:t xml:space="preserve">Based on the Cox proportional hazards model stratified by ECOG PS, brain metastases, and prior EGFR TKI treatment. Assuming proportional hazards, a hazard ratio &lt;1 indicates a reduction in hazard rate in favour of </w:t>
      </w:r>
      <w:proofErr w:type="spellStart"/>
      <w:r w:rsidRPr="001E1264">
        <w:rPr>
          <w:lang w:eastAsia="ja-JP"/>
        </w:rPr>
        <w:t>crizotinib</w:t>
      </w:r>
      <w:proofErr w:type="spellEnd"/>
      <w:r w:rsidRPr="001E1264">
        <w:rPr>
          <w:lang w:eastAsia="ja-JP"/>
        </w:rPr>
        <w:t>.</w:t>
      </w:r>
      <w:r>
        <w:rPr>
          <w:lang w:eastAsia="ja-JP"/>
        </w:rPr>
        <w:t xml:space="preserve"> </w:t>
      </w:r>
      <w:r w:rsidRPr="001E1264">
        <w:rPr>
          <w:lang w:eastAsia="ja-JP"/>
        </w:rPr>
        <w:t>[c]</w:t>
      </w:r>
      <w:r>
        <w:rPr>
          <w:lang w:eastAsia="ja-JP"/>
        </w:rPr>
        <w:t xml:space="preserve"> </w:t>
      </w:r>
      <w:r w:rsidRPr="001E1264">
        <w:rPr>
          <w:lang w:eastAsia="ja-JP"/>
        </w:rPr>
        <w:t>1-sided p-value from the log-rank test stratified by ECOG PS, brain metastases</w:t>
      </w:r>
      <w:r w:rsidR="003902EC">
        <w:rPr>
          <w:lang w:eastAsia="ja-JP"/>
        </w:rPr>
        <w:t>, and prior EGFR TKI treatment.</w:t>
      </w:r>
    </w:p>
    <w:p w:rsidR="00CE4F74" w:rsidRPr="00C31183" w:rsidRDefault="00CE4F74" w:rsidP="00A65348">
      <w:pPr>
        <w:rPr>
          <w:lang w:eastAsia="ja-JP"/>
        </w:rPr>
      </w:pPr>
      <w:r w:rsidRPr="00C31183">
        <w:rPr>
          <w:lang w:eastAsia="ja-JP"/>
        </w:rPr>
        <w:t>There was no statistically significant difference in OS between the two treatment groups in either of the two pairwise comparisons. However, Kaplan-Meier estimates were not available for the median survival times in either of the two analyses due to the number of deaths being too sma</w:t>
      </w:r>
      <w:r w:rsidR="00A65348">
        <w:rPr>
          <w:lang w:eastAsia="ja-JP"/>
        </w:rPr>
        <w:t>ll to calculate the parameters.</w:t>
      </w:r>
    </w:p>
    <w:p w:rsidR="00CE4F74" w:rsidRPr="00C31183" w:rsidRDefault="00CE4F74" w:rsidP="00A65348">
      <w:pPr>
        <w:rPr>
          <w:lang w:eastAsia="ja-JP"/>
        </w:rPr>
      </w:pPr>
      <w:r w:rsidRPr="00C31183">
        <w:rPr>
          <w:lang w:eastAsia="ja-JP"/>
        </w:rPr>
        <w:t>A Cox regression model of OS adjusted for baseline stratification factors and treatments showed no significant difference between the two treatment arms (p=0.9043). For the stratification factors, patients with ECOG PS of 0-1 had a better OS outcome than patients with ECOG PS of 2 (p&lt;0.0001), patients with no brain metastases had better OS outcome than patients with brain metastases (p=0.0121) and patients who received prior EGFR TKI treatment had better OS outcome than patients with no prior EGFR TKI treatment (p=0.0189), although there were few patients in some subgroups (</w:t>
      </w:r>
      <w:r>
        <w:rPr>
          <w:lang w:eastAsia="ja-JP"/>
        </w:rPr>
        <w:t>for example,</w:t>
      </w:r>
      <w:r w:rsidRPr="00C31183">
        <w:rPr>
          <w:lang w:eastAsia="ja-JP"/>
        </w:rPr>
        <w:t xml:space="preserve"> ECOG PS score 2 [n=34]; pr</w:t>
      </w:r>
      <w:r w:rsidR="00A65348">
        <w:rPr>
          <w:lang w:eastAsia="ja-JP"/>
        </w:rPr>
        <w:t>ior EGFR TKI treatment [n=41]).</w:t>
      </w:r>
    </w:p>
    <w:p w:rsidR="00CE4F74" w:rsidRPr="00C31183" w:rsidRDefault="00CE4F74" w:rsidP="00A65348">
      <w:pPr>
        <w:rPr>
          <w:lang w:eastAsia="ja-JP"/>
        </w:rPr>
      </w:pPr>
      <w:r w:rsidRPr="00C31183">
        <w:rPr>
          <w:lang w:eastAsia="ja-JP"/>
        </w:rPr>
        <w:t xml:space="preserve">A Forest plot of OS in subgroups based on baseline characteristics </w:t>
      </w:r>
      <w:r>
        <w:rPr>
          <w:lang w:eastAsia="ja-JP"/>
        </w:rPr>
        <w:t>wa</w:t>
      </w:r>
      <w:r w:rsidRPr="00C31183">
        <w:rPr>
          <w:lang w:eastAsia="ja-JP"/>
        </w:rPr>
        <w:t xml:space="preserve">s provided. No statistically significant differences were observed between </w:t>
      </w:r>
      <w:proofErr w:type="spellStart"/>
      <w:r w:rsidRPr="00C31183">
        <w:rPr>
          <w:lang w:eastAsia="ja-JP"/>
        </w:rPr>
        <w:t>crizotinib</w:t>
      </w:r>
      <w:proofErr w:type="spellEnd"/>
      <w:r w:rsidRPr="00C31183">
        <w:rPr>
          <w:lang w:eastAsia="ja-JP"/>
        </w:rPr>
        <w:t xml:space="preserve"> and chemot</w:t>
      </w:r>
      <w:r w:rsidR="00A65348">
        <w:rPr>
          <w:lang w:eastAsia="ja-JP"/>
        </w:rPr>
        <w:t>herapy in any of the subgroups.</w:t>
      </w:r>
    </w:p>
    <w:p w:rsidR="00CE4F74" w:rsidRPr="00C31183" w:rsidRDefault="00CE4F74" w:rsidP="00A65348">
      <w:pPr>
        <w:ind w:left="1418" w:hanging="1418"/>
        <w:rPr>
          <w:lang w:eastAsia="ja-JP"/>
        </w:rPr>
      </w:pPr>
      <w:r w:rsidRPr="00C31183">
        <w:rPr>
          <w:b/>
          <w:lang w:eastAsia="ja-JP"/>
        </w:rPr>
        <w:t>Comment:</w:t>
      </w:r>
      <w:r w:rsidR="00A65348">
        <w:rPr>
          <w:b/>
          <w:lang w:eastAsia="ja-JP"/>
        </w:rPr>
        <w:tab/>
      </w:r>
      <w:r w:rsidRPr="00C31183">
        <w:rPr>
          <w:lang w:eastAsia="ja-JP"/>
        </w:rPr>
        <w:t>There was no statistically signific</w:t>
      </w:r>
      <w:r w:rsidRPr="00143CC0">
        <w:rPr>
          <w:lang w:eastAsia="ja-JP"/>
        </w:rPr>
        <w:t>ant improvement betwe</w:t>
      </w:r>
      <w:r w:rsidRPr="00C31183">
        <w:rPr>
          <w:lang w:eastAsia="ja-JP"/>
        </w:rPr>
        <w:t xml:space="preserve">en </w:t>
      </w:r>
      <w:proofErr w:type="spellStart"/>
      <w:r w:rsidRPr="00C31183">
        <w:rPr>
          <w:lang w:eastAsia="ja-JP"/>
        </w:rPr>
        <w:t>crizotinib</w:t>
      </w:r>
      <w:proofErr w:type="spellEnd"/>
      <w:r w:rsidRPr="00C31183">
        <w:rPr>
          <w:lang w:eastAsia="ja-JP"/>
        </w:rPr>
        <w:t xml:space="preserve"> and chemotherapy in OS (interim primary analysis). Median overall survival was similar in the </w:t>
      </w:r>
      <w:proofErr w:type="spellStart"/>
      <w:r w:rsidRPr="00C31183">
        <w:rPr>
          <w:lang w:eastAsia="ja-JP"/>
        </w:rPr>
        <w:t>crizotinib</w:t>
      </w:r>
      <w:proofErr w:type="spellEnd"/>
      <w:r w:rsidRPr="00C31183">
        <w:rPr>
          <w:lang w:eastAsia="ja-JP"/>
        </w:rPr>
        <w:t xml:space="preserve"> and the chemotherapy arms (20.3 and 22.8 months, respectively), and the hazard ratio for overall survival was 1.021 (95% CI: 0.677, 1.540), p=0.5394 (1-sided stratified log-rank test). A total of 49 (28.3%) patients on </w:t>
      </w:r>
      <w:proofErr w:type="spellStart"/>
      <w:r w:rsidRPr="00C31183">
        <w:rPr>
          <w:lang w:eastAsia="ja-JP"/>
        </w:rPr>
        <w:t>crizotinib</w:t>
      </w:r>
      <w:proofErr w:type="spellEnd"/>
      <w:r w:rsidRPr="00C31183">
        <w:rPr>
          <w:lang w:eastAsia="ja-JP"/>
        </w:rPr>
        <w:t xml:space="preserve"> and 47 (27.0%) patients on chemotherapy were known to have died as of the data </w:t>
      </w:r>
      <w:proofErr w:type="spellStart"/>
      <w:r w:rsidRPr="00C31183">
        <w:rPr>
          <w:lang w:eastAsia="ja-JP"/>
        </w:rPr>
        <w:t>cut</w:t>
      </w:r>
      <w:r>
        <w:rPr>
          <w:lang w:eastAsia="ja-JP"/>
        </w:rPr>
        <w:t xml:space="preserve"> </w:t>
      </w:r>
      <w:r w:rsidRPr="00C31183">
        <w:rPr>
          <w:lang w:eastAsia="ja-JP"/>
        </w:rPr>
        <w:t>off</w:t>
      </w:r>
      <w:proofErr w:type="spellEnd"/>
      <w:r w:rsidRPr="00C31183">
        <w:rPr>
          <w:lang w:eastAsia="ja-JP"/>
        </w:rPr>
        <w:t xml:space="preserve"> date. Data for patients not known to have died were censored at the time they were last known to be alive. Overall, the number of deaths observed so far corresponds to 39.8% of the total number of deaths required for the final OS analysis (</w:t>
      </w:r>
      <w:r>
        <w:rPr>
          <w:lang w:eastAsia="ja-JP"/>
        </w:rPr>
        <w:t>that is,</w:t>
      </w:r>
      <w:r w:rsidRPr="00C31183">
        <w:rPr>
          <w:lang w:eastAsia="ja-JP"/>
        </w:rPr>
        <w:t xml:space="preserve"> 96 out of 241 deaths). The majority of patients in each treatment arm were in follow-up for survival at the data </w:t>
      </w:r>
      <w:proofErr w:type="spellStart"/>
      <w:r w:rsidRPr="00C31183">
        <w:rPr>
          <w:lang w:eastAsia="ja-JP"/>
        </w:rPr>
        <w:t>cut</w:t>
      </w:r>
      <w:r>
        <w:rPr>
          <w:lang w:eastAsia="ja-JP"/>
        </w:rPr>
        <w:t xml:space="preserve"> </w:t>
      </w:r>
      <w:r w:rsidRPr="00C31183">
        <w:rPr>
          <w:lang w:eastAsia="ja-JP"/>
        </w:rPr>
        <w:t>off</w:t>
      </w:r>
      <w:proofErr w:type="spellEnd"/>
      <w:r w:rsidRPr="00C31183">
        <w:rPr>
          <w:lang w:eastAsia="ja-JP"/>
        </w:rPr>
        <w:t xml:space="preserve"> date (118 [68.2%] patients on </w:t>
      </w:r>
      <w:proofErr w:type="spellStart"/>
      <w:r w:rsidRPr="00C31183">
        <w:rPr>
          <w:lang w:eastAsia="ja-JP"/>
        </w:rPr>
        <w:t>crizotinib</w:t>
      </w:r>
      <w:proofErr w:type="spellEnd"/>
      <w:r w:rsidRPr="00C31183">
        <w:rPr>
          <w:lang w:eastAsia="ja-JP"/>
        </w:rPr>
        <w:t xml:space="preserve"> and 120 [69.0%] patients on chemotherapy). The primary OS results are considered to be preliminary estimates due to the fact that the total number of deaths required for the final OS analysis had not been reached at the time of the data </w:t>
      </w:r>
      <w:proofErr w:type="spellStart"/>
      <w:r w:rsidRPr="00C31183">
        <w:rPr>
          <w:lang w:eastAsia="ja-JP"/>
        </w:rPr>
        <w:t>cut</w:t>
      </w:r>
      <w:r>
        <w:rPr>
          <w:lang w:eastAsia="ja-JP"/>
        </w:rPr>
        <w:t xml:space="preserve"> </w:t>
      </w:r>
      <w:r w:rsidR="00A65348">
        <w:rPr>
          <w:lang w:eastAsia="ja-JP"/>
        </w:rPr>
        <w:t>off</w:t>
      </w:r>
      <w:proofErr w:type="spellEnd"/>
      <w:r w:rsidR="00A65348">
        <w:rPr>
          <w:lang w:eastAsia="ja-JP"/>
        </w:rPr>
        <w:t xml:space="preserve"> date.</w:t>
      </w:r>
    </w:p>
    <w:p w:rsidR="00CE4F74" w:rsidRPr="00C31183" w:rsidRDefault="00CE4F74" w:rsidP="00A65348">
      <w:pPr>
        <w:rPr>
          <w:lang w:eastAsia="ja-JP"/>
        </w:rPr>
      </w:pPr>
      <w:r w:rsidRPr="00C31183">
        <w:rPr>
          <w:lang w:eastAsia="ja-JP"/>
        </w:rPr>
        <w:t xml:space="preserve">The primary interim OS analysis was not adjusted to account for the potentially confounding effects of crossover from chemotherapy to </w:t>
      </w:r>
      <w:proofErr w:type="spellStart"/>
      <w:r w:rsidRPr="00C31183">
        <w:rPr>
          <w:lang w:eastAsia="ja-JP"/>
        </w:rPr>
        <w:t>crizotinib</w:t>
      </w:r>
      <w:proofErr w:type="spellEnd"/>
      <w:r w:rsidRPr="00C31183">
        <w:rPr>
          <w:lang w:eastAsia="ja-JP"/>
        </w:rPr>
        <w:t xml:space="preserve">. In the chemotherapy arm, 64% (112/174) of patients crossed-over to </w:t>
      </w:r>
      <w:proofErr w:type="spellStart"/>
      <w:r w:rsidRPr="00C31183">
        <w:rPr>
          <w:lang w:eastAsia="ja-JP"/>
        </w:rPr>
        <w:t>crizotinib</w:t>
      </w:r>
      <w:proofErr w:type="spellEnd"/>
      <w:r w:rsidRPr="00C31183">
        <w:rPr>
          <w:lang w:eastAsia="ja-JP"/>
        </w:rPr>
        <w:t xml:space="preserve"> and 12% (20/173) of patients in the </w:t>
      </w:r>
      <w:proofErr w:type="spellStart"/>
      <w:r w:rsidRPr="00C31183">
        <w:rPr>
          <w:lang w:eastAsia="ja-JP"/>
        </w:rPr>
        <w:t>crizotinib</w:t>
      </w:r>
      <w:proofErr w:type="spellEnd"/>
      <w:r w:rsidRPr="00C31183">
        <w:rPr>
          <w:lang w:eastAsia="ja-JP"/>
        </w:rPr>
        <w:t xml:space="preserve"> arm crossed over to chemotherapy. The CSR included a sensitivity analysis of OS censoring at the time of new anti-cancer treatment (</w:t>
      </w:r>
      <w:proofErr w:type="spellStart"/>
      <w:r w:rsidRPr="00C31183">
        <w:rPr>
          <w:lang w:eastAsia="ja-JP"/>
        </w:rPr>
        <w:t>unstratified</w:t>
      </w:r>
      <w:proofErr w:type="spellEnd"/>
      <w:r w:rsidRPr="00C31183">
        <w:rPr>
          <w:lang w:eastAsia="ja-JP"/>
        </w:rPr>
        <w:t xml:space="preserve">) by treatment arm in the FA population. In this analysis, the number of deaths in the </w:t>
      </w:r>
      <w:proofErr w:type="spellStart"/>
      <w:r w:rsidRPr="00C31183">
        <w:rPr>
          <w:lang w:eastAsia="ja-JP"/>
        </w:rPr>
        <w:t>crizotinib</w:t>
      </w:r>
      <w:proofErr w:type="spellEnd"/>
      <w:r w:rsidRPr="00C31183">
        <w:rPr>
          <w:lang w:eastAsia="ja-JP"/>
        </w:rPr>
        <w:t xml:space="preserve"> arm was 21 (12.1%) compared with 12 (6.9%) in the chemotherapy arm. The HR was 1.362 (95% CI: 0.666, 2.785), p=0.8021, indicating a non-significant survival benefit in favour of the chemotherapy arm compared with the </w:t>
      </w:r>
      <w:proofErr w:type="spellStart"/>
      <w:r w:rsidRPr="00C31183">
        <w:rPr>
          <w:lang w:eastAsia="ja-JP"/>
        </w:rPr>
        <w:t>crizotinib</w:t>
      </w:r>
      <w:proofErr w:type="spellEnd"/>
      <w:r w:rsidRPr="00C31183">
        <w:rPr>
          <w:lang w:eastAsia="ja-JP"/>
        </w:rPr>
        <w:t xml:space="preserve"> </w:t>
      </w:r>
      <w:r w:rsidRPr="00C31183">
        <w:rPr>
          <w:lang w:eastAsia="ja-JP"/>
        </w:rPr>
        <w:lastRenderedPageBreak/>
        <w:t>arm. The Kaplan-Meier estimates of the median duration of survival for both treatment arms had not been reached at the date of the data cut</w:t>
      </w:r>
      <w:r>
        <w:rPr>
          <w:lang w:eastAsia="ja-JP"/>
        </w:rPr>
        <w:t xml:space="preserve"> </w:t>
      </w:r>
      <w:r w:rsidRPr="00C31183">
        <w:rPr>
          <w:lang w:eastAsia="ja-JP"/>
        </w:rPr>
        <w:t xml:space="preserve">off. The total number of deaths in this analysis occurring before new anti-cancer treatment was relatively low (n=33) and accounted for 34.4% of all deaths in the primary interim OS analysis. The submission included a Technical Report that included additional pre-specified sensitivity OS analyses based on the interim OS data in </w:t>
      </w:r>
      <w:r>
        <w:rPr>
          <w:lang w:eastAsia="ja-JP"/>
        </w:rPr>
        <w:t>S</w:t>
      </w:r>
      <w:r w:rsidRPr="00C31183">
        <w:rPr>
          <w:lang w:eastAsia="ja-JP"/>
        </w:rPr>
        <w:t>tudy A8081007 (</w:t>
      </w:r>
      <w:r w:rsidR="00A65348">
        <w:rPr>
          <w:lang w:eastAsia="ja-JP"/>
        </w:rPr>
        <w:t>see Section immediately below).</w:t>
      </w:r>
    </w:p>
    <w:p w:rsidR="00CE4F74" w:rsidRPr="00C31183" w:rsidRDefault="00CE4F74" w:rsidP="00A65348">
      <w:pPr>
        <w:pStyle w:val="ListBullet"/>
        <w:rPr>
          <w:lang w:eastAsia="ja-JP"/>
        </w:rPr>
      </w:pPr>
      <w:r w:rsidRPr="00C31183">
        <w:rPr>
          <w:lang w:eastAsia="ja-JP"/>
        </w:rPr>
        <w:t xml:space="preserve">In the </w:t>
      </w:r>
      <w:proofErr w:type="spellStart"/>
      <w:r w:rsidRPr="00C31183">
        <w:rPr>
          <w:lang w:eastAsia="ja-JP"/>
        </w:rPr>
        <w:t>crizotinib</w:t>
      </w:r>
      <w:proofErr w:type="spellEnd"/>
      <w:r w:rsidRPr="00C31183">
        <w:rPr>
          <w:lang w:eastAsia="ja-JP"/>
        </w:rPr>
        <w:t xml:space="preserve"> (n=172)</w:t>
      </w:r>
      <w:r>
        <w:rPr>
          <w:lang w:eastAsia="ja-JP"/>
        </w:rPr>
        <w:t xml:space="preserve"> versus </w:t>
      </w:r>
      <w:proofErr w:type="spellStart"/>
      <w:r w:rsidRPr="00C31183">
        <w:rPr>
          <w:lang w:eastAsia="ja-JP"/>
        </w:rPr>
        <w:t>pemetrexed</w:t>
      </w:r>
      <w:proofErr w:type="spellEnd"/>
      <w:r w:rsidRPr="00C31183">
        <w:rPr>
          <w:lang w:eastAsia="ja-JP"/>
        </w:rPr>
        <w:t xml:space="preserve"> (n=99) subgroup analysis (stratified) the HR was 1.044 (95% CI: 0.637, 1.709), p=0.5679. In this subgroup analysis, there were 48 (27.9%) deaths in the </w:t>
      </w:r>
      <w:proofErr w:type="spellStart"/>
      <w:r w:rsidRPr="00C31183">
        <w:rPr>
          <w:lang w:eastAsia="ja-JP"/>
        </w:rPr>
        <w:t>crizotinib</w:t>
      </w:r>
      <w:proofErr w:type="spellEnd"/>
      <w:r w:rsidRPr="00C31183">
        <w:rPr>
          <w:lang w:eastAsia="ja-JP"/>
        </w:rPr>
        <w:t xml:space="preserve"> group and 24 (25.3%) deaths in the </w:t>
      </w:r>
      <w:proofErr w:type="spellStart"/>
      <w:r w:rsidRPr="00C31183">
        <w:rPr>
          <w:lang w:eastAsia="ja-JP"/>
        </w:rPr>
        <w:t>pemetrexed</w:t>
      </w:r>
      <w:proofErr w:type="spellEnd"/>
      <w:r w:rsidRPr="00C31183">
        <w:rPr>
          <w:lang w:eastAsia="ja-JP"/>
        </w:rPr>
        <w:t xml:space="preserve"> group but in both groups median survival times had not been reached. In the </w:t>
      </w:r>
      <w:proofErr w:type="spellStart"/>
      <w:r w:rsidRPr="00C31183">
        <w:rPr>
          <w:lang w:eastAsia="ja-JP"/>
        </w:rPr>
        <w:t>crizotinib</w:t>
      </w:r>
      <w:proofErr w:type="spellEnd"/>
      <w:r w:rsidRPr="00C31183">
        <w:rPr>
          <w:lang w:eastAsia="ja-JP"/>
        </w:rPr>
        <w:t xml:space="preserve"> (n=172)</w:t>
      </w:r>
      <w:r>
        <w:rPr>
          <w:lang w:eastAsia="ja-JP"/>
        </w:rPr>
        <w:t xml:space="preserve"> versus </w:t>
      </w:r>
      <w:proofErr w:type="spellStart"/>
      <w:r w:rsidRPr="00C31183">
        <w:rPr>
          <w:lang w:eastAsia="ja-JP"/>
        </w:rPr>
        <w:t>docetaxel</w:t>
      </w:r>
      <w:proofErr w:type="spellEnd"/>
      <w:r w:rsidRPr="00C31183">
        <w:rPr>
          <w:lang w:eastAsia="ja-JP"/>
        </w:rPr>
        <w:t xml:space="preserve"> (n=72) subgroup analysis (stratified) the HR was 0.985 (95% CI: 0.568, 1.706), p</w:t>
      </w:r>
      <w:r>
        <w:rPr>
          <w:lang w:eastAsia="ja-JP"/>
        </w:rPr>
        <w:t> </w:t>
      </w:r>
      <w:r w:rsidRPr="00C31183">
        <w:rPr>
          <w:lang w:eastAsia="ja-JP"/>
        </w:rPr>
        <w:t xml:space="preserve">=0.4783. In this subgroup analysis, there were 48 (27.9%) deaths in the </w:t>
      </w:r>
      <w:proofErr w:type="spellStart"/>
      <w:r w:rsidRPr="00C31183">
        <w:rPr>
          <w:lang w:eastAsia="ja-JP"/>
        </w:rPr>
        <w:t>crizotinib</w:t>
      </w:r>
      <w:proofErr w:type="spellEnd"/>
      <w:r w:rsidRPr="00C31183">
        <w:rPr>
          <w:lang w:eastAsia="ja-JP"/>
        </w:rPr>
        <w:t xml:space="preserve"> group and 19 (26.4%) deaths in the </w:t>
      </w:r>
      <w:proofErr w:type="spellStart"/>
      <w:r w:rsidRPr="00C31183">
        <w:rPr>
          <w:lang w:eastAsia="ja-JP"/>
        </w:rPr>
        <w:t>docetaxel</w:t>
      </w:r>
      <w:proofErr w:type="spellEnd"/>
      <w:r w:rsidRPr="00C31183">
        <w:rPr>
          <w:lang w:eastAsia="ja-JP"/>
        </w:rPr>
        <w:t xml:space="preserve"> group, and the Kaplan-Meier estimate of median overall survival was 18.6 month (95% CI: 18.6, -) in the </w:t>
      </w:r>
      <w:proofErr w:type="spellStart"/>
      <w:r w:rsidRPr="00C31183">
        <w:rPr>
          <w:lang w:eastAsia="ja-JP"/>
        </w:rPr>
        <w:t>docetaxel</w:t>
      </w:r>
      <w:proofErr w:type="spellEnd"/>
      <w:r w:rsidRPr="00C31183">
        <w:rPr>
          <w:lang w:eastAsia="ja-JP"/>
        </w:rPr>
        <w:t xml:space="preserve"> group but had not been reached </w:t>
      </w:r>
      <w:r w:rsidR="00A65348">
        <w:rPr>
          <w:lang w:eastAsia="ja-JP"/>
        </w:rPr>
        <w:t xml:space="preserve">in the </w:t>
      </w:r>
      <w:proofErr w:type="spellStart"/>
      <w:r w:rsidR="00A65348">
        <w:rPr>
          <w:lang w:eastAsia="ja-JP"/>
        </w:rPr>
        <w:t>crizotinib</w:t>
      </w:r>
      <w:proofErr w:type="spellEnd"/>
      <w:r w:rsidR="00A65348">
        <w:rPr>
          <w:lang w:eastAsia="ja-JP"/>
        </w:rPr>
        <w:t xml:space="preserve"> group.</w:t>
      </w:r>
    </w:p>
    <w:p w:rsidR="00CE4F74" w:rsidRPr="00C31183" w:rsidRDefault="00CE4F74" w:rsidP="00A65348">
      <w:pPr>
        <w:pStyle w:val="Heading6"/>
        <w:rPr>
          <w:lang w:eastAsia="ja-JP"/>
        </w:rPr>
      </w:pPr>
      <w:bookmarkStart w:id="63" w:name="_Toc228773358"/>
      <w:r w:rsidRPr="00C31183">
        <w:rPr>
          <w:lang w:eastAsia="ja-JP"/>
        </w:rPr>
        <w:t>Technical report - sensitivity analyses of OS</w:t>
      </w:r>
      <w:bookmarkEnd w:id="63"/>
    </w:p>
    <w:p w:rsidR="00CE4F74" w:rsidRPr="00C31183" w:rsidRDefault="00CE4F74" w:rsidP="00A65348">
      <w:pPr>
        <w:pStyle w:val="Heading7"/>
        <w:numPr>
          <w:ilvl w:val="0"/>
          <w:numId w:val="0"/>
        </w:numPr>
        <w:ind w:left="1984" w:hanging="1644"/>
        <w:rPr>
          <w:lang w:eastAsia="ja-JP"/>
        </w:rPr>
      </w:pPr>
      <w:r w:rsidRPr="00C31183">
        <w:rPr>
          <w:lang w:eastAsia="ja-JP"/>
        </w:rPr>
        <w:t>(a)</w:t>
      </w:r>
      <w:r w:rsidRPr="00C31183">
        <w:rPr>
          <w:lang w:eastAsia="ja-JP"/>
        </w:rPr>
        <w:tab/>
        <w:t xml:space="preserve">OS analyses </w:t>
      </w:r>
      <w:r w:rsidR="00A65348">
        <w:rPr>
          <w:lang w:eastAsia="ja-JP"/>
        </w:rPr>
        <w:t>accounting for crossover status</w:t>
      </w:r>
    </w:p>
    <w:p w:rsidR="00CE4F74" w:rsidRPr="00C31183" w:rsidRDefault="00CE4F74" w:rsidP="00A65348">
      <w:pPr>
        <w:rPr>
          <w:lang w:eastAsia="ja-JP"/>
        </w:rPr>
      </w:pPr>
      <w:r w:rsidRPr="00C31183">
        <w:rPr>
          <w:lang w:eastAsia="ja-JP"/>
        </w:rPr>
        <w:t xml:space="preserve">The primary analysis of the effect of crossover on OS employed in the Technical Report was the rank preserving structural failure time models (RPSFTM) similar to the method described by Robins and </w:t>
      </w:r>
      <w:proofErr w:type="spellStart"/>
      <w:r w:rsidRPr="00C31183">
        <w:rPr>
          <w:lang w:eastAsia="ja-JP"/>
        </w:rPr>
        <w:t>Tsiatis</w:t>
      </w:r>
      <w:proofErr w:type="spellEnd"/>
      <w:r w:rsidRPr="00C31183">
        <w:rPr>
          <w:lang w:eastAsia="ja-JP"/>
        </w:rPr>
        <w:t xml:space="preserve"> (1999)</w:t>
      </w:r>
      <w:r w:rsidRPr="00C31183">
        <w:rPr>
          <w:vertAlign w:val="superscript"/>
          <w:lang w:eastAsia="ja-JP"/>
        </w:rPr>
        <w:t>1.</w:t>
      </w:r>
      <w:r w:rsidRPr="00C31183">
        <w:rPr>
          <w:lang w:eastAsia="ja-JP"/>
        </w:rPr>
        <w:t xml:space="preserve"> This analysis was pre-specified in the Statistical Analysis Plan (SAP) for </w:t>
      </w:r>
      <w:r>
        <w:rPr>
          <w:lang w:eastAsia="ja-JP"/>
        </w:rPr>
        <w:t>S</w:t>
      </w:r>
      <w:r w:rsidRPr="00C31183">
        <w:rPr>
          <w:lang w:eastAsia="ja-JP"/>
        </w:rPr>
        <w:t>tudy A8081007. In addition, the Technical Report also employed a Cox proportional hazards model stratified for the three baseline factors used for the primary OS analysis (</w:t>
      </w:r>
      <w:r>
        <w:rPr>
          <w:lang w:eastAsia="ja-JP"/>
        </w:rPr>
        <w:t>that is,</w:t>
      </w:r>
      <w:r w:rsidRPr="00C31183">
        <w:rPr>
          <w:lang w:eastAsia="ja-JP"/>
        </w:rPr>
        <w:t xml:space="preserve"> ECOG PS status, brain metastases</w:t>
      </w:r>
      <w:r w:rsidR="00A65348">
        <w:rPr>
          <w:lang w:eastAsia="ja-JP"/>
        </w:rPr>
        <w:t>, and prior EGFR TKI treatment.</w:t>
      </w:r>
    </w:p>
    <w:p w:rsidR="00CE4F74" w:rsidRPr="00C31183" w:rsidRDefault="00CE4F74" w:rsidP="00A65348">
      <w:pPr>
        <w:rPr>
          <w:lang w:eastAsia="ja-JP"/>
        </w:rPr>
      </w:pPr>
      <w:r w:rsidRPr="00C31183">
        <w:rPr>
          <w:lang w:eastAsia="ja-JP"/>
        </w:rPr>
        <w:t>The Technical Report included</w:t>
      </w:r>
      <w:r w:rsidRPr="00143CC0">
        <w:rPr>
          <w:lang w:eastAsia="ja-JP"/>
        </w:rPr>
        <w:t xml:space="preserve"> four O</w:t>
      </w:r>
      <w:r w:rsidRPr="00C31183">
        <w:rPr>
          <w:lang w:eastAsia="ja-JP"/>
        </w:rPr>
        <w:t>S sensitivity analyses based on the crossover status of the patients (</w:t>
      </w:r>
      <w:r>
        <w:rPr>
          <w:lang w:eastAsia="ja-JP"/>
        </w:rPr>
        <w:t>that is,</w:t>
      </w:r>
      <w:r w:rsidRPr="00C31183">
        <w:rPr>
          <w:lang w:eastAsia="ja-JP"/>
        </w:rPr>
        <w:t xml:space="preserve"> </w:t>
      </w:r>
      <w:proofErr w:type="spellStart"/>
      <w:r w:rsidRPr="00C31183">
        <w:rPr>
          <w:lang w:eastAsia="ja-JP"/>
        </w:rPr>
        <w:t>crizotinib</w:t>
      </w:r>
      <w:proofErr w:type="spellEnd"/>
      <w:r w:rsidRPr="00C31183">
        <w:rPr>
          <w:lang w:eastAsia="ja-JP"/>
        </w:rPr>
        <w:t xml:space="preserve"> no cross over</w:t>
      </w:r>
      <w:r>
        <w:rPr>
          <w:lang w:eastAsia="ja-JP"/>
        </w:rPr>
        <w:t xml:space="preserve"> versus </w:t>
      </w:r>
      <w:r w:rsidRPr="00C31183">
        <w:rPr>
          <w:lang w:eastAsia="ja-JP"/>
        </w:rPr>
        <w:t xml:space="preserve">chemotherapy no crossover; </w:t>
      </w:r>
      <w:proofErr w:type="spellStart"/>
      <w:r w:rsidRPr="00C31183">
        <w:rPr>
          <w:lang w:eastAsia="ja-JP"/>
        </w:rPr>
        <w:t>crizotinib</w:t>
      </w:r>
      <w:proofErr w:type="spellEnd"/>
      <w:r w:rsidRPr="00C31183">
        <w:rPr>
          <w:lang w:eastAsia="ja-JP"/>
        </w:rPr>
        <w:t xml:space="preserve"> no cross-over</w:t>
      </w:r>
      <w:r>
        <w:rPr>
          <w:lang w:eastAsia="ja-JP"/>
        </w:rPr>
        <w:t xml:space="preserve"> versus </w:t>
      </w:r>
      <w:proofErr w:type="spellStart"/>
      <w:r w:rsidRPr="00C31183">
        <w:rPr>
          <w:lang w:eastAsia="ja-JP"/>
        </w:rPr>
        <w:t>crizotinib</w:t>
      </w:r>
      <w:proofErr w:type="spellEnd"/>
      <w:r w:rsidRPr="00C31183">
        <w:rPr>
          <w:lang w:eastAsia="ja-JP"/>
        </w:rPr>
        <w:t xml:space="preserve"> to chemotherapy; chemotherapy to </w:t>
      </w:r>
      <w:proofErr w:type="spellStart"/>
      <w:r w:rsidRPr="00C31183">
        <w:rPr>
          <w:lang w:eastAsia="ja-JP"/>
        </w:rPr>
        <w:t>crizotinib</w:t>
      </w:r>
      <w:proofErr w:type="spellEnd"/>
      <w:r>
        <w:rPr>
          <w:lang w:eastAsia="ja-JP"/>
        </w:rPr>
        <w:t xml:space="preserve"> versus </w:t>
      </w:r>
      <w:r w:rsidRPr="00C31183">
        <w:rPr>
          <w:lang w:eastAsia="ja-JP"/>
        </w:rPr>
        <w:t xml:space="preserve">chemotherapy to no cross-over; and chemotherapy to </w:t>
      </w:r>
      <w:proofErr w:type="spellStart"/>
      <w:r w:rsidRPr="00C31183">
        <w:rPr>
          <w:lang w:eastAsia="ja-JP"/>
        </w:rPr>
        <w:t>crizotinib</w:t>
      </w:r>
      <w:proofErr w:type="spellEnd"/>
      <w:r>
        <w:rPr>
          <w:lang w:eastAsia="ja-JP"/>
        </w:rPr>
        <w:t xml:space="preserve"> versus </w:t>
      </w:r>
      <w:proofErr w:type="spellStart"/>
      <w:r w:rsidRPr="00C31183">
        <w:rPr>
          <w:lang w:eastAsia="ja-JP"/>
        </w:rPr>
        <w:t>crizotinib</w:t>
      </w:r>
      <w:proofErr w:type="spellEnd"/>
      <w:r w:rsidRPr="00C31183">
        <w:rPr>
          <w:lang w:eastAsia="ja-JP"/>
        </w:rPr>
        <w:t xml:space="preserve"> to chemotherapy). In each of the 4 sub-group analyses OS was compared using the HR, with 95% CI, based on a Cox proportional hazards model (stratified for the three baseline factors), with Kaplan-Meier estimates of overall survival being provided for each subgroup analysis. The HR for each of the OS sensitivity analyses was not statistically significant. In the “</w:t>
      </w:r>
      <w:proofErr w:type="spellStart"/>
      <w:r w:rsidRPr="00C31183">
        <w:rPr>
          <w:lang w:eastAsia="ja-JP"/>
        </w:rPr>
        <w:t>crizotinib</w:t>
      </w:r>
      <w:proofErr w:type="spellEnd"/>
      <w:r w:rsidRPr="00C31183">
        <w:rPr>
          <w:lang w:eastAsia="ja-JP"/>
        </w:rPr>
        <w:t xml:space="preserve"> no crossover”</w:t>
      </w:r>
      <w:r>
        <w:rPr>
          <w:lang w:eastAsia="ja-JP"/>
        </w:rPr>
        <w:t xml:space="preserve"> versus </w:t>
      </w:r>
      <w:r w:rsidRPr="00C31183">
        <w:rPr>
          <w:lang w:eastAsia="ja-JP"/>
        </w:rPr>
        <w:t xml:space="preserve">“chemotherapy no crossover” analysis, the HR was 0.79 (95% CI: 0.41, 1.52), indicating a non-significant survival benefit in favour of </w:t>
      </w:r>
      <w:proofErr w:type="spellStart"/>
      <w:r w:rsidRPr="00C31183">
        <w:rPr>
          <w:lang w:eastAsia="ja-JP"/>
        </w:rPr>
        <w:t>crizotinib</w:t>
      </w:r>
      <w:proofErr w:type="spellEnd"/>
      <w:r w:rsidRPr="00C31183">
        <w:rPr>
          <w:lang w:eastAsia="ja-JP"/>
        </w:rPr>
        <w:t xml:space="preserve"> compared with chemotherapy. In this analysis, the median overall survival in the “</w:t>
      </w:r>
      <w:proofErr w:type="spellStart"/>
      <w:r w:rsidRPr="00C31183">
        <w:rPr>
          <w:lang w:eastAsia="ja-JP"/>
        </w:rPr>
        <w:t>crizotinib</w:t>
      </w:r>
      <w:proofErr w:type="spellEnd"/>
      <w:r w:rsidRPr="00C31183">
        <w:rPr>
          <w:lang w:eastAsia="ja-JP"/>
        </w:rPr>
        <w:t xml:space="preserve"> no crossover group” with 153 patients was estimated to be 20.3 months (95% CI: 18.1, not reached) and in the “chemotherapy no crossover group” with 62 patients the median overall survival and t</w:t>
      </w:r>
      <w:r w:rsidR="00A65348">
        <w:rPr>
          <w:lang w:eastAsia="ja-JP"/>
        </w:rPr>
        <w:t>he 95% CI had not been reached.</w:t>
      </w:r>
    </w:p>
    <w:p w:rsidR="00CE4F74" w:rsidRPr="00143CC0" w:rsidRDefault="00CE4F74" w:rsidP="00A65348">
      <w:pPr>
        <w:rPr>
          <w:lang w:eastAsia="ja-JP"/>
        </w:rPr>
      </w:pPr>
      <w:r w:rsidRPr="00C31183">
        <w:rPr>
          <w:lang w:eastAsia="ja-JP"/>
        </w:rPr>
        <w:t>RPSFTM was employed in the Technical Report to adjust for the effect of crossover on OS and to obtain an unbiased estimate of treatment effect on OS as if the patients had not crossed over.</w:t>
      </w:r>
      <w:r w:rsidRPr="00143CC0">
        <w:rPr>
          <w:rFonts w:ascii="Times New Roman" w:hAnsi="Times New Roman"/>
        </w:rPr>
        <w:t xml:space="preserve"> </w:t>
      </w:r>
      <w:r w:rsidRPr="00143CC0">
        <w:rPr>
          <w:lang w:eastAsia="ja-JP"/>
        </w:rPr>
        <w:t>In the RPSFTM analysis, the HR (</w:t>
      </w:r>
      <w:proofErr w:type="spellStart"/>
      <w:r w:rsidRPr="00143CC0">
        <w:rPr>
          <w:lang w:eastAsia="ja-JP"/>
        </w:rPr>
        <w:t>crizotinib</w:t>
      </w:r>
      <w:proofErr w:type="spellEnd"/>
      <w:r w:rsidRPr="00143CC0">
        <w:rPr>
          <w:lang w:eastAsia="ja-JP"/>
        </w:rPr>
        <w:t xml:space="preserve"> versus chemotherapy) was 0.83 (95% CI: O.36, 1.35) after adjusting for crossover in both directions, indicating a non-significant survival benefit in favour of </w:t>
      </w:r>
      <w:proofErr w:type="spellStart"/>
      <w:r w:rsidRPr="00143CC0">
        <w:rPr>
          <w:lang w:eastAsia="ja-JP"/>
        </w:rPr>
        <w:t>crizoti</w:t>
      </w:r>
      <w:r w:rsidR="00A65348">
        <w:rPr>
          <w:lang w:eastAsia="ja-JP"/>
        </w:rPr>
        <w:t>nib</w:t>
      </w:r>
      <w:proofErr w:type="spellEnd"/>
      <w:r w:rsidR="00A65348">
        <w:rPr>
          <w:lang w:eastAsia="ja-JP"/>
        </w:rPr>
        <w:t xml:space="preserve"> compared with chemotherapy.</w:t>
      </w:r>
    </w:p>
    <w:p w:rsidR="00CE4F74" w:rsidRPr="00C31183" w:rsidRDefault="00CE4F74" w:rsidP="00A65348">
      <w:pPr>
        <w:rPr>
          <w:lang w:eastAsia="ja-JP"/>
        </w:rPr>
      </w:pPr>
      <w:r w:rsidRPr="00C31183">
        <w:rPr>
          <w:lang w:eastAsia="ja-JP"/>
        </w:rPr>
        <w:t>The Kaplan-Meier estimated of OS after adjusting for crossover by the RPSFTM and w</w:t>
      </w:r>
      <w:r>
        <w:rPr>
          <w:lang w:eastAsia="ja-JP"/>
        </w:rPr>
        <w:t>ithout adjusting for crossover was provided</w:t>
      </w:r>
      <w:r w:rsidRPr="00C31183">
        <w:rPr>
          <w:lang w:eastAsia="ja-JP"/>
        </w:rPr>
        <w:t xml:space="preserve">. Without adjusting for crossover the OS curves for the two treatment arms were virtually superimposable but after adjusting for crossover the OS curves separated in favour of the </w:t>
      </w:r>
      <w:proofErr w:type="spellStart"/>
      <w:r w:rsidRPr="00C31183">
        <w:rPr>
          <w:lang w:eastAsia="ja-JP"/>
        </w:rPr>
        <w:t>crizotinib</w:t>
      </w:r>
      <w:proofErr w:type="spellEnd"/>
      <w:r w:rsidRPr="00C31183">
        <w:rPr>
          <w:lang w:eastAsia="ja-JP"/>
        </w:rPr>
        <w:t xml:space="preserve"> arm comp</w:t>
      </w:r>
      <w:r w:rsidR="00A65348">
        <w:rPr>
          <w:lang w:eastAsia="ja-JP"/>
        </w:rPr>
        <w:t>ared with the chemotherapy arm.</w:t>
      </w:r>
    </w:p>
    <w:p w:rsidR="00CE4F74" w:rsidRPr="00C31183" w:rsidRDefault="00CE4F74" w:rsidP="00A65348">
      <w:pPr>
        <w:rPr>
          <w:lang w:eastAsia="ja-JP"/>
        </w:rPr>
      </w:pPr>
      <w:r w:rsidRPr="00C31183">
        <w:rPr>
          <w:lang w:eastAsia="ja-JP"/>
        </w:rPr>
        <w:t xml:space="preserve">The Technical Report also included an RPSTFM analysis in the subgroup of patients treated with </w:t>
      </w:r>
      <w:proofErr w:type="spellStart"/>
      <w:r w:rsidRPr="00C31183">
        <w:rPr>
          <w:lang w:eastAsia="ja-JP"/>
        </w:rPr>
        <w:t>docetaxel</w:t>
      </w:r>
      <w:proofErr w:type="spellEnd"/>
      <w:r w:rsidRPr="00C31183">
        <w:rPr>
          <w:lang w:eastAsia="ja-JP"/>
        </w:rPr>
        <w:t xml:space="preserve"> as original treatment or as follow-up therapy after crossing-over from </w:t>
      </w:r>
      <w:r>
        <w:rPr>
          <w:lang w:eastAsia="ja-JP"/>
        </w:rPr>
        <w:t>randomised</w:t>
      </w:r>
      <w:r w:rsidRPr="00C31183">
        <w:rPr>
          <w:lang w:eastAsia="ja-JP"/>
        </w:rPr>
        <w:t xml:space="preserve"> </w:t>
      </w:r>
      <w:proofErr w:type="spellStart"/>
      <w:r w:rsidRPr="00C31183">
        <w:rPr>
          <w:lang w:eastAsia="ja-JP"/>
        </w:rPr>
        <w:t>crizotinib</w:t>
      </w:r>
      <w:proofErr w:type="spellEnd"/>
      <w:r w:rsidRPr="00C31183">
        <w:rPr>
          <w:lang w:eastAsia="ja-JP"/>
        </w:rPr>
        <w:t xml:space="preserve"> therapy. The report justifies this analysis on the basis that in some countries </w:t>
      </w:r>
      <w:proofErr w:type="spellStart"/>
      <w:r w:rsidRPr="00C31183">
        <w:rPr>
          <w:lang w:eastAsia="ja-JP"/>
        </w:rPr>
        <w:t>docetaxel</w:t>
      </w:r>
      <w:proofErr w:type="spellEnd"/>
      <w:r w:rsidRPr="00C31183">
        <w:rPr>
          <w:lang w:eastAsia="ja-JP"/>
        </w:rPr>
        <w:t xml:space="preserve"> may be the standard therapy for second line treatment of NSCLC. In this analysis, the HR was 0.85 [95% CI: 0.29, 1.75], indicating a non-significant overall survival benefit in favour </w:t>
      </w:r>
      <w:r w:rsidRPr="00C31183">
        <w:rPr>
          <w:lang w:eastAsia="ja-JP"/>
        </w:rPr>
        <w:lastRenderedPageBreak/>
        <w:t xml:space="preserve">of the </w:t>
      </w:r>
      <w:proofErr w:type="spellStart"/>
      <w:r w:rsidRPr="00C31183">
        <w:rPr>
          <w:lang w:eastAsia="ja-JP"/>
        </w:rPr>
        <w:t>crizotinib</w:t>
      </w:r>
      <w:proofErr w:type="spellEnd"/>
      <w:r w:rsidRPr="00C31183">
        <w:rPr>
          <w:lang w:eastAsia="ja-JP"/>
        </w:rPr>
        <w:t xml:space="preserve"> group compared with the </w:t>
      </w:r>
      <w:proofErr w:type="spellStart"/>
      <w:r w:rsidRPr="00C31183">
        <w:rPr>
          <w:lang w:eastAsia="ja-JP"/>
        </w:rPr>
        <w:t>docetaxel</w:t>
      </w:r>
      <w:proofErr w:type="spellEnd"/>
      <w:r w:rsidRPr="00C31183">
        <w:rPr>
          <w:lang w:eastAsia="ja-JP"/>
        </w:rPr>
        <w:t xml:space="preserve"> group. The median OS for </w:t>
      </w:r>
      <w:proofErr w:type="spellStart"/>
      <w:r w:rsidRPr="00C31183">
        <w:rPr>
          <w:lang w:eastAsia="ja-JP"/>
        </w:rPr>
        <w:t>crizotinib</w:t>
      </w:r>
      <w:proofErr w:type="spellEnd"/>
      <w:r w:rsidRPr="00C31183">
        <w:rPr>
          <w:lang w:eastAsia="ja-JP"/>
        </w:rPr>
        <w:t xml:space="preserve"> treated patients in this analysis has not been reached (95% CI: 18.1 months, -), while the median OS for </w:t>
      </w:r>
      <w:proofErr w:type="spellStart"/>
      <w:r w:rsidRPr="00C31183">
        <w:rPr>
          <w:lang w:eastAsia="ja-JP"/>
        </w:rPr>
        <w:t>docetaxel</w:t>
      </w:r>
      <w:proofErr w:type="spellEnd"/>
      <w:r w:rsidRPr="00C31183">
        <w:rPr>
          <w:lang w:eastAsia="ja-JP"/>
        </w:rPr>
        <w:t xml:space="preserve"> treated patients was 15.8 months (95% CI: 11.0 months). However, the report states that care must be taken when interpreting these results due to the fact that the groups were not </w:t>
      </w:r>
      <w:r>
        <w:rPr>
          <w:lang w:eastAsia="ja-JP"/>
        </w:rPr>
        <w:t>randomised</w:t>
      </w:r>
      <w:r w:rsidRPr="00C31183">
        <w:rPr>
          <w:lang w:eastAsia="ja-JP"/>
        </w:rPr>
        <w:t xml:space="preserve"> and both the number of patients (n=72) and the number of deaths in the </w:t>
      </w:r>
      <w:proofErr w:type="spellStart"/>
      <w:r w:rsidRPr="00C31183">
        <w:rPr>
          <w:lang w:eastAsia="ja-JP"/>
        </w:rPr>
        <w:t>doc</w:t>
      </w:r>
      <w:r w:rsidR="00A65348">
        <w:rPr>
          <w:lang w:eastAsia="ja-JP"/>
        </w:rPr>
        <w:t>etaxel</w:t>
      </w:r>
      <w:proofErr w:type="spellEnd"/>
      <w:r w:rsidR="00A65348">
        <w:rPr>
          <w:lang w:eastAsia="ja-JP"/>
        </w:rPr>
        <w:t xml:space="preserve"> group (n=19) were small.</w:t>
      </w:r>
    </w:p>
    <w:p w:rsidR="00CE4F74" w:rsidRPr="00C31183" w:rsidRDefault="00CE4F74" w:rsidP="00A65348">
      <w:pPr>
        <w:rPr>
          <w:lang w:eastAsia="ja-JP"/>
        </w:rPr>
      </w:pPr>
      <w:r w:rsidRPr="00143CC0">
        <w:rPr>
          <w:lang w:eastAsia="ja-JP"/>
        </w:rPr>
        <w:t xml:space="preserve">No corresponding RPSFTM subgroup analysis (that is, </w:t>
      </w:r>
      <w:proofErr w:type="spellStart"/>
      <w:r w:rsidRPr="00143CC0">
        <w:rPr>
          <w:lang w:eastAsia="ja-JP"/>
        </w:rPr>
        <w:t>crizotinib</w:t>
      </w:r>
      <w:proofErr w:type="spellEnd"/>
      <w:r w:rsidRPr="00143CC0">
        <w:rPr>
          <w:lang w:eastAsia="ja-JP"/>
        </w:rPr>
        <w:t xml:space="preserve"> versus </w:t>
      </w:r>
      <w:proofErr w:type="spellStart"/>
      <w:r w:rsidRPr="00143CC0">
        <w:rPr>
          <w:lang w:eastAsia="ja-JP"/>
        </w:rPr>
        <w:t>pemetrexed</w:t>
      </w:r>
      <w:proofErr w:type="spellEnd"/>
      <w:r w:rsidRPr="00143CC0">
        <w:rPr>
          <w:lang w:eastAsia="ja-JP"/>
        </w:rPr>
        <w:t xml:space="preserve">) was provided for patients treated with </w:t>
      </w:r>
      <w:proofErr w:type="spellStart"/>
      <w:r w:rsidRPr="00143CC0">
        <w:rPr>
          <w:lang w:eastAsia="ja-JP"/>
        </w:rPr>
        <w:t>pemetrexed</w:t>
      </w:r>
      <w:proofErr w:type="spellEnd"/>
      <w:r w:rsidRPr="00143CC0">
        <w:rPr>
          <w:lang w:eastAsia="ja-JP"/>
        </w:rPr>
        <w:t xml:space="preserve"> as original therapy or as follow-up therapy after </w:t>
      </w:r>
      <w:proofErr w:type="spellStart"/>
      <w:r w:rsidRPr="00143CC0">
        <w:rPr>
          <w:lang w:eastAsia="ja-JP"/>
        </w:rPr>
        <w:t>crizotinib</w:t>
      </w:r>
      <w:proofErr w:type="spellEnd"/>
      <w:r w:rsidRPr="00143CC0">
        <w:rPr>
          <w:lang w:eastAsia="ja-JP"/>
        </w:rPr>
        <w:t>. H</w:t>
      </w:r>
      <w:r w:rsidRPr="00C31183">
        <w:rPr>
          <w:lang w:eastAsia="ja-JP"/>
        </w:rPr>
        <w:t>owever, the sponsor states that this analysis is underway and the results will be available by mid May 2013 and can be provided to the TGA on request. However, the sponsor notes that care will need to be taken when interpreting the results of this analysis due to comparison of non-</w:t>
      </w:r>
      <w:r>
        <w:rPr>
          <w:lang w:eastAsia="ja-JP"/>
        </w:rPr>
        <w:t>randomised</w:t>
      </w:r>
      <w:r w:rsidRPr="00C31183">
        <w:rPr>
          <w:lang w:eastAsia="ja-JP"/>
        </w:rPr>
        <w:t xml:space="preserve"> groups, the small number of patients treated with </w:t>
      </w:r>
      <w:proofErr w:type="spellStart"/>
      <w:r w:rsidRPr="00C31183">
        <w:rPr>
          <w:lang w:eastAsia="ja-JP"/>
        </w:rPr>
        <w:t>pemetrexed</w:t>
      </w:r>
      <w:proofErr w:type="spellEnd"/>
      <w:r w:rsidRPr="00C31183">
        <w:rPr>
          <w:lang w:eastAsia="ja-JP"/>
        </w:rPr>
        <w:t xml:space="preserve"> (n=99) and the limited number of OS events in </w:t>
      </w:r>
      <w:proofErr w:type="spellStart"/>
      <w:r w:rsidRPr="00C31183">
        <w:rPr>
          <w:lang w:eastAsia="ja-JP"/>
        </w:rPr>
        <w:t>pemetrexed</w:t>
      </w:r>
      <w:proofErr w:type="spellEnd"/>
      <w:r w:rsidRPr="00C31183">
        <w:rPr>
          <w:lang w:eastAsia="ja-JP"/>
        </w:rPr>
        <w:t xml:space="preserve"> treated patients (25 deaths).</w:t>
      </w:r>
    </w:p>
    <w:p w:rsidR="00CE4F74" w:rsidRPr="00C31183" w:rsidRDefault="00CE4F74" w:rsidP="00A65348">
      <w:pPr>
        <w:pStyle w:val="Heading7"/>
        <w:numPr>
          <w:ilvl w:val="0"/>
          <w:numId w:val="0"/>
        </w:numPr>
        <w:ind w:left="1984" w:hanging="1644"/>
        <w:rPr>
          <w:lang w:eastAsia="ja-JP"/>
        </w:rPr>
      </w:pPr>
      <w:r w:rsidRPr="00C31183">
        <w:rPr>
          <w:lang w:eastAsia="ja-JP"/>
        </w:rPr>
        <w:t>(b)</w:t>
      </w:r>
      <w:r w:rsidR="00A65348">
        <w:rPr>
          <w:lang w:eastAsia="ja-JP"/>
        </w:rPr>
        <w:tab/>
      </w:r>
      <w:r w:rsidRPr="00C31183">
        <w:rPr>
          <w:lang w:eastAsia="ja-JP"/>
        </w:rPr>
        <w:t>OS analysis accounting for systemic anti-cancer therapies post-disease progress</w:t>
      </w:r>
      <w:r w:rsidR="00A65348">
        <w:rPr>
          <w:lang w:eastAsia="ja-JP"/>
        </w:rPr>
        <w:t>ion</w:t>
      </w:r>
    </w:p>
    <w:p w:rsidR="00CE4F74" w:rsidRPr="00C31183" w:rsidRDefault="00CE4F74" w:rsidP="00A65348">
      <w:pPr>
        <w:rPr>
          <w:lang w:eastAsia="ja-JP"/>
        </w:rPr>
      </w:pPr>
      <w:r>
        <w:rPr>
          <w:lang w:eastAsia="ja-JP"/>
        </w:rPr>
        <w:t>In S</w:t>
      </w:r>
      <w:r w:rsidRPr="00C31183">
        <w:rPr>
          <w:lang w:eastAsia="ja-JP"/>
        </w:rPr>
        <w:t xml:space="preserve">tudy A808007, patients had the option to crossover after disease progression or continue on treatment with </w:t>
      </w:r>
      <w:proofErr w:type="spellStart"/>
      <w:r w:rsidRPr="00C31183">
        <w:rPr>
          <w:lang w:eastAsia="ja-JP"/>
        </w:rPr>
        <w:t>crizotinib</w:t>
      </w:r>
      <w:proofErr w:type="spellEnd"/>
      <w:r w:rsidRPr="00C31183">
        <w:rPr>
          <w:lang w:eastAsia="ja-JP"/>
        </w:rPr>
        <w:t xml:space="preserve"> or chemotherapy after disease progression or switch to other systemic standard of care (SOC) follow-up anti-cancer therapies (see Table 6, below). It was expected that clinical conditions (</w:t>
      </w:r>
      <w:r>
        <w:rPr>
          <w:lang w:eastAsia="ja-JP"/>
        </w:rPr>
        <w:t>for example,</w:t>
      </w:r>
      <w:r w:rsidRPr="00C31183">
        <w:rPr>
          <w:lang w:eastAsia="ja-JP"/>
        </w:rPr>
        <w:t xml:space="preserve"> ECOG PS, changes in body weight, adverse events) would determine whether switching to follow-up systemic anti-cancer treatment occurred and which treatment was selected. These clinical conditions are potential time-dependent confounders due to the fact they are most likely risk factors for mortality while also being determinants of post</w:t>
      </w:r>
      <w:r w:rsidR="00A65348">
        <w:rPr>
          <w:lang w:eastAsia="ja-JP"/>
        </w:rPr>
        <w:t>-disease progression treatment.</w:t>
      </w:r>
    </w:p>
    <w:p w:rsidR="00CE4F74" w:rsidRPr="00C31183" w:rsidRDefault="00CE4F74" w:rsidP="00A65348">
      <w:pPr>
        <w:rPr>
          <w:lang w:eastAsia="ja-JP"/>
        </w:rPr>
      </w:pPr>
      <w:r w:rsidRPr="00C31183">
        <w:rPr>
          <w:lang w:eastAsia="ja-JP"/>
        </w:rPr>
        <w:t>Standard methods of OS analysis (such as time-dependent Cox model) that do not adjust for time-dependent confounders may produce biased treatment effects. Therefore, Marginal Structural Model (MSM) methodology (similar to that described by Robins</w:t>
      </w:r>
      <w:r w:rsidRPr="00C31183">
        <w:rPr>
          <w:vertAlign w:val="superscript"/>
          <w:lang w:eastAsia="ja-JP"/>
        </w:rPr>
        <w:t>3,4</w:t>
      </w:r>
      <w:r w:rsidRPr="00C31183">
        <w:rPr>
          <w:lang w:eastAsia="ja-JP"/>
        </w:rPr>
        <w:t xml:space="preserve">) with inverse probability of treatment weighting (IPTW) was employed to obtain valid causal inferences for the effect of </w:t>
      </w:r>
      <w:r>
        <w:rPr>
          <w:lang w:eastAsia="ja-JP"/>
        </w:rPr>
        <w:t>randomised</w:t>
      </w:r>
      <w:r w:rsidRPr="00C31183">
        <w:rPr>
          <w:lang w:eastAsia="ja-JP"/>
        </w:rPr>
        <w:t xml:space="preserve"> treatment, and for the time-dependent follow-up treatments in the presence of time-dependent confounding factors. The clinical question of interest addressed by the MSM was whether the two </w:t>
      </w:r>
      <w:r>
        <w:rPr>
          <w:lang w:eastAsia="ja-JP"/>
        </w:rPr>
        <w:t>randomised</w:t>
      </w:r>
      <w:r w:rsidRPr="00C31183">
        <w:rPr>
          <w:lang w:eastAsia="ja-JP"/>
        </w:rPr>
        <w:t xml:space="preserve"> arms would have had the same overall survival if all patients had received identical post-PD treatment (</w:t>
      </w:r>
      <w:r>
        <w:rPr>
          <w:lang w:eastAsia="ja-JP"/>
        </w:rPr>
        <w:t>that is,</w:t>
      </w:r>
      <w:r w:rsidRPr="00C31183">
        <w:rPr>
          <w:lang w:eastAsia="ja-JP"/>
        </w:rPr>
        <w:t xml:space="preserve"> after adjusting for the differential effect of post-PD treatment and time-dependent confounding factors). The MSM described in the Technical Report w</w:t>
      </w:r>
      <w:r>
        <w:rPr>
          <w:lang w:eastAsia="ja-JP"/>
        </w:rPr>
        <w:t>as pre-specified in the SAP of S</w:t>
      </w:r>
      <w:r w:rsidR="00A65348">
        <w:rPr>
          <w:lang w:eastAsia="ja-JP"/>
        </w:rPr>
        <w:t>tudy A8081007.</w:t>
      </w:r>
    </w:p>
    <w:p w:rsidR="00CE4F74" w:rsidRPr="00C31183" w:rsidRDefault="00CE4F74" w:rsidP="00A65348">
      <w:pPr>
        <w:rPr>
          <w:lang w:eastAsia="ja-JP"/>
        </w:rPr>
      </w:pPr>
      <w:r w:rsidRPr="00C31183">
        <w:rPr>
          <w:lang w:eastAsia="ja-JP"/>
        </w:rPr>
        <w:t xml:space="preserve">Patient disposition by </w:t>
      </w:r>
      <w:r>
        <w:rPr>
          <w:lang w:eastAsia="ja-JP"/>
        </w:rPr>
        <w:t>first</w:t>
      </w:r>
      <w:r w:rsidRPr="00C31183">
        <w:rPr>
          <w:lang w:eastAsia="ja-JP"/>
        </w:rPr>
        <w:t xml:space="preserve"> line post disease progression (PD) systemic anti-cancer treatment for the two </w:t>
      </w:r>
      <w:r>
        <w:rPr>
          <w:lang w:eastAsia="ja-JP"/>
        </w:rPr>
        <w:t>randomised</w:t>
      </w:r>
      <w:r w:rsidRPr="00C31183">
        <w:rPr>
          <w:lang w:eastAsia="ja-JP"/>
        </w:rPr>
        <w:t xml:space="preserve"> treatment arms is </w:t>
      </w:r>
      <w:r>
        <w:rPr>
          <w:lang w:eastAsia="ja-JP"/>
        </w:rPr>
        <w:t>summarised</w:t>
      </w:r>
      <w:r w:rsidRPr="00C31183">
        <w:rPr>
          <w:lang w:eastAsia="ja-JP"/>
        </w:rPr>
        <w:t xml:space="preserve"> below in Table 6. Differential patterns of post-PD treatments were observed between the two </w:t>
      </w:r>
      <w:r>
        <w:rPr>
          <w:lang w:eastAsia="ja-JP"/>
        </w:rPr>
        <w:t>randomised</w:t>
      </w:r>
      <w:r w:rsidRPr="00C31183">
        <w:rPr>
          <w:lang w:eastAsia="ja-JP"/>
        </w:rPr>
        <w:t xml:space="preserve"> arms. In particular, there were 157 (45% of 347) patients treated with </w:t>
      </w:r>
      <w:proofErr w:type="spellStart"/>
      <w:r w:rsidRPr="00C31183">
        <w:rPr>
          <w:lang w:eastAsia="ja-JP"/>
        </w:rPr>
        <w:t>crizotinib</w:t>
      </w:r>
      <w:proofErr w:type="spellEnd"/>
      <w:r w:rsidRPr="00C31183">
        <w:rPr>
          <w:lang w:eastAsia="ja-JP"/>
        </w:rPr>
        <w:t xml:space="preserve"> post-PD including 98 patients who had crossed over from chemotherapy to </w:t>
      </w:r>
      <w:proofErr w:type="spellStart"/>
      <w:r w:rsidRPr="00C31183">
        <w:rPr>
          <w:lang w:eastAsia="ja-JP"/>
        </w:rPr>
        <w:t>crizotinib</w:t>
      </w:r>
      <w:proofErr w:type="spellEnd"/>
      <w:r w:rsidRPr="00C31183">
        <w:rPr>
          <w:lang w:eastAsia="ja-JP"/>
        </w:rPr>
        <w:t xml:space="preserve"> and 59 patients who had continued </w:t>
      </w:r>
      <w:proofErr w:type="spellStart"/>
      <w:r w:rsidRPr="00C31183">
        <w:rPr>
          <w:lang w:eastAsia="ja-JP"/>
        </w:rPr>
        <w:t>crizotinib</w:t>
      </w:r>
      <w:proofErr w:type="spellEnd"/>
      <w:r w:rsidRPr="00C31183">
        <w:rPr>
          <w:lang w:eastAsia="ja-JP"/>
        </w:rPr>
        <w:t xml:space="preserve"> treatment with relatively long duration beyond PD </w:t>
      </w:r>
      <w:r w:rsidR="00A65348">
        <w:rPr>
          <w:lang w:eastAsia="ja-JP"/>
        </w:rPr>
        <w:t>(defined as &gt; 21 days post-PD).</w:t>
      </w:r>
    </w:p>
    <w:p w:rsidR="00A65348" w:rsidRPr="00A65348" w:rsidRDefault="00CE4F74" w:rsidP="00A65348">
      <w:pPr>
        <w:pStyle w:val="TableTitle"/>
      </w:pPr>
      <w:bookmarkStart w:id="64" w:name="_Toc228773429"/>
      <w:r w:rsidRPr="00C31183">
        <w:rPr>
          <w:lang w:eastAsia="ja-JP"/>
        </w:rPr>
        <w:t xml:space="preserve">Table </w:t>
      </w:r>
      <w:r w:rsidRPr="00C31183">
        <w:rPr>
          <w:lang w:eastAsia="ja-JP"/>
        </w:rPr>
        <w:fldChar w:fldCharType="begin"/>
      </w:r>
      <w:r w:rsidRPr="00C31183">
        <w:rPr>
          <w:lang w:eastAsia="ja-JP"/>
        </w:rPr>
        <w:instrText xml:space="preserve"> SEQ Table \* ARABIC </w:instrText>
      </w:r>
      <w:r w:rsidRPr="00C31183">
        <w:rPr>
          <w:lang w:eastAsia="ja-JP"/>
        </w:rPr>
        <w:fldChar w:fldCharType="separate"/>
      </w:r>
      <w:r>
        <w:rPr>
          <w:noProof/>
          <w:lang w:eastAsia="ja-JP"/>
        </w:rPr>
        <w:t>6</w:t>
      </w:r>
      <w:r w:rsidRPr="00C31183">
        <w:rPr>
          <w:lang w:eastAsia="ja-JP"/>
        </w:rPr>
        <w:fldChar w:fldCharType="end"/>
      </w:r>
      <w:r w:rsidRPr="00C31183">
        <w:rPr>
          <w:lang w:eastAsia="ja-JP"/>
        </w:rPr>
        <w:t>: Subject disposition by 1</w:t>
      </w:r>
      <w:r w:rsidRPr="00C31183">
        <w:rPr>
          <w:vertAlign w:val="superscript"/>
          <w:lang w:eastAsia="ja-JP"/>
        </w:rPr>
        <w:t>st</w:t>
      </w:r>
      <w:r w:rsidRPr="00C31183">
        <w:rPr>
          <w:lang w:eastAsia="ja-JP"/>
        </w:rPr>
        <w:t xml:space="preserve"> line post disease progression (post-PD) treatment, systemic anti-cancer therapies post-PD excluded surgery and radiotherapy.</w:t>
      </w:r>
      <w:bookmarkEnd w:id="64"/>
    </w:p>
    <w:p w:rsidR="00CE4F74" w:rsidRPr="00C31183" w:rsidRDefault="00CE4F74" w:rsidP="00A65348">
      <w:pPr>
        <w:rPr>
          <w:lang w:eastAsia="ja-JP"/>
        </w:rPr>
      </w:pPr>
      <w:r>
        <w:rPr>
          <w:noProof/>
          <w:lang w:eastAsia="en-AU"/>
        </w:rPr>
        <w:drawing>
          <wp:inline distT="0" distB="0" distL="0" distR="0" wp14:anchorId="2486D9C2" wp14:editId="645C9CE6">
            <wp:extent cx="5534025" cy="1352550"/>
            <wp:effectExtent l="0" t="0" r="0" b="0"/>
            <wp:docPr id="3" name="Picture 3" descr="Table 6: Subject disposition by 1st line post disease progression (post-PD) treatment, systemic anti-cancer therapies post-PD excluded surgery and rad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able 6: Subject disposition by 1st line post disease progression (post-PD) treatment, systemic anti-cancer therapies post-PD excluded surgery and radiotherap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4025" cy="1352550"/>
                    </a:xfrm>
                    <a:prstGeom prst="rect">
                      <a:avLst/>
                    </a:prstGeom>
                    <a:noFill/>
                    <a:ln>
                      <a:noFill/>
                    </a:ln>
                  </pic:spPr>
                </pic:pic>
              </a:graphicData>
            </a:graphic>
          </wp:inline>
        </w:drawing>
      </w:r>
    </w:p>
    <w:p w:rsidR="00CE4F74" w:rsidRPr="00C31183" w:rsidRDefault="00CE4F74" w:rsidP="00A65348">
      <w:pPr>
        <w:rPr>
          <w:lang w:eastAsia="ja-JP"/>
        </w:rPr>
      </w:pPr>
      <w:r w:rsidRPr="00C31183">
        <w:rPr>
          <w:lang w:eastAsia="ja-JP"/>
        </w:rPr>
        <w:t xml:space="preserve">In order to create the panel data for the analysis, the OS interim data was first partitioned into cycle (3 weeks) increments from date of </w:t>
      </w:r>
      <w:r>
        <w:rPr>
          <w:lang w:eastAsia="ja-JP"/>
        </w:rPr>
        <w:t>randomisation</w:t>
      </w:r>
      <w:r w:rsidRPr="00C31183">
        <w:rPr>
          <w:lang w:eastAsia="ja-JP"/>
        </w:rPr>
        <w:t xml:space="preserve"> to the last OS date (death or censored </w:t>
      </w:r>
      <w:r w:rsidRPr="00C31183">
        <w:rPr>
          <w:lang w:eastAsia="ja-JP"/>
        </w:rPr>
        <w:lastRenderedPageBreak/>
        <w:t xml:space="preserve">data). The time-independent covariates V, time-varying covariates </w:t>
      </w:r>
      <w:proofErr w:type="gramStart"/>
      <w:r w:rsidRPr="00C31183">
        <w:rPr>
          <w:lang w:eastAsia="ja-JP"/>
        </w:rPr>
        <w:t>L(</w:t>
      </w:r>
      <w:proofErr w:type="gramEnd"/>
      <w:r w:rsidRPr="00C31183">
        <w:rPr>
          <w:lang w:eastAsia="ja-JP"/>
        </w:rPr>
        <w:t xml:space="preserve">t) and post-PD treatments A(t) are </w:t>
      </w:r>
      <w:r>
        <w:rPr>
          <w:lang w:eastAsia="ja-JP"/>
        </w:rPr>
        <w:t>summarised</w:t>
      </w:r>
      <w:r w:rsidRPr="00C31183">
        <w:rPr>
          <w:lang w:eastAsia="ja-JP"/>
        </w:rPr>
        <w:t xml:space="preserve"> for each patient at each cycle increment. The V, </w:t>
      </w:r>
      <w:proofErr w:type="gramStart"/>
      <w:r w:rsidRPr="00C31183">
        <w:rPr>
          <w:lang w:eastAsia="ja-JP"/>
        </w:rPr>
        <w:t>L(</w:t>
      </w:r>
      <w:proofErr w:type="gramEnd"/>
      <w:r w:rsidRPr="00C31183">
        <w:rPr>
          <w:lang w:eastAsia="ja-JP"/>
        </w:rPr>
        <w:t xml:space="preserve">t) and A(t) covariates are </w:t>
      </w:r>
      <w:r>
        <w:rPr>
          <w:lang w:eastAsia="ja-JP"/>
        </w:rPr>
        <w:t>summarised</w:t>
      </w:r>
      <w:r w:rsidRPr="00C31183">
        <w:rPr>
          <w:lang w:eastAsia="ja-JP"/>
        </w:rPr>
        <w:t xml:space="preserve"> below in Table 7.</w:t>
      </w:r>
    </w:p>
    <w:p w:rsidR="00A65348" w:rsidRPr="00A65348" w:rsidRDefault="00CE4F74" w:rsidP="00A65348">
      <w:pPr>
        <w:pStyle w:val="TableTitle"/>
      </w:pPr>
      <w:bookmarkStart w:id="65" w:name="_Toc228773430"/>
      <w:r w:rsidRPr="00C31183">
        <w:rPr>
          <w:lang w:eastAsia="ja-JP"/>
        </w:rPr>
        <w:t xml:space="preserve">Table </w:t>
      </w:r>
      <w:r w:rsidRPr="00C31183">
        <w:rPr>
          <w:lang w:eastAsia="ja-JP"/>
        </w:rPr>
        <w:fldChar w:fldCharType="begin"/>
      </w:r>
      <w:r w:rsidRPr="00C31183">
        <w:rPr>
          <w:lang w:eastAsia="ja-JP"/>
        </w:rPr>
        <w:instrText xml:space="preserve"> SEQ Table \* ARABIC </w:instrText>
      </w:r>
      <w:r w:rsidRPr="00C31183">
        <w:rPr>
          <w:lang w:eastAsia="ja-JP"/>
        </w:rPr>
        <w:fldChar w:fldCharType="separate"/>
      </w:r>
      <w:r>
        <w:rPr>
          <w:noProof/>
          <w:lang w:eastAsia="ja-JP"/>
        </w:rPr>
        <w:t>7</w:t>
      </w:r>
      <w:r w:rsidRPr="00C31183">
        <w:rPr>
          <w:lang w:eastAsia="ja-JP"/>
        </w:rPr>
        <w:fldChar w:fldCharType="end"/>
      </w:r>
      <w:r w:rsidRPr="00C31183">
        <w:rPr>
          <w:lang w:eastAsia="ja-JP"/>
        </w:rPr>
        <w:t>: Covariates included in model fitting</w:t>
      </w:r>
      <w:bookmarkEnd w:id="65"/>
    </w:p>
    <w:p w:rsidR="00CE4F74" w:rsidRPr="00C31183" w:rsidRDefault="00CE4F74" w:rsidP="00A65348">
      <w:pPr>
        <w:rPr>
          <w:lang w:eastAsia="ja-JP"/>
        </w:rPr>
      </w:pPr>
      <w:r>
        <w:rPr>
          <w:noProof/>
          <w:lang w:eastAsia="en-AU"/>
        </w:rPr>
        <w:drawing>
          <wp:inline distT="0" distB="0" distL="0" distR="0" wp14:anchorId="3507C665" wp14:editId="0652E943">
            <wp:extent cx="3562350" cy="3533775"/>
            <wp:effectExtent l="0" t="0" r="0" b="0"/>
            <wp:docPr id="2" name="Picture 2" descr="Table 7: Covariates included in model f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able 7: Covariates included in model fitt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2350" cy="3533775"/>
                    </a:xfrm>
                    <a:prstGeom prst="rect">
                      <a:avLst/>
                    </a:prstGeom>
                    <a:noFill/>
                    <a:ln>
                      <a:noFill/>
                    </a:ln>
                  </pic:spPr>
                </pic:pic>
              </a:graphicData>
            </a:graphic>
          </wp:inline>
        </w:drawing>
      </w:r>
    </w:p>
    <w:p w:rsidR="00CE4F74" w:rsidRPr="00384B2D" w:rsidRDefault="00CE4F74" w:rsidP="00A65348">
      <w:pPr>
        <w:pStyle w:val="TableDescription"/>
        <w:rPr>
          <w:lang w:eastAsia="ja-JP"/>
        </w:rPr>
      </w:pPr>
      <w:r w:rsidRPr="00384B2D">
        <w:rPr>
          <w:lang w:eastAsia="ja-JP"/>
        </w:rPr>
        <w:t>*-99="Unknown" in LOCF by 28/56 days of last ECOG PS assessment date; †-99="Unknown" in LOCF by 28/56 days of date of discontinuation from treatment or the last date of adverse event;</w:t>
      </w:r>
      <w:r>
        <w:rPr>
          <w:lang w:eastAsia="ja-JP"/>
        </w:rPr>
        <w:t xml:space="preserve"> </w:t>
      </w:r>
      <w:r w:rsidRPr="00384B2D">
        <w:rPr>
          <w:lang w:eastAsia="ja-JP"/>
        </w:rPr>
        <w:t>§-99="Unknown" in LOCF by 28/56 days of la</w:t>
      </w:r>
      <w:r w:rsidR="00A65348">
        <w:rPr>
          <w:lang w:eastAsia="ja-JP"/>
        </w:rPr>
        <w:t>st body weight evaluation date.</w:t>
      </w:r>
    </w:p>
    <w:p w:rsidR="00CE4F74" w:rsidRPr="00C31183" w:rsidRDefault="00CE4F74" w:rsidP="00A65348">
      <w:pPr>
        <w:rPr>
          <w:lang w:eastAsia="ja-JP"/>
        </w:rPr>
      </w:pPr>
      <w:r w:rsidRPr="00C31183">
        <w:rPr>
          <w:lang w:eastAsia="ja-JP"/>
        </w:rPr>
        <w:t>If within any cycle more than one record for a patient occurred for a time dependent variable, then two methods were used to summarize the variable: “worst prognosis” or “last observation” within that cycle. The larger the values for ECOG PS, the greater the occurrences of Grade 3 or 4 AEs or the smaller the values for percentage change from baseline in body weight, the worse the prognosis. If there were gaps between last assessment dates and last OS date, three imputation methods were implemented: full last observation carried forward (LOCF), LOCF by 28 days and LOCF by 56 days. With full LOCF, no limit was applied to how long it had been since the last observation for that observation to be carried forward to impute missing values. With LOCF by 28 days or by 56 days only observations within the last 28 days or 56 days, respectively, would be carried forward to impute missing values.</w:t>
      </w:r>
    </w:p>
    <w:p w:rsidR="00CE4F74" w:rsidRPr="00C31183" w:rsidRDefault="00CE4F74" w:rsidP="00A65348">
      <w:pPr>
        <w:rPr>
          <w:lang w:eastAsia="ja-JP"/>
        </w:rPr>
      </w:pPr>
      <w:r w:rsidRPr="00C31183">
        <w:rPr>
          <w:lang w:eastAsia="ja-JP"/>
        </w:rPr>
        <w:t>Generali</w:t>
      </w:r>
      <w:r>
        <w:rPr>
          <w:lang w:eastAsia="ja-JP"/>
        </w:rPr>
        <w:t>s</w:t>
      </w:r>
      <w:r w:rsidRPr="00C31183">
        <w:rPr>
          <w:lang w:eastAsia="ja-JP"/>
        </w:rPr>
        <w:t>ed estimating equation (GEE) models (the pooled logistic model</w:t>
      </w:r>
      <w:r>
        <w:rPr>
          <w:lang w:eastAsia="ja-JP"/>
        </w:rPr>
        <w:t>) were used to estimate stabilis</w:t>
      </w:r>
      <w:r w:rsidRPr="00C31183">
        <w:rPr>
          <w:lang w:eastAsia="ja-JP"/>
        </w:rPr>
        <w:t>ed weights for each patient. The double inverse probability of treatment and censoring weighting (IPTWC) method was employed for the primary analyses and the inverse probability of treatment weighting IPTW method was used in a sensitivity analysis to check the robustness of the primary analyses. The IPTCW method is a double inverse weighting method constructed from the concurrent application of inverse probability of treatment weighting (IPTW) to balance the treatment-specific baseline covariates (</w:t>
      </w:r>
      <w:r>
        <w:rPr>
          <w:lang w:eastAsia="ja-JP"/>
        </w:rPr>
        <w:t>that is,</w:t>
      </w:r>
      <w:r w:rsidRPr="00C31183">
        <w:rPr>
          <w:lang w:eastAsia="ja-JP"/>
        </w:rPr>
        <w:t xml:space="preserve"> adjusts for time-dependent confounders that are affected by previous treatment) and inverse probability of censoring weighting (IPCW) overcomes dependent censoring due to time-varying factors for which no adjustment is made.</w:t>
      </w:r>
      <w:r w:rsidRPr="00C31183">
        <w:rPr>
          <w:vertAlign w:val="superscript"/>
          <w:lang w:eastAsia="ja-JP"/>
        </w:rPr>
        <w:t>5</w:t>
      </w:r>
      <w:r w:rsidRPr="00C31183">
        <w:rPr>
          <w:lang w:eastAsia="ja-JP"/>
        </w:rPr>
        <w:t xml:space="preserve"> The IPTCW i</w:t>
      </w:r>
      <w:r w:rsidR="00A65348">
        <w:rPr>
          <w:lang w:eastAsia="ja-JP"/>
        </w:rPr>
        <w:t>s the product of IPTW and IPCW.</w:t>
      </w:r>
    </w:p>
    <w:p w:rsidR="00CE4F74" w:rsidRPr="00C31183" w:rsidRDefault="00CE4F74" w:rsidP="00CE4F74">
      <w:pPr>
        <w:rPr>
          <w:lang w:eastAsia="ja-JP"/>
        </w:rPr>
      </w:pPr>
      <w:r w:rsidRPr="00C31183">
        <w:rPr>
          <w:lang w:eastAsia="ja-JP"/>
        </w:rPr>
        <w:t xml:space="preserve">The causal effects of </w:t>
      </w:r>
      <w:r>
        <w:rPr>
          <w:lang w:eastAsia="ja-JP"/>
        </w:rPr>
        <w:t>randomised</w:t>
      </w:r>
      <w:r w:rsidRPr="00C31183">
        <w:rPr>
          <w:lang w:eastAsia="ja-JP"/>
        </w:rPr>
        <w:t xml:space="preserve"> treatment were estimated using the marginal structural Cox proportional hazard model with IPTWC applied (primary model). The marginal structural Cox </w:t>
      </w:r>
      <w:r w:rsidRPr="00C31183">
        <w:rPr>
          <w:lang w:eastAsia="ja-JP"/>
        </w:rPr>
        <w:lastRenderedPageBreak/>
        <w:t xml:space="preserve">proportional model with IPTW applied (sensitivity model) was used to check the robustness of the findings from the primary model. Adjusted hazard ratios of OS (with 95% CI) were calculated for </w:t>
      </w:r>
      <w:r>
        <w:rPr>
          <w:lang w:eastAsia="ja-JP"/>
        </w:rPr>
        <w:t>randomised</w:t>
      </w:r>
      <w:r w:rsidRPr="00C31183">
        <w:rPr>
          <w:lang w:eastAsia="ja-JP"/>
        </w:rPr>
        <w:t xml:space="preserve"> treatment (</w:t>
      </w:r>
      <w:proofErr w:type="spellStart"/>
      <w:r w:rsidRPr="00C31183">
        <w:rPr>
          <w:lang w:eastAsia="ja-JP"/>
        </w:rPr>
        <w:t>crizotinib</w:t>
      </w:r>
      <w:proofErr w:type="spellEnd"/>
      <w:r>
        <w:rPr>
          <w:lang w:eastAsia="ja-JP"/>
        </w:rPr>
        <w:t xml:space="preserve"> versus </w:t>
      </w:r>
      <w:r w:rsidRPr="00C31183">
        <w:rPr>
          <w:lang w:eastAsia="ja-JP"/>
        </w:rPr>
        <w:t>chemotherapy) for LOCF by 28 days, LOCF by 56 days and full LOCF by the IPTCW method and the IPTW method using “worst prognosis” or “last obser</w:t>
      </w:r>
      <w:r w:rsidR="00A65348">
        <w:rPr>
          <w:lang w:eastAsia="ja-JP"/>
        </w:rPr>
        <w:t>vation” to impute missing data.</w:t>
      </w:r>
    </w:p>
    <w:p w:rsidR="00CE4F74" w:rsidRPr="00C31183" w:rsidRDefault="00CE4F74" w:rsidP="00A65348">
      <w:pPr>
        <w:rPr>
          <w:lang w:eastAsia="ja-JP"/>
        </w:rPr>
      </w:pPr>
      <w:r w:rsidRPr="00C31183">
        <w:rPr>
          <w:lang w:eastAsia="ja-JP"/>
        </w:rPr>
        <w:t xml:space="preserve">The primary analysis used the marginal structural Cox proportional hazard model with IPTWC applied and worst prognosis value within cycle and full LOCF imputation. The estimated causal hazard ratio (HR) of </w:t>
      </w:r>
      <w:r>
        <w:rPr>
          <w:lang w:eastAsia="ja-JP"/>
        </w:rPr>
        <w:t>randomised</w:t>
      </w:r>
      <w:r w:rsidRPr="00C31183">
        <w:rPr>
          <w:lang w:eastAsia="ja-JP"/>
        </w:rPr>
        <w:t xml:space="preserve"> treatment with </w:t>
      </w:r>
      <w:proofErr w:type="spellStart"/>
      <w:r w:rsidRPr="00C31183">
        <w:rPr>
          <w:lang w:eastAsia="ja-JP"/>
        </w:rPr>
        <w:t>crizotinib</w:t>
      </w:r>
      <w:proofErr w:type="spellEnd"/>
      <w:r w:rsidRPr="00C31183">
        <w:rPr>
          <w:lang w:eastAsia="ja-JP"/>
        </w:rPr>
        <w:t xml:space="preserve"> versus </w:t>
      </w:r>
      <w:r>
        <w:rPr>
          <w:lang w:eastAsia="ja-JP"/>
        </w:rPr>
        <w:t>randomised</w:t>
      </w:r>
      <w:r w:rsidRPr="00C31183">
        <w:rPr>
          <w:lang w:eastAsia="ja-JP"/>
        </w:rPr>
        <w:t xml:space="preserve"> treatment with chemotherapy using this model was 0.79 (95% CI: 0.47, 1.34). The HR indicates that, under the model assumptions and after accounting for baseline covariates and post-PD therapies, treatment with </w:t>
      </w:r>
      <w:proofErr w:type="spellStart"/>
      <w:r w:rsidRPr="00C31183">
        <w:rPr>
          <w:lang w:eastAsia="ja-JP"/>
        </w:rPr>
        <w:t>crizotinib</w:t>
      </w:r>
      <w:proofErr w:type="spellEnd"/>
      <w:r w:rsidRPr="00C31183">
        <w:rPr>
          <w:lang w:eastAsia="ja-JP"/>
        </w:rPr>
        <w:t xml:space="preserve"> appears to non-significantly improve OS outcome when compared with chemotherapy. However, no power calculations were provided for the OS sensitivity analysis but based on the total number of deaths occurring prior to disease progression (22 out of 347 patients, 6.3%) it is likely to be low. The adjusted hazards ratios for overall survival derived from the “MSMs with IPTCW” are </w:t>
      </w:r>
      <w:r>
        <w:rPr>
          <w:lang w:eastAsia="ja-JP"/>
        </w:rPr>
        <w:t>summarised</w:t>
      </w:r>
      <w:r w:rsidRPr="00C31183">
        <w:rPr>
          <w:lang w:eastAsia="ja-JP"/>
        </w:rPr>
        <w:t xml:space="preserve"> below in Table 8. The corresponding results for the “MSMs with IPTW applied” were similar to those for the “MSMs with IPTCW applied” (results not shown in the CER).</w:t>
      </w:r>
    </w:p>
    <w:p w:rsidR="00CE4F74" w:rsidRPr="00A65348" w:rsidRDefault="00CE4F74" w:rsidP="00A65348">
      <w:pPr>
        <w:pStyle w:val="TableTitle"/>
      </w:pPr>
      <w:bookmarkStart w:id="66" w:name="_Toc228773431"/>
      <w:r w:rsidRPr="00C31183">
        <w:rPr>
          <w:lang w:eastAsia="ja-JP"/>
        </w:rPr>
        <w:t xml:space="preserve">Table </w:t>
      </w:r>
      <w:r w:rsidRPr="00C31183">
        <w:rPr>
          <w:lang w:eastAsia="ja-JP"/>
        </w:rPr>
        <w:fldChar w:fldCharType="begin"/>
      </w:r>
      <w:r w:rsidRPr="00C31183">
        <w:rPr>
          <w:lang w:eastAsia="ja-JP"/>
        </w:rPr>
        <w:instrText xml:space="preserve"> SEQ Table \* ARABIC </w:instrText>
      </w:r>
      <w:r w:rsidRPr="00C31183">
        <w:rPr>
          <w:lang w:eastAsia="ja-JP"/>
        </w:rPr>
        <w:fldChar w:fldCharType="separate"/>
      </w:r>
      <w:r>
        <w:rPr>
          <w:noProof/>
          <w:lang w:eastAsia="ja-JP"/>
        </w:rPr>
        <w:t>8</w:t>
      </w:r>
      <w:r w:rsidRPr="00C31183">
        <w:rPr>
          <w:lang w:eastAsia="ja-JP"/>
        </w:rPr>
        <w:fldChar w:fldCharType="end"/>
      </w:r>
      <w:r w:rsidRPr="00C31183">
        <w:rPr>
          <w:lang w:eastAsia="ja-JP"/>
        </w:rPr>
        <w:t xml:space="preserve">: Adjusted hazard ratios of overall survival for </w:t>
      </w:r>
      <w:r>
        <w:rPr>
          <w:lang w:eastAsia="ja-JP"/>
        </w:rPr>
        <w:t>randomised</w:t>
      </w:r>
      <w:r w:rsidRPr="00C31183">
        <w:rPr>
          <w:lang w:eastAsia="ja-JP"/>
        </w:rPr>
        <w:t xml:space="preserve"> treatment arm (</w:t>
      </w:r>
      <w:proofErr w:type="spellStart"/>
      <w:r w:rsidRPr="00C31183">
        <w:rPr>
          <w:lang w:eastAsia="ja-JP"/>
        </w:rPr>
        <w:t>crizotinib</w:t>
      </w:r>
      <w:proofErr w:type="spellEnd"/>
      <w:r>
        <w:rPr>
          <w:lang w:eastAsia="ja-JP"/>
        </w:rPr>
        <w:t xml:space="preserve"> versus </w:t>
      </w:r>
      <w:r w:rsidRPr="00C31183">
        <w:rPr>
          <w:lang w:eastAsia="ja-JP"/>
        </w:rPr>
        <w:t>chemotherapy) from IPTCW marginal structural models.</w:t>
      </w:r>
      <w:bookmarkEnd w:id="66"/>
    </w:p>
    <w:tbl>
      <w:tblPr>
        <w:tblStyle w:val="TableTGAblue"/>
        <w:tblW w:w="8789" w:type="dxa"/>
        <w:tblLook w:val="00A0" w:firstRow="1" w:lastRow="0" w:firstColumn="1" w:lastColumn="0" w:noHBand="0" w:noVBand="0"/>
      </w:tblPr>
      <w:tblGrid>
        <w:gridCol w:w="2127"/>
        <w:gridCol w:w="2409"/>
        <w:gridCol w:w="2127"/>
        <w:gridCol w:w="2126"/>
      </w:tblGrid>
      <w:tr w:rsidR="00CE4F74" w:rsidRPr="00C31183" w:rsidTr="00A653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rsidR="00CE4F74" w:rsidRPr="00DA4DDC" w:rsidRDefault="00CE4F74" w:rsidP="00A65348">
            <w:pPr>
              <w:ind w:left="0" w:right="0"/>
              <w:rPr>
                <w:lang w:eastAsia="ja-JP"/>
              </w:rPr>
            </w:pPr>
            <w:r w:rsidRPr="00DA4DDC">
              <w:rPr>
                <w:lang w:eastAsia="ja-JP"/>
              </w:rPr>
              <w:t xml:space="preserve">MSM </w:t>
            </w:r>
          </w:p>
        </w:tc>
        <w:tc>
          <w:tcPr>
            <w:tcW w:w="2409" w:type="dxa"/>
          </w:tcPr>
          <w:p w:rsidR="00CE4F74" w:rsidRPr="00DA4DDC" w:rsidRDefault="00CE4F74" w:rsidP="00A65348">
            <w:pPr>
              <w:ind w:left="0" w:right="0"/>
              <w:cnfStyle w:val="100000000000" w:firstRow="1" w:lastRow="0" w:firstColumn="0" w:lastColumn="0" w:oddVBand="0" w:evenVBand="0" w:oddHBand="0" w:evenHBand="0" w:firstRowFirstColumn="0" w:firstRowLastColumn="0" w:lastRowFirstColumn="0" w:lastRowLastColumn="0"/>
              <w:rPr>
                <w:lang w:eastAsia="ja-JP"/>
              </w:rPr>
            </w:pPr>
            <w:r w:rsidRPr="00DA4DDC">
              <w:rPr>
                <w:lang w:eastAsia="ja-JP"/>
              </w:rPr>
              <w:t>LOCF by 28 days</w:t>
            </w:r>
          </w:p>
        </w:tc>
        <w:tc>
          <w:tcPr>
            <w:tcW w:w="2127" w:type="dxa"/>
          </w:tcPr>
          <w:p w:rsidR="00CE4F74" w:rsidRPr="00DA4DDC" w:rsidRDefault="00CE4F74" w:rsidP="00A65348">
            <w:pPr>
              <w:ind w:left="0" w:right="68"/>
              <w:cnfStyle w:val="100000000000" w:firstRow="1" w:lastRow="0" w:firstColumn="0" w:lastColumn="0" w:oddVBand="0" w:evenVBand="0" w:oddHBand="0" w:evenHBand="0" w:firstRowFirstColumn="0" w:firstRowLastColumn="0" w:lastRowFirstColumn="0" w:lastRowLastColumn="0"/>
              <w:rPr>
                <w:lang w:eastAsia="ja-JP"/>
              </w:rPr>
            </w:pPr>
            <w:r w:rsidRPr="00DA4DDC">
              <w:rPr>
                <w:lang w:eastAsia="ja-JP"/>
              </w:rPr>
              <w:t>LOCF by 56 days</w:t>
            </w:r>
          </w:p>
        </w:tc>
        <w:tc>
          <w:tcPr>
            <w:tcW w:w="2126" w:type="dxa"/>
          </w:tcPr>
          <w:p w:rsidR="00CE4F74" w:rsidRPr="00DA4DDC" w:rsidRDefault="00CE4F74" w:rsidP="00A65348">
            <w:pPr>
              <w:ind w:left="0" w:right="0"/>
              <w:cnfStyle w:val="100000000000" w:firstRow="1" w:lastRow="0" w:firstColumn="0" w:lastColumn="0" w:oddVBand="0" w:evenVBand="0" w:oddHBand="0" w:evenHBand="0" w:firstRowFirstColumn="0" w:firstRowLastColumn="0" w:lastRowFirstColumn="0" w:lastRowLastColumn="0"/>
              <w:rPr>
                <w:lang w:eastAsia="ja-JP"/>
              </w:rPr>
            </w:pPr>
            <w:r w:rsidRPr="00DA4DDC">
              <w:rPr>
                <w:lang w:eastAsia="ja-JP"/>
              </w:rPr>
              <w:t xml:space="preserve">Full LOCF </w:t>
            </w:r>
          </w:p>
        </w:tc>
      </w:tr>
      <w:tr w:rsidR="00CE4F74" w:rsidRPr="00C31183" w:rsidTr="00A65348">
        <w:tc>
          <w:tcPr>
            <w:cnfStyle w:val="001000000000" w:firstRow="0" w:lastRow="0" w:firstColumn="1" w:lastColumn="0" w:oddVBand="0" w:evenVBand="0" w:oddHBand="0" w:evenHBand="0" w:firstRowFirstColumn="0" w:firstRowLastColumn="0" w:lastRowFirstColumn="0" w:lastRowLastColumn="0"/>
            <w:tcW w:w="2127" w:type="dxa"/>
          </w:tcPr>
          <w:p w:rsidR="00CE4F74" w:rsidRPr="00DA4DDC" w:rsidRDefault="00CE4F74" w:rsidP="00A65348">
            <w:pPr>
              <w:ind w:left="0" w:right="0"/>
              <w:rPr>
                <w:color w:val="000000"/>
                <w:lang w:eastAsia="ja-JP"/>
              </w:rPr>
            </w:pPr>
            <w:r w:rsidRPr="00DA4DDC">
              <w:rPr>
                <w:color w:val="000000"/>
                <w:lang w:eastAsia="ja-JP"/>
              </w:rPr>
              <w:t>IPTCW – “worst prognosis”</w:t>
            </w:r>
          </w:p>
        </w:tc>
        <w:tc>
          <w:tcPr>
            <w:tcW w:w="2409" w:type="dxa"/>
          </w:tcPr>
          <w:p w:rsidR="00CE4F74" w:rsidRPr="00DA4DDC" w:rsidRDefault="00CE4F74" w:rsidP="00A65348">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HR = 0.79 (95% CI: 0.45, 1.40)</w:t>
            </w:r>
          </w:p>
        </w:tc>
        <w:tc>
          <w:tcPr>
            <w:tcW w:w="2127" w:type="dxa"/>
          </w:tcPr>
          <w:p w:rsidR="00CE4F74" w:rsidRPr="00DA4DDC" w:rsidRDefault="00CE4F74" w:rsidP="00A65348">
            <w:pPr>
              <w:ind w:left="0" w:right="68"/>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HR = 0.75 (95% CI: 0.45, 1.27)</w:t>
            </w:r>
          </w:p>
        </w:tc>
        <w:tc>
          <w:tcPr>
            <w:tcW w:w="2126" w:type="dxa"/>
          </w:tcPr>
          <w:p w:rsidR="00CE4F74" w:rsidRPr="00DA4DDC" w:rsidRDefault="00CE4F74" w:rsidP="00A65348">
            <w:pPr>
              <w:ind w:left="0" w:right="0"/>
              <w:cnfStyle w:val="000000000000" w:firstRow="0" w:lastRow="0" w:firstColumn="0" w:lastColumn="0" w:oddVBand="0" w:evenVBand="0" w:oddHBand="0" w:evenHBand="0" w:firstRowFirstColumn="0" w:firstRowLastColumn="0" w:lastRowFirstColumn="0" w:lastRowLastColumn="0"/>
              <w:rPr>
                <w:b/>
                <w:color w:val="000000"/>
                <w:lang w:eastAsia="ja-JP"/>
              </w:rPr>
            </w:pPr>
            <w:r w:rsidRPr="00DA4DDC">
              <w:rPr>
                <w:b/>
                <w:color w:val="000000"/>
                <w:lang w:eastAsia="ja-JP"/>
              </w:rPr>
              <w:t>HR = 0.79 (95% CI: 0.47, 1.34)</w:t>
            </w:r>
          </w:p>
        </w:tc>
      </w:tr>
      <w:tr w:rsidR="00CE4F74" w:rsidRPr="00C31183" w:rsidTr="00A65348">
        <w:tc>
          <w:tcPr>
            <w:cnfStyle w:val="001000000000" w:firstRow="0" w:lastRow="0" w:firstColumn="1" w:lastColumn="0" w:oddVBand="0" w:evenVBand="0" w:oddHBand="0" w:evenHBand="0" w:firstRowFirstColumn="0" w:firstRowLastColumn="0" w:lastRowFirstColumn="0" w:lastRowLastColumn="0"/>
            <w:tcW w:w="2127" w:type="dxa"/>
          </w:tcPr>
          <w:p w:rsidR="00CE4F74" w:rsidRPr="00DA4DDC" w:rsidRDefault="00CE4F74" w:rsidP="00A65348">
            <w:pPr>
              <w:ind w:left="0" w:right="0"/>
              <w:rPr>
                <w:color w:val="000000"/>
                <w:lang w:eastAsia="ja-JP"/>
              </w:rPr>
            </w:pPr>
            <w:r w:rsidRPr="00DA4DDC">
              <w:rPr>
                <w:color w:val="000000"/>
                <w:lang w:eastAsia="ja-JP"/>
              </w:rPr>
              <w:t>IPTCW – “last observation”</w:t>
            </w:r>
          </w:p>
        </w:tc>
        <w:tc>
          <w:tcPr>
            <w:tcW w:w="2409" w:type="dxa"/>
          </w:tcPr>
          <w:p w:rsidR="00CE4F74" w:rsidRPr="00DA4DDC" w:rsidRDefault="00CE4F74" w:rsidP="00A65348">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HR = 1.18 (95% CI: 0.66, 2.03)</w:t>
            </w:r>
          </w:p>
        </w:tc>
        <w:tc>
          <w:tcPr>
            <w:tcW w:w="2127" w:type="dxa"/>
          </w:tcPr>
          <w:p w:rsidR="00CE4F74" w:rsidRPr="00DA4DDC" w:rsidRDefault="00CE4F74" w:rsidP="00A65348">
            <w:pPr>
              <w:ind w:left="0" w:right="68"/>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HR = 0.64 (95% CI: 0.33, 1.24)</w:t>
            </w:r>
          </w:p>
        </w:tc>
        <w:tc>
          <w:tcPr>
            <w:tcW w:w="2126" w:type="dxa"/>
          </w:tcPr>
          <w:p w:rsidR="00CE4F74" w:rsidRPr="00DA4DDC" w:rsidRDefault="00CE4F74" w:rsidP="00A65348">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HR = 0.82 (95% CI: 0.48, 1.40)</w:t>
            </w:r>
          </w:p>
        </w:tc>
      </w:tr>
    </w:tbl>
    <w:p w:rsidR="00CE4F74" w:rsidRPr="00C31183" w:rsidRDefault="00CE4F74" w:rsidP="00A65348">
      <w:pPr>
        <w:ind w:left="1418" w:hanging="1418"/>
        <w:rPr>
          <w:lang w:eastAsia="ja-JP"/>
        </w:rPr>
      </w:pPr>
      <w:r w:rsidRPr="00C31183">
        <w:rPr>
          <w:b/>
          <w:lang w:eastAsia="ja-JP"/>
        </w:rPr>
        <w:t>Comment:</w:t>
      </w:r>
      <w:r w:rsidR="00A65348">
        <w:rPr>
          <w:b/>
          <w:lang w:eastAsia="ja-JP"/>
        </w:rPr>
        <w:tab/>
      </w:r>
      <w:r w:rsidRPr="00C31183">
        <w:rPr>
          <w:lang w:eastAsia="ja-JP"/>
        </w:rPr>
        <w:t xml:space="preserve">The primary RPSTFM and MSM (IPTCW) OS sensitivity analyses both showed a non-significant trend towards greater survival benefit in the </w:t>
      </w:r>
      <w:proofErr w:type="spellStart"/>
      <w:r w:rsidRPr="00C31183">
        <w:rPr>
          <w:lang w:eastAsia="ja-JP"/>
        </w:rPr>
        <w:t>crizotinib</w:t>
      </w:r>
      <w:proofErr w:type="spellEnd"/>
      <w:r w:rsidRPr="00C31183">
        <w:rPr>
          <w:lang w:eastAsia="ja-JP"/>
        </w:rPr>
        <w:t xml:space="preserve"> arm compared with the chemotherapy arm. However, the predictive power of the OS sensitivity analyses is limited by the relatively small number of patients available for the analyses, the immaturity of the OS data (</w:t>
      </w:r>
      <w:r>
        <w:rPr>
          <w:lang w:eastAsia="ja-JP"/>
        </w:rPr>
        <w:t>that is,</w:t>
      </w:r>
      <w:r w:rsidRPr="00C31183">
        <w:rPr>
          <w:lang w:eastAsia="ja-JP"/>
        </w:rPr>
        <w:t xml:space="preserve"> only approximately 40% of the total number of deaths required for the final analysis have occurred), the relatively high proportion of patients in the chemotherapy arm crossing over to </w:t>
      </w:r>
      <w:proofErr w:type="spellStart"/>
      <w:r w:rsidRPr="00C31183">
        <w:rPr>
          <w:lang w:eastAsia="ja-JP"/>
        </w:rPr>
        <w:t>crizotinib</w:t>
      </w:r>
      <w:proofErr w:type="spellEnd"/>
      <w:r w:rsidRPr="00C31183">
        <w:rPr>
          <w:lang w:eastAsia="ja-JP"/>
        </w:rPr>
        <w:t>, and the very small number of deaths occurring prior to disease progression in patients in the chemotherapy arm not subs</w:t>
      </w:r>
      <w:r w:rsidR="00A65348">
        <w:rPr>
          <w:lang w:eastAsia="ja-JP"/>
        </w:rPr>
        <w:t xml:space="preserve">equently exposed to </w:t>
      </w:r>
      <w:proofErr w:type="spellStart"/>
      <w:r w:rsidR="00A65348">
        <w:rPr>
          <w:lang w:eastAsia="ja-JP"/>
        </w:rPr>
        <w:t>crizotinib</w:t>
      </w:r>
      <w:proofErr w:type="spellEnd"/>
      <w:r w:rsidR="00A65348">
        <w:rPr>
          <w:lang w:eastAsia="ja-JP"/>
        </w:rPr>
        <w:t>.</w:t>
      </w:r>
    </w:p>
    <w:p w:rsidR="00CE4F74" w:rsidRPr="00C31183" w:rsidRDefault="00CE4F74" w:rsidP="00A65348">
      <w:pPr>
        <w:rPr>
          <w:lang w:eastAsia="ja-JP"/>
        </w:rPr>
      </w:pPr>
      <w:r w:rsidRPr="00C31183">
        <w:rPr>
          <w:lang w:eastAsia="ja-JP"/>
        </w:rPr>
        <w:t xml:space="preserve">No predicted median OS times were provided for the </w:t>
      </w:r>
      <w:proofErr w:type="spellStart"/>
      <w:r w:rsidRPr="00C31183">
        <w:rPr>
          <w:lang w:eastAsia="ja-JP"/>
        </w:rPr>
        <w:t>crizotinib</w:t>
      </w:r>
      <w:proofErr w:type="spellEnd"/>
      <w:r w:rsidRPr="00C31183">
        <w:rPr>
          <w:lang w:eastAsia="ja-JP"/>
        </w:rPr>
        <w:t xml:space="preserve"> or chemotherapy arms in the MSM analyses. The sponsor states that the MSM analyses aim to adjust for potentially confounding effects of post-progression systemic anti-cancer therapies as time-varying covariates, as well as other potential confounders such as baseline patient characteristics. Therefore, there are other covariates besides treatment group in the model to predict OS (</w:t>
      </w:r>
      <w:r>
        <w:rPr>
          <w:lang w:eastAsia="ja-JP"/>
        </w:rPr>
        <w:t>that is,</w:t>
      </w:r>
      <w:r w:rsidRPr="00C31183">
        <w:rPr>
          <w:lang w:eastAsia="ja-JP"/>
        </w:rPr>
        <w:t xml:space="preserve"> baseline characteristics, disease progression time, type of post-progression systemic anti-cancer therapies, and other time-varying covariates). Predicted median OS for the </w:t>
      </w:r>
      <w:proofErr w:type="spellStart"/>
      <w:r w:rsidRPr="00C31183">
        <w:rPr>
          <w:lang w:eastAsia="ja-JP"/>
        </w:rPr>
        <w:t>crizotinib</w:t>
      </w:r>
      <w:proofErr w:type="spellEnd"/>
      <w:r w:rsidRPr="00C31183">
        <w:rPr>
          <w:lang w:eastAsia="ja-JP"/>
        </w:rPr>
        <w:t xml:space="preserve"> and chemotherapy arms could be provided for an individual population with specific levels for the combination of covariates in the MSM. However, the sponsor considers that each of these predicted medians would be very specific and would not be able to be gener</w:t>
      </w:r>
      <w:r w:rsidR="00A65348">
        <w:rPr>
          <w:lang w:eastAsia="ja-JP"/>
        </w:rPr>
        <w:t>alized to the study population.</w:t>
      </w:r>
    </w:p>
    <w:p w:rsidR="00CE4F74" w:rsidRPr="00C31183" w:rsidRDefault="00CE4F74" w:rsidP="00A65348">
      <w:pPr>
        <w:pStyle w:val="Heading5"/>
      </w:pPr>
      <w:bookmarkStart w:id="67" w:name="_Toc228773359"/>
      <w:r w:rsidRPr="00C31183">
        <w:lastRenderedPageBreak/>
        <w:t>Objective response rate</w:t>
      </w:r>
      <w:bookmarkEnd w:id="67"/>
    </w:p>
    <w:p w:rsidR="00CE4F74" w:rsidRDefault="00CE4F74" w:rsidP="00A65348">
      <w:pPr>
        <w:rPr>
          <w:lang w:eastAsia="ja-JP"/>
        </w:rPr>
      </w:pPr>
      <w:r w:rsidRPr="00143CC0">
        <w:rPr>
          <w:lang w:eastAsia="ja-JP"/>
        </w:rPr>
        <w:t xml:space="preserve">The study demonstrated a statistically significant greater ORR in the </w:t>
      </w:r>
      <w:proofErr w:type="spellStart"/>
      <w:r w:rsidRPr="00143CC0">
        <w:rPr>
          <w:lang w:eastAsia="ja-JP"/>
        </w:rPr>
        <w:t>crizotinib</w:t>
      </w:r>
      <w:proofErr w:type="spellEnd"/>
      <w:r w:rsidRPr="00143CC0">
        <w:rPr>
          <w:lang w:eastAsia="ja-JP"/>
        </w:rPr>
        <w:t xml:space="preserve"> arm compared with the chemotherapy arm. The ORR by IRR (CR+PR) was 65.3% (95% C1: 57.7, 72.4) in the </w:t>
      </w:r>
      <w:proofErr w:type="spellStart"/>
      <w:r w:rsidRPr="00143CC0">
        <w:rPr>
          <w:lang w:eastAsia="ja-JP"/>
        </w:rPr>
        <w:t>crizotinib</w:t>
      </w:r>
      <w:proofErr w:type="spellEnd"/>
      <w:r w:rsidRPr="00143CC0">
        <w:rPr>
          <w:lang w:eastAsia="ja-JP"/>
        </w:rPr>
        <w:t xml:space="preserve"> arm and 19.5% (95% C1: 13.9, 26.2) in the chemotherapy arm. The difference in the ORR between the two treatment arms was 45.8% (95% CI: 36.6, 55.0); p &lt;0.0001, Pearson chi-square test. </w:t>
      </w:r>
      <w:r w:rsidRPr="00C31183">
        <w:rPr>
          <w:lang w:eastAsia="ja-JP"/>
        </w:rPr>
        <w:t xml:space="preserve">Of the 113 patients in the </w:t>
      </w:r>
      <w:proofErr w:type="spellStart"/>
      <w:r w:rsidRPr="00C31183">
        <w:rPr>
          <w:lang w:eastAsia="ja-JP"/>
        </w:rPr>
        <w:t>crizotinib</w:t>
      </w:r>
      <w:proofErr w:type="spellEnd"/>
      <w:r w:rsidRPr="00C31183">
        <w:rPr>
          <w:lang w:eastAsia="ja-JP"/>
        </w:rPr>
        <w:t xml:space="preserve"> arm with an objective response, 1 (&lt;1.0%) had a complete response (CR) and 112 (64.7%) had a partial response. Of the 34 patients in the chemotherapy arm with an objective response, no patients had a CR and al</w:t>
      </w:r>
      <w:r w:rsidR="00A65348">
        <w:rPr>
          <w:lang w:eastAsia="ja-JP"/>
        </w:rPr>
        <w:t>l 34 (19.5%) patients had a PR.</w:t>
      </w:r>
    </w:p>
    <w:p w:rsidR="00CE4F74" w:rsidRPr="00C31183" w:rsidRDefault="00CE4F74" w:rsidP="00A65348">
      <w:pPr>
        <w:rPr>
          <w:lang w:eastAsia="ja-JP"/>
        </w:rPr>
      </w:pPr>
      <w:r w:rsidRPr="00C31183">
        <w:rPr>
          <w:lang w:eastAsia="ja-JP"/>
        </w:rPr>
        <w:t xml:space="preserve">The ORR for </w:t>
      </w:r>
      <w:proofErr w:type="spellStart"/>
      <w:r w:rsidRPr="00C31183">
        <w:rPr>
          <w:lang w:eastAsia="ja-JP"/>
        </w:rPr>
        <w:t>crizotinib</w:t>
      </w:r>
      <w:proofErr w:type="spellEnd"/>
      <w:r w:rsidRPr="00C31183">
        <w:rPr>
          <w:lang w:eastAsia="ja-JP"/>
        </w:rPr>
        <w:t xml:space="preserve"> was significantly greater than for </w:t>
      </w:r>
      <w:proofErr w:type="spellStart"/>
      <w:r w:rsidRPr="00C31183">
        <w:rPr>
          <w:lang w:eastAsia="ja-JP"/>
        </w:rPr>
        <w:t>pemetrexed</w:t>
      </w:r>
      <w:proofErr w:type="spellEnd"/>
      <w:r w:rsidRPr="00C31183">
        <w:rPr>
          <w:lang w:eastAsia="ja-JP"/>
        </w:rPr>
        <w:t xml:space="preserve"> (65.7% [95% CI: 58.1, 72.8]</w:t>
      </w:r>
      <w:r>
        <w:rPr>
          <w:lang w:eastAsia="ja-JP"/>
        </w:rPr>
        <w:t xml:space="preserve"> versus </w:t>
      </w:r>
      <w:r w:rsidRPr="00C31183">
        <w:rPr>
          <w:lang w:eastAsia="ja-JP"/>
        </w:rPr>
        <w:t xml:space="preserve">29.3% [95% CI: 20.6, 39.3]; p&lt;0.0001, stratified CMH). The ORR for </w:t>
      </w:r>
      <w:proofErr w:type="spellStart"/>
      <w:r w:rsidRPr="00C31183">
        <w:rPr>
          <w:lang w:eastAsia="ja-JP"/>
        </w:rPr>
        <w:t>crizotinib</w:t>
      </w:r>
      <w:proofErr w:type="spellEnd"/>
      <w:r w:rsidRPr="00C31183">
        <w:rPr>
          <w:lang w:eastAsia="ja-JP"/>
        </w:rPr>
        <w:t xml:space="preserve"> was significantly greater than for </w:t>
      </w:r>
      <w:proofErr w:type="spellStart"/>
      <w:r w:rsidRPr="00C31183">
        <w:rPr>
          <w:lang w:eastAsia="ja-JP"/>
        </w:rPr>
        <w:t>docetaxel</w:t>
      </w:r>
      <w:proofErr w:type="spellEnd"/>
      <w:r w:rsidRPr="00C31183">
        <w:rPr>
          <w:lang w:eastAsia="ja-JP"/>
        </w:rPr>
        <w:t xml:space="preserve"> (65.7% [95% CI: 58.1, 72.8]</w:t>
      </w:r>
      <w:r>
        <w:rPr>
          <w:lang w:eastAsia="ja-JP"/>
        </w:rPr>
        <w:t xml:space="preserve"> versus </w:t>
      </w:r>
      <w:r w:rsidRPr="00C31183">
        <w:rPr>
          <w:lang w:eastAsia="ja-JP"/>
        </w:rPr>
        <w:t xml:space="preserve">6.9% [95% CI: 2.3, 15.5]; p&lt;0.0001, stratified CMH). Best overall response for the two pairwise comparisons is </w:t>
      </w:r>
      <w:r>
        <w:rPr>
          <w:lang w:eastAsia="ja-JP"/>
        </w:rPr>
        <w:t>summarised</w:t>
      </w:r>
      <w:r w:rsidR="00A65348">
        <w:rPr>
          <w:lang w:eastAsia="ja-JP"/>
        </w:rPr>
        <w:t xml:space="preserve"> in Table 51, page 91.</w:t>
      </w:r>
    </w:p>
    <w:p w:rsidR="00CE4F74" w:rsidRPr="00C31183" w:rsidRDefault="00CE4F74" w:rsidP="00A65348">
      <w:pPr>
        <w:pStyle w:val="Heading5"/>
        <w:rPr>
          <w:lang w:eastAsia="ja-JP"/>
        </w:rPr>
      </w:pPr>
      <w:bookmarkStart w:id="68" w:name="_Toc228773360"/>
      <w:r w:rsidRPr="00C31183">
        <w:rPr>
          <w:lang w:eastAsia="ja-JP"/>
        </w:rPr>
        <w:t>Disease control rate (DCR)</w:t>
      </w:r>
      <w:bookmarkEnd w:id="68"/>
    </w:p>
    <w:p w:rsidR="00CE4F74" w:rsidRPr="00C31183" w:rsidRDefault="00CE4F74" w:rsidP="00A65348">
      <w:pPr>
        <w:rPr>
          <w:lang w:eastAsia="ja-JP"/>
        </w:rPr>
      </w:pPr>
      <w:r w:rsidRPr="00C31183">
        <w:rPr>
          <w:lang w:eastAsia="ja-JP"/>
        </w:rPr>
        <w:t xml:space="preserve">The DCR at both Week 6 and Week 12 was significantly higher for </w:t>
      </w:r>
      <w:proofErr w:type="spellStart"/>
      <w:r w:rsidRPr="00C31183">
        <w:rPr>
          <w:lang w:eastAsia="ja-JP"/>
        </w:rPr>
        <w:t>crizotinib</w:t>
      </w:r>
      <w:proofErr w:type="spellEnd"/>
      <w:r w:rsidRPr="00C31183">
        <w:rPr>
          <w:lang w:eastAsia="ja-JP"/>
        </w:rPr>
        <w:t xml:space="preserve"> compared with chemotherapy. At Week 6, the DCR for </w:t>
      </w:r>
      <w:proofErr w:type="spellStart"/>
      <w:r w:rsidRPr="00C31183">
        <w:rPr>
          <w:lang w:eastAsia="ja-JP"/>
        </w:rPr>
        <w:t>crizotinib</w:t>
      </w:r>
      <w:proofErr w:type="spellEnd"/>
      <w:r w:rsidRPr="00C31183">
        <w:rPr>
          <w:lang w:eastAsia="ja-JP"/>
        </w:rPr>
        <w:t xml:space="preserve"> was 81.5% (95% CI: 74.9, 87.0) compared with 55.2% (95% CI: 47.5, 62.7) for chemotherapy, p&lt;0.0001 (Pearson Chi-square test). At Week 12, the DCR for </w:t>
      </w:r>
      <w:proofErr w:type="spellStart"/>
      <w:r w:rsidRPr="00C31183">
        <w:rPr>
          <w:lang w:eastAsia="ja-JP"/>
        </w:rPr>
        <w:t>crizotinib</w:t>
      </w:r>
      <w:proofErr w:type="spellEnd"/>
      <w:r w:rsidRPr="00C31183">
        <w:rPr>
          <w:lang w:eastAsia="ja-JP"/>
        </w:rPr>
        <w:t xml:space="preserve"> was 64.2% (95% CI: 56.5, 71.3) compared with 38.5% (95% CI: 31.2, 46.2) for chemotherapy, p &lt; 0.0001 (Pearson Chi-square test). However, the statistically significant results for the comparisons between the two treatment arms should be considered to be nominal rather than confirmatory as the analysis of OS (the endpoint preceding DCR in the hierarchal order of testing) was</w:t>
      </w:r>
      <w:r w:rsidR="00A65348">
        <w:rPr>
          <w:lang w:eastAsia="ja-JP"/>
        </w:rPr>
        <w:t xml:space="preserve"> not statistically significant.</w:t>
      </w:r>
    </w:p>
    <w:p w:rsidR="00CE4F74" w:rsidRPr="00C31183" w:rsidRDefault="00CE4F74" w:rsidP="00A65348">
      <w:pPr>
        <w:pStyle w:val="Heading5"/>
        <w:rPr>
          <w:lang w:eastAsia="ja-JP"/>
        </w:rPr>
      </w:pPr>
      <w:bookmarkStart w:id="69" w:name="_Toc228773361"/>
      <w:r w:rsidRPr="00C31183">
        <w:rPr>
          <w:lang w:eastAsia="ja-JP"/>
        </w:rPr>
        <w:t>Time to tumour response</w:t>
      </w:r>
      <w:bookmarkEnd w:id="69"/>
    </w:p>
    <w:p w:rsidR="00CE4F74" w:rsidRPr="00C31183" w:rsidRDefault="00CE4F74" w:rsidP="00A65348">
      <w:pPr>
        <w:rPr>
          <w:lang w:eastAsia="ja-JP"/>
        </w:rPr>
      </w:pPr>
      <w:r w:rsidRPr="00C31183">
        <w:rPr>
          <w:lang w:eastAsia="ja-JP"/>
        </w:rPr>
        <w:t xml:space="preserve">In the 113 patients </w:t>
      </w:r>
      <w:r>
        <w:rPr>
          <w:lang w:eastAsia="ja-JP"/>
        </w:rPr>
        <w:t>randomised</w:t>
      </w:r>
      <w:r w:rsidRPr="00C31183">
        <w:rPr>
          <w:lang w:eastAsia="ja-JP"/>
        </w:rPr>
        <w:t xml:space="preserve"> to </w:t>
      </w:r>
      <w:proofErr w:type="spellStart"/>
      <w:r w:rsidRPr="00C31183">
        <w:rPr>
          <w:lang w:eastAsia="ja-JP"/>
        </w:rPr>
        <w:t>crizotinib</w:t>
      </w:r>
      <w:proofErr w:type="spellEnd"/>
      <w:r w:rsidRPr="00C31183">
        <w:rPr>
          <w:lang w:eastAsia="ja-JP"/>
        </w:rPr>
        <w:t xml:space="preserve"> who had objective tumo</w:t>
      </w:r>
      <w:r>
        <w:rPr>
          <w:lang w:eastAsia="ja-JP"/>
        </w:rPr>
        <w:t>u</w:t>
      </w:r>
      <w:r w:rsidRPr="00C31183">
        <w:rPr>
          <w:lang w:eastAsia="ja-JP"/>
        </w:rPr>
        <w:t>r response, the mean (SD) T</w:t>
      </w:r>
      <w:r w:rsidRPr="00143CC0">
        <w:rPr>
          <w:lang w:eastAsia="ja-JP"/>
        </w:rPr>
        <w:t>TR was 8.6 (6.2) weeks, and the median TTR was 6.3 weeks (range: 4.4, 48.4 weeks). In the 34 patients randomised to chemotherapy who had objective tumour response, the mean (standard deviation (SD)) TTR wa</w:t>
      </w:r>
      <w:r w:rsidRPr="00C31183">
        <w:rPr>
          <w:lang w:eastAsia="ja-JP"/>
        </w:rPr>
        <w:t>s 16.9 (10.1) weeks and the median TTR was 12.6 weeks (range: 5.0, 37.1 weeks). The results were presented descriptively with no statistical analysis of the pairwi</w:t>
      </w:r>
      <w:r w:rsidR="00A65348">
        <w:rPr>
          <w:lang w:eastAsia="ja-JP"/>
        </w:rPr>
        <w:t>se comparison being undertaken.</w:t>
      </w:r>
    </w:p>
    <w:p w:rsidR="00CE4F74" w:rsidRPr="00C31183" w:rsidRDefault="00CE4F74" w:rsidP="00A65348">
      <w:pPr>
        <w:pStyle w:val="Heading5"/>
        <w:rPr>
          <w:lang w:eastAsia="ja-JP"/>
        </w:rPr>
      </w:pPr>
      <w:bookmarkStart w:id="70" w:name="_Toc228773362"/>
      <w:r w:rsidRPr="00C31183">
        <w:rPr>
          <w:lang w:eastAsia="ja-JP"/>
        </w:rPr>
        <w:t>Duration of response (DR)</w:t>
      </w:r>
      <w:bookmarkEnd w:id="70"/>
    </w:p>
    <w:p w:rsidR="00CE4F74" w:rsidRPr="00C31183" w:rsidRDefault="00CE4F74" w:rsidP="00A65348">
      <w:pPr>
        <w:rPr>
          <w:lang w:eastAsia="ja-JP"/>
        </w:rPr>
      </w:pPr>
      <w:r w:rsidRPr="00143CC0">
        <w:rPr>
          <w:lang w:eastAsia="ja-JP"/>
        </w:rPr>
        <w:t xml:space="preserve">Objective response (CR or PR) was achieved by 113 (65.3%) patients in the </w:t>
      </w:r>
      <w:proofErr w:type="spellStart"/>
      <w:r w:rsidRPr="00143CC0">
        <w:rPr>
          <w:lang w:eastAsia="ja-JP"/>
        </w:rPr>
        <w:t>crizotinib</w:t>
      </w:r>
      <w:proofErr w:type="spellEnd"/>
      <w:r w:rsidRPr="00143CC0">
        <w:rPr>
          <w:lang w:eastAsia="ja-JP"/>
        </w:rPr>
        <w:t xml:space="preserve"> arm and 34 (19.59%) patients in the chemotherapy arm. Of these patients, subsequent objective disease progression or death occurred in 61 (54%) patients in the </w:t>
      </w:r>
      <w:proofErr w:type="spellStart"/>
      <w:r w:rsidRPr="00143CC0">
        <w:rPr>
          <w:lang w:eastAsia="ja-JP"/>
        </w:rPr>
        <w:t>crizotinib</w:t>
      </w:r>
      <w:proofErr w:type="spellEnd"/>
      <w:r w:rsidRPr="00143CC0">
        <w:rPr>
          <w:lang w:eastAsia="ja-JP"/>
        </w:rPr>
        <w:t xml:space="preserve"> arm and 20 (58.8%) patients in the chemotherapy arm. In the </w:t>
      </w:r>
      <w:proofErr w:type="spellStart"/>
      <w:r w:rsidRPr="00143CC0">
        <w:rPr>
          <w:lang w:eastAsia="ja-JP"/>
        </w:rPr>
        <w:t>crizotinib</w:t>
      </w:r>
      <w:proofErr w:type="spellEnd"/>
      <w:r w:rsidRPr="00143CC0">
        <w:rPr>
          <w:lang w:eastAsia="ja-JP"/>
        </w:rPr>
        <w:t xml:space="preserve"> arm (n=173), the mean (SD) DR was 25.4 (16.4) weeks, and the median DR was 19 weeks (range: 2.1, 72.4 weeks). In the chemotherapy arm (n=174), the mean (SD) DR was 17.3 (10.9) weeks, and the median DR was 14.2 weeks (range: 3.0, 43.6 weeks). The median DR estimate, using the Kaplan-Meier method, was 32.1 weeks (95% CI: 26.4, 42.3) in the </w:t>
      </w:r>
      <w:proofErr w:type="spellStart"/>
      <w:r w:rsidRPr="00143CC0">
        <w:rPr>
          <w:lang w:eastAsia="ja-JP"/>
        </w:rPr>
        <w:t>crizotinib</w:t>
      </w:r>
      <w:proofErr w:type="spellEnd"/>
      <w:r w:rsidRPr="00143CC0">
        <w:rPr>
          <w:lang w:eastAsia="ja-JP"/>
        </w:rPr>
        <w:t xml:space="preserve"> arm and 24.4 weeks (95% CI: 15.0, 36.0) in the chemotherapy arm. T</w:t>
      </w:r>
      <w:r w:rsidRPr="00C31183">
        <w:rPr>
          <w:lang w:eastAsia="ja-JP"/>
        </w:rPr>
        <w:t xml:space="preserve">he results </w:t>
      </w:r>
      <w:r>
        <w:rPr>
          <w:lang w:eastAsia="ja-JP"/>
        </w:rPr>
        <w:t>for DR were updated with information provided by the sponsor to the TGA.</w:t>
      </w:r>
    </w:p>
    <w:p w:rsidR="00CE4F74" w:rsidRPr="00C31183" w:rsidRDefault="00CE4F74" w:rsidP="00A65348">
      <w:pPr>
        <w:pStyle w:val="Heading4"/>
      </w:pPr>
      <w:bookmarkStart w:id="71" w:name="_Toc228773363"/>
      <w:r w:rsidRPr="00C31183">
        <w:t>Results for other efficacy endpoints</w:t>
      </w:r>
      <w:bookmarkEnd w:id="71"/>
    </w:p>
    <w:p w:rsidR="00CE4F74" w:rsidRPr="00C31183" w:rsidRDefault="00CE4F74" w:rsidP="00F144AA">
      <w:pPr>
        <w:rPr>
          <w:lang w:eastAsia="ja-JP"/>
        </w:rPr>
      </w:pPr>
      <w:r w:rsidRPr="00C31183">
        <w:rPr>
          <w:lang w:eastAsia="ja-JP"/>
        </w:rPr>
        <w:t xml:space="preserve">The study included a number of patient reported outcomes (PROs) assessed in the PRO evaluable population consisting of 162 patients in the </w:t>
      </w:r>
      <w:proofErr w:type="spellStart"/>
      <w:r w:rsidRPr="00C31183">
        <w:rPr>
          <w:lang w:eastAsia="ja-JP"/>
        </w:rPr>
        <w:t>crizotinib</w:t>
      </w:r>
      <w:proofErr w:type="spellEnd"/>
      <w:r w:rsidRPr="00C31183">
        <w:rPr>
          <w:lang w:eastAsia="ja-JP"/>
        </w:rPr>
        <w:t xml:space="preserve"> arm and 151 patients in the chemotherapy arm. The results of the PRO outcomes </w:t>
      </w:r>
      <w:r>
        <w:rPr>
          <w:lang w:eastAsia="ja-JP"/>
        </w:rPr>
        <w:t>were</w:t>
      </w:r>
      <w:r w:rsidRPr="00C31183">
        <w:rPr>
          <w:lang w:eastAsia="ja-JP"/>
        </w:rPr>
        <w:t xml:space="preserve"> </w:t>
      </w:r>
      <w:r>
        <w:rPr>
          <w:lang w:eastAsia="ja-JP"/>
        </w:rPr>
        <w:t>summarised</w:t>
      </w:r>
      <w:r w:rsidRPr="00C31183">
        <w:rPr>
          <w:lang w:eastAsia="ja-JP"/>
        </w:rPr>
        <w:t xml:space="preserve"> in a series of Forest plots: global quality of life and function domains assessed by the EORTC QLQ-C30; EORTC QLQ-C30 symptoms; and EORTC QLC-LC13 symptoms. In general, all PROs significantly favoured the </w:t>
      </w:r>
      <w:proofErr w:type="spellStart"/>
      <w:r w:rsidRPr="00C31183">
        <w:rPr>
          <w:lang w:eastAsia="ja-JP"/>
        </w:rPr>
        <w:t>crizotinib</w:t>
      </w:r>
      <w:proofErr w:type="spellEnd"/>
      <w:r w:rsidRPr="00C31183">
        <w:rPr>
          <w:lang w:eastAsia="ja-JP"/>
        </w:rPr>
        <w:t xml:space="preserve"> arm comp</w:t>
      </w:r>
      <w:r w:rsidR="00F144AA">
        <w:rPr>
          <w:lang w:eastAsia="ja-JP"/>
        </w:rPr>
        <w:t>ared with the chemotherapy arm.</w:t>
      </w:r>
    </w:p>
    <w:p w:rsidR="00CE4F74" w:rsidRPr="00C31183" w:rsidRDefault="00CE4F74" w:rsidP="00F144AA">
      <w:pPr>
        <w:rPr>
          <w:lang w:eastAsia="ja-JP"/>
        </w:rPr>
      </w:pPr>
      <w:r w:rsidRPr="00C31183">
        <w:rPr>
          <w:lang w:eastAsia="ja-JP"/>
        </w:rPr>
        <w:lastRenderedPageBreak/>
        <w:t xml:space="preserve">The time to deterioration (TTD) was analysed for the symptoms of pain in the chest, cough and dyspnoea based on the EORTC QLQ-LC13 questionnaire. Patients were censored in the TTD analyses if they had not shown deterioration at the last visit date prior to the data </w:t>
      </w:r>
      <w:proofErr w:type="spellStart"/>
      <w:r w:rsidRPr="00C31183">
        <w:rPr>
          <w:lang w:eastAsia="ja-JP"/>
        </w:rPr>
        <w:t>cut</w:t>
      </w:r>
      <w:r>
        <w:rPr>
          <w:lang w:eastAsia="ja-JP"/>
        </w:rPr>
        <w:t xml:space="preserve"> </w:t>
      </w:r>
      <w:r w:rsidRPr="00C31183">
        <w:rPr>
          <w:lang w:eastAsia="ja-JP"/>
        </w:rPr>
        <w:t>off</w:t>
      </w:r>
      <w:proofErr w:type="spellEnd"/>
      <w:r w:rsidRPr="00C31183">
        <w:rPr>
          <w:lang w:eastAsia="ja-JP"/>
        </w:rPr>
        <w:t xml:space="preserve"> date.</w:t>
      </w:r>
      <w:r>
        <w:rPr>
          <w:lang w:eastAsia="ja-JP"/>
        </w:rPr>
        <w:t xml:space="preserve"> </w:t>
      </w:r>
      <w:r w:rsidRPr="00C31183">
        <w:rPr>
          <w:lang w:eastAsia="ja-JP"/>
        </w:rPr>
        <w:t xml:space="preserve">The median TTD in pain in chest, </w:t>
      </w:r>
      <w:proofErr w:type="spellStart"/>
      <w:r w:rsidRPr="00C31183">
        <w:rPr>
          <w:lang w:eastAsia="ja-JP"/>
        </w:rPr>
        <w:t>dyspnea</w:t>
      </w:r>
      <w:proofErr w:type="spellEnd"/>
      <w:r w:rsidRPr="00C31183">
        <w:rPr>
          <w:lang w:eastAsia="ja-JP"/>
        </w:rPr>
        <w:t xml:space="preserve"> or cough as a composite endpoint was 5.6 months (95% CI: 3.4, 11.0 months) in the </w:t>
      </w:r>
      <w:proofErr w:type="spellStart"/>
      <w:r w:rsidRPr="00C31183">
        <w:rPr>
          <w:lang w:eastAsia="ja-JP"/>
        </w:rPr>
        <w:t>crizotinib</w:t>
      </w:r>
      <w:proofErr w:type="spellEnd"/>
      <w:r w:rsidRPr="00C31183">
        <w:rPr>
          <w:lang w:eastAsia="ja-JP"/>
        </w:rPr>
        <w:t xml:space="preserve"> arm compared with 1.4 months (95% CI: 1.0, 1.8 months) in the chemotherapy arm</w:t>
      </w:r>
      <w:r w:rsidRPr="00143CC0">
        <w:rPr>
          <w:lang w:eastAsia="ja-JP"/>
        </w:rPr>
        <w:t xml:space="preserve">. The percentage of patients with deterioration of symptom was 56.2% (91/162) in the </w:t>
      </w:r>
      <w:proofErr w:type="spellStart"/>
      <w:r w:rsidRPr="00143CC0">
        <w:rPr>
          <w:lang w:eastAsia="ja-JP"/>
        </w:rPr>
        <w:t>crizotinib</w:t>
      </w:r>
      <w:proofErr w:type="spellEnd"/>
      <w:r w:rsidRPr="00143CC0">
        <w:rPr>
          <w:lang w:eastAsia="ja-JP"/>
        </w:rPr>
        <w:t xml:space="preserve"> arm and 73.5% (111/151) in the chemotherapy arm an</w:t>
      </w:r>
      <w:r w:rsidRPr="00EA76A5">
        <w:rPr>
          <w:lang w:eastAsia="ja-JP"/>
        </w:rPr>
        <w:t>d the respective probabilities of being symptom free at 6 months were 48.5% (95% CI: 40.1, 56.4) and 22.9% (95% CI: 15.9, 30.7).</w:t>
      </w:r>
      <w:r w:rsidRPr="00EA76A5">
        <w:rPr>
          <w:strike/>
          <w:lang w:eastAsia="ja-JP"/>
        </w:rPr>
        <w:t xml:space="preserve"> </w:t>
      </w:r>
      <w:r w:rsidRPr="00C31183">
        <w:rPr>
          <w:lang w:eastAsia="ja-JP"/>
        </w:rPr>
        <w:t>The HR (</w:t>
      </w:r>
      <w:proofErr w:type="spellStart"/>
      <w:r w:rsidRPr="00C31183">
        <w:rPr>
          <w:lang w:eastAsia="ja-JP"/>
        </w:rPr>
        <w:t>crizotinib</w:t>
      </w:r>
      <w:proofErr w:type="spellEnd"/>
      <w:r>
        <w:rPr>
          <w:lang w:eastAsia="ja-JP"/>
        </w:rPr>
        <w:t xml:space="preserve"> versus </w:t>
      </w:r>
      <w:r w:rsidRPr="00C31183">
        <w:rPr>
          <w:lang w:eastAsia="ja-JP"/>
        </w:rPr>
        <w:t xml:space="preserve">chemotherapy) was 0.535 (95% CI: 0.404, 0.709), p&lt;0.0001 (2-sided Hochberg adjusted </w:t>
      </w:r>
      <w:proofErr w:type="spellStart"/>
      <w:r w:rsidRPr="00C31183">
        <w:rPr>
          <w:lang w:eastAsia="ja-JP"/>
        </w:rPr>
        <w:t>unstratified</w:t>
      </w:r>
      <w:proofErr w:type="spellEnd"/>
      <w:r w:rsidRPr="00C31183">
        <w:rPr>
          <w:lang w:eastAsia="ja-JP"/>
        </w:rPr>
        <w:t xml:space="preserve"> log-rank test), indicating that the probability of being symptom free at 6 months significantly favoured </w:t>
      </w:r>
      <w:proofErr w:type="spellStart"/>
      <w:r w:rsidRPr="00C31183">
        <w:rPr>
          <w:lang w:eastAsia="ja-JP"/>
        </w:rPr>
        <w:t>crizo</w:t>
      </w:r>
      <w:r w:rsidR="00F144AA">
        <w:rPr>
          <w:lang w:eastAsia="ja-JP"/>
        </w:rPr>
        <w:t>tinib</w:t>
      </w:r>
      <w:proofErr w:type="spellEnd"/>
      <w:r w:rsidR="00F144AA">
        <w:rPr>
          <w:lang w:eastAsia="ja-JP"/>
        </w:rPr>
        <w:t xml:space="preserve"> relative to chemotherapy.</w:t>
      </w:r>
    </w:p>
    <w:p w:rsidR="00CE4F74" w:rsidRPr="00554D84" w:rsidRDefault="00CE4F74" w:rsidP="00F144AA">
      <w:pPr>
        <w:pStyle w:val="Heading3"/>
      </w:pPr>
      <w:bookmarkStart w:id="72" w:name="_Toc228773364"/>
      <w:bookmarkStart w:id="73" w:name="_Toc380058435"/>
      <w:bookmarkStart w:id="74" w:name="_Toc384975289"/>
      <w:r w:rsidRPr="00554D84">
        <w:t>Safety – Results</w:t>
      </w:r>
      <w:bookmarkEnd w:id="72"/>
      <w:bookmarkEnd w:id="73"/>
      <w:bookmarkEnd w:id="74"/>
    </w:p>
    <w:p w:rsidR="00CE4F74" w:rsidRPr="00554D84" w:rsidRDefault="00CE4F74" w:rsidP="00F144AA">
      <w:pPr>
        <w:pStyle w:val="Heading4"/>
      </w:pPr>
      <w:bookmarkStart w:id="75" w:name="_Toc228773365"/>
      <w:r w:rsidRPr="00554D84">
        <w:t>Exposure</w:t>
      </w:r>
      <w:bookmarkEnd w:id="75"/>
    </w:p>
    <w:p w:rsidR="00CE4F74" w:rsidRPr="00554D84" w:rsidRDefault="00CE4F74" w:rsidP="00F144AA">
      <w:pPr>
        <w:pStyle w:val="Heading5"/>
        <w:rPr>
          <w:lang w:eastAsia="ja-JP"/>
        </w:rPr>
      </w:pPr>
      <w:bookmarkStart w:id="76" w:name="_Toc228773366"/>
      <w:r w:rsidRPr="00554D84">
        <w:rPr>
          <w:lang w:eastAsia="ja-JP"/>
        </w:rPr>
        <w:t>Duration of study treatment</w:t>
      </w:r>
      <w:bookmarkEnd w:id="76"/>
    </w:p>
    <w:p w:rsidR="00CE4F74" w:rsidRPr="00C31183" w:rsidRDefault="00CE4F74" w:rsidP="00F144AA">
      <w:pPr>
        <w:rPr>
          <w:lang w:eastAsia="ja-JP"/>
        </w:rPr>
      </w:pPr>
      <w:r w:rsidRPr="00554D84">
        <w:rPr>
          <w:lang w:eastAsia="ja-JP"/>
        </w:rPr>
        <w:t xml:space="preserve">The duration of study treatment was longer in the </w:t>
      </w:r>
      <w:proofErr w:type="spellStart"/>
      <w:r w:rsidRPr="00554D84">
        <w:rPr>
          <w:lang w:eastAsia="ja-JP"/>
        </w:rPr>
        <w:t>crizotinib</w:t>
      </w:r>
      <w:proofErr w:type="spellEnd"/>
      <w:r w:rsidRPr="00554D84">
        <w:rPr>
          <w:lang w:eastAsia="ja-JP"/>
        </w:rPr>
        <w:t xml:space="preserve"> arm than in the chemotherapy arm (duration of treatment was defin</w:t>
      </w:r>
      <w:r w:rsidRPr="00C31183">
        <w:rPr>
          <w:lang w:eastAsia="ja-JP"/>
        </w:rPr>
        <w:t xml:space="preserve">ed as total number of dosing days from date of first to last dose [or data </w:t>
      </w:r>
      <w:proofErr w:type="spellStart"/>
      <w:r w:rsidRPr="00C31183">
        <w:rPr>
          <w:lang w:eastAsia="ja-JP"/>
        </w:rPr>
        <w:t>cut</w:t>
      </w:r>
      <w:r>
        <w:rPr>
          <w:lang w:eastAsia="ja-JP"/>
        </w:rPr>
        <w:t xml:space="preserve"> </w:t>
      </w:r>
      <w:r w:rsidRPr="00C31183">
        <w:rPr>
          <w:lang w:eastAsia="ja-JP"/>
        </w:rPr>
        <w:t>off</w:t>
      </w:r>
      <w:proofErr w:type="spellEnd"/>
      <w:r w:rsidRPr="00C31183">
        <w:rPr>
          <w:lang w:eastAsia="ja-JP"/>
        </w:rPr>
        <w:t xml:space="preserve"> date, whichever was earlier] + 1 counting gaps for </w:t>
      </w:r>
      <w:proofErr w:type="spellStart"/>
      <w:r w:rsidRPr="00C31183">
        <w:rPr>
          <w:lang w:eastAsia="ja-JP"/>
        </w:rPr>
        <w:t>crizotinib</w:t>
      </w:r>
      <w:proofErr w:type="spellEnd"/>
      <w:r w:rsidRPr="00C31183">
        <w:rPr>
          <w:lang w:eastAsia="ja-JP"/>
        </w:rPr>
        <w:t xml:space="preserve"> and including 21 days for last cycle for chemotherapy). The median duration of treatment in the </w:t>
      </w:r>
      <w:proofErr w:type="spellStart"/>
      <w:r w:rsidRPr="00C31183">
        <w:rPr>
          <w:lang w:eastAsia="ja-JP"/>
        </w:rPr>
        <w:t>crizotinib</w:t>
      </w:r>
      <w:proofErr w:type="spellEnd"/>
      <w:r w:rsidRPr="00C31183">
        <w:rPr>
          <w:lang w:eastAsia="ja-JP"/>
        </w:rPr>
        <w:t xml:space="preserve"> arm was 31.0 weeks (range: 1.3, 110.1 weeks) and 12.3 weeks (range: 3.0, 90.0 weeks) in the chemotherapy arm (see Table 9, below). In the chemotherapy arm, the median duration of treatment in the </w:t>
      </w:r>
      <w:proofErr w:type="spellStart"/>
      <w:r w:rsidRPr="00C31183">
        <w:rPr>
          <w:lang w:eastAsia="ja-JP"/>
        </w:rPr>
        <w:t>pemetrexed</w:t>
      </w:r>
      <w:proofErr w:type="spellEnd"/>
      <w:r w:rsidRPr="00C31183">
        <w:rPr>
          <w:lang w:eastAsia="ja-JP"/>
        </w:rPr>
        <w:t xml:space="preserve"> arm (n=99) was 18 weeks (range: 3, 90 weeks) and 9.1 weeks (range: 3, 66 week</w:t>
      </w:r>
      <w:r w:rsidR="00F144AA">
        <w:rPr>
          <w:lang w:eastAsia="ja-JP"/>
        </w:rPr>
        <w:t xml:space="preserve">s) in the </w:t>
      </w:r>
      <w:proofErr w:type="spellStart"/>
      <w:r w:rsidR="00F144AA">
        <w:rPr>
          <w:lang w:eastAsia="ja-JP"/>
        </w:rPr>
        <w:t>docetaxel</w:t>
      </w:r>
      <w:proofErr w:type="spellEnd"/>
      <w:r w:rsidR="00F144AA">
        <w:rPr>
          <w:lang w:eastAsia="ja-JP"/>
        </w:rPr>
        <w:t xml:space="preserve"> arm (n=72).</w:t>
      </w:r>
    </w:p>
    <w:p w:rsidR="00CE4F74" w:rsidRPr="00F144AA" w:rsidRDefault="00CE4F74" w:rsidP="00F144AA">
      <w:pPr>
        <w:pStyle w:val="TableTitle"/>
      </w:pPr>
      <w:bookmarkStart w:id="77" w:name="_Toc228773432"/>
      <w:proofErr w:type="gramStart"/>
      <w:r w:rsidRPr="00C31183">
        <w:rPr>
          <w:lang w:eastAsia="ja-JP"/>
        </w:rPr>
        <w:t xml:space="preserve">Table </w:t>
      </w:r>
      <w:r w:rsidRPr="00C31183">
        <w:rPr>
          <w:lang w:eastAsia="ja-JP"/>
        </w:rPr>
        <w:fldChar w:fldCharType="begin"/>
      </w:r>
      <w:r w:rsidRPr="00C31183">
        <w:rPr>
          <w:lang w:eastAsia="ja-JP"/>
        </w:rPr>
        <w:instrText xml:space="preserve"> SEQ Table \* ARABIC </w:instrText>
      </w:r>
      <w:r w:rsidRPr="00C31183">
        <w:rPr>
          <w:lang w:eastAsia="ja-JP"/>
        </w:rPr>
        <w:fldChar w:fldCharType="separate"/>
      </w:r>
      <w:r>
        <w:rPr>
          <w:noProof/>
          <w:lang w:eastAsia="ja-JP"/>
        </w:rPr>
        <w:t>9</w:t>
      </w:r>
      <w:r w:rsidRPr="00C31183">
        <w:rPr>
          <w:lang w:eastAsia="ja-JP"/>
        </w:rPr>
        <w:fldChar w:fldCharType="end"/>
      </w:r>
      <w:r w:rsidRPr="00C31183">
        <w:rPr>
          <w:lang w:eastAsia="ja-JP"/>
        </w:rPr>
        <w:t>: Duration of treatment; SA population.</w:t>
      </w:r>
      <w:bookmarkEnd w:id="77"/>
      <w:proofErr w:type="gramEnd"/>
    </w:p>
    <w:tbl>
      <w:tblPr>
        <w:tblStyle w:val="TableTGAblue"/>
        <w:tblW w:w="0" w:type="auto"/>
        <w:tblLook w:val="00A0" w:firstRow="1" w:lastRow="0" w:firstColumn="1" w:lastColumn="0" w:noHBand="0" w:noVBand="0"/>
      </w:tblPr>
      <w:tblGrid>
        <w:gridCol w:w="3119"/>
        <w:gridCol w:w="2409"/>
        <w:gridCol w:w="2977"/>
      </w:tblGrid>
      <w:tr w:rsidR="00CE4F74" w:rsidRPr="00C31183" w:rsidTr="00F144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9" w:type="dxa"/>
          </w:tcPr>
          <w:p w:rsidR="00CE4F74" w:rsidRPr="00DA4DDC" w:rsidRDefault="00CE4F74" w:rsidP="00F144AA">
            <w:pPr>
              <w:ind w:left="0" w:right="0"/>
              <w:rPr>
                <w:lang w:eastAsia="ja-JP"/>
              </w:rPr>
            </w:pPr>
          </w:p>
        </w:tc>
        <w:tc>
          <w:tcPr>
            <w:tcW w:w="2409" w:type="dxa"/>
          </w:tcPr>
          <w:p w:rsidR="00CE4F74" w:rsidRPr="00DA4DDC" w:rsidRDefault="00F144AA" w:rsidP="00F144AA">
            <w:pPr>
              <w:ind w:left="0" w:right="67"/>
              <w:cnfStyle w:val="100000000000" w:firstRow="1" w:lastRow="0" w:firstColumn="0" w:lastColumn="0" w:oddVBand="0" w:evenVBand="0" w:oddHBand="0" w:evenHBand="0" w:firstRowFirstColumn="0" w:firstRowLastColumn="0" w:lastRowFirstColumn="0" w:lastRowLastColumn="0"/>
              <w:rPr>
                <w:lang w:eastAsia="ja-JP"/>
              </w:rPr>
            </w:pPr>
            <w:proofErr w:type="spellStart"/>
            <w:r>
              <w:rPr>
                <w:bCs/>
                <w:lang w:eastAsia="ja-JP"/>
              </w:rPr>
              <w:t>Crizotinib</w:t>
            </w:r>
            <w:proofErr w:type="spellEnd"/>
            <w:r>
              <w:rPr>
                <w:bCs/>
                <w:lang w:eastAsia="ja-JP"/>
              </w:rPr>
              <w:t xml:space="preserve"> (N=172)</w:t>
            </w:r>
          </w:p>
        </w:tc>
        <w:tc>
          <w:tcPr>
            <w:tcW w:w="2977" w:type="dxa"/>
          </w:tcPr>
          <w:p w:rsidR="00CE4F74" w:rsidRPr="00DA4DDC" w:rsidRDefault="00F144AA" w:rsidP="00F144AA">
            <w:pPr>
              <w:ind w:left="1" w:right="67"/>
              <w:cnfStyle w:val="100000000000" w:firstRow="1" w:lastRow="0" w:firstColumn="0" w:lastColumn="0" w:oddVBand="0" w:evenVBand="0" w:oddHBand="0" w:evenHBand="0" w:firstRowFirstColumn="0" w:firstRowLastColumn="0" w:lastRowFirstColumn="0" w:lastRowLastColumn="0"/>
              <w:rPr>
                <w:lang w:eastAsia="ja-JP"/>
              </w:rPr>
            </w:pPr>
            <w:r>
              <w:rPr>
                <w:bCs/>
                <w:lang w:eastAsia="ja-JP"/>
              </w:rPr>
              <w:t>Chemotherapy (N=171)</w:t>
            </w:r>
          </w:p>
        </w:tc>
      </w:tr>
      <w:tr w:rsidR="00CE4F74" w:rsidRPr="00C31183" w:rsidTr="00F144AA">
        <w:tc>
          <w:tcPr>
            <w:cnfStyle w:val="001000000000" w:firstRow="0" w:lastRow="0" w:firstColumn="1" w:lastColumn="0" w:oddVBand="0" w:evenVBand="0" w:oddHBand="0" w:evenHBand="0" w:firstRowFirstColumn="0" w:firstRowLastColumn="0" w:lastRowFirstColumn="0" w:lastRowLastColumn="0"/>
            <w:tcW w:w="3119" w:type="dxa"/>
          </w:tcPr>
          <w:p w:rsidR="00CE4F74" w:rsidRPr="00DA4DDC" w:rsidRDefault="00F144AA" w:rsidP="00F144AA">
            <w:pPr>
              <w:ind w:left="0" w:right="0"/>
              <w:rPr>
                <w:color w:val="000000"/>
                <w:lang w:eastAsia="ja-JP"/>
              </w:rPr>
            </w:pPr>
            <w:r>
              <w:rPr>
                <w:color w:val="000000"/>
                <w:lang w:eastAsia="ja-JP"/>
              </w:rPr>
              <w:t>Mean (SD) duration (weeks)</w:t>
            </w:r>
          </w:p>
        </w:tc>
        <w:tc>
          <w:tcPr>
            <w:tcW w:w="2409" w:type="dxa"/>
          </w:tcPr>
          <w:p w:rsidR="00CE4F74" w:rsidRPr="00DA4DDC" w:rsidRDefault="00CE4F74" w:rsidP="00F144AA">
            <w:pPr>
              <w:ind w:left="0"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36.5 (25.9)</w:t>
            </w:r>
          </w:p>
        </w:tc>
        <w:tc>
          <w:tcPr>
            <w:tcW w:w="2977" w:type="dxa"/>
          </w:tcPr>
          <w:p w:rsidR="00CE4F74" w:rsidRPr="00DA4DDC" w:rsidRDefault="00CE4F74" w:rsidP="00F144AA">
            <w:pPr>
              <w:ind w:left="1"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18.6 (17.9)</w:t>
            </w:r>
          </w:p>
        </w:tc>
      </w:tr>
      <w:tr w:rsidR="00CE4F74" w:rsidRPr="00C31183" w:rsidTr="00F144AA">
        <w:tc>
          <w:tcPr>
            <w:cnfStyle w:val="001000000000" w:firstRow="0" w:lastRow="0" w:firstColumn="1" w:lastColumn="0" w:oddVBand="0" w:evenVBand="0" w:oddHBand="0" w:evenHBand="0" w:firstRowFirstColumn="0" w:firstRowLastColumn="0" w:lastRowFirstColumn="0" w:lastRowLastColumn="0"/>
            <w:tcW w:w="3119" w:type="dxa"/>
          </w:tcPr>
          <w:p w:rsidR="00CE4F74" w:rsidRPr="00DA4DDC" w:rsidRDefault="00CE4F74" w:rsidP="00F144AA">
            <w:pPr>
              <w:ind w:left="0" w:right="0"/>
              <w:rPr>
                <w:color w:val="000000"/>
                <w:lang w:eastAsia="ja-JP"/>
              </w:rPr>
            </w:pPr>
            <w:r w:rsidRPr="00DA4DDC">
              <w:rPr>
                <w:color w:val="000000"/>
                <w:lang w:eastAsia="ja-JP"/>
              </w:rPr>
              <w:t>Median (range)</w:t>
            </w:r>
          </w:p>
        </w:tc>
        <w:tc>
          <w:tcPr>
            <w:tcW w:w="2409" w:type="dxa"/>
          </w:tcPr>
          <w:p w:rsidR="00CE4F74" w:rsidRPr="00DA4DDC" w:rsidRDefault="00CE4F74" w:rsidP="00F144AA">
            <w:pPr>
              <w:ind w:left="0"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31.0 (1.3, 110.1)</w:t>
            </w:r>
          </w:p>
        </w:tc>
        <w:tc>
          <w:tcPr>
            <w:tcW w:w="2977" w:type="dxa"/>
          </w:tcPr>
          <w:p w:rsidR="00CE4F74" w:rsidRPr="00DA4DDC" w:rsidRDefault="00CE4F74" w:rsidP="00F144AA">
            <w:pPr>
              <w:ind w:left="1"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12.3 (3.0, 90.1)</w:t>
            </w:r>
          </w:p>
        </w:tc>
      </w:tr>
      <w:tr w:rsidR="00CE4F74" w:rsidRPr="00C31183" w:rsidTr="00F144AA">
        <w:tc>
          <w:tcPr>
            <w:cnfStyle w:val="001000000000" w:firstRow="0" w:lastRow="0" w:firstColumn="1" w:lastColumn="0" w:oddVBand="0" w:evenVBand="0" w:oddHBand="0" w:evenHBand="0" w:firstRowFirstColumn="0" w:firstRowLastColumn="0" w:lastRowFirstColumn="0" w:lastRowLastColumn="0"/>
            <w:tcW w:w="3119" w:type="dxa"/>
          </w:tcPr>
          <w:p w:rsidR="00CE4F74" w:rsidRPr="00DA4DDC" w:rsidRDefault="00CE4F74" w:rsidP="00F144AA">
            <w:pPr>
              <w:ind w:left="0" w:right="0"/>
              <w:rPr>
                <w:color w:val="000000"/>
                <w:lang w:eastAsia="ja-JP"/>
              </w:rPr>
            </w:pPr>
            <w:r w:rsidRPr="00DA4DDC">
              <w:rPr>
                <w:color w:val="000000"/>
                <w:lang w:eastAsia="ja-JP"/>
              </w:rPr>
              <w:t xml:space="preserve"> ≤ 4 weeks</w:t>
            </w:r>
          </w:p>
        </w:tc>
        <w:tc>
          <w:tcPr>
            <w:tcW w:w="2409" w:type="dxa"/>
          </w:tcPr>
          <w:p w:rsidR="00CE4F74" w:rsidRPr="00DA4DDC" w:rsidRDefault="00CE4F74" w:rsidP="00F144AA">
            <w:pPr>
              <w:ind w:left="0"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10 (5.8%)</w:t>
            </w:r>
          </w:p>
        </w:tc>
        <w:tc>
          <w:tcPr>
            <w:tcW w:w="2977" w:type="dxa"/>
          </w:tcPr>
          <w:p w:rsidR="00CE4F74" w:rsidRPr="00DA4DDC" w:rsidRDefault="00CE4F74" w:rsidP="00F144AA">
            <w:pPr>
              <w:ind w:left="1"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25 (14.6%)</w:t>
            </w:r>
          </w:p>
        </w:tc>
      </w:tr>
      <w:tr w:rsidR="00CE4F74" w:rsidRPr="00C31183" w:rsidTr="00F144AA">
        <w:tc>
          <w:tcPr>
            <w:cnfStyle w:val="001000000000" w:firstRow="0" w:lastRow="0" w:firstColumn="1" w:lastColumn="0" w:oddVBand="0" w:evenVBand="0" w:oddHBand="0" w:evenHBand="0" w:firstRowFirstColumn="0" w:firstRowLastColumn="0" w:lastRowFirstColumn="0" w:lastRowLastColumn="0"/>
            <w:tcW w:w="3119" w:type="dxa"/>
          </w:tcPr>
          <w:p w:rsidR="00CE4F74" w:rsidRPr="00DA4DDC" w:rsidRDefault="00CE4F74" w:rsidP="00F144AA">
            <w:pPr>
              <w:ind w:left="0" w:right="0"/>
              <w:rPr>
                <w:color w:val="000000"/>
                <w:lang w:eastAsia="ja-JP"/>
              </w:rPr>
            </w:pPr>
            <w:r w:rsidRPr="00DA4DDC">
              <w:rPr>
                <w:color w:val="000000"/>
                <w:lang w:eastAsia="ja-JP"/>
              </w:rPr>
              <w:t xml:space="preserve"> &gt; 4 to ≤ 12 week</w:t>
            </w:r>
          </w:p>
        </w:tc>
        <w:tc>
          <w:tcPr>
            <w:tcW w:w="2409" w:type="dxa"/>
          </w:tcPr>
          <w:p w:rsidR="00CE4F74" w:rsidRPr="00DA4DDC" w:rsidRDefault="00CE4F74" w:rsidP="00F144AA">
            <w:pPr>
              <w:ind w:left="0"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30 (17.4%)</w:t>
            </w:r>
          </w:p>
        </w:tc>
        <w:tc>
          <w:tcPr>
            <w:tcW w:w="2977" w:type="dxa"/>
          </w:tcPr>
          <w:p w:rsidR="00CE4F74" w:rsidRPr="00DA4DDC" w:rsidRDefault="00CE4F74" w:rsidP="00F144AA">
            <w:pPr>
              <w:ind w:left="1"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57 (33.3%)</w:t>
            </w:r>
          </w:p>
        </w:tc>
      </w:tr>
      <w:tr w:rsidR="00CE4F74" w:rsidRPr="00C31183" w:rsidTr="00F144AA">
        <w:tc>
          <w:tcPr>
            <w:cnfStyle w:val="001000000000" w:firstRow="0" w:lastRow="0" w:firstColumn="1" w:lastColumn="0" w:oddVBand="0" w:evenVBand="0" w:oddHBand="0" w:evenHBand="0" w:firstRowFirstColumn="0" w:firstRowLastColumn="0" w:lastRowFirstColumn="0" w:lastRowLastColumn="0"/>
            <w:tcW w:w="3119" w:type="dxa"/>
          </w:tcPr>
          <w:p w:rsidR="00CE4F74" w:rsidRPr="00DA4DDC" w:rsidRDefault="00CE4F74" w:rsidP="00F144AA">
            <w:pPr>
              <w:ind w:left="0" w:right="0"/>
              <w:rPr>
                <w:color w:val="000000"/>
                <w:lang w:eastAsia="ja-JP"/>
              </w:rPr>
            </w:pPr>
            <w:r w:rsidRPr="00DA4DDC">
              <w:rPr>
                <w:color w:val="000000"/>
                <w:lang w:eastAsia="ja-JP"/>
              </w:rPr>
              <w:t>&gt; 12 to ≤ 24 weeks</w:t>
            </w:r>
          </w:p>
        </w:tc>
        <w:tc>
          <w:tcPr>
            <w:tcW w:w="2409" w:type="dxa"/>
          </w:tcPr>
          <w:p w:rsidR="00CE4F74" w:rsidRPr="00DA4DDC" w:rsidRDefault="00CE4F74" w:rsidP="00F144AA">
            <w:pPr>
              <w:ind w:left="0"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23 (13.4%) </w:t>
            </w:r>
          </w:p>
        </w:tc>
        <w:tc>
          <w:tcPr>
            <w:tcW w:w="2977" w:type="dxa"/>
          </w:tcPr>
          <w:p w:rsidR="00CE4F74" w:rsidRPr="00DA4DDC" w:rsidRDefault="00CE4F74" w:rsidP="00F144AA">
            <w:pPr>
              <w:ind w:left="1"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51 (29.8%) </w:t>
            </w:r>
          </w:p>
        </w:tc>
      </w:tr>
      <w:tr w:rsidR="00CE4F74" w:rsidRPr="00C31183" w:rsidTr="00F144AA">
        <w:tc>
          <w:tcPr>
            <w:cnfStyle w:val="001000000000" w:firstRow="0" w:lastRow="0" w:firstColumn="1" w:lastColumn="0" w:oddVBand="0" w:evenVBand="0" w:oddHBand="0" w:evenHBand="0" w:firstRowFirstColumn="0" w:firstRowLastColumn="0" w:lastRowFirstColumn="0" w:lastRowLastColumn="0"/>
            <w:tcW w:w="3119" w:type="dxa"/>
          </w:tcPr>
          <w:p w:rsidR="00CE4F74" w:rsidRPr="00DA4DDC" w:rsidRDefault="00CE4F74" w:rsidP="00F144AA">
            <w:pPr>
              <w:ind w:left="0" w:right="0"/>
              <w:rPr>
                <w:color w:val="000000"/>
                <w:lang w:eastAsia="ja-JP"/>
              </w:rPr>
            </w:pPr>
            <w:r w:rsidRPr="00DA4DDC">
              <w:rPr>
                <w:color w:val="000000"/>
                <w:lang w:eastAsia="ja-JP"/>
              </w:rPr>
              <w:t xml:space="preserve">&gt; 24 to ≤ 52 weeks </w:t>
            </w:r>
          </w:p>
        </w:tc>
        <w:tc>
          <w:tcPr>
            <w:tcW w:w="2409" w:type="dxa"/>
          </w:tcPr>
          <w:p w:rsidR="00CE4F74" w:rsidRPr="00DA4DDC" w:rsidRDefault="00CE4F74" w:rsidP="00F144AA">
            <w:pPr>
              <w:ind w:left="0"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63 (36.6%) </w:t>
            </w:r>
          </w:p>
        </w:tc>
        <w:tc>
          <w:tcPr>
            <w:tcW w:w="2977" w:type="dxa"/>
          </w:tcPr>
          <w:p w:rsidR="00CE4F74" w:rsidRPr="00DA4DDC" w:rsidRDefault="00CE4F74" w:rsidP="00F144AA">
            <w:pPr>
              <w:ind w:left="1"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26 (15.2%)</w:t>
            </w:r>
          </w:p>
        </w:tc>
      </w:tr>
      <w:tr w:rsidR="00CE4F74" w:rsidRPr="00C31183" w:rsidTr="00F144AA">
        <w:tc>
          <w:tcPr>
            <w:cnfStyle w:val="001000000000" w:firstRow="0" w:lastRow="0" w:firstColumn="1" w:lastColumn="0" w:oddVBand="0" w:evenVBand="0" w:oddHBand="0" w:evenHBand="0" w:firstRowFirstColumn="0" w:firstRowLastColumn="0" w:lastRowFirstColumn="0" w:lastRowLastColumn="0"/>
            <w:tcW w:w="3119" w:type="dxa"/>
          </w:tcPr>
          <w:p w:rsidR="00CE4F74" w:rsidRPr="00DA4DDC" w:rsidRDefault="00CE4F74" w:rsidP="00F144AA">
            <w:pPr>
              <w:ind w:left="0" w:right="0"/>
              <w:rPr>
                <w:color w:val="000000"/>
                <w:lang w:eastAsia="ja-JP"/>
              </w:rPr>
            </w:pPr>
            <w:r w:rsidRPr="00DA4DDC">
              <w:rPr>
                <w:color w:val="000000"/>
                <w:lang w:eastAsia="ja-JP"/>
              </w:rPr>
              <w:t>&gt; 52 to ≤ 104 week</w:t>
            </w:r>
          </w:p>
        </w:tc>
        <w:tc>
          <w:tcPr>
            <w:tcW w:w="2409" w:type="dxa"/>
          </w:tcPr>
          <w:p w:rsidR="00CE4F74" w:rsidRPr="00DA4DDC" w:rsidRDefault="00F144AA" w:rsidP="00F144AA">
            <w:pPr>
              <w:ind w:left="0" w:right="67"/>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45 (26.2%)</w:t>
            </w:r>
          </w:p>
        </w:tc>
        <w:tc>
          <w:tcPr>
            <w:tcW w:w="2977" w:type="dxa"/>
          </w:tcPr>
          <w:p w:rsidR="00CE4F74" w:rsidRPr="00DA4DDC" w:rsidRDefault="00F144AA" w:rsidP="00F144AA">
            <w:pPr>
              <w:ind w:left="1" w:right="67"/>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12 (7.0%)</w:t>
            </w:r>
          </w:p>
        </w:tc>
      </w:tr>
      <w:tr w:rsidR="00CE4F74" w:rsidRPr="00C31183" w:rsidTr="00F144AA">
        <w:tc>
          <w:tcPr>
            <w:cnfStyle w:val="001000000000" w:firstRow="0" w:lastRow="0" w:firstColumn="1" w:lastColumn="0" w:oddVBand="0" w:evenVBand="0" w:oddHBand="0" w:evenHBand="0" w:firstRowFirstColumn="0" w:firstRowLastColumn="0" w:lastRowFirstColumn="0" w:lastRowLastColumn="0"/>
            <w:tcW w:w="3119" w:type="dxa"/>
          </w:tcPr>
          <w:p w:rsidR="00CE4F74" w:rsidRPr="00DA4DDC" w:rsidRDefault="00F144AA" w:rsidP="00F144AA">
            <w:pPr>
              <w:ind w:left="0" w:right="0"/>
              <w:rPr>
                <w:color w:val="000000"/>
                <w:lang w:eastAsia="ja-JP"/>
              </w:rPr>
            </w:pPr>
            <w:r>
              <w:rPr>
                <w:color w:val="000000"/>
                <w:lang w:eastAsia="ja-JP"/>
              </w:rPr>
              <w:t>&gt; 104 weeks</w:t>
            </w:r>
          </w:p>
        </w:tc>
        <w:tc>
          <w:tcPr>
            <w:tcW w:w="2409" w:type="dxa"/>
          </w:tcPr>
          <w:p w:rsidR="00CE4F74" w:rsidRPr="00DA4DDC" w:rsidRDefault="00F144AA" w:rsidP="00F144AA">
            <w:pPr>
              <w:ind w:left="0" w:right="67"/>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1 (0.6%)</w:t>
            </w:r>
          </w:p>
        </w:tc>
        <w:tc>
          <w:tcPr>
            <w:tcW w:w="2977" w:type="dxa"/>
          </w:tcPr>
          <w:p w:rsidR="00CE4F74" w:rsidRPr="00DA4DDC" w:rsidRDefault="00CE4F74" w:rsidP="00F144AA">
            <w:pPr>
              <w:ind w:left="1"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 0 </w:t>
            </w:r>
          </w:p>
        </w:tc>
      </w:tr>
    </w:tbl>
    <w:p w:rsidR="00CE4F74" w:rsidRPr="00C31183" w:rsidRDefault="00CE4F74" w:rsidP="00F144AA">
      <w:pPr>
        <w:ind w:left="1418" w:hanging="1418"/>
        <w:rPr>
          <w:lang w:eastAsia="ja-JP"/>
        </w:rPr>
      </w:pPr>
      <w:r w:rsidRPr="00C31183">
        <w:rPr>
          <w:b/>
          <w:lang w:eastAsia="ja-JP"/>
        </w:rPr>
        <w:t>Comment:</w:t>
      </w:r>
      <w:r w:rsidRPr="00C31183">
        <w:rPr>
          <w:lang w:eastAsia="ja-JP"/>
        </w:rPr>
        <w:tab/>
        <w:t xml:space="preserve">The longer duration of treatment in the </w:t>
      </w:r>
      <w:proofErr w:type="spellStart"/>
      <w:r w:rsidRPr="00C31183">
        <w:rPr>
          <w:lang w:eastAsia="ja-JP"/>
        </w:rPr>
        <w:t>crizotinib</w:t>
      </w:r>
      <w:proofErr w:type="spellEnd"/>
      <w:r w:rsidRPr="00C31183">
        <w:rPr>
          <w:lang w:eastAsia="ja-JP"/>
        </w:rPr>
        <w:t xml:space="preserve"> arm compared with the chemotherapy arm is likely to be related to investigators electing to keep patients on </w:t>
      </w:r>
      <w:proofErr w:type="spellStart"/>
      <w:r w:rsidRPr="00C31183">
        <w:rPr>
          <w:lang w:eastAsia="ja-JP"/>
        </w:rPr>
        <w:t>crizotinib</w:t>
      </w:r>
      <w:proofErr w:type="spellEnd"/>
      <w:r w:rsidRPr="00C31183">
        <w:rPr>
          <w:lang w:eastAsia="ja-JP"/>
        </w:rPr>
        <w:t xml:space="preserve"> following objective disease progression due to either clinical benefits being present or to uncertainty relating to the effectiveness of alternative treatments. In contrast, the shorter duration of treatment in the chemotherapy arm compared with the </w:t>
      </w:r>
      <w:proofErr w:type="spellStart"/>
      <w:r w:rsidRPr="00C31183">
        <w:rPr>
          <w:lang w:eastAsia="ja-JP"/>
        </w:rPr>
        <w:t>crizotinib</w:t>
      </w:r>
      <w:proofErr w:type="spellEnd"/>
      <w:r w:rsidRPr="00C31183">
        <w:rPr>
          <w:lang w:eastAsia="ja-JP"/>
        </w:rPr>
        <w:t xml:space="preserve"> arm is likely to be related to investigators electing to switch patients on chemotherapy to </w:t>
      </w:r>
      <w:proofErr w:type="spellStart"/>
      <w:r w:rsidRPr="00C31183">
        <w:rPr>
          <w:lang w:eastAsia="ja-JP"/>
        </w:rPr>
        <w:t>crizotinib</w:t>
      </w:r>
      <w:proofErr w:type="spellEnd"/>
      <w:r w:rsidRPr="00C31183">
        <w:rPr>
          <w:lang w:eastAsia="ja-JP"/>
        </w:rPr>
        <w:t xml:space="preserve"> following </w:t>
      </w:r>
      <w:r w:rsidRPr="00C31183">
        <w:rPr>
          <w:lang w:eastAsia="ja-JP"/>
        </w:rPr>
        <w:lastRenderedPageBreak/>
        <w:t xml:space="preserve">objective disease progression. There were no data on whether patients continuing treatment with </w:t>
      </w:r>
      <w:proofErr w:type="spellStart"/>
      <w:r w:rsidRPr="00C31183">
        <w:rPr>
          <w:lang w:eastAsia="ja-JP"/>
        </w:rPr>
        <w:t>crizotinib</w:t>
      </w:r>
      <w:proofErr w:type="spellEnd"/>
      <w:r w:rsidRPr="00C31183">
        <w:rPr>
          <w:lang w:eastAsia="ja-JP"/>
        </w:rPr>
        <w:t xml:space="preserve"> following objective disease progression benefited from continued treatment, or on the optimal duration of continued treatment following</w:t>
      </w:r>
      <w:r w:rsidR="00F144AA">
        <w:rPr>
          <w:lang w:eastAsia="ja-JP"/>
        </w:rPr>
        <w:t xml:space="preserve"> objective disease progression.</w:t>
      </w:r>
    </w:p>
    <w:p w:rsidR="00CE4F74" w:rsidRPr="00C31183" w:rsidRDefault="00CE4F74" w:rsidP="00F144AA">
      <w:pPr>
        <w:pStyle w:val="Heading5"/>
        <w:rPr>
          <w:lang w:eastAsia="ja-JP"/>
        </w:rPr>
      </w:pPr>
      <w:bookmarkStart w:id="78" w:name="_Toc228773367"/>
      <w:r w:rsidRPr="00C31183">
        <w:rPr>
          <w:lang w:eastAsia="ja-JP"/>
        </w:rPr>
        <w:t>Dose administration</w:t>
      </w:r>
      <w:bookmarkEnd w:id="78"/>
    </w:p>
    <w:p w:rsidR="00CE4F74" w:rsidRPr="00C31183" w:rsidRDefault="00CE4F74" w:rsidP="00F144AA">
      <w:pPr>
        <w:rPr>
          <w:lang w:eastAsia="ja-JP"/>
        </w:rPr>
      </w:pPr>
      <w:r w:rsidRPr="00C31183">
        <w:rPr>
          <w:lang w:eastAsia="ja-JP"/>
        </w:rPr>
        <w:t xml:space="preserve">The total number of cycles started and the median number of cycles started was greater in the </w:t>
      </w:r>
      <w:proofErr w:type="spellStart"/>
      <w:r w:rsidRPr="00C31183">
        <w:rPr>
          <w:lang w:eastAsia="ja-JP"/>
        </w:rPr>
        <w:t>crizotinib</w:t>
      </w:r>
      <w:proofErr w:type="spellEnd"/>
      <w:r w:rsidRPr="00C31183">
        <w:rPr>
          <w:lang w:eastAsia="ja-JP"/>
        </w:rPr>
        <w:t xml:space="preserve"> arm (2097 total started, 10.5 median number started [range: 1, 37]) than in both the </w:t>
      </w:r>
      <w:proofErr w:type="spellStart"/>
      <w:r w:rsidRPr="00C31183">
        <w:rPr>
          <w:lang w:eastAsia="ja-JP"/>
        </w:rPr>
        <w:t>pemetrexed</w:t>
      </w:r>
      <w:proofErr w:type="spellEnd"/>
      <w:r w:rsidRPr="00C31183">
        <w:rPr>
          <w:lang w:eastAsia="ja-JP"/>
        </w:rPr>
        <w:t xml:space="preserve"> arm (740 total started, 6 median number started [range: 1, 60]) and the </w:t>
      </w:r>
      <w:proofErr w:type="spellStart"/>
      <w:r w:rsidRPr="00C31183">
        <w:rPr>
          <w:lang w:eastAsia="ja-JP"/>
        </w:rPr>
        <w:t>docetaxel</w:t>
      </w:r>
      <w:proofErr w:type="spellEnd"/>
      <w:r w:rsidRPr="00C31183">
        <w:rPr>
          <w:lang w:eastAsia="ja-JP"/>
        </w:rPr>
        <w:t xml:space="preserve"> arm (285 total started, 3 median number started [range: 1, 22]). The percentage of subjects completing ≥ 10 cycles was notably greater in the </w:t>
      </w:r>
      <w:proofErr w:type="spellStart"/>
      <w:r w:rsidRPr="00C31183">
        <w:rPr>
          <w:lang w:eastAsia="ja-JP"/>
        </w:rPr>
        <w:t>crizotinib</w:t>
      </w:r>
      <w:proofErr w:type="spellEnd"/>
      <w:r w:rsidRPr="00C31183">
        <w:rPr>
          <w:lang w:eastAsia="ja-JP"/>
        </w:rPr>
        <w:t xml:space="preserve"> arm (57.0%; 98/172) than in both the </w:t>
      </w:r>
      <w:proofErr w:type="spellStart"/>
      <w:r w:rsidRPr="00C31183">
        <w:rPr>
          <w:lang w:eastAsia="ja-JP"/>
        </w:rPr>
        <w:t>pemetrexed</w:t>
      </w:r>
      <w:proofErr w:type="spellEnd"/>
      <w:r w:rsidRPr="00C31183">
        <w:rPr>
          <w:lang w:eastAsia="ja-JP"/>
        </w:rPr>
        <w:t xml:space="preserve"> arm (25.3%; 25/99) and </w:t>
      </w:r>
      <w:r w:rsidR="00F144AA">
        <w:rPr>
          <w:lang w:eastAsia="ja-JP"/>
        </w:rPr>
        <w:t xml:space="preserve">the </w:t>
      </w:r>
      <w:proofErr w:type="spellStart"/>
      <w:r w:rsidR="00F144AA">
        <w:rPr>
          <w:lang w:eastAsia="ja-JP"/>
        </w:rPr>
        <w:t>docetaxel</w:t>
      </w:r>
      <w:proofErr w:type="spellEnd"/>
      <w:r w:rsidR="00F144AA">
        <w:rPr>
          <w:lang w:eastAsia="ja-JP"/>
        </w:rPr>
        <w:t xml:space="preserve"> arm (5.6%; 4/72).</w:t>
      </w:r>
    </w:p>
    <w:p w:rsidR="00CE4F74" w:rsidRPr="00C31183" w:rsidRDefault="00CE4F74" w:rsidP="00F144AA">
      <w:pPr>
        <w:pStyle w:val="Heading5"/>
        <w:rPr>
          <w:lang w:eastAsia="ja-JP"/>
        </w:rPr>
      </w:pPr>
      <w:bookmarkStart w:id="79" w:name="_Toc228773368"/>
      <w:r w:rsidRPr="00C31183">
        <w:rPr>
          <w:lang w:eastAsia="ja-JP"/>
        </w:rPr>
        <w:t>Dose intensity</w:t>
      </w:r>
      <w:bookmarkEnd w:id="79"/>
    </w:p>
    <w:p w:rsidR="00CE4F74" w:rsidRPr="00C31183" w:rsidRDefault="00CE4F74" w:rsidP="00F144AA">
      <w:pPr>
        <w:rPr>
          <w:lang w:eastAsia="ja-JP"/>
        </w:rPr>
      </w:pPr>
      <w:r w:rsidRPr="00C31183">
        <w:rPr>
          <w:lang w:eastAsia="ja-JP"/>
        </w:rPr>
        <w:t xml:space="preserve">The mean and median relative dose intensities were similar for </w:t>
      </w:r>
      <w:proofErr w:type="spellStart"/>
      <w:r w:rsidRPr="00C31183">
        <w:rPr>
          <w:lang w:eastAsia="ja-JP"/>
        </w:rPr>
        <w:t>crizotinib</w:t>
      </w:r>
      <w:proofErr w:type="spellEnd"/>
      <w:r w:rsidRPr="00C31183">
        <w:rPr>
          <w:lang w:eastAsia="ja-JP"/>
        </w:rPr>
        <w:t xml:space="preserve"> (92.0%, 98.5%, respectively), </w:t>
      </w:r>
      <w:proofErr w:type="spellStart"/>
      <w:r w:rsidRPr="00C31183">
        <w:rPr>
          <w:lang w:eastAsia="ja-JP"/>
        </w:rPr>
        <w:t>pemetrexed</w:t>
      </w:r>
      <w:proofErr w:type="spellEnd"/>
      <w:r w:rsidRPr="00C31183">
        <w:rPr>
          <w:lang w:eastAsia="ja-JP"/>
        </w:rPr>
        <w:t xml:space="preserve"> (98.6%, 99.7%, respectively) and </w:t>
      </w:r>
      <w:proofErr w:type="spellStart"/>
      <w:r w:rsidRPr="00C31183">
        <w:rPr>
          <w:lang w:eastAsia="ja-JP"/>
        </w:rPr>
        <w:t>docetaxel</w:t>
      </w:r>
      <w:proofErr w:type="spellEnd"/>
      <w:r w:rsidRPr="00C31183">
        <w:rPr>
          <w:lang w:eastAsia="ja-JP"/>
        </w:rPr>
        <w:t xml:space="preserve"> (92.6%, 97.8%, respectively). The mean intended dose intensities were 500 mg/day, 166.7 mg/day, and 25 mg/day for </w:t>
      </w:r>
      <w:proofErr w:type="spellStart"/>
      <w:r w:rsidRPr="00C31183">
        <w:rPr>
          <w:lang w:eastAsia="ja-JP"/>
        </w:rPr>
        <w:t>crizotinib</w:t>
      </w:r>
      <w:proofErr w:type="spellEnd"/>
      <w:r w:rsidRPr="00C31183">
        <w:rPr>
          <w:lang w:eastAsia="ja-JP"/>
        </w:rPr>
        <w:t xml:space="preserve"> (n=172), </w:t>
      </w:r>
      <w:proofErr w:type="spellStart"/>
      <w:r w:rsidRPr="00C31183">
        <w:rPr>
          <w:lang w:eastAsia="ja-JP"/>
        </w:rPr>
        <w:t>pemetrexed</w:t>
      </w:r>
      <w:proofErr w:type="spellEnd"/>
      <w:r w:rsidRPr="00C31183">
        <w:rPr>
          <w:lang w:eastAsia="ja-JP"/>
        </w:rPr>
        <w:t xml:space="preserve"> (n=99) and </w:t>
      </w:r>
      <w:proofErr w:type="spellStart"/>
      <w:r w:rsidRPr="00C31183">
        <w:rPr>
          <w:lang w:eastAsia="ja-JP"/>
        </w:rPr>
        <w:t>docetaxel</w:t>
      </w:r>
      <w:proofErr w:type="spellEnd"/>
      <w:r w:rsidRPr="00C31183">
        <w:rPr>
          <w:lang w:eastAsia="ja-JP"/>
        </w:rPr>
        <w:t xml:space="preserve"> (n=72), respectively. The corresponding mean (SD) actual dose intensities were 459.8 (66.4) mg/day (range: 201.7, 500.0), 164.4 (6.8) mg/day (range: 128.7, 182.8) and 23.2 (3.5) mg/day (range: 0.2, 25.7) for </w:t>
      </w:r>
      <w:proofErr w:type="spellStart"/>
      <w:r w:rsidRPr="00C31183">
        <w:rPr>
          <w:lang w:eastAsia="ja-JP"/>
        </w:rPr>
        <w:t>crizotinib</w:t>
      </w:r>
      <w:proofErr w:type="spellEnd"/>
      <w:r w:rsidRPr="00C31183">
        <w:rPr>
          <w:lang w:eastAsia="ja-JP"/>
        </w:rPr>
        <w:t xml:space="preserve"> (n=172), </w:t>
      </w:r>
      <w:proofErr w:type="spellStart"/>
      <w:r w:rsidRPr="00C31183">
        <w:rPr>
          <w:lang w:eastAsia="ja-JP"/>
        </w:rPr>
        <w:t>pemetrexed</w:t>
      </w:r>
      <w:proofErr w:type="spellEnd"/>
      <w:r w:rsidRPr="00C31183">
        <w:rPr>
          <w:lang w:eastAsia="ja-JP"/>
        </w:rPr>
        <w:t xml:space="preserve"> (n=99) and </w:t>
      </w:r>
      <w:proofErr w:type="spellStart"/>
      <w:r w:rsidRPr="00C31183">
        <w:rPr>
          <w:lang w:eastAsia="ja-JP"/>
        </w:rPr>
        <w:t>docetaxel</w:t>
      </w:r>
      <w:proofErr w:type="spellEnd"/>
      <w:r w:rsidRPr="00C31183">
        <w:rPr>
          <w:lang w:eastAsia="ja-JP"/>
        </w:rPr>
        <w:t xml:space="preserve"> (n=72), respectively</w:t>
      </w:r>
      <w:r w:rsidR="00F144AA">
        <w:rPr>
          <w:lang w:eastAsia="ja-JP"/>
        </w:rPr>
        <w:t>.</w:t>
      </w:r>
    </w:p>
    <w:p w:rsidR="00CE4F74" w:rsidRPr="00C31183" w:rsidRDefault="00CE4F74" w:rsidP="00F144AA">
      <w:pPr>
        <w:pStyle w:val="Heading5"/>
        <w:rPr>
          <w:lang w:eastAsia="ja-JP"/>
        </w:rPr>
      </w:pPr>
      <w:bookmarkStart w:id="80" w:name="_Toc228773369"/>
      <w:r w:rsidRPr="00C31183">
        <w:rPr>
          <w:lang w:eastAsia="ja-JP"/>
        </w:rPr>
        <w:t>Dosing interruptions (</w:t>
      </w:r>
      <w:proofErr w:type="spellStart"/>
      <w:r w:rsidRPr="00C31183">
        <w:rPr>
          <w:lang w:eastAsia="ja-JP"/>
        </w:rPr>
        <w:t>crizotinib</w:t>
      </w:r>
      <w:proofErr w:type="spellEnd"/>
      <w:r w:rsidRPr="00C31183">
        <w:rPr>
          <w:lang w:eastAsia="ja-JP"/>
        </w:rPr>
        <w:t xml:space="preserve"> arm)</w:t>
      </w:r>
      <w:bookmarkEnd w:id="80"/>
    </w:p>
    <w:p w:rsidR="00CE4F74" w:rsidRPr="00C31183" w:rsidRDefault="00CE4F74" w:rsidP="00F144AA">
      <w:pPr>
        <w:rPr>
          <w:lang w:eastAsia="ja-JP"/>
        </w:rPr>
      </w:pPr>
      <w:r w:rsidRPr="00C31183">
        <w:rPr>
          <w:lang w:eastAsia="ja-JP"/>
        </w:rPr>
        <w:t xml:space="preserve">In the </w:t>
      </w:r>
      <w:proofErr w:type="spellStart"/>
      <w:r w:rsidRPr="00C31183">
        <w:rPr>
          <w:b/>
          <w:lang w:eastAsia="ja-JP"/>
        </w:rPr>
        <w:t>crizotinib</w:t>
      </w:r>
      <w:proofErr w:type="spellEnd"/>
      <w:r w:rsidRPr="00C31183">
        <w:rPr>
          <w:b/>
          <w:lang w:eastAsia="ja-JP"/>
        </w:rPr>
        <w:t xml:space="preserve"> arm</w:t>
      </w:r>
      <w:r w:rsidRPr="00C31183">
        <w:rPr>
          <w:lang w:eastAsia="ja-JP"/>
        </w:rPr>
        <w:t>, 46.5% (80/172) of patients had at least one dose interruption (</w:t>
      </w:r>
      <w:r>
        <w:rPr>
          <w:lang w:eastAsia="ja-JP"/>
        </w:rPr>
        <w:t>that is,</w:t>
      </w:r>
      <w:r w:rsidRPr="00C31183">
        <w:rPr>
          <w:lang w:eastAsia="ja-JP"/>
        </w:rPr>
        <w:t xml:space="preserve"> any missed dose for more than 1 day in a cycle). Maximum dosing interruptions were reported in the following percentage of patients: 11.0% for &lt; 1 week; 12.8% for 1 to &lt; 2 weeks; 12.8% for 2 to &lt; 3 weeks; 5.2% to 3 to &lt; 4 weeks and 4.7% for </w:t>
      </w:r>
      <w:r>
        <w:rPr>
          <w:lang w:eastAsia="ja-JP"/>
        </w:rPr>
        <w:t>≥</w:t>
      </w:r>
      <w:r w:rsidRPr="00C31183">
        <w:rPr>
          <w:lang w:eastAsia="ja-JP"/>
        </w:rPr>
        <w:t xml:space="preserve"> 4 weeks.</w:t>
      </w:r>
    </w:p>
    <w:p w:rsidR="00CE4F74" w:rsidRPr="00C31183" w:rsidRDefault="00CE4F74" w:rsidP="00F144AA">
      <w:pPr>
        <w:pStyle w:val="Heading5"/>
        <w:rPr>
          <w:lang w:eastAsia="ja-JP"/>
        </w:rPr>
      </w:pPr>
      <w:bookmarkStart w:id="81" w:name="_Toc228773370"/>
      <w:r w:rsidRPr="00C31183">
        <w:rPr>
          <w:lang w:eastAsia="ja-JP"/>
        </w:rPr>
        <w:t>Dose reductions</w:t>
      </w:r>
      <w:bookmarkEnd w:id="81"/>
    </w:p>
    <w:p w:rsidR="00CE4F74" w:rsidRPr="00C31183" w:rsidRDefault="00CE4F74" w:rsidP="00F144AA">
      <w:pPr>
        <w:rPr>
          <w:lang w:eastAsia="ja-JP"/>
        </w:rPr>
      </w:pPr>
      <w:r w:rsidRPr="00C31183">
        <w:rPr>
          <w:lang w:eastAsia="ja-JP"/>
        </w:rPr>
        <w:t xml:space="preserve">In the </w:t>
      </w:r>
      <w:proofErr w:type="spellStart"/>
      <w:r w:rsidRPr="00C31183">
        <w:rPr>
          <w:b/>
          <w:lang w:eastAsia="ja-JP"/>
        </w:rPr>
        <w:t>crizotinib</w:t>
      </w:r>
      <w:proofErr w:type="spellEnd"/>
      <w:r w:rsidRPr="00C31183">
        <w:rPr>
          <w:b/>
          <w:lang w:eastAsia="ja-JP"/>
        </w:rPr>
        <w:t xml:space="preserve"> arm</w:t>
      </w:r>
      <w:r w:rsidRPr="00C31183">
        <w:rPr>
          <w:lang w:eastAsia="ja-JP"/>
        </w:rPr>
        <w:t>, 20.3% (35/172) of patients required at least one dose reduction defined as any reduction below 500 mg/day lasting more than 1 day. In the 35 patients with at least one dose reduction, the mean duration of the dose reduction was 176.4 d</w:t>
      </w:r>
      <w:r>
        <w:rPr>
          <w:lang w:eastAsia="ja-JP"/>
        </w:rPr>
        <w:t>ays, ranging from 2 to 635 days.</w:t>
      </w:r>
    </w:p>
    <w:p w:rsidR="00CE4F74" w:rsidRPr="00C31183" w:rsidRDefault="00CE4F74" w:rsidP="00F144AA">
      <w:pPr>
        <w:rPr>
          <w:lang w:eastAsia="ja-JP"/>
        </w:rPr>
      </w:pPr>
      <w:r w:rsidRPr="00C31183">
        <w:rPr>
          <w:lang w:eastAsia="ja-JP"/>
        </w:rPr>
        <w:t xml:space="preserve">In the </w:t>
      </w:r>
      <w:proofErr w:type="spellStart"/>
      <w:r w:rsidRPr="00C31183">
        <w:rPr>
          <w:b/>
          <w:lang w:eastAsia="ja-JP"/>
        </w:rPr>
        <w:t>pemetrexed</w:t>
      </w:r>
      <w:proofErr w:type="spellEnd"/>
      <w:r w:rsidRPr="00C31183">
        <w:rPr>
          <w:b/>
          <w:lang w:eastAsia="ja-JP"/>
        </w:rPr>
        <w:t xml:space="preserve"> arm</w:t>
      </w:r>
      <w:r w:rsidRPr="00C31183">
        <w:rPr>
          <w:lang w:eastAsia="ja-JP"/>
        </w:rPr>
        <w:t>, 3.0% (3/99) of patients required at least one dose reduction defined as any reduction below the protocol starting dose. In the 3 patients with at least one dose reduction, the mean duration of the dose reduction was 5.3 d</w:t>
      </w:r>
      <w:r w:rsidR="00F144AA">
        <w:rPr>
          <w:lang w:eastAsia="ja-JP"/>
        </w:rPr>
        <w:t>ays, ranging from 1 to 14 days.</w:t>
      </w:r>
    </w:p>
    <w:p w:rsidR="00CE4F74" w:rsidRPr="00C31183" w:rsidRDefault="00CE4F74" w:rsidP="00F144AA">
      <w:pPr>
        <w:rPr>
          <w:lang w:eastAsia="ja-JP"/>
        </w:rPr>
      </w:pPr>
      <w:r w:rsidRPr="00C31183">
        <w:rPr>
          <w:lang w:eastAsia="ja-JP"/>
        </w:rPr>
        <w:t xml:space="preserve">In the </w:t>
      </w:r>
      <w:proofErr w:type="spellStart"/>
      <w:r w:rsidRPr="00C31183">
        <w:rPr>
          <w:b/>
          <w:lang w:eastAsia="ja-JP"/>
        </w:rPr>
        <w:t>docetaxel</w:t>
      </w:r>
      <w:proofErr w:type="spellEnd"/>
      <w:r w:rsidRPr="00C31183">
        <w:rPr>
          <w:b/>
          <w:lang w:eastAsia="ja-JP"/>
        </w:rPr>
        <w:t xml:space="preserve"> arm</w:t>
      </w:r>
      <w:r w:rsidRPr="00C31183">
        <w:rPr>
          <w:lang w:eastAsia="ja-JP"/>
        </w:rPr>
        <w:t xml:space="preserve">, 27.8% (20/72) of patients had a least one dose reduction defined as any reduction below the starting dose. In the 20 patients with at least one dose reduction, the mean duration of dose reduction was 4.1 days, ranging from 1 to 19 days. Of the 20 patients requiring a dose reduction, 19 required dose reductions </w:t>
      </w:r>
      <w:r>
        <w:rPr>
          <w:lang w:eastAsia="ja-JP"/>
        </w:rPr>
        <w:t>≤</w:t>
      </w:r>
      <w:r w:rsidRPr="00C31183">
        <w:rPr>
          <w:lang w:eastAsia="ja-JP"/>
        </w:rPr>
        <w:t xml:space="preserve"> 2 weeks and 1 required a dose reduction of 2 to </w:t>
      </w:r>
      <w:r>
        <w:rPr>
          <w:lang w:eastAsia="ja-JP"/>
        </w:rPr>
        <w:t>≤</w:t>
      </w:r>
      <w:r w:rsidRPr="00C31183">
        <w:rPr>
          <w:lang w:eastAsia="ja-JP"/>
        </w:rPr>
        <w:t xml:space="preserve"> 4 weeks.</w:t>
      </w:r>
    </w:p>
    <w:p w:rsidR="00CE4F74" w:rsidRPr="00C31183" w:rsidRDefault="00CE4F74" w:rsidP="00F144AA">
      <w:pPr>
        <w:pStyle w:val="Heading5"/>
        <w:rPr>
          <w:lang w:eastAsia="ja-JP"/>
        </w:rPr>
      </w:pPr>
      <w:bookmarkStart w:id="82" w:name="_Toc228773371"/>
      <w:r w:rsidRPr="00F144AA">
        <w:t>Chemotherapy</w:t>
      </w:r>
      <w:r w:rsidRPr="00C31183">
        <w:rPr>
          <w:lang w:eastAsia="ja-JP"/>
        </w:rPr>
        <w:t xml:space="preserve"> infusion interruptions and cycle delays</w:t>
      </w:r>
      <w:bookmarkEnd w:id="82"/>
    </w:p>
    <w:p w:rsidR="00CE4F74" w:rsidRPr="00C31183" w:rsidRDefault="00CE4F74" w:rsidP="00F144AA">
      <w:pPr>
        <w:rPr>
          <w:lang w:eastAsia="ja-JP"/>
        </w:rPr>
      </w:pPr>
      <w:r w:rsidRPr="00C31183">
        <w:rPr>
          <w:lang w:eastAsia="ja-JP"/>
        </w:rPr>
        <w:t xml:space="preserve">In the </w:t>
      </w:r>
      <w:proofErr w:type="spellStart"/>
      <w:r w:rsidRPr="00C31183">
        <w:rPr>
          <w:b/>
          <w:lang w:eastAsia="ja-JP"/>
        </w:rPr>
        <w:t>pemetrexed</w:t>
      </w:r>
      <w:proofErr w:type="spellEnd"/>
      <w:r w:rsidRPr="00C31183">
        <w:rPr>
          <w:b/>
          <w:lang w:eastAsia="ja-JP"/>
        </w:rPr>
        <w:t xml:space="preserve"> arm</w:t>
      </w:r>
      <w:r w:rsidRPr="00C31183">
        <w:rPr>
          <w:lang w:eastAsia="ja-JP"/>
        </w:rPr>
        <w:t xml:space="preserve"> (n=99), 1 (1.0%) patient had at least 1 infusion interruption with the reason being other than adverse events, and 15 (15.2%) patients had a least 1 cycle delay. The duration of the cycle delay and the number of patients (n) experiencing the delay were: &gt; 1-2 weeks, n=5; &gt; 2-</w:t>
      </w:r>
      <w:r w:rsidR="00F144AA">
        <w:rPr>
          <w:lang w:eastAsia="ja-JP"/>
        </w:rPr>
        <w:t>3 weeks, n=8; &gt; 3-4 weeks; n=2.</w:t>
      </w:r>
    </w:p>
    <w:p w:rsidR="00CE4F74" w:rsidRPr="00C31183" w:rsidRDefault="00CE4F74" w:rsidP="00F144AA">
      <w:pPr>
        <w:rPr>
          <w:lang w:eastAsia="ja-JP"/>
        </w:rPr>
      </w:pPr>
      <w:r w:rsidRPr="00C31183">
        <w:rPr>
          <w:lang w:eastAsia="ja-JP"/>
        </w:rPr>
        <w:t xml:space="preserve">In the </w:t>
      </w:r>
      <w:proofErr w:type="spellStart"/>
      <w:r w:rsidRPr="00C31183">
        <w:rPr>
          <w:b/>
          <w:lang w:eastAsia="ja-JP"/>
        </w:rPr>
        <w:t>docetaxel</w:t>
      </w:r>
      <w:proofErr w:type="spellEnd"/>
      <w:r w:rsidRPr="00C31183">
        <w:rPr>
          <w:b/>
          <w:lang w:eastAsia="ja-JP"/>
        </w:rPr>
        <w:t xml:space="preserve"> arm</w:t>
      </w:r>
      <w:r w:rsidRPr="00C31183">
        <w:rPr>
          <w:lang w:eastAsia="ja-JP"/>
        </w:rPr>
        <w:t xml:space="preserve"> (n=72), 8 (11.1%) patients had a least 1 infusion interruption (all due to adverse events) and 5 (5.1%) patients had at least 1 cycle delay. The duration of the cycle delay and the number of patients (n) experiencing the delay were: &gt; 1-2 weeks; n=2; &gt; 2-3 weeks, n=1; &gt; 3-4 we</w:t>
      </w:r>
      <w:r w:rsidR="00F144AA">
        <w:rPr>
          <w:lang w:eastAsia="ja-JP"/>
        </w:rPr>
        <w:t>eks, n=1; and &gt; 4-5 weeks, n=1.</w:t>
      </w:r>
    </w:p>
    <w:p w:rsidR="00CE4F74" w:rsidRPr="00C31183" w:rsidRDefault="00CE4F74" w:rsidP="00F144AA">
      <w:pPr>
        <w:pStyle w:val="Heading4"/>
      </w:pPr>
      <w:bookmarkStart w:id="83" w:name="_Toc228773372"/>
      <w:r w:rsidRPr="00C31183">
        <w:lastRenderedPageBreak/>
        <w:t>Adverse events</w:t>
      </w:r>
      <w:bookmarkEnd w:id="83"/>
    </w:p>
    <w:p w:rsidR="00CE4F74" w:rsidRPr="00C31183" w:rsidRDefault="00CE4F74" w:rsidP="00F144AA">
      <w:pPr>
        <w:pStyle w:val="Heading5"/>
        <w:rPr>
          <w:lang w:eastAsia="ja-JP"/>
        </w:rPr>
      </w:pPr>
      <w:bookmarkStart w:id="84" w:name="_Toc228773373"/>
      <w:r w:rsidRPr="00C31183">
        <w:rPr>
          <w:lang w:eastAsia="ja-JP"/>
        </w:rPr>
        <w:t>Summary of treatment-</w:t>
      </w:r>
      <w:r w:rsidRPr="00F144AA">
        <w:t>emergent</w:t>
      </w:r>
      <w:r w:rsidRPr="00C31183">
        <w:rPr>
          <w:lang w:eastAsia="ja-JP"/>
        </w:rPr>
        <w:t xml:space="preserve"> adverse events (TEAEs)</w:t>
      </w:r>
      <w:bookmarkEnd w:id="84"/>
    </w:p>
    <w:p w:rsidR="00CE4F74" w:rsidRPr="00C31183" w:rsidRDefault="00CE4F74" w:rsidP="00F144AA">
      <w:pPr>
        <w:rPr>
          <w:lang w:eastAsia="ja-JP"/>
        </w:rPr>
      </w:pPr>
      <w:r w:rsidRPr="00C31183">
        <w:rPr>
          <w:lang w:eastAsia="ja-JP"/>
        </w:rPr>
        <w:t xml:space="preserve">Treatment-emergent adverse events (TEAE) and treatment-related adverse events (TRAEs) are </w:t>
      </w:r>
      <w:r>
        <w:rPr>
          <w:lang w:eastAsia="ja-JP"/>
        </w:rPr>
        <w:t>summarised</w:t>
      </w:r>
      <w:r w:rsidRPr="00C31183">
        <w:rPr>
          <w:lang w:eastAsia="ja-JP"/>
        </w:rPr>
        <w:t xml:space="preserve"> below in Table 10. The events were not adjusted for longer treatment duration in the </w:t>
      </w:r>
      <w:proofErr w:type="spellStart"/>
      <w:r w:rsidRPr="00C31183">
        <w:rPr>
          <w:lang w:eastAsia="ja-JP"/>
        </w:rPr>
        <w:t>crizotinib</w:t>
      </w:r>
      <w:proofErr w:type="spellEnd"/>
      <w:r w:rsidRPr="00C31183">
        <w:rPr>
          <w:lang w:eastAsia="ja-JP"/>
        </w:rPr>
        <w:t xml:space="preserve"> arm compa</w:t>
      </w:r>
      <w:r w:rsidR="00F144AA">
        <w:rPr>
          <w:lang w:eastAsia="ja-JP"/>
        </w:rPr>
        <w:t>red with the chemotherapy arm.</w:t>
      </w:r>
    </w:p>
    <w:p w:rsidR="00CE4F74" w:rsidRPr="00625270" w:rsidRDefault="00CE4F74" w:rsidP="00625270">
      <w:pPr>
        <w:pStyle w:val="TableTitle"/>
      </w:pPr>
      <w:bookmarkStart w:id="85" w:name="_Toc228773433"/>
      <w:r w:rsidRPr="00C31183">
        <w:rPr>
          <w:lang w:eastAsia="ja-JP"/>
        </w:rPr>
        <w:t xml:space="preserve">Table </w:t>
      </w:r>
      <w:r w:rsidRPr="00C31183">
        <w:rPr>
          <w:lang w:eastAsia="ja-JP"/>
        </w:rPr>
        <w:fldChar w:fldCharType="begin"/>
      </w:r>
      <w:r w:rsidRPr="00C31183">
        <w:rPr>
          <w:lang w:eastAsia="ja-JP"/>
        </w:rPr>
        <w:instrText xml:space="preserve"> SEQ Table \* ARABIC </w:instrText>
      </w:r>
      <w:r w:rsidRPr="00C31183">
        <w:rPr>
          <w:lang w:eastAsia="ja-JP"/>
        </w:rPr>
        <w:fldChar w:fldCharType="separate"/>
      </w:r>
      <w:r>
        <w:rPr>
          <w:noProof/>
          <w:lang w:eastAsia="ja-JP"/>
        </w:rPr>
        <w:t>10</w:t>
      </w:r>
      <w:r w:rsidRPr="00C31183">
        <w:rPr>
          <w:lang w:eastAsia="ja-JP"/>
        </w:rPr>
        <w:fldChar w:fldCharType="end"/>
      </w:r>
      <w:r w:rsidRPr="00C31183">
        <w:rPr>
          <w:lang w:eastAsia="ja-JP"/>
        </w:rPr>
        <w:t>: Treatment-emergent adverse events (all causality and treatment-related); SA</w:t>
      </w:r>
      <w:bookmarkEnd w:id="85"/>
    </w:p>
    <w:tbl>
      <w:tblPr>
        <w:tblStyle w:val="TableTGAblue"/>
        <w:tblW w:w="8039" w:type="dxa"/>
        <w:tblLayout w:type="fixed"/>
        <w:tblLook w:val="00A0" w:firstRow="1" w:lastRow="0" w:firstColumn="1" w:lastColumn="0" w:noHBand="0" w:noVBand="0"/>
      </w:tblPr>
      <w:tblGrid>
        <w:gridCol w:w="2334"/>
        <w:gridCol w:w="1426"/>
        <w:gridCol w:w="1426"/>
        <w:gridCol w:w="1426"/>
        <w:gridCol w:w="1427"/>
      </w:tblGrid>
      <w:tr w:rsidR="00CE4F74" w:rsidRPr="00C31183" w:rsidTr="00625270">
        <w:trPr>
          <w:cnfStyle w:val="100000000000" w:firstRow="1" w:lastRow="0" w:firstColumn="0" w:lastColumn="0" w:oddVBand="0" w:evenVBand="0" w:oddHBand="0" w:evenHBand="0" w:firstRowFirstColumn="0" w:firstRowLastColumn="0" w:lastRowFirstColumn="0" w:lastRowLastColumn="0"/>
          <w:trHeight w:val="453"/>
          <w:tblHeader/>
        </w:trPr>
        <w:tc>
          <w:tcPr>
            <w:cnfStyle w:val="001000000000" w:firstRow="0" w:lastRow="0" w:firstColumn="1" w:lastColumn="0" w:oddVBand="0" w:evenVBand="0" w:oddHBand="0" w:evenHBand="0" w:firstRowFirstColumn="0" w:firstRowLastColumn="0" w:lastRowFirstColumn="0" w:lastRowLastColumn="0"/>
            <w:tcW w:w="2334" w:type="dxa"/>
          </w:tcPr>
          <w:p w:rsidR="00CE4F74" w:rsidRPr="00DA4DDC" w:rsidRDefault="00CE4F74" w:rsidP="00625270">
            <w:pPr>
              <w:ind w:left="0" w:right="0"/>
              <w:rPr>
                <w:lang w:eastAsia="ja-JP"/>
              </w:rPr>
            </w:pPr>
          </w:p>
        </w:tc>
        <w:tc>
          <w:tcPr>
            <w:tcW w:w="2852" w:type="dxa"/>
            <w:gridSpan w:val="2"/>
          </w:tcPr>
          <w:p w:rsidR="00CE4F74" w:rsidRPr="00DA4DDC" w:rsidRDefault="00CE4F74" w:rsidP="00625270">
            <w:pPr>
              <w:ind w:left="76" w:right="0"/>
              <w:cnfStyle w:val="100000000000" w:firstRow="1" w:lastRow="0" w:firstColumn="0" w:lastColumn="0" w:oddVBand="0" w:evenVBand="0" w:oddHBand="0" w:evenHBand="0" w:firstRowFirstColumn="0" w:firstRowLastColumn="0" w:lastRowFirstColumn="0" w:lastRowLastColumn="0"/>
              <w:rPr>
                <w:lang w:eastAsia="ja-JP"/>
              </w:rPr>
            </w:pPr>
            <w:proofErr w:type="spellStart"/>
            <w:r w:rsidRPr="00DA4DDC">
              <w:rPr>
                <w:lang w:eastAsia="ja-JP"/>
              </w:rPr>
              <w:t>Crizotinib</w:t>
            </w:r>
            <w:proofErr w:type="spellEnd"/>
            <w:r w:rsidRPr="00DA4DDC">
              <w:rPr>
                <w:lang w:eastAsia="ja-JP"/>
              </w:rPr>
              <w:t xml:space="preserve"> (n=172)</w:t>
            </w:r>
          </w:p>
        </w:tc>
        <w:tc>
          <w:tcPr>
            <w:tcW w:w="2852" w:type="dxa"/>
            <w:gridSpan w:val="2"/>
          </w:tcPr>
          <w:p w:rsidR="00CE4F74" w:rsidRPr="00DA4DDC" w:rsidRDefault="00CE4F74" w:rsidP="00625270">
            <w:pPr>
              <w:ind w:left="68" w:right="0"/>
              <w:cnfStyle w:val="100000000000" w:firstRow="1" w:lastRow="0" w:firstColumn="0" w:lastColumn="0" w:oddVBand="0" w:evenVBand="0" w:oddHBand="0" w:evenHBand="0" w:firstRowFirstColumn="0" w:firstRowLastColumn="0" w:lastRowFirstColumn="0" w:lastRowLastColumn="0"/>
              <w:rPr>
                <w:lang w:eastAsia="ja-JP"/>
              </w:rPr>
            </w:pPr>
            <w:r w:rsidRPr="00DA4DDC">
              <w:rPr>
                <w:lang w:eastAsia="ja-JP"/>
              </w:rPr>
              <w:t>Chemotherapy (n=171)</w:t>
            </w:r>
          </w:p>
        </w:tc>
      </w:tr>
      <w:tr w:rsidR="00CE4F74" w:rsidRPr="00C31183" w:rsidTr="00625270">
        <w:trPr>
          <w:trHeight w:val="691"/>
        </w:trPr>
        <w:tc>
          <w:tcPr>
            <w:cnfStyle w:val="001000000000" w:firstRow="0" w:lastRow="0" w:firstColumn="1" w:lastColumn="0" w:oddVBand="0" w:evenVBand="0" w:oddHBand="0" w:evenHBand="0" w:firstRowFirstColumn="0" w:firstRowLastColumn="0" w:lastRowFirstColumn="0" w:lastRowLastColumn="0"/>
            <w:tcW w:w="2334" w:type="dxa"/>
          </w:tcPr>
          <w:p w:rsidR="00CE4F74" w:rsidRPr="00DA4DDC" w:rsidRDefault="00CE4F74" w:rsidP="00625270">
            <w:pPr>
              <w:ind w:left="0" w:right="0"/>
              <w:rPr>
                <w:color w:val="000000"/>
                <w:lang w:eastAsia="ja-JP"/>
              </w:rPr>
            </w:pPr>
          </w:p>
        </w:tc>
        <w:tc>
          <w:tcPr>
            <w:tcW w:w="1426" w:type="dxa"/>
          </w:tcPr>
          <w:p w:rsidR="00CE4F74" w:rsidRPr="00DA4DDC" w:rsidRDefault="00CE4F74" w:rsidP="00625270">
            <w:pPr>
              <w:ind w:left="7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All Causality</w:t>
            </w:r>
          </w:p>
        </w:tc>
        <w:tc>
          <w:tcPr>
            <w:tcW w:w="1426" w:type="dxa"/>
          </w:tcPr>
          <w:p w:rsidR="00CE4F74" w:rsidRPr="00DA4DDC" w:rsidRDefault="00CE4F74" w:rsidP="00625270">
            <w:pPr>
              <w:ind w:left="7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Treatment-related</w:t>
            </w:r>
          </w:p>
        </w:tc>
        <w:tc>
          <w:tcPr>
            <w:tcW w:w="1426" w:type="dxa"/>
          </w:tcPr>
          <w:p w:rsidR="00CE4F74" w:rsidRPr="00DA4DDC" w:rsidRDefault="00CE4F74" w:rsidP="00625270">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All Causality</w:t>
            </w:r>
          </w:p>
        </w:tc>
        <w:tc>
          <w:tcPr>
            <w:tcW w:w="1427" w:type="dxa"/>
          </w:tcPr>
          <w:p w:rsidR="00CE4F74" w:rsidRPr="00DA4DDC" w:rsidRDefault="00CE4F74" w:rsidP="00625270">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Treatment-related</w:t>
            </w:r>
          </w:p>
        </w:tc>
      </w:tr>
      <w:tr w:rsidR="00CE4F74" w:rsidRPr="00C31183" w:rsidTr="00625270">
        <w:trPr>
          <w:trHeight w:val="464"/>
        </w:trPr>
        <w:tc>
          <w:tcPr>
            <w:cnfStyle w:val="001000000000" w:firstRow="0" w:lastRow="0" w:firstColumn="1" w:lastColumn="0" w:oddVBand="0" w:evenVBand="0" w:oddHBand="0" w:evenHBand="0" w:firstRowFirstColumn="0" w:firstRowLastColumn="0" w:lastRowFirstColumn="0" w:lastRowLastColumn="0"/>
            <w:tcW w:w="2334" w:type="dxa"/>
          </w:tcPr>
          <w:p w:rsidR="00CE4F74" w:rsidRPr="00DA4DDC" w:rsidRDefault="00CE4F74" w:rsidP="00625270">
            <w:pPr>
              <w:ind w:left="0" w:right="0"/>
              <w:rPr>
                <w:color w:val="000000"/>
                <w:lang w:eastAsia="ja-JP"/>
              </w:rPr>
            </w:pPr>
            <w:r w:rsidRPr="00DA4DDC">
              <w:rPr>
                <w:color w:val="000000"/>
                <w:lang w:eastAsia="ja-JP"/>
              </w:rPr>
              <w:t>Number of AEs</w:t>
            </w:r>
          </w:p>
        </w:tc>
        <w:tc>
          <w:tcPr>
            <w:tcW w:w="1426" w:type="dxa"/>
          </w:tcPr>
          <w:p w:rsidR="00CE4F74" w:rsidRPr="00DA4DDC" w:rsidRDefault="00CE4F74" w:rsidP="00625270">
            <w:pPr>
              <w:ind w:left="7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2085 </w:t>
            </w:r>
          </w:p>
        </w:tc>
        <w:tc>
          <w:tcPr>
            <w:tcW w:w="1426" w:type="dxa"/>
          </w:tcPr>
          <w:p w:rsidR="00CE4F74" w:rsidRPr="00DA4DDC" w:rsidRDefault="00CE4F74" w:rsidP="00625270">
            <w:pPr>
              <w:ind w:left="7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1235 </w:t>
            </w:r>
          </w:p>
        </w:tc>
        <w:tc>
          <w:tcPr>
            <w:tcW w:w="1426" w:type="dxa"/>
          </w:tcPr>
          <w:p w:rsidR="00CE4F74" w:rsidRPr="00DA4DDC" w:rsidRDefault="00CE4F74" w:rsidP="00625270">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1358 </w:t>
            </w:r>
          </w:p>
        </w:tc>
        <w:tc>
          <w:tcPr>
            <w:tcW w:w="1427" w:type="dxa"/>
          </w:tcPr>
          <w:p w:rsidR="00CE4F74" w:rsidRPr="00DA4DDC" w:rsidRDefault="00CE4F74" w:rsidP="00625270">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815 </w:t>
            </w:r>
          </w:p>
        </w:tc>
      </w:tr>
      <w:tr w:rsidR="00CE4F74" w:rsidRPr="00C31183" w:rsidTr="00625270">
        <w:trPr>
          <w:trHeight w:val="691"/>
        </w:trPr>
        <w:tc>
          <w:tcPr>
            <w:cnfStyle w:val="001000000000" w:firstRow="0" w:lastRow="0" w:firstColumn="1" w:lastColumn="0" w:oddVBand="0" w:evenVBand="0" w:oddHBand="0" w:evenHBand="0" w:firstRowFirstColumn="0" w:firstRowLastColumn="0" w:lastRowFirstColumn="0" w:lastRowLastColumn="0"/>
            <w:tcW w:w="2334" w:type="dxa"/>
          </w:tcPr>
          <w:p w:rsidR="00CE4F74" w:rsidRPr="00DA4DDC" w:rsidRDefault="00CE4F74" w:rsidP="00625270">
            <w:pPr>
              <w:ind w:left="0" w:right="0"/>
              <w:rPr>
                <w:color w:val="000000"/>
                <w:lang w:eastAsia="ja-JP"/>
              </w:rPr>
            </w:pPr>
            <w:r w:rsidRPr="00DA4DDC">
              <w:rPr>
                <w:color w:val="000000"/>
                <w:lang w:eastAsia="ja-JP"/>
              </w:rPr>
              <w:t>Patients with AEs</w:t>
            </w:r>
          </w:p>
        </w:tc>
        <w:tc>
          <w:tcPr>
            <w:tcW w:w="1426" w:type="dxa"/>
          </w:tcPr>
          <w:p w:rsidR="00CE4F74" w:rsidRPr="00DA4DDC" w:rsidRDefault="00CE4F74" w:rsidP="00625270">
            <w:pPr>
              <w:ind w:left="7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172 (100.0) </w:t>
            </w:r>
          </w:p>
        </w:tc>
        <w:tc>
          <w:tcPr>
            <w:tcW w:w="1426" w:type="dxa"/>
          </w:tcPr>
          <w:p w:rsidR="00CE4F74" w:rsidRPr="00DA4DDC" w:rsidRDefault="00CE4F74" w:rsidP="00625270">
            <w:pPr>
              <w:ind w:left="7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164 (95.3) </w:t>
            </w:r>
          </w:p>
        </w:tc>
        <w:tc>
          <w:tcPr>
            <w:tcW w:w="1426" w:type="dxa"/>
          </w:tcPr>
          <w:p w:rsidR="00CE4F74" w:rsidRPr="00DA4DDC" w:rsidRDefault="00CE4F74" w:rsidP="00625270">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168 (98.2) </w:t>
            </w:r>
          </w:p>
        </w:tc>
        <w:tc>
          <w:tcPr>
            <w:tcW w:w="1427" w:type="dxa"/>
          </w:tcPr>
          <w:p w:rsidR="00CE4F74" w:rsidRPr="00DA4DDC" w:rsidRDefault="00CE4F74" w:rsidP="00625270">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151 (88.3) </w:t>
            </w:r>
          </w:p>
        </w:tc>
      </w:tr>
      <w:tr w:rsidR="00CE4F74" w:rsidRPr="00C31183" w:rsidTr="00625270">
        <w:trPr>
          <w:trHeight w:val="464"/>
        </w:trPr>
        <w:tc>
          <w:tcPr>
            <w:cnfStyle w:val="001000000000" w:firstRow="0" w:lastRow="0" w:firstColumn="1" w:lastColumn="0" w:oddVBand="0" w:evenVBand="0" w:oddHBand="0" w:evenHBand="0" w:firstRowFirstColumn="0" w:firstRowLastColumn="0" w:lastRowFirstColumn="0" w:lastRowLastColumn="0"/>
            <w:tcW w:w="2334" w:type="dxa"/>
          </w:tcPr>
          <w:p w:rsidR="00CE4F74" w:rsidRPr="00DA4DDC" w:rsidRDefault="00CE4F74" w:rsidP="00625270">
            <w:pPr>
              <w:ind w:left="0" w:right="0"/>
              <w:rPr>
                <w:color w:val="000000"/>
                <w:lang w:eastAsia="ja-JP"/>
              </w:rPr>
            </w:pPr>
            <w:r w:rsidRPr="00DA4DDC">
              <w:rPr>
                <w:color w:val="000000"/>
                <w:lang w:eastAsia="ja-JP"/>
              </w:rPr>
              <w:t>Patients with SAEs</w:t>
            </w:r>
          </w:p>
        </w:tc>
        <w:tc>
          <w:tcPr>
            <w:tcW w:w="1426" w:type="dxa"/>
          </w:tcPr>
          <w:p w:rsidR="00CE4F74" w:rsidRPr="00DA4DDC" w:rsidRDefault="00CE4F74" w:rsidP="00625270">
            <w:pPr>
              <w:ind w:left="7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64 (37.2) </w:t>
            </w:r>
          </w:p>
        </w:tc>
        <w:tc>
          <w:tcPr>
            <w:tcW w:w="1426" w:type="dxa"/>
          </w:tcPr>
          <w:p w:rsidR="00CE4F74" w:rsidRPr="00DA4DDC" w:rsidRDefault="00CE4F74" w:rsidP="00625270">
            <w:pPr>
              <w:ind w:left="7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20 (11.6) </w:t>
            </w:r>
          </w:p>
        </w:tc>
        <w:tc>
          <w:tcPr>
            <w:tcW w:w="1426" w:type="dxa"/>
          </w:tcPr>
          <w:p w:rsidR="00CE4F74" w:rsidRPr="00DA4DDC" w:rsidRDefault="00CE4F74" w:rsidP="00625270">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40 (23.4) </w:t>
            </w:r>
          </w:p>
        </w:tc>
        <w:tc>
          <w:tcPr>
            <w:tcW w:w="1427" w:type="dxa"/>
          </w:tcPr>
          <w:p w:rsidR="00CE4F74" w:rsidRPr="00DA4DDC" w:rsidRDefault="00CE4F74" w:rsidP="00625270">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24 (14.0) </w:t>
            </w:r>
          </w:p>
        </w:tc>
      </w:tr>
      <w:tr w:rsidR="00CE4F74" w:rsidRPr="00C31183" w:rsidTr="00625270">
        <w:trPr>
          <w:trHeight w:val="691"/>
        </w:trPr>
        <w:tc>
          <w:tcPr>
            <w:cnfStyle w:val="001000000000" w:firstRow="0" w:lastRow="0" w:firstColumn="1" w:lastColumn="0" w:oddVBand="0" w:evenVBand="0" w:oddHBand="0" w:evenHBand="0" w:firstRowFirstColumn="0" w:firstRowLastColumn="0" w:lastRowFirstColumn="0" w:lastRowLastColumn="0"/>
            <w:tcW w:w="2334" w:type="dxa"/>
          </w:tcPr>
          <w:p w:rsidR="00CE4F74" w:rsidRPr="00DA4DDC" w:rsidRDefault="00CE4F74" w:rsidP="00625270">
            <w:pPr>
              <w:ind w:left="0" w:right="0"/>
              <w:rPr>
                <w:color w:val="000000"/>
                <w:lang w:eastAsia="ja-JP"/>
              </w:rPr>
            </w:pPr>
            <w:r w:rsidRPr="00DA4DDC">
              <w:rPr>
                <w:color w:val="000000"/>
                <w:lang w:eastAsia="ja-JP"/>
              </w:rPr>
              <w:t>Patients with Grade 3 or 4 AEs</w:t>
            </w:r>
          </w:p>
        </w:tc>
        <w:tc>
          <w:tcPr>
            <w:tcW w:w="1426" w:type="dxa"/>
          </w:tcPr>
          <w:p w:rsidR="00CE4F74" w:rsidRPr="00DA4DDC" w:rsidRDefault="00CE4F74" w:rsidP="00625270">
            <w:pPr>
              <w:ind w:left="7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97 (56.4) </w:t>
            </w:r>
          </w:p>
        </w:tc>
        <w:tc>
          <w:tcPr>
            <w:tcW w:w="1426" w:type="dxa"/>
          </w:tcPr>
          <w:p w:rsidR="00CE4F74" w:rsidRPr="00DA4DDC" w:rsidRDefault="00CE4F74" w:rsidP="00625270">
            <w:pPr>
              <w:ind w:left="7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57 (33.1) </w:t>
            </w:r>
          </w:p>
        </w:tc>
        <w:tc>
          <w:tcPr>
            <w:tcW w:w="1426" w:type="dxa"/>
          </w:tcPr>
          <w:p w:rsidR="00CE4F74" w:rsidRPr="00DA4DDC" w:rsidRDefault="00CE4F74" w:rsidP="00625270">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78 (45.6)</w:t>
            </w:r>
          </w:p>
        </w:tc>
        <w:tc>
          <w:tcPr>
            <w:tcW w:w="1427" w:type="dxa"/>
          </w:tcPr>
          <w:p w:rsidR="00CE4F74" w:rsidRPr="00DA4DDC" w:rsidRDefault="00CE4F74" w:rsidP="00625270">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54 (31.6) </w:t>
            </w:r>
          </w:p>
        </w:tc>
      </w:tr>
      <w:tr w:rsidR="00CE4F74" w:rsidRPr="00C31183" w:rsidTr="00625270">
        <w:trPr>
          <w:trHeight w:val="691"/>
        </w:trPr>
        <w:tc>
          <w:tcPr>
            <w:cnfStyle w:val="001000000000" w:firstRow="0" w:lastRow="0" w:firstColumn="1" w:lastColumn="0" w:oddVBand="0" w:evenVBand="0" w:oddHBand="0" w:evenHBand="0" w:firstRowFirstColumn="0" w:firstRowLastColumn="0" w:lastRowFirstColumn="0" w:lastRowLastColumn="0"/>
            <w:tcW w:w="2334" w:type="dxa"/>
          </w:tcPr>
          <w:p w:rsidR="00CE4F74" w:rsidRPr="00DA4DDC" w:rsidRDefault="00CE4F74" w:rsidP="00625270">
            <w:pPr>
              <w:ind w:left="0" w:right="0"/>
              <w:rPr>
                <w:color w:val="000000"/>
                <w:lang w:eastAsia="ja-JP"/>
              </w:rPr>
            </w:pPr>
            <w:r w:rsidRPr="00DA4DDC">
              <w:rPr>
                <w:color w:val="000000"/>
                <w:lang w:eastAsia="ja-JP"/>
              </w:rPr>
              <w:t>Patients with Grade 5 AEs</w:t>
            </w:r>
          </w:p>
        </w:tc>
        <w:tc>
          <w:tcPr>
            <w:tcW w:w="1426" w:type="dxa"/>
          </w:tcPr>
          <w:p w:rsidR="00CE4F74" w:rsidRPr="00DA4DDC" w:rsidRDefault="00CE4F74" w:rsidP="00625270">
            <w:pPr>
              <w:ind w:left="7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25 (14.5) </w:t>
            </w:r>
          </w:p>
        </w:tc>
        <w:tc>
          <w:tcPr>
            <w:tcW w:w="1426" w:type="dxa"/>
          </w:tcPr>
          <w:p w:rsidR="00CE4F74" w:rsidRPr="00DA4DDC" w:rsidRDefault="00CE4F74" w:rsidP="00625270">
            <w:pPr>
              <w:ind w:left="7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4 (2.3) </w:t>
            </w:r>
          </w:p>
        </w:tc>
        <w:tc>
          <w:tcPr>
            <w:tcW w:w="1426" w:type="dxa"/>
          </w:tcPr>
          <w:p w:rsidR="00CE4F74" w:rsidRPr="00DA4DDC" w:rsidRDefault="00CE4F74" w:rsidP="00625270">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7 (4.1)</w:t>
            </w:r>
          </w:p>
        </w:tc>
        <w:tc>
          <w:tcPr>
            <w:tcW w:w="1427" w:type="dxa"/>
          </w:tcPr>
          <w:p w:rsidR="00CE4F74" w:rsidRPr="00DA4DDC" w:rsidRDefault="00CE4F74" w:rsidP="00625270">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1 (0.6) </w:t>
            </w:r>
          </w:p>
        </w:tc>
      </w:tr>
      <w:tr w:rsidR="00CE4F74" w:rsidRPr="00C31183" w:rsidTr="00625270">
        <w:trPr>
          <w:trHeight w:val="691"/>
        </w:trPr>
        <w:tc>
          <w:tcPr>
            <w:cnfStyle w:val="001000000000" w:firstRow="0" w:lastRow="0" w:firstColumn="1" w:lastColumn="0" w:oddVBand="0" w:evenVBand="0" w:oddHBand="0" w:evenHBand="0" w:firstRowFirstColumn="0" w:firstRowLastColumn="0" w:lastRowFirstColumn="0" w:lastRowLastColumn="0"/>
            <w:tcW w:w="2334" w:type="dxa"/>
          </w:tcPr>
          <w:p w:rsidR="00CE4F74" w:rsidRPr="00DA4DDC" w:rsidRDefault="00CE4F74" w:rsidP="00625270">
            <w:pPr>
              <w:ind w:left="0" w:right="0"/>
              <w:rPr>
                <w:color w:val="000000"/>
                <w:lang w:eastAsia="ja-JP"/>
              </w:rPr>
            </w:pPr>
            <w:r w:rsidRPr="00DA4DDC">
              <w:rPr>
                <w:color w:val="000000"/>
                <w:lang w:eastAsia="ja-JP"/>
              </w:rPr>
              <w:t>Patients discontinued due to AEs</w:t>
            </w:r>
          </w:p>
        </w:tc>
        <w:tc>
          <w:tcPr>
            <w:tcW w:w="1426" w:type="dxa"/>
          </w:tcPr>
          <w:p w:rsidR="00CE4F74" w:rsidRPr="00DA4DDC" w:rsidRDefault="00CE4F74" w:rsidP="00625270">
            <w:pPr>
              <w:ind w:left="7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30 (17.4) </w:t>
            </w:r>
          </w:p>
        </w:tc>
        <w:tc>
          <w:tcPr>
            <w:tcW w:w="1426" w:type="dxa"/>
          </w:tcPr>
          <w:p w:rsidR="00CE4F74" w:rsidRPr="00DA4DDC" w:rsidRDefault="00CE4F74" w:rsidP="00625270">
            <w:pPr>
              <w:ind w:left="7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11 (6.4) </w:t>
            </w:r>
          </w:p>
        </w:tc>
        <w:tc>
          <w:tcPr>
            <w:tcW w:w="1426" w:type="dxa"/>
          </w:tcPr>
          <w:p w:rsidR="00CE4F74" w:rsidRPr="00DA4DDC" w:rsidRDefault="00CE4F74" w:rsidP="00625270">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23 (13.5) </w:t>
            </w:r>
          </w:p>
        </w:tc>
        <w:tc>
          <w:tcPr>
            <w:tcW w:w="1427" w:type="dxa"/>
          </w:tcPr>
          <w:p w:rsidR="00CE4F74" w:rsidRPr="00DA4DDC" w:rsidRDefault="00CE4F74" w:rsidP="00625270">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17 (9.9) </w:t>
            </w:r>
          </w:p>
        </w:tc>
      </w:tr>
      <w:tr w:rsidR="00CE4F74" w:rsidRPr="00C31183" w:rsidTr="00625270">
        <w:trPr>
          <w:trHeight w:val="691"/>
        </w:trPr>
        <w:tc>
          <w:tcPr>
            <w:cnfStyle w:val="001000000000" w:firstRow="0" w:lastRow="0" w:firstColumn="1" w:lastColumn="0" w:oddVBand="0" w:evenVBand="0" w:oddHBand="0" w:evenHBand="0" w:firstRowFirstColumn="0" w:firstRowLastColumn="0" w:lastRowFirstColumn="0" w:lastRowLastColumn="0"/>
            <w:tcW w:w="2334" w:type="dxa"/>
          </w:tcPr>
          <w:p w:rsidR="00CE4F74" w:rsidRPr="00DA4DDC" w:rsidRDefault="00CE4F74" w:rsidP="00625270">
            <w:pPr>
              <w:ind w:left="0" w:right="0"/>
              <w:rPr>
                <w:color w:val="000000"/>
                <w:lang w:eastAsia="ja-JP"/>
              </w:rPr>
            </w:pPr>
            <w:r w:rsidRPr="00DA4DDC">
              <w:rPr>
                <w:color w:val="000000"/>
                <w:lang w:eastAsia="ja-JP"/>
              </w:rPr>
              <w:t xml:space="preserve">Patients with dose reduced due to AEs </w:t>
            </w:r>
          </w:p>
        </w:tc>
        <w:tc>
          <w:tcPr>
            <w:tcW w:w="1426" w:type="dxa"/>
          </w:tcPr>
          <w:p w:rsidR="00CE4F74" w:rsidRPr="00DA4DDC" w:rsidRDefault="00CE4F74" w:rsidP="00625270">
            <w:pPr>
              <w:ind w:left="7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28 (16.3) </w:t>
            </w:r>
          </w:p>
        </w:tc>
        <w:tc>
          <w:tcPr>
            <w:tcW w:w="1426" w:type="dxa"/>
          </w:tcPr>
          <w:p w:rsidR="00CE4F74" w:rsidRPr="00DA4DDC" w:rsidRDefault="00CE4F74" w:rsidP="00625270">
            <w:pPr>
              <w:ind w:left="7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26 (15.1) </w:t>
            </w:r>
          </w:p>
        </w:tc>
        <w:tc>
          <w:tcPr>
            <w:tcW w:w="1426" w:type="dxa"/>
          </w:tcPr>
          <w:p w:rsidR="00CE4F74" w:rsidRPr="00DA4DDC" w:rsidRDefault="00CE4F74" w:rsidP="00625270">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25 (14.6) </w:t>
            </w:r>
          </w:p>
        </w:tc>
        <w:tc>
          <w:tcPr>
            <w:tcW w:w="1427" w:type="dxa"/>
          </w:tcPr>
          <w:p w:rsidR="00CE4F74" w:rsidRPr="00DA4DDC" w:rsidRDefault="00CE4F74" w:rsidP="00625270">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24 (14.0) </w:t>
            </w:r>
          </w:p>
        </w:tc>
      </w:tr>
      <w:tr w:rsidR="00CE4F74" w:rsidRPr="00C31183" w:rsidTr="00625270">
        <w:trPr>
          <w:trHeight w:val="1155"/>
        </w:trPr>
        <w:tc>
          <w:tcPr>
            <w:cnfStyle w:val="001000000000" w:firstRow="0" w:lastRow="0" w:firstColumn="1" w:lastColumn="0" w:oddVBand="0" w:evenVBand="0" w:oddHBand="0" w:evenHBand="0" w:firstRowFirstColumn="0" w:firstRowLastColumn="0" w:lastRowFirstColumn="0" w:lastRowLastColumn="0"/>
            <w:tcW w:w="2334" w:type="dxa"/>
          </w:tcPr>
          <w:p w:rsidR="00CE4F74" w:rsidRPr="00DA4DDC" w:rsidRDefault="00CE4F74" w:rsidP="00625270">
            <w:pPr>
              <w:ind w:left="0" w:right="0"/>
              <w:rPr>
                <w:color w:val="000000"/>
                <w:lang w:eastAsia="ja-JP"/>
              </w:rPr>
            </w:pPr>
            <w:r w:rsidRPr="00DA4DDC">
              <w:rPr>
                <w:color w:val="000000"/>
                <w:lang w:eastAsia="ja-JP"/>
              </w:rPr>
              <w:t xml:space="preserve">Patients with temporary discontinuation due to AEs </w:t>
            </w:r>
          </w:p>
        </w:tc>
        <w:tc>
          <w:tcPr>
            <w:tcW w:w="1426" w:type="dxa"/>
          </w:tcPr>
          <w:p w:rsidR="00CE4F74" w:rsidRPr="00DA4DDC" w:rsidRDefault="00CE4F74" w:rsidP="00625270">
            <w:pPr>
              <w:ind w:left="7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67 (39.0) </w:t>
            </w:r>
          </w:p>
        </w:tc>
        <w:tc>
          <w:tcPr>
            <w:tcW w:w="1426" w:type="dxa"/>
          </w:tcPr>
          <w:p w:rsidR="00CE4F74" w:rsidRPr="00DA4DDC" w:rsidRDefault="00CE4F74" w:rsidP="00625270">
            <w:pPr>
              <w:ind w:left="76"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54 (31.4) </w:t>
            </w:r>
          </w:p>
        </w:tc>
        <w:tc>
          <w:tcPr>
            <w:tcW w:w="1426" w:type="dxa"/>
          </w:tcPr>
          <w:p w:rsidR="00CE4F74" w:rsidRPr="00DA4DDC" w:rsidRDefault="00CE4F74" w:rsidP="00625270">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27 (15.8) </w:t>
            </w:r>
          </w:p>
        </w:tc>
        <w:tc>
          <w:tcPr>
            <w:tcW w:w="1427" w:type="dxa"/>
          </w:tcPr>
          <w:p w:rsidR="00CE4F74" w:rsidRPr="00DA4DDC" w:rsidRDefault="00CE4F74" w:rsidP="00625270">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14 (8.2) </w:t>
            </w:r>
          </w:p>
        </w:tc>
      </w:tr>
    </w:tbl>
    <w:p w:rsidR="00CE4F74" w:rsidRPr="00CA191A" w:rsidRDefault="00CE4F74" w:rsidP="00625270">
      <w:pPr>
        <w:pStyle w:val="TableDescription"/>
        <w:rPr>
          <w:lang w:eastAsia="ja-JP"/>
        </w:rPr>
      </w:pPr>
      <w:r w:rsidRPr="00CA191A">
        <w:rPr>
          <w:lang w:eastAsia="ja-JP"/>
        </w:rPr>
        <w:t xml:space="preserve">Note: Except for the number of AEs, patients were counted only once per treatment in each row. </w:t>
      </w:r>
      <w:proofErr w:type="gramStart"/>
      <w:r>
        <w:rPr>
          <w:lang w:eastAsia="ja-JP"/>
        </w:rPr>
        <w:t>Serious adverse events (</w:t>
      </w:r>
      <w:r w:rsidRPr="00CA191A">
        <w:rPr>
          <w:lang w:eastAsia="ja-JP"/>
        </w:rPr>
        <w:t>SAEs</w:t>
      </w:r>
      <w:r>
        <w:rPr>
          <w:lang w:eastAsia="ja-JP"/>
        </w:rPr>
        <w:t>)</w:t>
      </w:r>
      <w:r w:rsidRPr="00CA191A">
        <w:rPr>
          <w:lang w:eastAsia="ja-JP"/>
        </w:rPr>
        <w:t xml:space="preserve"> according to investigator assessment.</w:t>
      </w:r>
      <w:proofErr w:type="gramEnd"/>
      <w:r w:rsidRPr="00CA191A">
        <w:rPr>
          <w:lang w:eastAsia="ja-JP"/>
        </w:rPr>
        <w:t xml:space="preserve"> </w:t>
      </w:r>
      <w:proofErr w:type="spellStart"/>
      <w:r w:rsidRPr="00CA191A">
        <w:rPr>
          <w:lang w:eastAsia="ja-JP"/>
        </w:rPr>
        <w:t>MedDRA</w:t>
      </w:r>
      <w:proofErr w:type="spellEnd"/>
      <w:r w:rsidRPr="00CA191A">
        <w:rPr>
          <w:lang w:eastAsia="ja-JP"/>
        </w:rPr>
        <w:t xml:space="preserve"> (v15.0) coding dictionary applied.</w:t>
      </w:r>
    </w:p>
    <w:p w:rsidR="00CE4F74" w:rsidRPr="00C31183" w:rsidRDefault="00CE4F74" w:rsidP="00625270">
      <w:pPr>
        <w:rPr>
          <w:lang w:eastAsia="ja-JP"/>
        </w:rPr>
      </w:pPr>
      <w:r w:rsidRPr="00C31183">
        <w:rPr>
          <w:lang w:eastAsia="ja-JP"/>
        </w:rPr>
        <w:t>The investigator obtained and recorded on the case report form (CRF) all observed or volunteered AEs. AEs were classified by type, incidence, severity (graded by the NCI CTCAE v4.0), timing, seriousness, and relationship to treatment. AEs included adverse drug reactions, illnesses with onset during the study and exacerbation of previous illnesses. Additionally, the investigator recorded any clinically significant changes in physical examination findings and abnormal objective test findings as AEs (</w:t>
      </w:r>
      <w:r>
        <w:rPr>
          <w:lang w:eastAsia="ja-JP"/>
        </w:rPr>
        <w:t>for example,</w:t>
      </w:r>
      <w:r w:rsidRPr="00C31183">
        <w:rPr>
          <w:lang w:eastAsia="ja-JP"/>
        </w:rPr>
        <w:t xml:space="preserve"> </w:t>
      </w:r>
      <w:r>
        <w:rPr>
          <w:lang w:eastAsia="ja-JP"/>
        </w:rPr>
        <w:t>electrocardiogram (</w:t>
      </w:r>
      <w:r w:rsidRPr="00C31183">
        <w:rPr>
          <w:lang w:eastAsia="ja-JP"/>
        </w:rPr>
        <w:t>ECG</w:t>
      </w:r>
      <w:r>
        <w:rPr>
          <w:lang w:eastAsia="ja-JP"/>
        </w:rPr>
        <w:t>)</w:t>
      </w:r>
      <w:r w:rsidRPr="00C31183">
        <w:rPr>
          <w:lang w:eastAsia="ja-JP"/>
        </w:rPr>
        <w:t xml:space="preserve">, laboratory tests). Baseline tumour-related signs and symptoms were to be recorded as AEs during the study if they worsened in severity or increased in frequency. Adverse events (serious and non-serious) were to be recorded on the CRF from the time the subject had taken at least one dose of study treatment through to the last visit. For all AEs, the investigator attempted to obtain information allowing determination of both the outcome of the AE and whether it met the criteria for classification as a serious adverse event (SAE). If the AE or its </w:t>
      </w:r>
      <w:proofErr w:type="spellStart"/>
      <w:r w:rsidRPr="00C31183">
        <w:rPr>
          <w:lang w:eastAsia="ja-JP"/>
        </w:rPr>
        <w:t>sequelae</w:t>
      </w:r>
      <w:proofErr w:type="spellEnd"/>
      <w:r w:rsidRPr="00C31183">
        <w:rPr>
          <w:lang w:eastAsia="ja-JP"/>
        </w:rPr>
        <w:t xml:space="preserve"> persisted, follow-up was required until resolution or stabili</w:t>
      </w:r>
      <w:r>
        <w:rPr>
          <w:lang w:eastAsia="ja-JP"/>
        </w:rPr>
        <w:t>s</w:t>
      </w:r>
      <w:r w:rsidRPr="00C31183">
        <w:rPr>
          <w:lang w:eastAsia="ja-JP"/>
        </w:rPr>
        <w:t>ation acceptable to the inv</w:t>
      </w:r>
      <w:r w:rsidR="00625270">
        <w:rPr>
          <w:lang w:eastAsia="ja-JP"/>
        </w:rPr>
        <w:t>estigator and sponsor occurred.</w:t>
      </w:r>
    </w:p>
    <w:p w:rsidR="00CE4F74" w:rsidRPr="00C31183" w:rsidRDefault="00CE4F74" w:rsidP="00625270">
      <w:pPr>
        <w:pStyle w:val="Heading5"/>
        <w:rPr>
          <w:lang w:eastAsia="ja-JP"/>
        </w:rPr>
      </w:pPr>
      <w:bookmarkStart w:id="86" w:name="_Toc228773374"/>
      <w:r w:rsidRPr="00625270">
        <w:lastRenderedPageBreak/>
        <w:t>Commonly</w:t>
      </w:r>
      <w:r w:rsidRPr="00C31183">
        <w:rPr>
          <w:lang w:eastAsia="ja-JP"/>
        </w:rPr>
        <w:t xml:space="preserve"> occurring all causality treatment-emergent adverse events</w:t>
      </w:r>
      <w:bookmarkEnd w:id="86"/>
    </w:p>
    <w:p w:rsidR="00CE4F74" w:rsidRPr="00C31183" w:rsidRDefault="00CE4F74" w:rsidP="00625270">
      <w:pPr>
        <w:rPr>
          <w:lang w:eastAsia="ja-JP"/>
        </w:rPr>
      </w:pPr>
      <w:r w:rsidRPr="00C31183">
        <w:rPr>
          <w:lang w:eastAsia="ja-JP"/>
        </w:rPr>
        <w:t xml:space="preserve">All causality treatment-emergent adverse events (TEAEs) were reported in 100.0% (n=172) of patients in the </w:t>
      </w:r>
      <w:proofErr w:type="spellStart"/>
      <w:r w:rsidRPr="00C31183">
        <w:rPr>
          <w:lang w:eastAsia="ja-JP"/>
        </w:rPr>
        <w:t>crizotinib</w:t>
      </w:r>
      <w:proofErr w:type="spellEnd"/>
      <w:r w:rsidRPr="00C31183">
        <w:rPr>
          <w:lang w:eastAsia="ja-JP"/>
        </w:rPr>
        <w:t xml:space="preserve"> arm and 98.2% (n=168) of patients in the chemotherapy arm. TEAEs by </w:t>
      </w:r>
      <w:proofErr w:type="spellStart"/>
      <w:r w:rsidRPr="00C31183">
        <w:rPr>
          <w:lang w:eastAsia="ja-JP"/>
        </w:rPr>
        <w:t>MedDRA</w:t>
      </w:r>
      <w:proofErr w:type="spellEnd"/>
      <w:r w:rsidRPr="00C31183">
        <w:rPr>
          <w:lang w:eastAsia="ja-JP"/>
        </w:rPr>
        <w:t xml:space="preserve"> preferred term reported with an incidence of </w:t>
      </w:r>
      <w:r>
        <w:rPr>
          <w:lang w:eastAsia="ja-JP"/>
        </w:rPr>
        <w:t>≥</w:t>
      </w:r>
      <w:r w:rsidRPr="00C31183">
        <w:rPr>
          <w:lang w:eastAsia="ja-JP"/>
        </w:rPr>
        <w:t xml:space="preserve"> 5% in the </w:t>
      </w:r>
      <w:proofErr w:type="spellStart"/>
      <w:r w:rsidRPr="00C31183">
        <w:rPr>
          <w:lang w:eastAsia="ja-JP"/>
        </w:rPr>
        <w:t>crizotinib</w:t>
      </w:r>
      <w:proofErr w:type="spellEnd"/>
      <w:r w:rsidRPr="00C31183">
        <w:rPr>
          <w:lang w:eastAsia="ja-JP"/>
        </w:rPr>
        <w:t xml:space="preserve"> arm by decreasing order of frequency compared with the chemotherapy arm </w:t>
      </w:r>
      <w:r>
        <w:rPr>
          <w:lang w:eastAsia="ja-JP"/>
        </w:rPr>
        <w:t>were</w:t>
      </w:r>
      <w:r w:rsidRPr="00C31183">
        <w:rPr>
          <w:lang w:eastAsia="ja-JP"/>
        </w:rPr>
        <w:t xml:space="preserve"> </w:t>
      </w:r>
      <w:r>
        <w:rPr>
          <w:lang w:eastAsia="ja-JP"/>
        </w:rPr>
        <w:t>tabulated</w:t>
      </w:r>
      <w:r w:rsidRPr="00C31183">
        <w:rPr>
          <w:lang w:eastAsia="ja-JP"/>
        </w:rPr>
        <w:t xml:space="preserve">. The most commonly occurring TEAEs reported with a frequency of </w:t>
      </w:r>
      <w:r>
        <w:rPr>
          <w:lang w:eastAsia="ja-JP"/>
        </w:rPr>
        <w:t>≥</w:t>
      </w:r>
      <w:r w:rsidRPr="00C31183">
        <w:rPr>
          <w:lang w:eastAsia="ja-JP"/>
        </w:rPr>
        <w:t xml:space="preserve"> 20 % in the </w:t>
      </w:r>
      <w:proofErr w:type="spellStart"/>
      <w:r w:rsidRPr="00C31183">
        <w:rPr>
          <w:lang w:eastAsia="ja-JP"/>
        </w:rPr>
        <w:t>crizotinib</w:t>
      </w:r>
      <w:proofErr w:type="spellEnd"/>
      <w:r w:rsidRPr="00C31183">
        <w:rPr>
          <w:lang w:eastAsia="ja-JP"/>
        </w:rPr>
        <w:t xml:space="preserve"> arm (v</w:t>
      </w:r>
      <w:r>
        <w:rPr>
          <w:lang w:eastAsia="ja-JP"/>
        </w:rPr>
        <w:t>ersu</w:t>
      </w:r>
      <w:r w:rsidRPr="00C31183">
        <w:rPr>
          <w:lang w:eastAsia="ja-JP"/>
        </w:rPr>
        <w:t>s chemotherapy) were diarrhoea (59.9%</w:t>
      </w:r>
      <w:r>
        <w:rPr>
          <w:lang w:eastAsia="ja-JP"/>
        </w:rPr>
        <w:t xml:space="preserve"> versus </w:t>
      </w:r>
      <w:r w:rsidRPr="00C31183">
        <w:rPr>
          <w:lang w:eastAsia="ja-JP"/>
        </w:rPr>
        <w:t>19.3%), nausea (54.7%</w:t>
      </w:r>
      <w:r>
        <w:rPr>
          <w:lang w:eastAsia="ja-JP"/>
        </w:rPr>
        <w:t xml:space="preserve"> versus </w:t>
      </w:r>
      <w:r w:rsidRPr="00C31183">
        <w:rPr>
          <w:lang w:eastAsia="ja-JP"/>
        </w:rPr>
        <w:t>37.4%), visual impairment (47.1%</w:t>
      </w:r>
      <w:r>
        <w:rPr>
          <w:lang w:eastAsia="ja-JP"/>
        </w:rPr>
        <w:t xml:space="preserve"> versus </w:t>
      </w:r>
      <w:r w:rsidRPr="00C31183">
        <w:rPr>
          <w:lang w:eastAsia="ja-JP"/>
        </w:rPr>
        <w:t>5.3%), vomiting (46.5%</w:t>
      </w:r>
      <w:r>
        <w:rPr>
          <w:lang w:eastAsia="ja-JP"/>
        </w:rPr>
        <w:t xml:space="preserve"> versus </w:t>
      </w:r>
      <w:r w:rsidRPr="00C31183">
        <w:rPr>
          <w:lang w:eastAsia="ja-JP"/>
        </w:rPr>
        <w:t>17.5%), constipation (42.4%</w:t>
      </w:r>
      <w:r>
        <w:rPr>
          <w:lang w:eastAsia="ja-JP"/>
        </w:rPr>
        <w:t xml:space="preserve"> versus </w:t>
      </w:r>
      <w:r w:rsidRPr="00C31183">
        <w:rPr>
          <w:lang w:eastAsia="ja-JP"/>
        </w:rPr>
        <w:t xml:space="preserve">22.8%), </w:t>
      </w:r>
      <w:r>
        <w:rPr>
          <w:lang w:eastAsia="ja-JP"/>
        </w:rPr>
        <w:t>alanine aminotransferase (</w:t>
      </w:r>
      <w:r w:rsidRPr="00C31183">
        <w:rPr>
          <w:lang w:eastAsia="ja-JP"/>
        </w:rPr>
        <w:t>ALT</w:t>
      </w:r>
      <w:r>
        <w:rPr>
          <w:lang w:eastAsia="ja-JP"/>
        </w:rPr>
        <w:t>)</w:t>
      </w:r>
      <w:r w:rsidRPr="00C31183">
        <w:rPr>
          <w:lang w:eastAsia="ja-JP"/>
        </w:rPr>
        <w:t xml:space="preserve"> increased (36.0%</w:t>
      </w:r>
      <w:r>
        <w:rPr>
          <w:lang w:eastAsia="ja-JP"/>
        </w:rPr>
        <w:t xml:space="preserve"> versus </w:t>
      </w:r>
      <w:r w:rsidRPr="00C31183">
        <w:rPr>
          <w:lang w:eastAsia="ja-JP"/>
        </w:rPr>
        <w:t>11.7%), decreased appetite (27.3%</w:t>
      </w:r>
      <w:r>
        <w:rPr>
          <w:lang w:eastAsia="ja-JP"/>
        </w:rPr>
        <w:t xml:space="preserve"> versus </w:t>
      </w:r>
      <w:r w:rsidRPr="00C31183">
        <w:rPr>
          <w:lang w:eastAsia="ja-JP"/>
        </w:rPr>
        <w:t>26.3%), fatigue (26.7%</w:t>
      </w:r>
      <w:r>
        <w:rPr>
          <w:lang w:eastAsia="ja-JP"/>
        </w:rPr>
        <w:t xml:space="preserve"> versus </w:t>
      </w:r>
      <w:r w:rsidRPr="00C31183">
        <w:rPr>
          <w:lang w:eastAsia="ja-JP"/>
        </w:rPr>
        <w:t xml:space="preserve">33.3%), </w:t>
      </w:r>
      <w:r>
        <w:rPr>
          <w:lang w:eastAsia="ja-JP"/>
        </w:rPr>
        <w:t>aspartate aminotransferase (</w:t>
      </w:r>
      <w:r w:rsidRPr="00C31183">
        <w:rPr>
          <w:lang w:eastAsia="ja-JP"/>
        </w:rPr>
        <w:t>AST</w:t>
      </w:r>
      <w:r>
        <w:rPr>
          <w:lang w:eastAsia="ja-JP"/>
        </w:rPr>
        <w:t>)</w:t>
      </w:r>
      <w:r w:rsidRPr="00C31183">
        <w:rPr>
          <w:lang w:eastAsia="ja-JP"/>
        </w:rPr>
        <w:t xml:space="preserve"> increased (26.2%</w:t>
      </w:r>
      <w:r>
        <w:rPr>
          <w:lang w:eastAsia="ja-JP"/>
        </w:rPr>
        <w:t xml:space="preserve"> versus </w:t>
      </w:r>
      <w:r w:rsidRPr="00C31183">
        <w:rPr>
          <w:lang w:eastAsia="ja-JP"/>
        </w:rPr>
        <w:t xml:space="preserve">9.4%), </w:t>
      </w:r>
      <w:proofErr w:type="spellStart"/>
      <w:r w:rsidRPr="00C31183">
        <w:rPr>
          <w:lang w:eastAsia="ja-JP"/>
        </w:rPr>
        <w:t>dysgeusia</w:t>
      </w:r>
      <w:proofErr w:type="spellEnd"/>
      <w:r w:rsidRPr="00C31183">
        <w:rPr>
          <w:lang w:eastAsia="ja-JP"/>
        </w:rPr>
        <w:t xml:space="preserve"> (25.6%</w:t>
      </w:r>
      <w:r>
        <w:rPr>
          <w:lang w:eastAsia="ja-JP"/>
        </w:rPr>
        <w:t xml:space="preserve"> versus </w:t>
      </w:r>
      <w:r w:rsidRPr="00C31183">
        <w:rPr>
          <w:lang w:eastAsia="ja-JP"/>
        </w:rPr>
        <w:t>9.4%), peripheral oedema (25.6%</w:t>
      </w:r>
      <w:r>
        <w:rPr>
          <w:lang w:eastAsia="ja-JP"/>
        </w:rPr>
        <w:t xml:space="preserve"> versus </w:t>
      </w:r>
      <w:r w:rsidRPr="00C31183">
        <w:rPr>
          <w:lang w:eastAsia="ja-JP"/>
        </w:rPr>
        <w:t>8.2%), and neutropenia (21.5%</w:t>
      </w:r>
      <w:r>
        <w:rPr>
          <w:lang w:eastAsia="ja-JP"/>
        </w:rPr>
        <w:t xml:space="preserve"> versus </w:t>
      </w:r>
      <w:r w:rsidR="00625270">
        <w:rPr>
          <w:lang w:eastAsia="ja-JP"/>
        </w:rPr>
        <w:t>10.5%).</w:t>
      </w:r>
    </w:p>
    <w:p w:rsidR="00CE4F74" w:rsidRPr="00C31183" w:rsidRDefault="00CE4F74" w:rsidP="00625270">
      <w:pPr>
        <w:rPr>
          <w:lang w:eastAsia="ja-JP"/>
        </w:rPr>
      </w:pPr>
      <w:r w:rsidRPr="00C31183">
        <w:rPr>
          <w:lang w:eastAsia="ja-JP"/>
        </w:rPr>
        <w:t xml:space="preserve">The sponsor considered that meaningfully different TEAEs were those reported with an incidence of </w:t>
      </w:r>
      <w:r>
        <w:rPr>
          <w:lang w:eastAsia="ja-JP"/>
        </w:rPr>
        <w:t>≥</w:t>
      </w:r>
      <w:r w:rsidRPr="00C31183">
        <w:rPr>
          <w:lang w:eastAsia="ja-JP"/>
        </w:rPr>
        <w:t xml:space="preserve"> 10% of patients across all cycles in either treatment arm, and with a </w:t>
      </w:r>
      <w:r>
        <w:rPr>
          <w:lang w:eastAsia="ja-JP"/>
        </w:rPr>
        <w:t>≥</w:t>
      </w:r>
      <w:r w:rsidRPr="00C31183">
        <w:rPr>
          <w:lang w:eastAsia="ja-JP"/>
        </w:rPr>
        <w:t xml:space="preserve"> 5% absolute difference between treatment arms (see Table 11, below). The TEAES identified in upper case in Table 11 (</w:t>
      </w:r>
      <w:r>
        <w:rPr>
          <w:lang w:eastAsia="ja-JP"/>
        </w:rPr>
        <w:t>for example,</w:t>
      </w:r>
      <w:r w:rsidRPr="00C31183">
        <w:rPr>
          <w:lang w:eastAsia="ja-JP"/>
        </w:rPr>
        <w:t xml:space="preserve"> VISION DISORDERS) represent adverse event clustered terms (</w:t>
      </w:r>
      <w:r>
        <w:rPr>
          <w:lang w:eastAsia="ja-JP"/>
        </w:rPr>
        <w:t>that is,</w:t>
      </w:r>
      <w:r w:rsidRPr="00C31183">
        <w:rPr>
          <w:lang w:eastAsia="ja-JP"/>
        </w:rPr>
        <w:t xml:space="preserve"> clustered </w:t>
      </w:r>
      <w:proofErr w:type="spellStart"/>
      <w:r w:rsidRPr="00C31183">
        <w:rPr>
          <w:lang w:eastAsia="ja-JP"/>
        </w:rPr>
        <w:t>MedDRA</w:t>
      </w:r>
      <w:proofErr w:type="spellEnd"/>
      <w:r w:rsidRPr="00C31183">
        <w:rPr>
          <w:lang w:eastAsia="ja-JP"/>
        </w:rPr>
        <w:t xml:space="preserve"> preferred terms) and the lower case terms are </w:t>
      </w:r>
      <w:proofErr w:type="spellStart"/>
      <w:r w:rsidRPr="00C31183">
        <w:rPr>
          <w:lang w:eastAsia="ja-JP"/>
        </w:rPr>
        <w:t>MedDRA</w:t>
      </w:r>
      <w:proofErr w:type="spellEnd"/>
      <w:r w:rsidRPr="00C31183">
        <w:rPr>
          <w:lang w:eastAsia="ja-JP"/>
        </w:rPr>
        <w:t xml:space="preserve"> preferred terms. In this CER, clustered term adverse events are identified by upper case and </w:t>
      </w:r>
      <w:proofErr w:type="spellStart"/>
      <w:r w:rsidRPr="00C31183">
        <w:rPr>
          <w:lang w:eastAsia="ja-JP"/>
        </w:rPr>
        <w:t>MedDRA</w:t>
      </w:r>
      <w:proofErr w:type="spellEnd"/>
      <w:r w:rsidRPr="00C31183">
        <w:rPr>
          <w:lang w:eastAsia="ja-JP"/>
        </w:rPr>
        <w:t xml:space="preserve"> preferred term adverse events are identified by lower case. This identification convention f</w:t>
      </w:r>
      <w:r w:rsidR="00625270">
        <w:rPr>
          <w:lang w:eastAsia="ja-JP"/>
        </w:rPr>
        <w:t>ollows that adopted in the CSR.</w:t>
      </w:r>
    </w:p>
    <w:p w:rsidR="00CE4F74" w:rsidRPr="00C31183" w:rsidRDefault="00CE4F74" w:rsidP="00625270">
      <w:pPr>
        <w:pStyle w:val="TableTitle"/>
        <w:rPr>
          <w:lang w:eastAsia="ja-JP"/>
        </w:rPr>
      </w:pPr>
      <w:bookmarkStart w:id="87" w:name="_Toc228773434"/>
      <w:r w:rsidRPr="00C31183">
        <w:rPr>
          <w:lang w:eastAsia="ja-JP"/>
        </w:rPr>
        <w:t xml:space="preserve">Table </w:t>
      </w:r>
      <w:r w:rsidRPr="00C31183">
        <w:rPr>
          <w:lang w:eastAsia="ja-JP"/>
        </w:rPr>
        <w:fldChar w:fldCharType="begin"/>
      </w:r>
      <w:r w:rsidRPr="00C31183">
        <w:rPr>
          <w:lang w:eastAsia="ja-JP"/>
        </w:rPr>
        <w:instrText xml:space="preserve"> SEQ Table \* ARABIC </w:instrText>
      </w:r>
      <w:r w:rsidRPr="00C31183">
        <w:rPr>
          <w:lang w:eastAsia="ja-JP"/>
        </w:rPr>
        <w:fldChar w:fldCharType="separate"/>
      </w:r>
      <w:r>
        <w:rPr>
          <w:noProof/>
          <w:lang w:eastAsia="ja-JP"/>
        </w:rPr>
        <w:t>11</w:t>
      </w:r>
      <w:r w:rsidRPr="00C31183">
        <w:rPr>
          <w:lang w:eastAsia="ja-JP"/>
        </w:rPr>
        <w:fldChar w:fldCharType="end"/>
      </w:r>
      <w:r w:rsidRPr="00C31183">
        <w:rPr>
          <w:lang w:eastAsia="ja-JP"/>
        </w:rPr>
        <w:t>:Most common (</w:t>
      </w:r>
      <w:r>
        <w:rPr>
          <w:lang w:eastAsia="ja-JP"/>
        </w:rPr>
        <w:t>≥</w:t>
      </w:r>
      <w:r w:rsidRPr="00C31183">
        <w:rPr>
          <w:lang w:eastAsia="ja-JP"/>
        </w:rPr>
        <w:t xml:space="preserve"> 10% patients) </w:t>
      </w:r>
      <w:r w:rsidRPr="00625270">
        <w:t>treatment</w:t>
      </w:r>
      <w:r w:rsidRPr="00C31183">
        <w:rPr>
          <w:lang w:eastAsia="ja-JP"/>
        </w:rPr>
        <w:t xml:space="preserve">-emergent all-causality </w:t>
      </w:r>
      <w:r>
        <w:rPr>
          <w:lang w:eastAsia="ja-JP"/>
        </w:rPr>
        <w:t>AEs</w:t>
      </w:r>
      <w:r w:rsidRPr="00C31183">
        <w:rPr>
          <w:lang w:eastAsia="ja-JP"/>
        </w:rPr>
        <w:t xml:space="preserve"> with a </w:t>
      </w:r>
      <w:r>
        <w:rPr>
          <w:lang w:eastAsia="ja-JP"/>
        </w:rPr>
        <w:t>≥</w:t>
      </w:r>
      <w:r w:rsidRPr="00C31183">
        <w:rPr>
          <w:lang w:eastAsia="ja-JP"/>
        </w:rPr>
        <w:t xml:space="preserve"> 5% absolute difference between treatments, unshaded terms occurred at a higher frequency on </w:t>
      </w:r>
      <w:proofErr w:type="spellStart"/>
      <w:r w:rsidRPr="00C31183">
        <w:rPr>
          <w:lang w:eastAsia="ja-JP"/>
        </w:rPr>
        <w:t>crizotinib</w:t>
      </w:r>
      <w:proofErr w:type="spellEnd"/>
      <w:r w:rsidRPr="00C31183">
        <w:rPr>
          <w:lang w:eastAsia="ja-JP"/>
        </w:rPr>
        <w:t xml:space="preserve"> than chemotherapy and shaded terms occurred at a higher frequency on chemotherapy than </w:t>
      </w:r>
      <w:proofErr w:type="spellStart"/>
      <w:r w:rsidRPr="00C31183">
        <w:rPr>
          <w:lang w:eastAsia="ja-JP"/>
        </w:rPr>
        <w:t>crizotinib</w:t>
      </w:r>
      <w:proofErr w:type="spellEnd"/>
      <w:r w:rsidRPr="00C31183">
        <w:rPr>
          <w:lang w:eastAsia="ja-JP"/>
        </w:rPr>
        <w:t>; SA</w:t>
      </w:r>
      <w:bookmarkEnd w:id="87"/>
    </w:p>
    <w:tbl>
      <w:tblPr>
        <w:tblStyle w:val="TableTGAblue"/>
        <w:tblW w:w="0" w:type="auto"/>
        <w:tblLook w:val="00A0" w:firstRow="1" w:lastRow="0" w:firstColumn="1" w:lastColumn="0" w:noHBand="0" w:noVBand="0"/>
      </w:tblPr>
      <w:tblGrid>
        <w:gridCol w:w="3544"/>
        <w:gridCol w:w="2952"/>
        <w:gridCol w:w="2330"/>
      </w:tblGrid>
      <w:tr w:rsidR="00CE4F74" w:rsidRPr="00C31183" w:rsidTr="00226DD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544" w:type="dxa"/>
          </w:tcPr>
          <w:p w:rsidR="00CE4F74" w:rsidRPr="00DA4DDC" w:rsidRDefault="00226DDE" w:rsidP="00226DDE">
            <w:pPr>
              <w:ind w:left="0" w:right="67"/>
              <w:rPr>
                <w:lang w:eastAsia="ja-JP"/>
              </w:rPr>
            </w:pPr>
            <w:r>
              <w:rPr>
                <w:lang w:eastAsia="ja-JP"/>
              </w:rPr>
              <w:t>Events</w:t>
            </w:r>
          </w:p>
        </w:tc>
        <w:tc>
          <w:tcPr>
            <w:tcW w:w="2952" w:type="dxa"/>
          </w:tcPr>
          <w:p w:rsidR="00CE4F74" w:rsidRPr="00DA4DDC" w:rsidRDefault="00226DDE" w:rsidP="00226DDE">
            <w:pPr>
              <w:ind w:left="0" w:right="0"/>
              <w:cnfStyle w:val="100000000000" w:firstRow="1" w:lastRow="0" w:firstColumn="0" w:lastColumn="0" w:oddVBand="0" w:evenVBand="0" w:oddHBand="0" w:evenHBand="0" w:firstRowFirstColumn="0" w:firstRowLastColumn="0" w:lastRowFirstColumn="0" w:lastRowLastColumn="0"/>
              <w:rPr>
                <w:lang w:eastAsia="ja-JP"/>
              </w:rPr>
            </w:pPr>
            <w:proofErr w:type="spellStart"/>
            <w:r>
              <w:rPr>
                <w:lang w:eastAsia="ja-JP"/>
              </w:rPr>
              <w:t>Crizotinib</w:t>
            </w:r>
            <w:proofErr w:type="spellEnd"/>
            <w:r>
              <w:rPr>
                <w:lang w:eastAsia="ja-JP"/>
              </w:rPr>
              <w:t xml:space="preserve"> (n=172); n (%)</w:t>
            </w:r>
          </w:p>
        </w:tc>
        <w:tc>
          <w:tcPr>
            <w:tcW w:w="2330" w:type="dxa"/>
          </w:tcPr>
          <w:p w:rsidR="00CE4F74" w:rsidRPr="00DA4DDC" w:rsidRDefault="00226DDE" w:rsidP="00226DDE">
            <w:pPr>
              <w:ind w:left="0" w:right="0"/>
              <w:cnfStyle w:val="100000000000" w:firstRow="1" w:lastRow="0" w:firstColumn="0" w:lastColumn="0" w:oddVBand="0" w:evenVBand="0" w:oddHBand="0" w:evenHBand="0" w:firstRowFirstColumn="0" w:firstRowLastColumn="0" w:lastRowFirstColumn="0" w:lastRowLastColumn="0"/>
              <w:rPr>
                <w:lang w:eastAsia="ja-JP"/>
              </w:rPr>
            </w:pPr>
            <w:r>
              <w:rPr>
                <w:lang w:eastAsia="ja-JP"/>
              </w:rPr>
              <w:t>Chemotherapy (n=171); n (%)</w:t>
            </w:r>
          </w:p>
        </w:tc>
      </w:tr>
      <w:tr w:rsidR="00CE4F74" w:rsidRPr="00C31183" w:rsidTr="00226DDE">
        <w:trPr>
          <w:trHeight w:val="20"/>
        </w:trPr>
        <w:tc>
          <w:tcPr>
            <w:cnfStyle w:val="001000000000" w:firstRow="0" w:lastRow="0" w:firstColumn="1" w:lastColumn="0" w:oddVBand="0" w:evenVBand="0" w:oddHBand="0" w:evenHBand="0" w:firstRowFirstColumn="0" w:firstRowLastColumn="0" w:lastRowFirstColumn="0" w:lastRowLastColumn="0"/>
            <w:tcW w:w="3544" w:type="dxa"/>
          </w:tcPr>
          <w:p w:rsidR="00CE4F74" w:rsidRPr="00DA4DDC" w:rsidRDefault="00CE4F74" w:rsidP="00226DDE">
            <w:pPr>
              <w:ind w:left="0" w:right="67"/>
              <w:rPr>
                <w:color w:val="000000"/>
                <w:lang w:eastAsia="ja-JP"/>
              </w:rPr>
            </w:pPr>
            <w:r w:rsidRPr="00DA4DDC">
              <w:rPr>
                <w:color w:val="000000"/>
                <w:lang w:eastAsia="ja-JP"/>
              </w:rPr>
              <w:t>Diarrhoea</w:t>
            </w:r>
          </w:p>
        </w:tc>
        <w:tc>
          <w:tcPr>
            <w:tcW w:w="2952" w:type="dxa"/>
          </w:tcPr>
          <w:p w:rsidR="00CE4F74" w:rsidRPr="00DA4DDC" w:rsidRDefault="00226DDE"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103 (59.9)</w:t>
            </w:r>
          </w:p>
        </w:tc>
        <w:tc>
          <w:tcPr>
            <w:tcW w:w="2330"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33 (19.3)</w:t>
            </w:r>
          </w:p>
        </w:tc>
      </w:tr>
      <w:tr w:rsidR="00CE4F74" w:rsidRPr="00C31183" w:rsidTr="00226DDE">
        <w:trPr>
          <w:trHeight w:val="20"/>
        </w:trPr>
        <w:tc>
          <w:tcPr>
            <w:cnfStyle w:val="001000000000" w:firstRow="0" w:lastRow="0" w:firstColumn="1" w:lastColumn="0" w:oddVBand="0" w:evenVBand="0" w:oddHBand="0" w:evenHBand="0" w:firstRowFirstColumn="0" w:firstRowLastColumn="0" w:lastRowFirstColumn="0" w:lastRowLastColumn="0"/>
            <w:tcW w:w="3544" w:type="dxa"/>
          </w:tcPr>
          <w:p w:rsidR="00CE4F74" w:rsidRPr="00DA4DDC" w:rsidRDefault="00CE4F74" w:rsidP="00226DDE">
            <w:pPr>
              <w:ind w:left="0" w:right="67"/>
              <w:rPr>
                <w:color w:val="000000"/>
                <w:lang w:eastAsia="ja-JP"/>
              </w:rPr>
            </w:pPr>
            <w:r w:rsidRPr="00DA4DDC">
              <w:rPr>
                <w:color w:val="000000"/>
                <w:lang w:eastAsia="ja-JP"/>
              </w:rPr>
              <w:t>VISION DISORDER</w:t>
            </w:r>
          </w:p>
        </w:tc>
        <w:tc>
          <w:tcPr>
            <w:tcW w:w="2952" w:type="dxa"/>
          </w:tcPr>
          <w:p w:rsidR="00CE4F74" w:rsidRPr="00DA4DDC" w:rsidRDefault="00226DDE"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103 (59.9)</w:t>
            </w:r>
          </w:p>
        </w:tc>
        <w:tc>
          <w:tcPr>
            <w:tcW w:w="2330"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16 (9.4)</w:t>
            </w:r>
          </w:p>
        </w:tc>
      </w:tr>
      <w:tr w:rsidR="00CE4F74" w:rsidRPr="00C31183" w:rsidTr="00226DDE">
        <w:trPr>
          <w:trHeight w:val="20"/>
        </w:trPr>
        <w:tc>
          <w:tcPr>
            <w:cnfStyle w:val="001000000000" w:firstRow="0" w:lastRow="0" w:firstColumn="1" w:lastColumn="0" w:oddVBand="0" w:evenVBand="0" w:oddHBand="0" w:evenHBand="0" w:firstRowFirstColumn="0" w:firstRowLastColumn="0" w:lastRowFirstColumn="0" w:lastRowLastColumn="0"/>
            <w:tcW w:w="3544" w:type="dxa"/>
          </w:tcPr>
          <w:p w:rsidR="00CE4F74" w:rsidRPr="00DA4DDC" w:rsidRDefault="00CE4F74" w:rsidP="00226DDE">
            <w:pPr>
              <w:ind w:left="0" w:right="67"/>
              <w:rPr>
                <w:color w:val="000000"/>
                <w:lang w:eastAsia="ja-JP"/>
              </w:rPr>
            </w:pPr>
            <w:r w:rsidRPr="00DA4DDC">
              <w:rPr>
                <w:color w:val="000000"/>
                <w:lang w:eastAsia="ja-JP"/>
              </w:rPr>
              <w:t>Nausea</w:t>
            </w:r>
          </w:p>
        </w:tc>
        <w:tc>
          <w:tcPr>
            <w:tcW w:w="2952" w:type="dxa"/>
          </w:tcPr>
          <w:p w:rsidR="00CE4F74" w:rsidRPr="00DA4DDC" w:rsidRDefault="00226DDE"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94 (54.7)</w:t>
            </w:r>
          </w:p>
        </w:tc>
        <w:tc>
          <w:tcPr>
            <w:tcW w:w="2330"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64 (37.4)</w:t>
            </w:r>
          </w:p>
        </w:tc>
      </w:tr>
      <w:tr w:rsidR="00CE4F74" w:rsidRPr="00C31183" w:rsidTr="00226DDE">
        <w:trPr>
          <w:trHeight w:val="20"/>
        </w:trPr>
        <w:tc>
          <w:tcPr>
            <w:cnfStyle w:val="001000000000" w:firstRow="0" w:lastRow="0" w:firstColumn="1" w:lastColumn="0" w:oddVBand="0" w:evenVBand="0" w:oddHBand="0" w:evenHBand="0" w:firstRowFirstColumn="0" w:firstRowLastColumn="0" w:lastRowFirstColumn="0" w:lastRowLastColumn="0"/>
            <w:tcW w:w="3544" w:type="dxa"/>
          </w:tcPr>
          <w:p w:rsidR="00CE4F74" w:rsidRPr="00DA4DDC" w:rsidRDefault="00CE4F74" w:rsidP="00226DDE">
            <w:pPr>
              <w:ind w:left="0" w:right="67"/>
              <w:rPr>
                <w:color w:val="000000"/>
                <w:lang w:eastAsia="ja-JP"/>
              </w:rPr>
            </w:pPr>
            <w:r w:rsidRPr="00DA4DDC">
              <w:rPr>
                <w:color w:val="000000"/>
                <w:lang w:eastAsia="ja-JP"/>
              </w:rPr>
              <w:t>Vomiting</w:t>
            </w:r>
          </w:p>
        </w:tc>
        <w:tc>
          <w:tcPr>
            <w:tcW w:w="2952"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80 (46.5)</w:t>
            </w:r>
          </w:p>
        </w:tc>
        <w:tc>
          <w:tcPr>
            <w:tcW w:w="2330"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30 (17.5)</w:t>
            </w:r>
          </w:p>
        </w:tc>
      </w:tr>
      <w:tr w:rsidR="00CE4F74" w:rsidRPr="00C31183" w:rsidTr="00226DDE">
        <w:trPr>
          <w:trHeight w:val="20"/>
        </w:trPr>
        <w:tc>
          <w:tcPr>
            <w:cnfStyle w:val="001000000000" w:firstRow="0" w:lastRow="0" w:firstColumn="1" w:lastColumn="0" w:oddVBand="0" w:evenVBand="0" w:oddHBand="0" w:evenHBand="0" w:firstRowFirstColumn="0" w:firstRowLastColumn="0" w:lastRowFirstColumn="0" w:lastRowLastColumn="0"/>
            <w:tcW w:w="3544" w:type="dxa"/>
          </w:tcPr>
          <w:p w:rsidR="00CE4F74" w:rsidRPr="00DA4DDC" w:rsidRDefault="00CE4F74" w:rsidP="00226DDE">
            <w:pPr>
              <w:ind w:left="0" w:right="67"/>
              <w:rPr>
                <w:color w:val="000000"/>
                <w:lang w:eastAsia="ja-JP"/>
              </w:rPr>
            </w:pPr>
            <w:r w:rsidRPr="00DA4DDC">
              <w:rPr>
                <w:color w:val="000000"/>
                <w:lang w:eastAsia="ja-JP"/>
              </w:rPr>
              <w:t>Constipation</w:t>
            </w:r>
          </w:p>
        </w:tc>
        <w:tc>
          <w:tcPr>
            <w:tcW w:w="2952"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73 (42.4)</w:t>
            </w:r>
          </w:p>
        </w:tc>
        <w:tc>
          <w:tcPr>
            <w:tcW w:w="2330"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39 (22.8)</w:t>
            </w:r>
          </w:p>
        </w:tc>
      </w:tr>
      <w:tr w:rsidR="00CE4F74" w:rsidRPr="00C31183" w:rsidTr="00226DDE">
        <w:trPr>
          <w:trHeight w:val="20"/>
        </w:trPr>
        <w:tc>
          <w:tcPr>
            <w:cnfStyle w:val="001000000000" w:firstRow="0" w:lastRow="0" w:firstColumn="1" w:lastColumn="0" w:oddVBand="0" w:evenVBand="0" w:oddHBand="0" w:evenHBand="0" w:firstRowFirstColumn="0" w:firstRowLastColumn="0" w:lastRowFirstColumn="0" w:lastRowLastColumn="0"/>
            <w:tcW w:w="3544" w:type="dxa"/>
          </w:tcPr>
          <w:p w:rsidR="00CE4F74" w:rsidRPr="00DA4DDC" w:rsidRDefault="00CE4F74" w:rsidP="00226DDE">
            <w:pPr>
              <w:ind w:left="0" w:right="67"/>
              <w:rPr>
                <w:color w:val="000000"/>
                <w:lang w:eastAsia="ja-JP"/>
              </w:rPr>
            </w:pPr>
            <w:r w:rsidRPr="00DA4DDC">
              <w:rPr>
                <w:color w:val="000000"/>
                <w:lang w:eastAsia="ja-JP"/>
              </w:rPr>
              <w:t>ELEVATED TRANSA</w:t>
            </w:r>
            <w:r w:rsidR="00226DDE">
              <w:rPr>
                <w:color w:val="000000"/>
                <w:lang w:eastAsia="ja-JP"/>
              </w:rPr>
              <w:t>MINASES</w:t>
            </w:r>
          </w:p>
        </w:tc>
        <w:tc>
          <w:tcPr>
            <w:tcW w:w="2952" w:type="dxa"/>
          </w:tcPr>
          <w:p w:rsidR="00CE4F74" w:rsidRPr="00DA4DDC" w:rsidRDefault="00226DDE"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66 (38.4)</w:t>
            </w:r>
          </w:p>
        </w:tc>
        <w:tc>
          <w:tcPr>
            <w:tcW w:w="2330" w:type="dxa"/>
          </w:tcPr>
          <w:p w:rsidR="00CE4F74" w:rsidRPr="00DA4DDC" w:rsidRDefault="00226DDE"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25 (14.6)</w:t>
            </w:r>
          </w:p>
        </w:tc>
      </w:tr>
      <w:tr w:rsidR="00CE4F74" w:rsidRPr="00C31183" w:rsidTr="00226DDE">
        <w:trPr>
          <w:trHeight w:val="20"/>
        </w:trPr>
        <w:tc>
          <w:tcPr>
            <w:cnfStyle w:val="001000000000" w:firstRow="0" w:lastRow="0" w:firstColumn="1" w:lastColumn="0" w:oddVBand="0" w:evenVBand="0" w:oddHBand="0" w:evenHBand="0" w:firstRowFirstColumn="0" w:firstRowLastColumn="0" w:lastRowFirstColumn="0" w:lastRowLastColumn="0"/>
            <w:tcW w:w="3544" w:type="dxa"/>
          </w:tcPr>
          <w:p w:rsidR="00CE4F74" w:rsidRPr="00DA4DDC" w:rsidRDefault="00CE4F74" w:rsidP="00226DDE">
            <w:pPr>
              <w:ind w:left="0" w:right="67"/>
              <w:rPr>
                <w:color w:val="000000"/>
                <w:lang w:eastAsia="ja-JP"/>
              </w:rPr>
            </w:pPr>
            <w:r w:rsidRPr="00DA4DDC">
              <w:rPr>
                <w:color w:val="000000"/>
                <w:lang w:eastAsia="ja-JP"/>
              </w:rPr>
              <w:t>EDEMA</w:t>
            </w:r>
          </w:p>
        </w:tc>
        <w:tc>
          <w:tcPr>
            <w:tcW w:w="2952" w:type="dxa"/>
          </w:tcPr>
          <w:p w:rsidR="00CE4F74" w:rsidRPr="00DA4DDC" w:rsidRDefault="00226DDE"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54 (31.4)</w:t>
            </w:r>
          </w:p>
        </w:tc>
        <w:tc>
          <w:tcPr>
            <w:tcW w:w="2330" w:type="dxa"/>
          </w:tcPr>
          <w:p w:rsidR="00CE4F74" w:rsidRPr="00DA4DDC" w:rsidRDefault="00226DDE"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27 (15.8)</w:t>
            </w:r>
          </w:p>
        </w:tc>
      </w:tr>
      <w:tr w:rsidR="00CE4F74" w:rsidRPr="00C31183" w:rsidTr="00226DDE">
        <w:trPr>
          <w:trHeight w:val="20"/>
        </w:trPr>
        <w:tc>
          <w:tcPr>
            <w:cnfStyle w:val="001000000000" w:firstRow="0" w:lastRow="0" w:firstColumn="1" w:lastColumn="0" w:oddVBand="0" w:evenVBand="0" w:oddHBand="0" w:evenHBand="0" w:firstRowFirstColumn="0" w:firstRowLastColumn="0" w:lastRowFirstColumn="0" w:lastRowLastColumn="0"/>
            <w:tcW w:w="3544" w:type="dxa"/>
          </w:tcPr>
          <w:p w:rsidR="00CE4F74" w:rsidRPr="00DA4DDC" w:rsidRDefault="00CE4F74" w:rsidP="00226DDE">
            <w:pPr>
              <w:ind w:left="0" w:right="67"/>
              <w:rPr>
                <w:color w:val="000000"/>
                <w:lang w:eastAsia="ja-JP"/>
              </w:rPr>
            </w:pPr>
            <w:proofErr w:type="spellStart"/>
            <w:r w:rsidRPr="00DA4DDC">
              <w:rPr>
                <w:color w:val="000000"/>
                <w:lang w:eastAsia="ja-JP"/>
              </w:rPr>
              <w:t>Dysgeusia</w:t>
            </w:r>
            <w:proofErr w:type="spellEnd"/>
          </w:p>
        </w:tc>
        <w:tc>
          <w:tcPr>
            <w:tcW w:w="2952" w:type="dxa"/>
          </w:tcPr>
          <w:p w:rsidR="00CE4F74" w:rsidRPr="00DA4DDC" w:rsidRDefault="00226DDE"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44 (25.6)</w:t>
            </w:r>
          </w:p>
        </w:tc>
        <w:tc>
          <w:tcPr>
            <w:tcW w:w="2330" w:type="dxa"/>
          </w:tcPr>
          <w:p w:rsidR="00CE4F74" w:rsidRPr="00DA4DDC" w:rsidRDefault="00226DDE"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16 (9.4)</w:t>
            </w:r>
          </w:p>
        </w:tc>
      </w:tr>
      <w:tr w:rsidR="00CE4F74" w:rsidRPr="00C31183" w:rsidTr="00226DDE">
        <w:trPr>
          <w:trHeight w:val="20"/>
        </w:trPr>
        <w:tc>
          <w:tcPr>
            <w:cnfStyle w:val="001000000000" w:firstRow="0" w:lastRow="0" w:firstColumn="1" w:lastColumn="0" w:oddVBand="0" w:evenVBand="0" w:oddHBand="0" w:evenHBand="0" w:firstRowFirstColumn="0" w:firstRowLastColumn="0" w:lastRowFirstColumn="0" w:lastRowLastColumn="0"/>
            <w:tcW w:w="3544" w:type="dxa"/>
          </w:tcPr>
          <w:p w:rsidR="00CE4F74" w:rsidRPr="00DA4DDC" w:rsidRDefault="00226DDE" w:rsidP="00226DDE">
            <w:pPr>
              <w:ind w:left="0" w:right="67"/>
              <w:rPr>
                <w:color w:val="000000"/>
                <w:lang w:eastAsia="ja-JP"/>
              </w:rPr>
            </w:pPr>
            <w:r>
              <w:rPr>
                <w:color w:val="000000"/>
                <w:lang w:eastAsia="ja-JP"/>
              </w:rPr>
              <w:t>UPPER RESPIRATORY INFECTION</w:t>
            </w:r>
          </w:p>
        </w:tc>
        <w:tc>
          <w:tcPr>
            <w:tcW w:w="2952" w:type="dxa"/>
          </w:tcPr>
          <w:p w:rsidR="00CE4F74" w:rsidRPr="00DA4DDC" w:rsidRDefault="00226DDE"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44 (25.6)</w:t>
            </w:r>
          </w:p>
        </w:tc>
        <w:tc>
          <w:tcPr>
            <w:tcW w:w="2330"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22 (12.9)</w:t>
            </w:r>
          </w:p>
        </w:tc>
      </w:tr>
      <w:tr w:rsidR="00CE4F74" w:rsidRPr="00C31183" w:rsidTr="00226DDE">
        <w:trPr>
          <w:trHeight w:val="20"/>
        </w:trPr>
        <w:tc>
          <w:tcPr>
            <w:cnfStyle w:val="001000000000" w:firstRow="0" w:lastRow="0" w:firstColumn="1" w:lastColumn="0" w:oddVBand="0" w:evenVBand="0" w:oddHBand="0" w:evenHBand="0" w:firstRowFirstColumn="0" w:firstRowLastColumn="0" w:lastRowFirstColumn="0" w:lastRowLastColumn="0"/>
            <w:tcW w:w="3544" w:type="dxa"/>
          </w:tcPr>
          <w:p w:rsidR="00CE4F74" w:rsidRPr="00DA4DDC" w:rsidRDefault="00CE4F74" w:rsidP="00226DDE">
            <w:pPr>
              <w:ind w:left="0" w:right="67"/>
              <w:rPr>
                <w:color w:val="000000"/>
                <w:lang w:eastAsia="ja-JP"/>
              </w:rPr>
            </w:pPr>
            <w:r w:rsidRPr="00DA4DDC">
              <w:rPr>
                <w:color w:val="000000"/>
                <w:lang w:eastAsia="ja-JP"/>
              </w:rPr>
              <w:t>DIZZINESS</w:t>
            </w:r>
          </w:p>
        </w:tc>
        <w:tc>
          <w:tcPr>
            <w:tcW w:w="2952" w:type="dxa"/>
          </w:tcPr>
          <w:p w:rsidR="00CE4F74" w:rsidRPr="00DA4DDC" w:rsidRDefault="00226DDE"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37 (21.5)</w:t>
            </w:r>
          </w:p>
        </w:tc>
        <w:tc>
          <w:tcPr>
            <w:tcW w:w="2330"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14 (8.2)</w:t>
            </w:r>
          </w:p>
        </w:tc>
      </w:tr>
      <w:tr w:rsidR="00CE4F74" w:rsidRPr="00C31183" w:rsidTr="00226DDE">
        <w:trPr>
          <w:trHeight w:val="20"/>
        </w:trPr>
        <w:tc>
          <w:tcPr>
            <w:cnfStyle w:val="001000000000" w:firstRow="0" w:lastRow="0" w:firstColumn="1" w:lastColumn="0" w:oddVBand="0" w:evenVBand="0" w:oddHBand="0" w:evenHBand="0" w:firstRowFirstColumn="0" w:firstRowLastColumn="0" w:lastRowFirstColumn="0" w:lastRowLastColumn="0"/>
            <w:tcW w:w="3544" w:type="dxa"/>
          </w:tcPr>
          <w:p w:rsidR="00CE4F74" w:rsidRPr="00DA4DDC" w:rsidRDefault="00CE4F74" w:rsidP="00226DDE">
            <w:pPr>
              <w:ind w:left="0" w:right="67"/>
              <w:rPr>
                <w:color w:val="000000"/>
                <w:lang w:eastAsia="ja-JP"/>
              </w:rPr>
            </w:pPr>
            <w:r w:rsidRPr="00DA4DDC">
              <w:rPr>
                <w:color w:val="000000"/>
                <w:lang w:eastAsia="ja-JP"/>
              </w:rPr>
              <w:t>Fatigue</w:t>
            </w:r>
          </w:p>
        </w:tc>
        <w:tc>
          <w:tcPr>
            <w:tcW w:w="2952"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46 (26.7)</w:t>
            </w:r>
          </w:p>
        </w:tc>
        <w:tc>
          <w:tcPr>
            <w:tcW w:w="2330"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57 (33.3)</w:t>
            </w:r>
          </w:p>
        </w:tc>
      </w:tr>
      <w:tr w:rsidR="00CE4F74" w:rsidRPr="00C31183" w:rsidTr="00226DDE">
        <w:trPr>
          <w:trHeight w:val="20"/>
        </w:trPr>
        <w:tc>
          <w:tcPr>
            <w:cnfStyle w:val="001000000000" w:firstRow="0" w:lastRow="0" w:firstColumn="1" w:lastColumn="0" w:oddVBand="0" w:evenVBand="0" w:oddHBand="0" w:evenHBand="0" w:firstRowFirstColumn="0" w:firstRowLastColumn="0" w:lastRowFirstColumn="0" w:lastRowLastColumn="0"/>
            <w:tcW w:w="3544" w:type="dxa"/>
          </w:tcPr>
          <w:p w:rsidR="00CE4F74" w:rsidRPr="00DA4DDC" w:rsidRDefault="00CE4F74" w:rsidP="00226DDE">
            <w:pPr>
              <w:ind w:left="0" w:right="67"/>
              <w:rPr>
                <w:color w:val="000000"/>
                <w:lang w:eastAsia="ja-JP"/>
              </w:rPr>
            </w:pPr>
            <w:r w:rsidRPr="00DA4DDC">
              <w:rPr>
                <w:color w:val="000000"/>
                <w:lang w:eastAsia="ja-JP"/>
              </w:rPr>
              <w:t>Alopecia</w:t>
            </w:r>
          </w:p>
        </w:tc>
        <w:tc>
          <w:tcPr>
            <w:tcW w:w="2952"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14 (8.1)</w:t>
            </w:r>
          </w:p>
        </w:tc>
        <w:tc>
          <w:tcPr>
            <w:tcW w:w="2330"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35 (20.5)</w:t>
            </w:r>
          </w:p>
        </w:tc>
      </w:tr>
      <w:tr w:rsidR="00CE4F74" w:rsidRPr="00C31183" w:rsidTr="00226DDE">
        <w:trPr>
          <w:trHeight w:val="20"/>
        </w:trPr>
        <w:tc>
          <w:tcPr>
            <w:cnfStyle w:val="001000000000" w:firstRow="0" w:lastRow="0" w:firstColumn="1" w:lastColumn="0" w:oddVBand="0" w:evenVBand="0" w:oddHBand="0" w:evenHBand="0" w:firstRowFirstColumn="0" w:firstRowLastColumn="0" w:lastRowFirstColumn="0" w:lastRowLastColumn="0"/>
            <w:tcW w:w="3544" w:type="dxa"/>
          </w:tcPr>
          <w:p w:rsidR="00CE4F74" w:rsidRPr="00DA4DDC" w:rsidRDefault="00CE4F74" w:rsidP="00226DDE">
            <w:pPr>
              <w:ind w:left="0" w:right="67"/>
              <w:rPr>
                <w:color w:val="000000"/>
                <w:lang w:eastAsia="ja-JP"/>
              </w:rPr>
            </w:pPr>
            <w:r w:rsidRPr="00DA4DDC">
              <w:rPr>
                <w:color w:val="000000"/>
                <w:lang w:eastAsia="ja-JP"/>
              </w:rPr>
              <w:lastRenderedPageBreak/>
              <w:t>DYSPNEA</w:t>
            </w:r>
          </w:p>
        </w:tc>
        <w:tc>
          <w:tcPr>
            <w:tcW w:w="2952"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23 (13.4)</w:t>
            </w:r>
          </w:p>
        </w:tc>
        <w:tc>
          <w:tcPr>
            <w:tcW w:w="2330"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32 (18.7)</w:t>
            </w:r>
          </w:p>
        </w:tc>
      </w:tr>
      <w:tr w:rsidR="00CE4F74" w:rsidRPr="00C31183" w:rsidTr="00226DDE">
        <w:trPr>
          <w:trHeight w:val="20"/>
        </w:trPr>
        <w:tc>
          <w:tcPr>
            <w:cnfStyle w:val="001000000000" w:firstRow="0" w:lastRow="0" w:firstColumn="1" w:lastColumn="0" w:oddVBand="0" w:evenVBand="0" w:oddHBand="0" w:evenHBand="0" w:firstRowFirstColumn="0" w:firstRowLastColumn="0" w:lastRowFirstColumn="0" w:lastRowLastColumn="0"/>
            <w:tcW w:w="3544" w:type="dxa"/>
          </w:tcPr>
          <w:p w:rsidR="00CE4F74" w:rsidRPr="00DA4DDC" w:rsidRDefault="00226DDE" w:rsidP="00226DDE">
            <w:pPr>
              <w:ind w:left="0" w:right="67"/>
              <w:rPr>
                <w:color w:val="000000"/>
                <w:lang w:eastAsia="ja-JP"/>
              </w:rPr>
            </w:pPr>
            <w:r>
              <w:rPr>
                <w:color w:val="000000"/>
                <w:lang w:eastAsia="ja-JP"/>
              </w:rPr>
              <w:t>Rash</w:t>
            </w:r>
          </w:p>
        </w:tc>
        <w:tc>
          <w:tcPr>
            <w:tcW w:w="2952"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15 (8.7)</w:t>
            </w:r>
          </w:p>
        </w:tc>
        <w:tc>
          <w:tcPr>
            <w:tcW w:w="2330"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29 (17.0)</w:t>
            </w:r>
          </w:p>
        </w:tc>
      </w:tr>
      <w:tr w:rsidR="00CE4F74" w:rsidRPr="00C31183" w:rsidTr="00226DDE">
        <w:trPr>
          <w:trHeight w:val="20"/>
        </w:trPr>
        <w:tc>
          <w:tcPr>
            <w:cnfStyle w:val="001000000000" w:firstRow="0" w:lastRow="0" w:firstColumn="1" w:lastColumn="0" w:oddVBand="0" w:evenVBand="0" w:oddHBand="0" w:evenHBand="0" w:firstRowFirstColumn="0" w:firstRowLastColumn="0" w:lastRowFirstColumn="0" w:lastRowLastColumn="0"/>
            <w:tcW w:w="3544" w:type="dxa"/>
          </w:tcPr>
          <w:p w:rsidR="00CE4F74" w:rsidRPr="00DA4DDC" w:rsidRDefault="00CE4F74" w:rsidP="00226DDE">
            <w:pPr>
              <w:ind w:left="0" w:right="67"/>
              <w:rPr>
                <w:color w:val="000000"/>
                <w:lang w:eastAsia="ja-JP"/>
              </w:rPr>
            </w:pPr>
            <w:r w:rsidRPr="00DA4DDC">
              <w:rPr>
                <w:color w:val="000000"/>
                <w:lang w:eastAsia="ja-JP"/>
              </w:rPr>
              <w:t>Arthralgia</w:t>
            </w:r>
          </w:p>
        </w:tc>
        <w:tc>
          <w:tcPr>
            <w:tcW w:w="2952"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11 (6.4)</w:t>
            </w:r>
          </w:p>
        </w:tc>
        <w:tc>
          <w:tcPr>
            <w:tcW w:w="2330"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20 (11.7)</w:t>
            </w:r>
          </w:p>
        </w:tc>
      </w:tr>
      <w:tr w:rsidR="00CE4F74" w:rsidRPr="00C31183" w:rsidTr="00226DDE">
        <w:trPr>
          <w:trHeight w:val="20"/>
        </w:trPr>
        <w:tc>
          <w:tcPr>
            <w:cnfStyle w:val="001000000000" w:firstRow="0" w:lastRow="0" w:firstColumn="1" w:lastColumn="0" w:oddVBand="0" w:evenVBand="0" w:oddHBand="0" w:evenHBand="0" w:firstRowFirstColumn="0" w:firstRowLastColumn="0" w:lastRowFirstColumn="0" w:lastRowLastColumn="0"/>
            <w:tcW w:w="3544" w:type="dxa"/>
          </w:tcPr>
          <w:p w:rsidR="00CE4F74" w:rsidRPr="00DA4DDC" w:rsidRDefault="00CE4F74" w:rsidP="00226DDE">
            <w:pPr>
              <w:ind w:left="0" w:right="67"/>
              <w:rPr>
                <w:color w:val="000000"/>
                <w:lang w:eastAsia="ja-JP"/>
              </w:rPr>
            </w:pPr>
            <w:r w:rsidRPr="00DA4DDC">
              <w:rPr>
                <w:color w:val="000000"/>
                <w:lang w:eastAsia="ja-JP"/>
              </w:rPr>
              <w:t>Myalgia</w:t>
            </w:r>
          </w:p>
        </w:tc>
        <w:tc>
          <w:tcPr>
            <w:tcW w:w="2952"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 (1.7)</w:t>
            </w:r>
          </w:p>
        </w:tc>
        <w:tc>
          <w:tcPr>
            <w:tcW w:w="2330"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18 (10.5)</w:t>
            </w:r>
          </w:p>
        </w:tc>
      </w:tr>
    </w:tbl>
    <w:p w:rsidR="00CE4F74" w:rsidRPr="00C31183" w:rsidRDefault="00CE4F74" w:rsidP="00226DDE">
      <w:pPr>
        <w:pStyle w:val="TableDescription"/>
        <w:rPr>
          <w:lang w:eastAsia="ja-JP"/>
        </w:rPr>
      </w:pPr>
      <w:proofErr w:type="spellStart"/>
      <w:r w:rsidRPr="000571BA">
        <w:rPr>
          <w:lang w:eastAsia="ja-JP"/>
        </w:rPr>
        <w:t>MedDRA</w:t>
      </w:r>
      <w:proofErr w:type="spellEnd"/>
      <w:r w:rsidRPr="000571BA">
        <w:rPr>
          <w:lang w:eastAsia="ja-JP"/>
        </w:rPr>
        <w:t xml:space="preserve"> (v15.0) coding dictionary applied.</w:t>
      </w:r>
    </w:p>
    <w:p w:rsidR="00CE4F74" w:rsidRPr="00C31183" w:rsidRDefault="00CE4F74" w:rsidP="00226DDE">
      <w:pPr>
        <w:rPr>
          <w:lang w:eastAsia="ja-JP"/>
        </w:rPr>
      </w:pPr>
      <w:proofErr w:type="spellStart"/>
      <w:r w:rsidRPr="00C31183">
        <w:rPr>
          <w:b/>
          <w:lang w:eastAsia="ja-JP"/>
        </w:rPr>
        <w:t>Crizotinib</w:t>
      </w:r>
      <w:proofErr w:type="spellEnd"/>
      <w:r w:rsidRPr="00C31183">
        <w:rPr>
          <w:b/>
          <w:lang w:eastAsia="ja-JP"/>
        </w:rPr>
        <w:t xml:space="preserve"> (n=172)</w:t>
      </w:r>
      <w:r>
        <w:rPr>
          <w:b/>
          <w:lang w:eastAsia="ja-JP"/>
        </w:rPr>
        <w:t xml:space="preserve"> versus </w:t>
      </w:r>
      <w:proofErr w:type="spellStart"/>
      <w:r w:rsidRPr="00C31183">
        <w:rPr>
          <w:b/>
          <w:lang w:eastAsia="ja-JP"/>
        </w:rPr>
        <w:t>pemetrexed</w:t>
      </w:r>
      <w:proofErr w:type="spellEnd"/>
      <w:r w:rsidRPr="00C31183">
        <w:rPr>
          <w:b/>
          <w:lang w:eastAsia="ja-JP"/>
        </w:rPr>
        <w:t xml:space="preserve"> (n=99):</w:t>
      </w:r>
      <w:r w:rsidRPr="00C31183">
        <w:rPr>
          <w:lang w:eastAsia="ja-JP"/>
        </w:rPr>
        <w:t xml:space="preserve"> All causality treatment-emergent adverse events (</w:t>
      </w:r>
      <w:proofErr w:type="spellStart"/>
      <w:r w:rsidRPr="00C31183">
        <w:rPr>
          <w:lang w:eastAsia="ja-JP"/>
        </w:rPr>
        <w:t>MedDRA</w:t>
      </w:r>
      <w:proofErr w:type="spellEnd"/>
      <w:r w:rsidRPr="00C31183">
        <w:rPr>
          <w:lang w:eastAsia="ja-JP"/>
        </w:rPr>
        <w:t xml:space="preserve"> preferred terms) were reported in 100.0% (n=172) of patients in the </w:t>
      </w:r>
      <w:proofErr w:type="spellStart"/>
      <w:r w:rsidRPr="00C31183">
        <w:rPr>
          <w:lang w:eastAsia="ja-JP"/>
        </w:rPr>
        <w:t>crizotinib</w:t>
      </w:r>
      <w:proofErr w:type="spellEnd"/>
      <w:r w:rsidRPr="00C31183">
        <w:rPr>
          <w:lang w:eastAsia="ja-JP"/>
        </w:rPr>
        <w:t xml:space="preserve"> arm and 97.0% (n=96) of patients in the </w:t>
      </w:r>
      <w:proofErr w:type="spellStart"/>
      <w:r w:rsidRPr="00C31183">
        <w:rPr>
          <w:lang w:eastAsia="ja-JP"/>
        </w:rPr>
        <w:t>pemetrexed</w:t>
      </w:r>
      <w:proofErr w:type="spellEnd"/>
      <w:r w:rsidRPr="00C31183">
        <w:rPr>
          <w:lang w:eastAsia="ja-JP"/>
        </w:rPr>
        <w:t xml:space="preserve"> arm. Diarrhoea, VISION DISORDER, nausea, vomiting, constipation, ELEVATED TRANSAMINASES, EDEMA, NEUTROPENIA, </w:t>
      </w:r>
      <w:proofErr w:type="spellStart"/>
      <w:r w:rsidRPr="00C31183">
        <w:rPr>
          <w:lang w:eastAsia="ja-JP"/>
        </w:rPr>
        <w:t>dysgeusia</w:t>
      </w:r>
      <w:proofErr w:type="spellEnd"/>
      <w:r w:rsidRPr="00C31183">
        <w:rPr>
          <w:lang w:eastAsia="ja-JP"/>
        </w:rPr>
        <w:t xml:space="preserve">, UPPER RESPIRATORY INFECTION, DIZZINESS, NEUROPATHY and ABDOMINAL PAIN were all reported with a meaningfully higher frequency in the </w:t>
      </w:r>
      <w:proofErr w:type="spellStart"/>
      <w:r w:rsidRPr="00C31183">
        <w:rPr>
          <w:lang w:eastAsia="ja-JP"/>
        </w:rPr>
        <w:t>crizotinib</w:t>
      </w:r>
      <w:proofErr w:type="spellEnd"/>
      <w:r w:rsidRPr="00C31183">
        <w:rPr>
          <w:lang w:eastAsia="ja-JP"/>
        </w:rPr>
        <w:t xml:space="preserve"> arm than in the </w:t>
      </w:r>
      <w:proofErr w:type="spellStart"/>
      <w:r w:rsidRPr="00C31183">
        <w:rPr>
          <w:lang w:eastAsia="ja-JP"/>
        </w:rPr>
        <w:t>pemetrexed</w:t>
      </w:r>
      <w:proofErr w:type="spellEnd"/>
      <w:r w:rsidRPr="00C31183">
        <w:rPr>
          <w:lang w:eastAsia="ja-JP"/>
        </w:rPr>
        <w:t xml:space="preserve"> arm. On the other hand, fatigue, COUGH, and rash were reported with a meaningfully higher frequency in the </w:t>
      </w:r>
      <w:proofErr w:type="spellStart"/>
      <w:r w:rsidRPr="00C31183">
        <w:rPr>
          <w:lang w:eastAsia="ja-JP"/>
        </w:rPr>
        <w:t>pemetrexed</w:t>
      </w:r>
      <w:proofErr w:type="spellEnd"/>
      <w:r w:rsidRPr="00C31183">
        <w:rPr>
          <w:lang w:eastAsia="ja-JP"/>
        </w:rPr>
        <w:t xml:space="preserve"> </w:t>
      </w:r>
      <w:r w:rsidR="00226DDE">
        <w:rPr>
          <w:lang w:eastAsia="ja-JP"/>
        </w:rPr>
        <w:t xml:space="preserve">arm than in the </w:t>
      </w:r>
      <w:proofErr w:type="spellStart"/>
      <w:r w:rsidR="00226DDE">
        <w:rPr>
          <w:lang w:eastAsia="ja-JP"/>
        </w:rPr>
        <w:t>crizotinib</w:t>
      </w:r>
      <w:proofErr w:type="spellEnd"/>
      <w:r w:rsidR="00226DDE">
        <w:rPr>
          <w:lang w:eastAsia="ja-JP"/>
        </w:rPr>
        <w:t xml:space="preserve"> arm.</w:t>
      </w:r>
    </w:p>
    <w:p w:rsidR="00CE4F74" w:rsidRPr="00C31183" w:rsidRDefault="00CE4F74" w:rsidP="00226DDE">
      <w:pPr>
        <w:rPr>
          <w:lang w:eastAsia="ja-JP"/>
        </w:rPr>
      </w:pPr>
      <w:proofErr w:type="spellStart"/>
      <w:r w:rsidRPr="00C31183">
        <w:rPr>
          <w:b/>
          <w:lang w:eastAsia="ja-JP"/>
        </w:rPr>
        <w:t>Crizotinib</w:t>
      </w:r>
      <w:proofErr w:type="spellEnd"/>
      <w:r w:rsidRPr="00C31183">
        <w:rPr>
          <w:b/>
          <w:lang w:eastAsia="ja-JP"/>
        </w:rPr>
        <w:t xml:space="preserve"> (n=172)</w:t>
      </w:r>
      <w:r>
        <w:rPr>
          <w:b/>
          <w:lang w:eastAsia="ja-JP"/>
        </w:rPr>
        <w:t xml:space="preserve"> versus </w:t>
      </w:r>
      <w:proofErr w:type="spellStart"/>
      <w:r w:rsidRPr="00C31183">
        <w:rPr>
          <w:b/>
          <w:lang w:eastAsia="ja-JP"/>
        </w:rPr>
        <w:t>docetaxel</w:t>
      </w:r>
      <w:proofErr w:type="spellEnd"/>
      <w:r w:rsidRPr="00C31183">
        <w:rPr>
          <w:b/>
          <w:lang w:eastAsia="ja-JP"/>
        </w:rPr>
        <w:t xml:space="preserve"> (n=72):</w:t>
      </w:r>
      <w:r w:rsidRPr="00C31183">
        <w:rPr>
          <w:lang w:eastAsia="ja-JP"/>
        </w:rPr>
        <w:t xml:space="preserve"> All causality treatment-emergent adverse events (</w:t>
      </w:r>
      <w:proofErr w:type="spellStart"/>
      <w:r w:rsidRPr="00C31183">
        <w:rPr>
          <w:lang w:eastAsia="ja-JP"/>
        </w:rPr>
        <w:t>MedDRA</w:t>
      </w:r>
      <w:proofErr w:type="spellEnd"/>
      <w:r w:rsidRPr="00C31183">
        <w:rPr>
          <w:lang w:eastAsia="ja-JP"/>
        </w:rPr>
        <w:t xml:space="preserve"> preferred terms) were reported in 100.0% (n=172) of patients in the </w:t>
      </w:r>
      <w:proofErr w:type="spellStart"/>
      <w:r w:rsidRPr="00C31183">
        <w:rPr>
          <w:lang w:eastAsia="ja-JP"/>
        </w:rPr>
        <w:t>crizotinib</w:t>
      </w:r>
      <w:proofErr w:type="spellEnd"/>
      <w:r w:rsidRPr="00C31183">
        <w:rPr>
          <w:lang w:eastAsia="ja-JP"/>
        </w:rPr>
        <w:t xml:space="preserve"> arm and 100.0% (n=72) of patients in the </w:t>
      </w:r>
      <w:proofErr w:type="spellStart"/>
      <w:r w:rsidRPr="00C31183">
        <w:rPr>
          <w:lang w:eastAsia="ja-JP"/>
        </w:rPr>
        <w:t>docetaxel</w:t>
      </w:r>
      <w:proofErr w:type="spellEnd"/>
      <w:r w:rsidRPr="00C31183">
        <w:rPr>
          <w:lang w:eastAsia="ja-JP"/>
        </w:rPr>
        <w:t xml:space="preserve"> arm. VISION DISORDER, diarrhoea, nausea, vomiting, constipation, ELEVATED TRANSAMINASES, EDEMA, UPPER RESPIRATORY INFECTION, </w:t>
      </w:r>
      <w:proofErr w:type="spellStart"/>
      <w:r w:rsidRPr="00C31183">
        <w:rPr>
          <w:lang w:eastAsia="ja-JP"/>
        </w:rPr>
        <w:t>dysgeusia</w:t>
      </w:r>
      <w:proofErr w:type="spellEnd"/>
      <w:r w:rsidRPr="00C31183">
        <w:rPr>
          <w:lang w:eastAsia="ja-JP"/>
        </w:rPr>
        <w:t xml:space="preserve">, DIZZINESS, and back pain were all reported with a meaningfully higher frequency in the </w:t>
      </w:r>
      <w:proofErr w:type="spellStart"/>
      <w:r w:rsidRPr="00C31183">
        <w:rPr>
          <w:lang w:eastAsia="ja-JP"/>
        </w:rPr>
        <w:t>crizotinib</w:t>
      </w:r>
      <w:proofErr w:type="spellEnd"/>
      <w:r w:rsidRPr="00C31183">
        <w:rPr>
          <w:lang w:eastAsia="ja-JP"/>
        </w:rPr>
        <w:t xml:space="preserve"> arm than in the </w:t>
      </w:r>
      <w:proofErr w:type="spellStart"/>
      <w:r w:rsidRPr="00C31183">
        <w:rPr>
          <w:lang w:eastAsia="ja-JP"/>
        </w:rPr>
        <w:t>docetaxel</w:t>
      </w:r>
      <w:proofErr w:type="spellEnd"/>
      <w:r w:rsidRPr="00C31183">
        <w:rPr>
          <w:lang w:eastAsia="ja-JP"/>
        </w:rPr>
        <w:t xml:space="preserve"> arm. On the other hand, alopecia, NEUTROPENIA, NEUROPATHY, STOMATITIS, myalgia, DYSPNEA, white blood cell count decreased, and arthralgia were reported with a meaningfully higher frequency in the </w:t>
      </w:r>
      <w:proofErr w:type="spellStart"/>
      <w:r w:rsidRPr="00C31183">
        <w:rPr>
          <w:lang w:eastAsia="ja-JP"/>
        </w:rPr>
        <w:t>docetaxel</w:t>
      </w:r>
      <w:proofErr w:type="spellEnd"/>
      <w:r w:rsidRPr="00C31183">
        <w:rPr>
          <w:lang w:eastAsia="ja-JP"/>
        </w:rPr>
        <w:t xml:space="preserve"> arm than in the </w:t>
      </w:r>
      <w:proofErr w:type="spellStart"/>
      <w:r w:rsidRPr="00C31183">
        <w:rPr>
          <w:lang w:eastAsia="ja-JP"/>
        </w:rPr>
        <w:t>crizotinib</w:t>
      </w:r>
      <w:proofErr w:type="spellEnd"/>
      <w:r w:rsidRPr="00C31183">
        <w:rPr>
          <w:lang w:eastAsia="ja-JP"/>
        </w:rPr>
        <w:t xml:space="preserve"> arm.</w:t>
      </w:r>
    </w:p>
    <w:p w:rsidR="00CE4F74" w:rsidRPr="00C31183" w:rsidRDefault="00CE4F74" w:rsidP="00226DDE">
      <w:pPr>
        <w:pStyle w:val="Heading5"/>
        <w:rPr>
          <w:lang w:eastAsia="ja-JP"/>
        </w:rPr>
      </w:pPr>
      <w:bookmarkStart w:id="88" w:name="_Toc228773375"/>
      <w:r w:rsidRPr="00C31183">
        <w:rPr>
          <w:lang w:eastAsia="ja-JP"/>
        </w:rPr>
        <w:t xml:space="preserve">Commonly occurring </w:t>
      </w:r>
      <w:r w:rsidRPr="00226DDE">
        <w:t>treatment</w:t>
      </w:r>
      <w:r w:rsidRPr="00C31183">
        <w:rPr>
          <w:lang w:eastAsia="ja-JP"/>
        </w:rPr>
        <w:t>-related treatment-emergent adverse events</w:t>
      </w:r>
      <w:bookmarkEnd w:id="88"/>
    </w:p>
    <w:p w:rsidR="00CE4F74" w:rsidRPr="00C31183" w:rsidRDefault="00CE4F74" w:rsidP="00226DDE">
      <w:pPr>
        <w:rPr>
          <w:lang w:eastAsia="ja-JP"/>
        </w:rPr>
      </w:pPr>
      <w:r w:rsidRPr="00C31183">
        <w:rPr>
          <w:lang w:eastAsia="ja-JP"/>
        </w:rPr>
        <w:t xml:space="preserve">Treatment-related, treatment-emergent adverse events (TRAEs) were reported in 95.3% (n=164) of patients in the </w:t>
      </w:r>
      <w:proofErr w:type="spellStart"/>
      <w:r w:rsidRPr="00C31183">
        <w:rPr>
          <w:lang w:eastAsia="ja-JP"/>
        </w:rPr>
        <w:t>crizotinib</w:t>
      </w:r>
      <w:proofErr w:type="spellEnd"/>
      <w:r w:rsidRPr="00C31183">
        <w:rPr>
          <w:lang w:eastAsia="ja-JP"/>
        </w:rPr>
        <w:t xml:space="preserve"> arm and 88.3% (n=151) of patients in the chemotherapy arm. The most commonly occurring TRAEs by </w:t>
      </w:r>
      <w:proofErr w:type="spellStart"/>
      <w:r w:rsidRPr="00C31183">
        <w:rPr>
          <w:lang w:eastAsia="ja-JP"/>
        </w:rPr>
        <w:t>MedDRA</w:t>
      </w:r>
      <w:proofErr w:type="spellEnd"/>
      <w:r w:rsidRPr="00C31183">
        <w:rPr>
          <w:lang w:eastAsia="ja-JP"/>
        </w:rPr>
        <w:t xml:space="preserve"> preferred term reported with a frequency of </w:t>
      </w:r>
      <w:r>
        <w:rPr>
          <w:lang w:eastAsia="ja-JP"/>
        </w:rPr>
        <w:t>≥</w:t>
      </w:r>
      <w:r w:rsidRPr="00C31183">
        <w:rPr>
          <w:lang w:eastAsia="ja-JP"/>
        </w:rPr>
        <w:t xml:space="preserve"> 20 % in the </w:t>
      </w:r>
      <w:proofErr w:type="spellStart"/>
      <w:r w:rsidRPr="00C31183">
        <w:rPr>
          <w:lang w:eastAsia="ja-JP"/>
        </w:rPr>
        <w:t>crizotinib</w:t>
      </w:r>
      <w:proofErr w:type="spellEnd"/>
      <w:r w:rsidRPr="00C31183">
        <w:rPr>
          <w:lang w:eastAsia="ja-JP"/>
        </w:rPr>
        <w:t xml:space="preserve"> arm (v</w:t>
      </w:r>
      <w:r>
        <w:rPr>
          <w:lang w:eastAsia="ja-JP"/>
        </w:rPr>
        <w:t>ersu</w:t>
      </w:r>
      <w:r w:rsidRPr="00C31183">
        <w:rPr>
          <w:lang w:eastAsia="ja-JP"/>
        </w:rPr>
        <w:t>s chemotherapy) were diarrhoea (52.9%</w:t>
      </w:r>
      <w:r>
        <w:rPr>
          <w:lang w:eastAsia="ja-JP"/>
        </w:rPr>
        <w:t xml:space="preserve"> versus </w:t>
      </w:r>
      <w:r w:rsidRPr="00C31183">
        <w:rPr>
          <w:lang w:eastAsia="ja-JP"/>
        </w:rPr>
        <w:t>16.4%), nausea (52.3%</w:t>
      </w:r>
      <w:r>
        <w:rPr>
          <w:lang w:eastAsia="ja-JP"/>
        </w:rPr>
        <w:t xml:space="preserve"> versus </w:t>
      </w:r>
      <w:r w:rsidRPr="00C31183">
        <w:rPr>
          <w:lang w:eastAsia="ja-JP"/>
        </w:rPr>
        <w:t>34.5%), visual impairment (47.1%</w:t>
      </w:r>
      <w:r>
        <w:rPr>
          <w:lang w:eastAsia="ja-JP"/>
        </w:rPr>
        <w:t xml:space="preserve"> versus </w:t>
      </w:r>
      <w:r w:rsidRPr="00C31183">
        <w:rPr>
          <w:lang w:eastAsia="ja-JP"/>
        </w:rPr>
        <w:t>1.8%), vomiting (43.6%</w:t>
      </w:r>
      <w:r>
        <w:rPr>
          <w:lang w:eastAsia="ja-JP"/>
        </w:rPr>
        <w:t xml:space="preserve"> versus </w:t>
      </w:r>
      <w:r w:rsidRPr="00C31183">
        <w:rPr>
          <w:lang w:eastAsia="ja-JP"/>
        </w:rPr>
        <w:t>12.9%), ALT increased (34.9%</w:t>
      </w:r>
      <w:r>
        <w:rPr>
          <w:lang w:eastAsia="ja-JP"/>
        </w:rPr>
        <w:t xml:space="preserve"> versus </w:t>
      </w:r>
      <w:r w:rsidRPr="00C31183">
        <w:rPr>
          <w:lang w:eastAsia="ja-JP"/>
        </w:rPr>
        <w:t>10.5%), constipation (31.4%</w:t>
      </w:r>
      <w:r>
        <w:rPr>
          <w:lang w:eastAsia="ja-JP"/>
        </w:rPr>
        <w:t xml:space="preserve"> versus </w:t>
      </w:r>
      <w:r w:rsidRPr="00C31183">
        <w:rPr>
          <w:lang w:eastAsia="ja-JP"/>
        </w:rPr>
        <w:t>19.3%), AST increased (25.6%</w:t>
      </w:r>
      <w:r>
        <w:rPr>
          <w:lang w:eastAsia="ja-JP"/>
        </w:rPr>
        <w:t xml:space="preserve"> versus </w:t>
      </w:r>
      <w:r w:rsidRPr="00C31183">
        <w:rPr>
          <w:lang w:eastAsia="ja-JP"/>
        </w:rPr>
        <w:t xml:space="preserve">7.6%), </w:t>
      </w:r>
      <w:proofErr w:type="spellStart"/>
      <w:r w:rsidRPr="00C31183">
        <w:rPr>
          <w:lang w:eastAsia="ja-JP"/>
        </w:rPr>
        <w:t>dysgeusia</w:t>
      </w:r>
      <w:proofErr w:type="spellEnd"/>
      <w:r w:rsidRPr="00C31183">
        <w:rPr>
          <w:lang w:eastAsia="ja-JP"/>
        </w:rPr>
        <w:t xml:space="preserve"> (25.0%</w:t>
      </w:r>
      <w:r>
        <w:rPr>
          <w:lang w:eastAsia="ja-JP"/>
        </w:rPr>
        <w:t xml:space="preserve"> versus </w:t>
      </w:r>
      <w:r w:rsidRPr="00C31183">
        <w:rPr>
          <w:lang w:eastAsia="ja-JP"/>
        </w:rPr>
        <w:t>9.4%), peripheral oedema (21.5%</w:t>
      </w:r>
      <w:r>
        <w:rPr>
          <w:lang w:eastAsia="ja-JP"/>
        </w:rPr>
        <w:t xml:space="preserve"> versus </w:t>
      </w:r>
      <w:r w:rsidRPr="00C31183">
        <w:rPr>
          <w:lang w:eastAsia="ja-JP"/>
        </w:rPr>
        <w:t>4.1%) and neutropenia (20.3%</w:t>
      </w:r>
      <w:r>
        <w:rPr>
          <w:lang w:eastAsia="ja-JP"/>
        </w:rPr>
        <w:t xml:space="preserve"> versus </w:t>
      </w:r>
      <w:r w:rsidRPr="00C31183">
        <w:rPr>
          <w:lang w:eastAsia="ja-JP"/>
        </w:rPr>
        <w:t>9.4%). The most commonly reported TRAEs (</w:t>
      </w:r>
      <w:r>
        <w:rPr>
          <w:lang w:eastAsia="ja-JP"/>
        </w:rPr>
        <w:t>≥</w:t>
      </w:r>
      <w:r w:rsidRPr="00C31183">
        <w:rPr>
          <w:lang w:eastAsia="ja-JP"/>
        </w:rPr>
        <w:t xml:space="preserve"> 10% of patients) by clustered or </w:t>
      </w:r>
      <w:proofErr w:type="spellStart"/>
      <w:r w:rsidRPr="00C31183">
        <w:rPr>
          <w:lang w:eastAsia="ja-JP"/>
        </w:rPr>
        <w:t>MedDRA</w:t>
      </w:r>
      <w:proofErr w:type="spellEnd"/>
      <w:r w:rsidRPr="00C31183">
        <w:rPr>
          <w:lang w:eastAsia="ja-JP"/>
        </w:rPr>
        <w:t xml:space="preserve"> preferred terms across all treatment cycles in the </w:t>
      </w:r>
      <w:proofErr w:type="spellStart"/>
      <w:r w:rsidRPr="00C31183">
        <w:rPr>
          <w:lang w:eastAsia="ja-JP"/>
        </w:rPr>
        <w:t>crizotinib</w:t>
      </w:r>
      <w:proofErr w:type="spellEnd"/>
      <w:r w:rsidRPr="00C31183">
        <w:rPr>
          <w:lang w:eastAsia="ja-JP"/>
        </w:rPr>
        <w:t xml:space="preserve"> and chemotherapy arms are </w:t>
      </w:r>
      <w:r>
        <w:rPr>
          <w:lang w:eastAsia="ja-JP"/>
        </w:rPr>
        <w:t>summarised</w:t>
      </w:r>
      <w:r w:rsidR="00226DDE">
        <w:rPr>
          <w:lang w:eastAsia="ja-JP"/>
        </w:rPr>
        <w:t xml:space="preserve"> below in Table 12.</w:t>
      </w:r>
    </w:p>
    <w:p w:rsidR="00CE4F74" w:rsidRPr="00226DDE" w:rsidRDefault="00CE4F74" w:rsidP="00226DDE">
      <w:pPr>
        <w:pStyle w:val="TableTitle"/>
      </w:pPr>
      <w:bookmarkStart w:id="89" w:name="_Toc228773435"/>
      <w:r w:rsidRPr="00C31183">
        <w:rPr>
          <w:lang w:eastAsia="ja-JP"/>
        </w:rPr>
        <w:t xml:space="preserve">Table </w:t>
      </w:r>
      <w:r w:rsidRPr="00C31183">
        <w:rPr>
          <w:lang w:eastAsia="ja-JP"/>
        </w:rPr>
        <w:fldChar w:fldCharType="begin"/>
      </w:r>
      <w:r w:rsidRPr="00C31183">
        <w:rPr>
          <w:lang w:eastAsia="ja-JP"/>
        </w:rPr>
        <w:instrText xml:space="preserve"> SEQ Table \* ARABIC </w:instrText>
      </w:r>
      <w:r w:rsidRPr="00C31183">
        <w:rPr>
          <w:lang w:eastAsia="ja-JP"/>
        </w:rPr>
        <w:fldChar w:fldCharType="separate"/>
      </w:r>
      <w:r>
        <w:rPr>
          <w:noProof/>
          <w:lang w:eastAsia="ja-JP"/>
        </w:rPr>
        <w:t>12</w:t>
      </w:r>
      <w:r w:rsidRPr="00C31183">
        <w:rPr>
          <w:lang w:eastAsia="ja-JP"/>
        </w:rPr>
        <w:fldChar w:fldCharType="end"/>
      </w:r>
      <w:r w:rsidRPr="00C31183">
        <w:rPr>
          <w:lang w:eastAsia="ja-JP"/>
        </w:rPr>
        <w:t xml:space="preserve">: Most common (≥ 10% patients) treatment-emergent </w:t>
      </w:r>
      <w:r>
        <w:rPr>
          <w:lang w:eastAsia="ja-JP"/>
        </w:rPr>
        <w:t xml:space="preserve">treatment-related </w:t>
      </w:r>
      <w:r w:rsidRPr="00C31183">
        <w:rPr>
          <w:lang w:eastAsia="ja-JP"/>
        </w:rPr>
        <w:t xml:space="preserve">adverse events with a ≥ 5% absolute difference between treatment, unshaded terms occurred at a higher frequency on </w:t>
      </w:r>
      <w:proofErr w:type="spellStart"/>
      <w:r w:rsidRPr="00C31183">
        <w:rPr>
          <w:lang w:eastAsia="ja-JP"/>
        </w:rPr>
        <w:t>crizotinib</w:t>
      </w:r>
      <w:proofErr w:type="spellEnd"/>
      <w:r w:rsidRPr="00C31183">
        <w:rPr>
          <w:lang w:eastAsia="ja-JP"/>
        </w:rPr>
        <w:t xml:space="preserve"> than chemotherapy and shaded terms occurred at a higher frequency on chemotherapy than </w:t>
      </w:r>
      <w:proofErr w:type="spellStart"/>
      <w:r w:rsidRPr="00C31183">
        <w:rPr>
          <w:lang w:eastAsia="ja-JP"/>
        </w:rPr>
        <w:t>crizotinib</w:t>
      </w:r>
      <w:proofErr w:type="spellEnd"/>
      <w:r w:rsidRPr="00C31183">
        <w:rPr>
          <w:lang w:eastAsia="ja-JP"/>
        </w:rPr>
        <w:t>; SA</w:t>
      </w:r>
      <w:bookmarkEnd w:id="89"/>
    </w:p>
    <w:tbl>
      <w:tblPr>
        <w:tblStyle w:val="TableTGAblue"/>
        <w:tblW w:w="0" w:type="auto"/>
        <w:tblLook w:val="00A0" w:firstRow="1" w:lastRow="0" w:firstColumn="1" w:lastColumn="0" w:noHBand="0" w:noVBand="0"/>
      </w:tblPr>
      <w:tblGrid>
        <w:gridCol w:w="3334"/>
        <w:gridCol w:w="3208"/>
        <w:gridCol w:w="2346"/>
      </w:tblGrid>
      <w:tr w:rsidR="00CE4F74" w:rsidRPr="00C31183" w:rsidTr="00226DDE">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3334" w:type="dxa"/>
          </w:tcPr>
          <w:p w:rsidR="00CE4F74" w:rsidRPr="00DA4DDC" w:rsidRDefault="00226DDE" w:rsidP="00226DDE">
            <w:pPr>
              <w:ind w:left="0" w:right="0"/>
              <w:rPr>
                <w:lang w:eastAsia="ja-JP"/>
              </w:rPr>
            </w:pPr>
            <w:r>
              <w:rPr>
                <w:lang w:eastAsia="ja-JP"/>
              </w:rPr>
              <w:t>Events</w:t>
            </w:r>
          </w:p>
        </w:tc>
        <w:tc>
          <w:tcPr>
            <w:tcW w:w="3208" w:type="dxa"/>
          </w:tcPr>
          <w:p w:rsidR="00CE4F74" w:rsidRPr="00DA4DDC" w:rsidRDefault="00226DDE" w:rsidP="00226DDE">
            <w:pPr>
              <w:ind w:left="68" w:right="0"/>
              <w:cnfStyle w:val="100000000000" w:firstRow="1" w:lastRow="0" w:firstColumn="0" w:lastColumn="0" w:oddVBand="0" w:evenVBand="0" w:oddHBand="0" w:evenHBand="0" w:firstRowFirstColumn="0" w:firstRowLastColumn="0" w:lastRowFirstColumn="0" w:lastRowLastColumn="0"/>
              <w:rPr>
                <w:lang w:eastAsia="ja-JP"/>
              </w:rPr>
            </w:pPr>
            <w:proofErr w:type="spellStart"/>
            <w:r>
              <w:rPr>
                <w:lang w:eastAsia="ja-JP"/>
              </w:rPr>
              <w:t>Crizotinib</w:t>
            </w:r>
            <w:proofErr w:type="spellEnd"/>
            <w:r>
              <w:rPr>
                <w:lang w:eastAsia="ja-JP"/>
              </w:rPr>
              <w:t xml:space="preserve"> (n=172); n (%)</w:t>
            </w:r>
          </w:p>
        </w:tc>
        <w:tc>
          <w:tcPr>
            <w:tcW w:w="2346" w:type="dxa"/>
          </w:tcPr>
          <w:p w:rsidR="00CE4F74" w:rsidRPr="00DA4DDC" w:rsidRDefault="00226DDE" w:rsidP="00226DDE">
            <w:pPr>
              <w:ind w:left="0" w:right="25"/>
              <w:cnfStyle w:val="100000000000" w:firstRow="1" w:lastRow="0" w:firstColumn="0" w:lastColumn="0" w:oddVBand="0" w:evenVBand="0" w:oddHBand="0" w:evenHBand="0" w:firstRowFirstColumn="0" w:firstRowLastColumn="0" w:lastRowFirstColumn="0" w:lastRowLastColumn="0"/>
              <w:rPr>
                <w:lang w:eastAsia="ja-JP"/>
              </w:rPr>
            </w:pPr>
            <w:r>
              <w:rPr>
                <w:lang w:eastAsia="ja-JP"/>
              </w:rPr>
              <w:t>Chemotherapy (n=171); n (%)</w:t>
            </w:r>
          </w:p>
        </w:tc>
      </w:tr>
      <w:tr w:rsidR="00CE4F74" w:rsidRPr="00C31183" w:rsidTr="00226DDE">
        <w:trPr>
          <w:trHeight w:val="255"/>
        </w:trPr>
        <w:tc>
          <w:tcPr>
            <w:cnfStyle w:val="001000000000" w:firstRow="0" w:lastRow="0" w:firstColumn="1" w:lastColumn="0" w:oddVBand="0" w:evenVBand="0" w:oddHBand="0" w:evenHBand="0" w:firstRowFirstColumn="0" w:firstRowLastColumn="0" w:lastRowFirstColumn="0" w:lastRowLastColumn="0"/>
            <w:tcW w:w="3334" w:type="dxa"/>
          </w:tcPr>
          <w:p w:rsidR="00CE4F74" w:rsidRPr="00DA4DDC" w:rsidRDefault="00CE4F74" w:rsidP="00226DDE">
            <w:pPr>
              <w:ind w:left="0" w:right="0"/>
              <w:rPr>
                <w:color w:val="000000"/>
                <w:lang w:eastAsia="ja-JP"/>
              </w:rPr>
            </w:pPr>
            <w:r w:rsidRPr="00DA4DDC">
              <w:rPr>
                <w:color w:val="000000"/>
                <w:lang w:eastAsia="ja-JP"/>
              </w:rPr>
              <w:t>VISION DISORDER</w:t>
            </w:r>
          </w:p>
        </w:tc>
        <w:tc>
          <w:tcPr>
            <w:tcW w:w="3208" w:type="dxa"/>
          </w:tcPr>
          <w:p w:rsidR="00CE4F74" w:rsidRPr="00DA4DDC" w:rsidRDefault="00226DDE" w:rsidP="00226DDE">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101 (58.7)</w:t>
            </w:r>
          </w:p>
        </w:tc>
        <w:tc>
          <w:tcPr>
            <w:tcW w:w="2346" w:type="dxa"/>
          </w:tcPr>
          <w:p w:rsidR="00CE4F74" w:rsidRPr="00DA4DDC" w:rsidRDefault="00226DDE" w:rsidP="00226DDE">
            <w:pPr>
              <w:ind w:left="0" w:right="25"/>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8 (4.7)</w:t>
            </w:r>
          </w:p>
        </w:tc>
      </w:tr>
      <w:tr w:rsidR="00CE4F74" w:rsidRPr="00C31183" w:rsidTr="00226DDE">
        <w:trPr>
          <w:trHeight w:val="255"/>
        </w:trPr>
        <w:tc>
          <w:tcPr>
            <w:cnfStyle w:val="001000000000" w:firstRow="0" w:lastRow="0" w:firstColumn="1" w:lastColumn="0" w:oddVBand="0" w:evenVBand="0" w:oddHBand="0" w:evenHBand="0" w:firstRowFirstColumn="0" w:firstRowLastColumn="0" w:lastRowFirstColumn="0" w:lastRowLastColumn="0"/>
            <w:tcW w:w="3334" w:type="dxa"/>
          </w:tcPr>
          <w:p w:rsidR="00CE4F74" w:rsidRPr="00DA4DDC" w:rsidRDefault="00CE4F74" w:rsidP="00226DDE">
            <w:pPr>
              <w:ind w:left="0" w:right="0"/>
              <w:rPr>
                <w:color w:val="000000"/>
                <w:lang w:eastAsia="ja-JP"/>
              </w:rPr>
            </w:pPr>
            <w:r w:rsidRPr="00DA4DDC">
              <w:rPr>
                <w:color w:val="000000"/>
                <w:lang w:eastAsia="ja-JP"/>
              </w:rPr>
              <w:t>Diarrhoea</w:t>
            </w:r>
          </w:p>
        </w:tc>
        <w:tc>
          <w:tcPr>
            <w:tcW w:w="3208" w:type="dxa"/>
          </w:tcPr>
          <w:p w:rsidR="00CE4F74" w:rsidRPr="00DA4DDC" w:rsidRDefault="00226DDE" w:rsidP="00226DDE">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91 (52.9)</w:t>
            </w:r>
          </w:p>
        </w:tc>
        <w:tc>
          <w:tcPr>
            <w:tcW w:w="2346" w:type="dxa"/>
          </w:tcPr>
          <w:p w:rsidR="00CE4F74" w:rsidRPr="00DA4DDC" w:rsidRDefault="00226DDE" w:rsidP="00226DDE">
            <w:pPr>
              <w:ind w:left="0" w:right="25"/>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28 (16.4)</w:t>
            </w:r>
          </w:p>
        </w:tc>
      </w:tr>
      <w:tr w:rsidR="00CE4F74" w:rsidRPr="00C31183" w:rsidTr="00226DDE">
        <w:trPr>
          <w:trHeight w:val="255"/>
        </w:trPr>
        <w:tc>
          <w:tcPr>
            <w:cnfStyle w:val="001000000000" w:firstRow="0" w:lastRow="0" w:firstColumn="1" w:lastColumn="0" w:oddVBand="0" w:evenVBand="0" w:oddHBand="0" w:evenHBand="0" w:firstRowFirstColumn="0" w:firstRowLastColumn="0" w:lastRowFirstColumn="0" w:lastRowLastColumn="0"/>
            <w:tcW w:w="3334" w:type="dxa"/>
          </w:tcPr>
          <w:p w:rsidR="00CE4F74" w:rsidRPr="00DA4DDC" w:rsidRDefault="00CE4F74" w:rsidP="00226DDE">
            <w:pPr>
              <w:ind w:left="0" w:right="0"/>
              <w:rPr>
                <w:color w:val="000000"/>
                <w:lang w:eastAsia="ja-JP"/>
              </w:rPr>
            </w:pPr>
            <w:r w:rsidRPr="00DA4DDC">
              <w:rPr>
                <w:color w:val="000000"/>
                <w:lang w:eastAsia="ja-JP"/>
              </w:rPr>
              <w:lastRenderedPageBreak/>
              <w:t>Nausea</w:t>
            </w:r>
          </w:p>
        </w:tc>
        <w:tc>
          <w:tcPr>
            <w:tcW w:w="3208" w:type="dxa"/>
          </w:tcPr>
          <w:p w:rsidR="00CE4F74" w:rsidRPr="00DA4DDC" w:rsidRDefault="00226DDE" w:rsidP="00226DDE">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90 (52.3)</w:t>
            </w:r>
          </w:p>
        </w:tc>
        <w:tc>
          <w:tcPr>
            <w:tcW w:w="2346" w:type="dxa"/>
          </w:tcPr>
          <w:p w:rsidR="00CE4F74" w:rsidRPr="00DA4DDC" w:rsidRDefault="00226DDE" w:rsidP="00226DDE">
            <w:pPr>
              <w:ind w:left="0" w:right="25"/>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59 (34.5)</w:t>
            </w:r>
          </w:p>
        </w:tc>
      </w:tr>
      <w:tr w:rsidR="00CE4F74" w:rsidRPr="00C31183" w:rsidTr="00226DDE">
        <w:trPr>
          <w:trHeight w:val="256"/>
        </w:trPr>
        <w:tc>
          <w:tcPr>
            <w:cnfStyle w:val="001000000000" w:firstRow="0" w:lastRow="0" w:firstColumn="1" w:lastColumn="0" w:oddVBand="0" w:evenVBand="0" w:oddHBand="0" w:evenHBand="0" w:firstRowFirstColumn="0" w:firstRowLastColumn="0" w:lastRowFirstColumn="0" w:lastRowLastColumn="0"/>
            <w:tcW w:w="3334" w:type="dxa"/>
          </w:tcPr>
          <w:p w:rsidR="00CE4F74" w:rsidRPr="00DA4DDC" w:rsidRDefault="00CE4F74" w:rsidP="00226DDE">
            <w:pPr>
              <w:ind w:left="0" w:right="0"/>
              <w:rPr>
                <w:color w:val="000000"/>
                <w:lang w:eastAsia="ja-JP"/>
              </w:rPr>
            </w:pPr>
            <w:r w:rsidRPr="00DA4DDC">
              <w:rPr>
                <w:color w:val="000000"/>
                <w:lang w:eastAsia="ja-JP"/>
              </w:rPr>
              <w:t>Vomiting</w:t>
            </w:r>
          </w:p>
        </w:tc>
        <w:tc>
          <w:tcPr>
            <w:tcW w:w="3208" w:type="dxa"/>
          </w:tcPr>
          <w:p w:rsidR="00CE4F74" w:rsidRPr="00DA4DDC" w:rsidRDefault="00226DDE" w:rsidP="00226DDE">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75 (43.6)</w:t>
            </w:r>
          </w:p>
        </w:tc>
        <w:tc>
          <w:tcPr>
            <w:tcW w:w="2346" w:type="dxa"/>
          </w:tcPr>
          <w:p w:rsidR="00CE4F74" w:rsidRPr="00DA4DDC" w:rsidRDefault="00226DDE" w:rsidP="00226DDE">
            <w:pPr>
              <w:ind w:left="0" w:right="25"/>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22 (12.9)</w:t>
            </w:r>
          </w:p>
        </w:tc>
      </w:tr>
      <w:tr w:rsidR="00CE4F74" w:rsidRPr="00C31183" w:rsidTr="00226DDE">
        <w:trPr>
          <w:trHeight w:val="255"/>
        </w:trPr>
        <w:tc>
          <w:tcPr>
            <w:cnfStyle w:val="001000000000" w:firstRow="0" w:lastRow="0" w:firstColumn="1" w:lastColumn="0" w:oddVBand="0" w:evenVBand="0" w:oddHBand="0" w:evenHBand="0" w:firstRowFirstColumn="0" w:firstRowLastColumn="0" w:lastRowFirstColumn="0" w:lastRowLastColumn="0"/>
            <w:tcW w:w="3334" w:type="dxa"/>
          </w:tcPr>
          <w:p w:rsidR="00CE4F74" w:rsidRPr="00DA4DDC" w:rsidRDefault="00CE4F74" w:rsidP="00226DDE">
            <w:pPr>
              <w:ind w:left="0" w:right="0"/>
              <w:rPr>
                <w:color w:val="000000"/>
                <w:lang w:eastAsia="ja-JP"/>
              </w:rPr>
            </w:pPr>
            <w:r w:rsidRPr="00DA4DDC">
              <w:rPr>
                <w:color w:val="000000"/>
                <w:lang w:eastAsia="ja-JP"/>
              </w:rPr>
              <w:t xml:space="preserve">ELEVATED TRANSAMINASES </w:t>
            </w:r>
          </w:p>
        </w:tc>
        <w:tc>
          <w:tcPr>
            <w:tcW w:w="3208" w:type="dxa"/>
          </w:tcPr>
          <w:p w:rsidR="00CE4F74" w:rsidRPr="00DA4DDC" w:rsidRDefault="00226DDE" w:rsidP="00226DDE">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62 (36.0)</w:t>
            </w:r>
          </w:p>
        </w:tc>
        <w:tc>
          <w:tcPr>
            <w:tcW w:w="2346" w:type="dxa"/>
          </w:tcPr>
          <w:p w:rsidR="00CE4F74" w:rsidRPr="00DA4DDC" w:rsidRDefault="00CE4F74" w:rsidP="00226DDE">
            <w:pPr>
              <w:ind w:left="0" w:right="25"/>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23 (13.5) </w:t>
            </w:r>
          </w:p>
        </w:tc>
      </w:tr>
      <w:tr w:rsidR="00CE4F74" w:rsidRPr="00C31183" w:rsidTr="00226DDE">
        <w:trPr>
          <w:trHeight w:val="255"/>
        </w:trPr>
        <w:tc>
          <w:tcPr>
            <w:cnfStyle w:val="001000000000" w:firstRow="0" w:lastRow="0" w:firstColumn="1" w:lastColumn="0" w:oddVBand="0" w:evenVBand="0" w:oddHBand="0" w:evenHBand="0" w:firstRowFirstColumn="0" w:firstRowLastColumn="0" w:lastRowFirstColumn="0" w:lastRowLastColumn="0"/>
            <w:tcW w:w="3334" w:type="dxa"/>
          </w:tcPr>
          <w:p w:rsidR="00CE4F74" w:rsidRPr="00DA4DDC" w:rsidRDefault="00CE4F74" w:rsidP="00226DDE">
            <w:pPr>
              <w:ind w:left="0" w:right="0"/>
              <w:rPr>
                <w:color w:val="000000"/>
                <w:lang w:eastAsia="ja-JP"/>
              </w:rPr>
            </w:pPr>
            <w:r w:rsidRPr="00DA4DDC">
              <w:rPr>
                <w:color w:val="000000"/>
                <w:lang w:eastAsia="ja-JP"/>
              </w:rPr>
              <w:t>Constipation</w:t>
            </w:r>
          </w:p>
        </w:tc>
        <w:tc>
          <w:tcPr>
            <w:tcW w:w="3208" w:type="dxa"/>
          </w:tcPr>
          <w:p w:rsidR="00CE4F74" w:rsidRPr="00DA4DDC" w:rsidRDefault="00226DDE" w:rsidP="00226DDE">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54 (31.4)</w:t>
            </w:r>
          </w:p>
        </w:tc>
        <w:tc>
          <w:tcPr>
            <w:tcW w:w="2346" w:type="dxa"/>
          </w:tcPr>
          <w:p w:rsidR="00CE4F74" w:rsidRPr="00DA4DDC" w:rsidRDefault="00226DDE" w:rsidP="00226DDE">
            <w:pPr>
              <w:ind w:left="0" w:right="25"/>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33 (19.3)</w:t>
            </w:r>
          </w:p>
        </w:tc>
      </w:tr>
      <w:tr w:rsidR="00CE4F74" w:rsidRPr="00C31183" w:rsidTr="00226DDE">
        <w:trPr>
          <w:trHeight w:val="255"/>
        </w:trPr>
        <w:tc>
          <w:tcPr>
            <w:cnfStyle w:val="001000000000" w:firstRow="0" w:lastRow="0" w:firstColumn="1" w:lastColumn="0" w:oddVBand="0" w:evenVBand="0" w:oddHBand="0" w:evenHBand="0" w:firstRowFirstColumn="0" w:firstRowLastColumn="0" w:lastRowFirstColumn="0" w:lastRowLastColumn="0"/>
            <w:tcW w:w="3334" w:type="dxa"/>
          </w:tcPr>
          <w:p w:rsidR="00CE4F74" w:rsidRPr="00DA4DDC" w:rsidRDefault="00CE4F74" w:rsidP="00226DDE">
            <w:pPr>
              <w:ind w:left="0" w:right="0"/>
              <w:rPr>
                <w:color w:val="000000"/>
                <w:lang w:eastAsia="ja-JP"/>
              </w:rPr>
            </w:pPr>
            <w:r w:rsidRPr="00DA4DDC">
              <w:rPr>
                <w:color w:val="000000"/>
                <w:lang w:eastAsia="ja-JP"/>
              </w:rPr>
              <w:t>EDEMA</w:t>
            </w:r>
          </w:p>
        </w:tc>
        <w:tc>
          <w:tcPr>
            <w:tcW w:w="3208" w:type="dxa"/>
          </w:tcPr>
          <w:p w:rsidR="00CE4F74" w:rsidRPr="00DA4DDC" w:rsidRDefault="00226DDE" w:rsidP="00226DDE">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46 (26.7)</w:t>
            </w:r>
          </w:p>
        </w:tc>
        <w:tc>
          <w:tcPr>
            <w:tcW w:w="2346" w:type="dxa"/>
          </w:tcPr>
          <w:p w:rsidR="00CE4F74" w:rsidRPr="00DA4DDC" w:rsidRDefault="00226DDE" w:rsidP="00226DDE">
            <w:pPr>
              <w:ind w:left="0" w:right="25"/>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15 (8.8)</w:t>
            </w:r>
          </w:p>
        </w:tc>
      </w:tr>
      <w:tr w:rsidR="00CE4F74" w:rsidRPr="00C31183" w:rsidTr="00226DDE">
        <w:trPr>
          <w:trHeight w:val="255"/>
        </w:trPr>
        <w:tc>
          <w:tcPr>
            <w:cnfStyle w:val="001000000000" w:firstRow="0" w:lastRow="0" w:firstColumn="1" w:lastColumn="0" w:oddVBand="0" w:evenVBand="0" w:oddHBand="0" w:evenHBand="0" w:firstRowFirstColumn="0" w:firstRowLastColumn="0" w:lastRowFirstColumn="0" w:lastRowLastColumn="0"/>
            <w:tcW w:w="3334" w:type="dxa"/>
          </w:tcPr>
          <w:p w:rsidR="00CE4F74" w:rsidRPr="00DA4DDC" w:rsidRDefault="00CE4F74" w:rsidP="00226DDE">
            <w:pPr>
              <w:ind w:left="0" w:right="0"/>
              <w:rPr>
                <w:color w:val="000000"/>
                <w:lang w:eastAsia="ja-JP"/>
              </w:rPr>
            </w:pPr>
            <w:r w:rsidRPr="00DA4DDC">
              <w:rPr>
                <w:color w:val="000000"/>
                <w:lang w:eastAsia="ja-JP"/>
              </w:rPr>
              <w:t>NEUTROPENIA</w:t>
            </w:r>
          </w:p>
        </w:tc>
        <w:tc>
          <w:tcPr>
            <w:tcW w:w="3208" w:type="dxa"/>
          </w:tcPr>
          <w:p w:rsidR="00CE4F74" w:rsidRPr="00DA4DDC" w:rsidRDefault="00CE4F74" w:rsidP="00226DDE">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44 (25.6)</w:t>
            </w:r>
          </w:p>
        </w:tc>
        <w:tc>
          <w:tcPr>
            <w:tcW w:w="2346" w:type="dxa"/>
          </w:tcPr>
          <w:p w:rsidR="00CE4F74" w:rsidRPr="00DA4DDC" w:rsidRDefault="00226DDE" w:rsidP="00226DDE">
            <w:pPr>
              <w:ind w:left="0" w:right="25"/>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37 (21.6)</w:t>
            </w:r>
          </w:p>
        </w:tc>
      </w:tr>
      <w:tr w:rsidR="00CE4F74" w:rsidRPr="00C31183" w:rsidTr="00226DDE">
        <w:trPr>
          <w:trHeight w:val="255"/>
        </w:trPr>
        <w:tc>
          <w:tcPr>
            <w:cnfStyle w:val="001000000000" w:firstRow="0" w:lastRow="0" w:firstColumn="1" w:lastColumn="0" w:oddVBand="0" w:evenVBand="0" w:oddHBand="0" w:evenHBand="0" w:firstRowFirstColumn="0" w:firstRowLastColumn="0" w:lastRowFirstColumn="0" w:lastRowLastColumn="0"/>
            <w:tcW w:w="3334" w:type="dxa"/>
          </w:tcPr>
          <w:p w:rsidR="00CE4F74" w:rsidRPr="00DA4DDC" w:rsidRDefault="00CE4F74" w:rsidP="00226DDE">
            <w:pPr>
              <w:ind w:left="0" w:right="0"/>
              <w:rPr>
                <w:color w:val="000000"/>
                <w:lang w:eastAsia="ja-JP"/>
              </w:rPr>
            </w:pPr>
            <w:proofErr w:type="spellStart"/>
            <w:r w:rsidRPr="00DA4DDC">
              <w:rPr>
                <w:color w:val="000000"/>
                <w:lang w:eastAsia="ja-JP"/>
              </w:rPr>
              <w:t>Dysgeusia</w:t>
            </w:r>
            <w:proofErr w:type="spellEnd"/>
          </w:p>
        </w:tc>
        <w:tc>
          <w:tcPr>
            <w:tcW w:w="3208" w:type="dxa"/>
          </w:tcPr>
          <w:p w:rsidR="00CE4F74" w:rsidRPr="00DA4DDC" w:rsidRDefault="00CE4F74" w:rsidP="00226DDE">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43 (25.0)</w:t>
            </w:r>
          </w:p>
        </w:tc>
        <w:tc>
          <w:tcPr>
            <w:tcW w:w="2346" w:type="dxa"/>
          </w:tcPr>
          <w:p w:rsidR="00CE4F74" w:rsidRPr="00DA4DDC" w:rsidRDefault="00226DDE" w:rsidP="00226DDE">
            <w:pPr>
              <w:ind w:left="0" w:right="25"/>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16 (9.4)</w:t>
            </w:r>
          </w:p>
        </w:tc>
      </w:tr>
      <w:tr w:rsidR="00CE4F74" w:rsidRPr="00C31183" w:rsidTr="00226DDE">
        <w:trPr>
          <w:trHeight w:val="256"/>
        </w:trPr>
        <w:tc>
          <w:tcPr>
            <w:cnfStyle w:val="001000000000" w:firstRow="0" w:lastRow="0" w:firstColumn="1" w:lastColumn="0" w:oddVBand="0" w:evenVBand="0" w:oddHBand="0" w:evenHBand="0" w:firstRowFirstColumn="0" w:firstRowLastColumn="0" w:lastRowFirstColumn="0" w:lastRowLastColumn="0"/>
            <w:tcW w:w="3334" w:type="dxa"/>
          </w:tcPr>
          <w:p w:rsidR="00CE4F74" w:rsidRPr="00DA4DDC" w:rsidRDefault="00CE4F74" w:rsidP="00226DDE">
            <w:pPr>
              <w:ind w:left="0" w:right="0"/>
              <w:rPr>
                <w:color w:val="000000"/>
                <w:lang w:eastAsia="ja-JP"/>
              </w:rPr>
            </w:pPr>
            <w:r w:rsidRPr="00DA4DDC">
              <w:rPr>
                <w:color w:val="000000"/>
                <w:lang w:eastAsia="ja-JP"/>
              </w:rPr>
              <w:t>DIZZINESS</w:t>
            </w:r>
          </w:p>
        </w:tc>
        <w:tc>
          <w:tcPr>
            <w:tcW w:w="3208" w:type="dxa"/>
          </w:tcPr>
          <w:p w:rsidR="00CE4F74" w:rsidRPr="00DA4DDC" w:rsidRDefault="00226DDE" w:rsidP="00226DDE">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21 (12.2)</w:t>
            </w:r>
          </w:p>
        </w:tc>
        <w:tc>
          <w:tcPr>
            <w:tcW w:w="2346" w:type="dxa"/>
          </w:tcPr>
          <w:p w:rsidR="00CE4F74" w:rsidRPr="00DA4DDC" w:rsidRDefault="00226DDE" w:rsidP="00226DDE">
            <w:pPr>
              <w:ind w:left="0" w:right="25"/>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8 (4.7)</w:t>
            </w:r>
          </w:p>
        </w:tc>
      </w:tr>
      <w:tr w:rsidR="00CE4F74" w:rsidRPr="00C31183" w:rsidTr="00226DDE">
        <w:trPr>
          <w:trHeight w:val="256"/>
        </w:trPr>
        <w:tc>
          <w:tcPr>
            <w:cnfStyle w:val="001000000000" w:firstRow="0" w:lastRow="0" w:firstColumn="1" w:lastColumn="0" w:oddVBand="0" w:evenVBand="0" w:oddHBand="0" w:evenHBand="0" w:firstRowFirstColumn="0" w:firstRowLastColumn="0" w:lastRowFirstColumn="0" w:lastRowLastColumn="0"/>
            <w:tcW w:w="3334" w:type="dxa"/>
          </w:tcPr>
          <w:p w:rsidR="00CE4F74" w:rsidRPr="00DA4DDC" w:rsidRDefault="00CE4F74" w:rsidP="00226DDE">
            <w:pPr>
              <w:ind w:left="0" w:right="0"/>
              <w:rPr>
                <w:color w:val="000000"/>
                <w:lang w:eastAsia="ja-JP"/>
              </w:rPr>
            </w:pPr>
            <w:r w:rsidRPr="00DA4DDC">
              <w:rPr>
                <w:color w:val="000000"/>
                <w:lang w:eastAsia="ja-JP"/>
              </w:rPr>
              <w:t>ABDOMINAL PAIN</w:t>
            </w:r>
          </w:p>
        </w:tc>
        <w:tc>
          <w:tcPr>
            <w:tcW w:w="3208" w:type="dxa"/>
          </w:tcPr>
          <w:p w:rsidR="00CE4F74" w:rsidRPr="00DA4DDC" w:rsidRDefault="00226DDE" w:rsidP="00226DDE">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19 (11.0)</w:t>
            </w:r>
          </w:p>
        </w:tc>
        <w:tc>
          <w:tcPr>
            <w:tcW w:w="2346" w:type="dxa"/>
          </w:tcPr>
          <w:p w:rsidR="00CE4F74" w:rsidRPr="00DA4DDC" w:rsidRDefault="00226DDE" w:rsidP="00226DDE">
            <w:pPr>
              <w:ind w:left="0" w:right="25"/>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9 (5.3)</w:t>
            </w:r>
          </w:p>
        </w:tc>
      </w:tr>
      <w:tr w:rsidR="00CE4F74" w:rsidRPr="00C31183" w:rsidTr="00226DDE">
        <w:trPr>
          <w:trHeight w:val="256"/>
        </w:trPr>
        <w:tc>
          <w:tcPr>
            <w:cnfStyle w:val="001000000000" w:firstRow="0" w:lastRow="0" w:firstColumn="1" w:lastColumn="0" w:oddVBand="0" w:evenVBand="0" w:oddHBand="0" w:evenHBand="0" w:firstRowFirstColumn="0" w:firstRowLastColumn="0" w:lastRowFirstColumn="0" w:lastRowLastColumn="0"/>
            <w:tcW w:w="3334" w:type="dxa"/>
          </w:tcPr>
          <w:p w:rsidR="00CE4F74" w:rsidRPr="00DA4DDC" w:rsidRDefault="00CE4F74" w:rsidP="00226DDE">
            <w:pPr>
              <w:ind w:left="0" w:right="0"/>
              <w:rPr>
                <w:color w:val="000000"/>
                <w:lang w:eastAsia="ja-JP"/>
              </w:rPr>
            </w:pPr>
            <w:r w:rsidRPr="00DA4DDC">
              <w:rPr>
                <w:color w:val="000000"/>
                <w:lang w:eastAsia="ja-JP"/>
              </w:rPr>
              <w:t>Fatigue</w:t>
            </w:r>
            <w:r w:rsidRPr="00DA4DDC">
              <w:rPr>
                <w:color w:val="000000"/>
                <w:lang w:eastAsia="ja-JP"/>
              </w:rPr>
              <w:tab/>
            </w:r>
          </w:p>
        </w:tc>
        <w:tc>
          <w:tcPr>
            <w:tcW w:w="3208" w:type="dxa"/>
          </w:tcPr>
          <w:p w:rsidR="00CE4F74" w:rsidRPr="00DA4DDC" w:rsidRDefault="00CE4F74" w:rsidP="00226DDE">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30 (17.4)</w:t>
            </w:r>
          </w:p>
        </w:tc>
        <w:tc>
          <w:tcPr>
            <w:tcW w:w="2346" w:type="dxa"/>
          </w:tcPr>
          <w:p w:rsidR="00CE4F74" w:rsidRPr="00DA4DDC" w:rsidRDefault="00CE4F74" w:rsidP="00226DDE">
            <w:pPr>
              <w:ind w:left="0" w:right="25"/>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50 (29.2)</w:t>
            </w:r>
          </w:p>
        </w:tc>
      </w:tr>
      <w:tr w:rsidR="00CE4F74" w:rsidRPr="00C31183" w:rsidTr="00226DDE">
        <w:trPr>
          <w:trHeight w:val="256"/>
        </w:trPr>
        <w:tc>
          <w:tcPr>
            <w:cnfStyle w:val="001000000000" w:firstRow="0" w:lastRow="0" w:firstColumn="1" w:lastColumn="0" w:oddVBand="0" w:evenVBand="0" w:oddHBand="0" w:evenHBand="0" w:firstRowFirstColumn="0" w:firstRowLastColumn="0" w:lastRowFirstColumn="0" w:lastRowLastColumn="0"/>
            <w:tcW w:w="3334" w:type="dxa"/>
          </w:tcPr>
          <w:p w:rsidR="00CE4F74" w:rsidRPr="00DA4DDC" w:rsidRDefault="00CE4F74" w:rsidP="00226DDE">
            <w:pPr>
              <w:ind w:left="0" w:right="0"/>
              <w:rPr>
                <w:color w:val="000000"/>
                <w:lang w:eastAsia="ja-JP"/>
              </w:rPr>
            </w:pPr>
            <w:r w:rsidRPr="00DA4DDC">
              <w:rPr>
                <w:color w:val="000000"/>
                <w:lang w:eastAsia="ja-JP"/>
              </w:rPr>
              <w:t>Decreased appetite</w:t>
            </w:r>
          </w:p>
        </w:tc>
        <w:tc>
          <w:tcPr>
            <w:tcW w:w="3208" w:type="dxa"/>
          </w:tcPr>
          <w:p w:rsidR="00CE4F74" w:rsidRPr="00DA4DDC" w:rsidRDefault="00CE4F74" w:rsidP="00226DDE">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31 (18.0)</w:t>
            </w:r>
          </w:p>
        </w:tc>
        <w:tc>
          <w:tcPr>
            <w:tcW w:w="2346" w:type="dxa"/>
          </w:tcPr>
          <w:p w:rsidR="00CE4F74" w:rsidRPr="00DA4DDC" w:rsidRDefault="00CE4F74" w:rsidP="00226DDE">
            <w:pPr>
              <w:ind w:left="0" w:right="25"/>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32 (20.5)</w:t>
            </w:r>
          </w:p>
        </w:tc>
      </w:tr>
      <w:tr w:rsidR="00CE4F74" w:rsidRPr="00C31183" w:rsidTr="00226DDE">
        <w:trPr>
          <w:trHeight w:val="256"/>
        </w:trPr>
        <w:tc>
          <w:tcPr>
            <w:cnfStyle w:val="001000000000" w:firstRow="0" w:lastRow="0" w:firstColumn="1" w:lastColumn="0" w:oddVBand="0" w:evenVBand="0" w:oddHBand="0" w:evenHBand="0" w:firstRowFirstColumn="0" w:firstRowLastColumn="0" w:lastRowFirstColumn="0" w:lastRowLastColumn="0"/>
            <w:tcW w:w="3334" w:type="dxa"/>
          </w:tcPr>
          <w:p w:rsidR="00CE4F74" w:rsidRPr="00DA4DDC" w:rsidRDefault="00CE4F74" w:rsidP="00226DDE">
            <w:pPr>
              <w:ind w:left="0" w:right="0"/>
              <w:rPr>
                <w:color w:val="000000"/>
                <w:lang w:eastAsia="ja-JP"/>
              </w:rPr>
            </w:pPr>
            <w:r w:rsidRPr="00DA4DDC">
              <w:rPr>
                <w:color w:val="000000"/>
                <w:lang w:eastAsia="ja-JP"/>
              </w:rPr>
              <w:t>Alopecia</w:t>
            </w:r>
          </w:p>
        </w:tc>
        <w:tc>
          <w:tcPr>
            <w:tcW w:w="3208" w:type="dxa"/>
          </w:tcPr>
          <w:p w:rsidR="00CE4F74" w:rsidRPr="00DA4DDC" w:rsidRDefault="00CE4F74" w:rsidP="00226DDE">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4 (2.3)</w:t>
            </w:r>
          </w:p>
        </w:tc>
        <w:tc>
          <w:tcPr>
            <w:tcW w:w="2346" w:type="dxa"/>
          </w:tcPr>
          <w:p w:rsidR="00CE4F74" w:rsidRPr="00DA4DDC" w:rsidRDefault="00CE4F74" w:rsidP="00226DDE">
            <w:pPr>
              <w:ind w:left="0" w:right="25"/>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34 (19.9)</w:t>
            </w:r>
          </w:p>
        </w:tc>
      </w:tr>
      <w:tr w:rsidR="00CE4F74" w:rsidRPr="00C31183" w:rsidTr="00226DDE">
        <w:trPr>
          <w:trHeight w:val="256"/>
        </w:trPr>
        <w:tc>
          <w:tcPr>
            <w:cnfStyle w:val="001000000000" w:firstRow="0" w:lastRow="0" w:firstColumn="1" w:lastColumn="0" w:oddVBand="0" w:evenVBand="0" w:oddHBand="0" w:evenHBand="0" w:firstRowFirstColumn="0" w:firstRowLastColumn="0" w:lastRowFirstColumn="0" w:lastRowLastColumn="0"/>
            <w:tcW w:w="3334" w:type="dxa"/>
          </w:tcPr>
          <w:p w:rsidR="00CE4F74" w:rsidRPr="00DA4DDC" w:rsidRDefault="00CE4F74" w:rsidP="00226DDE">
            <w:pPr>
              <w:ind w:left="0" w:right="0"/>
              <w:rPr>
                <w:color w:val="000000"/>
                <w:lang w:eastAsia="ja-JP"/>
              </w:rPr>
            </w:pPr>
            <w:r w:rsidRPr="00DA4DDC">
              <w:rPr>
                <w:color w:val="000000"/>
                <w:lang w:eastAsia="ja-JP"/>
              </w:rPr>
              <w:t>Rash</w:t>
            </w:r>
          </w:p>
        </w:tc>
        <w:tc>
          <w:tcPr>
            <w:tcW w:w="3208" w:type="dxa"/>
          </w:tcPr>
          <w:p w:rsidR="00CE4F74" w:rsidRPr="00DA4DDC" w:rsidRDefault="00CE4F74" w:rsidP="00226DDE">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14 (8.1)</w:t>
            </w:r>
          </w:p>
        </w:tc>
        <w:tc>
          <w:tcPr>
            <w:tcW w:w="2346" w:type="dxa"/>
          </w:tcPr>
          <w:p w:rsidR="00CE4F74" w:rsidRPr="00DA4DDC" w:rsidRDefault="00CE4F74" w:rsidP="00226DDE">
            <w:pPr>
              <w:ind w:left="0" w:right="25"/>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28 (16.4)</w:t>
            </w:r>
          </w:p>
        </w:tc>
      </w:tr>
      <w:tr w:rsidR="00CE4F74" w:rsidRPr="00C31183" w:rsidTr="00226DDE">
        <w:trPr>
          <w:trHeight w:val="256"/>
        </w:trPr>
        <w:tc>
          <w:tcPr>
            <w:cnfStyle w:val="001000000000" w:firstRow="0" w:lastRow="0" w:firstColumn="1" w:lastColumn="0" w:oddVBand="0" w:evenVBand="0" w:oddHBand="0" w:evenHBand="0" w:firstRowFirstColumn="0" w:firstRowLastColumn="0" w:lastRowFirstColumn="0" w:lastRowLastColumn="0"/>
            <w:tcW w:w="3334" w:type="dxa"/>
          </w:tcPr>
          <w:p w:rsidR="00CE4F74" w:rsidRPr="00DA4DDC" w:rsidRDefault="00CE4F74" w:rsidP="00226DDE">
            <w:pPr>
              <w:ind w:left="0" w:right="0"/>
              <w:rPr>
                <w:color w:val="000000"/>
                <w:lang w:eastAsia="ja-JP"/>
              </w:rPr>
            </w:pPr>
            <w:r w:rsidRPr="00DA4DDC">
              <w:rPr>
                <w:color w:val="000000"/>
                <w:lang w:eastAsia="ja-JP"/>
              </w:rPr>
              <w:t>ANEMIA</w:t>
            </w:r>
          </w:p>
        </w:tc>
        <w:tc>
          <w:tcPr>
            <w:tcW w:w="3208" w:type="dxa"/>
          </w:tcPr>
          <w:p w:rsidR="00CE4F74" w:rsidRPr="00DA4DDC" w:rsidRDefault="00CE4F74" w:rsidP="00226DDE">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19 (11.0)</w:t>
            </w:r>
          </w:p>
        </w:tc>
        <w:tc>
          <w:tcPr>
            <w:tcW w:w="2346" w:type="dxa"/>
          </w:tcPr>
          <w:p w:rsidR="00CE4F74" w:rsidRPr="00DA4DDC" w:rsidRDefault="00CE4F74" w:rsidP="00226DDE">
            <w:pPr>
              <w:ind w:left="0" w:right="25"/>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26 (15.2)</w:t>
            </w:r>
          </w:p>
        </w:tc>
      </w:tr>
      <w:tr w:rsidR="00CE4F74" w:rsidRPr="00C31183" w:rsidTr="00226DDE">
        <w:trPr>
          <w:trHeight w:val="256"/>
        </w:trPr>
        <w:tc>
          <w:tcPr>
            <w:cnfStyle w:val="001000000000" w:firstRow="0" w:lastRow="0" w:firstColumn="1" w:lastColumn="0" w:oddVBand="0" w:evenVBand="0" w:oddHBand="0" w:evenHBand="0" w:firstRowFirstColumn="0" w:firstRowLastColumn="0" w:lastRowFirstColumn="0" w:lastRowLastColumn="0"/>
            <w:tcW w:w="3334" w:type="dxa"/>
          </w:tcPr>
          <w:p w:rsidR="00CE4F74" w:rsidRPr="00DA4DDC" w:rsidRDefault="00CE4F74" w:rsidP="00226DDE">
            <w:pPr>
              <w:ind w:left="0" w:right="0"/>
              <w:rPr>
                <w:color w:val="000000"/>
                <w:lang w:eastAsia="ja-JP"/>
              </w:rPr>
            </w:pPr>
            <w:r w:rsidRPr="00DA4DDC">
              <w:rPr>
                <w:color w:val="000000"/>
                <w:lang w:eastAsia="ja-JP"/>
              </w:rPr>
              <w:t>STOMATITIS</w:t>
            </w:r>
          </w:p>
        </w:tc>
        <w:tc>
          <w:tcPr>
            <w:tcW w:w="3208" w:type="dxa"/>
          </w:tcPr>
          <w:p w:rsidR="00CE4F74" w:rsidRPr="00DA4DDC" w:rsidRDefault="00CE4F74" w:rsidP="00226DDE">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15 (8.7)</w:t>
            </w:r>
          </w:p>
        </w:tc>
        <w:tc>
          <w:tcPr>
            <w:tcW w:w="2346" w:type="dxa"/>
          </w:tcPr>
          <w:p w:rsidR="00CE4F74" w:rsidRPr="00DA4DDC" w:rsidRDefault="00CE4F74" w:rsidP="00226DDE">
            <w:pPr>
              <w:ind w:left="0" w:right="25"/>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22 (12.9)</w:t>
            </w:r>
          </w:p>
        </w:tc>
      </w:tr>
      <w:tr w:rsidR="00CE4F74" w:rsidRPr="00C31183" w:rsidTr="00226DDE">
        <w:trPr>
          <w:trHeight w:val="256"/>
        </w:trPr>
        <w:tc>
          <w:tcPr>
            <w:cnfStyle w:val="001000000000" w:firstRow="0" w:lastRow="0" w:firstColumn="1" w:lastColumn="0" w:oddVBand="0" w:evenVBand="0" w:oddHBand="0" w:evenHBand="0" w:firstRowFirstColumn="0" w:firstRowLastColumn="0" w:lastRowFirstColumn="0" w:lastRowLastColumn="0"/>
            <w:tcW w:w="3334" w:type="dxa"/>
          </w:tcPr>
          <w:p w:rsidR="00CE4F74" w:rsidRPr="00DA4DDC" w:rsidRDefault="00CE4F74" w:rsidP="00226DDE">
            <w:pPr>
              <w:ind w:left="0" w:right="0"/>
              <w:rPr>
                <w:color w:val="000000"/>
                <w:lang w:eastAsia="ja-JP"/>
              </w:rPr>
            </w:pPr>
            <w:r w:rsidRPr="00DA4DDC">
              <w:rPr>
                <w:color w:val="000000"/>
                <w:lang w:eastAsia="ja-JP"/>
              </w:rPr>
              <w:t>Asthenia</w:t>
            </w:r>
          </w:p>
        </w:tc>
        <w:tc>
          <w:tcPr>
            <w:tcW w:w="3208" w:type="dxa"/>
          </w:tcPr>
          <w:p w:rsidR="00CE4F74" w:rsidRPr="00DA4DDC" w:rsidRDefault="00CE4F74" w:rsidP="00226DDE">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13 (7.6)</w:t>
            </w:r>
          </w:p>
        </w:tc>
        <w:tc>
          <w:tcPr>
            <w:tcW w:w="2346" w:type="dxa"/>
          </w:tcPr>
          <w:p w:rsidR="00CE4F74" w:rsidRPr="00DA4DDC" w:rsidRDefault="00CE4F74" w:rsidP="00226DDE">
            <w:pPr>
              <w:ind w:left="0" w:right="25"/>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22 (12.9)</w:t>
            </w:r>
          </w:p>
        </w:tc>
      </w:tr>
      <w:tr w:rsidR="00CE4F74" w:rsidRPr="00C31183" w:rsidTr="00226DDE">
        <w:trPr>
          <w:trHeight w:val="256"/>
        </w:trPr>
        <w:tc>
          <w:tcPr>
            <w:cnfStyle w:val="001000000000" w:firstRow="0" w:lastRow="0" w:firstColumn="1" w:lastColumn="0" w:oddVBand="0" w:evenVBand="0" w:oddHBand="0" w:evenHBand="0" w:firstRowFirstColumn="0" w:firstRowLastColumn="0" w:lastRowFirstColumn="0" w:lastRowLastColumn="0"/>
            <w:tcW w:w="3334" w:type="dxa"/>
          </w:tcPr>
          <w:p w:rsidR="00CE4F74" w:rsidRPr="00DA4DDC" w:rsidRDefault="00CE4F74" w:rsidP="00226DDE">
            <w:pPr>
              <w:ind w:left="0" w:right="0"/>
              <w:rPr>
                <w:color w:val="000000"/>
                <w:lang w:eastAsia="ja-JP"/>
              </w:rPr>
            </w:pPr>
            <w:r w:rsidRPr="00DA4DDC">
              <w:rPr>
                <w:color w:val="000000"/>
                <w:lang w:eastAsia="ja-JP"/>
              </w:rPr>
              <w:t>NEUROPATHY</w:t>
            </w:r>
          </w:p>
        </w:tc>
        <w:tc>
          <w:tcPr>
            <w:tcW w:w="3208" w:type="dxa"/>
          </w:tcPr>
          <w:p w:rsidR="00CE4F74" w:rsidRPr="00DA4DDC" w:rsidRDefault="00CE4F74" w:rsidP="00226DDE">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14 (8.1)</w:t>
            </w:r>
          </w:p>
        </w:tc>
        <w:tc>
          <w:tcPr>
            <w:tcW w:w="2346" w:type="dxa"/>
          </w:tcPr>
          <w:p w:rsidR="00CE4F74" w:rsidRPr="00DA4DDC" w:rsidRDefault="00CE4F74" w:rsidP="00226DDE">
            <w:pPr>
              <w:ind w:left="0" w:right="25"/>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19 (11.9)</w:t>
            </w:r>
          </w:p>
        </w:tc>
      </w:tr>
      <w:tr w:rsidR="00CE4F74" w:rsidRPr="00C31183" w:rsidTr="00226DDE">
        <w:trPr>
          <w:trHeight w:val="256"/>
        </w:trPr>
        <w:tc>
          <w:tcPr>
            <w:cnfStyle w:val="001000000000" w:firstRow="0" w:lastRow="0" w:firstColumn="1" w:lastColumn="0" w:oddVBand="0" w:evenVBand="0" w:oddHBand="0" w:evenHBand="0" w:firstRowFirstColumn="0" w:firstRowLastColumn="0" w:lastRowFirstColumn="0" w:lastRowLastColumn="0"/>
            <w:tcW w:w="3334" w:type="dxa"/>
          </w:tcPr>
          <w:p w:rsidR="00CE4F74" w:rsidRPr="00DA4DDC" w:rsidRDefault="00CE4F74" w:rsidP="00226DDE">
            <w:pPr>
              <w:ind w:left="0" w:right="0"/>
              <w:rPr>
                <w:color w:val="000000"/>
                <w:lang w:eastAsia="ja-JP"/>
              </w:rPr>
            </w:pPr>
            <w:r w:rsidRPr="00DA4DDC">
              <w:rPr>
                <w:color w:val="000000"/>
                <w:lang w:eastAsia="ja-JP"/>
              </w:rPr>
              <w:t>Pyrexia</w:t>
            </w:r>
          </w:p>
        </w:tc>
        <w:tc>
          <w:tcPr>
            <w:tcW w:w="3208" w:type="dxa"/>
          </w:tcPr>
          <w:p w:rsidR="00CE4F74" w:rsidRPr="00DA4DDC" w:rsidRDefault="00CE4F74" w:rsidP="00226DDE">
            <w:pPr>
              <w:ind w:left="6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7 (4.1)</w:t>
            </w:r>
          </w:p>
        </w:tc>
        <w:tc>
          <w:tcPr>
            <w:tcW w:w="2346" w:type="dxa"/>
          </w:tcPr>
          <w:p w:rsidR="00CE4F74" w:rsidRPr="00DA4DDC" w:rsidRDefault="00CE4F74" w:rsidP="00226DDE">
            <w:pPr>
              <w:ind w:left="0" w:right="25"/>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19 (11.9)</w:t>
            </w:r>
          </w:p>
        </w:tc>
      </w:tr>
    </w:tbl>
    <w:p w:rsidR="00CE4F74" w:rsidRPr="000571BA" w:rsidRDefault="00CE4F74" w:rsidP="00226DDE">
      <w:pPr>
        <w:pStyle w:val="TableDescription"/>
        <w:rPr>
          <w:lang w:eastAsia="ja-JP"/>
        </w:rPr>
      </w:pPr>
      <w:proofErr w:type="spellStart"/>
      <w:r w:rsidRPr="000571BA">
        <w:rPr>
          <w:lang w:eastAsia="ja-JP"/>
        </w:rPr>
        <w:t>MedDRA</w:t>
      </w:r>
      <w:proofErr w:type="spellEnd"/>
      <w:r w:rsidRPr="000571BA">
        <w:rPr>
          <w:lang w:eastAsia="ja-JP"/>
        </w:rPr>
        <w:t xml:space="preserve"> (v15.0) coding dictionary applied.</w:t>
      </w:r>
    </w:p>
    <w:p w:rsidR="00CE4F74" w:rsidRPr="00C31183" w:rsidRDefault="00CE4F74" w:rsidP="00226DDE">
      <w:pPr>
        <w:pStyle w:val="Heading5"/>
        <w:rPr>
          <w:lang w:eastAsia="ja-JP"/>
        </w:rPr>
      </w:pPr>
      <w:bookmarkStart w:id="90" w:name="_Toc228773376"/>
      <w:r w:rsidRPr="00C31183">
        <w:rPr>
          <w:lang w:eastAsia="ja-JP"/>
        </w:rPr>
        <w:t>All causality Grade 3/4/5 adverse events</w:t>
      </w:r>
      <w:bookmarkEnd w:id="90"/>
    </w:p>
    <w:p w:rsidR="00CE4F74" w:rsidRPr="00C31183" w:rsidRDefault="00CE4F74" w:rsidP="00226DDE">
      <w:pPr>
        <w:rPr>
          <w:lang w:eastAsia="ja-JP"/>
        </w:rPr>
      </w:pPr>
      <w:r w:rsidRPr="00C31183">
        <w:rPr>
          <w:lang w:eastAsia="ja-JP"/>
        </w:rPr>
        <w:t>All causality maximum Grade 3/4/5 TEAEs (</w:t>
      </w:r>
      <w:proofErr w:type="spellStart"/>
      <w:r w:rsidRPr="00C31183">
        <w:rPr>
          <w:lang w:eastAsia="ja-JP"/>
        </w:rPr>
        <w:t>MedDRA</w:t>
      </w:r>
      <w:proofErr w:type="spellEnd"/>
      <w:r w:rsidRPr="00C31183">
        <w:rPr>
          <w:lang w:eastAsia="ja-JP"/>
        </w:rPr>
        <w:t xml:space="preserve"> preferred terms) were reported in 58.7 % (101/172) of patients in the </w:t>
      </w:r>
      <w:proofErr w:type="spellStart"/>
      <w:r w:rsidRPr="00C31183">
        <w:rPr>
          <w:lang w:eastAsia="ja-JP"/>
        </w:rPr>
        <w:t>crizotinib</w:t>
      </w:r>
      <w:proofErr w:type="spellEnd"/>
      <w:r w:rsidRPr="00C31183">
        <w:rPr>
          <w:lang w:eastAsia="ja-JP"/>
        </w:rPr>
        <w:t xml:space="preserve"> arm (G3 = 35.5% [n=61]; G4 = 8.7% [n=15]; G5 = 14.5% [n=25]) and in 46.2% (79/171) of patients in the chemotherapy arm (G3 = 28.7% [n=49]; G4 = </w:t>
      </w:r>
      <w:r w:rsidR="00226DDE">
        <w:rPr>
          <w:lang w:eastAsia="ja-JP"/>
        </w:rPr>
        <w:t>13.5% [n=23]; G5 = 4.1% [n=7]).</w:t>
      </w:r>
    </w:p>
    <w:p w:rsidR="00CE4F74" w:rsidRPr="00C31183" w:rsidRDefault="00CE4F74" w:rsidP="00226DDE">
      <w:pPr>
        <w:rPr>
          <w:lang w:eastAsia="ja-JP"/>
        </w:rPr>
      </w:pPr>
      <w:r w:rsidRPr="00C31183">
        <w:rPr>
          <w:lang w:eastAsia="ja-JP"/>
        </w:rPr>
        <w:t>All causality maximum Grade 3/4 TEAEs (</w:t>
      </w:r>
      <w:proofErr w:type="spellStart"/>
      <w:r w:rsidRPr="00C31183">
        <w:rPr>
          <w:lang w:eastAsia="ja-JP"/>
        </w:rPr>
        <w:t>MedDRA</w:t>
      </w:r>
      <w:proofErr w:type="spellEnd"/>
      <w:r w:rsidRPr="00C31183">
        <w:rPr>
          <w:lang w:eastAsia="ja-JP"/>
        </w:rPr>
        <w:t xml:space="preserve"> preferred terms) in </w:t>
      </w:r>
      <w:r>
        <w:rPr>
          <w:lang w:eastAsia="ja-JP"/>
        </w:rPr>
        <w:t>≥</w:t>
      </w:r>
      <w:r w:rsidRPr="00C31183">
        <w:rPr>
          <w:lang w:eastAsia="ja-JP"/>
        </w:rPr>
        <w:t xml:space="preserve"> 2% of patients in the </w:t>
      </w:r>
      <w:proofErr w:type="spellStart"/>
      <w:r w:rsidRPr="00C31183">
        <w:rPr>
          <w:lang w:eastAsia="ja-JP"/>
        </w:rPr>
        <w:t>crizotinib</w:t>
      </w:r>
      <w:proofErr w:type="spellEnd"/>
      <w:r w:rsidRPr="00C31183">
        <w:rPr>
          <w:lang w:eastAsia="ja-JP"/>
        </w:rPr>
        <w:t xml:space="preserve"> arm</w:t>
      </w:r>
      <w:r>
        <w:rPr>
          <w:lang w:eastAsia="ja-JP"/>
        </w:rPr>
        <w:t xml:space="preserve"> versus </w:t>
      </w:r>
      <w:r w:rsidRPr="00C31183">
        <w:rPr>
          <w:lang w:eastAsia="ja-JP"/>
        </w:rPr>
        <w:t>the chemotherapy arm were: any (44.2%</w:t>
      </w:r>
      <w:r>
        <w:rPr>
          <w:lang w:eastAsia="ja-JP"/>
        </w:rPr>
        <w:t xml:space="preserve"> versus </w:t>
      </w:r>
      <w:r w:rsidRPr="00C31183">
        <w:rPr>
          <w:lang w:eastAsia="ja-JP"/>
        </w:rPr>
        <w:t>42.1%); ALT increased (12.8%</w:t>
      </w:r>
      <w:r>
        <w:rPr>
          <w:lang w:eastAsia="ja-JP"/>
        </w:rPr>
        <w:t xml:space="preserve"> versus </w:t>
      </w:r>
      <w:r w:rsidRPr="00C31183">
        <w:rPr>
          <w:lang w:eastAsia="ja-JP"/>
        </w:rPr>
        <w:t>2.3%), neutropenia (9.9%</w:t>
      </w:r>
      <w:r>
        <w:rPr>
          <w:lang w:eastAsia="ja-JP"/>
        </w:rPr>
        <w:t xml:space="preserve"> versus </w:t>
      </w:r>
      <w:r w:rsidRPr="00C31183">
        <w:rPr>
          <w:lang w:eastAsia="ja-JP"/>
        </w:rPr>
        <w:t>8.2%), AST increased (5.2%</w:t>
      </w:r>
      <w:r>
        <w:rPr>
          <w:lang w:eastAsia="ja-JP"/>
        </w:rPr>
        <w:t xml:space="preserve"> versus </w:t>
      </w:r>
      <w:r w:rsidRPr="00C31183">
        <w:rPr>
          <w:lang w:eastAsia="ja-JP"/>
        </w:rPr>
        <w:t>0.6%), pulmonary embolism (4.7%</w:t>
      </w:r>
      <w:r>
        <w:rPr>
          <w:lang w:eastAsia="ja-JP"/>
        </w:rPr>
        <w:t xml:space="preserve"> versus </w:t>
      </w:r>
      <w:r w:rsidRPr="00C31183">
        <w:rPr>
          <w:lang w:eastAsia="ja-JP"/>
        </w:rPr>
        <w:t>1.8%), dyspnoea (4.1%</w:t>
      </w:r>
      <w:r>
        <w:rPr>
          <w:lang w:eastAsia="ja-JP"/>
        </w:rPr>
        <w:t xml:space="preserve"> versus </w:t>
      </w:r>
      <w:r w:rsidRPr="00C31183">
        <w:rPr>
          <w:lang w:eastAsia="ja-JP"/>
        </w:rPr>
        <w:t>2.9%); pneumonia (3.5%</w:t>
      </w:r>
      <w:r>
        <w:rPr>
          <w:lang w:eastAsia="ja-JP"/>
        </w:rPr>
        <w:t xml:space="preserve"> versus </w:t>
      </w:r>
      <w:r w:rsidRPr="00C31183">
        <w:rPr>
          <w:lang w:eastAsia="ja-JP"/>
        </w:rPr>
        <w:t>1.8%); electrocardiogram QT prolonged (3.5%</w:t>
      </w:r>
      <w:r>
        <w:rPr>
          <w:lang w:eastAsia="ja-JP"/>
        </w:rPr>
        <w:t xml:space="preserve"> versus </w:t>
      </w:r>
      <w:r w:rsidRPr="00C31183">
        <w:rPr>
          <w:lang w:eastAsia="ja-JP"/>
        </w:rPr>
        <w:t>0%); hypokalaemia (3.5%</w:t>
      </w:r>
      <w:r>
        <w:rPr>
          <w:lang w:eastAsia="ja-JP"/>
        </w:rPr>
        <w:t xml:space="preserve"> versus </w:t>
      </w:r>
      <w:r w:rsidRPr="00C31183">
        <w:rPr>
          <w:lang w:eastAsia="ja-JP"/>
        </w:rPr>
        <w:t>0%); neutrophil count decreased (3.5%</w:t>
      </w:r>
      <w:r>
        <w:rPr>
          <w:lang w:eastAsia="ja-JP"/>
        </w:rPr>
        <w:t xml:space="preserve"> versus </w:t>
      </w:r>
      <w:r w:rsidRPr="00C31183">
        <w:rPr>
          <w:lang w:eastAsia="ja-JP"/>
        </w:rPr>
        <w:t>4.1%); syncope (2.9%</w:t>
      </w:r>
      <w:r>
        <w:rPr>
          <w:lang w:eastAsia="ja-JP"/>
        </w:rPr>
        <w:t xml:space="preserve"> versus </w:t>
      </w:r>
      <w:r w:rsidRPr="00C31183">
        <w:rPr>
          <w:lang w:eastAsia="ja-JP"/>
        </w:rPr>
        <w:t xml:space="preserve">0%); anaemia </w:t>
      </w:r>
      <w:r w:rsidRPr="00C31183">
        <w:rPr>
          <w:lang w:eastAsia="ja-JP"/>
        </w:rPr>
        <w:lastRenderedPageBreak/>
        <w:t>(2.3%</w:t>
      </w:r>
      <w:r>
        <w:rPr>
          <w:lang w:eastAsia="ja-JP"/>
        </w:rPr>
        <w:t xml:space="preserve"> versus </w:t>
      </w:r>
      <w:r w:rsidRPr="00C31183">
        <w:rPr>
          <w:lang w:eastAsia="ja-JP"/>
        </w:rPr>
        <w:t>4.7%); constipation (2.3%</w:t>
      </w:r>
      <w:r>
        <w:rPr>
          <w:lang w:eastAsia="ja-JP"/>
        </w:rPr>
        <w:t xml:space="preserve"> versus </w:t>
      </w:r>
      <w:r w:rsidRPr="00C31183">
        <w:rPr>
          <w:lang w:eastAsia="ja-JP"/>
        </w:rPr>
        <w:t>0%); decreased appetite (2.3%</w:t>
      </w:r>
      <w:r>
        <w:rPr>
          <w:lang w:eastAsia="ja-JP"/>
        </w:rPr>
        <w:t xml:space="preserve"> versus </w:t>
      </w:r>
      <w:r w:rsidRPr="00C31183">
        <w:rPr>
          <w:lang w:eastAsia="ja-JP"/>
        </w:rPr>
        <w:t>1.8%); fatigue (2.3%</w:t>
      </w:r>
      <w:r>
        <w:rPr>
          <w:lang w:eastAsia="ja-JP"/>
        </w:rPr>
        <w:t xml:space="preserve"> versus </w:t>
      </w:r>
      <w:r w:rsidRPr="00C31183">
        <w:rPr>
          <w:lang w:eastAsia="ja-JP"/>
        </w:rPr>
        <w:t xml:space="preserve">4.1%) and </w:t>
      </w:r>
      <w:proofErr w:type="spellStart"/>
      <w:r w:rsidRPr="00C31183">
        <w:rPr>
          <w:lang w:eastAsia="ja-JP"/>
        </w:rPr>
        <w:t>hypophosphataemia</w:t>
      </w:r>
      <w:proofErr w:type="spellEnd"/>
      <w:r w:rsidRPr="00C31183">
        <w:rPr>
          <w:lang w:eastAsia="ja-JP"/>
        </w:rPr>
        <w:t xml:space="preserve"> (2.3%</w:t>
      </w:r>
      <w:r>
        <w:rPr>
          <w:lang w:eastAsia="ja-JP"/>
        </w:rPr>
        <w:t xml:space="preserve"> versus </w:t>
      </w:r>
      <w:r w:rsidR="00226DDE">
        <w:rPr>
          <w:lang w:eastAsia="ja-JP"/>
        </w:rPr>
        <w:t>1.8%).</w:t>
      </w:r>
    </w:p>
    <w:p w:rsidR="00CE4F74" w:rsidRPr="00C31183" w:rsidRDefault="00CE4F74" w:rsidP="00226DDE">
      <w:pPr>
        <w:rPr>
          <w:lang w:eastAsia="ja-JP"/>
        </w:rPr>
      </w:pPr>
      <w:r w:rsidRPr="00C31183">
        <w:rPr>
          <w:lang w:eastAsia="ja-JP"/>
        </w:rPr>
        <w:t xml:space="preserve">The sponsor considered meaningfully different Grade 3/4 TEAEs (clustered or </w:t>
      </w:r>
      <w:proofErr w:type="spellStart"/>
      <w:r w:rsidRPr="00C31183">
        <w:rPr>
          <w:lang w:eastAsia="ja-JP"/>
        </w:rPr>
        <w:t>MedDRA</w:t>
      </w:r>
      <w:proofErr w:type="spellEnd"/>
      <w:r w:rsidRPr="00C31183">
        <w:rPr>
          <w:lang w:eastAsia="ja-JP"/>
        </w:rPr>
        <w:t xml:space="preserve"> preferred terms) to be events reported with an incidence of </w:t>
      </w:r>
      <w:r>
        <w:rPr>
          <w:lang w:eastAsia="ja-JP"/>
        </w:rPr>
        <w:t>≥</w:t>
      </w:r>
      <w:r w:rsidRPr="00C31183">
        <w:rPr>
          <w:lang w:eastAsia="ja-JP"/>
        </w:rPr>
        <w:t xml:space="preserve"> 2% of patients across all cycles in either treatment arm and with at least a 2</w:t>
      </w:r>
      <w:r>
        <w:rPr>
          <w:lang w:eastAsia="ja-JP"/>
        </w:rPr>
        <w:t xml:space="preserve"> </w:t>
      </w:r>
      <w:r w:rsidRPr="00C31183">
        <w:rPr>
          <w:lang w:eastAsia="ja-JP"/>
        </w:rPr>
        <w:t>fold difference between treatm</w:t>
      </w:r>
      <w:r w:rsidR="00226DDE">
        <w:rPr>
          <w:lang w:eastAsia="ja-JP"/>
        </w:rPr>
        <w:t>ent arms (see Table 13, below).</w:t>
      </w:r>
    </w:p>
    <w:p w:rsidR="00CE4F74" w:rsidRPr="00226DDE" w:rsidRDefault="00CE4F74" w:rsidP="00226DDE">
      <w:pPr>
        <w:pStyle w:val="TableTitle"/>
      </w:pPr>
      <w:bookmarkStart w:id="91" w:name="_Toc228773436"/>
      <w:r w:rsidRPr="00C31183">
        <w:rPr>
          <w:lang w:eastAsia="ja-JP"/>
        </w:rPr>
        <w:t xml:space="preserve">Table </w:t>
      </w:r>
      <w:r w:rsidRPr="00C31183">
        <w:rPr>
          <w:lang w:eastAsia="ja-JP"/>
        </w:rPr>
        <w:fldChar w:fldCharType="begin"/>
      </w:r>
      <w:r w:rsidRPr="00C31183">
        <w:rPr>
          <w:lang w:eastAsia="ja-JP"/>
        </w:rPr>
        <w:instrText xml:space="preserve"> SEQ Table \* ARABIC </w:instrText>
      </w:r>
      <w:r w:rsidRPr="00C31183">
        <w:rPr>
          <w:lang w:eastAsia="ja-JP"/>
        </w:rPr>
        <w:fldChar w:fldCharType="separate"/>
      </w:r>
      <w:r>
        <w:rPr>
          <w:noProof/>
          <w:lang w:eastAsia="ja-JP"/>
        </w:rPr>
        <w:t>13</w:t>
      </w:r>
      <w:r w:rsidRPr="00C31183">
        <w:rPr>
          <w:lang w:eastAsia="ja-JP"/>
        </w:rPr>
        <w:fldChar w:fldCharType="end"/>
      </w:r>
      <w:r w:rsidRPr="00C31183">
        <w:rPr>
          <w:lang w:eastAsia="ja-JP"/>
        </w:rPr>
        <w:t>: Most common (</w:t>
      </w:r>
      <w:r>
        <w:rPr>
          <w:lang w:eastAsia="ja-JP"/>
        </w:rPr>
        <w:t>≥</w:t>
      </w:r>
      <w:r w:rsidRPr="00C31183">
        <w:rPr>
          <w:lang w:eastAsia="ja-JP"/>
        </w:rPr>
        <w:t xml:space="preserve"> 2% of patients) treatment-emergent all causality Grade 3/4 a</w:t>
      </w:r>
      <w:r>
        <w:rPr>
          <w:lang w:eastAsia="ja-JP"/>
        </w:rPr>
        <w:t xml:space="preserve">dverse events with at least a 2 </w:t>
      </w:r>
      <w:r w:rsidRPr="00C31183">
        <w:rPr>
          <w:lang w:eastAsia="ja-JP"/>
        </w:rPr>
        <w:t xml:space="preserve">fold difference between treatments, unshaded terms occurred at a higher frequency on </w:t>
      </w:r>
      <w:proofErr w:type="spellStart"/>
      <w:r w:rsidRPr="00C31183">
        <w:rPr>
          <w:lang w:eastAsia="ja-JP"/>
        </w:rPr>
        <w:t>crizotinib</w:t>
      </w:r>
      <w:proofErr w:type="spellEnd"/>
      <w:r w:rsidRPr="00C31183">
        <w:rPr>
          <w:lang w:eastAsia="ja-JP"/>
        </w:rPr>
        <w:t xml:space="preserve"> than chemotherapy and shaded terms occurred at a higher frequency on chemotherapy than on </w:t>
      </w:r>
      <w:proofErr w:type="spellStart"/>
      <w:r w:rsidRPr="00C31183">
        <w:rPr>
          <w:lang w:eastAsia="ja-JP"/>
        </w:rPr>
        <w:t>crizotinib</w:t>
      </w:r>
      <w:proofErr w:type="spellEnd"/>
      <w:r w:rsidRPr="00C31183">
        <w:rPr>
          <w:lang w:eastAsia="ja-JP"/>
        </w:rPr>
        <w:t>; SA</w:t>
      </w:r>
      <w:bookmarkEnd w:id="91"/>
    </w:p>
    <w:tbl>
      <w:tblPr>
        <w:tblStyle w:val="TableTGAblue"/>
        <w:tblW w:w="0" w:type="auto"/>
        <w:tblLook w:val="00A0" w:firstRow="1" w:lastRow="0" w:firstColumn="1" w:lastColumn="0" w:noHBand="0" w:noVBand="0"/>
      </w:tblPr>
      <w:tblGrid>
        <w:gridCol w:w="3091"/>
        <w:gridCol w:w="3102"/>
        <w:gridCol w:w="2270"/>
      </w:tblGrid>
      <w:tr w:rsidR="00CE4F74" w:rsidRPr="00C31183" w:rsidTr="00226DDE">
        <w:trPr>
          <w:cnfStyle w:val="100000000000" w:firstRow="1" w:lastRow="0" w:firstColumn="0" w:lastColumn="0" w:oddVBand="0" w:evenVBand="0" w:oddHBand="0" w:evenHBand="0" w:firstRowFirstColumn="0" w:firstRowLastColumn="0" w:lastRowFirstColumn="0" w:lastRowLastColumn="0"/>
          <w:trHeight w:val="253"/>
          <w:tblHeader/>
        </w:trPr>
        <w:tc>
          <w:tcPr>
            <w:cnfStyle w:val="001000000000" w:firstRow="0" w:lastRow="0" w:firstColumn="1" w:lastColumn="0" w:oddVBand="0" w:evenVBand="0" w:oddHBand="0" w:evenHBand="0" w:firstRowFirstColumn="0" w:firstRowLastColumn="0" w:lastRowFirstColumn="0" w:lastRowLastColumn="0"/>
            <w:tcW w:w="3091" w:type="dxa"/>
          </w:tcPr>
          <w:p w:rsidR="00CE4F74" w:rsidRPr="00DA4DDC" w:rsidRDefault="00226DDE" w:rsidP="00226DDE">
            <w:pPr>
              <w:ind w:left="0" w:right="40"/>
              <w:rPr>
                <w:lang w:eastAsia="ja-JP"/>
              </w:rPr>
            </w:pPr>
            <w:r>
              <w:rPr>
                <w:lang w:eastAsia="ja-JP"/>
              </w:rPr>
              <w:t>Events</w:t>
            </w:r>
          </w:p>
        </w:tc>
        <w:tc>
          <w:tcPr>
            <w:tcW w:w="3102" w:type="dxa"/>
          </w:tcPr>
          <w:p w:rsidR="00CE4F74" w:rsidRPr="00DA4DDC" w:rsidRDefault="00226DDE" w:rsidP="00226DDE">
            <w:pPr>
              <w:ind w:left="28" w:right="0"/>
              <w:cnfStyle w:val="100000000000" w:firstRow="1" w:lastRow="0" w:firstColumn="0" w:lastColumn="0" w:oddVBand="0" w:evenVBand="0" w:oddHBand="0" w:evenHBand="0" w:firstRowFirstColumn="0" w:firstRowLastColumn="0" w:lastRowFirstColumn="0" w:lastRowLastColumn="0"/>
              <w:rPr>
                <w:lang w:eastAsia="ja-JP"/>
              </w:rPr>
            </w:pPr>
            <w:proofErr w:type="spellStart"/>
            <w:r>
              <w:rPr>
                <w:lang w:eastAsia="ja-JP"/>
              </w:rPr>
              <w:t>Crizotinib</w:t>
            </w:r>
            <w:proofErr w:type="spellEnd"/>
            <w:r>
              <w:rPr>
                <w:lang w:eastAsia="ja-JP"/>
              </w:rPr>
              <w:t xml:space="preserve"> (n=172); n (%)</w:t>
            </w:r>
          </w:p>
        </w:tc>
        <w:tc>
          <w:tcPr>
            <w:tcW w:w="2270" w:type="dxa"/>
          </w:tcPr>
          <w:p w:rsidR="00CE4F74" w:rsidRPr="00DA4DDC" w:rsidRDefault="00226DDE" w:rsidP="00226DDE">
            <w:pPr>
              <w:ind w:left="44" w:right="0"/>
              <w:cnfStyle w:val="100000000000" w:firstRow="1" w:lastRow="0" w:firstColumn="0" w:lastColumn="0" w:oddVBand="0" w:evenVBand="0" w:oddHBand="0" w:evenHBand="0" w:firstRowFirstColumn="0" w:firstRowLastColumn="0" w:lastRowFirstColumn="0" w:lastRowLastColumn="0"/>
              <w:rPr>
                <w:lang w:eastAsia="ja-JP"/>
              </w:rPr>
            </w:pPr>
            <w:r>
              <w:rPr>
                <w:lang w:eastAsia="ja-JP"/>
              </w:rPr>
              <w:t>Chemotherapy (n=171); n (%)</w:t>
            </w:r>
          </w:p>
        </w:tc>
      </w:tr>
      <w:tr w:rsidR="00CE4F74" w:rsidRPr="00C31183" w:rsidTr="00226DDE">
        <w:trPr>
          <w:trHeight w:val="253"/>
        </w:trPr>
        <w:tc>
          <w:tcPr>
            <w:cnfStyle w:val="001000000000" w:firstRow="0" w:lastRow="0" w:firstColumn="1" w:lastColumn="0" w:oddVBand="0" w:evenVBand="0" w:oddHBand="0" w:evenHBand="0" w:firstRowFirstColumn="0" w:firstRowLastColumn="0" w:lastRowFirstColumn="0" w:lastRowLastColumn="0"/>
            <w:tcW w:w="3091" w:type="dxa"/>
          </w:tcPr>
          <w:p w:rsidR="00CE4F74" w:rsidRPr="00DA4DDC" w:rsidRDefault="00226DDE" w:rsidP="00226DDE">
            <w:pPr>
              <w:ind w:left="0" w:right="40"/>
              <w:rPr>
                <w:color w:val="000000"/>
                <w:lang w:eastAsia="ja-JP"/>
              </w:rPr>
            </w:pPr>
            <w:r>
              <w:rPr>
                <w:color w:val="000000"/>
                <w:lang w:eastAsia="ja-JP"/>
              </w:rPr>
              <w:t>ELEVATED TRANSAMINASES</w:t>
            </w:r>
          </w:p>
        </w:tc>
        <w:tc>
          <w:tcPr>
            <w:tcW w:w="3102" w:type="dxa"/>
          </w:tcPr>
          <w:p w:rsidR="00CE4F74" w:rsidRPr="00DA4DDC" w:rsidRDefault="00226DDE" w:rsidP="00226DDE">
            <w:pPr>
              <w:ind w:left="28"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27 (15.7)</w:t>
            </w:r>
          </w:p>
        </w:tc>
        <w:tc>
          <w:tcPr>
            <w:tcW w:w="2270" w:type="dxa"/>
          </w:tcPr>
          <w:p w:rsidR="00CE4F74" w:rsidRPr="00DA4DDC" w:rsidRDefault="00CE4F74" w:rsidP="00226DDE">
            <w:pPr>
              <w:ind w:left="44"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4 (2.3)</w:t>
            </w:r>
          </w:p>
        </w:tc>
      </w:tr>
      <w:tr w:rsidR="00CE4F74" w:rsidRPr="00C31183" w:rsidTr="00226DDE">
        <w:trPr>
          <w:trHeight w:val="253"/>
        </w:trPr>
        <w:tc>
          <w:tcPr>
            <w:cnfStyle w:val="001000000000" w:firstRow="0" w:lastRow="0" w:firstColumn="1" w:lastColumn="0" w:oddVBand="0" w:evenVBand="0" w:oddHBand="0" w:evenHBand="0" w:firstRowFirstColumn="0" w:firstRowLastColumn="0" w:lastRowFirstColumn="0" w:lastRowLastColumn="0"/>
            <w:tcW w:w="3091" w:type="dxa"/>
          </w:tcPr>
          <w:p w:rsidR="00CE4F74" w:rsidRPr="00DA4DDC" w:rsidRDefault="00CE4F74" w:rsidP="00226DDE">
            <w:pPr>
              <w:ind w:left="0" w:right="40"/>
              <w:rPr>
                <w:color w:val="000000"/>
                <w:lang w:eastAsia="ja-JP"/>
              </w:rPr>
            </w:pPr>
            <w:r w:rsidRPr="00DA4DDC">
              <w:rPr>
                <w:color w:val="000000"/>
                <w:lang w:eastAsia="ja-JP"/>
              </w:rPr>
              <w:t>Electrocardiogram QT prolonged</w:t>
            </w:r>
          </w:p>
        </w:tc>
        <w:tc>
          <w:tcPr>
            <w:tcW w:w="3102" w:type="dxa"/>
          </w:tcPr>
          <w:p w:rsidR="00CE4F74" w:rsidRPr="00DA4DDC" w:rsidRDefault="00226DDE" w:rsidP="00226DDE">
            <w:pPr>
              <w:ind w:left="28"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6 (3.5)</w:t>
            </w:r>
          </w:p>
        </w:tc>
        <w:tc>
          <w:tcPr>
            <w:tcW w:w="2270" w:type="dxa"/>
          </w:tcPr>
          <w:p w:rsidR="00CE4F74" w:rsidRPr="00DA4DDC" w:rsidRDefault="00CE4F74" w:rsidP="00226DDE">
            <w:pPr>
              <w:ind w:left="44"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 *</w:t>
            </w:r>
          </w:p>
        </w:tc>
      </w:tr>
      <w:tr w:rsidR="00CE4F74" w:rsidRPr="00C31183" w:rsidTr="00226DDE">
        <w:trPr>
          <w:trHeight w:val="253"/>
        </w:trPr>
        <w:tc>
          <w:tcPr>
            <w:cnfStyle w:val="001000000000" w:firstRow="0" w:lastRow="0" w:firstColumn="1" w:lastColumn="0" w:oddVBand="0" w:evenVBand="0" w:oddHBand="0" w:evenHBand="0" w:firstRowFirstColumn="0" w:firstRowLastColumn="0" w:lastRowFirstColumn="0" w:lastRowLastColumn="0"/>
            <w:tcW w:w="3091" w:type="dxa"/>
          </w:tcPr>
          <w:p w:rsidR="00CE4F74" w:rsidRPr="00DA4DDC" w:rsidRDefault="00CE4F74" w:rsidP="00226DDE">
            <w:pPr>
              <w:ind w:left="0" w:right="40"/>
              <w:rPr>
                <w:color w:val="000000"/>
                <w:lang w:eastAsia="ja-JP"/>
              </w:rPr>
            </w:pPr>
            <w:r w:rsidRPr="00DA4DDC">
              <w:rPr>
                <w:color w:val="000000"/>
                <w:lang w:eastAsia="ja-JP"/>
              </w:rPr>
              <w:t>Hypokalaemia</w:t>
            </w:r>
          </w:p>
        </w:tc>
        <w:tc>
          <w:tcPr>
            <w:tcW w:w="3102" w:type="dxa"/>
          </w:tcPr>
          <w:p w:rsidR="00CE4F74" w:rsidRPr="00DA4DDC" w:rsidRDefault="00226DDE" w:rsidP="00226DDE">
            <w:pPr>
              <w:ind w:left="28"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6 (3.5)</w:t>
            </w:r>
          </w:p>
        </w:tc>
        <w:tc>
          <w:tcPr>
            <w:tcW w:w="2270" w:type="dxa"/>
          </w:tcPr>
          <w:p w:rsidR="00CE4F74" w:rsidRPr="00DA4DDC" w:rsidRDefault="00CE4F74" w:rsidP="00226DDE">
            <w:pPr>
              <w:ind w:left="44"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w:t>
            </w:r>
          </w:p>
        </w:tc>
      </w:tr>
      <w:tr w:rsidR="00CE4F74" w:rsidRPr="00C31183" w:rsidTr="00226DDE">
        <w:trPr>
          <w:trHeight w:val="254"/>
        </w:trPr>
        <w:tc>
          <w:tcPr>
            <w:cnfStyle w:val="001000000000" w:firstRow="0" w:lastRow="0" w:firstColumn="1" w:lastColumn="0" w:oddVBand="0" w:evenVBand="0" w:oddHBand="0" w:evenHBand="0" w:firstRowFirstColumn="0" w:firstRowLastColumn="0" w:lastRowFirstColumn="0" w:lastRowLastColumn="0"/>
            <w:tcW w:w="3091" w:type="dxa"/>
          </w:tcPr>
          <w:p w:rsidR="00CE4F74" w:rsidRPr="00DA4DDC" w:rsidRDefault="00CE4F74" w:rsidP="00226DDE">
            <w:pPr>
              <w:ind w:left="0" w:right="40"/>
              <w:rPr>
                <w:color w:val="000000"/>
                <w:lang w:eastAsia="ja-JP"/>
              </w:rPr>
            </w:pPr>
            <w:r w:rsidRPr="00DA4DDC">
              <w:rPr>
                <w:color w:val="000000"/>
                <w:lang w:eastAsia="ja-JP"/>
              </w:rPr>
              <w:t>Syncope</w:t>
            </w:r>
          </w:p>
        </w:tc>
        <w:tc>
          <w:tcPr>
            <w:tcW w:w="3102" w:type="dxa"/>
          </w:tcPr>
          <w:p w:rsidR="00CE4F74" w:rsidRPr="00DA4DDC" w:rsidRDefault="00226DDE" w:rsidP="00226DDE">
            <w:pPr>
              <w:ind w:left="28"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5 (2.9)</w:t>
            </w:r>
          </w:p>
        </w:tc>
        <w:tc>
          <w:tcPr>
            <w:tcW w:w="2270" w:type="dxa"/>
          </w:tcPr>
          <w:p w:rsidR="00CE4F74" w:rsidRPr="00DA4DDC" w:rsidRDefault="00CE4F74" w:rsidP="00226DDE">
            <w:pPr>
              <w:ind w:left="44"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w:t>
            </w:r>
          </w:p>
        </w:tc>
      </w:tr>
      <w:tr w:rsidR="00CE4F74" w:rsidRPr="00C31183" w:rsidTr="00226DDE">
        <w:trPr>
          <w:trHeight w:val="253"/>
        </w:trPr>
        <w:tc>
          <w:tcPr>
            <w:cnfStyle w:val="001000000000" w:firstRow="0" w:lastRow="0" w:firstColumn="1" w:lastColumn="0" w:oddVBand="0" w:evenVBand="0" w:oddHBand="0" w:evenHBand="0" w:firstRowFirstColumn="0" w:firstRowLastColumn="0" w:lastRowFirstColumn="0" w:lastRowLastColumn="0"/>
            <w:tcW w:w="3091" w:type="dxa"/>
          </w:tcPr>
          <w:p w:rsidR="00CE4F74" w:rsidRPr="00DA4DDC" w:rsidRDefault="00226DDE" w:rsidP="00226DDE">
            <w:pPr>
              <w:ind w:left="0" w:right="40"/>
              <w:rPr>
                <w:color w:val="000000"/>
                <w:lang w:eastAsia="ja-JP"/>
              </w:rPr>
            </w:pPr>
            <w:r>
              <w:rPr>
                <w:color w:val="000000"/>
                <w:lang w:eastAsia="ja-JP"/>
              </w:rPr>
              <w:t>Constipation</w:t>
            </w:r>
          </w:p>
        </w:tc>
        <w:tc>
          <w:tcPr>
            <w:tcW w:w="3102" w:type="dxa"/>
          </w:tcPr>
          <w:p w:rsidR="00CE4F74" w:rsidRPr="00DA4DDC" w:rsidRDefault="00226DDE" w:rsidP="00226DDE">
            <w:pPr>
              <w:ind w:left="28"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4 (2.3)</w:t>
            </w:r>
          </w:p>
        </w:tc>
        <w:tc>
          <w:tcPr>
            <w:tcW w:w="2270" w:type="dxa"/>
          </w:tcPr>
          <w:p w:rsidR="00CE4F74" w:rsidRPr="00DA4DDC" w:rsidRDefault="00CE4F74" w:rsidP="00226DDE">
            <w:pPr>
              <w:ind w:left="44"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w:t>
            </w:r>
          </w:p>
        </w:tc>
      </w:tr>
      <w:tr w:rsidR="00CE4F74" w:rsidRPr="00C31183" w:rsidTr="00226DDE">
        <w:trPr>
          <w:trHeight w:val="254"/>
        </w:trPr>
        <w:tc>
          <w:tcPr>
            <w:cnfStyle w:val="001000000000" w:firstRow="0" w:lastRow="0" w:firstColumn="1" w:lastColumn="0" w:oddVBand="0" w:evenVBand="0" w:oddHBand="0" w:evenHBand="0" w:firstRowFirstColumn="0" w:firstRowLastColumn="0" w:lastRowFirstColumn="0" w:lastRowLastColumn="0"/>
            <w:tcW w:w="3091" w:type="dxa"/>
          </w:tcPr>
          <w:p w:rsidR="00CE4F74" w:rsidRPr="00DA4DDC" w:rsidRDefault="00CE4F74" w:rsidP="00226DDE">
            <w:pPr>
              <w:ind w:left="0" w:right="40"/>
              <w:rPr>
                <w:color w:val="000000"/>
                <w:lang w:eastAsia="ja-JP"/>
              </w:rPr>
            </w:pPr>
            <w:r w:rsidRPr="00DA4DDC">
              <w:rPr>
                <w:color w:val="000000"/>
                <w:lang w:eastAsia="ja-JP"/>
              </w:rPr>
              <w:t>White blood count decrea</w:t>
            </w:r>
            <w:r w:rsidR="00226DDE">
              <w:rPr>
                <w:color w:val="000000"/>
                <w:lang w:eastAsia="ja-JP"/>
              </w:rPr>
              <w:t>ses</w:t>
            </w:r>
          </w:p>
        </w:tc>
        <w:tc>
          <w:tcPr>
            <w:tcW w:w="3102" w:type="dxa"/>
          </w:tcPr>
          <w:p w:rsidR="00CE4F74" w:rsidRPr="00DA4DDC" w:rsidRDefault="00CE4F74" w:rsidP="00226DDE">
            <w:pPr>
              <w:ind w:left="2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 (1.2)</w:t>
            </w:r>
          </w:p>
        </w:tc>
        <w:tc>
          <w:tcPr>
            <w:tcW w:w="2270" w:type="dxa"/>
          </w:tcPr>
          <w:p w:rsidR="00CE4F74" w:rsidRPr="00DA4DDC" w:rsidRDefault="00CE4F74" w:rsidP="00226DDE">
            <w:pPr>
              <w:ind w:left="44"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8 (4.7)</w:t>
            </w:r>
          </w:p>
        </w:tc>
      </w:tr>
      <w:tr w:rsidR="00CE4F74" w:rsidRPr="00C31183" w:rsidTr="00226DDE">
        <w:trPr>
          <w:trHeight w:val="254"/>
        </w:trPr>
        <w:tc>
          <w:tcPr>
            <w:cnfStyle w:val="001000000000" w:firstRow="0" w:lastRow="0" w:firstColumn="1" w:lastColumn="0" w:oddVBand="0" w:evenVBand="0" w:oddHBand="0" w:evenHBand="0" w:firstRowFirstColumn="0" w:firstRowLastColumn="0" w:lastRowFirstColumn="0" w:lastRowLastColumn="0"/>
            <w:tcW w:w="3091" w:type="dxa"/>
          </w:tcPr>
          <w:p w:rsidR="00CE4F74" w:rsidRPr="00DA4DDC" w:rsidRDefault="00CE4F74" w:rsidP="00226DDE">
            <w:pPr>
              <w:ind w:left="0" w:right="40"/>
              <w:rPr>
                <w:color w:val="000000"/>
                <w:lang w:eastAsia="ja-JP"/>
              </w:rPr>
            </w:pPr>
            <w:r w:rsidRPr="00DA4DDC">
              <w:rPr>
                <w:color w:val="000000"/>
                <w:lang w:eastAsia="ja-JP"/>
              </w:rPr>
              <w:t>STOMATITIS</w:t>
            </w:r>
          </w:p>
        </w:tc>
        <w:tc>
          <w:tcPr>
            <w:tcW w:w="3102" w:type="dxa"/>
          </w:tcPr>
          <w:p w:rsidR="00CE4F74" w:rsidRPr="00DA4DDC" w:rsidRDefault="00CE4F74" w:rsidP="00226DDE">
            <w:pPr>
              <w:ind w:left="28"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w:t>
            </w:r>
          </w:p>
        </w:tc>
        <w:tc>
          <w:tcPr>
            <w:tcW w:w="2270" w:type="dxa"/>
          </w:tcPr>
          <w:p w:rsidR="00CE4F74" w:rsidRPr="00DA4DDC" w:rsidRDefault="00226DDE" w:rsidP="00226DDE">
            <w:pPr>
              <w:ind w:left="44"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5 (2.9)</w:t>
            </w:r>
          </w:p>
        </w:tc>
      </w:tr>
    </w:tbl>
    <w:p w:rsidR="00CE4F74" w:rsidRPr="000571BA" w:rsidRDefault="00CE4F74" w:rsidP="00226DDE">
      <w:pPr>
        <w:pStyle w:val="TableDescription"/>
        <w:rPr>
          <w:lang w:eastAsia="ja-JP"/>
        </w:rPr>
      </w:pPr>
      <w:r w:rsidRPr="000571BA">
        <w:rPr>
          <w:lang w:eastAsia="ja-JP"/>
        </w:rPr>
        <w:t xml:space="preserve">* = No scheduled on-treatment ECG assessments for the chemotherapy arm. </w:t>
      </w:r>
      <w:proofErr w:type="spellStart"/>
      <w:r w:rsidRPr="000571BA">
        <w:rPr>
          <w:lang w:eastAsia="ja-JP"/>
        </w:rPr>
        <w:t>MedDRA</w:t>
      </w:r>
      <w:proofErr w:type="spellEnd"/>
      <w:r w:rsidRPr="000571BA">
        <w:rPr>
          <w:lang w:eastAsia="ja-JP"/>
        </w:rPr>
        <w:t xml:space="preserve"> (v15.0) coding dictionary applied.</w:t>
      </w:r>
    </w:p>
    <w:p w:rsidR="00CE4F74" w:rsidRPr="00C31183" w:rsidRDefault="00CE4F74" w:rsidP="00226DDE">
      <w:pPr>
        <w:rPr>
          <w:lang w:eastAsia="ja-JP"/>
        </w:rPr>
      </w:pPr>
      <w:proofErr w:type="spellStart"/>
      <w:r w:rsidRPr="00C31183">
        <w:rPr>
          <w:b/>
          <w:lang w:eastAsia="ja-JP"/>
        </w:rPr>
        <w:t>Crizotinib</w:t>
      </w:r>
      <w:proofErr w:type="spellEnd"/>
      <w:r w:rsidRPr="00C31183">
        <w:rPr>
          <w:b/>
          <w:lang w:eastAsia="ja-JP"/>
        </w:rPr>
        <w:t xml:space="preserve"> (n=172)</w:t>
      </w:r>
      <w:r>
        <w:rPr>
          <w:b/>
          <w:lang w:eastAsia="ja-JP"/>
        </w:rPr>
        <w:t xml:space="preserve"> versus </w:t>
      </w:r>
      <w:proofErr w:type="spellStart"/>
      <w:r w:rsidRPr="00C31183">
        <w:rPr>
          <w:b/>
          <w:lang w:eastAsia="ja-JP"/>
        </w:rPr>
        <w:t>pemetrexed</w:t>
      </w:r>
      <w:proofErr w:type="spellEnd"/>
      <w:r w:rsidRPr="00C31183">
        <w:rPr>
          <w:b/>
          <w:lang w:eastAsia="ja-JP"/>
        </w:rPr>
        <w:t xml:space="preserve"> (n=99):</w:t>
      </w:r>
      <w:r w:rsidRPr="00C31183">
        <w:rPr>
          <w:lang w:eastAsia="ja-JP"/>
        </w:rPr>
        <w:t xml:space="preserve"> All causality maximum Grade 3/4 adverse events (</w:t>
      </w:r>
      <w:proofErr w:type="spellStart"/>
      <w:r w:rsidRPr="00C31183">
        <w:rPr>
          <w:lang w:eastAsia="ja-JP"/>
        </w:rPr>
        <w:t>MedDRA</w:t>
      </w:r>
      <w:proofErr w:type="spellEnd"/>
      <w:r w:rsidRPr="00C31183">
        <w:rPr>
          <w:lang w:eastAsia="ja-JP"/>
        </w:rPr>
        <w:t xml:space="preserve"> preferred terms) were reported in 44.2% (n=76) of patients in the </w:t>
      </w:r>
      <w:proofErr w:type="spellStart"/>
      <w:r w:rsidRPr="00C31183">
        <w:rPr>
          <w:lang w:eastAsia="ja-JP"/>
        </w:rPr>
        <w:t>crizotinib</w:t>
      </w:r>
      <w:proofErr w:type="spellEnd"/>
      <w:r w:rsidRPr="00C31183">
        <w:rPr>
          <w:lang w:eastAsia="ja-JP"/>
        </w:rPr>
        <w:t xml:space="preserve"> arm and 24.3% (n=24) of patients in the </w:t>
      </w:r>
      <w:proofErr w:type="spellStart"/>
      <w:r w:rsidRPr="00C31183">
        <w:rPr>
          <w:lang w:eastAsia="ja-JP"/>
        </w:rPr>
        <w:t>pemetrexed</w:t>
      </w:r>
      <w:proofErr w:type="spellEnd"/>
      <w:r w:rsidRPr="00C31183">
        <w:rPr>
          <w:lang w:eastAsia="ja-JP"/>
        </w:rPr>
        <w:t xml:space="preserve"> arm. Grade 3/4 TEAEs reported with a meaningfully higher frequency in the </w:t>
      </w:r>
      <w:proofErr w:type="spellStart"/>
      <w:r w:rsidRPr="00C31183">
        <w:rPr>
          <w:lang w:eastAsia="ja-JP"/>
        </w:rPr>
        <w:t>crizotinib</w:t>
      </w:r>
      <w:proofErr w:type="spellEnd"/>
      <w:r w:rsidRPr="00C31183">
        <w:rPr>
          <w:lang w:eastAsia="ja-JP"/>
        </w:rPr>
        <w:t xml:space="preserve"> arm</w:t>
      </w:r>
      <w:r>
        <w:rPr>
          <w:lang w:eastAsia="ja-JP"/>
        </w:rPr>
        <w:t xml:space="preserve"> versus </w:t>
      </w:r>
      <w:r w:rsidRPr="00C31183">
        <w:rPr>
          <w:lang w:eastAsia="ja-JP"/>
        </w:rPr>
        <w:t xml:space="preserve">the </w:t>
      </w:r>
      <w:proofErr w:type="spellStart"/>
      <w:r w:rsidRPr="00C31183">
        <w:rPr>
          <w:lang w:eastAsia="ja-JP"/>
        </w:rPr>
        <w:t>pemetrexed</w:t>
      </w:r>
      <w:proofErr w:type="spellEnd"/>
      <w:r w:rsidRPr="00C31183">
        <w:rPr>
          <w:lang w:eastAsia="ja-JP"/>
        </w:rPr>
        <w:t xml:space="preserve"> arm were ELEVATED TRANSAMINASES (15.7%, n=27</w:t>
      </w:r>
      <w:r>
        <w:rPr>
          <w:lang w:eastAsia="ja-JP"/>
        </w:rPr>
        <w:t xml:space="preserve"> versus </w:t>
      </w:r>
      <w:r w:rsidRPr="00C31183">
        <w:rPr>
          <w:lang w:eastAsia="ja-JP"/>
        </w:rPr>
        <w:t>4.0%, n=4), NEUTROPENIA (13.4%, n=23</w:t>
      </w:r>
      <w:r>
        <w:rPr>
          <w:lang w:eastAsia="ja-JP"/>
        </w:rPr>
        <w:t xml:space="preserve"> versus </w:t>
      </w:r>
      <w:r w:rsidRPr="00C31183">
        <w:rPr>
          <w:lang w:eastAsia="ja-JP"/>
        </w:rPr>
        <w:t>4.0%, n=4), DYSPNEA (4.1%, n=7</w:t>
      </w:r>
      <w:r>
        <w:rPr>
          <w:lang w:eastAsia="ja-JP"/>
        </w:rPr>
        <w:t xml:space="preserve"> versus </w:t>
      </w:r>
      <w:r w:rsidRPr="00C31183">
        <w:rPr>
          <w:lang w:eastAsia="ja-JP"/>
        </w:rPr>
        <w:t>1.0%, n=1), electrocardiogram QT prolonged (3.5%, n=6</w:t>
      </w:r>
      <w:r>
        <w:rPr>
          <w:lang w:eastAsia="ja-JP"/>
        </w:rPr>
        <w:t xml:space="preserve"> versus </w:t>
      </w:r>
      <w:r w:rsidRPr="00C31183">
        <w:rPr>
          <w:lang w:eastAsia="ja-JP"/>
        </w:rPr>
        <w:t>0), hypokalaemia (3.5%, n=6</w:t>
      </w:r>
      <w:r>
        <w:rPr>
          <w:lang w:eastAsia="ja-JP"/>
        </w:rPr>
        <w:t xml:space="preserve"> versus </w:t>
      </w:r>
      <w:r w:rsidRPr="00C31183">
        <w:rPr>
          <w:lang w:eastAsia="ja-JP"/>
        </w:rPr>
        <w:t>0), pneumonia (3.5%, n=6</w:t>
      </w:r>
      <w:r>
        <w:rPr>
          <w:lang w:eastAsia="ja-JP"/>
        </w:rPr>
        <w:t xml:space="preserve"> versus </w:t>
      </w:r>
      <w:r w:rsidRPr="00C31183">
        <w:rPr>
          <w:lang w:eastAsia="ja-JP"/>
        </w:rPr>
        <w:t>1.0%, n=1), syncope (2.9%, n=5</w:t>
      </w:r>
      <w:r>
        <w:rPr>
          <w:lang w:eastAsia="ja-JP"/>
        </w:rPr>
        <w:t xml:space="preserve"> versus </w:t>
      </w:r>
      <w:r w:rsidRPr="00C31183">
        <w:rPr>
          <w:lang w:eastAsia="ja-JP"/>
        </w:rPr>
        <w:t>0) and constipation (2.3%, n=4</w:t>
      </w:r>
      <w:r>
        <w:rPr>
          <w:lang w:eastAsia="ja-JP"/>
        </w:rPr>
        <w:t xml:space="preserve"> versus </w:t>
      </w:r>
      <w:r w:rsidRPr="00C31183">
        <w:rPr>
          <w:lang w:eastAsia="ja-JP"/>
        </w:rPr>
        <w:t xml:space="preserve">0). Pericardial effusion was the only Grade 3/4 adverse event reported with a meaningfully higher frequency in the </w:t>
      </w:r>
      <w:proofErr w:type="spellStart"/>
      <w:r w:rsidRPr="00C31183">
        <w:rPr>
          <w:lang w:eastAsia="ja-JP"/>
        </w:rPr>
        <w:t>pemetrexed</w:t>
      </w:r>
      <w:proofErr w:type="spellEnd"/>
      <w:r w:rsidRPr="00C31183">
        <w:rPr>
          <w:lang w:eastAsia="ja-JP"/>
        </w:rPr>
        <w:t xml:space="preserve"> arm than in the </w:t>
      </w:r>
      <w:proofErr w:type="spellStart"/>
      <w:r w:rsidRPr="00C31183">
        <w:rPr>
          <w:lang w:eastAsia="ja-JP"/>
        </w:rPr>
        <w:t>crizotinib</w:t>
      </w:r>
      <w:proofErr w:type="spellEnd"/>
      <w:r w:rsidRPr="00C31183">
        <w:rPr>
          <w:lang w:eastAsia="ja-JP"/>
        </w:rPr>
        <w:t xml:space="preserve"> arm (2.0%, n=2</w:t>
      </w:r>
      <w:r>
        <w:rPr>
          <w:lang w:eastAsia="ja-JP"/>
        </w:rPr>
        <w:t xml:space="preserve"> versus </w:t>
      </w:r>
      <w:r w:rsidR="00226DDE">
        <w:rPr>
          <w:lang w:eastAsia="ja-JP"/>
        </w:rPr>
        <w:t>0.6%, n=1).</w:t>
      </w:r>
    </w:p>
    <w:p w:rsidR="00CE4F74" w:rsidRPr="00C31183" w:rsidRDefault="00CE4F74" w:rsidP="00226DDE">
      <w:pPr>
        <w:rPr>
          <w:b/>
          <w:lang w:eastAsia="ja-JP"/>
        </w:rPr>
      </w:pPr>
      <w:proofErr w:type="spellStart"/>
      <w:r w:rsidRPr="00C31183">
        <w:rPr>
          <w:b/>
          <w:lang w:eastAsia="ja-JP"/>
        </w:rPr>
        <w:t>Crizotinib</w:t>
      </w:r>
      <w:proofErr w:type="spellEnd"/>
      <w:r w:rsidRPr="00C31183">
        <w:rPr>
          <w:b/>
          <w:lang w:eastAsia="ja-JP"/>
        </w:rPr>
        <w:t xml:space="preserve"> (n=172)</w:t>
      </w:r>
      <w:r>
        <w:rPr>
          <w:b/>
          <w:lang w:eastAsia="ja-JP"/>
        </w:rPr>
        <w:t xml:space="preserve"> versus </w:t>
      </w:r>
      <w:proofErr w:type="spellStart"/>
      <w:r w:rsidRPr="00C31183">
        <w:rPr>
          <w:b/>
          <w:lang w:eastAsia="ja-JP"/>
        </w:rPr>
        <w:t>docetaxel</w:t>
      </w:r>
      <w:proofErr w:type="spellEnd"/>
      <w:r w:rsidRPr="00C31183">
        <w:rPr>
          <w:b/>
          <w:lang w:eastAsia="ja-JP"/>
        </w:rPr>
        <w:t xml:space="preserve"> (n=72):</w:t>
      </w:r>
      <w:r>
        <w:rPr>
          <w:b/>
          <w:lang w:eastAsia="ja-JP"/>
        </w:rPr>
        <w:t xml:space="preserve"> </w:t>
      </w:r>
      <w:r w:rsidRPr="00C31183">
        <w:rPr>
          <w:lang w:eastAsia="ja-JP"/>
        </w:rPr>
        <w:t>All causality maximum Grade 3/4 adverse events (</w:t>
      </w:r>
      <w:proofErr w:type="spellStart"/>
      <w:r w:rsidRPr="00C31183">
        <w:rPr>
          <w:lang w:eastAsia="ja-JP"/>
        </w:rPr>
        <w:t>MedDRA</w:t>
      </w:r>
      <w:proofErr w:type="spellEnd"/>
      <w:r w:rsidRPr="00C31183">
        <w:rPr>
          <w:lang w:eastAsia="ja-JP"/>
        </w:rPr>
        <w:t xml:space="preserve"> preferred terms) were reported in 44.2% (n=76) of patients in the </w:t>
      </w:r>
      <w:proofErr w:type="spellStart"/>
      <w:r w:rsidRPr="00C31183">
        <w:rPr>
          <w:lang w:eastAsia="ja-JP"/>
        </w:rPr>
        <w:t>crizotinib</w:t>
      </w:r>
      <w:proofErr w:type="spellEnd"/>
      <w:r w:rsidRPr="00C31183">
        <w:rPr>
          <w:lang w:eastAsia="ja-JP"/>
        </w:rPr>
        <w:t xml:space="preserve"> arm and 66.6% (n=48) of patients in the </w:t>
      </w:r>
      <w:proofErr w:type="spellStart"/>
      <w:r w:rsidRPr="00C31183">
        <w:rPr>
          <w:lang w:eastAsia="ja-JP"/>
        </w:rPr>
        <w:t>docetaxel</w:t>
      </w:r>
      <w:proofErr w:type="spellEnd"/>
      <w:r w:rsidRPr="00C31183">
        <w:rPr>
          <w:lang w:eastAsia="ja-JP"/>
        </w:rPr>
        <w:t xml:space="preserve"> arm. Grade 3/4 TEAEs reported with a meaningfully higher frequency in the </w:t>
      </w:r>
      <w:proofErr w:type="spellStart"/>
      <w:r w:rsidRPr="00C31183">
        <w:rPr>
          <w:lang w:eastAsia="ja-JP"/>
        </w:rPr>
        <w:t>crizotinib</w:t>
      </w:r>
      <w:proofErr w:type="spellEnd"/>
      <w:r w:rsidRPr="00C31183">
        <w:rPr>
          <w:lang w:eastAsia="ja-JP"/>
        </w:rPr>
        <w:t xml:space="preserve"> arm</w:t>
      </w:r>
      <w:r>
        <w:rPr>
          <w:lang w:eastAsia="ja-JP"/>
        </w:rPr>
        <w:t xml:space="preserve"> versus </w:t>
      </w:r>
      <w:r w:rsidRPr="00C31183">
        <w:rPr>
          <w:lang w:eastAsia="ja-JP"/>
        </w:rPr>
        <w:t xml:space="preserve">the </w:t>
      </w:r>
      <w:proofErr w:type="spellStart"/>
      <w:r w:rsidRPr="00C31183">
        <w:rPr>
          <w:lang w:eastAsia="ja-JP"/>
        </w:rPr>
        <w:t>docetaxel</w:t>
      </w:r>
      <w:proofErr w:type="spellEnd"/>
      <w:r w:rsidRPr="00C31183">
        <w:rPr>
          <w:lang w:eastAsia="ja-JP"/>
        </w:rPr>
        <w:t xml:space="preserve"> arm were ELEVATED TRANSAMINASES (15.7%, n=27</w:t>
      </w:r>
      <w:r>
        <w:rPr>
          <w:lang w:eastAsia="ja-JP"/>
        </w:rPr>
        <w:t xml:space="preserve"> versus </w:t>
      </w:r>
      <w:r w:rsidRPr="00C31183">
        <w:rPr>
          <w:lang w:eastAsia="ja-JP"/>
        </w:rPr>
        <w:t>0), PULMONARY EMBOLISM (5.2%, n=9</w:t>
      </w:r>
      <w:r>
        <w:rPr>
          <w:lang w:eastAsia="ja-JP"/>
        </w:rPr>
        <w:t xml:space="preserve"> versus </w:t>
      </w:r>
      <w:r w:rsidRPr="00C31183">
        <w:rPr>
          <w:lang w:eastAsia="ja-JP"/>
        </w:rPr>
        <w:t>1.4%, n=1), electrocardiogram QT prolonged (3.5%, n=6</w:t>
      </w:r>
      <w:r>
        <w:rPr>
          <w:lang w:eastAsia="ja-JP"/>
        </w:rPr>
        <w:t xml:space="preserve"> versus </w:t>
      </w:r>
      <w:r w:rsidRPr="00C31183">
        <w:rPr>
          <w:lang w:eastAsia="ja-JP"/>
        </w:rPr>
        <w:t>0), hypokalaemia (3.5%, n=6</w:t>
      </w:r>
      <w:r>
        <w:rPr>
          <w:lang w:eastAsia="ja-JP"/>
        </w:rPr>
        <w:t xml:space="preserve"> versus </w:t>
      </w:r>
      <w:r w:rsidRPr="00C31183">
        <w:rPr>
          <w:lang w:eastAsia="ja-JP"/>
        </w:rPr>
        <w:t>0), syncope (2.9%, n=5</w:t>
      </w:r>
      <w:r>
        <w:rPr>
          <w:lang w:eastAsia="ja-JP"/>
        </w:rPr>
        <w:t xml:space="preserve"> versus </w:t>
      </w:r>
      <w:r w:rsidRPr="00C31183">
        <w:rPr>
          <w:lang w:eastAsia="ja-JP"/>
        </w:rPr>
        <w:t>0), constipation (2.3%, n=4</w:t>
      </w:r>
      <w:r>
        <w:rPr>
          <w:lang w:eastAsia="ja-JP"/>
        </w:rPr>
        <w:t xml:space="preserve"> versus </w:t>
      </w:r>
      <w:r w:rsidRPr="00C31183">
        <w:rPr>
          <w:lang w:eastAsia="ja-JP"/>
        </w:rPr>
        <w:t xml:space="preserve">0). Grade 3/4 TEAEs reported with a meaningfully higher frequency in the </w:t>
      </w:r>
      <w:proofErr w:type="spellStart"/>
      <w:r w:rsidRPr="00C31183">
        <w:rPr>
          <w:lang w:eastAsia="ja-JP"/>
        </w:rPr>
        <w:t>docetaxel</w:t>
      </w:r>
      <w:proofErr w:type="spellEnd"/>
      <w:r w:rsidRPr="00C31183">
        <w:rPr>
          <w:lang w:eastAsia="ja-JP"/>
        </w:rPr>
        <w:t xml:space="preserve"> arm</w:t>
      </w:r>
      <w:r>
        <w:rPr>
          <w:lang w:eastAsia="ja-JP"/>
        </w:rPr>
        <w:t xml:space="preserve"> versus </w:t>
      </w:r>
      <w:r w:rsidRPr="00C31183">
        <w:rPr>
          <w:lang w:eastAsia="ja-JP"/>
        </w:rPr>
        <w:t xml:space="preserve">the </w:t>
      </w:r>
      <w:proofErr w:type="spellStart"/>
      <w:r w:rsidRPr="00C31183">
        <w:rPr>
          <w:lang w:eastAsia="ja-JP"/>
        </w:rPr>
        <w:t>crizotinib</w:t>
      </w:r>
      <w:proofErr w:type="spellEnd"/>
      <w:r w:rsidRPr="00C31183">
        <w:rPr>
          <w:lang w:eastAsia="ja-JP"/>
        </w:rPr>
        <w:t xml:space="preserve"> arm were NEUTROPENIA (40.3%, n=29</w:t>
      </w:r>
      <w:r>
        <w:rPr>
          <w:lang w:eastAsia="ja-JP"/>
        </w:rPr>
        <w:t xml:space="preserve"> versus </w:t>
      </w:r>
      <w:r w:rsidRPr="00C31183">
        <w:rPr>
          <w:lang w:eastAsia="ja-JP"/>
        </w:rPr>
        <w:t>13.4%, n=23), white blood cell count decreased (8.3%, n=6</w:t>
      </w:r>
      <w:r>
        <w:rPr>
          <w:lang w:eastAsia="ja-JP"/>
        </w:rPr>
        <w:t xml:space="preserve"> versus </w:t>
      </w:r>
      <w:r w:rsidRPr="00C31183">
        <w:rPr>
          <w:lang w:eastAsia="ja-JP"/>
        </w:rPr>
        <w:t>1.2%, n=2), fatigue (6.9%, n=5</w:t>
      </w:r>
      <w:r>
        <w:rPr>
          <w:lang w:eastAsia="ja-JP"/>
        </w:rPr>
        <w:t xml:space="preserve"> versus </w:t>
      </w:r>
      <w:r w:rsidRPr="00C31183">
        <w:rPr>
          <w:lang w:eastAsia="ja-JP"/>
        </w:rPr>
        <w:t>2.3%, n=4), leu</w:t>
      </w:r>
      <w:r>
        <w:rPr>
          <w:lang w:eastAsia="ja-JP"/>
        </w:rPr>
        <w:t>k</w:t>
      </w:r>
      <w:r w:rsidRPr="00C31183">
        <w:rPr>
          <w:lang w:eastAsia="ja-JP"/>
        </w:rPr>
        <w:t>openia (5.6%, n=4</w:t>
      </w:r>
      <w:r>
        <w:rPr>
          <w:lang w:eastAsia="ja-JP"/>
        </w:rPr>
        <w:t xml:space="preserve"> versus </w:t>
      </w:r>
      <w:r w:rsidRPr="00C31183">
        <w:rPr>
          <w:lang w:eastAsia="ja-JP"/>
        </w:rPr>
        <w:t xml:space="preserve">1.7%, </w:t>
      </w:r>
      <w:r w:rsidRPr="00C31183">
        <w:rPr>
          <w:lang w:eastAsia="ja-JP"/>
        </w:rPr>
        <w:lastRenderedPageBreak/>
        <w:t>n=3), STOMATITIS (5.6%, n=4</w:t>
      </w:r>
      <w:r>
        <w:rPr>
          <w:lang w:eastAsia="ja-JP"/>
        </w:rPr>
        <w:t xml:space="preserve"> versus </w:t>
      </w:r>
      <w:r w:rsidRPr="00C31183">
        <w:rPr>
          <w:lang w:eastAsia="ja-JP"/>
        </w:rPr>
        <w:t>0), pleural effusion (4.2%, n=3</w:t>
      </w:r>
      <w:r>
        <w:rPr>
          <w:lang w:eastAsia="ja-JP"/>
        </w:rPr>
        <w:t xml:space="preserve"> versus </w:t>
      </w:r>
      <w:r w:rsidRPr="00C31183">
        <w:rPr>
          <w:lang w:eastAsia="ja-JP"/>
        </w:rPr>
        <w:t>1.2%, n=2), and NEUROPATHY (2.8%, n=2</w:t>
      </w:r>
      <w:r>
        <w:rPr>
          <w:lang w:eastAsia="ja-JP"/>
        </w:rPr>
        <w:t xml:space="preserve"> versus </w:t>
      </w:r>
      <w:r w:rsidR="00226DDE">
        <w:rPr>
          <w:lang w:eastAsia="ja-JP"/>
        </w:rPr>
        <w:t>0.6%, n=1).</w:t>
      </w:r>
    </w:p>
    <w:p w:rsidR="00CE4F74" w:rsidRPr="00C31183" w:rsidRDefault="00CE4F74" w:rsidP="00226DDE">
      <w:pPr>
        <w:pStyle w:val="Heading5"/>
        <w:rPr>
          <w:lang w:eastAsia="ja-JP"/>
        </w:rPr>
      </w:pPr>
      <w:bookmarkStart w:id="92" w:name="_Toc228773377"/>
      <w:r w:rsidRPr="00C31183">
        <w:rPr>
          <w:lang w:eastAsia="ja-JP"/>
        </w:rPr>
        <w:t>Treatment-related Grade 3/4 adverse events</w:t>
      </w:r>
      <w:bookmarkEnd w:id="92"/>
    </w:p>
    <w:p w:rsidR="00CE4F74" w:rsidRPr="00C31183" w:rsidRDefault="00CE4F74" w:rsidP="00226DDE">
      <w:pPr>
        <w:rPr>
          <w:lang w:eastAsia="ja-JP"/>
        </w:rPr>
      </w:pPr>
      <w:r w:rsidRPr="00C31183">
        <w:rPr>
          <w:lang w:eastAsia="ja-JP"/>
        </w:rPr>
        <w:t>Treatment-related maximum Grade 3/4 adverse events (</w:t>
      </w:r>
      <w:proofErr w:type="spellStart"/>
      <w:r w:rsidRPr="00C31183">
        <w:rPr>
          <w:lang w:eastAsia="ja-JP"/>
        </w:rPr>
        <w:t>MedDRA</w:t>
      </w:r>
      <w:proofErr w:type="spellEnd"/>
      <w:r w:rsidRPr="00C31183">
        <w:rPr>
          <w:lang w:eastAsia="ja-JP"/>
        </w:rPr>
        <w:t xml:space="preserve"> preferred terms) were reported in 31.4% (n=54) of patients in the </w:t>
      </w:r>
      <w:proofErr w:type="spellStart"/>
      <w:r w:rsidRPr="00C31183">
        <w:rPr>
          <w:lang w:eastAsia="ja-JP"/>
        </w:rPr>
        <w:t>crizotinib</w:t>
      </w:r>
      <w:proofErr w:type="spellEnd"/>
      <w:r w:rsidRPr="00C31183">
        <w:rPr>
          <w:lang w:eastAsia="ja-JP"/>
        </w:rPr>
        <w:t xml:space="preserve"> arm and 31.6% (n=53) of patients in the chemotherapy arm. The most common (</w:t>
      </w:r>
      <w:r>
        <w:rPr>
          <w:lang w:eastAsia="ja-JP"/>
        </w:rPr>
        <w:t>≥</w:t>
      </w:r>
      <w:r w:rsidRPr="00C31183">
        <w:rPr>
          <w:lang w:eastAsia="ja-JP"/>
        </w:rPr>
        <w:t xml:space="preserve"> 2% of patients) Grade 3/4 TRAEs across all cycles</w:t>
      </w:r>
      <w:r>
        <w:rPr>
          <w:lang w:eastAsia="ja-JP"/>
        </w:rPr>
        <w:t xml:space="preserve"> </w:t>
      </w:r>
      <w:r w:rsidRPr="00C31183">
        <w:rPr>
          <w:lang w:eastAsia="ja-JP"/>
        </w:rPr>
        <w:t xml:space="preserve">in the </w:t>
      </w:r>
      <w:proofErr w:type="spellStart"/>
      <w:r w:rsidRPr="00C31183">
        <w:rPr>
          <w:lang w:eastAsia="ja-JP"/>
        </w:rPr>
        <w:t>crizotinib</w:t>
      </w:r>
      <w:proofErr w:type="spellEnd"/>
      <w:r w:rsidRPr="00C31183">
        <w:rPr>
          <w:lang w:eastAsia="ja-JP"/>
        </w:rPr>
        <w:t xml:space="preserve"> and chemotherapy arms are </w:t>
      </w:r>
      <w:r>
        <w:rPr>
          <w:lang w:eastAsia="ja-JP"/>
        </w:rPr>
        <w:t>summarised</w:t>
      </w:r>
      <w:r w:rsidR="00226DDE">
        <w:rPr>
          <w:lang w:eastAsia="ja-JP"/>
        </w:rPr>
        <w:t xml:space="preserve"> below in Table 14.</w:t>
      </w:r>
    </w:p>
    <w:p w:rsidR="00CE4F74" w:rsidRPr="00226DDE" w:rsidRDefault="00CE4F74" w:rsidP="00226DDE">
      <w:pPr>
        <w:pStyle w:val="TableTitle"/>
      </w:pPr>
      <w:bookmarkStart w:id="93" w:name="_Toc228773437"/>
      <w:r w:rsidRPr="00C31183">
        <w:rPr>
          <w:lang w:eastAsia="ja-JP"/>
        </w:rPr>
        <w:t xml:space="preserve">Table </w:t>
      </w:r>
      <w:r w:rsidRPr="00C31183">
        <w:rPr>
          <w:lang w:eastAsia="ja-JP"/>
        </w:rPr>
        <w:fldChar w:fldCharType="begin"/>
      </w:r>
      <w:r w:rsidRPr="00C31183">
        <w:rPr>
          <w:lang w:eastAsia="ja-JP"/>
        </w:rPr>
        <w:instrText xml:space="preserve"> SEQ Table \* ARABIC </w:instrText>
      </w:r>
      <w:r w:rsidRPr="00C31183">
        <w:rPr>
          <w:lang w:eastAsia="ja-JP"/>
        </w:rPr>
        <w:fldChar w:fldCharType="separate"/>
      </w:r>
      <w:r>
        <w:rPr>
          <w:noProof/>
          <w:lang w:eastAsia="ja-JP"/>
        </w:rPr>
        <w:t>14</w:t>
      </w:r>
      <w:r w:rsidRPr="00C31183">
        <w:rPr>
          <w:lang w:eastAsia="ja-JP"/>
        </w:rPr>
        <w:fldChar w:fldCharType="end"/>
      </w:r>
      <w:r w:rsidRPr="00C31183">
        <w:rPr>
          <w:lang w:eastAsia="ja-JP"/>
        </w:rPr>
        <w:t>: Most common (</w:t>
      </w:r>
      <w:r>
        <w:rPr>
          <w:lang w:eastAsia="ja-JP"/>
        </w:rPr>
        <w:t>≥</w:t>
      </w:r>
      <w:r w:rsidRPr="00C31183">
        <w:rPr>
          <w:lang w:eastAsia="ja-JP"/>
        </w:rPr>
        <w:t xml:space="preserve"> 2% of patients) treatment-emergent treatment-related Grade 3/4 adverse events, unshaded terms occurred at a higher frequency on </w:t>
      </w:r>
      <w:proofErr w:type="spellStart"/>
      <w:r w:rsidRPr="00C31183">
        <w:rPr>
          <w:lang w:eastAsia="ja-JP"/>
        </w:rPr>
        <w:t>crizotinib</w:t>
      </w:r>
      <w:proofErr w:type="spellEnd"/>
      <w:r w:rsidRPr="00C31183">
        <w:rPr>
          <w:lang w:eastAsia="ja-JP"/>
        </w:rPr>
        <w:t xml:space="preserve"> than chemotherapy and shaded terms occurred at a higher frequency on chemotherapy than </w:t>
      </w:r>
      <w:proofErr w:type="spellStart"/>
      <w:r w:rsidRPr="00C31183">
        <w:rPr>
          <w:lang w:eastAsia="ja-JP"/>
        </w:rPr>
        <w:t>crizotinib</w:t>
      </w:r>
      <w:proofErr w:type="spellEnd"/>
      <w:r w:rsidRPr="00C31183">
        <w:rPr>
          <w:lang w:eastAsia="ja-JP"/>
        </w:rPr>
        <w:t>; SA</w:t>
      </w:r>
      <w:bookmarkEnd w:id="93"/>
    </w:p>
    <w:tbl>
      <w:tblPr>
        <w:tblStyle w:val="TableTGAblue"/>
        <w:tblW w:w="0" w:type="auto"/>
        <w:tblLook w:val="00A0" w:firstRow="1" w:lastRow="0" w:firstColumn="1" w:lastColumn="0" w:noHBand="0" w:noVBand="0"/>
      </w:tblPr>
      <w:tblGrid>
        <w:gridCol w:w="3181"/>
        <w:gridCol w:w="3189"/>
        <w:gridCol w:w="2327"/>
      </w:tblGrid>
      <w:tr w:rsidR="00CE4F74" w:rsidRPr="00C31183" w:rsidTr="00226DDE">
        <w:trPr>
          <w:cnfStyle w:val="100000000000" w:firstRow="1" w:lastRow="0" w:firstColumn="0" w:lastColumn="0" w:oddVBand="0" w:evenVBand="0" w:oddHBand="0" w:evenHBand="0" w:firstRowFirstColumn="0" w:firstRowLastColumn="0" w:lastRowFirstColumn="0" w:lastRowLastColumn="0"/>
          <w:trHeight w:val="250"/>
          <w:tblHeader/>
        </w:trPr>
        <w:tc>
          <w:tcPr>
            <w:cnfStyle w:val="001000000000" w:firstRow="0" w:lastRow="0" w:firstColumn="1" w:lastColumn="0" w:oddVBand="0" w:evenVBand="0" w:oddHBand="0" w:evenHBand="0" w:firstRowFirstColumn="0" w:firstRowLastColumn="0" w:lastRowFirstColumn="0" w:lastRowLastColumn="0"/>
            <w:tcW w:w="3181" w:type="dxa"/>
          </w:tcPr>
          <w:p w:rsidR="00CE4F74" w:rsidRPr="00DA4DDC" w:rsidRDefault="00226DDE" w:rsidP="00226DDE">
            <w:pPr>
              <w:ind w:left="0" w:right="0"/>
              <w:rPr>
                <w:lang w:eastAsia="ja-JP"/>
              </w:rPr>
            </w:pPr>
            <w:r>
              <w:rPr>
                <w:lang w:eastAsia="ja-JP"/>
              </w:rPr>
              <w:t>Events</w:t>
            </w:r>
          </w:p>
        </w:tc>
        <w:tc>
          <w:tcPr>
            <w:tcW w:w="3189" w:type="dxa"/>
          </w:tcPr>
          <w:p w:rsidR="00CE4F74" w:rsidRPr="00DA4DDC" w:rsidRDefault="00226DDE" w:rsidP="00226DDE">
            <w:pPr>
              <w:ind w:left="0" w:right="58"/>
              <w:cnfStyle w:val="100000000000" w:firstRow="1" w:lastRow="0" w:firstColumn="0" w:lastColumn="0" w:oddVBand="0" w:evenVBand="0" w:oddHBand="0" w:evenHBand="0" w:firstRowFirstColumn="0" w:firstRowLastColumn="0" w:lastRowFirstColumn="0" w:lastRowLastColumn="0"/>
              <w:rPr>
                <w:lang w:eastAsia="ja-JP"/>
              </w:rPr>
            </w:pPr>
            <w:proofErr w:type="spellStart"/>
            <w:r>
              <w:rPr>
                <w:lang w:eastAsia="ja-JP"/>
              </w:rPr>
              <w:t>Crizotinib</w:t>
            </w:r>
            <w:proofErr w:type="spellEnd"/>
            <w:r>
              <w:rPr>
                <w:lang w:eastAsia="ja-JP"/>
              </w:rPr>
              <w:t xml:space="preserve"> (n=172); n (%)</w:t>
            </w:r>
          </w:p>
        </w:tc>
        <w:tc>
          <w:tcPr>
            <w:tcW w:w="2327" w:type="dxa"/>
          </w:tcPr>
          <w:p w:rsidR="00CE4F74" w:rsidRPr="00DA4DDC" w:rsidRDefault="00226DDE" w:rsidP="00226DDE">
            <w:pPr>
              <w:ind w:left="0" w:right="0"/>
              <w:cnfStyle w:val="100000000000" w:firstRow="1" w:lastRow="0" w:firstColumn="0" w:lastColumn="0" w:oddVBand="0" w:evenVBand="0" w:oddHBand="0" w:evenHBand="0" w:firstRowFirstColumn="0" w:firstRowLastColumn="0" w:lastRowFirstColumn="0" w:lastRowLastColumn="0"/>
              <w:rPr>
                <w:lang w:eastAsia="ja-JP"/>
              </w:rPr>
            </w:pPr>
            <w:r>
              <w:rPr>
                <w:lang w:eastAsia="ja-JP"/>
              </w:rPr>
              <w:t>Chemotherapy (n=171); n (%)</w:t>
            </w:r>
          </w:p>
        </w:tc>
      </w:tr>
      <w:tr w:rsidR="00CE4F74" w:rsidRPr="00C31183" w:rsidTr="00226DDE">
        <w:trPr>
          <w:trHeight w:val="250"/>
        </w:trPr>
        <w:tc>
          <w:tcPr>
            <w:cnfStyle w:val="001000000000" w:firstRow="0" w:lastRow="0" w:firstColumn="1" w:lastColumn="0" w:oddVBand="0" w:evenVBand="0" w:oddHBand="0" w:evenHBand="0" w:firstRowFirstColumn="0" w:firstRowLastColumn="0" w:lastRowFirstColumn="0" w:lastRowLastColumn="0"/>
            <w:tcW w:w="3181" w:type="dxa"/>
          </w:tcPr>
          <w:p w:rsidR="00CE4F74" w:rsidRPr="00DA4DDC" w:rsidRDefault="00226DDE" w:rsidP="00226DDE">
            <w:pPr>
              <w:ind w:left="0" w:right="0"/>
              <w:rPr>
                <w:color w:val="000000"/>
                <w:lang w:eastAsia="ja-JP"/>
              </w:rPr>
            </w:pPr>
            <w:r>
              <w:rPr>
                <w:color w:val="000000"/>
                <w:lang w:eastAsia="ja-JP"/>
              </w:rPr>
              <w:t>ELEVATED TRANSAMINASES</w:t>
            </w:r>
          </w:p>
        </w:tc>
        <w:tc>
          <w:tcPr>
            <w:tcW w:w="3189" w:type="dxa"/>
          </w:tcPr>
          <w:p w:rsidR="00CE4F74" w:rsidRPr="00DA4DDC" w:rsidRDefault="00CE4F74" w:rsidP="00226DDE">
            <w:pPr>
              <w:ind w:left="0" w:right="58"/>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21 (12.2)</w:t>
            </w:r>
          </w:p>
        </w:tc>
        <w:tc>
          <w:tcPr>
            <w:tcW w:w="2327"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4 (2.3)</w:t>
            </w:r>
          </w:p>
        </w:tc>
      </w:tr>
      <w:tr w:rsidR="00CE4F74" w:rsidRPr="00C31183" w:rsidTr="00226DDE">
        <w:trPr>
          <w:trHeight w:val="250"/>
        </w:trPr>
        <w:tc>
          <w:tcPr>
            <w:cnfStyle w:val="001000000000" w:firstRow="0" w:lastRow="0" w:firstColumn="1" w:lastColumn="0" w:oddVBand="0" w:evenVBand="0" w:oddHBand="0" w:evenHBand="0" w:firstRowFirstColumn="0" w:firstRowLastColumn="0" w:lastRowFirstColumn="0" w:lastRowLastColumn="0"/>
            <w:tcW w:w="3181" w:type="dxa"/>
          </w:tcPr>
          <w:p w:rsidR="00CE4F74" w:rsidRPr="00DA4DDC" w:rsidRDefault="00CE4F74" w:rsidP="00226DDE">
            <w:pPr>
              <w:ind w:left="0" w:right="0"/>
              <w:rPr>
                <w:color w:val="000000"/>
                <w:lang w:eastAsia="ja-JP"/>
              </w:rPr>
            </w:pPr>
            <w:r w:rsidRPr="00DA4DDC">
              <w:rPr>
                <w:color w:val="000000"/>
                <w:lang w:eastAsia="ja-JP"/>
              </w:rPr>
              <w:t>Electrocardiogram QT prolonged</w:t>
            </w:r>
          </w:p>
        </w:tc>
        <w:tc>
          <w:tcPr>
            <w:tcW w:w="3189" w:type="dxa"/>
          </w:tcPr>
          <w:p w:rsidR="00CE4F74" w:rsidRPr="00DA4DDC" w:rsidRDefault="00CE4F74" w:rsidP="00226DDE">
            <w:pPr>
              <w:ind w:left="0" w:right="58"/>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4 (2.3)</w:t>
            </w:r>
          </w:p>
        </w:tc>
        <w:tc>
          <w:tcPr>
            <w:tcW w:w="2327"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 *</w:t>
            </w:r>
          </w:p>
        </w:tc>
      </w:tr>
      <w:tr w:rsidR="00CE4F74" w:rsidRPr="00C31183" w:rsidTr="00226DDE">
        <w:trPr>
          <w:trHeight w:val="251"/>
        </w:trPr>
        <w:tc>
          <w:tcPr>
            <w:cnfStyle w:val="001000000000" w:firstRow="0" w:lastRow="0" w:firstColumn="1" w:lastColumn="0" w:oddVBand="0" w:evenVBand="0" w:oddHBand="0" w:evenHBand="0" w:firstRowFirstColumn="0" w:firstRowLastColumn="0" w:lastRowFirstColumn="0" w:lastRowLastColumn="0"/>
            <w:tcW w:w="3181" w:type="dxa"/>
          </w:tcPr>
          <w:p w:rsidR="00CE4F74" w:rsidRPr="00DA4DDC" w:rsidRDefault="00CE4F74" w:rsidP="00226DDE">
            <w:pPr>
              <w:ind w:left="0" w:right="0"/>
              <w:rPr>
                <w:color w:val="000000"/>
                <w:lang w:eastAsia="ja-JP"/>
              </w:rPr>
            </w:pPr>
            <w:r w:rsidRPr="00DA4DDC">
              <w:rPr>
                <w:color w:val="000000"/>
                <w:lang w:eastAsia="ja-JP"/>
              </w:rPr>
              <w:t>NEUTROPENIA</w:t>
            </w:r>
          </w:p>
        </w:tc>
        <w:tc>
          <w:tcPr>
            <w:tcW w:w="3189" w:type="dxa"/>
          </w:tcPr>
          <w:p w:rsidR="00CE4F74" w:rsidRPr="00DA4DDC" w:rsidRDefault="00CE4F74" w:rsidP="00226DDE">
            <w:pPr>
              <w:ind w:left="0" w:right="58"/>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21 (12.2)</w:t>
            </w:r>
          </w:p>
        </w:tc>
        <w:tc>
          <w:tcPr>
            <w:tcW w:w="2327"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31 (18.1%)</w:t>
            </w:r>
          </w:p>
        </w:tc>
      </w:tr>
      <w:tr w:rsidR="00CE4F74" w:rsidRPr="00C31183" w:rsidTr="00226DDE">
        <w:trPr>
          <w:trHeight w:val="251"/>
        </w:trPr>
        <w:tc>
          <w:tcPr>
            <w:cnfStyle w:val="001000000000" w:firstRow="0" w:lastRow="0" w:firstColumn="1" w:lastColumn="0" w:oddVBand="0" w:evenVBand="0" w:oddHBand="0" w:evenHBand="0" w:firstRowFirstColumn="0" w:firstRowLastColumn="0" w:lastRowFirstColumn="0" w:lastRowLastColumn="0"/>
            <w:tcW w:w="3181" w:type="dxa"/>
          </w:tcPr>
          <w:p w:rsidR="00CE4F74" w:rsidRPr="00DA4DDC" w:rsidRDefault="00226DDE" w:rsidP="00226DDE">
            <w:pPr>
              <w:ind w:left="0" w:right="0"/>
              <w:rPr>
                <w:color w:val="000000"/>
                <w:lang w:eastAsia="ja-JP"/>
              </w:rPr>
            </w:pPr>
            <w:r>
              <w:rPr>
                <w:color w:val="000000"/>
                <w:lang w:eastAsia="ja-JP"/>
              </w:rPr>
              <w:t>White blood count decreases</w:t>
            </w:r>
          </w:p>
        </w:tc>
        <w:tc>
          <w:tcPr>
            <w:tcW w:w="3189" w:type="dxa"/>
          </w:tcPr>
          <w:p w:rsidR="00CE4F74" w:rsidRPr="00DA4DDC" w:rsidRDefault="00CE4F74" w:rsidP="00226DDE">
            <w:pPr>
              <w:ind w:left="0" w:right="58"/>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w:t>
            </w:r>
          </w:p>
        </w:tc>
        <w:tc>
          <w:tcPr>
            <w:tcW w:w="2327"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8 (4.7%)</w:t>
            </w:r>
          </w:p>
        </w:tc>
      </w:tr>
      <w:tr w:rsidR="00CE4F74" w:rsidRPr="00C31183" w:rsidTr="00226DDE">
        <w:trPr>
          <w:trHeight w:val="251"/>
        </w:trPr>
        <w:tc>
          <w:tcPr>
            <w:cnfStyle w:val="001000000000" w:firstRow="0" w:lastRow="0" w:firstColumn="1" w:lastColumn="0" w:oddVBand="0" w:evenVBand="0" w:oddHBand="0" w:evenHBand="0" w:firstRowFirstColumn="0" w:firstRowLastColumn="0" w:lastRowFirstColumn="0" w:lastRowLastColumn="0"/>
            <w:tcW w:w="3181" w:type="dxa"/>
          </w:tcPr>
          <w:p w:rsidR="00CE4F74" w:rsidRPr="00DA4DDC" w:rsidRDefault="00CE4F74" w:rsidP="00226DDE">
            <w:pPr>
              <w:ind w:left="0" w:right="0"/>
              <w:rPr>
                <w:color w:val="000000"/>
                <w:lang w:eastAsia="ja-JP"/>
              </w:rPr>
            </w:pPr>
            <w:r w:rsidRPr="00DA4DDC">
              <w:rPr>
                <w:color w:val="000000"/>
                <w:lang w:eastAsia="ja-JP"/>
              </w:rPr>
              <w:t>Fatigue</w:t>
            </w:r>
          </w:p>
        </w:tc>
        <w:tc>
          <w:tcPr>
            <w:tcW w:w="3189" w:type="dxa"/>
          </w:tcPr>
          <w:p w:rsidR="00CE4F74" w:rsidRPr="00DA4DDC" w:rsidRDefault="00CE4F74" w:rsidP="00226DDE">
            <w:pPr>
              <w:ind w:left="0" w:right="58"/>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 (1.2)</w:t>
            </w:r>
          </w:p>
        </w:tc>
        <w:tc>
          <w:tcPr>
            <w:tcW w:w="2327"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6 (3.5%)</w:t>
            </w:r>
          </w:p>
        </w:tc>
      </w:tr>
      <w:tr w:rsidR="00CE4F74" w:rsidRPr="00C31183" w:rsidTr="00226DDE">
        <w:trPr>
          <w:trHeight w:val="251"/>
        </w:trPr>
        <w:tc>
          <w:tcPr>
            <w:cnfStyle w:val="001000000000" w:firstRow="0" w:lastRow="0" w:firstColumn="1" w:lastColumn="0" w:oddVBand="0" w:evenVBand="0" w:oddHBand="0" w:evenHBand="0" w:firstRowFirstColumn="0" w:firstRowLastColumn="0" w:lastRowFirstColumn="0" w:lastRowLastColumn="0"/>
            <w:tcW w:w="3181" w:type="dxa"/>
          </w:tcPr>
          <w:p w:rsidR="00CE4F74" w:rsidRPr="00DA4DDC" w:rsidRDefault="00CE4F74" w:rsidP="00226DDE">
            <w:pPr>
              <w:ind w:left="0" w:right="0"/>
              <w:rPr>
                <w:color w:val="000000"/>
                <w:lang w:eastAsia="ja-JP"/>
              </w:rPr>
            </w:pPr>
            <w:r w:rsidRPr="00DA4DDC">
              <w:rPr>
                <w:color w:val="000000"/>
                <w:lang w:eastAsia="ja-JP"/>
              </w:rPr>
              <w:t>ANEMIA</w:t>
            </w:r>
          </w:p>
        </w:tc>
        <w:tc>
          <w:tcPr>
            <w:tcW w:w="3189" w:type="dxa"/>
          </w:tcPr>
          <w:p w:rsidR="00CE4F74" w:rsidRPr="00DA4DDC" w:rsidRDefault="00CE4F74" w:rsidP="00226DDE">
            <w:pPr>
              <w:ind w:left="0" w:right="58"/>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w:t>
            </w:r>
          </w:p>
        </w:tc>
        <w:tc>
          <w:tcPr>
            <w:tcW w:w="2327"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6 (3.5%)</w:t>
            </w:r>
          </w:p>
        </w:tc>
      </w:tr>
      <w:tr w:rsidR="00CE4F74" w:rsidRPr="00C31183" w:rsidTr="00226DDE">
        <w:trPr>
          <w:trHeight w:val="251"/>
        </w:trPr>
        <w:tc>
          <w:tcPr>
            <w:cnfStyle w:val="001000000000" w:firstRow="0" w:lastRow="0" w:firstColumn="1" w:lastColumn="0" w:oddVBand="0" w:evenVBand="0" w:oddHBand="0" w:evenHBand="0" w:firstRowFirstColumn="0" w:firstRowLastColumn="0" w:lastRowFirstColumn="0" w:lastRowLastColumn="0"/>
            <w:tcW w:w="3181" w:type="dxa"/>
          </w:tcPr>
          <w:p w:rsidR="00CE4F74" w:rsidRPr="00DA4DDC" w:rsidRDefault="00CE4F74" w:rsidP="00226DDE">
            <w:pPr>
              <w:ind w:left="0" w:right="0"/>
              <w:rPr>
                <w:color w:val="000000"/>
                <w:lang w:eastAsia="ja-JP"/>
              </w:rPr>
            </w:pPr>
            <w:r w:rsidRPr="00DA4DDC">
              <w:rPr>
                <w:color w:val="000000"/>
                <w:lang w:eastAsia="ja-JP"/>
              </w:rPr>
              <w:t>STOMATITIS</w:t>
            </w:r>
          </w:p>
        </w:tc>
        <w:tc>
          <w:tcPr>
            <w:tcW w:w="3189" w:type="dxa"/>
          </w:tcPr>
          <w:p w:rsidR="00CE4F74" w:rsidRPr="00DA4DDC" w:rsidRDefault="00CE4F74" w:rsidP="00226DDE">
            <w:pPr>
              <w:ind w:left="0" w:right="58"/>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w:t>
            </w:r>
          </w:p>
        </w:tc>
        <w:tc>
          <w:tcPr>
            <w:tcW w:w="2327"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5 (2.9%)</w:t>
            </w:r>
          </w:p>
        </w:tc>
      </w:tr>
      <w:tr w:rsidR="00CE4F74" w:rsidRPr="00C31183" w:rsidTr="00226DDE">
        <w:trPr>
          <w:trHeight w:val="251"/>
        </w:trPr>
        <w:tc>
          <w:tcPr>
            <w:cnfStyle w:val="001000000000" w:firstRow="0" w:lastRow="0" w:firstColumn="1" w:lastColumn="0" w:oddVBand="0" w:evenVBand="0" w:oddHBand="0" w:evenHBand="0" w:firstRowFirstColumn="0" w:firstRowLastColumn="0" w:lastRowFirstColumn="0" w:lastRowLastColumn="0"/>
            <w:tcW w:w="3181" w:type="dxa"/>
          </w:tcPr>
          <w:p w:rsidR="00CE4F74" w:rsidRPr="00DA4DDC" w:rsidRDefault="00226DDE" w:rsidP="00226DDE">
            <w:pPr>
              <w:ind w:left="0" w:right="0"/>
              <w:rPr>
                <w:color w:val="000000"/>
                <w:lang w:eastAsia="ja-JP"/>
              </w:rPr>
            </w:pPr>
            <w:r>
              <w:rPr>
                <w:color w:val="000000"/>
                <w:lang w:eastAsia="ja-JP"/>
              </w:rPr>
              <w:t>Leukopenia</w:t>
            </w:r>
          </w:p>
        </w:tc>
        <w:tc>
          <w:tcPr>
            <w:tcW w:w="3189" w:type="dxa"/>
          </w:tcPr>
          <w:p w:rsidR="00CE4F74" w:rsidRPr="00DA4DDC" w:rsidRDefault="00CE4F74" w:rsidP="00226DDE">
            <w:pPr>
              <w:ind w:left="0" w:right="58"/>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 (3.7%)</w:t>
            </w:r>
          </w:p>
        </w:tc>
        <w:tc>
          <w:tcPr>
            <w:tcW w:w="2327" w:type="dxa"/>
          </w:tcPr>
          <w:p w:rsidR="00CE4F74" w:rsidRPr="00DA4DDC" w:rsidRDefault="00226DDE"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Pr>
                <w:color w:val="000000"/>
                <w:lang w:eastAsia="ja-JP"/>
              </w:rPr>
              <w:t>4 (2.3%)</w:t>
            </w:r>
          </w:p>
        </w:tc>
      </w:tr>
    </w:tbl>
    <w:p w:rsidR="00CE4F74" w:rsidRPr="007F4ADA" w:rsidRDefault="00CE4F74" w:rsidP="00CE4F74">
      <w:pPr>
        <w:rPr>
          <w:sz w:val="20"/>
          <w:szCs w:val="20"/>
          <w:lang w:eastAsia="ja-JP"/>
        </w:rPr>
      </w:pPr>
      <w:r w:rsidRPr="007F4ADA">
        <w:rPr>
          <w:sz w:val="20"/>
          <w:szCs w:val="20"/>
          <w:lang w:eastAsia="ja-JP"/>
        </w:rPr>
        <w:t xml:space="preserve">* = No scheduled on-treatment ECG assessments for the chemotherapy arm. </w:t>
      </w:r>
      <w:proofErr w:type="spellStart"/>
      <w:r w:rsidRPr="007F4ADA">
        <w:rPr>
          <w:sz w:val="20"/>
          <w:szCs w:val="20"/>
          <w:lang w:eastAsia="ja-JP"/>
        </w:rPr>
        <w:t>MedDRA</w:t>
      </w:r>
      <w:proofErr w:type="spellEnd"/>
      <w:r w:rsidRPr="007F4ADA">
        <w:rPr>
          <w:sz w:val="20"/>
          <w:szCs w:val="20"/>
          <w:lang w:eastAsia="ja-JP"/>
        </w:rPr>
        <w:t xml:space="preserve"> (v15.0) coding dictionary applied.</w:t>
      </w:r>
    </w:p>
    <w:p w:rsidR="00CE4F74" w:rsidRPr="00C31183" w:rsidRDefault="00CE4F74" w:rsidP="00226DDE">
      <w:pPr>
        <w:pStyle w:val="Heading5"/>
        <w:rPr>
          <w:lang w:eastAsia="ja-JP"/>
        </w:rPr>
      </w:pPr>
      <w:bookmarkStart w:id="94" w:name="_Toc228773378"/>
      <w:r w:rsidRPr="00C31183">
        <w:rPr>
          <w:lang w:eastAsia="ja-JP"/>
        </w:rPr>
        <w:t xml:space="preserve">Adverse events – </w:t>
      </w:r>
      <w:proofErr w:type="spellStart"/>
      <w:r w:rsidRPr="00C31183">
        <w:rPr>
          <w:lang w:eastAsia="ja-JP"/>
        </w:rPr>
        <w:t>prespecified</w:t>
      </w:r>
      <w:proofErr w:type="spellEnd"/>
      <w:r w:rsidRPr="00C31183">
        <w:rPr>
          <w:lang w:eastAsia="ja-JP"/>
        </w:rPr>
        <w:t xml:space="preserve"> tiers (1, 2 and 3)</w:t>
      </w:r>
      <w:bookmarkEnd w:id="94"/>
    </w:p>
    <w:p w:rsidR="00CE4F74" w:rsidRPr="00C31183" w:rsidRDefault="00226DDE" w:rsidP="00226DDE">
      <w:pPr>
        <w:pStyle w:val="Heading6"/>
        <w:numPr>
          <w:ilvl w:val="0"/>
          <w:numId w:val="0"/>
        </w:numPr>
        <w:ind w:left="1702" w:hanging="1418"/>
        <w:rPr>
          <w:lang w:eastAsia="ja-JP"/>
        </w:rPr>
      </w:pPr>
      <w:r>
        <w:rPr>
          <w:lang w:eastAsia="ja-JP"/>
        </w:rPr>
        <w:t>(a)</w:t>
      </w:r>
      <w:r>
        <w:rPr>
          <w:lang w:eastAsia="ja-JP"/>
        </w:rPr>
        <w:tab/>
        <w:t>Tier-1 adverse events</w:t>
      </w:r>
    </w:p>
    <w:p w:rsidR="00CE4F74" w:rsidRPr="00C31183" w:rsidRDefault="00CE4F74" w:rsidP="00226DDE">
      <w:pPr>
        <w:rPr>
          <w:lang w:eastAsia="ja-JP"/>
        </w:rPr>
      </w:pPr>
      <w:r w:rsidRPr="00C31183">
        <w:rPr>
          <w:lang w:eastAsia="ja-JP"/>
        </w:rPr>
        <w:t xml:space="preserve">Tier-1 adverse events were </w:t>
      </w:r>
      <w:proofErr w:type="spellStart"/>
      <w:r w:rsidRPr="00C31183">
        <w:rPr>
          <w:lang w:eastAsia="ja-JP"/>
        </w:rPr>
        <w:t>prespecified</w:t>
      </w:r>
      <w:proofErr w:type="spellEnd"/>
      <w:r w:rsidRPr="00C31183">
        <w:rPr>
          <w:lang w:eastAsia="ja-JP"/>
        </w:rPr>
        <w:t xml:space="preserve"> </w:t>
      </w:r>
      <w:proofErr w:type="spellStart"/>
      <w:r w:rsidRPr="00C31183">
        <w:rPr>
          <w:lang w:eastAsia="ja-JP"/>
        </w:rPr>
        <w:t>MedDRA</w:t>
      </w:r>
      <w:proofErr w:type="spellEnd"/>
      <w:r w:rsidRPr="00C31183">
        <w:rPr>
          <w:lang w:eastAsia="ja-JP"/>
        </w:rPr>
        <w:t xml:space="preserve"> preferred term or clustered term events of clinical importance listed in the sponsor’s product Safety Review Plan. Tier-1 TEAEs (all causality) that occurred statistically significantly more frequently in the </w:t>
      </w:r>
      <w:proofErr w:type="spellStart"/>
      <w:r w:rsidRPr="00C31183">
        <w:rPr>
          <w:lang w:eastAsia="ja-JP"/>
        </w:rPr>
        <w:t>crizotinib</w:t>
      </w:r>
      <w:proofErr w:type="spellEnd"/>
      <w:r w:rsidRPr="00C31183">
        <w:rPr>
          <w:lang w:eastAsia="ja-JP"/>
        </w:rPr>
        <w:t xml:space="preserve"> arm than in the chemotherapy arm were constipation, diarrhoea, ELEVATED TRANSAMINASES and HEPATOTOXICITY, NAUSEA and VOMITING, pneumonitis and </w:t>
      </w:r>
      <w:proofErr w:type="spellStart"/>
      <w:r w:rsidRPr="00C31183">
        <w:rPr>
          <w:lang w:eastAsia="ja-JP"/>
        </w:rPr>
        <w:t>QTc</w:t>
      </w:r>
      <w:proofErr w:type="spellEnd"/>
      <w:r w:rsidRPr="00C31183">
        <w:rPr>
          <w:lang w:eastAsia="ja-JP"/>
        </w:rPr>
        <w:t xml:space="preserve"> prolongation (see Table 15, below). No Tier-1 TEAEs (all causality) of special interest occurred statistically significantly more frequently in the chemotherapy arm than in the </w:t>
      </w:r>
      <w:proofErr w:type="spellStart"/>
      <w:r w:rsidRPr="00C31183">
        <w:rPr>
          <w:lang w:eastAsia="ja-JP"/>
        </w:rPr>
        <w:t>crizotinib</w:t>
      </w:r>
      <w:proofErr w:type="spellEnd"/>
      <w:r w:rsidRPr="00C31183">
        <w:rPr>
          <w:lang w:eastAsia="ja-JP"/>
        </w:rPr>
        <w:t xml:space="preserve"> arm. Tier-1 TEAEs (all causality) for which no statistically significant differences between the two treatment arms were reported were fatigue (p=0</w:t>
      </w:r>
      <w:r w:rsidR="00226DDE">
        <w:rPr>
          <w:lang w:eastAsia="ja-JP"/>
        </w:rPr>
        <w:t>.248) and LEUKOPENIA (p=0.535).</w:t>
      </w:r>
    </w:p>
    <w:p w:rsidR="00CE4F74" w:rsidRPr="00226DDE" w:rsidRDefault="00CE4F74" w:rsidP="00226DDE">
      <w:pPr>
        <w:pStyle w:val="TableTitle"/>
      </w:pPr>
      <w:bookmarkStart w:id="95" w:name="_Toc228773438"/>
      <w:r w:rsidRPr="00C31183">
        <w:rPr>
          <w:lang w:eastAsia="ja-JP"/>
        </w:rPr>
        <w:t xml:space="preserve">Table </w:t>
      </w:r>
      <w:r w:rsidRPr="00C31183">
        <w:rPr>
          <w:lang w:eastAsia="ja-JP"/>
        </w:rPr>
        <w:fldChar w:fldCharType="begin"/>
      </w:r>
      <w:r w:rsidRPr="00C31183">
        <w:rPr>
          <w:lang w:eastAsia="ja-JP"/>
        </w:rPr>
        <w:instrText xml:space="preserve"> SEQ Table \* ARABIC </w:instrText>
      </w:r>
      <w:r w:rsidRPr="00C31183">
        <w:rPr>
          <w:lang w:eastAsia="ja-JP"/>
        </w:rPr>
        <w:fldChar w:fldCharType="separate"/>
      </w:r>
      <w:r>
        <w:rPr>
          <w:noProof/>
          <w:lang w:eastAsia="ja-JP"/>
        </w:rPr>
        <w:t>15</w:t>
      </w:r>
      <w:r w:rsidRPr="00C31183">
        <w:rPr>
          <w:lang w:eastAsia="ja-JP"/>
        </w:rPr>
        <w:fldChar w:fldCharType="end"/>
      </w:r>
      <w:r w:rsidRPr="00C31183">
        <w:rPr>
          <w:lang w:eastAsia="ja-JP"/>
        </w:rPr>
        <w:t xml:space="preserve">: Tier-1 statistically significant all causality, all grades, treatment-emergent adverse events of special interest by </w:t>
      </w:r>
      <w:proofErr w:type="spellStart"/>
      <w:r w:rsidRPr="00C31183">
        <w:rPr>
          <w:lang w:eastAsia="ja-JP"/>
        </w:rPr>
        <w:t>MedDRA</w:t>
      </w:r>
      <w:proofErr w:type="spellEnd"/>
      <w:r w:rsidRPr="00C31183">
        <w:rPr>
          <w:lang w:eastAsia="ja-JP"/>
        </w:rPr>
        <w:t xml:space="preserve"> term or Cluster; SA.</w:t>
      </w:r>
      <w:bookmarkEnd w:id="95"/>
    </w:p>
    <w:tbl>
      <w:tblPr>
        <w:tblStyle w:val="TableTGAblue"/>
        <w:tblW w:w="8777" w:type="dxa"/>
        <w:tblLayout w:type="fixed"/>
        <w:tblLook w:val="00A0" w:firstRow="1" w:lastRow="0" w:firstColumn="1" w:lastColumn="0" w:noHBand="0" w:noVBand="0"/>
      </w:tblPr>
      <w:tblGrid>
        <w:gridCol w:w="2268"/>
        <w:gridCol w:w="1276"/>
        <w:gridCol w:w="1418"/>
        <w:gridCol w:w="1275"/>
        <w:gridCol w:w="1276"/>
        <w:gridCol w:w="1264"/>
      </w:tblGrid>
      <w:tr w:rsidR="00CE4F74" w:rsidRPr="00C31183" w:rsidTr="00226DDE">
        <w:trPr>
          <w:cnfStyle w:val="100000000000" w:firstRow="1" w:lastRow="0" w:firstColumn="0" w:lastColumn="0" w:oddVBand="0" w:evenVBand="0" w:oddHBand="0" w:evenHBand="0" w:firstRowFirstColumn="0" w:firstRowLastColumn="0" w:lastRowFirstColumn="0" w:lastRowLastColumn="0"/>
          <w:trHeight w:val="927"/>
          <w:tblHeader/>
        </w:trPr>
        <w:tc>
          <w:tcPr>
            <w:cnfStyle w:val="001000000000" w:firstRow="0" w:lastRow="0" w:firstColumn="1" w:lastColumn="0" w:oddVBand="0" w:evenVBand="0" w:oddHBand="0" w:evenHBand="0" w:firstRowFirstColumn="0" w:firstRowLastColumn="0" w:lastRowFirstColumn="0" w:lastRowLastColumn="0"/>
            <w:tcW w:w="2268" w:type="dxa"/>
          </w:tcPr>
          <w:p w:rsidR="00CE4F74" w:rsidRPr="00DA4DDC" w:rsidRDefault="00226DDE" w:rsidP="00226DDE">
            <w:pPr>
              <w:ind w:left="0" w:right="67"/>
              <w:rPr>
                <w:lang w:eastAsia="ja-JP"/>
              </w:rPr>
            </w:pPr>
            <w:r>
              <w:rPr>
                <w:lang w:eastAsia="ja-JP"/>
              </w:rPr>
              <w:t>Events</w:t>
            </w:r>
          </w:p>
        </w:tc>
        <w:tc>
          <w:tcPr>
            <w:tcW w:w="1276" w:type="dxa"/>
          </w:tcPr>
          <w:p w:rsidR="00CE4F74" w:rsidRPr="00DA4DDC" w:rsidRDefault="00CE4F74" w:rsidP="00226DDE">
            <w:pPr>
              <w:ind w:left="0" w:right="67"/>
              <w:cnfStyle w:val="100000000000" w:firstRow="1" w:lastRow="0" w:firstColumn="0" w:lastColumn="0" w:oddVBand="0" w:evenVBand="0" w:oddHBand="0" w:evenHBand="0" w:firstRowFirstColumn="0" w:firstRowLastColumn="0" w:lastRowFirstColumn="0" w:lastRowLastColumn="0"/>
              <w:rPr>
                <w:lang w:eastAsia="ja-JP"/>
              </w:rPr>
            </w:pPr>
            <w:r w:rsidRPr="00DA4DDC">
              <w:rPr>
                <w:lang w:eastAsia="ja-JP"/>
              </w:rPr>
              <w:t>CZT n=172</w:t>
            </w:r>
          </w:p>
        </w:tc>
        <w:tc>
          <w:tcPr>
            <w:tcW w:w="1418" w:type="dxa"/>
          </w:tcPr>
          <w:p w:rsidR="00CE4F74" w:rsidRPr="00DA4DDC" w:rsidRDefault="00CE4F74" w:rsidP="00226DDE">
            <w:pPr>
              <w:ind w:left="0" w:right="68"/>
              <w:cnfStyle w:val="100000000000" w:firstRow="1" w:lastRow="0" w:firstColumn="0" w:lastColumn="0" w:oddVBand="0" w:evenVBand="0" w:oddHBand="0" w:evenHBand="0" w:firstRowFirstColumn="0" w:firstRowLastColumn="0" w:lastRowFirstColumn="0" w:lastRowLastColumn="0"/>
              <w:rPr>
                <w:lang w:eastAsia="ja-JP"/>
              </w:rPr>
            </w:pPr>
            <w:r w:rsidRPr="00DA4DDC">
              <w:rPr>
                <w:lang w:eastAsia="ja-JP"/>
              </w:rPr>
              <w:t>CHM n=171</w:t>
            </w:r>
          </w:p>
        </w:tc>
        <w:tc>
          <w:tcPr>
            <w:tcW w:w="1275" w:type="dxa"/>
          </w:tcPr>
          <w:p w:rsidR="00CE4F74" w:rsidRPr="00DA4DDC" w:rsidRDefault="00CE4F74" w:rsidP="00226DDE">
            <w:pPr>
              <w:ind w:left="0" w:right="67"/>
              <w:cnfStyle w:val="100000000000" w:firstRow="1" w:lastRow="0" w:firstColumn="0" w:lastColumn="0" w:oddVBand="0" w:evenVBand="0" w:oddHBand="0" w:evenHBand="0" w:firstRowFirstColumn="0" w:firstRowLastColumn="0" w:lastRowFirstColumn="0" w:lastRowLastColumn="0"/>
              <w:rPr>
                <w:lang w:eastAsia="ja-JP"/>
              </w:rPr>
            </w:pPr>
            <w:r w:rsidRPr="00DA4DDC">
              <w:rPr>
                <w:lang w:eastAsia="ja-JP"/>
              </w:rPr>
              <w:t>Risk ∆</w:t>
            </w:r>
          </w:p>
        </w:tc>
        <w:tc>
          <w:tcPr>
            <w:tcW w:w="1276" w:type="dxa"/>
          </w:tcPr>
          <w:p w:rsidR="00CE4F74" w:rsidRPr="00DA4DDC" w:rsidRDefault="00CE4F74" w:rsidP="00226DDE">
            <w:pPr>
              <w:ind w:left="0" w:right="0"/>
              <w:cnfStyle w:val="100000000000" w:firstRow="1" w:lastRow="0" w:firstColumn="0" w:lastColumn="0" w:oddVBand="0" w:evenVBand="0" w:oddHBand="0" w:evenHBand="0" w:firstRowFirstColumn="0" w:firstRowLastColumn="0" w:lastRowFirstColumn="0" w:lastRowLastColumn="0"/>
              <w:rPr>
                <w:lang w:eastAsia="ja-JP"/>
              </w:rPr>
            </w:pPr>
            <w:r w:rsidRPr="00DA4DDC">
              <w:rPr>
                <w:lang w:eastAsia="ja-JP"/>
              </w:rPr>
              <w:t>95% CI</w:t>
            </w:r>
          </w:p>
        </w:tc>
        <w:tc>
          <w:tcPr>
            <w:tcW w:w="1264" w:type="dxa"/>
          </w:tcPr>
          <w:p w:rsidR="00CE4F74" w:rsidRPr="00DA4DDC" w:rsidRDefault="00226DDE" w:rsidP="00226DDE">
            <w:pPr>
              <w:ind w:left="0" w:right="0"/>
              <w:cnfStyle w:val="100000000000" w:firstRow="1" w:lastRow="0" w:firstColumn="0" w:lastColumn="0" w:oddVBand="0" w:evenVBand="0" w:oddHBand="0" w:evenHBand="0" w:firstRowFirstColumn="0" w:firstRowLastColumn="0" w:lastRowFirstColumn="0" w:lastRowLastColumn="0"/>
              <w:rPr>
                <w:lang w:eastAsia="ja-JP"/>
              </w:rPr>
            </w:pPr>
            <w:r>
              <w:rPr>
                <w:lang w:eastAsia="ja-JP"/>
              </w:rPr>
              <w:t>p value</w:t>
            </w:r>
          </w:p>
        </w:tc>
      </w:tr>
      <w:tr w:rsidR="00CE4F74" w:rsidRPr="00C31183" w:rsidTr="00226DDE">
        <w:trPr>
          <w:trHeight w:val="690"/>
        </w:trPr>
        <w:tc>
          <w:tcPr>
            <w:cnfStyle w:val="001000000000" w:firstRow="0" w:lastRow="0" w:firstColumn="1" w:lastColumn="0" w:oddVBand="0" w:evenVBand="0" w:oddHBand="0" w:evenHBand="0" w:firstRowFirstColumn="0" w:firstRowLastColumn="0" w:lastRowFirstColumn="0" w:lastRowLastColumn="0"/>
            <w:tcW w:w="2268" w:type="dxa"/>
          </w:tcPr>
          <w:p w:rsidR="00CE4F74" w:rsidRPr="00DA4DDC" w:rsidRDefault="00CE4F74" w:rsidP="00226DDE">
            <w:pPr>
              <w:ind w:left="0" w:right="67"/>
              <w:rPr>
                <w:color w:val="000000"/>
                <w:lang w:eastAsia="ja-JP"/>
              </w:rPr>
            </w:pPr>
            <w:r w:rsidRPr="00DA4DDC">
              <w:rPr>
                <w:color w:val="000000"/>
                <w:lang w:eastAsia="ja-JP"/>
              </w:rPr>
              <w:lastRenderedPageBreak/>
              <w:t>Constipation</w:t>
            </w:r>
          </w:p>
        </w:tc>
        <w:tc>
          <w:tcPr>
            <w:tcW w:w="1276" w:type="dxa"/>
          </w:tcPr>
          <w:p w:rsidR="00CE4F74" w:rsidRPr="00DA4DDC" w:rsidRDefault="00CE4F74" w:rsidP="00226DDE">
            <w:pPr>
              <w:ind w:left="0"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73 (42.4%)</w:t>
            </w:r>
          </w:p>
        </w:tc>
        <w:tc>
          <w:tcPr>
            <w:tcW w:w="1418" w:type="dxa"/>
          </w:tcPr>
          <w:p w:rsidR="00CE4F74" w:rsidRPr="00DA4DDC" w:rsidRDefault="00CE4F74" w:rsidP="00226DDE">
            <w:pPr>
              <w:ind w:left="0" w:right="68"/>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39 (22.8%)</w:t>
            </w:r>
          </w:p>
        </w:tc>
        <w:tc>
          <w:tcPr>
            <w:tcW w:w="1275" w:type="dxa"/>
          </w:tcPr>
          <w:p w:rsidR="00CE4F74" w:rsidRPr="00DA4DDC" w:rsidRDefault="00CE4F74" w:rsidP="00226DDE">
            <w:pPr>
              <w:ind w:left="0"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19.635</w:t>
            </w:r>
          </w:p>
        </w:tc>
        <w:tc>
          <w:tcPr>
            <w:tcW w:w="1276"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9.149, 29.433</w:t>
            </w:r>
          </w:p>
        </w:tc>
        <w:tc>
          <w:tcPr>
            <w:tcW w:w="1264"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&lt; 0.001</w:t>
            </w:r>
          </w:p>
        </w:tc>
      </w:tr>
      <w:tr w:rsidR="00CE4F74" w:rsidRPr="00C31183" w:rsidTr="00226DDE">
        <w:trPr>
          <w:trHeight w:val="690"/>
        </w:trPr>
        <w:tc>
          <w:tcPr>
            <w:cnfStyle w:val="001000000000" w:firstRow="0" w:lastRow="0" w:firstColumn="1" w:lastColumn="0" w:oddVBand="0" w:evenVBand="0" w:oddHBand="0" w:evenHBand="0" w:firstRowFirstColumn="0" w:firstRowLastColumn="0" w:lastRowFirstColumn="0" w:lastRowLastColumn="0"/>
            <w:tcW w:w="2268" w:type="dxa"/>
          </w:tcPr>
          <w:p w:rsidR="00CE4F74" w:rsidRPr="00DA4DDC" w:rsidRDefault="00CE4F74" w:rsidP="00226DDE">
            <w:pPr>
              <w:ind w:left="0" w:right="67"/>
              <w:rPr>
                <w:color w:val="000000"/>
                <w:lang w:eastAsia="ja-JP"/>
              </w:rPr>
            </w:pPr>
            <w:r w:rsidRPr="00DA4DDC">
              <w:rPr>
                <w:color w:val="000000"/>
                <w:lang w:eastAsia="ja-JP"/>
              </w:rPr>
              <w:t>Diarrhoea</w:t>
            </w:r>
          </w:p>
        </w:tc>
        <w:tc>
          <w:tcPr>
            <w:tcW w:w="1276" w:type="dxa"/>
          </w:tcPr>
          <w:p w:rsidR="00CE4F74" w:rsidRPr="00DA4DDC" w:rsidRDefault="00CE4F74" w:rsidP="00226DDE">
            <w:pPr>
              <w:ind w:left="0"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103 (59.9%)</w:t>
            </w:r>
          </w:p>
        </w:tc>
        <w:tc>
          <w:tcPr>
            <w:tcW w:w="1418" w:type="dxa"/>
          </w:tcPr>
          <w:p w:rsidR="00CE4F74" w:rsidRPr="00DA4DDC" w:rsidRDefault="00CE4F74" w:rsidP="00226DDE">
            <w:pPr>
              <w:ind w:left="0" w:right="68"/>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33 (19.3%)</w:t>
            </w:r>
          </w:p>
        </w:tc>
        <w:tc>
          <w:tcPr>
            <w:tcW w:w="1275" w:type="dxa"/>
          </w:tcPr>
          <w:p w:rsidR="00CE4F74" w:rsidRPr="00DA4DDC" w:rsidRDefault="00CE4F74" w:rsidP="00226DDE">
            <w:pPr>
              <w:ind w:left="0"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40.585</w:t>
            </w:r>
          </w:p>
        </w:tc>
        <w:tc>
          <w:tcPr>
            <w:tcW w:w="1276"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30.485, 49.787</w:t>
            </w:r>
          </w:p>
        </w:tc>
        <w:tc>
          <w:tcPr>
            <w:tcW w:w="1264"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&lt; 0.001</w:t>
            </w:r>
          </w:p>
        </w:tc>
      </w:tr>
      <w:tr w:rsidR="00CE4F74" w:rsidRPr="00C31183" w:rsidTr="00226DDE">
        <w:trPr>
          <w:trHeight w:val="690"/>
        </w:trPr>
        <w:tc>
          <w:tcPr>
            <w:cnfStyle w:val="001000000000" w:firstRow="0" w:lastRow="0" w:firstColumn="1" w:lastColumn="0" w:oddVBand="0" w:evenVBand="0" w:oddHBand="0" w:evenHBand="0" w:firstRowFirstColumn="0" w:firstRowLastColumn="0" w:lastRowFirstColumn="0" w:lastRowLastColumn="0"/>
            <w:tcW w:w="2268" w:type="dxa"/>
          </w:tcPr>
          <w:p w:rsidR="00CE4F74" w:rsidRPr="00DA4DDC" w:rsidRDefault="00CE4F74" w:rsidP="00226DDE">
            <w:pPr>
              <w:ind w:left="0" w:right="67"/>
              <w:rPr>
                <w:color w:val="000000"/>
                <w:lang w:eastAsia="ja-JP"/>
              </w:rPr>
            </w:pPr>
            <w:r w:rsidRPr="00DA4DDC">
              <w:rPr>
                <w:color w:val="000000"/>
                <w:lang w:eastAsia="ja-JP"/>
              </w:rPr>
              <w:t>ELEVATED TRANSAMINASES and HEPATOTOXICITY</w:t>
            </w:r>
          </w:p>
        </w:tc>
        <w:tc>
          <w:tcPr>
            <w:tcW w:w="1276" w:type="dxa"/>
          </w:tcPr>
          <w:p w:rsidR="00CE4F74" w:rsidRPr="00DA4DDC" w:rsidRDefault="00CE4F74" w:rsidP="00226DDE">
            <w:pPr>
              <w:ind w:left="0"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69 (40.1%)</w:t>
            </w:r>
          </w:p>
        </w:tc>
        <w:tc>
          <w:tcPr>
            <w:tcW w:w="1418" w:type="dxa"/>
          </w:tcPr>
          <w:p w:rsidR="00CE4F74" w:rsidRPr="00DA4DDC" w:rsidRDefault="00CE4F74" w:rsidP="00226DDE">
            <w:pPr>
              <w:ind w:left="0" w:right="68"/>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26 (14.2%)</w:t>
            </w:r>
          </w:p>
        </w:tc>
        <w:tc>
          <w:tcPr>
            <w:tcW w:w="1275" w:type="dxa"/>
          </w:tcPr>
          <w:p w:rsidR="00CE4F74" w:rsidRPr="00DA4DDC" w:rsidRDefault="00CE4F74" w:rsidP="00226DDE">
            <w:pPr>
              <w:ind w:left="0"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24.912</w:t>
            </w:r>
          </w:p>
        </w:tc>
        <w:tc>
          <w:tcPr>
            <w:tcW w:w="1276"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15.111, 34.015</w:t>
            </w:r>
          </w:p>
        </w:tc>
        <w:tc>
          <w:tcPr>
            <w:tcW w:w="1264"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&lt; 0.001</w:t>
            </w:r>
          </w:p>
        </w:tc>
      </w:tr>
      <w:tr w:rsidR="00CE4F74" w:rsidRPr="00C31183" w:rsidTr="00226DDE">
        <w:trPr>
          <w:trHeight w:val="690"/>
        </w:trPr>
        <w:tc>
          <w:tcPr>
            <w:cnfStyle w:val="001000000000" w:firstRow="0" w:lastRow="0" w:firstColumn="1" w:lastColumn="0" w:oddVBand="0" w:evenVBand="0" w:oddHBand="0" w:evenHBand="0" w:firstRowFirstColumn="0" w:firstRowLastColumn="0" w:lastRowFirstColumn="0" w:lastRowLastColumn="0"/>
            <w:tcW w:w="2268" w:type="dxa"/>
          </w:tcPr>
          <w:p w:rsidR="00CE4F74" w:rsidRPr="00DA4DDC" w:rsidRDefault="00CE4F74" w:rsidP="00226DDE">
            <w:pPr>
              <w:ind w:left="0" w:right="67"/>
              <w:rPr>
                <w:color w:val="000000"/>
                <w:lang w:eastAsia="ja-JP"/>
              </w:rPr>
            </w:pPr>
            <w:r w:rsidRPr="00DA4DDC">
              <w:rPr>
                <w:color w:val="000000"/>
                <w:lang w:eastAsia="ja-JP"/>
              </w:rPr>
              <w:t>NAUSEA and VOMITING</w:t>
            </w:r>
          </w:p>
        </w:tc>
        <w:tc>
          <w:tcPr>
            <w:tcW w:w="1276" w:type="dxa"/>
          </w:tcPr>
          <w:p w:rsidR="00CE4F74" w:rsidRPr="00DA4DDC" w:rsidRDefault="00CE4F74" w:rsidP="00226DDE">
            <w:pPr>
              <w:ind w:left="0"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111 (64.5%)</w:t>
            </w:r>
          </w:p>
        </w:tc>
        <w:tc>
          <w:tcPr>
            <w:tcW w:w="1418" w:type="dxa"/>
          </w:tcPr>
          <w:p w:rsidR="00CE4F74" w:rsidRPr="00DA4DDC" w:rsidRDefault="00CE4F74" w:rsidP="00226DDE">
            <w:pPr>
              <w:ind w:left="0" w:right="68"/>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70 (40.9%)</w:t>
            </w:r>
          </w:p>
        </w:tc>
        <w:tc>
          <w:tcPr>
            <w:tcW w:w="1275" w:type="dxa"/>
          </w:tcPr>
          <w:p w:rsidR="00CE4F74" w:rsidRPr="00DA4DDC" w:rsidRDefault="00CE4F74" w:rsidP="00226DDE">
            <w:pPr>
              <w:ind w:left="0"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23.599</w:t>
            </w:r>
          </w:p>
        </w:tc>
        <w:tc>
          <w:tcPr>
            <w:tcW w:w="1276"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12.161, 33.800</w:t>
            </w:r>
          </w:p>
        </w:tc>
        <w:tc>
          <w:tcPr>
            <w:tcW w:w="1264"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&lt; 0.001</w:t>
            </w:r>
          </w:p>
        </w:tc>
      </w:tr>
      <w:tr w:rsidR="00CE4F74" w:rsidRPr="00C31183" w:rsidTr="00226DDE">
        <w:trPr>
          <w:trHeight w:val="690"/>
        </w:trPr>
        <w:tc>
          <w:tcPr>
            <w:cnfStyle w:val="001000000000" w:firstRow="0" w:lastRow="0" w:firstColumn="1" w:lastColumn="0" w:oddVBand="0" w:evenVBand="0" w:oddHBand="0" w:evenHBand="0" w:firstRowFirstColumn="0" w:firstRowLastColumn="0" w:lastRowFirstColumn="0" w:lastRowLastColumn="0"/>
            <w:tcW w:w="2268" w:type="dxa"/>
          </w:tcPr>
          <w:p w:rsidR="00CE4F74" w:rsidRPr="00DA4DDC" w:rsidRDefault="00CE4F74" w:rsidP="00226DDE">
            <w:pPr>
              <w:ind w:left="0" w:right="67"/>
              <w:rPr>
                <w:color w:val="000000"/>
                <w:lang w:eastAsia="ja-JP"/>
              </w:rPr>
            </w:pPr>
            <w:r w:rsidRPr="00DA4DDC">
              <w:rPr>
                <w:color w:val="000000"/>
                <w:lang w:eastAsia="ja-JP"/>
              </w:rPr>
              <w:t>PNEUMONITIS</w:t>
            </w:r>
          </w:p>
        </w:tc>
        <w:tc>
          <w:tcPr>
            <w:tcW w:w="1276" w:type="dxa"/>
          </w:tcPr>
          <w:p w:rsidR="00CE4F74" w:rsidRPr="00DA4DDC" w:rsidRDefault="00CE4F74" w:rsidP="00226DDE">
            <w:pPr>
              <w:ind w:left="0"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7 (4.1%)</w:t>
            </w:r>
          </w:p>
        </w:tc>
        <w:tc>
          <w:tcPr>
            <w:tcW w:w="1418" w:type="dxa"/>
          </w:tcPr>
          <w:p w:rsidR="00CE4F74" w:rsidRPr="00DA4DDC" w:rsidRDefault="00CE4F74" w:rsidP="00226DDE">
            <w:pPr>
              <w:ind w:left="0" w:right="68"/>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 (0.6%)</w:t>
            </w:r>
          </w:p>
        </w:tc>
        <w:tc>
          <w:tcPr>
            <w:tcW w:w="1275" w:type="dxa"/>
          </w:tcPr>
          <w:p w:rsidR="00CE4F74" w:rsidRPr="00DA4DDC" w:rsidRDefault="00CE4F74" w:rsidP="00226DDE">
            <w:pPr>
              <w:ind w:left="0"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3.485</w:t>
            </w:r>
          </w:p>
        </w:tc>
        <w:tc>
          <w:tcPr>
            <w:tcW w:w="1276"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0.216, 7.690</w:t>
            </w:r>
          </w:p>
        </w:tc>
        <w:tc>
          <w:tcPr>
            <w:tcW w:w="1264"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0.036</w:t>
            </w:r>
          </w:p>
        </w:tc>
      </w:tr>
      <w:tr w:rsidR="00CE4F74" w:rsidRPr="00C31183" w:rsidTr="00226DDE">
        <w:trPr>
          <w:trHeight w:val="690"/>
        </w:trPr>
        <w:tc>
          <w:tcPr>
            <w:cnfStyle w:val="001000000000" w:firstRow="0" w:lastRow="0" w:firstColumn="1" w:lastColumn="0" w:oddVBand="0" w:evenVBand="0" w:oddHBand="0" w:evenHBand="0" w:firstRowFirstColumn="0" w:firstRowLastColumn="0" w:lastRowFirstColumn="0" w:lastRowLastColumn="0"/>
            <w:tcW w:w="2268" w:type="dxa"/>
          </w:tcPr>
          <w:p w:rsidR="00CE4F74" w:rsidRPr="00DA4DDC" w:rsidRDefault="00CE4F74" w:rsidP="00226DDE">
            <w:pPr>
              <w:ind w:left="0" w:right="67"/>
              <w:rPr>
                <w:color w:val="000000"/>
                <w:lang w:eastAsia="ja-JP"/>
              </w:rPr>
            </w:pPr>
            <w:proofErr w:type="spellStart"/>
            <w:r w:rsidRPr="00DA4DDC">
              <w:rPr>
                <w:color w:val="000000"/>
                <w:lang w:eastAsia="ja-JP"/>
              </w:rPr>
              <w:t>QTc</w:t>
            </w:r>
            <w:proofErr w:type="spellEnd"/>
            <w:r w:rsidRPr="00DA4DDC">
              <w:rPr>
                <w:color w:val="000000"/>
                <w:lang w:eastAsia="ja-JP"/>
              </w:rPr>
              <w:t xml:space="preserve"> prolongation</w:t>
            </w:r>
          </w:p>
        </w:tc>
        <w:tc>
          <w:tcPr>
            <w:tcW w:w="1276" w:type="dxa"/>
          </w:tcPr>
          <w:p w:rsidR="00CE4F74" w:rsidRPr="00DA4DDC" w:rsidRDefault="00CE4F74" w:rsidP="00226DDE">
            <w:pPr>
              <w:ind w:left="0"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8 (4.7%)</w:t>
            </w:r>
          </w:p>
        </w:tc>
        <w:tc>
          <w:tcPr>
            <w:tcW w:w="1418" w:type="dxa"/>
          </w:tcPr>
          <w:p w:rsidR="00CE4F74" w:rsidRPr="00DA4DDC" w:rsidRDefault="00CE4F74" w:rsidP="00226DDE">
            <w:pPr>
              <w:ind w:left="0" w:right="68"/>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w:t>
            </w:r>
          </w:p>
        </w:tc>
        <w:tc>
          <w:tcPr>
            <w:tcW w:w="1275" w:type="dxa"/>
          </w:tcPr>
          <w:p w:rsidR="00CE4F74" w:rsidRPr="00DA4DDC" w:rsidRDefault="00CE4F74" w:rsidP="00226DDE">
            <w:pPr>
              <w:ind w:left="0" w:right="6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4.651</w:t>
            </w:r>
          </w:p>
        </w:tc>
        <w:tc>
          <w:tcPr>
            <w:tcW w:w="1276"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1.848, 8.959</w:t>
            </w:r>
          </w:p>
        </w:tc>
        <w:tc>
          <w:tcPr>
            <w:tcW w:w="1264" w:type="dxa"/>
          </w:tcPr>
          <w:p w:rsidR="00CE4F74" w:rsidRPr="00DA4DDC" w:rsidRDefault="00CE4F74" w:rsidP="00226DDE">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0.005</w:t>
            </w:r>
          </w:p>
        </w:tc>
      </w:tr>
    </w:tbl>
    <w:p w:rsidR="00CE4F74" w:rsidRPr="007F4ADA" w:rsidRDefault="00CE4F74" w:rsidP="00226DDE">
      <w:pPr>
        <w:pStyle w:val="TableDescription"/>
        <w:rPr>
          <w:lang w:eastAsia="ja-JP"/>
        </w:rPr>
      </w:pPr>
      <w:r w:rsidRPr="007F4ADA">
        <w:rPr>
          <w:lang w:eastAsia="ja-JP"/>
        </w:rPr>
        <w:t xml:space="preserve">Note: P-values and confidence intervals (CIs) are not adjusted for multiplicity and should be used for screening purpose only. 95% Confidence intervals are provided to help gauge the precision of the estimates for Risk Difference. Risk Difference (Risk ∆) is computed as </w:t>
      </w:r>
      <w:proofErr w:type="spellStart"/>
      <w:r w:rsidRPr="007F4ADA">
        <w:rPr>
          <w:lang w:eastAsia="ja-JP"/>
        </w:rPr>
        <w:t>Crizotinib</w:t>
      </w:r>
      <w:proofErr w:type="spellEnd"/>
      <w:r w:rsidRPr="007F4ADA">
        <w:rPr>
          <w:lang w:eastAsia="ja-JP"/>
        </w:rPr>
        <w:t xml:space="preserve"> (</w:t>
      </w:r>
      <w:r w:rsidR="00226DDE">
        <w:rPr>
          <w:lang w:eastAsia="ja-JP"/>
        </w:rPr>
        <w:t>CZT) versus Chemotherapy (CHM).</w:t>
      </w:r>
    </w:p>
    <w:p w:rsidR="00CE4F74" w:rsidRPr="00C31183" w:rsidRDefault="00CE4F74" w:rsidP="00226DDE">
      <w:pPr>
        <w:rPr>
          <w:lang w:eastAsia="ja-JP"/>
        </w:rPr>
      </w:pPr>
      <w:r w:rsidRPr="00C31183">
        <w:rPr>
          <w:lang w:eastAsia="ja-JP"/>
        </w:rPr>
        <w:t xml:space="preserve">Tier-1 Grade 3/4/5 TEAEs (all causality) of special interest that occurred statistically significantly more frequently in the </w:t>
      </w:r>
      <w:proofErr w:type="spellStart"/>
      <w:r w:rsidRPr="00C31183">
        <w:rPr>
          <w:lang w:eastAsia="ja-JP"/>
        </w:rPr>
        <w:t>crizotinib</w:t>
      </w:r>
      <w:proofErr w:type="spellEnd"/>
      <w:r w:rsidRPr="00C31183">
        <w:rPr>
          <w:lang w:eastAsia="ja-JP"/>
        </w:rPr>
        <w:t xml:space="preserve"> arm than in the chemotherapy arm were constipation, ELEVATED TRANSAMINASES and HEPATOTOXICITY, PNEUMONITIS, and </w:t>
      </w:r>
      <w:proofErr w:type="spellStart"/>
      <w:r w:rsidRPr="00C31183">
        <w:rPr>
          <w:lang w:eastAsia="ja-JP"/>
        </w:rPr>
        <w:t>QTc</w:t>
      </w:r>
      <w:proofErr w:type="spellEnd"/>
      <w:r w:rsidRPr="00C31183">
        <w:rPr>
          <w:lang w:eastAsia="ja-JP"/>
        </w:rPr>
        <w:t xml:space="preserve"> prolongation (see Table 16, below). No Tier-1 Grade 3/4/5 TEAES (all causality) of special interest occurred statistically significantly more frequently in the chemotherapy </w:t>
      </w:r>
      <w:r w:rsidR="00226DDE">
        <w:rPr>
          <w:lang w:eastAsia="ja-JP"/>
        </w:rPr>
        <w:t xml:space="preserve">arm than in the </w:t>
      </w:r>
      <w:proofErr w:type="spellStart"/>
      <w:r w:rsidR="00226DDE">
        <w:rPr>
          <w:lang w:eastAsia="ja-JP"/>
        </w:rPr>
        <w:t>crizotinib</w:t>
      </w:r>
      <w:proofErr w:type="spellEnd"/>
      <w:r w:rsidR="00226DDE">
        <w:rPr>
          <w:lang w:eastAsia="ja-JP"/>
        </w:rPr>
        <w:t xml:space="preserve"> arm.</w:t>
      </w:r>
    </w:p>
    <w:p w:rsidR="00CE4F74" w:rsidRPr="00226DDE" w:rsidRDefault="00CE4F74" w:rsidP="00226DDE">
      <w:pPr>
        <w:pStyle w:val="TableTitle"/>
      </w:pPr>
      <w:bookmarkStart w:id="96" w:name="_Toc228773439"/>
      <w:r w:rsidRPr="00C31183">
        <w:rPr>
          <w:lang w:eastAsia="ja-JP"/>
        </w:rPr>
        <w:t xml:space="preserve">Table </w:t>
      </w:r>
      <w:r w:rsidRPr="00C31183">
        <w:rPr>
          <w:lang w:eastAsia="ja-JP"/>
        </w:rPr>
        <w:fldChar w:fldCharType="begin"/>
      </w:r>
      <w:r w:rsidRPr="00C31183">
        <w:rPr>
          <w:lang w:eastAsia="ja-JP"/>
        </w:rPr>
        <w:instrText xml:space="preserve"> SEQ Table \* ARABIC </w:instrText>
      </w:r>
      <w:r w:rsidRPr="00C31183">
        <w:rPr>
          <w:lang w:eastAsia="ja-JP"/>
        </w:rPr>
        <w:fldChar w:fldCharType="separate"/>
      </w:r>
      <w:r>
        <w:rPr>
          <w:noProof/>
          <w:lang w:eastAsia="ja-JP"/>
        </w:rPr>
        <w:t>16</w:t>
      </w:r>
      <w:r w:rsidRPr="00C31183">
        <w:rPr>
          <w:lang w:eastAsia="ja-JP"/>
        </w:rPr>
        <w:fldChar w:fldCharType="end"/>
      </w:r>
      <w:r w:rsidRPr="00C31183">
        <w:rPr>
          <w:lang w:eastAsia="ja-JP"/>
        </w:rPr>
        <w:t xml:space="preserve">: Tier-1 statistically significant all causality, Grades 3/4/5, treatment-emergent adverse events of special interest by </w:t>
      </w:r>
      <w:proofErr w:type="spellStart"/>
      <w:r w:rsidRPr="00C31183">
        <w:rPr>
          <w:lang w:eastAsia="ja-JP"/>
        </w:rPr>
        <w:t>MedDRA</w:t>
      </w:r>
      <w:proofErr w:type="spellEnd"/>
      <w:r w:rsidRPr="00C31183">
        <w:rPr>
          <w:lang w:eastAsia="ja-JP"/>
        </w:rPr>
        <w:t xml:space="preserve"> term or Cluster; SA.</w:t>
      </w:r>
      <w:bookmarkEnd w:id="96"/>
    </w:p>
    <w:tbl>
      <w:tblPr>
        <w:tblStyle w:val="TableTGAblue"/>
        <w:tblW w:w="9039" w:type="dxa"/>
        <w:tblLayout w:type="fixed"/>
        <w:tblLook w:val="00A0" w:firstRow="1" w:lastRow="0" w:firstColumn="1" w:lastColumn="0" w:noHBand="0" w:noVBand="0"/>
      </w:tblPr>
      <w:tblGrid>
        <w:gridCol w:w="2376"/>
        <w:gridCol w:w="1418"/>
        <w:gridCol w:w="1276"/>
        <w:gridCol w:w="1275"/>
        <w:gridCol w:w="1276"/>
        <w:gridCol w:w="1418"/>
      </w:tblGrid>
      <w:tr w:rsidR="00CE4F74" w:rsidRPr="00C31183" w:rsidTr="00226D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tcPr>
          <w:p w:rsidR="00CE4F74" w:rsidRPr="00DA4DDC" w:rsidRDefault="00226DDE" w:rsidP="00226DDE">
            <w:pPr>
              <w:ind w:left="0" w:right="0"/>
              <w:rPr>
                <w:lang w:eastAsia="ja-JP"/>
              </w:rPr>
            </w:pPr>
            <w:r>
              <w:rPr>
                <w:lang w:eastAsia="ja-JP"/>
              </w:rPr>
              <w:t>Events</w:t>
            </w:r>
          </w:p>
        </w:tc>
        <w:tc>
          <w:tcPr>
            <w:tcW w:w="1418" w:type="dxa"/>
          </w:tcPr>
          <w:p w:rsidR="00CE4F74" w:rsidRPr="00DA4DDC" w:rsidRDefault="00CE4F74" w:rsidP="00226DDE">
            <w:pPr>
              <w:ind w:left="34" w:right="34"/>
              <w:cnfStyle w:val="100000000000" w:firstRow="1" w:lastRow="0" w:firstColumn="0" w:lastColumn="0" w:oddVBand="0" w:evenVBand="0" w:oddHBand="0" w:evenHBand="0" w:firstRowFirstColumn="0" w:firstRowLastColumn="0" w:lastRowFirstColumn="0" w:lastRowLastColumn="0"/>
              <w:rPr>
                <w:lang w:eastAsia="ja-JP"/>
              </w:rPr>
            </w:pPr>
            <w:r w:rsidRPr="00DA4DDC">
              <w:rPr>
                <w:lang w:eastAsia="ja-JP"/>
              </w:rPr>
              <w:t>CZT n=172</w:t>
            </w:r>
          </w:p>
        </w:tc>
        <w:tc>
          <w:tcPr>
            <w:tcW w:w="1276" w:type="dxa"/>
          </w:tcPr>
          <w:p w:rsidR="00CE4F74" w:rsidRPr="00DA4DDC" w:rsidRDefault="00CE4F74" w:rsidP="00226DDE">
            <w:pPr>
              <w:ind w:left="34" w:right="34"/>
              <w:cnfStyle w:val="100000000000" w:firstRow="1" w:lastRow="0" w:firstColumn="0" w:lastColumn="0" w:oddVBand="0" w:evenVBand="0" w:oddHBand="0" w:evenHBand="0" w:firstRowFirstColumn="0" w:firstRowLastColumn="0" w:lastRowFirstColumn="0" w:lastRowLastColumn="0"/>
              <w:rPr>
                <w:lang w:eastAsia="ja-JP"/>
              </w:rPr>
            </w:pPr>
            <w:r w:rsidRPr="00DA4DDC">
              <w:rPr>
                <w:lang w:eastAsia="ja-JP"/>
              </w:rPr>
              <w:t>CHM n=171</w:t>
            </w:r>
          </w:p>
        </w:tc>
        <w:tc>
          <w:tcPr>
            <w:tcW w:w="1275" w:type="dxa"/>
          </w:tcPr>
          <w:p w:rsidR="00CE4F74" w:rsidRPr="00DA4DDC" w:rsidRDefault="00CE4F74" w:rsidP="00226DDE">
            <w:pPr>
              <w:ind w:left="33" w:right="33"/>
              <w:cnfStyle w:val="100000000000" w:firstRow="1" w:lastRow="0" w:firstColumn="0" w:lastColumn="0" w:oddVBand="0" w:evenVBand="0" w:oddHBand="0" w:evenHBand="0" w:firstRowFirstColumn="0" w:firstRowLastColumn="0" w:lastRowFirstColumn="0" w:lastRowLastColumn="0"/>
              <w:rPr>
                <w:lang w:eastAsia="ja-JP"/>
              </w:rPr>
            </w:pPr>
            <w:r w:rsidRPr="00DA4DDC">
              <w:rPr>
                <w:lang w:eastAsia="ja-JP"/>
              </w:rPr>
              <w:t>Risk ∆</w:t>
            </w:r>
          </w:p>
        </w:tc>
        <w:tc>
          <w:tcPr>
            <w:tcW w:w="1276" w:type="dxa"/>
          </w:tcPr>
          <w:p w:rsidR="00CE4F74" w:rsidRPr="00DA4DDC" w:rsidRDefault="00CE4F74" w:rsidP="00226DDE">
            <w:pPr>
              <w:tabs>
                <w:tab w:val="left" w:pos="1026"/>
              </w:tabs>
              <w:ind w:left="0" w:right="34"/>
              <w:cnfStyle w:val="100000000000" w:firstRow="1" w:lastRow="0" w:firstColumn="0" w:lastColumn="0" w:oddVBand="0" w:evenVBand="0" w:oddHBand="0" w:evenHBand="0" w:firstRowFirstColumn="0" w:firstRowLastColumn="0" w:lastRowFirstColumn="0" w:lastRowLastColumn="0"/>
              <w:rPr>
                <w:lang w:eastAsia="ja-JP"/>
              </w:rPr>
            </w:pPr>
            <w:r w:rsidRPr="00DA4DDC">
              <w:rPr>
                <w:lang w:eastAsia="ja-JP"/>
              </w:rPr>
              <w:t>95% CI</w:t>
            </w:r>
          </w:p>
        </w:tc>
        <w:tc>
          <w:tcPr>
            <w:tcW w:w="1418" w:type="dxa"/>
          </w:tcPr>
          <w:p w:rsidR="00CE4F74" w:rsidRPr="00DA4DDC" w:rsidRDefault="00226DDE" w:rsidP="00226DDE">
            <w:pPr>
              <w:ind w:left="34" w:right="34"/>
              <w:cnfStyle w:val="100000000000" w:firstRow="1" w:lastRow="0" w:firstColumn="0" w:lastColumn="0" w:oddVBand="0" w:evenVBand="0" w:oddHBand="0" w:evenHBand="0" w:firstRowFirstColumn="0" w:firstRowLastColumn="0" w:lastRowFirstColumn="0" w:lastRowLastColumn="0"/>
              <w:rPr>
                <w:lang w:eastAsia="ja-JP"/>
              </w:rPr>
            </w:pPr>
            <w:r>
              <w:rPr>
                <w:lang w:eastAsia="ja-JP"/>
              </w:rPr>
              <w:t>p value</w:t>
            </w:r>
          </w:p>
        </w:tc>
      </w:tr>
      <w:tr w:rsidR="00CE4F74" w:rsidRPr="00C31183" w:rsidTr="00226DDE">
        <w:tc>
          <w:tcPr>
            <w:cnfStyle w:val="001000000000" w:firstRow="0" w:lastRow="0" w:firstColumn="1" w:lastColumn="0" w:oddVBand="0" w:evenVBand="0" w:oddHBand="0" w:evenHBand="0" w:firstRowFirstColumn="0" w:firstRowLastColumn="0" w:lastRowFirstColumn="0" w:lastRowLastColumn="0"/>
            <w:tcW w:w="2376" w:type="dxa"/>
          </w:tcPr>
          <w:p w:rsidR="00CE4F74" w:rsidRPr="00DA4DDC" w:rsidRDefault="00CE4F74" w:rsidP="00226DDE">
            <w:pPr>
              <w:ind w:left="0" w:right="0"/>
              <w:rPr>
                <w:color w:val="000000"/>
                <w:lang w:eastAsia="ja-JP"/>
              </w:rPr>
            </w:pPr>
            <w:r w:rsidRPr="00DA4DDC">
              <w:rPr>
                <w:color w:val="000000"/>
                <w:lang w:eastAsia="ja-JP"/>
              </w:rPr>
              <w:t>Constipation</w:t>
            </w:r>
          </w:p>
        </w:tc>
        <w:tc>
          <w:tcPr>
            <w:tcW w:w="1418" w:type="dxa"/>
          </w:tcPr>
          <w:p w:rsidR="00CE4F74" w:rsidRPr="00DA4DDC" w:rsidRDefault="00CE4F74" w:rsidP="00226DDE">
            <w:pPr>
              <w:ind w:left="34" w:right="34"/>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4 (2.3%)</w:t>
            </w:r>
          </w:p>
        </w:tc>
        <w:tc>
          <w:tcPr>
            <w:tcW w:w="1276" w:type="dxa"/>
          </w:tcPr>
          <w:p w:rsidR="00CE4F74" w:rsidRPr="00DA4DDC" w:rsidRDefault="00CE4F74" w:rsidP="00226DDE">
            <w:pPr>
              <w:ind w:left="34" w:right="34"/>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w:t>
            </w:r>
          </w:p>
        </w:tc>
        <w:tc>
          <w:tcPr>
            <w:tcW w:w="1275" w:type="dxa"/>
          </w:tcPr>
          <w:p w:rsidR="00CE4F74" w:rsidRPr="00DA4DDC" w:rsidRDefault="00CE4F74" w:rsidP="00226DDE">
            <w:pPr>
              <w:ind w:left="33" w:right="33"/>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2.326</w:t>
            </w:r>
          </w:p>
        </w:tc>
        <w:tc>
          <w:tcPr>
            <w:tcW w:w="1276" w:type="dxa"/>
          </w:tcPr>
          <w:p w:rsidR="00CE4F74" w:rsidRPr="00DA4DDC" w:rsidRDefault="00CE4F74" w:rsidP="00226DDE">
            <w:pPr>
              <w:tabs>
                <w:tab w:val="left" w:pos="1026"/>
              </w:tabs>
              <w:ind w:left="0" w:right="34"/>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0.028, 5.913</w:t>
            </w:r>
          </w:p>
        </w:tc>
        <w:tc>
          <w:tcPr>
            <w:tcW w:w="1418" w:type="dxa"/>
          </w:tcPr>
          <w:p w:rsidR="00CE4F74" w:rsidRPr="00DA4DDC" w:rsidRDefault="00CE4F74" w:rsidP="00226DDE">
            <w:pPr>
              <w:ind w:left="34" w:right="34"/>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0.048</w:t>
            </w:r>
          </w:p>
        </w:tc>
      </w:tr>
      <w:tr w:rsidR="00CE4F74" w:rsidRPr="00C31183" w:rsidTr="00226DDE">
        <w:tc>
          <w:tcPr>
            <w:cnfStyle w:val="001000000000" w:firstRow="0" w:lastRow="0" w:firstColumn="1" w:lastColumn="0" w:oddVBand="0" w:evenVBand="0" w:oddHBand="0" w:evenHBand="0" w:firstRowFirstColumn="0" w:firstRowLastColumn="0" w:lastRowFirstColumn="0" w:lastRowLastColumn="0"/>
            <w:tcW w:w="2376" w:type="dxa"/>
          </w:tcPr>
          <w:p w:rsidR="00CE4F74" w:rsidRPr="00DA4DDC" w:rsidRDefault="00CE4F74" w:rsidP="00226DDE">
            <w:pPr>
              <w:ind w:left="0" w:right="0"/>
              <w:rPr>
                <w:color w:val="000000"/>
                <w:lang w:eastAsia="ja-JP"/>
              </w:rPr>
            </w:pPr>
            <w:r w:rsidRPr="00DA4DDC">
              <w:rPr>
                <w:color w:val="000000"/>
                <w:lang w:eastAsia="ja-JP"/>
              </w:rPr>
              <w:t>ELEVATED TRANSAMINASES and HEPATOTOXICITY</w:t>
            </w:r>
          </w:p>
        </w:tc>
        <w:tc>
          <w:tcPr>
            <w:tcW w:w="1418" w:type="dxa"/>
          </w:tcPr>
          <w:p w:rsidR="00CE4F74" w:rsidRPr="00DA4DDC" w:rsidRDefault="00CE4F74" w:rsidP="00226DDE">
            <w:pPr>
              <w:ind w:left="34" w:right="34"/>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28 (16.3%)</w:t>
            </w:r>
          </w:p>
        </w:tc>
        <w:tc>
          <w:tcPr>
            <w:tcW w:w="1276" w:type="dxa"/>
          </w:tcPr>
          <w:p w:rsidR="00CE4F74" w:rsidRPr="00DA4DDC" w:rsidRDefault="00CE4F74" w:rsidP="00226DDE">
            <w:pPr>
              <w:ind w:left="34" w:right="34"/>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4 (2.3%)</w:t>
            </w:r>
          </w:p>
        </w:tc>
        <w:tc>
          <w:tcPr>
            <w:tcW w:w="1275" w:type="dxa"/>
          </w:tcPr>
          <w:p w:rsidR="00CE4F74" w:rsidRPr="00DA4DDC" w:rsidRDefault="00CE4F74" w:rsidP="00226DDE">
            <w:pPr>
              <w:ind w:left="33" w:right="33"/>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13.940</w:t>
            </w:r>
          </w:p>
        </w:tc>
        <w:tc>
          <w:tcPr>
            <w:tcW w:w="1276" w:type="dxa"/>
          </w:tcPr>
          <w:p w:rsidR="00CE4F74" w:rsidRPr="00DA4DDC" w:rsidRDefault="00CE4F74" w:rsidP="00226DDE">
            <w:pPr>
              <w:tabs>
                <w:tab w:val="left" w:pos="1026"/>
              </w:tabs>
              <w:ind w:left="0" w:right="34"/>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7.719, 20.557</w:t>
            </w:r>
          </w:p>
        </w:tc>
        <w:tc>
          <w:tcPr>
            <w:tcW w:w="1418" w:type="dxa"/>
          </w:tcPr>
          <w:p w:rsidR="00CE4F74" w:rsidRPr="00DA4DDC" w:rsidRDefault="00CE4F74" w:rsidP="00226DDE">
            <w:pPr>
              <w:ind w:left="34" w:right="34"/>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&lt; 0.001</w:t>
            </w:r>
          </w:p>
        </w:tc>
      </w:tr>
      <w:tr w:rsidR="00CE4F74" w:rsidRPr="00C31183" w:rsidTr="00226DDE">
        <w:tc>
          <w:tcPr>
            <w:cnfStyle w:val="001000000000" w:firstRow="0" w:lastRow="0" w:firstColumn="1" w:lastColumn="0" w:oddVBand="0" w:evenVBand="0" w:oddHBand="0" w:evenHBand="0" w:firstRowFirstColumn="0" w:firstRowLastColumn="0" w:lastRowFirstColumn="0" w:lastRowLastColumn="0"/>
            <w:tcW w:w="2376" w:type="dxa"/>
          </w:tcPr>
          <w:p w:rsidR="00CE4F74" w:rsidRPr="00DA4DDC" w:rsidRDefault="00CE4F74" w:rsidP="00226DDE">
            <w:pPr>
              <w:ind w:left="0" w:right="0"/>
              <w:rPr>
                <w:color w:val="000000"/>
                <w:lang w:eastAsia="ja-JP"/>
              </w:rPr>
            </w:pPr>
            <w:r w:rsidRPr="00DA4DDC">
              <w:rPr>
                <w:color w:val="000000"/>
                <w:lang w:eastAsia="ja-JP"/>
              </w:rPr>
              <w:t>PNEUMONITIS</w:t>
            </w:r>
          </w:p>
        </w:tc>
        <w:tc>
          <w:tcPr>
            <w:tcW w:w="1418" w:type="dxa"/>
          </w:tcPr>
          <w:p w:rsidR="00CE4F74" w:rsidRPr="00DA4DDC" w:rsidRDefault="00CE4F74" w:rsidP="00226DDE">
            <w:pPr>
              <w:ind w:left="34" w:right="34"/>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4 (2.3%)</w:t>
            </w:r>
          </w:p>
        </w:tc>
        <w:tc>
          <w:tcPr>
            <w:tcW w:w="1276" w:type="dxa"/>
          </w:tcPr>
          <w:p w:rsidR="00CE4F74" w:rsidRPr="00DA4DDC" w:rsidRDefault="00CE4F74" w:rsidP="00226DDE">
            <w:pPr>
              <w:ind w:left="34" w:right="34"/>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w:t>
            </w:r>
          </w:p>
        </w:tc>
        <w:tc>
          <w:tcPr>
            <w:tcW w:w="1275" w:type="dxa"/>
          </w:tcPr>
          <w:p w:rsidR="00CE4F74" w:rsidRPr="00DA4DDC" w:rsidRDefault="00CE4F74" w:rsidP="00226DDE">
            <w:pPr>
              <w:ind w:left="33" w:right="33"/>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2.326</w:t>
            </w:r>
          </w:p>
        </w:tc>
        <w:tc>
          <w:tcPr>
            <w:tcW w:w="1276" w:type="dxa"/>
          </w:tcPr>
          <w:p w:rsidR="00CE4F74" w:rsidRPr="00DA4DDC" w:rsidRDefault="00CE4F74" w:rsidP="00226DDE">
            <w:pPr>
              <w:tabs>
                <w:tab w:val="left" w:pos="1026"/>
              </w:tabs>
              <w:ind w:left="0" w:right="34"/>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0.028, 5.913</w:t>
            </w:r>
          </w:p>
        </w:tc>
        <w:tc>
          <w:tcPr>
            <w:tcW w:w="1418" w:type="dxa"/>
          </w:tcPr>
          <w:p w:rsidR="00CE4F74" w:rsidRPr="00DA4DDC" w:rsidRDefault="00CE4F74" w:rsidP="00226DDE">
            <w:pPr>
              <w:ind w:left="34" w:right="34"/>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0.048</w:t>
            </w:r>
          </w:p>
        </w:tc>
      </w:tr>
      <w:tr w:rsidR="00CE4F74" w:rsidRPr="00C31183" w:rsidTr="00226DDE">
        <w:tc>
          <w:tcPr>
            <w:cnfStyle w:val="001000000000" w:firstRow="0" w:lastRow="0" w:firstColumn="1" w:lastColumn="0" w:oddVBand="0" w:evenVBand="0" w:oddHBand="0" w:evenHBand="0" w:firstRowFirstColumn="0" w:firstRowLastColumn="0" w:lastRowFirstColumn="0" w:lastRowLastColumn="0"/>
            <w:tcW w:w="2376" w:type="dxa"/>
          </w:tcPr>
          <w:p w:rsidR="00CE4F74" w:rsidRPr="00DA4DDC" w:rsidRDefault="00CE4F74" w:rsidP="00226DDE">
            <w:pPr>
              <w:ind w:left="0" w:right="0"/>
              <w:rPr>
                <w:color w:val="000000"/>
                <w:lang w:eastAsia="ja-JP"/>
              </w:rPr>
            </w:pPr>
            <w:r w:rsidRPr="00DA4DDC">
              <w:rPr>
                <w:color w:val="000000"/>
                <w:lang w:eastAsia="ja-JP"/>
              </w:rPr>
              <w:t>QT</w:t>
            </w:r>
            <w:r w:rsidRPr="00DA4DDC">
              <w:rPr>
                <w:color w:val="000000"/>
                <w:vertAlign w:val="subscript"/>
                <w:lang w:eastAsia="ja-JP"/>
              </w:rPr>
              <w:t>C</w:t>
            </w:r>
            <w:r w:rsidRPr="00DA4DDC">
              <w:rPr>
                <w:color w:val="000000"/>
                <w:lang w:eastAsia="ja-JP"/>
              </w:rPr>
              <w:t xml:space="preserve"> prolongation</w:t>
            </w:r>
          </w:p>
        </w:tc>
        <w:tc>
          <w:tcPr>
            <w:tcW w:w="1418" w:type="dxa"/>
          </w:tcPr>
          <w:p w:rsidR="00CE4F74" w:rsidRPr="00DA4DDC" w:rsidRDefault="00CE4F74" w:rsidP="00226DDE">
            <w:pPr>
              <w:ind w:left="34" w:right="34"/>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6 (3.5%)</w:t>
            </w:r>
          </w:p>
        </w:tc>
        <w:tc>
          <w:tcPr>
            <w:tcW w:w="1276" w:type="dxa"/>
          </w:tcPr>
          <w:p w:rsidR="00CE4F74" w:rsidRPr="00DA4DDC" w:rsidRDefault="00CE4F74" w:rsidP="00226DDE">
            <w:pPr>
              <w:ind w:left="34" w:right="34"/>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w:t>
            </w:r>
          </w:p>
        </w:tc>
        <w:tc>
          <w:tcPr>
            <w:tcW w:w="1275" w:type="dxa"/>
          </w:tcPr>
          <w:p w:rsidR="00CE4F74" w:rsidRPr="00DA4DDC" w:rsidRDefault="00CE4F74" w:rsidP="00226DDE">
            <w:pPr>
              <w:ind w:left="33" w:right="33"/>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3.488</w:t>
            </w:r>
          </w:p>
        </w:tc>
        <w:tc>
          <w:tcPr>
            <w:tcW w:w="1276" w:type="dxa"/>
          </w:tcPr>
          <w:p w:rsidR="00CE4F74" w:rsidRPr="00DA4DDC" w:rsidRDefault="00CE4F74" w:rsidP="00226DDE">
            <w:pPr>
              <w:tabs>
                <w:tab w:val="left" w:pos="1026"/>
              </w:tabs>
              <w:ind w:left="0" w:right="34"/>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0.947, 7.484</w:t>
            </w:r>
          </w:p>
        </w:tc>
        <w:tc>
          <w:tcPr>
            <w:tcW w:w="1418" w:type="dxa"/>
          </w:tcPr>
          <w:p w:rsidR="00CE4F74" w:rsidRPr="00DA4DDC" w:rsidRDefault="00CE4F74" w:rsidP="00226DDE">
            <w:pPr>
              <w:ind w:left="34" w:right="34"/>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0.014</w:t>
            </w:r>
          </w:p>
        </w:tc>
      </w:tr>
    </w:tbl>
    <w:p w:rsidR="00CE4F74" w:rsidRPr="007F4ADA" w:rsidRDefault="00CE4F74" w:rsidP="00226DDE">
      <w:pPr>
        <w:pStyle w:val="TableDescription"/>
        <w:rPr>
          <w:lang w:eastAsia="ja-JP"/>
        </w:rPr>
      </w:pPr>
      <w:r w:rsidRPr="007F4ADA">
        <w:rPr>
          <w:lang w:eastAsia="ja-JP"/>
        </w:rPr>
        <w:lastRenderedPageBreak/>
        <w:t xml:space="preserve">Note: P-values and confidence intervals (CIs) are not adjusted for multiplicity and should be used for screening purpose only. 95% Confidence intervals are provided to help gauge the precision of the estimates for Risk Difference. Risk Difference (Risk ∆) is computed as </w:t>
      </w:r>
      <w:proofErr w:type="spellStart"/>
      <w:r w:rsidRPr="007F4ADA">
        <w:rPr>
          <w:lang w:eastAsia="ja-JP"/>
        </w:rPr>
        <w:t>Crizotinib</w:t>
      </w:r>
      <w:proofErr w:type="spellEnd"/>
      <w:r w:rsidRPr="007F4ADA">
        <w:rPr>
          <w:lang w:eastAsia="ja-JP"/>
        </w:rPr>
        <w:t xml:space="preserve"> (</w:t>
      </w:r>
      <w:r w:rsidR="00226DDE">
        <w:rPr>
          <w:lang w:eastAsia="ja-JP"/>
        </w:rPr>
        <w:t>CZT) versus Chemotherapy (CHM).</w:t>
      </w:r>
    </w:p>
    <w:p w:rsidR="00CE4F74" w:rsidRPr="00C31183" w:rsidRDefault="00CE4F74" w:rsidP="00226DDE">
      <w:pPr>
        <w:rPr>
          <w:lang w:eastAsia="ja-JP"/>
        </w:rPr>
      </w:pPr>
      <w:r w:rsidRPr="00C31183">
        <w:rPr>
          <w:lang w:eastAsia="ja-JP"/>
        </w:rPr>
        <w:t xml:space="preserve">Tier-1 </w:t>
      </w:r>
      <w:r>
        <w:rPr>
          <w:lang w:eastAsia="ja-JP"/>
        </w:rPr>
        <w:t xml:space="preserve">treatment-related </w:t>
      </w:r>
      <w:r w:rsidRPr="00C31183">
        <w:rPr>
          <w:lang w:eastAsia="ja-JP"/>
        </w:rPr>
        <w:t xml:space="preserve">AEs of special interest that occurred statistically significantly more frequently in the </w:t>
      </w:r>
      <w:proofErr w:type="spellStart"/>
      <w:r w:rsidRPr="00C31183">
        <w:rPr>
          <w:lang w:eastAsia="ja-JP"/>
        </w:rPr>
        <w:t>crizotinib</w:t>
      </w:r>
      <w:proofErr w:type="spellEnd"/>
      <w:r w:rsidRPr="00C31183">
        <w:rPr>
          <w:lang w:eastAsia="ja-JP"/>
        </w:rPr>
        <w:t xml:space="preserve"> arm than in the chemotherapy arm were constipation, diarrhoea, ELEVATED TRANSAMINASES and HEPATOTOXICITY, NAUSEA and VOMITING and </w:t>
      </w:r>
      <w:proofErr w:type="spellStart"/>
      <w:r w:rsidRPr="00C31183">
        <w:rPr>
          <w:lang w:eastAsia="ja-JP"/>
        </w:rPr>
        <w:t>QTc</w:t>
      </w:r>
      <w:proofErr w:type="spellEnd"/>
      <w:r w:rsidRPr="00C31183">
        <w:rPr>
          <w:lang w:eastAsia="ja-JP"/>
        </w:rPr>
        <w:t xml:space="preserve"> prolongation. Fatigue was the only Tier-1 TREAE of special interest that occurred statistically significantly more frequently in the chemotherapy arm than in the </w:t>
      </w:r>
      <w:proofErr w:type="spellStart"/>
      <w:r w:rsidRPr="00C31183">
        <w:rPr>
          <w:lang w:eastAsia="ja-JP"/>
        </w:rPr>
        <w:t>crizotin</w:t>
      </w:r>
      <w:r w:rsidR="00226DDE">
        <w:rPr>
          <w:lang w:eastAsia="ja-JP"/>
        </w:rPr>
        <w:t>ib</w:t>
      </w:r>
      <w:proofErr w:type="spellEnd"/>
      <w:r w:rsidR="00226DDE">
        <w:rPr>
          <w:lang w:eastAsia="ja-JP"/>
        </w:rPr>
        <w:t xml:space="preserve"> arm.</w:t>
      </w:r>
    </w:p>
    <w:p w:rsidR="00CE4F74" w:rsidRPr="00C31183" w:rsidRDefault="00CE4F74" w:rsidP="00226DDE">
      <w:pPr>
        <w:rPr>
          <w:lang w:eastAsia="ja-JP"/>
        </w:rPr>
      </w:pPr>
      <w:r w:rsidRPr="00C31183">
        <w:rPr>
          <w:lang w:eastAsia="ja-JP"/>
        </w:rPr>
        <w:t xml:space="preserve">Tier-1 Grade 3/4/5 </w:t>
      </w:r>
      <w:r w:rsidRPr="005032F6">
        <w:rPr>
          <w:lang w:eastAsia="ja-JP"/>
        </w:rPr>
        <w:t xml:space="preserve"> </w:t>
      </w:r>
      <w:r>
        <w:rPr>
          <w:lang w:eastAsia="ja-JP"/>
        </w:rPr>
        <w:t xml:space="preserve">treatment-related </w:t>
      </w:r>
      <w:r w:rsidRPr="00C31183">
        <w:rPr>
          <w:lang w:eastAsia="ja-JP"/>
        </w:rPr>
        <w:t>AEs</w:t>
      </w:r>
      <w:r w:rsidRPr="00C31183">
        <w:rPr>
          <w:i/>
          <w:lang w:eastAsia="ja-JP"/>
        </w:rPr>
        <w:t xml:space="preserve"> </w:t>
      </w:r>
      <w:r w:rsidRPr="00C31183">
        <w:rPr>
          <w:lang w:eastAsia="ja-JP"/>
        </w:rPr>
        <w:t xml:space="preserve">of special interest that occurred statistically significantly more frequently in the </w:t>
      </w:r>
      <w:proofErr w:type="spellStart"/>
      <w:r w:rsidRPr="00C31183">
        <w:rPr>
          <w:lang w:eastAsia="ja-JP"/>
        </w:rPr>
        <w:t>crizotinib</w:t>
      </w:r>
      <w:proofErr w:type="spellEnd"/>
      <w:r w:rsidRPr="00C31183">
        <w:rPr>
          <w:lang w:eastAsia="ja-JP"/>
        </w:rPr>
        <w:t xml:space="preserve"> arm than in the chemotherapy arm were ELEVATED TRANSAMINASES and HEPATOTOXICITY and </w:t>
      </w:r>
      <w:proofErr w:type="spellStart"/>
      <w:r w:rsidRPr="00C31183">
        <w:rPr>
          <w:lang w:eastAsia="ja-JP"/>
        </w:rPr>
        <w:t>QTc</w:t>
      </w:r>
      <w:proofErr w:type="spellEnd"/>
      <w:r w:rsidRPr="00C31183">
        <w:rPr>
          <w:lang w:eastAsia="ja-JP"/>
        </w:rPr>
        <w:t xml:space="preserve"> prolongation. LEUKOPENIA was the only Tier 1 TRAE of special interest that occurred statistically significantly more frequently in the chemotherapy arm than in the </w:t>
      </w:r>
      <w:proofErr w:type="spellStart"/>
      <w:r w:rsidRPr="00C31183">
        <w:rPr>
          <w:lang w:eastAsia="ja-JP"/>
        </w:rPr>
        <w:t>crizotinib</w:t>
      </w:r>
      <w:proofErr w:type="spellEnd"/>
      <w:r w:rsidRPr="00C31183">
        <w:rPr>
          <w:lang w:eastAsia="ja-JP"/>
        </w:rPr>
        <w:t xml:space="preserve"> arm.</w:t>
      </w:r>
    </w:p>
    <w:p w:rsidR="00CE4F74" w:rsidRPr="00C31183" w:rsidRDefault="00CE4F74" w:rsidP="00226DDE">
      <w:pPr>
        <w:pStyle w:val="Heading6"/>
        <w:numPr>
          <w:ilvl w:val="0"/>
          <w:numId w:val="0"/>
        </w:numPr>
        <w:ind w:left="1702" w:hanging="1418"/>
        <w:rPr>
          <w:lang w:eastAsia="ja-JP"/>
        </w:rPr>
      </w:pPr>
      <w:r w:rsidRPr="00C31183">
        <w:rPr>
          <w:lang w:eastAsia="ja-JP"/>
        </w:rPr>
        <w:t>(b)</w:t>
      </w:r>
      <w:r w:rsidRPr="00C31183">
        <w:rPr>
          <w:lang w:eastAsia="ja-JP"/>
        </w:rPr>
        <w:tab/>
        <w:t>Tier-2 adverse events</w:t>
      </w:r>
    </w:p>
    <w:p w:rsidR="00CE4F74" w:rsidRPr="00C31183" w:rsidRDefault="00CE4F74" w:rsidP="00226DDE">
      <w:pPr>
        <w:rPr>
          <w:lang w:eastAsia="ja-JP"/>
        </w:rPr>
      </w:pPr>
      <w:r w:rsidRPr="00C31183">
        <w:rPr>
          <w:lang w:eastAsia="ja-JP"/>
        </w:rPr>
        <w:t xml:space="preserve">Tier-2 events were events that were not Tier-1 but were “common”. A Tier-2 event was defined as an adverse event occurring in least 10% of patients for all grades in any treatment group. Tier-2 TEAEs (all causality) of special interest occurring in </w:t>
      </w:r>
      <w:r>
        <w:rPr>
          <w:lang w:eastAsia="ja-JP"/>
        </w:rPr>
        <w:t>≥</w:t>
      </w:r>
      <w:r w:rsidRPr="00C31183">
        <w:rPr>
          <w:lang w:eastAsia="ja-JP"/>
        </w:rPr>
        <w:t xml:space="preserve">10% of patients in any treatment group by preferred term and reported statistically significantly more commonly in patients in the </w:t>
      </w:r>
      <w:proofErr w:type="spellStart"/>
      <w:r w:rsidRPr="00C31183">
        <w:rPr>
          <w:lang w:eastAsia="ja-JP"/>
        </w:rPr>
        <w:t>crizotinib</w:t>
      </w:r>
      <w:proofErr w:type="spellEnd"/>
      <w:r w:rsidRPr="00C31183">
        <w:rPr>
          <w:lang w:eastAsia="ja-JP"/>
        </w:rPr>
        <w:t xml:space="preserve"> arm</w:t>
      </w:r>
      <w:r>
        <w:rPr>
          <w:lang w:eastAsia="ja-JP"/>
        </w:rPr>
        <w:t xml:space="preserve"> versus </w:t>
      </w:r>
      <w:r w:rsidRPr="00C31183">
        <w:rPr>
          <w:lang w:eastAsia="ja-JP"/>
        </w:rPr>
        <w:t>the chemotherapy arm were visual impairment (47.1%</w:t>
      </w:r>
      <w:r>
        <w:rPr>
          <w:lang w:eastAsia="ja-JP"/>
        </w:rPr>
        <w:t xml:space="preserve"> versus </w:t>
      </w:r>
      <w:r w:rsidRPr="00C31183">
        <w:rPr>
          <w:lang w:eastAsia="ja-JP"/>
        </w:rPr>
        <w:t>5.3%), peripheral oedema (25.6%</w:t>
      </w:r>
      <w:r>
        <w:rPr>
          <w:lang w:eastAsia="ja-JP"/>
        </w:rPr>
        <w:t xml:space="preserve"> versus </w:t>
      </w:r>
      <w:r w:rsidRPr="00C31183">
        <w:rPr>
          <w:lang w:eastAsia="ja-JP"/>
        </w:rPr>
        <w:t xml:space="preserve">8.2%), </w:t>
      </w:r>
      <w:proofErr w:type="spellStart"/>
      <w:r w:rsidRPr="00C31183">
        <w:rPr>
          <w:lang w:eastAsia="ja-JP"/>
        </w:rPr>
        <w:t>dysgeusia</w:t>
      </w:r>
      <w:proofErr w:type="spellEnd"/>
      <w:r w:rsidRPr="00C31183">
        <w:rPr>
          <w:lang w:eastAsia="ja-JP"/>
        </w:rPr>
        <w:t xml:space="preserve"> (25.6%</w:t>
      </w:r>
      <w:r>
        <w:rPr>
          <w:lang w:eastAsia="ja-JP"/>
        </w:rPr>
        <w:t xml:space="preserve"> versus </w:t>
      </w:r>
      <w:r w:rsidRPr="00C31183">
        <w:rPr>
          <w:lang w:eastAsia="ja-JP"/>
        </w:rPr>
        <w:t>9.4%), dizziness (16.3%</w:t>
      </w:r>
      <w:r>
        <w:rPr>
          <w:lang w:eastAsia="ja-JP"/>
        </w:rPr>
        <w:t xml:space="preserve"> versus </w:t>
      </w:r>
      <w:r w:rsidRPr="00C31183">
        <w:rPr>
          <w:lang w:eastAsia="ja-JP"/>
        </w:rPr>
        <w:t xml:space="preserve">7.0%) and </w:t>
      </w:r>
      <w:proofErr w:type="spellStart"/>
      <w:r w:rsidRPr="00C31183">
        <w:rPr>
          <w:lang w:eastAsia="ja-JP"/>
        </w:rPr>
        <w:t>nasopharyngitis</w:t>
      </w:r>
      <w:proofErr w:type="spellEnd"/>
      <w:r w:rsidRPr="00C31183">
        <w:rPr>
          <w:lang w:eastAsia="ja-JP"/>
        </w:rPr>
        <w:t xml:space="preserve"> (14.0%</w:t>
      </w:r>
      <w:r>
        <w:rPr>
          <w:lang w:eastAsia="ja-JP"/>
        </w:rPr>
        <w:t xml:space="preserve"> versus </w:t>
      </w:r>
      <w:r w:rsidRPr="00C31183">
        <w:rPr>
          <w:lang w:eastAsia="ja-JP"/>
        </w:rPr>
        <w:t xml:space="preserve">3.5%). Tier-2 TEAEs (all causality) of special interest occurring in </w:t>
      </w:r>
      <w:r>
        <w:rPr>
          <w:lang w:eastAsia="ja-JP"/>
        </w:rPr>
        <w:t>≥</w:t>
      </w:r>
      <w:r w:rsidRPr="00C31183">
        <w:rPr>
          <w:lang w:eastAsia="ja-JP"/>
        </w:rPr>
        <w:t>10% of patients in any treatment group by preferred term and reported statistically significantly more commonly in patients in the chemotherapy arm</w:t>
      </w:r>
      <w:r>
        <w:rPr>
          <w:lang w:eastAsia="ja-JP"/>
        </w:rPr>
        <w:t xml:space="preserve"> versus </w:t>
      </w:r>
      <w:r w:rsidRPr="00C31183">
        <w:rPr>
          <w:lang w:eastAsia="ja-JP"/>
        </w:rPr>
        <w:t xml:space="preserve">the </w:t>
      </w:r>
      <w:proofErr w:type="spellStart"/>
      <w:r w:rsidRPr="00C31183">
        <w:rPr>
          <w:lang w:eastAsia="ja-JP"/>
        </w:rPr>
        <w:t>crizotinib</w:t>
      </w:r>
      <w:proofErr w:type="spellEnd"/>
      <w:r w:rsidRPr="00C31183">
        <w:rPr>
          <w:lang w:eastAsia="ja-JP"/>
        </w:rPr>
        <w:t xml:space="preserve"> arm were alopecia (20.5%</w:t>
      </w:r>
      <w:r>
        <w:rPr>
          <w:lang w:eastAsia="ja-JP"/>
        </w:rPr>
        <w:t xml:space="preserve"> versus </w:t>
      </w:r>
      <w:r w:rsidRPr="00C31183">
        <w:rPr>
          <w:lang w:eastAsia="ja-JP"/>
        </w:rPr>
        <w:t>8.1%), rash (17.0%</w:t>
      </w:r>
      <w:r>
        <w:rPr>
          <w:lang w:eastAsia="ja-JP"/>
        </w:rPr>
        <w:t xml:space="preserve"> versus </w:t>
      </w:r>
      <w:r w:rsidRPr="00C31183">
        <w:rPr>
          <w:lang w:eastAsia="ja-JP"/>
        </w:rPr>
        <w:t>8.7%) and myalgia (10.5%</w:t>
      </w:r>
      <w:r>
        <w:rPr>
          <w:lang w:eastAsia="ja-JP"/>
        </w:rPr>
        <w:t xml:space="preserve"> versus </w:t>
      </w:r>
      <w:r w:rsidRPr="00C31183">
        <w:rPr>
          <w:lang w:eastAsia="ja-JP"/>
        </w:rPr>
        <w:t xml:space="preserve">1.7%). Tier-2 TEAEs (all causality) of special interest occurring in </w:t>
      </w:r>
      <w:r>
        <w:rPr>
          <w:lang w:eastAsia="ja-JP"/>
        </w:rPr>
        <w:t>≥</w:t>
      </w:r>
      <w:r w:rsidRPr="00C31183">
        <w:rPr>
          <w:lang w:eastAsia="ja-JP"/>
        </w:rPr>
        <w:t xml:space="preserve">10% of patients in any treatment group by </w:t>
      </w:r>
      <w:proofErr w:type="spellStart"/>
      <w:r w:rsidRPr="00C31183">
        <w:rPr>
          <w:lang w:eastAsia="ja-JP"/>
        </w:rPr>
        <w:t>MedDRA</w:t>
      </w:r>
      <w:proofErr w:type="spellEnd"/>
      <w:r w:rsidRPr="00C31183">
        <w:rPr>
          <w:lang w:eastAsia="ja-JP"/>
        </w:rPr>
        <w:t xml:space="preserve"> system organ class and preferred term </w:t>
      </w:r>
      <w:r>
        <w:rPr>
          <w:lang w:eastAsia="ja-JP"/>
        </w:rPr>
        <w:t>were</w:t>
      </w:r>
      <w:r w:rsidRPr="00C31183">
        <w:rPr>
          <w:lang w:eastAsia="ja-JP"/>
        </w:rPr>
        <w:t xml:space="preserve"> provided</w:t>
      </w:r>
      <w:r>
        <w:rPr>
          <w:lang w:eastAsia="ja-JP"/>
        </w:rPr>
        <w:t xml:space="preserve"> in a table</w:t>
      </w:r>
      <w:r w:rsidR="00226DDE">
        <w:rPr>
          <w:lang w:eastAsia="ja-JP"/>
        </w:rPr>
        <w:t>.</w:t>
      </w:r>
    </w:p>
    <w:p w:rsidR="00CE4F74" w:rsidRPr="00C31183" w:rsidRDefault="00CE4F74" w:rsidP="00226DDE">
      <w:pPr>
        <w:rPr>
          <w:lang w:eastAsia="ja-JP"/>
        </w:rPr>
      </w:pPr>
      <w:r w:rsidRPr="00C31183">
        <w:rPr>
          <w:lang w:eastAsia="ja-JP"/>
        </w:rPr>
        <w:t xml:space="preserve">Tier-2 </w:t>
      </w:r>
      <w:r>
        <w:rPr>
          <w:lang w:eastAsia="ja-JP"/>
        </w:rPr>
        <w:t xml:space="preserve">treatment-related </w:t>
      </w:r>
      <w:r w:rsidRPr="00C31183">
        <w:rPr>
          <w:lang w:eastAsia="ja-JP"/>
        </w:rPr>
        <w:t xml:space="preserve">AEs of special interest occurring in </w:t>
      </w:r>
      <w:r>
        <w:rPr>
          <w:lang w:eastAsia="ja-JP"/>
        </w:rPr>
        <w:t>≥</w:t>
      </w:r>
      <w:r w:rsidRPr="00C31183">
        <w:rPr>
          <w:lang w:eastAsia="ja-JP"/>
        </w:rPr>
        <w:t xml:space="preserve">10% of patients in any treatment group by preferred term and reported statistically significantly more commonly in patients in the </w:t>
      </w:r>
      <w:proofErr w:type="spellStart"/>
      <w:r w:rsidRPr="00C31183">
        <w:rPr>
          <w:lang w:eastAsia="ja-JP"/>
        </w:rPr>
        <w:t>crizotinib</w:t>
      </w:r>
      <w:proofErr w:type="spellEnd"/>
      <w:r w:rsidRPr="00C31183">
        <w:rPr>
          <w:lang w:eastAsia="ja-JP"/>
        </w:rPr>
        <w:t xml:space="preserve"> arm</w:t>
      </w:r>
      <w:r>
        <w:rPr>
          <w:lang w:eastAsia="ja-JP"/>
        </w:rPr>
        <w:t xml:space="preserve"> versus </w:t>
      </w:r>
      <w:r w:rsidRPr="00C31183">
        <w:rPr>
          <w:lang w:eastAsia="ja-JP"/>
        </w:rPr>
        <w:t>the chemotherapy arm were visual impairment (47.1%</w:t>
      </w:r>
      <w:r>
        <w:rPr>
          <w:lang w:eastAsia="ja-JP"/>
        </w:rPr>
        <w:t xml:space="preserve"> versus </w:t>
      </w:r>
      <w:r w:rsidRPr="00C31183">
        <w:rPr>
          <w:lang w:eastAsia="ja-JP"/>
        </w:rPr>
        <w:t xml:space="preserve">1.8%), </w:t>
      </w:r>
      <w:proofErr w:type="spellStart"/>
      <w:r w:rsidRPr="00C31183">
        <w:rPr>
          <w:lang w:eastAsia="ja-JP"/>
        </w:rPr>
        <w:t>dysgeusia</w:t>
      </w:r>
      <w:proofErr w:type="spellEnd"/>
      <w:r w:rsidRPr="00C31183">
        <w:rPr>
          <w:lang w:eastAsia="ja-JP"/>
        </w:rPr>
        <w:t xml:space="preserve"> (25.0%</w:t>
      </w:r>
      <w:r>
        <w:rPr>
          <w:lang w:eastAsia="ja-JP"/>
        </w:rPr>
        <w:t xml:space="preserve"> versus </w:t>
      </w:r>
      <w:r w:rsidRPr="00C31183">
        <w:rPr>
          <w:lang w:eastAsia="ja-JP"/>
        </w:rPr>
        <w:t>9.4%) and peripheral oedema (21.5%</w:t>
      </w:r>
      <w:r>
        <w:rPr>
          <w:lang w:eastAsia="ja-JP"/>
        </w:rPr>
        <w:t xml:space="preserve"> versus </w:t>
      </w:r>
      <w:r w:rsidRPr="00C31183">
        <w:rPr>
          <w:lang w:eastAsia="ja-JP"/>
        </w:rPr>
        <w:t xml:space="preserve">4.1%). Tier-2 TRAEs of special interest occurring in </w:t>
      </w:r>
      <w:r>
        <w:rPr>
          <w:lang w:eastAsia="ja-JP"/>
        </w:rPr>
        <w:t>≥</w:t>
      </w:r>
      <w:r w:rsidRPr="00C31183">
        <w:rPr>
          <w:lang w:eastAsia="ja-JP"/>
        </w:rPr>
        <w:t>10% of patients in any treatment group by preferred term and reported statistically significantly more commonly in patients in the chemotherapy arm</w:t>
      </w:r>
      <w:r>
        <w:rPr>
          <w:lang w:eastAsia="ja-JP"/>
        </w:rPr>
        <w:t xml:space="preserve"> versus </w:t>
      </w:r>
      <w:r w:rsidRPr="00C31183">
        <w:rPr>
          <w:lang w:eastAsia="ja-JP"/>
        </w:rPr>
        <w:t xml:space="preserve">the </w:t>
      </w:r>
      <w:proofErr w:type="spellStart"/>
      <w:r w:rsidRPr="00C31183">
        <w:rPr>
          <w:lang w:eastAsia="ja-JP"/>
        </w:rPr>
        <w:t>crizotinib</w:t>
      </w:r>
      <w:proofErr w:type="spellEnd"/>
      <w:r w:rsidRPr="00C31183">
        <w:rPr>
          <w:lang w:eastAsia="ja-JP"/>
        </w:rPr>
        <w:t xml:space="preserve"> arm were alopecia (19.9%</w:t>
      </w:r>
      <w:r>
        <w:rPr>
          <w:lang w:eastAsia="ja-JP"/>
        </w:rPr>
        <w:t xml:space="preserve"> versus </w:t>
      </w:r>
      <w:r w:rsidRPr="00C31183">
        <w:rPr>
          <w:lang w:eastAsia="ja-JP"/>
        </w:rPr>
        <w:t>2.3%), rash (16.4%</w:t>
      </w:r>
      <w:r>
        <w:rPr>
          <w:lang w:eastAsia="ja-JP"/>
        </w:rPr>
        <w:t xml:space="preserve"> versus </w:t>
      </w:r>
      <w:r w:rsidRPr="00C31183">
        <w:rPr>
          <w:lang w:eastAsia="ja-JP"/>
        </w:rPr>
        <w:t>8.1%) and pyrexia (11.1%</w:t>
      </w:r>
      <w:r>
        <w:rPr>
          <w:lang w:eastAsia="ja-JP"/>
        </w:rPr>
        <w:t xml:space="preserve"> versus </w:t>
      </w:r>
      <w:r w:rsidRPr="00C31183">
        <w:rPr>
          <w:lang w:eastAsia="ja-JP"/>
        </w:rPr>
        <w:t>4.1%).</w:t>
      </w:r>
      <w:r>
        <w:rPr>
          <w:lang w:eastAsia="ja-JP"/>
        </w:rPr>
        <w:t xml:space="preserve"> </w:t>
      </w:r>
      <w:r w:rsidRPr="00C31183">
        <w:rPr>
          <w:lang w:eastAsia="ja-JP"/>
        </w:rPr>
        <w:t xml:space="preserve">Tier-2 TRAEs of special interest occurring in </w:t>
      </w:r>
      <w:r>
        <w:rPr>
          <w:lang w:eastAsia="ja-JP"/>
        </w:rPr>
        <w:t>≥</w:t>
      </w:r>
      <w:r w:rsidRPr="00C31183">
        <w:rPr>
          <w:lang w:eastAsia="ja-JP"/>
        </w:rPr>
        <w:t xml:space="preserve">10% of patients in any treatment group by </w:t>
      </w:r>
      <w:proofErr w:type="spellStart"/>
      <w:r w:rsidRPr="00C31183">
        <w:rPr>
          <w:lang w:eastAsia="ja-JP"/>
        </w:rPr>
        <w:t>MedDRA</w:t>
      </w:r>
      <w:proofErr w:type="spellEnd"/>
      <w:r w:rsidRPr="00C31183">
        <w:rPr>
          <w:lang w:eastAsia="ja-JP"/>
        </w:rPr>
        <w:t xml:space="preserve"> system organ class and preferred term </w:t>
      </w:r>
      <w:r>
        <w:rPr>
          <w:lang w:eastAsia="ja-JP"/>
        </w:rPr>
        <w:t>were</w:t>
      </w:r>
      <w:r w:rsidRPr="00C31183">
        <w:rPr>
          <w:lang w:eastAsia="ja-JP"/>
        </w:rPr>
        <w:t xml:space="preserve"> provided in </w:t>
      </w:r>
      <w:r>
        <w:rPr>
          <w:lang w:eastAsia="ja-JP"/>
        </w:rPr>
        <w:t>a t</w:t>
      </w:r>
      <w:r w:rsidR="00226DDE">
        <w:rPr>
          <w:lang w:eastAsia="ja-JP"/>
        </w:rPr>
        <w:t>able.</w:t>
      </w:r>
    </w:p>
    <w:p w:rsidR="00CE4F74" w:rsidRPr="00C31183" w:rsidRDefault="00CE4F74" w:rsidP="00226DDE">
      <w:pPr>
        <w:rPr>
          <w:lang w:eastAsia="ja-JP"/>
        </w:rPr>
      </w:pPr>
      <w:r w:rsidRPr="00C31183">
        <w:rPr>
          <w:lang w:eastAsia="ja-JP"/>
        </w:rPr>
        <w:t xml:space="preserve">For Grade 3/4/5 TEAEs (combined), a Tier-2 event was defined as an event occurring in at least 5% of patients in any treatment group. The only statistically significant Tier-2 Grade 3/4/5 TEAE (all causality) of special interest occurring in </w:t>
      </w:r>
      <w:r>
        <w:rPr>
          <w:lang w:eastAsia="ja-JP"/>
        </w:rPr>
        <w:t>≥</w:t>
      </w:r>
      <w:r w:rsidRPr="00C31183">
        <w:rPr>
          <w:lang w:eastAsia="ja-JP"/>
        </w:rPr>
        <w:t xml:space="preserve"> 5% of patients in any treatment group was disease progression, which occurred in 7.6% (13/172) of patients in the </w:t>
      </w:r>
      <w:proofErr w:type="spellStart"/>
      <w:r w:rsidRPr="00C31183">
        <w:rPr>
          <w:lang w:eastAsia="ja-JP"/>
        </w:rPr>
        <w:t>crizotinib</w:t>
      </w:r>
      <w:proofErr w:type="spellEnd"/>
      <w:r w:rsidRPr="00C31183">
        <w:rPr>
          <w:lang w:eastAsia="ja-JP"/>
        </w:rPr>
        <w:t xml:space="preserve"> arm and 1.8% (3/171) of pati</w:t>
      </w:r>
      <w:r w:rsidR="00226DDE">
        <w:rPr>
          <w:lang w:eastAsia="ja-JP"/>
        </w:rPr>
        <w:t>ents in the chemotherapy arm.</w:t>
      </w:r>
    </w:p>
    <w:p w:rsidR="00CE4F74" w:rsidRPr="00C31183" w:rsidRDefault="00CE4F74" w:rsidP="00226DDE">
      <w:pPr>
        <w:pStyle w:val="Heading6"/>
        <w:numPr>
          <w:ilvl w:val="0"/>
          <w:numId w:val="0"/>
        </w:numPr>
        <w:ind w:left="1702" w:hanging="1418"/>
        <w:rPr>
          <w:lang w:eastAsia="ja-JP"/>
        </w:rPr>
      </w:pPr>
      <w:r>
        <w:rPr>
          <w:lang w:eastAsia="ja-JP"/>
        </w:rPr>
        <w:t>(c)</w:t>
      </w:r>
      <w:r>
        <w:rPr>
          <w:lang w:eastAsia="ja-JP"/>
        </w:rPr>
        <w:tab/>
      </w:r>
      <w:r w:rsidR="00226DDE">
        <w:rPr>
          <w:lang w:eastAsia="ja-JP"/>
        </w:rPr>
        <w:t>Tier-3 events</w:t>
      </w:r>
    </w:p>
    <w:p w:rsidR="00CE4F74" w:rsidRPr="00C31183" w:rsidRDefault="00CE4F74" w:rsidP="00226DDE">
      <w:pPr>
        <w:rPr>
          <w:lang w:eastAsia="ja-JP"/>
        </w:rPr>
      </w:pPr>
      <w:r w:rsidRPr="00C31183">
        <w:rPr>
          <w:lang w:eastAsia="ja-JP"/>
        </w:rPr>
        <w:t>Tier-3 events were events that we</w:t>
      </w:r>
      <w:r w:rsidR="00226DDE">
        <w:rPr>
          <w:lang w:eastAsia="ja-JP"/>
        </w:rPr>
        <w:t>re not Tier-1 or Tier-2 events.</w:t>
      </w:r>
    </w:p>
    <w:p w:rsidR="00CE4F74" w:rsidRPr="00C31183" w:rsidRDefault="00CE4F74" w:rsidP="00226DDE">
      <w:pPr>
        <w:pStyle w:val="Heading4"/>
      </w:pPr>
      <w:bookmarkStart w:id="97" w:name="_Toc228773379"/>
      <w:r w:rsidRPr="00C31183">
        <w:t>Selected adverse events of special interest (time to onset and duration)</w:t>
      </w:r>
      <w:bookmarkEnd w:id="97"/>
    </w:p>
    <w:p w:rsidR="00CE4F74" w:rsidRPr="00C31183" w:rsidRDefault="00CE4F74" w:rsidP="00226DDE">
      <w:pPr>
        <w:rPr>
          <w:lang w:eastAsia="ja-JP"/>
        </w:rPr>
      </w:pPr>
      <w:r w:rsidRPr="00C31183">
        <w:rPr>
          <w:lang w:eastAsia="ja-JP"/>
        </w:rPr>
        <w:t xml:space="preserve">The sponsor reviewed selected </w:t>
      </w:r>
      <w:r w:rsidRPr="00C31183">
        <w:rPr>
          <w:b/>
          <w:lang w:eastAsia="ja-JP"/>
        </w:rPr>
        <w:t>treatment-related, TEAEs</w:t>
      </w:r>
      <w:r w:rsidRPr="00C31183">
        <w:rPr>
          <w:lang w:eastAsia="ja-JP"/>
        </w:rPr>
        <w:t xml:space="preserve"> of special interest (</w:t>
      </w:r>
      <w:proofErr w:type="spellStart"/>
      <w:r w:rsidRPr="00C31183">
        <w:rPr>
          <w:lang w:eastAsia="ja-JP"/>
        </w:rPr>
        <w:t>MedDRA</w:t>
      </w:r>
      <w:proofErr w:type="spellEnd"/>
      <w:r w:rsidRPr="00C31183">
        <w:rPr>
          <w:lang w:eastAsia="ja-JP"/>
        </w:rPr>
        <w:t xml:space="preserve"> preferred term and clustered terms) for prevalence, time to first onset and duration. The time to first onset (days) of treatment-related, TEAEs of special interest in the </w:t>
      </w:r>
      <w:r>
        <w:rPr>
          <w:lang w:eastAsia="ja-JP"/>
        </w:rPr>
        <w:t>randomised</w:t>
      </w:r>
      <w:r w:rsidRPr="00C31183">
        <w:rPr>
          <w:lang w:eastAsia="ja-JP"/>
        </w:rPr>
        <w:t xml:space="preserve"> treatment arms, the duration and the prevalence of the events by cycle </w:t>
      </w:r>
      <w:r>
        <w:rPr>
          <w:lang w:eastAsia="ja-JP"/>
        </w:rPr>
        <w:t>were</w:t>
      </w:r>
      <w:r w:rsidRPr="00C31183">
        <w:rPr>
          <w:lang w:eastAsia="ja-JP"/>
        </w:rPr>
        <w:t xml:space="preserve"> </w:t>
      </w:r>
      <w:r>
        <w:rPr>
          <w:lang w:eastAsia="ja-JP"/>
        </w:rPr>
        <w:t>tabulated</w:t>
      </w:r>
      <w:r w:rsidRPr="00C31183">
        <w:rPr>
          <w:lang w:eastAsia="ja-JP"/>
        </w:rPr>
        <w:t xml:space="preserve">. Relevant outcomes from the analyses are </w:t>
      </w:r>
      <w:r>
        <w:rPr>
          <w:lang w:eastAsia="ja-JP"/>
        </w:rPr>
        <w:t>summarised</w:t>
      </w:r>
      <w:r w:rsidR="00226DDE">
        <w:rPr>
          <w:lang w:eastAsia="ja-JP"/>
        </w:rPr>
        <w:t xml:space="preserve"> later in this CER.</w:t>
      </w:r>
    </w:p>
    <w:p w:rsidR="00CE4F74" w:rsidRPr="00C31183" w:rsidRDefault="00CE4F74" w:rsidP="00226DDE">
      <w:pPr>
        <w:pStyle w:val="Heading4"/>
      </w:pPr>
      <w:bookmarkStart w:id="98" w:name="_Toc228773380"/>
      <w:r w:rsidRPr="00C31183">
        <w:lastRenderedPageBreak/>
        <w:t>Deaths and serious adverse events (SAEs)</w:t>
      </w:r>
      <w:bookmarkEnd w:id="98"/>
    </w:p>
    <w:p w:rsidR="00CE4F74" w:rsidRPr="00C31183" w:rsidRDefault="00CE4F74" w:rsidP="00226DDE">
      <w:pPr>
        <w:pStyle w:val="Heading5"/>
        <w:rPr>
          <w:lang w:eastAsia="ja-JP"/>
        </w:rPr>
      </w:pPr>
      <w:bookmarkStart w:id="99" w:name="_Toc228773381"/>
      <w:r w:rsidRPr="00C31183">
        <w:rPr>
          <w:lang w:eastAsia="ja-JP"/>
        </w:rPr>
        <w:t>Deaths</w:t>
      </w:r>
      <w:bookmarkEnd w:id="99"/>
    </w:p>
    <w:p w:rsidR="00CE4F74" w:rsidRPr="00C31183" w:rsidRDefault="00CE4F74" w:rsidP="00226DDE">
      <w:pPr>
        <w:rPr>
          <w:lang w:eastAsia="ja-JP"/>
        </w:rPr>
      </w:pPr>
      <w:r w:rsidRPr="00C31183">
        <w:rPr>
          <w:lang w:eastAsia="ja-JP"/>
        </w:rPr>
        <w:t>Deaths occurring while on study treatment or with</w:t>
      </w:r>
      <w:r w:rsidRPr="00143CC0">
        <w:rPr>
          <w:lang w:eastAsia="ja-JP"/>
        </w:rPr>
        <w:t>in 2</w:t>
      </w:r>
      <w:r w:rsidRPr="00C31183">
        <w:rPr>
          <w:lang w:eastAsia="ja-JP"/>
        </w:rPr>
        <w:t xml:space="preserve">8 days of the last dose of study drug were reported in a total of 23 (13.4%) patients on </w:t>
      </w:r>
      <w:proofErr w:type="spellStart"/>
      <w:r w:rsidRPr="00C31183">
        <w:rPr>
          <w:lang w:eastAsia="ja-JP"/>
        </w:rPr>
        <w:t>crizotinib</w:t>
      </w:r>
      <w:proofErr w:type="spellEnd"/>
      <w:r w:rsidRPr="00C31183">
        <w:rPr>
          <w:lang w:eastAsia="ja-JP"/>
        </w:rPr>
        <w:t xml:space="preserve"> and 6 (9.2%) patients on chemotherapy (without cross-over). A total of 25 patients on </w:t>
      </w:r>
      <w:proofErr w:type="spellStart"/>
      <w:r w:rsidRPr="00C31183">
        <w:rPr>
          <w:lang w:eastAsia="ja-JP"/>
        </w:rPr>
        <w:t>crizotinib</w:t>
      </w:r>
      <w:proofErr w:type="spellEnd"/>
      <w:r w:rsidRPr="00C31183">
        <w:rPr>
          <w:lang w:eastAsia="ja-JP"/>
        </w:rPr>
        <w:t xml:space="preserve"> and 38 patients on chemotherapy (9 who did not cross-over to receive </w:t>
      </w:r>
      <w:proofErr w:type="spellStart"/>
      <w:r w:rsidRPr="00C31183">
        <w:rPr>
          <w:lang w:eastAsia="ja-JP"/>
        </w:rPr>
        <w:t>crizotinib</w:t>
      </w:r>
      <w:proofErr w:type="spellEnd"/>
      <w:r w:rsidRPr="00C31183">
        <w:rPr>
          <w:lang w:eastAsia="ja-JP"/>
        </w:rPr>
        <w:t xml:space="preserve"> in </w:t>
      </w:r>
      <w:r>
        <w:rPr>
          <w:lang w:eastAsia="ja-JP"/>
        </w:rPr>
        <w:t>Study A8081005</w:t>
      </w:r>
      <w:r w:rsidRPr="00C31183">
        <w:rPr>
          <w:lang w:eastAsia="ja-JP"/>
        </w:rPr>
        <w:t xml:space="preserve"> plus 29 who did cross over to receive </w:t>
      </w:r>
      <w:proofErr w:type="spellStart"/>
      <w:r w:rsidRPr="00C31183">
        <w:rPr>
          <w:lang w:eastAsia="ja-JP"/>
        </w:rPr>
        <w:t>crizotinib</w:t>
      </w:r>
      <w:proofErr w:type="spellEnd"/>
      <w:r w:rsidRPr="00C31183">
        <w:rPr>
          <w:lang w:eastAsia="ja-JP"/>
        </w:rPr>
        <w:t xml:space="preserve"> in Study A8081005) died more than 28 days after last dose of study drug. The most common cause of death was disease under study (40 [23.3%] patients on </w:t>
      </w:r>
      <w:proofErr w:type="spellStart"/>
      <w:r w:rsidRPr="00C31183">
        <w:rPr>
          <w:lang w:eastAsia="ja-JP"/>
        </w:rPr>
        <w:t>crizotinib</w:t>
      </w:r>
      <w:proofErr w:type="spellEnd"/>
      <w:r w:rsidRPr="00C31183">
        <w:rPr>
          <w:lang w:eastAsia="ja-JP"/>
        </w:rPr>
        <w:t xml:space="preserve"> and 39 [22.8%] patients on chemotherapy, including 25 patients who crossed over to receive </w:t>
      </w:r>
      <w:proofErr w:type="spellStart"/>
      <w:r w:rsidRPr="00C31183">
        <w:rPr>
          <w:lang w:eastAsia="ja-JP"/>
        </w:rPr>
        <w:t>crizotinib</w:t>
      </w:r>
      <w:proofErr w:type="spellEnd"/>
      <w:r w:rsidRPr="00C31183">
        <w:rPr>
          <w:lang w:eastAsia="ja-JP"/>
        </w:rPr>
        <w:t xml:space="preserve"> in </w:t>
      </w:r>
      <w:r>
        <w:rPr>
          <w:lang w:eastAsia="ja-JP"/>
        </w:rPr>
        <w:t>Study A8081005</w:t>
      </w:r>
      <w:r w:rsidRPr="00C31183">
        <w:rPr>
          <w:lang w:eastAsia="ja-JP"/>
        </w:rPr>
        <w:t>). The summary of deaths is provided below in Table 17.</w:t>
      </w:r>
    </w:p>
    <w:p w:rsidR="00CE4F74" w:rsidRPr="00791312" w:rsidRDefault="00CE4F74" w:rsidP="00791312">
      <w:pPr>
        <w:pStyle w:val="TableTitle"/>
      </w:pPr>
      <w:bookmarkStart w:id="100" w:name="_Toc228773440"/>
      <w:r w:rsidRPr="00C31183">
        <w:rPr>
          <w:lang w:eastAsia="ja-JP"/>
        </w:rPr>
        <w:t xml:space="preserve">Table </w:t>
      </w:r>
      <w:r w:rsidRPr="00C31183">
        <w:rPr>
          <w:lang w:eastAsia="ja-JP"/>
        </w:rPr>
        <w:fldChar w:fldCharType="begin"/>
      </w:r>
      <w:r w:rsidRPr="00C31183">
        <w:rPr>
          <w:lang w:eastAsia="ja-JP"/>
        </w:rPr>
        <w:instrText xml:space="preserve"> SEQ Table \* ARABIC </w:instrText>
      </w:r>
      <w:r w:rsidRPr="00C31183">
        <w:rPr>
          <w:lang w:eastAsia="ja-JP"/>
        </w:rPr>
        <w:fldChar w:fldCharType="separate"/>
      </w:r>
      <w:r>
        <w:rPr>
          <w:noProof/>
          <w:lang w:eastAsia="ja-JP"/>
        </w:rPr>
        <w:t>17</w:t>
      </w:r>
      <w:r w:rsidRPr="00C31183">
        <w:rPr>
          <w:lang w:eastAsia="ja-JP"/>
        </w:rPr>
        <w:fldChar w:fldCharType="end"/>
      </w:r>
      <w:r w:rsidRPr="00C31183">
        <w:rPr>
          <w:lang w:eastAsia="ja-JP"/>
        </w:rPr>
        <w:t>: Summary of deaths; SA</w:t>
      </w:r>
      <w:bookmarkEnd w:id="100"/>
    </w:p>
    <w:p w:rsidR="00CE4F74" w:rsidRPr="00C31183" w:rsidRDefault="00CE4F74" w:rsidP="00791312">
      <w:pPr>
        <w:rPr>
          <w:lang w:eastAsia="ja-JP"/>
        </w:rPr>
      </w:pPr>
      <w:r>
        <w:rPr>
          <w:noProof/>
          <w:lang w:eastAsia="en-AU"/>
        </w:rPr>
        <w:drawing>
          <wp:inline distT="0" distB="0" distL="0" distR="0" wp14:anchorId="2E4BA027" wp14:editId="264BB370">
            <wp:extent cx="5867400" cy="2733675"/>
            <wp:effectExtent l="0" t="0" r="0" b="0"/>
            <wp:docPr id="1" name="Picture 1" descr="Table 17: Summary of deaths;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able 17: Summary of deaths; S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400" cy="2733675"/>
                    </a:xfrm>
                    <a:prstGeom prst="rect">
                      <a:avLst/>
                    </a:prstGeom>
                    <a:noFill/>
                    <a:ln>
                      <a:noFill/>
                    </a:ln>
                  </pic:spPr>
                </pic:pic>
              </a:graphicData>
            </a:graphic>
          </wp:inline>
        </w:drawing>
      </w:r>
    </w:p>
    <w:p w:rsidR="00CE4F74" w:rsidRPr="00273BEE" w:rsidRDefault="00CE4F74" w:rsidP="00791312">
      <w:pPr>
        <w:pStyle w:val="TableDescription"/>
        <w:rPr>
          <w:lang w:eastAsia="ja-JP"/>
        </w:rPr>
      </w:pPr>
      <w:r w:rsidRPr="00273BEE">
        <w:rPr>
          <w:lang w:eastAsia="ja-JP"/>
        </w:rPr>
        <w:t xml:space="preserve">Summary of Death data was based on ‘Notice of Death’ </w:t>
      </w:r>
      <w:proofErr w:type="spellStart"/>
      <w:r w:rsidRPr="00273BEE">
        <w:rPr>
          <w:lang w:eastAsia="ja-JP"/>
        </w:rPr>
        <w:t>eCRF</w:t>
      </w:r>
      <w:proofErr w:type="spellEnd"/>
      <w:r w:rsidRPr="00273BEE">
        <w:rPr>
          <w:lang w:eastAsia="ja-JP"/>
        </w:rPr>
        <w:t xml:space="preserve"> page. Abbreviations: N/n=number of patients; </w:t>
      </w:r>
      <w:proofErr w:type="spellStart"/>
      <w:r w:rsidRPr="00273BEE">
        <w:rPr>
          <w:lang w:eastAsia="ja-JP"/>
        </w:rPr>
        <w:t>eCRF</w:t>
      </w:r>
      <w:proofErr w:type="spellEnd"/>
      <w:r w:rsidRPr="00273BEE">
        <w:rPr>
          <w:lang w:eastAsia="ja-JP"/>
        </w:rPr>
        <w:t>=electronic case report form.</w:t>
      </w:r>
      <w:r>
        <w:rPr>
          <w:lang w:eastAsia="ja-JP"/>
        </w:rPr>
        <w:t xml:space="preserve"> </w:t>
      </w:r>
      <w:r w:rsidRPr="00273BEE">
        <w:rPr>
          <w:lang w:eastAsia="ja-JP"/>
        </w:rPr>
        <w:t>[</w:t>
      </w:r>
      <w:proofErr w:type="gramStart"/>
      <w:r w:rsidRPr="00273BEE">
        <w:rPr>
          <w:lang w:eastAsia="ja-JP"/>
        </w:rPr>
        <w:t>a</w:t>
      </w:r>
      <w:proofErr w:type="gramEnd"/>
      <w:r w:rsidRPr="00273BEE">
        <w:rPr>
          <w:lang w:eastAsia="ja-JP"/>
        </w:rPr>
        <w:t>]More than 1 cause of death may be reported.</w:t>
      </w:r>
      <w:r>
        <w:rPr>
          <w:lang w:eastAsia="ja-JP"/>
        </w:rPr>
        <w:t xml:space="preserve"> </w:t>
      </w:r>
      <w:r w:rsidRPr="00273BEE">
        <w:rPr>
          <w:lang w:eastAsia="ja-JP"/>
        </w:rPr>
        <w:t xml:space="preserve">[b]Details of study treatment toxicity are provided in separate table, </w:t>
      </w:r>
      <w:r>
        <w:rPr>
          <w:lang w:eastAsia="ja-JP"/>
        </w:rPr>
        <w:t xml:space="preserve">[c] </w:t>
      </w:r>
      <w:proofErr w:type="gramStart"/>
      <w:r w:rsidRPr="00273BEE">
        <w:rPr>
          <w:lang w:eastAsia="ja-JP"/>
        </w:rPr>
        <w:t>One</w:t>
      </w:r>
      <w:proofErr w:type="gramEnd"/>
      <w:r w:rsidRPr="00273BEE">
        <w:rPr>
          <w:lang w:eastAsia="ja-JP"/>
        </w:rPr>
        <w:t xml:space="preserve"> patient with death of “unknown” cause was subsequently modified to “disea</w:t>
      </w:r>
      <w:r w:rsidR="00791312">
        <w:rPr>
          <w:lang w:eastAsia="ja-JP"/>
        </w:rPr>
        <w:t>se under study”.</w:t>
      </w:r>
    </w:p>
    <w:p w:rsidR="00CE4F74" w:rsidRPr="00C31183" w:rsidRDefault="00CE4F74" w:rsidP="00791312">
      <w:pPr>
        <w:rPr>
          <w:lang w:eastAsia="ja-JP"/>
        </w:rPr>
      </w:pPr>
      <w:r w:rsidRPr="00C31183">
        <w:rPr>
          <w:lang w:eastAsia="ja-JP"/>
        </w:rPr>
        <w:t>There were 32 Grade 5 AEs (</w:t>
      </w:r>
      <w:r>
        <w:rPr>
          <w:lang w:eastAsia="ja-JP"/>
        </w:rPr>
        <w:t>that is,</w:t>
      </w:r>
      <w:r w:rsidRPr="00C31183">
        <w:rPr>
          <w:lang w:eastAsia="ja-JP"/>
        </w:rPr>
        <w:t xml:space="preserve"> deaths) in the treatment phase of the study, 25 (14.5%) in the </w:t>
      </w:r>
      <w:proofErr w:type="spellStart"/>
      <w:r w:rsidRPr="00C31183">
        <w:rPr>
          <w:lang w:eastAsia="ja-JP"/>
        </w:rPr>
        <w:t>crizotinib</w:t>
      </w:r>
      <w:proofErr w:type="spellEnd"/>
      <w:r w:rsidRPr="00C31183">
        <w:rPr>
          <w:lang w:eastAsia="ja-JP"/>
        </w:rPr>
        <w:t xml:space="preserve"> arm and 7 (4.1%) in the chemotherapy arm. Included in these 32 deaths were 2 patients on </w:t>
      </w:r>
      <w:proofErr w:type="spellStart"/>
      <w:r w:rsidRPr="00C31183">
        <w:rPr>
          <w:lang w:eastAsia="ja-JP"/>
        </w:rPr>
        <w:t>crizotinib</w:t>
      </w:r>
      <w:proofErr w:type="spellEnd"/>
      <w:r w:rsidRPr="00C31183">
        <w:rPr>
          <w:lang w:eastAsia="ja-JP"/>
        </w:rPr>
        <w:t xml:space="preserve"> and 1 patient on chemotherapy who had non-treatment related Grade 5 AEs reported &gt; 28 days after the last day of the study drug. Death related to disease progression was the most commonly reported Grade 5 AE during the treatment phase (14/25 [56.0%] deaths in the </w:t>
      </w:r>
      <w:proofErr w:type="spellStart"/>
      <w:r w:rsidRPr="00C31183">
        <w:rPr>
          <w:lang w:eastAsia="ja-JP"/>
        </w:rPr>
        <w:t>crizotinib</w:t>
      </w:r>
      <w:proofErr w:type="spellEnd"/>
      <w:r w:rsidRPr="00C31183">
        <w:rPr>
          <w:lang w:eastAsia="ja-JP"/>
        </w:rPr>
        <w:t xml:space="preserve"> arm and 3/7 [42.9%] deaths in the chemotherapy arm). Death related to individual reports of pulmonary disease occurred notably more commonly in the </w:t>
      </w:r>
      <w:proofErr w:type="spellStart"/>
      <w:r w:rsidRPr="00C31183">
        <w:rPr>
          <w:lang w:eastAsia="ja-JP"/>
        </w:rPr>
        <w:t>crizotinib</w:t>
      </w:r>
      <w:proofErr w:type="spellEnd"/>
      <w:r w:rsidRPr="00C31183">
        <w:rPr>
          <w:lang w:eastAsia="ja-JP"/>
        </w:rPr>
        <w:t xml:space="preserve"> arm than in the chemotherapy arm (</w:t>
      </w:r>
      <w:r>
        <w:rPr>
          <w:lang w:eastAsia="ja-JP"/>
        </w:rPr>
        <w:t>that is,</w:t>
      </w:r>
      <w:r w:rsidRPr="00C31183">
        <w:rPr>
          <w:lang w:eastAsia="ja-JP"/>
        </w:rPr>
        <w:t xml:space="preserve"> ILD, pneumonitis, acute respiratory distress syndrome, pneumoni</w:t>
      </w:r>
      <w:r w:rsidR="00791312">
        <w:rPr>
          <w:lang w:eastAsia="ja-JP"/>
        </w:rPr>
        <w:t>a).</w:t>
      </w:r>
    </w:p>
    <w:p w:rsidR="00CE4F74" w:rsidRPr="00C31183" w:rsidRDefault="00CE4F74" w:rsidP="00791312">
      <w:pPr>
        <w:rPr>
          <w:lang w:eastAsia="ja-JP"/>
        </w:rPr>
      </w:pPr>
      <w:r w:rsidRPr="00C31183">
        <w:rPr>
          <w:lang w:eastAsia="ja-JP"/>
        </w:rPr>
        <w:t xml:space="preserve">There were 6 deaths considered by the investigator and/or the sponsor to be related to or at least possibly related to study treatment (5 [2.9%] in the </w:t>
      </w:r>
      <w:proofErr w:type="spellStart"/>
      <w:r w:rsidRPr="00C31183">
        <w:rPr>
          <w:lang w:eastAsia="ja-JP"/>
        </w:rPr>
        <w:t>crizotinib</w:t>
      </w:r>
      <w:proofErr w:type="spellEnd"/>
      <w:r w:rsidRPr="00C31183">
        <w:rPr>
          <w:lang w:eastAsia="ja-JP"/>
        </w:rPr>
        <w:t xml:space="preserve"> arm and 1 [0.6%] in the chemotherapy arm [</w:t>
      </w:r>
      <w:proofErr w:type="spellStart"/>
      <w:r w:rsidRPr="00C31183">
        <w:rPr>
          <w:lang w:eastAsia="ja-JP"/>
        </w:rPr>
        <w:t>pemetrexed</w:t>
      </w:r>
      <w:proofErr w:type="spellEnd"/>
      <w:r w:rsidRPr="00C31183">
        <w:rPr>
          <w:lang w:eastAsia="ja-JP"/>
        </w:rPr>
        <w:t xml:space="preserve">]). The 5 treatment-related deaths in the </w:t>
      </w:r>
      <w:proofErr w:type="spellStart"/>
      <w:r w:rsidRPr="00C31183">
        <w:rPr>
          <w:lang w:eastAsia="ja-JP"/>
        </w:rPr>
        <w:t>crizotinib</w:t>
      </w:r>
      <w:proofErr w:type="spellEnd"/>
      <w:r w:rsidRPr="00C31183">
        <w:rPr>
          <w:lang w:eastAsia="ja-JP"/>
        </w:rPr>
        <w:t xml:space="preserve"> treatment arm were ILD (1 death), pneumonitis (1 death), arrhythmia which appears to have been due to bradycardia (1 death), sudden death probable heart failure (1 death) and unknown cause (1 death). The </w:t>
      </w:r>
      <w:r>
        <w:rPr>
          <w:lang w:eastAsia="ja-JP"/>
        </w:rPr>
        <w:t>(</w:t>
      </w:r>
      <w:r w:rsidRPr="00C31183">
        <w:rPr>
          <w:lang w:eastAsia="ja-JP"/>
        </w:rPr>
        <w:t>1</w:t>
      </w:r>
      <w:r>
        <w:rPr>
          <w:lang w:eastAsia="ja-JP"/>
        </w:rPr>
        <w:t>)</w:t>
      </w:r>
      <w:r w:rsidRPr="00C31183">
        <w:rPr>
          <w:lang w:eastAsia="ja-JP"/>
        </w:rPr>
        <w:t xml:space="preserve"> treatment-related death in the chemotherapy arm (</w:t>
      </w:r>
      <w:proofErr w:type="spellStart"/>
      <w:r w:rsidRPr="00C31183">
        <w:rPr>
          <w:lang w:eastAsia="ja-JP"/>
        </w:rPr>
        <w:t>pemetrexed</w:t>
      </w:r>
      <w:proofErr w:type="spellEnd"/>
      <w:r w:rsidRPr="00C31183">
        <w:rPr>
          <w:lang w:eastAsia="ja-JP"/>
        </w:rPr>
        <w:t xml:space="preserve">) was due to sepsis. In addition to the 5 treatment-related deaths in the </w:t>
      </w:r>
      <w:proofErr w:type="spellStart"/>
      <w:r w:rsidRPr="00C31183">
        <w:rPr>
          <w:lang w:eastAsia="ja-JP"/>
        </w:rPr>
        <w:t>crizotinib</w:t>
      </w:r>
      <w:proofErr w:type="spellEnd"/>
      <w:r w:rsidRPr="00C31183">
        <w:rPr>
          <w:lang w:eastAsia="ja-JP"/>
        </w:rPr>
        <w:t xml:space="preserve"> treatment reported at the data </w:t>
      </w:r>
      <w:proofErr w:type="spellStart"/>
      <w:r w:rsidRPr="00C31183">
        <w:rPr>
          <w:lang w:eastAsia="ja-JP"/>
        </w:rPr>
        <w:t>cut</w:t>
      </w:r>
      <w:r>
        <w:rPr>
          <w:lang w:eastAsia="ja-JP"/>
        </w:rPr>
        <w:t xml:space="preserve"> </w:t>
      </w:r>
      <w:r w:rsidRPr="00C31183">
        <w:rPr>
          <w:lang w:eastAsia="ja-JP"/>
        </w:rPr>
        <w:t>off</w:t>
      </w:r>
      <w:proofErr w:type="spellEnd"/>
      <w:r w:rsidRPr="00C31183">
        <w:rPr>
          <w:lang w:eastAsia="ja-JP"/>
        </w:rPr>
        <w:t xml:space="preserve"> date, there was 1 reported death due to liver failure in a patient meeting </w:t>
      </w:r>
      <w:proofErr w:type="spellStart"/>
      <w:r w:rsidRPr="00C31183">
        <w:rPr>
          <w:lang w:eastAsia="ja-JP"/>
        </w:rPr>
        <w:t>Hy’s</w:t>
      </w:r>
      <w:proofErr w:type="spellEnd"/>
      <w:r w:rsidRPr="00C31183">
        <w:rPr>
          <w:lang w:eastAsia="ja-JP"/>
        </w:rPr>
        <w:t xml:space="preserve"> law criteria for potential drug induced liver injury after the data </w:t>
      </w:r>
      <w:proofErr w:type="spellStart"/>
      <w:r w:rsidRPr="00C31183">
        <w:rPr>
          <w:lang w:eastAsia="ja-JP"/>
        </w:rPr>
        <w:t>cut</w:t>
      </w:r>
      <w:r>
        <w:rPr>
          <w:lang w:eastAsia="ja-JP"/>
        </w:rPr>
        <w:t xml:space="preserve"> </w:t>
      </w:r>
      <w:r w:rsidR="00791312">
        <w:rPr>
          <w:lang w:eastAsia="ja-JP"/>
        </w:rPr>
        <w:t>off</w:t>
      </w:r>
      <w:proofErr w:type="spellEnd"/>
      <w:r w:rsidR="00791312">
        <w:rPr>
          <w:lang w:eastAsia="ja-JP"/>
        </w:rPr>
        <w:t xml:space="preserve"> date.</w:t>
      </w:r>
    </w:p>
    <w:p w:rsidR="00CE4F74" w:rsidRPr="00C31183" w:rsidRDefault="00CE4F74" w:rsidP="00791312">
      <w:pPr>
        <w:pStyle w:val="Heading5"/>
        <w:rPr>
          <w:lang w:eastAsia="ja-JP"/>
        </w:rPr>
      </w:pPr>
      <w:bookmarkStart w:id="101" w:name="_Toc228773382"/>
      <w:r w:rsidRPr="00C31183">
        <w:rPr>
          <w:lang w:eastAsia="ja-JP"/>
        </w:rPr>
        <w:lastRenderedPageBreak/>
        <w:t>Serious adverse events (including Grade 5 events)</w:t>
      </w:r>
      <w:bookmarkEnd w:id="101"/>
    </w:p>
    <w:p w:rsidR="00CE4F74" w:rsidRPr="00C31183" w:rsidRDefault="00CE4F74" w:rsidP="00791312">
      <w:pPr>
        <w:rPr>
          <w:lang w:eastAsia="ja-JP"/>
        </w:rPr>
      </w:pPr>
      <w:r w:rsidRPr="00C31183">
        <w:rPr>
          <w:lang w:eastAsia="ja-JP"/>
        </w:rPr>
        <w:t xml:space="preserve">SAEs (including Grade 5 events) were reported more commonly in the </w:t>
      </w:r>
      <w:proofErr w:type="spellStart"/>
      <w:r w:rsidRPr="00C31183">
        <w:rPr>
          <w:lang w:eastAsia="ja-JP"/>
        </w:rPr>
        <w:t>crizotinib</w:t>
      </w:r>
      <w:proofErr w:type="spellEnd"/>
      <w:r w:rsidRPr="00C31183">
        <w:rPr>
          <w:lang w:eastAsia="ja-JP"/>
        </w:rPr>
        <w:t xml:space="preserve"> arm than in the chemotherapy arm (37.2% [64/172]</w:t>
      </w:r>
      <w:r>
        <w:rPr>
          <w:lang w:eastAsia="ja-JP"/>
        </w:rPr>
        <w:t xml:space="preserve"> versus </w:t>
      </w:r>
      <w:r w:rsidRPr="00C31183">
        <w:rPr>
          <w:lang w:eastAsia="ja-JP"/>
        </w:rPr>
        <w:t xml:space="preserve">23.4% [40/171]). </w:t>
      </w:r>
      <w:r>
        <w:rPr>
          <w:lang w:eastAsia="ja-JP"/>
        </w:rPr>
        <w:t xml:space="preserve">Tabulations of </w:t>
      </w:r>
      <w:r w:rsidRPr="00C31183">
        <w:rPr>
          <w:lang w:eastAsia="ja-JP"/>
        </w:rPr>
        <w:t xml:space="preserve">SAEs (all causality) reported in </w:t>
      </w:r>
      <w:r>
        <w:rPr>
          <w:lang w:eastAsia="ja-JP"/>
        </w:rPr>
        <w:t>≥</w:t>
      </w:r>
      <w:r w:rsidRPr="00C31183">
        <w:rPr>
          <w:lang w:eastAsia="ja-JP"/>
        </w:rPr>
        <w:t xml:space="preserve"> 1% of patients in the </w:t>
      </w:r>
      <w:proofErr w:type="spellStart"/>
      <w:r w:rsidRPr="00C31183">
        <w:rPr>
          <w:lang w:eastAsia="ja-JP"/>
        </w:rPr>
        <w:t>crizotinib</w:t>
      </w:r>
      <w:proofErr w:type="spellEnd"/>
      <w:r w:rsidRPr="00C31183">
        <w:rPr>
          <w:lang w:eastAsia="ja-JP"/>
        </w:rPr>
        <w:t xml:space="preserve"> arm</w:t>
      </w:r>
      <w:r>
        <w:rPr>
          <w:lang w:eastAsia="ja-JP"/>
        </w:rPr>
        <w:t xml:space="preserve"> versus </w:t>
      </w:r>
      <w:r w:rsidRPr="00C31183">
        <w:rPr>
          <w:lang w:eastAsia="ja-JP"/>
        </w:rPr>
        <w:t xml:space="preserve">chemotherapy </w:t>
      </w:r>
      <w:r>
        <w:rPr>
          <w:lang w:eastAsia="ja-JP"/>
        </w:rPr>
        <w:t>were</w:t>
      </w:r>
      <w:r w:rsidRPr="00C31183">
        <w:rPr>
          <w:lang w:eastAsia="ja-JP"/>
        </w:rPr>
        <w:t xml:space="preserve"> provided.</w:t>
      </w:r>
    </w:p>
    <w:p w:rsidR="00CE4F74" w:rsidRPr="00C31183" w:rsidRDefault="00CE4F74" w:rsidP="00791312">
      <w:pPr>
        <w:rPr>
          <w:lang w:eastAsia="ja-JP"/>
        </w:rPr>
      </w:pPr>
      <w:r w:rsidRPr="00C31183">
        <w:rPr>
          <w:lang w:eastAsia="ja-JP"/>
        </w:rPr>
        <w:t xml:space="preserve">SAEs reported with an incidence of </w:t>
      </w:r>
      <w:r>
        <w:rPr>
          <w:lang w:eastAsia="ja-JP"/>
        </w:rPr>
        <w:t>≥</w:t>
      </w:r>
      <w:r w:rsidRPr="00C31183">
        <w:rPr>
          <w:lang w:eastAsia="ja-JP"/>
        </w:rPr>
        <w:t xml:space="preserve"> 1% in the </w:t>
      </w:r>
      <w:proofErr w:type="spellStart"/>
      <w:r w:rsidRPr="00C31183">
        <w:rPr>
          <w:lang w:eastAsia="ja-JP"/>
        </w:rPr>
        <w:t>crizotinib</w:t>
      </w:r>
      <w:proofErr w:type="spellEnd"/>
      <w:r w:rsidRPr="00C31183">
        <w:rPr>
          <w:lang w:eastAsia="ja-JP"/>
        </w:rPr>
        <w:t xml:space="preserve"> arm and more commonly than in the chemotherapy arm were, in decreasing order of frequency, disease progression (7.6 %</w:t>
      </w:r>
      <w:r>
        <w:rPr>
          <w:lang w:eastAsia="ja-JP"/>
        </w:rPr>
        <w:t xml:space="preserve"> versus </w:t>
      </w:r>
      <w:r w:rsidRPr="00C31183">
        <w:rPr>
          <w:lang w:eastAsia="ja-JP"/>
        </w:rPr>
        <w:t>1.8%), pneumonia (4.1%</w:t>
      </w:r>
      <w:r>
        <w:rPr>
          <w:lang w:eastAsia="ja-JP"/>
        </w:rPr>
        <w:t xml:space="preserve"> versus </w:t>
      </w:r>
      <w:r w:rsidRPr="00C31183">
        <w:rPr>
          <w:lang w:eastAsia="ja-JP"/>
        </w:rPr>
        <w:t>1.8%), pulmonary embolism (2.9%</w:t>
      </w:r>
      <w:r>
        <w:rPr>
          <w:lang w:eastAsia="ja-JP"/>
        </w:rPr>
        <w:t xml:space="preserve"> versus </w:t>
      </w:r>
      <w:r w:rsidRPr="00C31183">
        <w:rPr>
          <w:lang w:eastAsia="ja-JP"/>
        </w:rPr>
        <w:t>1.8%), dyspnoea (2.3%</w:t>
      </w:r>
      <w:r>
        <w:rPr>
          <w:lang w:eastAsia="ja-JP"/>
        </w:rPr>
        <w:t xml:space="preserve"> versus </w:t>
      </w:r>
      <w:r w:rsidRPr="00C31183">
        <w:rPr>
          <w:lang w:eastAsia="ja-JP"/>
        </w:rPr>
        <w:t>1.8%), interstitial lung disease (1.7%</w:t>
      </w:r>
      <w:r>
        <w:rPr>
          <w:lang w:eastAsia="ja-JP"/>
        </w:rPr>
        <w:t xml:space="preserve"> versus </w:t>
      </w:r>
      <w:r w:rsidRPr="00C31183">
        <w:rPr>
          <w:lang w:eastAsia="ja-JP"/>
        </w:rPr>
        <w:t>0%), ALT increased (1.2%</w:t>
      </w:r>
      <w:r>
        <w:rPr>
          <w:lang w:eastAsia="ja-JP"/>
        </w:rPr>
        <w:t xml:space="preserve"> versus </w:t>
      </w:r>
      <w:r w:rsidRPr="00C31183">
        <w:rPr>
          <w:lang w:eastAsia="ja-JP"/>
        </w:rPr>
        <w:t>0%), AST increased (1.2%</w:t>
      </w:r>
      <w:r>
        <w:rPr>
          <w:lang w:eastAsia="ja-JP"/>
        </w:rPr>
        <w:t xml:space="preserve"> versus </w:t>
      </w:r>
      <w:r w:rsidRPr="00C31183">
        <w:rPr>
          <w:lang w:eastAsia="ja-JP"/>
        </w:rPr>
        <w:t>0%), convulsion (1.2%</w:t>
      </w:r>
      <w:r>
        <w:rPr>
          <w:lang w:eastAsia="ja-JP"/>
        </w:rPr>
        <w:t xml:space="preserve"> versus </w:t>
      </w:r>
      <w:r w:rsidRPr="00C31183">
        <w:rPr>
          <w:lang w:eastAsia="ja-JP"/>
        </w:rPr>
        <w:t>0.6%), hypoglycaemia (1.2%</w:t>
      </w:r>
      <w:r>
        <w:rPr>
          <w:lang w:eastAsia="ja-JP"/>
        </w:rPr>
        <w:t xml:space="preserve"> versus </w:t>
      </w:r>
      <w:r w:rsidRPr="00C31183">
        <w:rPr>
          <w:lang w:eastAsia="ja-JP"/>
        </w:rPr>
        <w:t>0.6%), lung abscess (1.2%</w:t>
      </w:r>
      <w:r>
        <w:rPr>
          <w:lang w:eastAsia="ja-JP"/>
        </w:rPr>
        <w:t xml:space="preserve"> versus </w:t>
      </w:r>
      <w:r w:rsidRPr="00C31183">
        <w:rPr>
          <w:lang w:eastAsia="ja-JP"/>
        </w:rPr>
        <w:t>0%), lung infection (1.2%</w:t>
      </w:r>
      <w:r>
        <w:rPr>
          <w:lang w:eastAsia="ja-JP"/>
        </w:rPr>
        <w:t xml:space="preserve"> versus </w:t>
      </w:r>
      <w:r w:rsidRPr="00C31183">
        <w:rPr>
          <w:lang w:eastAsia="ja-JP"/>
        </w:rPr>
        <w:t>0.6%) and vomiting (1.2%</w:t>
      </w:r>
      <w:r>
        <w:rPr>
          <w:lang w:eastAsia="ja-JP"/>
        </w:rPr>
        <w:t xml:space="preserve"> versus </w:t>
      </w:r>
      <w:r w:rsidR="00791312">
        <w:rPr>
          <w:lang w:eastAsia="ja-JP"/>
        </w:rPr>
        <w:t>0%).</w:t>
      </w:r>
    </w:p>
    <w:p w:rsidR="00CE4F74" w:rsidRPr="00C31183" w:rsidRDefault="00CE4F74" w:rsidP="00791312">
      <w:pPr>
        <w:rPr>
          <w:lang w:eastAsia="ja-JP"/>
        </w:rPr>
      </w:pPr>
      <w:r w:rsidRPr="00C31183">
        <w:rPr>
          <w:lang w:eastAsia="ja-JP"/>
        </w:rPr>
        <w:t xml:space="preserve">SAEs occurring with an incidence of </w:t>
      </w:r>
      <w:r>
        <w:rPr>
          <w:lang w:eastAsia="ja-JP"/>
        </w:rPr>
        <w:t>≥</w:t>
      </w:r>
      <w:r w:rsidRPr="00C31183">
        <w:rPr>
          <w:lang w:eastAsia="ja-JP"/>
        </w:rPr>
        <w:t xml:space="preserve"> 1% in the chemotherapy arm and more commonly than in the </w:t>
      </w:r>
      <w:proofErr w:type="spellStart"/>
      <w:r w:rsidRPr="00C31183">
        <w:rPr>
          <w:lang w:eastAsia="ja-JP"/>
        </w:rPr>
        <w:t>crizotinib</w:t>
      </w:r>
      <w:proofErr w:type="spellEnd"/>
      <w:r w:rsidRPr="00C31183">
        <w:rPr>
          <w:lang w:eastAsia="ja-JP"/>
        </w:rPr>
        <w:t xml:space="preserve"> arm were, in decreasing order of frequency, febrile neutropenia (7.0%</w:t>
      </w:r>
      <w:r>
        <w:rPr>
          <w:lang w:eastAsia="ja-JP"/>
        </w:rPr>
        <w:t xml:space="preserve"> versus </w:t>
      </w:r>
      <w:r w:rsidRPr="00C31183">
        <w:rPr>
          <w:lang w:eastAsia="ja-JP"/>
        </w:rPr>
        <w:t>0.6%), anaemia (1.2%</w:t>
      </w:r>
      <w:r>
        <w:rPr>
          <w:lang w:eastAsia="ja-JP"/>
        </w:rPr>
        <w:t xml:space="preserve"> versus </w:t>
      </w:r>
      <w:r w:rsidRPr="00C31183">
        <w:rPr>
          <w:lang w:eastAsia="ja-JP"/>
        </w:rPr>
        <w:t>0.6%) and deep vein thrombosis (1.2%</w:t>
      </w:r>
      <w:r>
        <w:rPr>
          <w:lang w:eastAsia="ja-JP"/>
        </w:rPr>
        <w:t xml:space="preserve"> versus </w:t>
      </w:r>
      <w:r w:rsidR="00791312">
        <w:rPr>
          <w:lang w:eastAsia="ja-JP"/>
        </w:rPr>
        <w:t>0.6%).</w:t>
      </w:r>
    </w:p>
    <w:p w:rsidR="00CE4F74" w:rsidRPr="00C31183" w:rsidRDefault="00CE4F74" w:rsidP="00791312">
      <w:pPr>
        <w:rPr>
          <w:lang w:eastAsia="ja-JP"/>
        </w:rPr>
      </w:pPr>
      <w:r w:rsidRPr="00C31183">
        <w:rPr>
          <w:lang w:eastAsia="ja-JP"/>
        </w:rPr>
        <w:t xml:space="preserve">Grade 3 and 4 SAEs occurred in 17.4% (n=30) and 2.3% (n=4) of patients, respectively, in the </w:t>
      </w:r>
      <w:proofErr w:type="spellStart"/>
      <w:r w:rsidRPr="00C31183">
        <w:rPr>
          <w:lang w:eastAsia="ja-JP"/>
        </w:rPr>
        <w:t>crizotinib</w:t>
      </w:r>
      <w:proofErr w:type="spellEnd"/>
      <w:r w:rsidRPr="00C31183">
        <w:rPr>
          <w:lang w:eastAsia="ja-JP"/>
        </w:rPr>
        <w:t xml:space="preserve"> arm, compared with 12.3% (n=21) and 4.7% (n=8) of patients, respectively, in the chemotherapy arm.</w:t>
      </w:r>
      <w:r>
        <w:rPr>
          <w:lang w:eastAsia="ja-JP"/>
        </w:rPr>
        <w:t xml:space="preserve"> </w:t>
      </w:r>
      <w:r w:rsidRPr="00C31183">
        <w:rPr>
          <w:lang w:eastAsia="ja-JP"/>
        </w:rPr>
        <w:t xml:space="preserve">Of the SAEs (all grades), 53.1% (34/64) were Grade 3 or 4 events in the </w:t>
      </w:r>
      <w:proofErr w:type="spellStart"/>
      <w:r w:rsidRPr="00C31183">
        <w:rPr>
          <w:lang w:eastAsia="ja-JP"/>
        </w:rPr>
        <w:t>crizotinib</w:t>
      </w:r>
      <w:proofErr w:type="spellEnd"/>
      <w:r w:rsidRPr="00C31183">
        <w:rPr>
          <w:lang w:eastAsia="ja-JP"/>
        </w:rPr>
        <w:t xml:space="preserve"> arm compared with 72.5% (</w:t>
      </w:r>
      <w:r w:rsidR="00791312">
        <w:rPr>
          <w:lang w:eastAsia="ja-JP"/>
        </w:rPr>
        <w:t>29/40) in the chemotherapy arm.</w:t>
      </w:r>
    </w:p>
    <w:p w:rsidR="00CE4F74" w:rsidRPr="00C31183" w:rsidRDefault="00CE4F74" w:rsidP="00791312">
      <w:pPr>
        <w:rPr>
          <w:lang w:eastAsia="ja-JP"/>
        </w:rPr>
      </w:pPr>
      <w:r w:rsidRPr="00C31183">
        <w:rPr>
          <w:lang w:eastAsia="ja-JP"/>
        </w:rPr>
        <w:t xml:space="preserve">Treatment-related SAEs were reported in 11.6% (20/172) of patients in the </w:t>
      </w:r>
      <w:proofErr w:type="spellStart"/>
      <w:r w:rsidRPr="00C31183">
        <w:rPr>
          <w:lang w:eastAsia="ja-JP"/>
        </w:rPr>
        <w:t>crizotinib</w:t>
      </w:r>
      <w:proofErr w:type="spellEnd"/>
      <w:r w:rsidRPr="00C31183">
        <w:rPr>
          <w:lang w:eastAsia="ja-JP"/>
        </w:rPr>
        <w:t xml:space="preserve"> arm and 14.0% (24/171) of patients in the chemotherapy arm. The only treatment-related SAE reported in </w:t>
      </w:r>
      <w:r>
        <w:rPr>
          <w:lang w:eastAsia="ja-JP"/>
        </w:rPr>
        <w:t>≥</w:t>
      </w:r>
      <w:r w:rsidRPr="00C31183">
        <w:rPr>
          <w:lang w:eastAsia="ja-JP"/>
        </w:rPr>
        <w:t xml:space="preserve"> 2% of patients in either treatment arm was febrile neutropenia (0.6% [1/172] </w:t>
      </w:r>
      <w:proofErr w:type="spellStart"/>
      <w:r w:rsidRPr="00C31183">
        <w:rPr>
          <w:lang w:eastAsia="ja-JP"/>
        </w:rPr>
        <w:t>crizotinib</w:t>
      </w:r>
      <w:proofErr w:type="spellEnd"/>
      <w:r>
        <w:rPr>
          <w:lang w:eastAsia="ja-JP"/>
        </w:rPr>
        <w:t xml:space="preserve"> versus </w:t>
      </w:r>
      <w:r w:rsidR="00791312">
        <w:rPr>
          <w:lang w:eastAsia="ja-JP"/>
        </w:rPr>
        <w:t>7.0% [12/171], chemotherapy).</w:t>
      </w:r>
    </w:p>
    <w:p w:rsidR="00CE4F74" w:rsidRPr="00C31183" w:rsidRDefault="00CE4F74" w:rsidP="00791312">
      <w:pPr>
        <w:pStyle w:val="Heading4"/>
      </w:pPr>
      <w:bookmarkStart w:id="102" w:name="_Toc228773383"/>
      <w:r w:rsidRPr="00C31183">
        <w:t>Discontinuations, dose interruptions, dose discontinuations</w:t>
      </w:r>
      <w:bookmarkEnd w:id="102"/>
    </w:p>
    <w:p w:rsidR="00CE4F74" w:rsidRPr="00C31183" w:rsidRDefault="00CE4F74" w:rsidP="00791312">
      <w:pPr>
        <w:pStyle w:val="Heading5"/>
        <w:rPr>
          <w:lang w:eastAsia="ja-JP"/>
        </w:rPr>
      </w:pPr>
      <w:bookmarkStart w:id="103" w:name="_Toc228773384"/>
      <w:r w:rsidRPr="00C31183">
        <w:rPr>
          <w:lang w:eastAsia="ja-JP"/>
        </w:rPr>
        <w:t>Permanent discontinuations due to adverse events</w:t>
      </w:r>
      <w:bookmarkEnd w:id="103"/>
    </w:p>
    <w:p w:rsidR="00CE4F74" w:rsidRPr="00C31183" w:rsidRDefault="00CE4F74" w:rsidP="00791312">
      <w:pPr>
        <w:rPr>
          <w:lang w:eastAsia="ja-JP"/>
        </w:rPr>
      </w:pPr>
      <w:r w:rsidRPr="00C31183">
        <w:rPr>
          <w:lang w:eastAsia="ja-JP"/>
        </w:rPr>
        <w:t xml:space="preserve">TEAEs (all causality) resulting in permanent treatment discontinuation were reported in 17.4% (30/172) of patients in the </w:t>
      </w:r>
      <w:proofErr w:type="spellStart"/>
      <w:r w:rsidRPr="00C31183">
        <w:rPr>
          <w:lang w:eastAsia="ja-JP"/>
        </w:rPr>
        <w:t>crizotinib</w:t>
      </w:r>
      <w:proofErr w:type="spellEnd"/>
      <w:r w:rsidRPr="00C31183">
        <w:rPr>
          <w:lang w:eastAsia="ja-JP"/>
        </w:rPr>
        <w:t xml:space="preserve"> arm and 13.5% (23/171) of pa</w:t>
      </w:r>
      <w:r w:rsidR="00791312">
        <w:rPr>
          <w:lang w:eastAsia="ja-JP"/>
        </w:rPr>
        <w:t>tients in the chemotherapy arm.</w:t>
      </w:r>
    </w:p>
    <w:p w:rsidR="00CE4F74" w:rsidRPr="00C31183" w:rsidRDefault="00CE4F74" w:rsidP="00791312">
      <w:pPr>
        <w:rPr>
          <w:lang w:eastAsia="ja-JP"/>
        </w:rPr>
      </w:pPr>
      <w:r w:rsidRPr="00C31183">
        <w:rPr>
          <w:lang w:eastAsia="ja-JP"/>
        </w:rPr>
        <w:t>TEAEs (</w:t>
      </w:r>
      <w:proofErr w:type="spellStart"/>
      <w:r w:rsidRPr="00C31183">
        <w:rPr>
          <w:lang w:eastAsia="ja-JP"/>
        </w:rPr>
        <w:t>MedDRA</w:t>
      </w:r>
      <w:proofErr w:type="spellEnd"/>
      <w:r w:rsidRPr="00C31183">
        <w:rPr>
          <w:lang w:eastAsia="ja-JP"/>
        </w:rPr>
        <w:t xml:space="preserve"> preferred term) resulting in </w:t>
      </w:r>
      <w:r>
        <w:rPr>
          <w:lang w:eastAsia="ja-JP"/>
        </w:rPr>
        <w:t>≥</w:t>
      </w:r>
      <w:r w:rsidRPr="00C31183">
        <w:rPr>
          <w:lang w:eastAsia="ja-JP"/>
        </w:rPr>
        <w:t xml:space="preserve"> 1% of patients permanently discontinuing from treatment in the </w:t>
      </w:r>
      <w:proofErr w:type="spellStart"/>
      <w:r w:rsidRPr="00C31183">
        <w:rPr>
          <w:lang w:eastAsia="ja-JP"/>
        </w:rPr>
        <w:t>crizotinib</w:t>
      </w:r>
      <w:proofErr w:type="spellEnd"/>
      <w:r w:rsidRPr="00C31183">
        <w:rPr>
          <w:lang w:eastAsia="ja-JP"/>
        </w:rPr>
        <w:t xml:space="preserve"> arm and occurring more frequently than in the chemotherapy arm were, in decreasing order of frequency, disease progression (2.9%</w:t>
      </w:r>
      <w:r>
        <w:rPr>
          <w:lang w:eastAsia="ja-JP"/>
        </w:rPr>
        <w:t xml:space="preserve"> versus </w:t>
      </w:r>
      <w:r w:rsidRPr="00C31183">
        <w:rPr>
          <w:lang w:eastAsia="ja-JP"/>
        </w:rPr>
        <w:t>0%), interstitial lung disease (1.7%</w:t>
      </w:r>
      <w:r>
        <w:rPr>
          <w:lang w:eastAsia="ja-JP"/>
        </w:rPr>
        <w:t xml:space="preserve"> versus </w:t>
      </w:r>
      <w:r w:rsidRPr="00C31183">
        <w:rPr>
          <w:lang w:eastAsia="ja-JP"/>
        </w:rPr>
        <w:t>0%), pulmonary embolism (1.2%</w:t>
      </w:r>
      <w:r>
        <w:rPr>
          <w:lang w:eastAsia="ja-JP"/>
        </w:rPr>
        <w:t xml:space="preserve"> versus </w:t>
      </w:r>
      <w:r w:rsidRPr="00C31183">
        <w:rPr>
          <w:lang w:eastAsia="ja-JP"/>
        </w:rPr>
        <w:t>0%), ALT increased (1.2%</w:t>
      </w:r>
      <w:r>
        <w:rPr>
          <w:lang w:eastAsia="ja-JP"/>
        </w:rPr>
        <w:t xml:space="preserve"> versus </w:t>
      </w:r>
      <w:r w:rsidRPr="00C31183">
        <w:rPr>
          <w:lang w:eastAsia="ja-JP"/>
        </w:rPr>
        <w:t>0%), AST increased (1.2%</w:t>
      </w:r>
      <w:r>
        <w:rPr>
          <w:lang w:eastAsia="ja-JP"/>
        </w:rPr>
        <w:t xml:space="preserve"> versus </w:t>
      </w:r>
      <w:r w:rsidRPr="00C31183">
        <w:rPr>
          <w:lang w:eastAsia="ja-JP"/>
        </w:rPr>
        <w:t>0%), and dyspnoea (1.2%</w:t>
      </w:r>
      <w:r>
        <w:rPr>
          <w:lang w:eastAsia="ja-JP"/>
        </w:rPr>
        <w:t xml:space="preserve"> versus </w:t>
      </w:r>
      <w:r w:rsidR="00791312">
        <w:rPr>
          <w:lang w:eastAsia="ja-JP"/>
        </w:rPr>
        <w:t>0%).</w:t>
      </w:r>
    </w:p>
    <w:p w:rsidR="00CE4F74" w:rsidRPr="00C31183" w:rsidRDefault="00CE4F74" w:rsidP="00791312">
      <w:pPr>
        <w:rPr>
          <w:lang w:eastAsia="ja-JP"/>
        </w:rPr>
      </w:pPr>
      <w:r w:rsidRPr="00C31183">
        <w:rPr>
          <w:lang w:eastAsia="ja-JP"/>
        </w:rPr>
        <w:t>TEAEs (</w:t>
      </w:r>
      <w:proofErr w:type="spellStart"/>
      <w:r w:rsidRPr="00C31183">
        <w:rPr>
          <w:lang w:eastAsia="ja-JP"/>
        </w:rPr>
        <w:t>MedDRA</w:t>
      </w:r>
      <w:proofErr w:type="spellEnd"/>
      <w:r w:rsidRPr="00C31183">
        <w:rPr>
          <w:lang w:eastAsia="ja-JP"/>
        </w:rPr>
        <w:t xml:space="preserve"> preferred term) resulting in </w:t>
      </w:r>
      <w:r>
        <w:rPr>
          <w:lang w:eastAsia="ja-JP"/>
        </w:rPr>
        <w:t>≥</w:t>
      </w:r>
      <w:r w:rsidRPr="00C31183">
        <w:rPr>
          <w:lang w:eastAsia="ja-JP"/>
        </w:rPr>
        <w:t xml:space="preserve"> 1% of patients permanently discontinuing from treatment in the chemotherapy arm and occurring more frequently than in the </w:t>
      </w:r>
      <w:proofErr w:type="spellStart"/>
      <w:r w:rsidRPr="00C31183">
        <w:rPr>
          <w:lang w:eastAsia="ja-JP"/>
        </w:rPr>
        <w:t>crizotinib</w:t>
      </w:r>
      <w:proofErr w:type="spellEnd"/>
      <w:r w:rsidRPr="00C31183">
        <w:rPr>
          <w:lang w:eastAsia="ja-JP"/>
        </w:rPr>
        <w:t xml:space="preserve"> arm were, in decreasing order of frequency, febrile neutropenia (1.8%</w:t>
      </w:r>
      <w:r>
        <w:rPr>
          <w:lang w:eastAsia="ja-JP"/>
        </w:rPr>
        <w:t xml:space="preserve"> versus </w:t>
      </w:r>
      <w:r w:rsidRPr="00C31183">
        <w:rPr>
          <w:lang w:eastAsia="ja-JP"/>
        </w:rPr>
        <w:t>0%), asthenia (1.2%</w:t>
      </w:r>
      <w:r>
        <w:rPr>
          <w:lang w:eastAsia="ja-JP"/>
        </w:rPr>
        <w:t xml:space="preserve"> versus </w:t>
      </w:r>
      <w:r w:rsidRPr="00C31183">
        <w:rPr>
          <w:lang w:eastAsia="ja-JP"/>
        </w:rPr>
        <w:t>0%), pericardial effusion (1.2%</w:t>
      </w:r>
      <w:r>
        <w:rPr>
          <w:lang w:eastAsia="ja-JP"/>
        </w:rPr>
        <w:t xml:space="preserve"> versus </w:t>
      </w:r>
      <w:r w:rsidRPr="00C31183">
        <w:rPr>
          <w:lang w:eastAsia="ja-JP"/>
        </w:rPr>
        <w:t>0%), and pleural effusion (1.2%</w:t>
      </w:r>
      <w:r>
        <w:rPr>
          <w:lang w:eastAsia="ja-JP"/>
        </w:rPr>
        <w:t xml:space="preserve"> versus </w:t>
      </w:r>
      <w:r w:rsidR="00791312">
        <w:rPr>
          <w:lang w:eastAsia="ja-JP"/>
        </w:rPr>
        <w:t>0%).</w:t>
      </w:r>
    </w:p>
    <w:p w:rsidR="00CE4F74" w:rsidRPr="00C31183" w:rsidRDefault="00CE4F74" w:rsidP="00791312">
      <w:pPr>
        <w:rPr>
          <w:lang w:eastAsia="ja-JP"/>
        </w:rPr>
      </w:pPr>
      <w:r w:rsidRPr="00C31183">
        <w:rPr>
          <w:lang w:eastAsia="ja-JP"/>
        </w:rPr>
        <w:t xml:space="preserve">TREAs were reported in 6.4% (11/171) of patients in the </w:t>
      </w:r>
      <w:proofErr w:type="spellStart"/>
      <w:r w:rsidRPr="00C31183">
        <w:rPr>
          <w:lang w:eastAsia="ja-JP"/>
        </w:rPr>
        <w:t>crizotinib</w:t>
      </w:r>
      <w:proofErr w:type="spellEnd"/>
      <w:r w:rsidRPr="00C31183">
        <w:rPr>
          <w:lang w:eastAsia="ja-JP"/>
        </w:rPr>
        <w:t xml:space="preserve"> arm and 9.9% (17/171) of pa</w:t>
      </w:r>
      <w:r w:rsidR="00791312">
        <w:rPr>
          <w:lang w:eastAsia="ja-JP"/>
        </w:rPr>
        <w:t>tients in the chemotherapy arm.</w:t>
      </w:r>
    </w:p>
    <w:p w:rsidR="00CE4F74" w:rsidRPr="00C31183" w:rsidRDefault="00CE4F74" w:rsidP="00791312">
      <w:pPr>
        <w:pStyle w:val="Heading5"/>
        <w:rPr>
          <w:lang w:eastAsia="ja-JP"/>
        </w:rPr>
      </w:pPr>
      <w:r w:rsidRPr="00C31183">
        <w:rPr>
          <w:lang w:eastAsia="ja-JP"/>
        </w:rPr>
        <w:t xml:space="preserve"> </w:t>
      </w:r>
      <w:bookmarkStart w:id="104" w:name="_Toc228773385"/>
      <w:r w:rsidRPr="00C31183">
        <w:rPr>
          <w:lang w:eastAsia="ja-JP"/>
        </w:rPr>
        <w:t>Temporary discontinuations due to adverse events</w:t>
      </w:r>
      <w:bookmarkEnd w:id="104"/>
    </w:p>
    <w:p w:rsidR="00CE4F74" w:rsidRPr="00C31183" w:rsidRDefault="00CE4F74" w:rsidP="00791312">
      <w:pPr>
        <w:rPr>
          <w:lang w:eastAsia="ja-JP"/>
        </w:rPr>
      </w:pPr>
      <w:r w:rsidRPr="00C31183">
        <w:rPr>
          <w:lang w:eastAsia="ja-JP"/>
        </w:rPr>
        <w:t xml:space="preserve">Temporary treatment discontinuations due to TEAEs (all causality) were reported in 39.0% (67/172) of patients in the </w:t>
      </w:r>
      <w:proofErr w:type="spellStart"/>
      <w:r w:rsidRPr="00C31183">
        <w:rPr>
          <w:lang w:eastAsia="ja-JP"/>
        </w:rPr>
        <w:t>crizotinib</w:t>
      </w:r>
      <w:proofErr w:type="spellEnd"/>
      <w:r w:rsidRPr="00C31183">
        <w:rPr>
          <w:lang w:eastAsia="ja-JP"/>
        </w:rPr>
        <w:t xml:space="preserve"> arm and 15.8% (27/171) of pa</w:t>
      </w:r>
      <w:r w:rsidR="00791312">
        <w:rPr>
          <w:lang w:eastAsia="ja-JP"/>
        </w:rPr>
        <w:t>tients in the chemotherapy arm.</w:t>
      </w:r>
    </w:p>
    <w:p w:rsidR="00CE4F74" w:rsidRPr="00C31183" w:rsidRDefault="00CE4F74" w:rsidP="00791312">
      <w:pPr>
        <w:rPr>
          <w:lang w:eastAsia="ja-JP"/>
        </w:rPr>
      </w:pPr>
      <w:r w:rsidRPr="00C31183">
        <w:rPr>
          <w:lang w:eastAsia="ja-JP"/>
        </w:rPr>
        <w:t>TEAEs (</w:t>
      </w:r>
      <w:proofErr w:type="spellStart"/>
      <w:r w:rsidRPr="00C31183">
        <w:rPr>
          <w:lang w:eastAsia="ja-JP"/>
        </w:rPr>
        <w:t>MedDRA</w:t>
      </w:r>
      <w:proofErr w:type="spellEnd"/>
      <w:r w:rsidRPr="00C31183">
        <w:rPr>
          <w:lang w:eastAsia="ja-JP"/>
        </w:rPr>
        <w:t xml:space="preserve"> preferred term) resulting in temporary treatment discontinuations in </w:t>
      </w:r>
      <w:r>
        <w:rPr>
          <w:lang w:eastAsia="ja-JP"/>
        </w:rPr>
        <w:t>≥</w:t>
      </w:r>
      <w:r w:rsidRPr="00C31183">
        <w:rPr>
          <w:lang w:eastAsia="ja-JP"/>
        </w:rPr>
        <w:t xml:space="preserve"> 1% of patients in the </w:t>
      </w:r>
      <w:proofErr w:type="spellStart"/>
      <w:r w:rsidRPr="00C31183">
        <w:rPr>
          <w:lang w:eastAsia="ja-JP"/>
        </w:rPr>
        <w:t>crizotinib</w:t>
      </w:r>
      <w:proofErr w:type="spellEnd"/>
      <w:r w:rsidRPr="00C31183">
        <w:rPr>
          <w:lang w:eastAsia="ja-JP"/>
        </w:rPr>
        <w:t xml:space="preserve"> arm and reported more commonly than in the chemotherapy arm were, in decreasing order of frequency, neutropenia (8.1%</w:t>
      </w:r>
      <w:r>
        <w:rPr>
          <w:lang w:eastAsia="ja-JP"/>
        </w:rPr>
        <w:t xml:space="preserve"> versus </w:t>
      </w:r>
      <w:r w:rsidRPr="00C31183">
        <w:rPr>
          <w:lang w:eastAsia="ja-JP"/>
        </w:rPr>
        <w:t>0%), ALT increased (6.4%</w:t>
      </w:r>
      <w:r>
        <w:rPr>
          <w:lang w:eastAsia="ja-JP"/>
        </w:rPr>
        <w:t xml:space="preserve"> versus </w:t>
      </w:r>
      <w:r w:rsidRPr="00C31183">
        <w:rPr>
          <w:lang w:eastAsia="ja-JP"/>
        </w:rPr>
        <w:t>0%), nausea (4.7%</w:t>
      </w:r>
      <w:r>
        <w:rPr>
          <w:lang w:eastAsia="ja-JP"/>
        </w:rPr>
        <w:t xml:space="preserve"> versus </w:t>
      </w:r>
      <w:r w:rsidRPr="00C31183">
        <w:rPr>
          <w:lang w:eastAsia="ja-JP"/>
        </w:rPr>
        <w:t>0%), AST increased (3.5%</w:t>
      </w:r>
      <w:r>
        <w:rPr>
          <w:lang w:eastAsia="ja-JP"/>
        </w:rPr>
        <w:t xml:space="preserve"> versus </w:t>
      </w:r>
      <w:r w:rsidRPr="00C31183">
        <w:rPr>
          <w:lang w:eastAsia="ja-JP"/>
        </w:rPr>
        <w:t>0.6%), vomiting (3.5%</w:t>
      </w:r>
      <w:r>
        <w:rPr>
          <w:lang w:eastAsia="ja-JP"/>
        </w:rPr>
        <w:t xml:space="preserve"> </w:t>
      </w:r>
      <w:r>
        <w:rPr>
          <w:lang w:eastAsia="ja-JP"/>
        </w:rPr>
        <w:lastRenderedPageBreak/>
        <w:t xml:space="preserve">versus </w:t>
      </w:r>
      <w:r w:rsidRPr="00C31183">
        <w:rPr>
          <w:lang w:eastAsia="ja-JP"/>
        </w:rPr>
        <w:t>0%), pneumonia (2.9%</w:t>
      </w:r>
      <w:r>
        <w:rPr>
          <w:lang w:eastAsia="ja-JP"/>
        </w:rPr>
        <w:t xml:space="preserve"> versus </w:t>
      </w:r>
      <w:r w:rsidRPr="00C31183">
        <w:rPr>
          <w:lang w:eastAsia="ja-JP"/>
        </w:rPr>
        <w:t>0.6%), neutrophil count decreased (2.3%</w:t>
      </w:r>
      <w:r>
        <w:rPr>
          <w:lang w:eastAsia="ja-JP"/>
        </w:rPr>
        <w:t xml:space="preserve"> versus </w:t>
      </w:r>
      <w:r w:rsidRPr="00C31183">
        <w:rPr>
          <w:lang w:eastAsia="ja-JP"/>
        </w:rPr>
        <w:t>0%), upper abdominal pain (2.3%</w:t>
      </w:r>
      <w:r>
        <w:rPr>
          <w:lang w:eastAsia="ja-JP"/>
        </w:rPr>
        <w:t xml:space="preserve"> versus </w:t>
      </w:r>
      <w:r w:rsidRPr="00C31183">
        <w:rPr>
          <w:lang w:eastAsia="ja-JP"/>
        </w:rPr>
        <w:t>0%), leukopenia (1.7%</w:t>
      </w:r>
      <w:r>
        <w:rPr>
          <w:lang w:eastAsia="ja-JP"/>
        </w:rPr>
        <w:t xml:space="preserve"> versus </w:t>
      </w:r>
      <w:r w:rsidRPr="00C31183">
        <w:rPr>
          <w:lang w:eastAsia="ja-JP"/>
        </w:rPr>
        <w:t>0%), peripheral oedema (1.7%</w:t>
      </w:r>
      <w:r>
        <w:rPr>
          <w:lang w:eastAsia="ja-JP"/>
        </w:rPr>
        <w:t xml:space="preserve"> versus </w:t>
      </w:r>
      <w:r w:rsidRPr="00C31183">
        <w:rPr>
          <w:lang w:eastAsia="ja-JP"/>
        </w:rPr>
        <w:t>0%), constipation (1.2%</w:t>
      </w:r>
      <w:r>
        <w:rPr>
          <w:lang w:eastAsia="ja-JP"/>
        </w:rPr>
        <w:t xml:space="preserve"> versus </w:t>
      </w:r>
      <w:r w:rsidRPr="00C31183">
        <w:rPr>
          <w:lang w:eastAsia="ja-JP"/>
        </w:rPr>
        <w:t>0%), pyrexia (1.2%</w:t>
      </w:r>
      <w:r>
        <w:rPr>
          <w:lang w:eastAsia="ja-JP"/>
        </w:rPr>
        <w:t xml:space="preserve"> versus </w:t>
      </w:r>
      <w:r w:rsidRPr="00C31183">
        <w:rPr>
          <w:lang w:eastAsia="ja-JP"/>
        </w:rPr>
        <w:t>0%), gastroenteritis (1.2%</w:t>
      </w:r>
      <w:r>
        <w:rPr>
          <w:lang w:eastAsia="ja-JP"/>
        </w:rPr>
        <w:t xml:space="preserve"> versus </w:t>
      </w:r>
      <w:r w:rsidRPr="00C31183">
        <w:rPr>
          <w:lang w:eastAsia="ja-JP"/>
        </w:rPr>
        <w:t>0%), lung infection (1.2%</w:t>
      </w:r>
      <w:r>
        <w:rPr>
          <w:lang w:eastAsia="ja-JP"/>
        </w:rPr>
        <w:t xml:space="preserve"> versus </w:t>
      </w:r>
      <w:r w:rsidRPr="00C31183">
        <w:rPr>
          <w:lang w:eastAsia="ja-JP"/>
        </w:rPr>
        <w:t>0%), sinus bradycardia (1.2%</w:t>
      </w:r>
      <w:r>
        <w:rPr>
          <w:lang w:eastAsia="ja-JP"/>
        </w:rPr>
        <w:t xml:space="preserve"> versus </w:t>
      </w:r>
      <w:r w:rsidRPr="00C31183">
        <w:rPr>
          <w:lang w:eastAsia="ja-JP"/>
        </w:rPr>
        <w:t>0%), ECG QT prolonged (1.2%</w:t>
      </w:r>
      <w:r>
        <w:rPr>
          <w:lang w:eastAsia="ja-JP"/>
        </w:rPr>
        <w:t xml:space="preserve"> versus </w:t>
      </w:r>
      <w:r w:rsidRPr="00C31183">
        <w:rPr>
          <w:lang w:eastAsia="ja-JP"/>
        </w:rPr>
        <w:t>0%), transaminases increased (1.2%</w:t>
      </w:r>
      <w:r>
        <w:rPr>
          <w:lang w:eastAsia="ja-JP"/>
        </w:rPr>
        <w:t xml:space="preserve"> versus </w:t>
      </w:r>
      <w:r w:rsidRPr="00C31183">
        <w:rPr>
          <w:lang w:eastAsia="ja-JP"/>
        </w:rPr>
        <w:t>0%), decreased appetite (1.2%</w:t>
      </w:r>
      <w:r>
        <w:rPr>
          <w:lang w:eastAsia="ja-JP"/>
        </w:rPr>
        <w:t xml:space="preserve"> versus </w:t>
      </w:r>
      <w:r w:rsidRPr="00C31183">
        <w:rPr>
          <w:lang w:eastAsia="ja-JP"/>
        </w:rPr>
        <w:t>0%) and brain oedema (1.2%</w:t>
      </w:r>
      <w:r>
        <w:rPr>
          <w:lang w:eastAsia="ja-JP"/>
        </w:rPr>
        <w:t xml:space="preserve"> versus </w:t>
      </w:r>
      <w:r w:rsidRPr="00C31183">
        <w:rPr>
          <w:lang w:eastAsia="ja-JP"/>
        </w:rPr>
        <w:t>0%)</w:t>
      </w:r>
      <w:r w:rsidR="00791312">
        <w:rPr>
          <w:lang w:eastAsia="ja-JP"/>
        </w:rPr>
        <w:t>.</w:t>
      </w:r>
    </w:p>
    <w:p w:rsidR="00CE4F74" w:rsidRPr="00C31183" w:rsidRDefault="00CE4F74" w:rsidP="00791312">
      <w:pPr>
        <w:rPr>
          <w:lang w:eastAsia="ja-JP"/>
        </w:rPr>
      </w:pPr>
      <w:r w:rsidRPr="00C31183">
        <w:rPr>
          <w:lang w:eastAsia="ja-JP"/>
        </w:rPr>
        <w:t>The only TEAE (</w:t>
      </w:r>
      <w:proofErr w:type="spellStart"/>
      <w:r w:rsidRPr="00C31183">
        <w:rPr>
          <w:lang w:eastAsia="ja-JP"/>
        </w:rPr>
        <w:t>MedDRA</w:t>
      </w:r>
      <w:proofErr w:type="spellEnd"/>
      <w:r w:rsidRPr="00C31183">
        <w:rPr>
          <w:lang w:eastAsia="ja-JP"/>
        </w:rPr>
        <w:t xml:space="preserve"> preferred term) resulting in temporary treatment discontinuation in </w:t>
      </w:r>
      <w:r>
        <w:rPr>
          <w:lang w:eastAsia="ja-JP"/>
        </w:rPr>
        <w:t>≥</w:t>
      </w:r>
      <w:r w:rsidRPr="00C31183">
        <w:rPr>
          <w:lang w:eastAsia="ja-JP"/>
        </w:rPr>
        <w:t xml:space="preserve"> 1% of patients in the chemotherapy arm and reported more commonly than in the </w:t>
      </w:r>
      <w:proofErr w:type="spellStart"/>
      <w:r w:rsidRPr="00C31183">
        <w:rPr>
          <w:lang w:eastAsia="ja-JP"/>
        </w:rPr>
        <w:t>crizotinib</w:t>
      </w:r>
      <w:proofErr w:type="spellEnd"/>
      <w:r w:rsidRPr="00C31183">
        <w:rPr>
          <w:lang w:eastAsia="ja-JP"/>
        </w:rPr>
        <w:t xml:space="preserve"> arm was dizziness (1.2%</w:t>
      </w:r>
      <w:r>
        <w:rPr>
          <w:lang w:eastAsia="ja-JP"/>
        </w:rPr>
        <w:t xml:space="preserve"> versus </w:t>
      </w:r>
      <w:r w:rsidR="00791312">
        <w:rPr>
          <w:lang w:eastAsia="ja-JP"/>
        </w:rPr>
        <w:t>0.6%).</w:t>
      </w:r>
    </w:p>
    <w:p w:rsidR="00CE4F74" w:rsidRPr="00C31183" w:rsidRDefault="00CE4F74" w:rsidP="00791312">
      <w:pPr>
        <w:pStyle w:val="Heading5"/>
        <w:rPr>
          <w:lang w:eastAsia="ja-JP"/>
        </w:rPr>
      </w:pPr>
      <w:bookmarkStart w:id="105" w:name="_Toc228773386"/>
      <w:r w:rsidRPr="00C31183">
        <w:rPr>
          <w:lang w:eastAsia="ja-JP"/>
        </w:rPr>
        <w:t>Dose reductions due to adverse events</w:t>
      </w:r>
      <w:bookmarkEnd w:id="105"/>
    </w:p>
    <w:p w:rsidR="00CE4F74" w:rsidRPr="00C31183" w:rsidRDefault="00CE4F74" w:rsidP="00791312">
      <w:pPr>
        <w:rPr>
          <w:lang w:eastAsia="ja-JP"/>
        </w:rPr>
      </w:pPr>
      <w:r w:rsidRPr="00C31183">
        <w:rPr>
          <w:lang w:eastAsia="ja-JP"/>
        </w:rPr>
        <w:t xml:space="preserve">Dose reductions due to TEAEs were reported in 16.3% (28/172) of patients in the </w:t>
      </w:r>
      <w:proofErr w:type="spellStart"/>
      <w:r w:rsidRPr="00C31183">
        <w:rPr>
          <w:lang w:eastAsia="ja-JP"/>
        </w:rPr>
        <w:t>crizotinib</w:t>
      </w:r>
      <w:proofErr w:type="spellEnd"/>
      <w:r w:rsidRPr="00C31183">
        <w:rPr>
          <w:lang w:eastAsia="ja-JP"/>
        </w:rPr>
        <w:t xml:space="preserve"> arm and 14.6% (25/171) of pa</w:t>
      </w:r>
      <w:r w:rsidR="00791312">
        <w:rPr>
          <w:lang w:eastAsia="ja-JP"/>
        </w:rPr>
        <w:t>tients in the chemotherapy arm.</w:t>
      </w:r>
    </w:p>
    <w:p w:rsidR="00CE4F74" w:rsidRPr="00C31183" w:rsidRDefault="00CE4F74" w:rsidP="00791312">
      <w:pPr>
        <w:rPr>
          <w:lang w:eastAsia="ja-JP"/>
        </w:rPr>
      </w:pPr>
      <w:r w:rsidRPr="00C31183">
        <w:rPr>
          <w:lang w:eastAsia="ja-JP"/>
        </w:rPr>
        <w:t>TEAEs (</w:t>
      </w:r>
      <w:proofErr w:type="spellStart"/>
      <w:r w:rsidRPr="00C31183">
        <w:rPr>
          <w:lang w:eastAsia="ja-JP"/>
        </w:rPr>
        <w:t>MedDRA</w:t>
      </w:r>
      <w:proofErr w:type="spellEnd"/>
      <w:r w:rsidRPr="00C31183">
        <w:rPr>
          <w:lang w:eastAsia="ja-JP"/>
        </w:rPr>
        <w:t xml:space="preserve"> preferred term) resulting in dose reductions in </w:t>
      </w:r>
      <w:r>
        <w:rPr>
          <w:lang w:eastAsia="ja-JP"/>
        </w:rPr>
        <w:t>≥</w:t>
      </w:r>
      <w:r w:rsidRPr="00C31183">
        <w:rPr>
          <w:lang w:eastAsia="ja-JP"/>
        </w:rPr>
        <w:t xml:space="preserve"> 1% of patients in the </w:t>
      </w:r>
      <w:proofErr w:type="spellStart"/>
      <w:r w:rsidRPr="00C31183">
        <w:rPr>
          <w:lang w:eastAsia="ja-JP"/>
        </w:rPr>
        <w:t>crizotinib</w:t>
      </w:r>
      <w:proofErr w:type="spellEnd"/>
      <w:r w:rsidRPr="00C31183">
        <w:rPr>
          <w:lang w:eastAsia="ja-JP"/>
        </w:rPr>
        <w:t xml:space="preserve"> arm and more commonly than in the chemotherapy arm were, in decreasing order of frequency, ALT increased (7.6%</w:t>
      </w:r>
      <w:r>
        <w:rPr>
          <w:lang w:eastAsia="ja-JP"/>
        </w:rPr>
        <w:t xml:space="preserve"> versus </w:t>
      </w:r>
      <w:r w:rsidRPr="00C31183">
        <w:rPr>
          <w:lang w:eastAsia="ja-JP"/>
        </w:rPr>
        <w:t>0%), ECG QT prolonged (2.9%</w:t>
      </w:r>
      <w:r>
        <w:rPr>
          <w:lang w:eastAsia="ja-JP"/>
        </w:rPr>
        <w:t xml:space="preserve"> versus </w:t>
      </w:r>
      <w:r w:rsidRPr="00C31183">
        <w:rPr>
          <w:lang w:eastAsia="ja-JP"/>
        </w:rPr>
        <w:t>0%), AST increased (2.3%</w:t>
      </w:r>
      <w:r>
        <w:rPr>
          <w:lang w:eastAsia="ja-JP"/>
        </w:rPr>
        <w:t xml:space="preserve"> versus </w:t>
      </w:r>
      <w:r w:rsidRPr="00C31183">
        <w:rPr>
          <w:lang w:eastAsia="ja-JP"/>
        </w:rPr>
        <w:t>0%), neutropenia (2.3%</w:t>
      </w:r>
      <w:r>
        <w:rPr>
          <w:lang w:eastAsia="ja-JP"/>
        </w:rPr>
        <w:t xml:space="preserve"> versus </w:t>
      </w:r>
      <w:r w:rsidRPr="00C31183">
        <w:rPr>
          <w:lang w:eastAsia="ja-JP"/>
        </w:rPr>
        <w:t>1.2%) and neutrophil count decreased (1.2%</w:t>
      </w:r>
      <w:r>
        <w:rPr>
          <w:lang w:eastAsia="ja-JP"/>
        </w:rPr>
        <w:t xml:space="preserve"> versus </w:t>
      </w:r>
      <w:r w:rsidR="00791312">
        <w:rPr>
          <w:lang w:eastAsia="ja-JP"/>
        </w:rPr>
        <w:t>0%).</w:t>
      </w:r>
    </w:p>
    <w:p w:rsidR="00CE4F74" w:rsidRPr="00C31183" w:rsidRDefault="00CE4F74" w:rsidP="00791312">
      <w:pPr>
        <w:rPr>
          <w:lang w:eastAsia="ja-JP"/>
        </w:rPr>
      </w:pPr>
      <w:r w:rsidRPr="00C31183">
        <w:rPr>
          <w:lang w:eastAsia="ja-JP"/>
        </w:rPr>
        <w:t>TEAEs (</w:t>
      </w:r>
      <w:proofErr w:type="spellStart"/>
      <w:r w:rsidRPr="00C31183">
        <w:rPr>
          <w:lang w:eastAsia="ja-JP"/>
        </w:rPr>
        <w:t>MedDRA</w:t>
      </w:r>
      <w:proofErr w:type="spellEnd"/>
      <w:r w:rsidRPr="00C31183">
        <w:rPr>
          <w:lang w:eastAsia="ja-JP"/>
        </w:rPr>
        <w:t xml:space="preserve"> preferred term) resulting in dose reductions in </w:t>
      </w:r>
      <w:r>
        <w:rPr>
          <w:lang w:eastAsia="ja-JP"/>
        </w:rPr>
        <w:t>≥</w:t>
      </w:r>
      <w:r w:rsidRPr="00C31183">
        <w:rPr>
          <w:lang w:eastAsia="ja-JP"/>
        </w:rPr>
        <w:t xml:space="preserve"> 1% of patients in the chemotherapy arm and reported more commonly than in the </w:t>
      </w:r>
      <w:proofErr w:type="spellStart"/>
      <w:r w:rsidRPr="00C31183">
        <w:rPr>
          <w:lang w:eastAsia="ja-JP"/>
        </w:rPr>
        <w:t>crizotinib</w:t>
      </w:r>
      <w:proofErr w:type="spellEnd"/>
      <w:r w:rsidRPr="00C31183">
        <w:rPr>
          <w:lang w:eastAsia="ja-JP"/>
        </w:rPr>
        <w:t xml:space="preserve"> arm were, in decreasing order of frequency, febrile neutropenia (7.0%</w:t>
      </w:r>
      <w:r>
        <w:rPr>
          <w:lang w:eastAsia="ja-JP"/>
        </w:rPr>
        <w:t xml:space="preserve"> versus </w:t>
      </w:r>
      <w:r w:rsidRPr="00C31183">
        <w:rPr>
          <w:lang w:eastAsia="ja-JP"/>
        </w:rPr>
        <w:t>0%), fatigue (1.2%</w:t>
      </w:r>
      <w:r>
        <w:rPr>
          <w:lang w:eastAsia="ja-JP"/>
        </w:rPr>
        <w:t xml:space="preserve"> versus </w:t>
      </w:r>
      <w:r w:rsidRPr="00C31183">
        <w:rPr>
          <w:lang w:eastAsia="ja-JP"/>
        </w:rPr>
        <w:t>0%) and mucosal inflammation (1.2%</w:t>
      </w:r>
      <w:r>
        <w:rPr>
          <w:lang w:eastAsia="ja-JP"/>
        </w:rPr>
        <w:t xml:space="preserve"> versus </w:t>
      </w:r>
      <w:r w:rsidRPr="00C31183">
        <w:rPr>
          <w:lang w:eastAsia="ja-JP"/>
        </w:rPr>
        <w:t>0%)</w:t>
      </w:r>
      <w:r w:rsidR="00791312">
        <w:rPr>
          <w:lang w:eastAsia="ja-JP"/>
        </w:rPr>
        <w:t>.</w:t>
      </w:r>
    </w:p>
    <w:p w:rsidR="00CE4F74" w:rsidRPr="00C31183" w:rsidRDefault="00CE4F74" w:rsidP="00791312">
      <w:pPr>
        <w:pStyle w:val="Heading4"/>
      </w:pPr>
      <w:bookmarkStart w:id="106" w:name="_Toc228773387"/>
      <w:r w:rsidRPr="00C31183">
        <w:t>Clinical laboratory</w:t>
      </w:r>
      <w:bookmarkEnd w:id="106"/>
    </w:p>
    <w:p w:rsidR="00CE4F74" w:rsidRPr="00C31183" w:rsidRDefault="00CE4F74" w:rsidP="00791312">
      <w:pPr>
        <w:pStyle w:val="Heading5"/>
        <w:rPr>
          <w:lang w:eastAsia="ja-JP"/>
        </w:rPr>
      </w:pPr>
      <w:bookmarkStart w:id="107" w:name="_Toc228773388"/>
      <w:r w:rsidRPr="00C31183">
        <w:rPr>
          <w:lang w:eastAsia="ja-JP"/>
        </w:rPr>
        <w:t>Introduction</w:t>
      </w:r>
      <w:bookmarkEnd w:id="107"/>
    </w:p>
    <w:p w:rsidR="00CE4F74" w:rsidRPr="00C31183" w:rsidRDefault="00CE4F74" w:rsidP="00791312">
      <w:pPr>
        <w:rPr>
          <w:lang w:eastAsia="ja-JP"/>
        </w:rPr>
      </w:pPr>
      <w:r w:rsidRPr="00C31183">
        <w:rPr>
          <w:lang w:eastAsia="ja-JP"/>
        </w:rPr>
        <w:t>Haematology and blood chemistry results were graded according to NCI CTCAE v4.0. Summaries of relevant shifts of baseline grade by maximum post</w:t>
      </w:r>
      <w:r>
        <w:rPr>
          <w:lang w:eastAsia="ja-JP"/>
        </w:rPr>
        <w:t xml:space="preserve"> </w:t>
      </w:r>
      <w:r w:rsidRPr="00C31183">
        <w:rPr>
          <w:lang w:eastAsia="ja-JP"/>
        </w:rPr>
        <w:t xml:space="preserve">baseline CTCAE grade were presented. Patients who developed toxicities of Grade </w:t>
      </w:r>
      <w:r>
        <w:rPr>
          <w:lang w:eastAsia="ja-JP"/>
        </w:rPr>
        <w:t>≥</w:t>
      </w:r>
      <w:r w:rsidRPr="00C31183">
        <w:rPr>
          <w:lang w:eastAsia="ja-JP"/>
        </w:rPr>
        <w:t xml:space="preserve"> 3 were also listed. An evaluation of drug-induced serious hepatotoxicity (e-DISH) was performed and an e-DISH scatter plot of maximum ALT</w:t>
      </w:r>
      <w:r>
        <w:rPr>
          <w:lang w:eastAsia="ja-JP"/>
        </w:rPr>
        <w:t xml:space="preserve"> versus </w:t>
      </w:r>
      <w:r w:rsidRPr="00C31183">
        <w:rPr>
          <w:lang w:eastAsia="ja-JP"/>
        </w:rPr>
        <w:t>maximum total bilirubin on study was presented. Clinical laboratory values deemed to be clinically significant by investigators w</w:t>
      </w:r>
      <w:r w:rsidR="00791312">
        <w:rPr>
          <w:lang w:eastAsia="ja-JP"/>
        </w:rPr>
        <w:t>ere reported as adverse events.</w:t>
      </w:r>
    </w:p>
    <w:p w:rsidR="00CE4F74" w:rsidRPr="00C31183" w:rsidRDefault="00CE4F74" w:rsidP="00791312">
      <w:pPr>
        <w:pStyle w:val="Heading5"/>
        <w:rPr>
          <w:lang w:eastAsia="ja-JP"/>
        </w:rPr>
      </w:pPr>
      <w:bookmarkStart w:id="108" w:name="_Toc228773389"/>
      <w:r w:rsidRPr="00C31183">
        <w:rPr>
          <w:lang w:eastAsia="ja-JP"/>
        </w:rPr>
        <w:t>Haematology</w:t>
      </w:r>
      <w:bookmarkEnd w:id="108"/>
    </w:p>
    <w:p w:rsidR="00CE4F74" w:rsidRPr="00C31183" w:rsidRDefault="00CE4F74" w:rsidP="00791312">
      <w:pPr>
        <w:pStyle w:val="Heading6"/>
        <w:numPr>
          <w:ilvl w:val="0"/>
          <w:numId w:val="0"/>
        </w:numPr>
        <w:ind w:left="1702" w:hanging="1418"/>
        <w:rPr>
          <w:lang w:eastAsia="ja-JP"/>
        </w:rPr>
      </w:pPr>
      <w:r w:rsidRPr="00C31183">
        <w:rPr>
          <w:lang w:eastAsia="ja-JP"/>
        </w:rPr>
        <w:t>(a)</w:t>
      </w:r>
      <w:r w:rsidRPr="00C31183">
        <w:rPr>
          <w:lang w:eastAsia="ja-JP"/>
        </w:rPr>
        <w:tab/>
      </w:r>
      <w:proofErr w:type="spellStart"/>
      <w:r w:rsidRPr="00C31183">
        <w:rPr>
          <w:lang w:eastAsia="ja-JP"/>
        </w:rPr>
        <w:t>Crizotinib</w:t>
      </w:r>
      <w:proofErr w:type="spellEnd"/>
      <w:r>
        <w:rPr>
          <w:lang w:eastAsia="ja-JP"/>
        </w:rPr>
        <w:t xml:space="preserve"> versus </w:t>
      </w:r>
      <w:r w:rsidR="00791312">
        <w:rPr>
          <w:lang w:eastAsia="ja-JP"/>
        </w:rPr>
        <w:t>chemotherapy</w:t>
      </w:r>
    </w:p>
    <w:p w:rsidR="00CE4F74" w:rsidRPr="00C31183" w:rsidRDefault="00CE4F74" w:rsidP="00791312">
      <w:pPr>
        <w:rPr>
          <w:lang w:eastAsia="ja-JP"/>
        </w:rPr>
      </w:pPr>
      <w:r w:rsidRPr="00C31183">
        <w:rPr>
          <w:lang w:eastAsia="ja-JP"/>
        </w:rPr>
        <w:t xml:space="preserve">In the </w:t>
      </w:r>
      <w:proofErr w:type="spellStart"/>
      <w:r w:rsidRPr="00C31183">
        <w:rPr>
          <w:lang w:eastAsia="ja-JP"/>
        </w:rPr>
        <w:t>crizotinib</w:t>
      </w:r>
      <w:proofErr w:type="spellEnd"/>
      <w:r w:rsidRPr="00C31183">
        <w:rPr>
          <w:lang w:eastAsia="ja-JP"/>
        </w:rPr>
        <w:t xml:space="preserve"> arm (v</w:t>
      </w:r>
      <w:r>
        <w:rPr>
          <w:lang w:eastAsia="ja-JP"/>
        </w:rPr>
        <w:t>ersu</w:t>
      </w:r>
      <w:r w:rsidRPr="00C31183">
        <w:rPr>
          <w:lang w:eastAsia="ja-JP"/>
        </w:rPr>
        <w:t xml:space="preserve">s chemotherapy), the most common shifts from Grade </w:t>
      </w:r>
      <w:r>
        <w:rPr>
          <w:lang w:eastAsia="ja-JP"/>
        </w:rPr>
        <w:t>≤</w:t>
      </w:r>
      <w:r w:rsidRPr="00C31183">
        <w:rPr>
          <w:lang w:eastAsia="ja-JP"/>
        </w:rPr>
        <w:t xml:space="preserve"> 2 to Grade 3 events occurring in </w:t>
      </w:r>
      <w:r>
        <w:rPr>
          <w:lang w:eastAsia="ja-JP"/>
        </w:rPr>
        <w:t>≥</w:t>
      </w:r>
      <w:r w:rsidRPr="00C31183">
        <w:rPr>
          <w:lang w:eastAsia="ja-JP"/>
        </w:rPr>
        <w:t xml:space="preserve"> 2% of patients were absolute neutrophils (10.6%</w:t>
      </w:r>
      <w:r>
        <w:rPr>
          <w:lang w:eastAsia="ja-JP"/>
        </w:rPr>
        <w:t xml:space="preserve"> versus </w:t>
      </w:r>
      <w:r w:rsidRPr="00C31183">
        <w:rPr>
          <w:lang w:eastAsia="ja-JP"/>
        </w:rPr>
        <w:t xml:space="preserve">4.2%), </w:t>
      </w:r>
      <w:proofErr w:type="spellStart"/>
      <w:r w:rsidRPr="00C31183">
        <w:rPr>
          <w:lang w:eastAsia="ja-JP"/>
        </w:rPr>
        <w:t>lymphopenia</w:t>
      </w:r>
      <w:proofErr w:type="spellEnd"/>
      <w:r w:rsidRPr="00C31183">
        <w:rPr>
          <w:lang w:eastAsia="ja-JP"/>
        </w:rPr>
        <w:t xml:space="preserve"> (8.2%</w:t>
      </w:r>
      <w:r>
        <w:rPr>
          <w:lang w:eastAsia="ja-JP"/>
        </w:rPr>
        <w:t xml:space="preserve"> versus </w:t>
      </w:r>
      <w:r w:rsidRPr="00C31183">
        <w:rPr>
          <w:lang w:eastAsia="ja-JP"/>
        </w:rPr>
        <w:t>23.0%) and white blood cells (5.3%</w:t>
      </w:r>
      <w:r>
        <w:rPr>
          <w:lang w:eastAsia="ja-JP"/>
        </w:rPr>
        <w:t xml:space="preserve"> versus </w:t>
      </w:r>
      <w:r w:rsidRPr="00C31183">
        <w:rPr>
          <w:lang w:eastAsia="ja-JP"/>
        </w:rPr>
        <w:t xml:space="preserve">5.5%), and the most common shifts from Grade </w:t>
      </w:r>
      <w:r>
        <w:rPr>
          <w:lang w:eastAsia="ja-JP"/>
        </w:rPr>
        <w:t>≤</w:t>
      </w:r>
      <w:r w:rsidRPr="00C31183">
        <w:rPr>
          <w:lang w:eastAsia="ja-JP"/>
        </w:rPr>
        <w:t xml:space="preserve"> 2 to Grade 4 occurring in </w:t>
      </w:r>
      <w:r>
        <w:rPr>
          <w:lang w:eastAsia="ja-JP"/>
        </w:rPr>
        <w:t>≥</w:t>
      </w:r>
      <w:r w:rsidRPr="00C31183">
        <w:rPr>
          <w:lang w:eastAsia="ja-JP"/>
        </w:rPr>
        <w:t xml:space="preserve"> 1% of patients were absolute neutrophils (2.4%</w:t>
      </w:r>
      <w:r>
        <w:rPr>
          <w:lang w:eastAsia="ja-JP"/>
        </w:rPr>
        <w:t xml:space="preserve"> versus </w:t>
      </w:r>
      <w:r w:rsidRPr="00C31183">
        <w:rPr>
          <w:lang w:eastAsia="ja-JP"/>
        </w:rPr>
        <w:t>7.9%). In the chemotherapy arm (v</w:t>
      </w:r>
      <w:r>
        <w:rPr>
          <w:lang w:eastAsia="ja-JP"/>
        </w:rPr>
        <w:t>ersu</w:t>
      </w:r>
      <w:r w:rsidRPr="00C31183">
        <w:rPr>
          <w:lang w:eastAsia="ja-JP"/>
        </w:rPr>
        <w:t xml:space="preserve">s </w:t>
      </w:r>
      <w:proofErr w:type="spellStart"/>
      <w:r w:rsidRPr="00C31183">
        <w:rPr>
          <w:lang w:eastAsia="ja-JP"/>
        </w:rPr>
        <w:t>crizotinib</w:t>
      </w:r>
      <w:proofErr w:type="spellEnd"/>
      <w:r w:rsidRPr="00C31183">
        <w:rPr>
          <w:lang w:eastAsia="ja-JP"/>
        </w:rPr>
        <w:t xml:space="preserve">), the most common shifts from Grade </w:t>
      </w:r>
      <w:r>
        <w:rPr>
          <w:lang w:eastAsia="ja-JP"/>
        </w:rPr>
        <w:t>≤</w:t>
      </w:r>
      <w:r w:rsidRPr="00C31183">
        <w:rPr>
          <w:lang w:eastAsia="ja-JP"/>
        </w:rPr>
        <w:t xml:space="preserve"> 2 to Grade 3 events occurring in </w:t>
      </w:r>
      <w:r>
        <w:rPr>
          <w:lang w:eastAsia="ja-JP"/>
        </w:rPr>
        <w:t>≥</w:t>
      </w:r>
      <w:r w:rsidRPr="00C31183">
        <w:rPr>
          <w:lang w:eastAsia="ja-JP"/>
        </w:rPr>
        <w:t xml:space="preserve"> 2% of patients were </w:t>
      </w:r>
      <w:proofErr w:type="spellStart"/>
      <w:r w:rsidRPr="00C31183">
        <w:rPr>
          <w:lang w:eastAsia="ja-JP"/>
        </w:rPr>
        <w:t>lymphopenia</w:t>
      </w:r>
      <w:proofErr w:type="spellEnd"/>
      <w:r w:rsidRPr="00C31183">
        <w:rPr>
          <w:lang w:eastAsia="ja-JP"/>
        </w:rPr>
        <w:t xml:space="preserve"> (23.0%</w:t>
      </w:r>
      <w:r>
        <w:rPr>
          <w:lang w:eastAsia="ja-JP"/>
        </w:rPr>
        <w:t xml:space="preserve"> versus </w:t>
      </w:r>
      <w:r w:rsidRPr="00C31183">
        <w:rPr>
          <w:lang w:eastAsia="ja-JP"/>
        </w:rPr>
        <w:t>8.2%), white blood cells (5.5%</w:t>
      </w:r>
      <w:r>
        <w:rPr>
          <w:lang w:eastAsia="ja-JP"/>
        </w:rPr>
        <w:t xml:space="preserve"> versus </w:t>
      </w:r>
      <w:r w:rsidRPr="00C31183">
        <w:rPr>
          <w:lang w:eastAsia="ja-JP"/>
        </w:rPr>
        <w:t>5.3%) and absolute neutrophils (4.2%</w:t>
      </w:r>
      <w:r>
        <w:rPr>
          <w:lang w:eastAsia="ja-JP"/>
        </w:rPr>
        <w:t xml:space="preserve"> versus </w:t>
      </w:r>
      <w:r w:rsidRPr="00C31183">
        <w:rPr>
          <w:lang w:eastAsia="ja-JP"/>
        </w:rPr>
        <w:t xml:space="preserve">10.6%), and the most common shifts from Grade </w:t>
      </w:r>
      <w:r>
        <w:rPr>
          <w:lang w:eastAsia="ja-JP"/>
        </w:rPr>
        <w:t>≤</w:t>
      </w:r>
      <w:r w:rsidRPr="00C31183">
        <w:rPr>
          <w:lang w:eastAsia="ja-JP"/>
        </w:rPr>
        <w:t xml:space="preserve"> 2 to Grade 4 events occurring in </w:t>
      </w:r>
      <w:r>
        <w:rPr>
          <w:lang w:eastAsia="ja-JP"/>
        </w:rPr>
        <w:t>≥</w:t>
      </w:r>
      <w:r w:rsidRPr="00C31183">
        <w:rPr>
          <w:lang w:eastAsia="ja-JP"/>
        </w:rPr>
        <w:t xml:space="preserve"> 1% of patients were absolute neutrophils (7.9%</w:t>
      </w:r>
      <w:r>
        <w:rPr>
          <w:lang w:eastAsia="ja-JP"/>
        </w:rPr>
        <w:t xml:space="preserve"> versus </w:t>
      </w:r>
      <w:r w:rsidRPr="00C31183">
        <w:rPr>
          <w:lang w:eastAsia="ja-JP"/>
        </w:rPr>
        <w:t>2.4%), platelets (1.2%</w:t>
      </w:r>
      <w:r>
        <w:rPr>
          <w:lang w:eastAsia="ja-JP"/>
        </w:rPr>
        <w:t xml:space="preserve"> versus </w:t>
      </w:r>
      <w:r w:rsidRPr="00C31183">
        <w:rPr>
          <w:lang w:eastAsia="ja-JP"/>
        </w:rPr>
        <w:t>0%) and white blood cells (1.2%</w:t>
      </w:r>
      <w:r>
        <w:rPr>
          <w:lang w:eastAsia="ja-JP"/>
        </w:rPr>
        <w:t xml:space="preserve"> versus </w:t>
      </w:r>
      <w:r w:rsidR="00791312">
        <w:rPr>
          <w:lang w:eastAsia="ja-JP"/>
        </w:rPr>
        <w:t>0%).</w:t>
      </w:r>
    </w:p>
    <w:p w:rsidR="00CE4F74" w:rsidRPr="00C31183" w:rsidRDefault="00CE4F74" w:rsidP="00791312">
      <w:pPr>
        <w:pStyle w:val="Heading6"/>
        <w:numPr>
          <w:ilvl w:val="0"/>
          <w:numId w:val="0"/>
        </w:numPr>
        <w:ind w:left="1702" w:hanging="1418"/>
        <w:rPr>
          <w:lang w:eastAsia="ja-JP"/>
        </w:rPr>
      </w:pPr>
      <w:r w:rsidRPr="00C31183">
        <w:rPr>
          <w:lang w:eastAsia="ja-JP"/>
        </w:rPr>
        <w:t>(b)</w:t>
      </w:r>
      <w:r w:rsidRPr="00C31183">
        <w:rPr>
          <w:lang w:eastAsia="ja-JP"/>
        </w:rPr>
        <w:tab/>
      </w:r>
      <w:proofErr w:type="spellStart"/>
      <w:r w:rsidRPr="00C31183">
        <w:rPr>
          <w:lang w:eastAsia="ja-JP"/>
        </w:rPr>
        <w:t>Crizot</w:t>
      </w:r>
      <w:r w:rsidR="00791312">
        <w:rPr>
          <w:lang w:eastAsia="ja-JP"/>
        </w:rPr>
        <w:t>inib</w:t>
      </w:r>
      <w:proofErr w:type="spellEnd"/>
      <w:r w:rsidR="00791312">
        <w:rPr>
          <w:lang w:eastAsia="ja-JP"/>
        </w:rPr>
        <w:t xml:space="preserve">, </w:t>
      </w:r>
      <w:proofErr w:type="spellStart"/>
      <w:r w:rsidR="00791312">
        <w:rPr>
          <w:lang w:eastAsia="ja-JP"/>
        </w:rPr>
        <w:t>pemetrexed</w:t>
      </w:r>
      <w:proofErr w:type="spellEnd"/>
      <w:r w:rsidR="00791312">
        <w:rPr>
          <w:lang w:eastAsia="ja-JP"/>
        </w:rPr>
        <w:t xml:space="preserve"> and </w:t>
      </w:r>
      <w:proofErr w:type="spellStart"/>
      <w:r w:rsidR="00791312">
        <w:rPr>
          <w:lang w:eastAsia="ja-JP"/>
        </w:rPr>
        <w:t>docetaxel</w:t>
      </w:r>
      <w:proofErr w:type="spellEnd"/>
    </w:p>
    <w:p w:rsidR="00CE4F74" w:rsidRPr="00C31183" w:rsidRDefault="00CE4F74" w:rsidP="00791312">
      <w:pPr>
        <w:rPr>
          <w:lang w:eastAsia="ja-JP"/>
        </w:rPr>
      </w:pPr>
      <w:r w:rsidRPr="00C31183">
        <w:rPr>
          <w:lang w:eastAsia="ja-JP"/>
        </w:rPr>
        <w:t xml:space="preserve">The most common shifts from Grade </w:t>
      </w:r>
      <w:r>
        <w:rPr>
          <w:lang w:eastAsia="ja-JP"/>
        </w:rPr>
        <w:t xml:space="preserve">≤ </w:t>
      </w:r>
      <w:r w:rsidRPr="00C31183">
        <w:rPr>
          <w:lang w:eastAsia="ja-JP"/>
        </w:rPr>
        <w:t xml:space="preserve">2 at baseline to Grade 3 events were </w:t>
      </w:r>
      <w:proofErr w:type="spellStart"/>
      <w:r w:rsidRPr="00C31183">
        <w:rPr>
          <w:lang w:eastAsia="ja-JP"/>
        </w:rPr>
        <w:t>lymphopenia</w:t>
      </w:r>
      <w:proofErr w:type="spellEnd"/>
      <w:r w:rsidRPr="00C31183">
        <w:rPr>
          <w:lang w:eastAsia="ja-JP"/>
        </w:rPr>
        <w:t xml:space="preserve"> (27.4%</w:t>
      </w:r>
      <w:r>
        <w:rPr>
          <w:lang w:eastAsia="ja-JP"/>
        </w:rPr>
        <w:t xml:space="preserve"> versus </w:t>
      </w:r>
      <w:r w:rsidRPr="00C31183">
        <w:rPr>
          <w:lang w:eastAsia="ja-JP"/>
        </w:rPr>
        <w:t>8.2% [</w:t>
      </w:r>
      <w:proofErr w:type="spellStart"/>
      <w:r w:rsidRPr="00C31183">
        <w:rPr>
          <w:lang w:eastAsia="ja-JP"/>
        </w:rPr>
        <w:t>crizotinib</w:t>
      </w:r>
      <w:proofErr w:type="spellEnd"/>
      <w:r w:rsidRPr="00C31183">
        <w:rPr>
          <w:lang w:eastAsia="ja-JP"/>
        </w:rPr>
        <w:t xml:space="preserve">]) in the </w:t>
      </w:r>
      <w:proofErr w:type="spellStart"/>
      <w:r w:rsidRPr="00C31183">
        <w:rPr>
          <w:lang w:eastAsia="ja-JP"/>
        </w:rPr>
        <w:t>pemetrexed</w:t>
      </w:r>
      <w:proofErr w:type="spellEnd"/>
      <w:r w:rsidRPr="00C31183">
        <w:rPr>
          <w:lang w:eastAsia="ja-JP"/>
        </w:rPr>
        <w:t xml:space="preserve"> group, and </w:t>
      </w:r>
      <w:proofErr w:type="spellStart"/>
      <w:r w:rsidRPr="00C31183">
        <w:rPr>
          <w:lang w:eastAsia="ja-JP"/>
        </w:rPr>
        <w:t>lymphopenia</w:t>
      </w:r>
      <w:proofErr w:type="spellEnd"/>
      <w:r w:rsidRPr="00C31183">
        <w:rPr>
          <w:lang w:eastAsia="ja-JP"/>
        </w:rPr>
        <w:t xml:space="preserve"> (17.1%</w:t>
      </w:r>
      <w:r>
        <w:rPr>
          <w:lang w:eastAsia="ja-JP"/>
        </w:rPr>
        <w:t xml:space="preserve"> versus </w:t>
      </w:r>
      <w:r w:rsidRPr="00C31183">
        <w:rPr>
          <w:lang w:eastAsia="ja-JP"/>
        </w:rPr>
        <w:t>8.2% [</w:t>
      </w:r>
      <w:proofErr w:type="spellStart"/>
      <w:r w:rsidRPr="00C31183">
        <w:rPr>
          <w:lang w:eastAsia="ja-JP"/>
        </w:rPr>
        <w:t>crizotinib</w:t>
      </w:r>
      <w:proofErr w:type="spellEnd"/>
      <w:r w:rsidRPr="00C31183">
        <w:rPr>
          <w:lang w:eastAsia="ja-JP"/>
        </w:rPr>
        <w:t xml:space="preserve">]) in the </w:t>
      </w:r>
      <w:proofErr w:type="spellStart"/>
      <w:r w:rsidRPr="00C31183">
        <w:rPr>
          <w:lang w:eastAsia="ja-JP"/>
        </w:rPr>
        <w:t>docetaxel</w:t>
      </w:r>
      <w:proofErr w:type="spellEnd"/>
      <w:r w:rsidRPr="00C31183">
        <w:rPr>
          <w:lang w:eastAsia="ja-JP"/>
        </w:rPr>
        <w:t xml:space="preserve"> group. The most common shifts from Grade </w:t>
      </w:r>
      <w:r>
        <w:rPr>
          <w:lang w:eastAsia="ja-JP"/>
        </w:rPr>
        <w:t>≤</w:t>
      </w:r>
      <w:r w:rsidRPr="00C31183">
        <w:rPr>
          <w:lang w:eastAsia="ja-JP"/>
        </w:rPr>
        <w:t xml:space="preserve"> 2 at baseline to Grade 4 events were platelets (2.1%</w:t>
      </w:r>
      <w:r>
        <w:rPr>
          <w:lang w:eastAsia="ja-JP"/>
        </w:rPr>
        <w:t xml:space="preserve"> versus </w:t>
      </w:r>
      <w:r w:rsidRPr="00C31183">
        <w:rPr>
          <w:lang w:eastAsia="ja-JP"/>
        </w:rPr>
        <w:t>0% [</w:t>
      </w:r>
      <w:proofErr w:type="spellStart"/>
      <w:r w:rsidRPr="00C31183">
        <w:rPr>
          <w:lang w:eastAsia="ja-JP"/>
        </w:rPr>
        <w:t>crizotinib</w:t>
      </w:r>
      <w:proofErr w:type="spellEnd"/>
      <w:r w:rsidRPr="00C31183">
        <w:rPr>
          <w:lang w:eastAsia="ja-JP"/>
        </w:rPr>
        <w:t xml:space="preserve">]) in the </w:t>
      </w:r>
      <w:proofErr w:type="spellStart"/>
      <w:r w:rsidRPr="00C31183">
        <w:rPr>
          <w:lang w:eastAsia="ja-JP"/>
        </w:rPr>
        <w:t>pemetrexed</w:t>
      </w:r>
      <w:proofErr w:type="spellEnd"/>
      <w:r w:rsidRPr="00C31183">
        <w:rPr>
          <w:lang w:eastAsia="ja-JP"/>
        </w:rPr>
        <w:t xml:space="preserve"> group, and </w:t>
      </w:r>
      <w:r w:rsidRPr="00C31183">
        <w:rPr>
          <w:lang w:eastAsia="ja-JP"/>
        </w:rPr>
        <w:lastRenderedPageBreak/>
        <w:t>absolute neutrophils (18.6%</w:t>
      </w:r>
      <w:r>
        <w:rPr>
          <w:lang w:eastAsia="ja-JP"/>
        </w:rPr>
        <w:t xml:space="preserve"> versus </w:t>
      </w:r>
      <w:r w:rsidRPr="00C31183">
        <w:rPr>
          <w:lang w:eastAsia="ja-JP"/>
        </w:rPr>
        <w:t>2.4% [</w:t>
      </w:r>
      <w:proofErr w:type="spellStart"/>
      <w:r w:rsidRPr="00C31183">
        <w:rPr>
          <w:lang w:eastAsia="ja-JP"/>
        </w:rPr>
        <w:t>crizotinib</w:t>
      </w:r>
      <w:proofErr w:type="spellEnd"/>
      <w:r w:rsidRPr="00C31183">
        <w:rPr>
          <w:lang w:eastAsia="ja-JP"/>
        </w:rPr>
        <w:t>]) and white blood cells (2.9%</w:t>
      </w:r>
      <w:r>
        <w:rPr>
          <w:lang w:eastAsia="ja-JP"/>
        </w:rPr>
        <w:t xml:space="preserve"> versus </w:t>
      </w:r>
      <w:r w:rsidRPr="00C31183">
        <w:rPr>
          <w:lang w:eastAsia="ja-JP"/>
        </w:rPr>
        <w:t>0% [</w:t>
      </w:r>
      <w:proofErr w:type="spellStart"/>
      <w:r w:rsidRPr="00C31183">
        <w:rPr>
          <w:lang w:eastAsia="ja-JP"/>
        </w:rPr>
        <w:t>crizotinib</w:t>
      </w:r>
      <w:proofErr w:type="spellEnd"/>
      <w:r w:rsidRPr="00C31183">
        <w:rPr>
          <w:lang w:eastAsia="ja-JP"/>
        </w:rPr>
        <w:t xml:space="preserve">]) in the </w:t>
      </w:r>
      <w:proofErr w:type="spellStart"/>
      <w:r w:rsidRPr="00C31183">
        <w:rPr>
          <w:lang w:eastAsia="ja-JP"/>
        </w:rPr>
        <w:t>docetaxel</w:t>
      </w:r>
      <w:proofErr w:type="spellEnd"/>
      <w:r w:rsidR="00791312">
        <w:rPr>
          <w:lang w:eastAsia="ja-JP"/>
        </w:rPr>
        <w:t xml:space="preserve"> group.</w:t>
      </w:r>
    </w:p>
    <w:p w:rsidR="00CE4F74" w:rsidRPr="00C31183" w:rsidRDefault="00CE4F74" w:rsidP="00791312">
      <w:pPr>
        <w:pStyle w:val="Heading5"/>
      </w:pPr>
      <w:bookmarkStart w:id="109" w:name="_Toc228773390"/>
      <w:r w:rsidRPr="00C31183">
        <w:t>Chemistry</w:t>
      </w:r>
      <w:bookmarkEnd w:id="109"/>
    </w:p>
    <w:p w:rsidR="00CE4F74" w:rsidRPr="00C31183" w:rsidRDefault="00CE4F74" w:rsidP="00791312">
      <w:pPr>
        <w:pStyle w:val="Heading6"/>
        <w:numPr>
          <w:ilvl w:val="0"/>
          <w:numId w:val="0"/>
        </w:numPr>
        <w:ind w:left="1702" w:hanging="1418"/>
        <w:rPr>
          <w:lang w:eastAsia="ja-JP"/>
        </w:rPr>
      </w:pPr>
      <w:r w:rsidRPr="00C31183">
        <w:rPr>
          <w:lang w:eastAsia="ja-JP"/>
        </w:rPr>
        <w:t>(a)</w:t>
      </w:r>
      <w:r w:rsidRPr="00C31183">
        <w:rPr>
          <w:lang w:eastAsia="ja-JP"/>
        </w:rPr>
        <w:tab/>
      </w:r>
      <w:proofErr w:type="spellStart"/>
      <w:r w:rsidRPr="00C31183">
        <w:rPr>
          <w:lang w:eastAsia="ja-JP"/>
        </w:rPr>
        <w:t>Crizotinib</w:t>
      </w:r>
      <w:proofErr w:type="spellEnd"/>
      <w:r>
        <w:rPr>
          <w:lang w:eastAsia="ja-JP"/>
        </w:rPr>
        <w:t xml:space="preserve"> versus </w:t>
      </w:r>
      <w:r w:rsidR="00791312">
        <w:rPr>
          <w:lang w:eastAsia="ja-JP"/>
        </w:rPr>
        <w:t>chemotherapy</w:t>
      </w:r>
    </w:p>
    <w:p w:rsidR="00CE4F74" w:rsidRPr="00C31183" w:rsidRDefault="00CE4F74" w:rsidP="00791312">
      <w:pPr>
        <w:rPr>
          <w:lang w:eastAsia="ja-JP"/>
        </w:rPr>
      </w:pPr>
      <w:r w:rsidRPr="00C31183">
        <w:rPr>
          <w:lang w:eastAsia="ja-JP"/>
        </w:rPr>
        <w:t xml:space="preserve">The most common shifts from baseline Grade </w:t>
      </w:r>
      <w:r>
        <w:rPr>
          <w:lang w:eastAsia="ja-JP"/>
        </w:rPr>
        <w:t>≤</w:t>
      </w:r>
      <w:r w:rsidRPr="00C31183">
        <w:rPr>
          <w:lang w:eastAsia="ja-JP"/>
        </w:rPr>
        <w:t xml:space="preserve"> 2 to post</w:t>
      </w:r>
      <w:r>
        <w:rPr>
          <w:lang w:eastAsia="ja-JP"/>
        </w:rPr>
        <w:t xml:space="preserve"> </w:t>
      </w:r>
      <w:r w:rsidRPr="00C31183">
        <w:rPr>
          <w:lang w:eastAsia="ja-JP"/>
        </w:rPr>
        <w:t xml:space="preserve">baseline Grade 3 events occurring in </w:t>
      </w:r>
      <w:r>
        <w:rPr>
          <w:lang w:eastAsia="ja-JP"/>
        </w:rPr>
        <w:t>≥</w:t>
      </w:r>
      <w:r w:rsidRPr="00C31183">
        <w:rPr>
          <w:lang w:eastAsia="ja-JP"/>
        </w:rPr>
        <w:t xml:space="preserve"> 2% of patients in the </w:t>
      </w:r>
      <w:proofErr w:type="spellStart"/>
      <w:r w:rsidRPr="00C31183">
        <w:rPr>
          <w:lang w:eastAsia="ja-JP"/>
        </w:rPr>
        <w:t>crizotinib</w:t>
      </w:r>
      <w:proofErr w:type="spellEnd"/>
      <w:r w:rsidRPr="00C31183">
        <w:rPr>
          <w:lang w:eastAsia="ja-JP"/>
        </w:rPr>
        <w:t xml:space="preserve"> arm (v</w:t>
      </w:r>
      <w:r>
        <w:rPr>
          <w:lang w:eastAsia="ja-JP"/>
        </w:rPr>
        <w:t>ersu</w:t>
      </w:r>
      <w:r w:rsidRPr="00C31183">
        <w:rPr>
          <w:lang w:eastAsia="ja-JP"/>
        </w:rPr>
        <w:t>s chemotherapy) were ALT (12.9%</w:t>
      </w:r>
      <w:r>
        <w:rPr>
          <w:lang w:eastAsia="ja-JP"/>
        </w:rPr>
        <w:t xml:space="preserve"> versus </w:t>
      </w:r>
      <w:r w:rsidRPr="00C31183">
        <w:rPr>
          <w:lang w:eastAsia="ja-JP"/>
        </w:rPr>
        <w:t>4.2%), AST (8.8%</w:t>
      </w:r>
      <w:r>
        <w:rPr>
          <w:lang w:eastAsia="ja-JP"/>
        </w:rPr>
        <w:t xml:space="preserve"> versus </w:t>
      </w:r>
      <w:r w:rsidRPr="00C31183">
        <w:rPr>
          <w:lang w:eastAsia="ja-JP"/>
        </w:rPr>
        <w:t xml:space="preserve">0%), </w:t>
      </w:r>
      <w:proofErr w:type="spellStart"/>
      <w:r w:rsidRPr="00C31183">
        <w:rPr>
          <w:lang w:eastAsia="ja-JP"/>
        </w:rPr>
        <w:t>hypophosphataemia</w:t>
      </w:r>
      <w:proofErr w:type="spellEnd"/>
      <w:r w:rsidRPr="00C31183">
        <w:rPr>
          <w:lang w:eastAsia="ja-JP"/>
        </w:rPr>
        <w:t xml:space="preserve"> (4.7%</w:t>
      </w:r>
      <w:r>
        <w:rPr>
          <w:lang w:eastAsia="ja-JP"/>
        </w:rPr>
        <w:t xml:space="preserve"> versus </w:t>
      </w:r>
      <w:r w:rsidRPr="00C31183">
        <w:rPr>
          <w:lang w:eastAsia="ja-JP"/>
        </w:rPr>
        <w:t>7.5%), hypokalaemia (4.1%</w:t>
      </w:r>
      <w:r>
        <w:rPr>
          <w:lang w:eastAsia="ja-JP"/>
        </w:rPr>
        <w:t xml:space="preserve"> versus </w:t>
      </w:r>
      <w:r w:rsidRPr="00C31183">
        <w:rPr>
          <w:lang w:eastAsia="ja-JP"/>
        </w:rPr>
        <w:t>0%) an</w:t>
      </w:r>
      <w:r w:rsidRPr="00143CC0">
        <w:rPr>
          <w:lang w:eastAsia="ja-JP"/>
        </w:rPr>
        <w:t>d hyperglycaemia (3.</w:t>
      </w:r>
      <w:r>
        <w:rPr>
          <w:lang w:eastAsia="ja-JP"/>
        </w:rPr>
        <w:t>5</w:t>
      </w:r>
      <w:r w:rsidRPr="00143CC0">
        <w:rPr>
          <w:lang w:eastAsia="ja-JP"/>
        </w:rPr>
        <w:t>% versus 3.</w:t>
      </w:r>
      <w:r>
        <w:rPr>
          <w:lang w:eastAsia="ja-JP"/>
        </w:rPr>
        <w:t>0</w:t>
      </w:r>
      <w:r w:rsidRPr="00143CC0">
        <w:rPr>
          <w:lang w:eastAsia="ja-JP"/>
        </w:rPr>
        <w:t xml:space="preserve">%). Few Grade 4 chemistry laboratory results were observed in the </w:t>
      </w:r>
      <w:proofErr w:type="spellStart"/>
      <w:r w:rsidRPr="00143CC0">
        <w:rPr>
          <w:lang w:eastAsia="ja-JP"/>
        </w:rPr>
        <w:t>crizotinib</w:t>
      </w:r>
      <w:proofErr w:type="spellEnd"/>
      <w:r w:rsidRPr="00143CC0">
        <w:rPr>
          <w:lang w:eastAsia="ja-JP"/>
        </w:rPr>
        <w:t xml:space="preserve"> arm and the only shift from baselin</w:t>
      </w:r>
      <w:r w:rsidRPr="00C31183">
        <w:rPr>
          <w:lang w:eastAsia="ja-JP"/>
        </w:rPr>
        <w:t xml:space="preserve">e CTCAE Grade </w:t>
      </w:r>
      <w:r>
        <w:rPr>
          <w:lang w:eastAsia="ja-JP"/>
        </w:rPr>
        <w:t>≤</w:t>
      </w:r>
      <w:r w:rsidRPr="00C31183">
        <w:rPr>
          <w:lang w:eastAsia="ja-JP"/>
        </w:rPr>
        <w:t xml:space="preserve"> 2 CTCAE to post</w:t>
      </w:r>
      <w:r>
        <w:rPr>
          <w:lang w:eastAsia="ja-JP"/>
        </w:rPr>
        <w:t xml:space="preserve"> </w:t>
      </w:r>
      <w:r w:rsidRPr="00C31183">
        <w:rPr>
          <w:lang w:eastAsia="ja-JP"/>
        </w:rPr>
        <w:t xml:space="preserve">baseline Grade 4 events was ALT (4.1%, </w:t>
      </w:r>
      <w:proofErr w:type="spellStart"/>
      <w:r w:rsidRPr="00C31183">
        <w:rPr>
          <w:lang w:eastAsia="ja-JP"/>
        </w:rPr>
        <w:t>crizotinib</w:t>
      </w:r>
      <w:proofErr w:type="spellEnd"/>
      <w:r>
        <w:rPr>
          <w:lang w:eastAsia="ja-JP"/>
        </w:rPr>
        <w:t xml:space="preserve"> versus </w:t>
      </w:r>
      <w:r w:rsidRPr="00C31183">
        <w:rPr>
          <w:lang w:eastAsia="ja-JP"/>
        </w:rPr>
        <w:t xml:space="preserve">0%, chemotherapy). There were no shifts in creatinine from baseline Grade </w:t>
      </w:r>
      <w:r>
        <w:rPr>
          <w:lang w:eastAsia="ja-JP"/>
        </w:rPr>
        <w:t>≤</w:t>
      </w:r>
      <w:r w:rsidRPr="00C31183">
        <w:rPr>
          <w:lang w:eastAsia="ja-JP"/>
        </w:rPr>
        <w:t xml:space="preserve"> 2 to post</w:t>
      </w:r>
      <w:r>
        <w:rPr>
          <w:lang w:eastAsia="ja-JP"/>
        </w:rPr>
        <w:t xml:space="preserve"> </w:t>
      </w:r>
      <w:r w:rsidRPr="00C31183">
        <w:rPr>
          <w:lang w:eastAsia="ja-JP"/>
        </w:rPr>
        <w:t xml:space="preserve">baseline Grade </w:t>
      </w:r>
      <w:r>
        <w:rPr>
          <w:lang w:eastAsia="ja-JP"/>
        </w:rPr>
        <w:t>≥</w:t>
      </w:r>
      <w:r w:rsidRPr="00C31183">
        <w:rPr>
          <w:lang w:eastAsia="ja-JP"/>
        </w:rPr>
        <w:t xml:space="preserve"> 3 events in either of the two treatment arms.</w:t>
      </w:r>
    </w:p>
    <w:p w:rsidR="00CE4F74" w:rsidRPr="00C31183" w:rsidRDefault="00CE4F74" w:rsidP="00791312">
      <w:pPr>
        <w:rPr>
          <w:lang w:eastAsia="ja-JP"/>
        </w:rPr>
      </w:pPr>
      <w:r w:rsidRPr="00C31183">
        <w:rPr>
          <w:lang w:eastAsia="ja-JP"/>
        </w:rPr>
        <w:t xml:space="preserve">The most common shifts from baseline Grade </w:t>
      </w:r>
      <w:r>
        <w:rPr>
          <w:lang w:eastAsia="ja-JP"/>
        </w:rPr>
        <w:t>≤</w:t>
      </w:r>
      <w:r w:rsidRPr="00C31183">
        <w:rPr>
          <w:lang w:eastAsia="ja-JP"/>
        </w:rPr>
        <w:t xml:space="preserve"> 2 to post-baseline Grade 3 events occurring in </w:t>
      </w:r>
      <w:r>
        <w:rPr>
          <w:lang w:eastAsia="ja-JP"/>
        </w:rPr>
        <w:t>≥</w:t>
      </w:r>
      <w:r w:rsidRPr="00C31183">
        <w:rPr>
          <w:lang w:eastAsia="ja-JP"/>
        </w:rPr>
        <w:t xml:space="preserve"> 2% of patients in the chemotherapy arm (v</w:t>
      </w:r>
      <w:r>
        <w:rPr>
          <w:lang w:eastAsia="ja-JP"/>
        </w:rPr>
        <w:t>ersu</w:t>
      </w:r>
      <w:r w:rsidRPr="00C31183">
        <w:rPr>
          <w:lang w:eastAsia="ja-JP"/>
        </w:rPr>
        <w:t xml:space="preserve">s </w:t>
      </w:r>
      <w:proofErr w:type="spellStart"/>
      <w:r w:rsidRPr="00C31183">
        <w:rPr>
          <w:lang w:eastAsia="ja-JP"/>
        </w:rPr>
        <w:t>crizotinib</w:t>
      </w:r>
      <w:proofErr w:type="spellEnd"/>
      <w:r w:rsidRPr="00C31183">
        <w:rPr>
          <w:lang w:eastAsia="ja-JP"/>
        </w:rPr>
        <w:t xml:space="preserve">) were </w:t>
      </w:r>
      <w:proofErr w:type="spellStart"/>
      <w:r w:rsidRPr="00C31183">
        <w:rPr>
          <w:lang w:eastAsia="ja-JP"/>
        </w:rPr>
        <w:t>hypophosphataemia</w:t>
      </w:r>
      <w:proofErr w:type="spellEnd"/>
      <w:r w:rsidRPr="00C31183">
        <w:rPr>
          <w:lang w:eastAsia="ja-JP"/>
        </w:rPr>
        <w:t xml:space="preserve"> (7.5%</w:t>
      </w:r>
      <w:r>
        <w:rPr>
          <w:lang w:eastAsia="ja-JP"/>
        </w:rPr>
        <w:t xml:space="preserve"> versus </w:t>
      </w:r>
      <w:r w:rsidRPr="00C31183">
        <w:rPr>
          <w:lang w:eastAsia="ja-JP"/>
        </w:rPr>
        <w:t>4.7%), ALT (4.2%</w:t>
      </w:r>
      <w:r>
        <w:rPr>
          <w:lang w:eastAsia="ja-JP"/>
        </w:rPr>
        <w:t xml:space="preserve"> versus </w:t>
      </w:r>
      <w:r w:rsidRPr="00C31183">
        <w:rPr>
          <w:lang w:eastAsia="ja-JP"/>
        </w:rPr>
        <w:t>12.9%), hyp</w:t>
      </w:r>
      <w:r>
        <w:rPr>
          <w:lang w:eastAsia="ja-JP"/>
        </w:rPr>
        <w:t>er</w:t>
      </w:r>
      <w:r w:rsidRPr="00C31183">
        <w:rPr>
          <w:lang w:eastAsia="ja-JP"/>
        </w:rPr>
        <w:t>glycaemia (3.0%</w:t>
      </w:r>
      <w:r>
        <w:rPr>
          <w:lang w:eastAsia="ja-JP"/>
        </w:rPr>
        <w:t xml:space="preserve"> versus </w:t>
      </w:r>
      <w:r w:rsidRPr="00C31183">
        <w:rPr>
          <w:lang w:eastAsia="ja-JP"/>
        </w:rPr>
        <w:t>3.5%) and alkaline phosphatase (2.4%</w:t>
      </w:r>
      <w:r>
        <w:rPr>
          <w:lang w:eastAsia="ja-JP"/>
        </w:rPr>
        <w:t xml:space="preserve"> versus </w:t>
      </w:r>
      <w:r w:rsidRPr="00C31183">
        <w:rPr>
          <w:lang w:eastAsia="ja-JP"/>
        </w:rPr>
        <w:t xml:space="preserve">1.8%). Few Grade 4 chemistry laboratory results were observed in the chemotherapy arm, and no individual chemistry laboratory shift from baseline Grade </w:t>
      </w:r>
      <w:r>
        <w:rPr>
          <w:lang w:eastAsia="ja-JP"/>
        </w:rPr>
        <w:t>≤</w:t>
      </w:r>
      <w:r w:rsidRPr="00C31183">
        <w:rPr>
          <w:lang w:eastAsia="ja-JP"/>
        </w:rPr>
        <w:t xml:space="preserve"> 2 to post</w:t>
      </w:r>
      <w:r>
        <w:rPr>
          <w:lang w:eastAsia="ja-JP"/>
        </w:rPr>
        <w:t xml:space="preserve"> </w:t>
      </w:r>
      <w:r w:rsidRPr="00C31183">
        <w:rPr>
          <w:lang w:eastAsia="ja-JP"/>
        </w:rPr>
        <w:t xml:space="preserve">baseline Grade 4 events occurred in </w:t>
      </w:r>
      <w:r>
        <w:rPr>
          <w:lang w:eastAsia="ja-JP"/>
        </w:rPr>
        <w:t>≥</w:t>
      </w:r>
      <w:r w:rsidRPr="00C31183">
        <w:rPr>
          <w:lang w:eastAsia="ja-JP"/>
        </w:rPr>
        <w:t xml:space="preserve"> 1% of pa</w:t>
      </w:r>
      <w:r w:rsidR="00791312">
        <w:rPr>
          <w:lang w:eastAsia="ja-JP"/>
        </w:rPr>
        <w:t>tients in the chemotherapy arm.</w:t>
      </w:r>
    </w:p>
    <w:p w:rsidR="00CE4F74" w:rsidRPr="00C31183" w:rsidRDefault="00CE4F74" w:rsidP="00791312">
      <w:pPr>
        <w:pStyle w:val="Heading6"/>
        <w:numPr>
          <w:ilvl w:val="0"/>
          <w:numId w:val="0"/>
        </w:numPr>
        <w:ind w:left="1702" w:hanging="1418"/>
        <w:rPr>
          <w:lang w:eastAsia="ja-JP"/>
        </w:rPr>
      </w:pPr>
      <w:r w:rsidRPr="00C31183">
        <w:rPr>
          <w:lang w:eastAsia="ja-JP"/>
        </w:rPr>
        <w:t>(b)</w:t>
      </w:r>
      <w:r w:rsidRPr="00C31183">
        <w:rPr>
          <w:lang w:eastAsia="ja-JP"/>
        </w:rPr>
        <w:tab/>
      </w:r>
      <w:proofErr w:type="spellStart"/>
      <w:r w:rsidRPr="00C31183">
        <w:rPr>
          <w:lang w:eastAsia="ja-JP"/>
        </w:rPr>
        <w:t>Crizotinib</w:t>
      </w:r>
      <w:proofErr w:type="spellEnd"/>
      <w:r w:rsidRPr="00C31183">
        <w:rPr>
          <w:lang w:eastAsia="ja-JP"/>
        </w:rPr>
        <w:t xml:space="preserve">, </w:t>
      </w:r>
      <w:proofErr w:type="spellStart"/>
      <w:r w:rsidRPr="00C31183">
        <w:rPr>
          <w:lang w:eastAsia="ja-JP"/>
        </w:rPr>
        <w:t>pemetrexed</w:t>
      </w:r>
      <w:proofErr w:type="spellEnd"/>
      <w:r w:rsidRPr="00C31183">
        <w:rPr>
          <w:lang w:eastAsia="ja-JP"/>
        </w:rPr>
        <w:t xml:space="preserve"> and</w:t>
      </w:r>
      <w:r w:rsidR="00791312">
        <w:rPr>
          <w:lang w:eastAsia="ja-JP"/>
        </w:rPr>
        <w:t xml:space="preserve"> </w:t>
      </w:r>
      <w:proofErr w:type="spellStart"/>
      <w:r w:rsidR="00791312">
        <w:rPr>
          <w:lang w:eastAsia="ja-JP"/>
        </w:rPr>
        <w:t>docetaxel</w:t>
      </w:r>
      <w:proofErr w:type="spellEnd"/>
    </w:p>
    <w:p w:rsidR="00CE4F74" w:rsidRPr="00C31183" w:rsidRDefault="00CE4F74" w:rsidP="00791312">
      <w:pPr>
        <w:rPr>
          <w:lang w:eastAsia="ja-JP"/>
        </w:rPr>
      </w:pPr>
      <w:r w:rsidRPr="00C31183">
        <w:rPr>
          <w:lang w:eastAsia="ja-JP"/>
        </w:rPr>
        <w:t xml:space="preserve">The most common shifts from Grade </w:t>
      </w:r>
      <w:r>
        <w:rPr>
          <w:lang w:eastAsia="ja-JP"/>
        </w:rPr>
        <w:t>≤</w:t>
      </w:r>
      <w:r w:rsidRPr="00C31183">
        <w:rPr>
          <w:lang w:eastAsia="ja-JP"/>
        </w:rPr>
        <w:t xml:space="preserve"> 2 at baseline to Grade 3 events post-baseline occurring in </w:t>
      </w:r>
      <w:r>
        <w:rPr>
          <w:lang w:eastAsia="ja-JP"/>
        </w:rPr>
        <w:t>≥</w:t>
      </w:r>
      <w:r w:rsidRPr="00C31183">
        <w:rPr>
          <w:lang w:eastAsia="ja-JP"/>
        </w:rPr>
        <w:t xml:space="preserve"> 2% of patients in the </w:t>
      </w:r>
      <w:proofErr w:type="spellStart"/>
      <w:r w:rsidRPr="00C31183">
        <w:rPr>
          <w:lang w:eastAsia="ja-JP"/>
        </w:rPr>
        <w:t>pemetrexed</w:t>
      </w:r>
      <w:proofErr w:type="spellEnd"/>
      <w:r w:rsidRPr="00C31183">
        <w:rPr>
          <w:lang w:eastAsia="ja-JP"/>
        </w:rPr>
        <w:t xml:space="preserve"> group (v</w:t>
      </w:r>
      <w:r>
        <w:rPr>
          <w:lang w:eastAsia="ja-JP"/>
        </w:rPr>
        <w:t>ersu</w:t>
      </w:r>
      <w:r w:rsidRPr="00C31183">
        <w:rPr>
          <w:lang w:eastAsia="ja-JP"/>
        </w:rPr>
        <w:t xml:space="preserve">s </w:t>
      </w:r>
      <w:proofErr w:type="spellStart"/>
      <w:r w:rsidRPr="00C31183">
        <w:rPr>
          <w:lang w:eastAsia="ja-JP"/>
        </w:rPr>
        <w:t>crizotinib</w:t>
      </w:r>
      <w:proofErr w:type="spellEnd"/>
      <w:r w:rsidRPr="00C31183">
        <w:rPr>
          <w:lang w:eastAsia="ja-JP"/>
        </w:rPr>
        <w:t xml:space="preserve">) were </w:t>
      </w:r>
      <w:proofErr w:type="spellStart"/>
      <w:r w:rsidRPr="00C31183">
        <w:rPr>
          <w:lang w:eastAsia="ja-JP"/>
        </w:rPr>
        <w:t>hypophosphataemia</w:t>
      </w:r>
      <w:proofErr w:type="spellEnd"/>
      <w:r w:rsidRPr="00C31183">
        <w:rPr>
          <w:lang w:eastAsia="ja-JP"/>
        </w:rPr>
        <w:t xml:space="preserve"> (7.5%</w:t>
      </w:r>
      <w:r>
        <w:rPr>
          <w:lang w:eastAsia="ja-JP"/>
        </w:rPr>
        <w:t xml:space="preserve"> versus </w:t>
      </w:r>
      <w:r w:rsidRPr="00C31183">
        <w:rPr>
          <w:lang w:eastAsia="ja-JP"/>
        </w:rPr>
        <w:t>4.7%), ALT (6.3%</w:t>
      </w:r>
      <w:r>
        <w:rPr>
          <w:lang w:eastAsia="ja-JP"/>
        </w:rPr>
        <w:t xml:space="preserve"> versus </w:t>
      </w:r>
      <w:r w:rsidRPr="00C31183">
        <w:rPr>
          <w:lang w:eastAsia="ja-JP"/>
        </w:rPr>
        <w:t>12.9%), alkaline phosphatase (3.2%</w:t>
      </w:r>
      <w:r>
        <w:rPr>
          <w:lang w:eastAsia="ja-JP"/>
        </w:rPr>
        <w:t xml:space="preserve"> versus </w:t>
      </w:r>
      <w:r w:rsidRPr="00C31183">
        <w:rPr>
          <w:lang w:eastAsia="ja-JP"/>
        </w:rPr>
        <w:t>1.8%), hyperglycaemia (2.1%</w:t>
      </w:r>
      <w:r>
        <w:rPr>
          <w:lang w:eastAsia="ja-JP"/>
        </w:rPr>
        <w:t xml:space="preserve"> versus </w:t>
      </w:r>
      <w:r w:rsidRPr="00C31183">
        <w:rPr>
          <w:lang w:eastAsia="ja-JP"/>
        </w:rPr>
        <w:t xml:space="preserve">3.5%), </w:t>
      </w:r>
      <w:proofErr w:type="spellStart"/>
      <w:r w:rsidRPr="00C31183">
        <w:rPr>
          <w:lang w:eastAsia="ja-JP"/>
        </w:rPr>
        <w:t>hypermagnesaemia</w:t>
      </w:r>
      <w:proofErr w:type="spellEnd"/>
      <w:r w:rsidRPr="00C31183">
        <w:rPr>
          <w:lang w:eastAsia="ja-JP"/>
        </w:rPr>
        <w:t xml:space="preserve"> (2.1%</w:t>
      </w:r>
      <w:r>
        <w:rPr>
          <w:lang w:eastAsia="ja-JP"/>
        </w:rPr>
        <w:t xml:space="preserve"> versus </w:t>
      </w:r>
      <w:r w:rsidRPr="00C31183">
        <w:rPr>
          <w:lang w:eastAsia="ja-JP"/>
        </w:rPr>
        <w:t xml:space="preserve">1.2%). Few Grade 4 chemistry laboratory results were observed in the </w:t>
      </w:r>
      <w:proofErr w:type="spellStart"/>
      <w:r w:rsidRPr="00C31183">
        <w:rPr>
          <w:lang w:eastAsia="ja-JP"/>
        </w:rPr>
        <w:t>pemetrexed</w:t>
      </w:r>
      <w:proofErr w:type="spellEnd"/>
      <w:r w:rsidRPr="00C31183">
        <w:rPr>
          <w:lang w:eastAsia="ja-JP"/>
        </w:rPr>
        <w:t xml:space="preserve"> group. Shifts from Grade </w:t>
      </w:r>
      <w:r>
        <w:rPr>
          <w:lang w:eastAsia="ja-JP"/>
        </w:rPr>
        <w:t>≤</w:t>
      </w:r>
      <w:r w:rsidRPr="00C31183">
        <w:rPr>
          <w:lang w:eastAsia="ja-JP"/>
        </w:rPr>
        <w:t xml:space="preserve"> 2 at baseline to Grade 4 events post</w:t>
      </w:r>
      <w:r>
        <w:rPr>
          <w:lang w:eastAsia="ja-JP"/>
        </w:rPr>
        <w:t xml:space="preserve"> </w:t>
      </w:r>
      <w:r w:rsidRPr="00C31183">
        <w:rPr>
          <w:lang w:eastAsia="ja-JP"/>
        </w:rPr>
        <w:t xml:space="preserve">baseline occurring in </w:t>
      </w:r>
      <w:r>
        <w:rPr>
          <w:lang w:eastAsia="ja-JP"/>
        </w:rPr>
        <w:t>≥</w:t>
      </w:r>
      <w:r w:rsidRPr="00C31183">
        <w:rPr>
          <w:lang w:eastAsia="ja-JP"/>
        </w:rPr>
        <w:t xml:space="preserve"> 1% of patients in the </w:t>
      </w:r>
      <w:proofErr w:type="spellStart"/>
      <w:r w:rsidRPr="00C31183">
        <w:rPr>
          <w:lang w:eastAsia="ja-JP"/>
        </w:rPr>
        <w:t>pemetrexed</w:t>
      </w:r>
      <w:proofErr w:type="spellEnd"/>
      <w:r w:rsidRPr="00C31183">
        <w:rPr>
          <w:lang w:eastAsia="ja-JP"/>
        </w:rPr>
        <w:t xml:space="preserve"> group (v</w:t>
      </w:r>
      <w:r>
        <w:rPr>
          <w:lang w:eastAsia="ja-JP"/>
        </w:rPr>
        <w:t>ersu</w:t>
      </w:r>
      <w:r w:rsidRPr="00C31183">
        <w:rPr>
          <w:lang w:eastAsia="ja-JP"/>
        </w:rPr>
        <w:t xml:space="preserve">s </w:t>
      </w:r>
      <w:proofErr w:type="spellStart"/>
      <w:r w:rsidRPr="00C31183">
        <w:rPr>
          <w:lang w:eastAsia="ja-JP"/>
        </w:rPr>
        <w:t>crizotinib</w:t>
      </w:r>
      <w:proofErr w:type="spellEnd"/>
      <w:r w:rsidRPr="00C31183">
        <w:rPr>
          <w:lang w:eastAsia="ja-JP"/>
        </w:rPr>
        <w:t>) were total bilirubin (1.1%</w:t>
      </w:r>
      <w:r>
        <w:rPr>
          <w:lang w:eastAsia="ja-JP"/>
        </w:rPr>
        <w:t xml:space="preserve"> versus </w:t>
      </w:r>
      <w:r w:rsidRPr="00C31183">
        <w:rPr>
          <w:lang w:eastAsia="ja-JP"/>
        </w:rPr>
        <w:t xml:space="preserve">0%), </w:t>
      </w:r>
      <w:proofErr w:type="spellStart"/>
      <w:r w:rsidRPr="00C31183">
        <w:rPr>
          <w:lang w:eastAsia="ja-JP"/>
        </w:rPr>
        <w:t>hypercalcaemia</w:t>
      </w:r>
      <w:proofErr w:type="spellEnd"/>
      <w:r w:rsidRPr="00C31183">
        <w:rPr>
          <w:lang w:eastAsia="ja-JP"/>
        </w:rPr>
        <w:t xml:space="preserve"> (1.1%</w:t>
      </w:r>
      <w:r>
        <w:rPr>
          <w:lang w:eastAsia="ja-JP"/>
        </w:rPr>
        <w:t xml:space="preserve"> versus </w:t>
      </w:r>
      <w:r w:rsidRPr="00C31183">
        <w:rPr>
          <w:lang w:eastAsia="ja-JP"/>
        </w:rPr>
        <w:t>0.6%) and hyperglycaemia (1.1%</w:t>
      </w:r>
      <w:r>
        <w:rPr>
          <w:lang w:eastAsia="ja-JP"/>
        </w:rPr>
        <w:t xml:space="preserve"> versus </w:t>
      </w:r>
      <w:r w:rsidR="00791312">
        <w:rPr>
          <w:lang w:eastAsia="ja-JP"/>
        </w:rPr>
        <w:t>0%).</w:t>
      </w:r>
    </w:p>
    <w:p w:rsidR="00CE4F74" w:rsidRPr="00C31183" w:rsidRDefault="00CE4F74" w:rsidP="00791312">
      <w:pPr>
        <w:rPr>
          <w:lang w:eastAsia="ja-JP"/>
        </w:rPr>
      </w:pPr>
      <w:r w:rsidRPr="00C31183">
        <w:rPr>
          <w:lang w:eastAsia="ja-JP"/>
        </w:rPr>
        <w:t xml:space="preserve">The most common shifts from Grade </w:t>
      </w:r>
      <w:r>
        <w:rPr>
          <w:lang w:eastAsia="ja-JP"/>
        </w:rPr>
        <w:t>≤</w:t>
      </w:r>
      <w:r w:rsidRPr="00C31183">
        <w:rPr>
          <w:lang w:eastAsia="ja-JP"/>
        </w:rPr>
        <w:t xml:space="preserve"> 2 at baseline to Grade 3 event post-baseline occurring in </w:t>
      </w:r>
      <w:r>
        <w:rPr>
          <w:lang w:eastAsia="ja-JP"/>
        </w:rPr>
        <w:t>≥</w:t>
      </w:r>
      <w:r w:rsidRPr="00C31183">
        <w:rPr>
          <w:lang w:eastAsia="ja-JP"/>
        </w:rPr>
        <w:t xml:space="preserve"> 2% of patients in the </w:t>
      </w:r>
      <w:proofErr w:type="spellStart"/>
      <w:r w:rsidRPr="00C31183">
        <w:rPr>
          <w:lang w:eastAsia="ja-JP"/>
        </w:rPr>
        <w:t>docetaxel</w:t>
      </w:r>
      <w:proofErr w:type="spellEnd"/>
      <w:r w:rsidRPr="00C31183">
        <w:rPr>
          <w:lang w:eastAsia="ja-JP"/>
        </w:rPr>
        <w:t xml:space="preserve"> group (v</w:t>
      </w:r>
      <w:r>
        <w:rPr>
          <w:lang w:eastAsia="ja-JP"/>
        </w:rPr>
        <w:t>ersu</w:t>
      </w:r>
      <w:r w:rsidRPr="00C31183">
        <w:rPr>
          <w:lang w:eastAsia="ja-JP"/>
        </w:rPr>
        <w:t xml:space="preserve">s </w:t>
      </w:r>
      <w:proofErr w:type="spellStart"/>
      <w:r w:rsidRPr="00C31183">
        <w:rPr>
          <w:lang w:eastAsia="ja-JP"/>
        </w:rPr>
        <w:t>crizotinib</w:t>
      </w:r>
      <w:proofErr w:type="spellEnd"/>
      <w:r w:rsidRPr="00C31183">
        <w:rPr>
          <w:lang w:eastAsia="ja-JP"/>
        </w:rPr>
        <w:t xml:space="preserve">) were </w:t>
      </w:r>
      <w:proofErr w:type="spellStart"/>
      <w:r w:rsidRPr="00C31183">
        <w:rPr>
          <w:lang w:eastAsia="ja-JP"/>
        </w:rPr>
        <w:t>hypophosphataemia</w:t>
      </w:r>
      <w:proofErr w:type="spellEnd"/>
      <w:r w:rsidRPr="00C31183">
        <w:rPr>
          <w:lang w:eastAsia="ja-JP"/>
        </w:rPr>
        <w:t xml:space="preserve"> (7.4%</w:t>
      </w:r>
      <w:r>
        <w:rPr>
          <w:lang w:eastAsia="ja-JP"/>
        </w:rPr>
        <w:t xml:space="preserve"> versus </w:t>
      </w:r>
      <w:r w:rsidRPr="00C31183">
        <w:rPr>
          <w:lang w:eastAsia="ja-JP"/>
        </w:rPr>
        <w:t>4.7%), hyperglycaemia (4.3%</w:t>
      </w:r>
      <w:r>
        <w:rPr>
          <w:lang w:eastAsia="ja-JP"/>
        </w:rPr>
        <w:t xml:space="preserve"> versus </w:t>
      </w:r>
      <w:r w:rsidRPr="00C31183">
        <w:rPr>
          <w:lang w:eastAsia="ja-JP"/>
        </w:rPr>
        <w:t xml:space="preserve">3.5%) and </w:t>
      </w:r>
      <w:proofErr w:type="spellStart"/>
      <w:r w:rsidRPr="00C31183">
        <w:rPr>
          <w:lang w:eastAsia="ja-JP"/>
        </w:rPr>
        <w:t>hyponatraemia</w:t>
      </w:r>
      <w:proofErr w:type="spellEnd"/>
      <w:r w:rsidRPr="00C31183">
        <w:rPr>
          <w:lang w:eastAsia="ja-JP"/>
        </w:rPr>
        <w:t xml:space="preserve"> (4.3%</w:t>
      </w:r>
      <w:r>
        <w:rPr>
          <w:lang w:eastAsia="ja-JP"/>
        </w:rPr>
        <w:t xml:space="preserve"> versus </w:t>
      </w:r>
      <w:r w:rsidRPr="00C31183">
        <w:rPr>
          <w:lang w:eastAsia="ja-JP"/>
        </w:rPr>
        <w:t xml:space="preserve">0%). Few Grade 4 chemistry laboratory results were observed in the </w:t>
      </w:r>
      <w:proofErr w:type="spellStart"/>
      <w:r w:rsidRPr="00C31183">
        <w:rPr>
          <w:lang w:eastAsia="ja-JP"/>
        </w:rPr>
        <w:t>docetaxel</w:t>
      </w:r>
      <w:proofErr w:type="spellEnd"/>
      <w:r w:rsidRPr="00C31183">
        <w:rPr>
          <w:lang w:eastAsia="ja-JP"/>
        </w:rPr>
        <w:t xml:space="preserve"> group. The only shift from Grade </w:t>
      </w:r>
      <w:r>
        <w:rPr>
          <w:lang w:eastAsia="ja-JP"/>
        </w:rPr>
        <w:t>≤</w:t>
      </w:r>
      <w:r w:rsidRPr="00C31183">
        <w:rPr>
          <w:lang w:eastAsia="ja-JP"/>
        </w:rPr>
        <w:t xml:space="preserve"> 2 at baseline to Grade 4 post-baseline occurring in </w:t>
      </w:r>
      <w:r>
        <w:rPr>
          <w:lang w:eastAsia="ja-JP"/>
        </w:rPr>
        <w:t>≥</w:t>
      </w:r>
      <w:r w:rsidRPr="00C31183">
        <w:rPr>
          <w:lang w:eastAsia="ja-JP"/>
        </w:rPr>
        <w:t xml:space="preserve"> 1% of patients in the </w:t>
      </w:r>
      <w:proofErr w:type="spellStart"/>
      <w:r w:rsidRPr="00C31183">
        <w:rPr>
          <w:lang w:eastAsia="ja-JP"/>
        </w:rPr>
        <w:t>docetaxel</w:t>
      </w:r>
      <w:proofErr w:type="spellEnd"/>
      <w:r w:rsidRPr="00C31183">
        <w:rPr>
          <w:lang w:eastAsia="ja-JP"/>
        </w:rPr>
        <w:t xml:space="preserve"> group (v</w:t>
      </w:r>
      <w:r>
        <w:rPr>
          <w:lang w:eastAsia="ja-JP"/>
        </w:rPr>
        <w:t>ersu</w:t>
      </w:r>
      <w:r w:rsidRPr="00C31183">
        <w:rPr>
          <w:lang w:eastAsia="ja-JP"/>
        </w:rPr>
        <w:t xml:space="preserve">s </w:t>
      </w:r>
      <w:proofErr w:type="spellStart"/>
      <w:r w:rsidRPr="00C31183">
        <w:rPr>
          <w:lang w:eastAsia="ja-JP"/>
        </w:rPr>
        <w:t>crizotinib</w:t>
      </w:r>
      <w:proofErr w:type="spellEnd"/>
      <w:r w:rsidRPr="00C31183">
        <w:rPr>
          <w:lang w:eastAsia="ja-JP"/>
        </w:rPr>
        <w:t>) was hypokalaemia (1.4%</w:t>
      </w:r>
      <w:r>
        <w:rPr>
          <w:lang w:eastAsia="ja-JP"/>
        </w:rPr>
        <w:t xml:space="preserve"> versus </w:t>
      </w:r>
      <w:r w:rsidR="00791312">
        <w:rPr>
          <w:lang w:eastAsia="ja-JP"/>
        </w:rPr>
        <w:t>0%).</w:t>
      </w:r>
    </w:p>
    <w:p w:rsidR="00CE4F74" w:rsidRPr="00C31183" w:rsidRDefault="00CE4F74" w:rsidP="00CE4F74">
      <w:pPr>
        <w:pStyle w:val="Heading4"/>
        <w:numPr>
          <w:ilvl w:val="2"/>
          <w:numId w:val="29"/>
        </w:numPr>
      </w:pPr>
      <w:bookmarkStart w:id="110" w:name="_Toc228773391"/>
      <w:r w:rsidRPr="00C31183">
        <w:t>Other safety assessments</w:t>
      </w:r>
      <w:bookmarkEnd w:id="110"/>
    </w:p>
    <w:p w:rsidR="00CE4F74" w:rsidRPr="00C31183" w:rsidRDefault="00CE4F74" w:rsidP="00E551BC">
      <w:pPr>
        <w:pStyle w:val="Heading5"/>
        <w:rPr>
          <w:lang w:eastAsia="ja-JP"/>
        </w:rPr>
      </w:pPr>
      <w:bookmarkStart w:id="111" w:name="_Toc228773392"/>
      <w:r w:rsidRPr="00C31183">
        <w:rPr>
          <w:lang w:eastAsia="ja-JP"/>
        </w:rPr>
        <w:t>Vital signs</w:t>
      </w:r>
      <w:bookmarkEnd w:id="111"/>
    </w:p>
    <w:p w:rsidR="00CE4F74" w:rsidRPr="00C31183" w:rsidRDefault="00E551BC" w:rsidP="00E551BC">
      <w:pPr>
        <w:pStyle w:val="Heading6"/>
        <w:numPr>
          <w:ilvl w:val="0"/>
          <w:numId w:val="0"/>
        </w:numPr>
        <w:ind w:left="1702" w:hanging="1418"/>
        <w:rPr>
          <w:lang w:eastAsia="ja-JP"/>
        </w:rPr>
      </w:pPr>
      <w:r>
        <w:rPr>
          <w:lang w:eastAsia="ja-JP"/>
        </w:rPr>
        <w:t>(a)</w:t>
      </w:r>
      <w:r>
        <w:rPr>
          <w:lang w:eastAsia="ja-JP"/>
        </w:rPr>
        <w:tab/>
        <w:t>Pulse rate</w:t>
      </w:r>
    </w:p>
    <w:p w:rsidR="00CE4F74" w:rsidRPr="00C31183" w:rsidRDefault="00CE4F74" w:rsidP="00E551BC">
      <w:pPr>
        <w:rPr>
          <w:lang w:eastAsia="ja-JP"/>
        </w:rPr>
      </w:pPr>
      <w:r w:rsidRPr="00C31183">
        <w:rPr>
          <w:lang w:eastAsia="ja-JP"/>
        </w:rPr>
        <w:t xml:space="preserve">Minimum and maximum change from baseline in vital signs (blood pressure and pulse rate) and body weight were </w:t>
      </w:r>
      <w:r>
        <w:rPr>
          <w:lang w:eastAsia="ja-JP"/>
        </w:rPr>
        <w:t>summarised</w:t>
      </w:r>
      <w:r w:rsidRPr="00C31183">
        <w:rPr>
          <w:lang w:eastAsia="ja-JP"/>
        </w:rPr>
        <w:t xml:space="preserve"> in the CSR. Maximum on study pulse rates of &gt; 120 </w:t>
      </w:r>
      <w:r>
        <w:rPr>
          <w:lang w:eastAsia="ja-JP"/>
        </w:rPr>
        <w:t>beats per minute (</w:t>
      </w:r>
      <w:r w:rsidRPr="00C31183">
        <w:rPr>
          <w:lang w:eastAsia="ja-JP"/>
        </w:rPr>
        <w:t>bpm</w:t>
      </w:r>
      <w:r>
        <w:rPr>
          <w:lang w:eastAsia="ja-JP"/>
        </w:rPr>
        <w:t>)</w:t>
      </w:r>
      <w:r w:rsidRPr="00C31183">
        <w:rPr>
          <w:lang w:eastAsia="ja-JP"/>
        </w:rPr>
        <w:t xml:space="preserve"> were reported in 0.6% (1/170) of patients in the </w:t>
      </w:r>
      <w:proofErr w:type="spellStart"/>
      <w:r w:rsidRPr="00C31183">
        <w:rPr>
          <w:lang w:eastAsia="ja-JP"/>
        </w:rPr>
        <w:t>crizotinib</w:t>
      </w:r>
      <w:proofErr w:type="spellEnd"/>
      <w:r w:rsidRPr="00C31183">
        <w:rPr>
          <w:lang w:eastAsia="ja-JP"/>
        </w:rPr>
        <w:t xml:space="preserve"> arm and 8.4% (14/171) of patients in the chemotherapy arm and the corresponding TEAE of tachycardia was reported in 0.6% (1/172) and 1.2% (2/171) of patients, respectively. Minimum on study pulse rates of &lt; 50 bpm were reported in 11.2% (19/170) of patients in the </w:t>
      </w:r>
      <w:proofErr w:type="spellStart"/>
      <w:r w:rsidRPr="00C31183">
        <w:rPr>
          <w:lang w:eastAsia="ja-JP"/>
        </w:rPr>
        <w:t>crizotinib</w:t>
      </w:r>
      <w:proofErr w:type="spellEnd"/>
      <w:r w:rsidRPr="00C31183">
        <w:rPr>
          <w:lang w:eastAsia="ja-JP"/>
        </w:rPr>
        <w:t xml:space="preserve"> arm and 0.6% (1/167) of patients in the chemotherapy arm. In the </w:t>
      </w:r>
      <w:proofErr w:type="spellStart"/>
      <w:r w:rsidRPr="00C31183">
        <w:rPr>
          <w:lang w:eastAsia="ja-JP"/>
        </w:rPr>
        <w:t>crizotinib</w:t>
      </w:r>
      <w:proofErr w:type="spellEnd"/>
      <w:r w:rsidRPr="00C31183">
        <w:rPr>
          <w:lang w:eastAsia="ja-JP"/>
        </w:rPr>
        <w:t xml:space="preserve"> and chemotherapy arms, maximum decreases from baseline of </w:t>
      </w:r>
      <w:r>
        <w:rPr>
          <w:lang w:eastAsia="ja-JP"/>
        </w:rPr>
        <w:t>≥</w:t>
      </w:r>
      <w:r w:rsidRPr="00C31183">
        <w:rPr>
          <w:lang w:eastAsia="ja-JP"/>
        </w:rPr>
        <w:t xml:space="preserve"> 30 bpm were reported in 40.8% (69/169) and 4.8% (8/171) of patients, respectively. The TEAE of bradycardia was reported in 4 (2.3%) patients in the </w:t>
      </w:r>
      <w:proofErr w:type="spellStart"/>
      <w:r w:rsidRPr="00C31183">
        <w:rPr>
          <w:lang w:eastAsia="ja-JP"/>
        </w:rPr>
        <w:t>crizotinib</w:t>
      </w:r>
      <w:proofErr w:type="spellEnd"/>
      <w:r w:rsidRPr="00C31183">
        <w:rPr>
          <w:lang w:eastAsia="ja-JP"/>
        </w:rPr>
        <w:t xml:space="preserve"> arm and no patients in the chemotherapy arm. The clustered term of BRADYCARDIA was reported in 8 (4.7%) patients in the </w:t>
      </w:r>
      <w:proofErr w:type="spellStart"/>
      <w:r w:rsidRPr="00C31183">
        <w:rPr>
          <w:lang w:eastAsia="ja-JP"/>
        </w:rPr>
        <w:t>crizotinib</w:t>
      </w:r>
      <w:proofErr w:type="spellEnd"/>
      <w:r w:rsidRPr="00C31183">
        <w:rPr>
          <w:lang w:eastAsia="ja-JP"/>
        </w:rPr>
        <w:t xml:space="preserve"> arm and no patients in the chemotherapy arm.</w:t>
      </w:r>
    </w:p>
    <w:p w:rsidR="00CE4F74" w:rsidRPr="00C31183" w:rsidRDefault="00E551BC" w:rsidP="00E551BC">
      <w:pPr>
        <w:pStyle w:val="Heading6"/>
        <w:numPr>
          <w:ilvl w:val="0"/>
          <w:numId w:val="0"/>
        </w:numPr>
        <w:ind w:left="1702" w:hanging="1418"/>
        <w:rPr>
          <w:lang w:eastAsia="ja-JP"/>
        </w:rPr>
      </w:pPr>
      <w:r>
        <w:rPr>
          <w:lang w:eastAsia="ja-JP"/>
        </w:rPr>
        <w:lastRenderedPageBreak/>
        <w:t>(b)</w:t>
      </w:r>
      <w:r>
        <w:rPr>
          <w:lang w:eastAsia="ja-JP"/>
        </w:rPr>
        <w:tab/>
        <w:t>Blood pressure</w:t>
      </w:r>
    </w:p>
    <w:p w:rsidR="00CE4F74" w:rsidRPr="00C31183" w:rsidRDefault="00CE4F74" w:rsidP="00E551BC">
      <w:pPr>
        <w:rPr>
          <w:lang w:eastAsia="ja-JP"/>
        </w:rPr>
      </w:pPr>
      <w:r w:rsidRPr="00C31183">
        <w:rPr>
          <w:lang w:eastAsia="ja-JP"/>
        </w:rPr>
        <w:t xml:space="preserve">In the </w:t>
      </w:r>
      <w:proofErr w:type="spellStart"/>
      <w:r w:rsidRPr="00C31183">
        <w:rPr>
          <w:lang w:eastAsia="ja-JP"/>
        </w:rPr>
        <w:t>crizotinib</w:t>
      </w:r>
      <w:proofErr w:type="spellEnd"/>
      <w:r w:rsidRPr="00C31183">
        <w:rPr>
          <w:lang w:eastAsia="ja-JP"/>
        </w:rPr>
        <w:t xml:space="preserve"> arm, 3.0% (5/168) of patients had an increase in systolic blood pressure of </w:t>
      </w:r>
      <w:r>
        <w:rPr>
          <w:lang w:eastAsia="ja-JP"/>
        </w:rPr>
        <w:t>≥</w:t>
      </w:r>
      <w:r w:rsidRPr="00C31183">
        <w:rPr>
          <w:lang w:eastAsia="ja-JP"/>
        </w:rPr>
        <w:t xml:space="preserve"> 40 mmHg and 7.7% (13/168) of patients had an increase in diastolic blood pressure of </w:t>
      </w:r>
      <w:r>
        <w:rPr>
          <w:lang w:eastAsia="ja-JP"/>
        </w:rPr>
        <w:t>≥</w:t>
      </w:r>
      <w:r w:rsidRPr="00C31183">
        <w:rPr>
          <w:lang w:eastAsia="ja-JP"/>
        </w:rPr>
        <w:t xml:space="preserve"> 20 mmHg, with the corresponding results in the chemotherapy arm being 1.8% (3/166) and 12.7% (21/166), respectively. The TEAE of hypertension was reported in 3.5% (6/172) of patients in the </w:t>
      </w:r>
      <w:proofErr w:type="spellStart"/>
      <w:r w:rsidRPr="00C31183">
        <w:rPr>
          <w:lang w:eastAsia="ja-JP"/>
        </w:rPr>
        <w:t>crizotinib</w:t>
      </w:r>
      <w:proofErr w:type="spellEnd"/>
      <w:r w:rsidRPr="00C31183">
        <w:rPr>
          <w:lang w:eastAsia="ja-JP"/>
        </w:rPr>
        <w:t xml:space="preserve"> arm and 0.6% (1/171) of pa</w:t>
      </w:r>
      <w:r w:rsidR="00E551BC">
        <w:rPr>
          <w:lang w:eastAsia="ja-JP"/>
        </w:rPr>
        <w:t>tients in the chemotherapy arm.</w:t>
      </w:r>
    </w:p>
    <w:p w:rsidR="00CE4F74" w:rsidRPr="00C31183" w:rsidRDefault="00CE4F74" w:rsidP="00E551BC">
      <w:pPr>
        <w:rPr>
          <w:lang w:eastAsia="ja-JP"/>
        </w:rPr>
      </w:pPr>
      <w:r w:rsidRPr="00C31183">
        <w:rPr>
          <w:lang w:eastAsia="ja-JP"/>
        </w:rPr>
        <w:t xml:space="preserve">In the </w:t>
      </w:r>
      <w:proofErr w:type="spellStart"/>
      <w:r w:rsidRPr="00C31183">
        <w:rPr>
          <w:lang w:eastAsia="ja-JP"/>
        </w:rPr>
        <w:t>crizotinib</w:t>
      </w:r>
      <w:proofErr w:type="spellEnd"/>
      <w:r w:rsidRPr="00C31183">
        <w:rPr>
          <w:lang w:eastAsia="ja-JP"/>
        </w:rPr>
        <w:t xml:space="preserve"> arm, 8.9% (15/172) of patients had a maximum decrease in systolic blood pressure from baseline of </w:t>
      </w:r>
      <w:r>
        <w:rPr>
          <w:lang w:eastAsia="ja-JP"/>
        </w:rPr>
        <w:t>≥</w:t>
      </w:r>
      <w:r w:rsidRPr="00C31183">
        <w:rPr>
          <w:lang w:eastAsia="ja-JP"/>
        </w:rPr>
        <w:t xml:space="preserve"> 40 mmHg and 36.9% (62/168) had a maximum decrease in diastolic blood pressure from baseline of </w:t>
      </w:r>
      <w:r>
        <w:rPr>
          <w:lang w:eastAsia="ja-JP"/>
        </w:rPr>
        <w:t>≥</w:t>
      </w:r>
      <w:r w:rsidRPr="00C31183">
        <w:rPr>
          <w:lang w:eastAsia="ja-JP"/>
        </w:rPr>
        <w:t xml:space="preserve"> 20 mmHg, with the corresponding results in the chemotherapy arm being 3.0% (5/171) and 15.7% (26/166) respectively. No patients in either treatment arm had a maximum reduction in systolic blood pressure from baseline of </w:t>
      </w:r>
      <w:r>
        <w:rPr>
          <w:lang w:eastAsia="ja-JP"/>
        </w:rPr>
        <w:t>≥</w:t>
      </w:r>
      <w:r w:rsidRPr="00C31183">
        <w:rPr>
          <w:lang w:eastAsia="ja-JP"/>
        </w:rPr>
        <w:t xml:space="preserve"> 60 mmHg, while only 1 patient in the </w:t>
      </w:r>
      <w:proofErr w:type="spellStart"/>
      <w:r w:rsidRPr="00C31183">
        <w:rPr>
          <w:lang w:eastAsia="ja-JP"/>
        </w:rPr>
        <w:t>crizotinib</w:t>
      </w:r>
      <w:proofErr w:type="spellEnd"/>
      <w:r w:rsidRPr="00C31183">
        <w:rPr>
          <w:lang w:eastAsia="ja-JP"/>
        </w:rPr>
        <w:t xml:space="preserve"> arm and 2 patients in the chemotherapy arm had maximum reductions in diastolic blood pressures from baseline of </w:t>
      </w:r>
      <w:r>
        <w:rPr>
          <w:lang w:eastAsia="ja-JP"/>
        </w:rPr>
        <w:t>≥</w:t>
      </w:r>
      <w:r w:rsidRPr="00C31183">
        <w:rPr>
          <w:lang w:eastAsia="ja-JP"/>
        </w:rPr>
        <w:t xml:space="preserve"> 40 mmHg. The TEAE of hypotension was reported in 2.3% (4/172) of patients in the </w:t>
      </w:r>
      <w:proofErr w:type="spellStart"/>
      <w:r w:rsidRPr="00C31183">
        <w:rPr>
          <w:lang w:eastAsia="ja-JP"/>
        </w:rPr>
        <w:t>crizotinib</w:t>
      </w:r>
      <w:proofErr w:type="spellEnd"/>
      <w:r w:rsidRPr="00C31183">
        <w:rPr>
          <w:lang w:eastAsia="ja-JP"/>
        </w:rPr>
        <w:t xml:space="preserve"> arm and 1.8% (3/171) of pa</w:t>
      </w:r>
      <w:r w:rsidR="00E551BC">
        <w:rPr>
          <w:lang w:eastAsia="ja-JP"/>
        </w:rPr>
        <w:t>tients in the chemotherapy arm.</w:t>
      </w:r>
    </w:p>
    <w:p w:rsidR="00CE4F74" w:rsidRPr="00C31183" w:rsidRDefault="00CE4F74" w:rsidP="00E551BC">
      <w:pPr>
        <w:pStyle w:val="Heading6"/>
        <w:numPr>
          <w:ilvl w:val="0"/>
          <w:numId w:val="0"/>
        </w:numPr>
        <w:ind w:left="1702" w:hanging="1418"/>
        <w:rPr>
          <w:lang w:eastAsia="ja-JP"/>
        </w:rPr>
      </w:pPr>
      <w:r w:rsidRPr="00C31183">
        <w:rPr>
          <w:lang w:eastAsia="ja-JP"/>
        </w:rPr>
        <w:t>(c)</w:t>
      </w:r>
      <w:r w:rsidRPr="00C31183">
        <w:rPr>
          <w:lang w:eastAsia="ja-JP"/>
        </w:rPr>
        <w:tab/>
      </w:r>
      <w:r w:rsidRPr="00C31183">
        <w:rPr>
          <w:lang w:eastAsia="ja-JP"/>
        </w:rPr>
        <w:tab/>
        <w:t>Body weight</w:t>
      </w:r>
    </w:p>
    <w:p w:rsidR="00CE4F74" w:rsidRPr="00C31183" w:rsidRDefault="00CE4F74" w:rsidP="00E551BC">
      <w:pPr>
        <w:rPr>
          <w:lang w:eastAsia="ja-JP"/>
        </w:rPr>
      </w:pPr>
      <w:r w:rsidRPr="00C31183">
        <w:rPr>
          <w:lang w:eastAsia="ja-JP"/>
        </w:rPr>
        <w:t xml:space="preserve">Maximum increases in body weight from baseline of </w:t>
      </w:r>
      <w:r>
        <w:rPr>
          <w:lang w:eastAsia="ja-JP"/>
        </w:rPr>
        <w:t>≥</w:t>
      </w:r>
      <w:r w:rsidRPr="00C31183">
        <w:rPr>
          <w:lang w:eastAsia="ja-JP"/>
        </w:rPr>
        <w:t xml:space="preserve"> 10% were reported in 14.4% (23/160) of patients in the </w:t>
      </w:r>
      <w:proofErr w:type="spellStart"/>
      <w:r w:rsidRPr="00C31183">
        <w:rPr>
          <w:lang w:eastAsia="ja-JP"/>
        </w:rPr>
        <w:t>crizotinib</w:t>
      </w:r>
      <w:proofErr w:type="spellEnd"/>
      <w:r w:rsidRPr="00C31183">
        <w:rPr>
          <w:lang w:eastAsia="ja-JP"/>
        </w:rPr>
        <w:t xml:space="preserve"> arm and 8.5% (14/165) in the chemotherapy arm and the corresponding results for maximum decrease in body weight from baseline of </w:t>
      </w:r>
      <w:r>
        <w:rPr>
          <w:lang w:eastAsia="ja-JP"/>
        </w:rPr>
        <w:t>≥</w:t>
      </w:r>
      <w:r w:rsidRPr="00C31183">
        <w:rPr>
          <w:lang w:eastAsia="ja-JP"/>
        </w:rPr>
        <w:t xml:space="preserve"> 10% were reported in 8.1% (13/169) and 3.0% (5/165) of patients in the </w:t>
      </w:r>
      <w:proofErr w:type="spellStart"/>
      <w:r w:rsidRPr="00C31183">
        <w:rPr>
          <w:lang w:eastAsia="ja-JP"/>
        </w:rPr>
        <w:t>crizotinib</w:t>
      </w:r>
      <w:proofErr w:type="spellEnd"/>
      <w:r w:rsidRPr="00C31183">
        <w:rPr>
          <w:lang w:eastAsia="ja-JP"/>
        </w:rPr>
        <w:t xml:space="preserve"> and c</w:t>
      </w:r>
      <w:r w:rsidR="00E551BC">
        <w:rPr>
          <w:lang w:eastAsia="ja-JP"/>
        </w:rPr>
        <w:t>hemotherapy arms, respectively.</w:t>
      </w:r>
    </w:p>
    <w:p w:rsidR="00CE4F74" w:rsidRPr="00C31183" w:rsidRDefault="00CE4F74" w:rsidP="00E551BC">
      <w:pPr>
        <w:pStyle w:val="Heading5"/>
        <w:rPr>
          <w:lang w:eastAsia="ja-JP"/>
        </w:rPr>
      </w:pPr>
      <w:bookmarkStart w:id="112" w:name="_Toc228773393"/>
      <w:r w:rsidRPr="00C31183">
        <w:rPr>
          <w:lang w:eastAsia="ja-JP"/>
        </w:rPr>
        <w:t>Electrocardiogram</w:t>
      </w:r>
      <w:bookmarkEnd w:id="112"/>
    </w:p>
    <w:p w:rsidR="00CE4F74" w:rsidRPr="00C31183" w:rsidRDefault="00CE4F74" w:rsidP="00E551BC">
      <w:pPr>
        <w:rPr>
          <w:lang w:eastAsia="ja-JP"/>
        </w:rPr>
      </w:pPr>
      <w:r w:rsidRPr="00C31183">
        <w:rPr>
          <w:lang w:eastAsia="ja-JP"/>
        </w:rPr>
        <w:t xml:space="preserve">ECGs were obtained from all patients in the </w:t>
      </w:r>
      <w:proofErr w:type="spellStart"/>
      <w:r w:rsidRPr="00C31183">
        <w:rPr>
          <w:lang w:eastAsia="ja-JP"/>
        </w:rPr>
        <w:t>crizotinib</w:t>
      </w:r>
      <w:proofErr w:type="spellEnd"/>
      <w:r w:rsidRPr="00C31183">
        <w:rPr>
          <w:lang w:eastAsia="ja-JP"/>
        </w:rPr>
        <w:t xml:space="preserve"> arm during the study and a group of approximately 21 patients participated in </w:t>
      </w:r>
      <w:proofErr w:type="spellStart"/>
      <w:r w:rsidRPr="00C31183">
        <w:rPr>
          <w:lang w:eastAsia="ja-JP"/>
        </w:rPr>
        <w:t>substudy</w:t>
      </w:r>
      <w:proofErr w:type="spellEnd"/>
      <w:r w:rsidRPr="00C31183">
        <w:rPr>
          <w:lang w:eastAsia="ja-JP"/>
        </w:rPr>
        <w:t xml:space="preserve"> involving additional data. The ECG </w:t>
      </w:r>
      <w:proofErr w:type="spellStart"/>
      <w:r w:rsidRPr="00C31183">
        <w:rPr>
          <w:lang w:eastAsia="ja-JP"/>
        </w:rPr>
        <w:t>substudy</w:t>
      </w:r>
      <w:proofErr w:type="spellEnd"/>
      <w:r w:rsidRPr="00C31183">
        <w:rPr>
          <w:lang w:eastAsia="ja-JP"/>
        </w:rPr>
        <w:t xml:space="preserve"> is ongoing and the sponsor indicates that it will be reported separately. No data were presented on patients in the chemotherapy arm. In the </w:t>
      </w:r>
      <w:proofErr w:type="spellStart"/>
      <w:r w:rsidRPr="00C31183">
        <w:rPr>
          <w:lang w:eastAsia="ja-JP"/>
        </w:rPr>
        <w:t>crizotinib</w:t>
      </w:r>
      <w:proofErr w:type="spellEnd"/>
      <w:r w:rsidRPr="00C31183">
        <w:rPr>
          <w:lang w:eastAsia="ja-JP"/>
        </w:rPr>
        <w:t xml:space="preserve"> arm, maximum post</w:t>
      </w:r>
      <w:r>
        <w:rPr>
          <w:lang w:eastAsia="ja-JP"/>
        </w:rPr>
        <w:t xml:space="preserve"> </w:t>
      </w:r>
      <w:r w:rsidRPr="00C31183">
        <w:rPr>
          <w:lang w:eastAsia="ja-JP"/>
        </w:rPr>
        <w:t xml:space="preserve">dose </w:t>
      </w:r>
      <w:proofErr w:type="spellStart"/>
      <w:r w:rsidRPr="00C31183">
        <w:rPr>
          <w:lang w:eastAsia="ja-JP"/>
        </w:rPr>
        <w:t>QTcF</w:t>
      </w:r>
      <w:proofErr w:type="spellEnd"/>
      <w:r w:rsidRPr="00C31183">
        <w:rPr>
          <w:lang w:eastAsia="ja-JP"/>
        </w:rPr>
        <w:t xml:space="preserve"> of &lt; 450</w:t>
      </w:r>
      <w:r>
        <w:rPr>
          <w:lang w:eastAsia="ja-JP"/>
        </w:rPr>
        <w:t xml:space="preserve"> </w:t>
      </w:r>
      <w:proofErr w:type="spellStart"/>
      <w:r>
        <w:rPr>
          <w:lang w:eastAsia="ja-JP"/>
        </w:rPr>
        <w:t>ms</w:t>
      </w:r>
      <w:proofErr w:type="spellEnd"/>
      <w:r>
        <w:rPr>
          <w:lang w:eastAsia="ja-JP"/>
        </w:rPr>
        <w:t xml:space="preserve"> </w:t>
      </w:r>
      <w:r w:rsidRPr="00C31183">
        <w:rPr>
          <w:lang w:eastAsia="ja-JP"/>
        </w:rPr>
        <w:t>was reported in 89.8% (132/147) of patients, 450 to &lt; 480</w:t>
      </w:r>
      <w:r>
        <w:rPr>
          <w:lang w:eastAsia="ja-JP"/>
        </w:rPr>
        <w:t xml:space="preserve"> </w:t>
      </w:r>
      <w:proofErr w:type="spellStart"/>
      <w:r>
        <w:rPr>
          <w:lang w:eastAsia="ja-JP"/>
        </w:rPr>
        <w:t>ms</w:t>
      </w:r>
      <w:proofErr w:type="spellEnd"/>
      <w:r>
        <w:rPr>
          <w:lang w:eastAsia="ja-JP"/>
        </w:rPr>
        <w:t xml:space="preserve"> </w:t>
      </w:r>
      <w:r w:rsidRPr="00C31183">
        <w:rPr>
          <w:lang w:eastAsia="ja-JP"/>
        </w:rPr>
        <w:t>in 6.1% (9/147) of patients, 480 to &lt; 500</w:t>
      </w:r>
      <w:r>
        <w:rPr>
          <w:lang w:eastAsia="ja-JP"/>
        </w:rPr>
        <w:t xml:space="preserve"> </w:t>
      </w:r>
      <w:proofErr w:type="spellStart"/>
      <w:r>
        <w:rPr>
          <w:lang w:eastAsia="ja-JP"/>
        </w:rPr>
        <w:t>ms</w:t>
      </w:r>
      <w:proofErr w:type="spellEnd"/>
      <w:r>
        <w:rPr>
          <w:lang w:eastAsia="ja-JP"/>
        </w:rPr>
        <w:t xml:space="preserve"> </w:t>
      </w:r>
      <w:r w:rsidRPr="00C31183">
        <w:rPr>
          <w:lang w:eastAsia="ja-JP"/>
        </w:rPr>
        <w:t xml:space="preserve">in 0.7% (1.147) of patients, and </w:t>
      </w:r>
      <w:r>
        <w:rPr>
          <w:lang w:eastAsia="ja-JP"/>
        </w:rPr>
        <w:t>≥</w:t>
      </w:r>
      <w:r w:rsidRPr="00C31183">
        <w:rPr>
          <w:lang w:eastAsia="ja-JP"/>
        </w:rPr>
        <w:t xml:space="preserve"> 500</w:t>
      </w:r>
      <w:r>
        <w:rPr>
          <w:lang w:eastAsia="ja-JP"/>
        </w:rPr>
        <w:t xml:space="preserve"> </w:t>
      </w:r>
      <w:proofErr w:type="spellStart"/>
      <w:r>
        <w:rPr>
          <w:lang w:eastAsia="ja-JP"/>
        </w:rPr>
        <w:t>ms</w:t>
      </w:r>
      <w:proofErr w:type="spellEnd"/>
      <w:r>
        <w:rPr>
          <w:lang w:eastAsia="ja-JP"/>
        </w:rPr>
        <w:t xml:space="preserve"> </w:t>
      </w:r>
      <w:r w:rsidRPr="00C31183">
        <w:rPr>
          <w:lang w:eastAsia="ja-JP"/>
        </w:rPr>
        <w:t xml:space="preserve">in 3.4% (5/147) of patients. In the </w:t>
      </w:r>
      <w:proofErr w:type="spellStart"/>
      <w:r w:rsidRPr="00C31183">
        <w:rPr>
          <w:lang w:eastAsia="ja-JP"/>
        </w:rPr>
        <w:t>crizotinib</w:t>
      </w:r>
      <w:proofErr w:type="spellEnd"/>
      <w:r w:rsidRPr="00C31183">
        <w:rPr>
          <w:lang w:eastAsia="ja-JP"/>
        </w:rPr>
        <w:t xml:space="preserve"> arm, maximum </w:t>
      </w:r>
      <w:proofErr w:type="spellStart"/>
      <w:r w:rsidRPr="00C31183">
        <w:rPr>
          <w:lang w:eastAsia="ja-JP"/>
        </w:rPr>
        <w:t>QTcF</w:t>
      </w:r>
      <w:proofErr w:type="spellEnd"/>
      <w:r w:rsidRPr="00C31183">
        <w:rPr>
          <w:lang w:eastAsia="ja-JP"/>
        </w:rPr>
        <w:t xml:space="preserve"> changes from baseline of &lt; 30</w:t>
      </w:r>
      <w:r>
        <w:rPr>
          <w:lang w:eastAsia="ja-JP"/>
        </w:rPr>
        <w:t xml:space="preserve"> </w:t>
      </w:r>
      <w:proofErr w:type="spellStart"/>
      <w:r>
        <w:rPr>
          <w:lang w:eastAsia="ja-JP"/>
        </w:rPr>
        <w:t>ms</w:t>
      </w:r>
      <w:proofErr w:type="spellEnd"/>
      <w:r>
        <w:rPr>
          <w:lang w:eastAsia="ja-JP"/>
        </w:rPr>
        <w:t xml:space="preserve"> </w:t>
      </w:r>
      <w:r w:rsidRPr="00C31183">
        <w:rPr>
          <w:lang w:eastAsia="ja-JP"/>
        </w:rPr>
        <w:t xml:space="preserve">were reported in 81.9% (118/144) of patients, </w:t>
      </w:r>
      <w:r>
        <w:rPr>
          <w:lang w:eastAsia="ja-JP"/>
        </w:rPr>
        <w:t>≥</w:t>
      </w:r>
      <w:r w:rsidRPr="00C31183">
        <w:rPr>
          <w:lang w:eastAsia="ja-JP"/>
        </w:rPr>
        <w:t xml:space="preserve"> 30 to &lt; 60</w:t>
      </w:r>
      <w:r>
        <w:rPr>
          <w:lang w:eastAsia="ja-JP"/>
        </w:rPr>
        <w:t xml:space="preserve"> </w:t>
      </w:r>
      <w:proofErr w:type="spellStart"/>
      <w:r>
        <w:rPr>
          <w:lang w:eastAsia="ja-JP"/>
        </w:rPr>
        <w:t>ms</w:t>
      </w:r>
      <w:proofErr w:type="spellEnd"/>
      <w:r>
        <w:rPr>
          <w:lang w:eastAsia="ja-JP"/>
        </w:rPr>
        <w:t xml:space="preserve"> </w:t>
      </w:r>
      <w:r w:rsidRPr="00C31183">
        <w:rPr>
          <w:lang w:eastAsia="ja-JP"/>
        </w:rPr>
        <w:t xml:space="preserve">in 11.8% (17/144) of patients and </w:t>
      </w:r>
      <w:r>
        <w:rPr>
          <w:lang w:eastAsia="ja-JP"/>
        </w:rPr>
        <w:t>≥</w:t>
      </w:r>
      <w:r w:rsidRPr="00C31183">
        <w:rPr>
          <w:lang w:eastAsia="ja-JP"/>
        </w:rPr>
        <w:t xml:space="preserve"> 60</w:t>
      </w:r>
      <w:r>
        <w:rPr>
          <w:lang w:eastAsia="ja-JP"/>
        </w:rPr>
        <w:t xml:space="preserve"> </w:t>
      </w:r>
      <w:proofErr w:type="spellStart"/>
      <w:r>
        <w:rPr>
          <w:lang w:eastAsia="ja-JP"/>
        </w:rPr>
        <w:t>ms</w:t>
      </w:r>
      <w:proofErr w:type="spellEnd"/>
      <w:r>
        <w:rPr>
          <w:lang w:eastAsia="ja-JP"/>
        </w:rPr>
        <w:t xml:space="preserve"> </w:t>
      </w:r>
      <w:r w:rsidR="00E551BC">
        <w:rPr>
          <w:lang w:eastAsia="ja-JP"/>
        </w:rPr>
        <w:t>in 6.3% (9/144) of patients.</w:t>
      </w:r>
    </w:p>
    <w:p w:rsidR="00CE4F74" w:rsidRPr="00C31183" w:rsidRDefault="00CE4F74" w:rsidP="00E551BC">
      <w:pPr>
        <w:rPr>
          <w:lang w:eastAsia="ja-JP"/>
        </w:rPr>
      </w:pPr>
      <w:r w:rsidRPr="00C31183">
        <w:rPr>
          <w:lang w:eastAsia="ja-JP"/>
        </w:rPr>
        <w:t xml:space="preserve">The central tendency analysis for patients in the </w:t>
      </w:r>
      <w:proofErr w:type="spellStart"/>
      <w:r w:rsidRPr="00C31183">
        <w:rPr>
          <w:lang w:eastAsia="ja-JP"/>
        </w:rPr>
        <w:t>crizotinib</w:t>
      </w:r>
      <w:proofErr w:type="spellEnd"/>
      <w:r w:rsidRPr="00C31183">
        <w:rPr>
          <w:lang w:eastAsia="ja-JP"/>
        </w:rPr>
        <w:t xml:space="preserve"> arm included summary statistics with 90% CIs of changes from baseline for both </w:t>
      </w:r>
      <w:proofErr w:type="spellStart"/>
      <w:r w:rsidRPr="00C31183">
        <w:rPr>
          <w:lang w:eastAsia="ja-JP"/>
        </w:rPr>
        <w:t>QTcB</w:t>
      </w:r>
      <w:proofErr w:type="spellEnd"/>
      <w:r w:rsidRPr="00C31183">
        <w:rPr>
          <w:lang w:eastAsia="ja-JP"/>
        </w:rPr>
        <w:t xml:space="preserve"> and </w:t>
      </w:r>
      <w:proofErr w:type="spellStart"/>
      <w:r w:rsidRPr="00C31183">
        <w:rPr>
          <w:lang w:eastAsia="ja-JP"/>
        </w:rPr>
        <w:t>QTcF</w:t>
      </w:r>
      <w:proofErr w:type="spellEnd"/>
      <w:r w:rsidRPr="00C31183">
        <w:rPr>
          <w:lang w:eastAsia="ja-JP"/>
        </w:rPr>
        <w:t xml:space="preserve">. The mean changes from baseline for </w:t>
      </w:r>
      <w:proofErr w:type="spellStart"/>
      <w:r w:rsidRPr="00C31183">
        <w:rPr>
          <w:lang w:eastAsia="ja-JP"/>
        </w:rPr>
        <w:t>QTcB</w:t>
      </w:r>
      <w:proofErr w:type="spellEnd"/>
      <w:r w:rsidRPr="00C31183">
        <w:rPr>
          <w:lang w:eastAsia="ja-JP"/>
        </w:rPr>
        <w:t xml:space="preserve"> and </w:t>
      </w:r>
      <w:proofErr w:type="spellStart"/>
      <w:r w:rsidRPr="00C31183">
        <w:rPr>
          <w:lang w:eastAsia="ja-JP"/>
        </w:rPr>
        <w:t>QTcF</w:t>
      </w:r>
      <w:proofErr w:type="spellEnd"/>
      <w:r w:rsidRPr="00C31183">
        <w:rPr>
          <w:lang w:eastAsia="ja-JP"/>
        </w:rPr>
        <w:t xml:space="preserve"> ranged from -7.4 to 1.9</w:t>
      </w:r>
      <w:r>
        <w:rPr>
          <w:lang w:eastAsia="ja-JP"/>
        </w:rPr>
        <w:t xml:space="preserve"> </w:t>
      </w:r>
      <w:proofErr w:type="spellStart"/>
      <w:r>
        <w:rPr>
          <w:lang w:eastAsia="ja-JP"/>
        </w:rPr>
        <w:t>ms</w:t>
      </w:r>
      <w:proofErr w:type="spellEnd"/>
      <w:r>
        <w:rPr>
          <w:lang w:eastAsia="ja-JP"/>
        </w:rPr>
        <w:t xml:space="preserve"> </w:t>
      </w:r>
      <w:r w:rsidRPr="00C31183">
        <w:rPr>
          <w:lang w:eastAsia="ja-JP"/>
        </w:rPr>
        <w:t xml:space="preserve">and 3.4 to 8.3 </w:t>
      </w:r>
      <w:proofErr w:type="spellStart"/>
      <w:r w:rsidRPr="00C31183">
        <w:rPr>
          <w:lang w:eastAsia="ja-JP"/>
        </w:rPr>
        <w:t>msec</w:t>
      </w:r>
      <w:proofErr w:type="spellEnd"/>
      <w:r w:rsidRPr="00C31183">
        <w:rPr>
          <w:lang w:eastAsia="ja-JP"/>
        </w:rPr>
        <w:t xml:space="preserve">, respectively, at time points on Cycle 1 Day 1 and Cycle 2 Day 1. The highest upper bounds of the 2-sided 90% CIs for </w:t>
      </w:r>
      <w:proofErr w:type="spellStart"/>
      <w:r w:rsidRPr="00C31183">
        <w:rPr>
          <w:lang w:eastAsia="ja-JP"/>
        </w:rPr>
        <w:t>QTcB</w:t>
      </w:r>
      <w:proofErr w:type="spellEnd"/>
      <w:r w:rsidRPr="00C31183">
        <w:rPr>
          <w:lang w:eastAsia="ja-JP"/>
        </w:rPr>
        <w:t xml:space="preserve"> and </w:t>
      </w:r>
      <w:proofErr w:type="spellStart"/>
      <w:r w:rsidRPr="00C31183">
        <w:rPr>
          <w:lang w:eastAsia="ja-JP"/>
        </w:rPr>
        <w:t>QTcF</w:t>
      </w:r>
      <w:proofErr w:type="spellEnd"/>
      <w:r w:rsidRPr="00C31183">
        <w:rPr>
          <w:lang w:eastAsia="ja-JP"/>
        </w:rPr>
        <w:t xml:space="preserve"> were 4.4</w:t>
      </w:r>
      <w:r>
        <w:rPr>
          <w:lang w:eastAsia="ja-JP"/>
        </w:rPr>
        <w:t xml:space="preserve"> </w:t>
      </w:r>
      <w:proofErr w:type="spellStart"/>
      <w:r>
        <w:rPr>
          <w:lang w:eastAsia="ja-JP"/>
        </w:rPr>
        <w:t>ms</w:t>
      </w:r>
      <w:proofErr w:type="spellEnd"/>
      <w:r>
        <w:rPr>
          <w:lang w:eastAsia="ja-JP"/>
        </w:rPr>
        <w:t xml:space="preserve"> </w:t>
      </w:r>
      <w:r w:rsidRPr="00C31183">
        <w:rPr>
          <w:lang w:eastAsia="ja-JP"/>
        </w:rPr>
        <w:t xml:space="preserve">and 13.1 </w:t>
      </w:r>
      <w:proofErr w:type="spellStart"/>
      <w:r w:rsidRPr="00C31183">
        <w:rPr>
          <w:lang w:eastAsia="ja-JP"/>
        </w:rPr>
        <w:t>msec</w:t>
      </w:r>
      <w:proofErr w:type="spellEnd"/>
      <w:r w:rsidRPr="00C31183">
        <w:rPr>
          <w:lang w:eastAsia="ja-JP"/>
        </w:rPr>
        <w:t xml:space="preserve">, respectively. Overall, the ECG results suggest that </w:t>
      </w:r>
      <w:proofErr w:type="spellStart"/>
      <w:r w:rsidRPr="00C31183">
        <w:rPr>
          <w:lang w:eastAsia="ja-JP"/>
        </w:rPr>
        <w:t>crizotinib</w:t>
      </w:r>
      <w:proofErr w:type="spellEnd"/>
      <w:r w:rsidRPr="00C31183">
        <w:rPr>
          <w:lang w:eastAsia="ja-JP"/>
        </w:rPr>
        <w:t xml:space="preserve"> has the potenti</w:t>
      </w:r>
      <w:r w:rsidR="00E551BC">
        <w:rPr>
          <w:lang w:eastAsia="ja-JP"/>
        </w:rPr>
        <w:t xml:space="preserve">al to prolong the </w:t>
      </w:r>
      <w:proofErr w:type="spellStart"/>
      <w:r w:rsidR="00E551BC">
        <w:rPr>
          <w:lang w:eastAsia="ja-JP"/>
        </w:rPr>
        <w:t>QTc</w:t>
      </w:r>
      <w:proofErr w:type="spellEnd"/>
      <w:r w:rsidR="00E551BC">
        <w:rPr>
          <w:lang w:eastAsia="ja-JP"/>
        </w:rPr>
        <w:t xml:space="preserve"> interval.</w:t>
      </w:r>
    </w:p>
    <w:p w:rsidR="00CE4F74" w:rsidRPr="00C31183" w:rsidRDefault="00CE4F74" w:rsidP="00E551BC">
      <w:pPr>
        <w:pStyle w:val="Heading5"/>
        <w:rPr>
          <w:lang w:eastAsia="ja-JP"/>
        </w:rPr>
      </w:pPr>
      <w:bookmarkStart w:id="113" w:name="_Toc228773394"/>
      <w:r w:rsidRPr="00C31183">
        <w:rPr>
          <w:lang w:eastAsia="ja-JP"/>
        </w:rPr>
        <w:t>MUGA/ECHO</w:t>
      </w:r>
      <w:bookmarkEnd w:id="113"/>
    </w:p>
    <w:p w:rsidR="00CE4F74" w:rsidRPr="00C31183" w:rsidRDefault="00CE4F74" w:rsidP="00E551BC">
      <w:pPr>
        <w:rPr>
          <w:lang w:eastAsia="ja-JP"/>
        </w:rPr>
      </w:pPr>
      <w:r w:rsidRPr="00C31183">
        <w:rPr>
          <w:lang w:eastAsia="ja-JP"/>
        </w:rPr>
        <w:t xml:space="preserve">Of 31 patients evaluated for changes in the </w:t>
      </w:r>
      <w:r>
        <w:rPr>
          <w:lang w:eastAsia="ja-JP"/>
        </w:rPr>
        <w:t>left ventricular ejection fraction (</w:t>
      </w:r>
      <w:r w:rsidRPr="00C31183">
        <w:rPr>
          <w:lang w:eastAsia="ja-JP"/>
        </w:rPr>
        <w:t>LVEF</w:t>
      </w:r>
      <w:r>
        <w:rPr>
          <w:lang w:eastAsia="ja-JP"/>
        </w:rPr>
        <w:t>)</w:t>
      </w:r>
      <w:r w:rsidRPr="00C31183">
        <w:rPr>
          <w:lang w:eastAsia="ja-JP"/>
        </w:rPr>
        <w:t xml:space="preserve"> (17 </w:t>
      </w:r>
      <w:proofErr w:type="spellStart"/>
      <w:r w:rsidRPr="00C31183">
        <w:rPr>
          <w:lang w:eastAsia="ja-JP"/>
        </w:rPr>
        <w:t>crizotinib</w:t>
      </w:r>
      <w:proofErr w:type="spellEnd"/>
      <w:r w:rsidRPr="00C31183">
        <w:rPr>
          <w:lang w:eastAsia="ja-JP"/>
        </w:rPr>
        <w:t xml:space="preserve"> and 14 chemotherapy), no </w:t>
      </w:r>
      <w:proofErr w:type="spellStart"/>
      <w:r w:rsidRPr="00C31183">
        <w:rPr>
          <w:lang w:eastAsia="ja-JP"/>
        </w:rPr>
        <w:t>crizotinib</w:t>
      </w:r>
      <w:proofErr w:type="spellEnd"/>
      <w:r w:rsidRPr="00C31183">
        <w:rPr>
          <w:lang w:eastAsia="ja-JP"/>
        </w:rPr>
        <w:t xml:space="preserve"> and 1 (7.1%) chemotherapy patient had a maximum relative decrease from baseline in LVEF of &gt; 20% (but not below the lower</w:t>
      </w:r>
      <w:r w:rsidR="00E551BC">
        <w:rPr>
          <w:lang w:eastAsia="ja-JP"/>
        </w:rPr>
        <w:t xml:space="preserve"> limit of the reference range).</w:t>
      </w:r>
    </w:p>
    <w:p w:rsidR="00CE4F74" w:rsidRPr="00C31183" w:rsidRDefault="00CE4F74" w:rsidP="00E551BC">
      <w:pPr>
        <w:pStyle w:val="Heading5"/>
        <w:rPr>
          <w:lang w:eastAsia="ja-JP"/>
        </w:rPr>
      </w:pPr>
      <w:bookmarkStart w:id="114" w:name="_Toc228773395"/>
      <w:r w:rsidRPr="00C31183">
        <w:rPr>
          <w:lang w:eastAsia="ja-JP"/>
        </w:rPr>
        <w:t>ECOG performance status (PS)</w:t>
      </w:r>
      <w:bookmarkEnd w:id="114"/>
    </w:p>
    <w:p w:rsidR="00CE4F74" w:rsidRPr="00C31183" w:rsidRDefault="00CE4F74" w:rsidP="00E551BC">
      <w:pPr>
        <w:rPr>
          <w:lang w:eastAsia="ja-JP"/>
        </w:rPr>
      </w:pPr>
      <w:r w:rsidRPr="00C31183">
        <w:rPr>
          <w:lang w:eastAsia="ja-JP"/>
        </w:rPr>
        <w:t xml:space="preserve">All patients had ECOG PS of 0, 1, or 2 at baseline. A total of 11 (6.4%) patients on </w:t>
      </w:r>
      <w:proofErr w:type="spellStart"/>
      <w:r w:rsidRPr="00C31183">
        <w:rPr>
          <w:lang w:eastAsia="ja-JP"/>
        </w:rPr>
        <w:t>crizotinib</w:t>
      </w:r>
      <w:proofErr w:type="spellEnd"/>
      <w:r w:rsidRPr="00C31183">
        <w:rPr>
          <w:lang w:eastAsia="ja-JP"/>
        </w:rPr>
        <w:t xml:space="preserve"> and 14 (8.0%) patients on chemotherapy had a shift from ECOG PS of 0, 1, or 2 at baseline to a worst </w:t>
      </w:r>
      <w:r w:rsidR="00E551BC">
        <w:rPr>
          <w:lang w:eastAsia="ja-JP"/>
        </w:rPr>
        <w:t>ECOG PS of 3, 4, or 5 on study.</w:t>
      </w:r>
    </w:p>
    <w:p w:rsidR="00CE4F74" w:rsidRPr="00C31183" w:rsidRDefault="00CE4F74" w:rsidP="00E551BC">
      <w:pPr>
        <w:pStyle w:val="Heading5"/>
        <w:rPr>
          <w:lang w:eastAsia="ja-JP"/>
        </w:rPr>
      </w:pPr>
      <w:bookmarkStart w:id="115" w:name="_Toc228773396"/>
      <w:r w:rsidRPr="00C31183">
        <w:rPr>
          <w:lang w:eastAsia="ja-JP"/>
        </w:rPr>
        <w:lastRenderedPageBreak/>
        <w:t>Ophthalmic evaluations</w:t>
      </w:r>
      <w:bookmarkEnd w:id="115"/>
    </w:p>
    <w:p w:rsidR="00CE4F74" w:rsidRPr="00C31183" w:rsidRDefault="00CE4F74" w:rsidP="00E551BC">
      <w:pPr>
        <w:rPr>
          <w:lang w:eastAsia="ja-JP"/>
        </w:rPr>
      </w:pPr>
      <w:r w:rsidRPr="00C31183">
        <w:rPr>
          <w:lang w:eastAsia="ja-JP"/>
        </w:rPr>
        <w:t xml:space="preserve">Most patients had </w:t>
      </w:r>
      <w:proofErr w:type="spellStart"/>
      <w:r w:rsidRPr="00C31183">
        <w:rPr>
          <w:lang w:eastAsia="ja-JP"/>
        </w:rPr>
        <w:t>biomicroscopy</w:t>
      </w:r>
      <w:proofErr w:type="spellEnd"/>
      <w:r w:rsidRPr="00C31183">
        <w:rPr>
          <w:lang w:eastAsia="ja-JP"/>
        </w:rPr>
        <w:t xml:space="preserve"> examinations at baseline and most of these results were normal. There were 77 patients in the </w:t>
      </w:r>
      <w:proofErr w:type="spellStart"/>
      <w:r w:rsidRPr="00C31183">
        <w:rPr>
          <w:lang w:eastAsia="ja-JP"/>
        </w:rPr>
        <w:t>crizotinib</w:t>
      </w:r>
      <w:proofErr w:type="spellEnd"/>
      <w:r w:rsidRPr="00C31183">
        <w:rPr>
          <w:lang w:eastAsia="ja-JP"/>
        </w:rPr>
        <w:t xml:space="preserve"> arm and 8 patients in the chemotherapy arm with follow-up on-treatment </w:t>
      </w:r>
      <w:proofErr w:type="spellStart"/>
      <w:r w:rsidRPr="00C31183">
        <w:rPr>
          <w:lang w:eastAsia="ja-JP"/>
        </w:rPr>
        <w:t>biomicroscopy</w:t>
      </w:r>
      <w:proofErr w:type="spellEnd"/>
      <w:r w:rsidRPr="00C31183">
        <w:rPr>
          <w:lang w:eastAsia="ja-JP"/>
        </w:rPr>
        <w:t xml:space="preserve"> examinations. Only a few patients had new findings or worsening findings at follow-up, while 72 to 77 patients in the </w:t>
      </w:r>
      <w:proofErr w:type="spellStart"/>
      <w:r w:rsidRPr="00C31183">
        <w:rPr>
          <w:lang w:eastAsia="ja-JP"/>
        </w:rPr>
        <w:t>crizotinib</w:t>
      </w:r>
      <w:proofErr w:type="spellEnd"/>
      <w:r w:rsidRPr="00C31183">
        <w:rPr>
          <w:lang w:eastAsia="ja-JP"/>
        </w:rPr>
        <w:t xml:space="preserve"> arm and 7 to 8 patients in the chemotherapy arm had no changes in </w:t>
      </w:r>
      <w:proofErr w:type="spellStart"/>
      <w:r w:rsidRPr="00C31183">
        <w:rPr>
          <w:lang w:eastAsia="ja-JP"/>
        </w:rPr>
        <w:t>biomicroscopy</w:t>
      </w:r>
      <w:proofErr w:type="spellEnd"/>
      <w:r w:rsidRPr="00C31183">
        <w:rPr>
          <w:lang w:eastAsia="ja-JP"/>
        </w:rPr>
        <w:t xml:space="preserve"> from baseline depen</w:t>
      </w:r>
      <w:r w:rsidR="00E551BC">
        <w:rPr>
          <w:lang w:eastAsia="ja-JP"/>
        </w:rPr>
        <w:t>ding on the assessed parameter.</w:t>
      </w:r>
    </w:p>
    <w:p w:rsidR="00CE4F74" w:rsidRPr="00C31183" w:rsidRDefault="00CE4F74" w:rsidP="00E551BC">
      <w:pPr>
        <w:rPr>
          <w:lang w:eastAsia="ja-JP"/>
        </w:rPr>
      </w:pPr>
      <w:r w:rsidRPr="00C31183">
        <w:rPr>
          <w:lang w:eastAsia="ja-JP"/>
        </w:rPr>
        <w:t xml:space="preserve">Most patients had </w:t>
      </w:r>
      <w:proofErr w:type="spellStart"/>
      <w:r w:rsidRPr="00C31183">
        <w:rPr>
          <w:lang w:eastAsia="ja-JP"/>
        </w:rPr>
        <w:t>fundoscopy</w:t>
      </w:r>
      <w:proofErr w:type="spellEnd"/>
      <w:r w:rsidRPr="00C31183">
        <w:rPr>
          <w:lang w:eastAsia="ja-JP"/>
        </w:rPr>
        <w:t xml:space="preserve"> examinations at baseline and most of these results were normal. There were 77 patients in the </w:t>
      </w:r>
      <w:proofErr w:type="spellStart"/>
      <w:r w:rsidRPr="00C31183">
        <w:rPr>
          <w:lang w:eastAsia="ja-JP"/>
        </w:rPr>
        <w:t>crizotinib</w:t>
      </w:r>
      <w:proofErr w:type="spellEnd"/>
      <w:r w:rsidRPr="00C31183">
        <w:rPr>
          <w:lang w:eastAsia="ja-JP"/>
        </w:rPr>
        <w:t xml:space="preserve"> arm and 8 patients in the chemotherapy arm with follow-up on-treatment </w:t>
      </w:r>
      <w:proofErr w:type="spellStart"/>
      <w:r w:rsidRPr="00C31183">
        <w:rPr>
          <w:lang w:eastAsia="ja-JP"/>
        </w:rPr>
        <w:t>fundoscopy</w:t>
      </w:r>
      <w:proofErr w:type="spellEnd"/>
      <w:r w:rsidRPr="00C31183">
        <w:rPr>
          <w:lang w:eastAsia="ja-JP"/>
        </w:rPr>
        <w:t xml:space="preserve"> examinations. Only a few patients had new findings or worsening findings at follow-up, while 70 to 77 patients in the </w:t>
      </w:r>
      <w:proofErr w:type="spellStart"/>
      <w:r w:rsidRPr="00C31183">
        <w:rPr>
          <w:lang w:eastAsia="ja-JP"/>
        </w:rPr>
        <w:t>crizotinib</w:t>
      </w:r>
      <w:proofErr w:type="spellEnd"/>
      <w:r w:rsidRPr="00C31183">
        <w:rPr>
          <w:lang w:eastAsia="ja-JP"/>
        </w:rPr>
        <w:t xml:space="preserve"> arm and 4 to 8 patients in the chemotherapy had no changes in </w:t>
      </w:r>
      <w:proofErr w:type="spellStart"/>
      <w:r w:rsidRPr="00C31183">
        <w:rPr>
          <w:lang w:eastAsia="ja-JP"/>
        </w:rPr>
        <w:t>fundoscopy</w:t>
      </w:r>
      <w:proofErr w:type="spellEnd"/>
      <w:r w:rsidRPr="00C31183">
        <w:rPr>
          <w:lang w:eastAsia="ja-JP"/>
        </w:rPr>
        <w:t xml:space="preserve"> from baseline depen</w:t>
      </w:r>
      <w:r w:rsidR="00E551BC">
        <w:rPr>
          <w:lang w:eastAsia="ja-JP"/>
        </w:rPr>
        <w:t>ding on the assessed parameter.</w:t>
      </w:r>
    </w:p>
    <w:p w:rsidR="00CE4F74" w:rsidRPr="00C31183" w:rsidRDefault="00CE4F74" w:rsidP="00E551BC">
      <w:pPr>
        <w:rPr>
          <w:lang w:eastAsia="ja-JP"/>
        </w:rPr>
      </w:pPr>
      <w:r w:rsidRPr="00C31183">
        <w:rPr>
          <w:lang w:eastAsia="ja-JP"/>
        </w:rPr>
        <w:t xml:space="preserve">Most patients had visual acuity and distance examinations at baseline. A total of 68 patients in the </w:t>
      </w:r>
      <w:proofErr w:type="spellStart"/>
      <w:r w:rsidRPr="00C31183">
        <w:rPr>
          <w:lang w:eastAsia="ja-JP"/>
        </w:rPr>
        <w:t>crizotinib</w:t>
      </w:r>
      <w:proofErr w:type="spellEnd"/>
      <w:r w:rsidRPr="00C31183">
        <w:rPr>
          <w:lang w:eastAsia="ja-JP"/>
        </w:rPr>
        <w:t xml:space="preserve"> arm and 7 patients in the chemotherapy arm had follow-up visual acuity and distance examinations. There was a 2 line decrease i</w:t>
      </w:r>
      <w:r w:rsidRPr="000A0D19">
        <w:rPr>
          <w:lang w:eastAsia="ja-JP"/>
        </w:rPr>
        <w:t xml:space="preserve">n </w:t>
      </w:r>
      <w:r w:rsidRPr="000A0D19">
        <w:rPr>
          <w:bCs/>
          <w:lang w:eastAsia="ja-JP"/>
        </w:rPr>
        <w:t>best corrected visual acuity (</w:t>
      </w:r>
      <w:r w:rsidRPr="000A0D19">
        <w:rPr>
          <w:lang w:eastAsia="ja-JP"/>
        </w:rPr>
        <w:t>BCVA</w:t>
      </w:r>
      <w:r>
        <w:rPr>
          <w:lang w:eastAsia="ja-JP"/>
        </w:rPr>
        <w:t>)</w:t>
      </w:r>
      <w:r w:rsidRPr="00C31183">
        <w:rPr>
          <w:lang w:eastAsia="ja-JP"/>
        </w:rPr>
        <w:t xml:space="preserve"> in both eyes in 8.8% (6/68) patients in the </w:t>
      </w:r>
      <w:proofErr w:type="spellStart"/>
      <w:r w:rsidRPr="00C31183">
        <w:rPr>
          <w:lang w:eastAsia="ja-JP"/>
        </w:rPr>
        <w:t>crizotinib</w:t>
      </w:r>
      <w:proofErr w:type="spellEnd"/>
      <w:r w:rsidRPr="00C31183">
        <w:rPr>
          <w:lang w:eastAsia="ja-JP"/>
        </w:rPr>
        <w:t xml:space="preserve"> arm while no patients had a decrease of </w:t>
      </w:r>
      <w:r>
        <w:rPr>
          <w:lang w:eastAsia="ja-JP"/>
        </w:rPr>
        <w:t>≥</w:t>
      </w:r>
      <w:r w:rsidRPr="00C31183">
        <w:rPr>
          <w:lang w:eastAsia="ja-JP"/>
        </w:rPr>
        <w:t xml:space="preserve"> 3 lines. The decrease in BCVA in the </w:t>
      </w:r>
      <w:proofErr w:type="spellStart"/>
      <w:r w:rsidRPr="00C31183">
        <w:rPr>
          <w:lang w:eastAsia="ja-JP"/>
        </w:rPr>
        <w:t>crizotinib</w:t>
      </w:r>
      <w:proofErr w:type="spellEnd"/>
      <w:r w:rsidRPr="00C31183">
        <w:rPr>
          <w:lang w:eastAsia="ja-JP"/>
        </w:rPr>
        <w:t xml:space="preserve"> arm was attributable to worsening of cataracts in 4 patients and to retinal metastases in 2 patients. In the chemotherapy arm, there was a 2 line decrease in the left eye in 16.7% (1/6) of patients, and a </w:t>
      </w:r>
      <w:r>
        <w:rPr>
          <w:lang w:eastAsia="ja-JP"/>
        </w:rPr>
        <w:t>≥</w:t>
      </w:r>
      <w:r w:rsidRPr="00C31183">
        <w:rPr>
          <w:lang w:eastAsia="ja-JP"/>
        </w:rPr>
        <w:t xml:space="preserve"> 3 line decrease in the right </w:t>
      </w:r>
      <w:r w:rsidR="00E551BC">
        <w:rPr>
          <w:lang w:eastAsia="ja-JP"/>
        </w:rPr>
        <w:t>eye in 14.3% (1/7) of patients.</w:t>
      </w:r>
    </w:p>
    <w:p w:rsidR="00CE4F74" w:rsidRPr="00C31183" w:rsidRDefault="00CE4F74" w:rsidP="00E551BC">
      <w:pPr>
        <w:pStyle w:val="Heading4"/>
      </w:pPr>
      <w:bookmarkStart w:id="116" w:name="_Toc228773397"/>
      <w:r w:rsidRPr="00C31183">
        <w:t xml:space="preserve">Safety in special </w:t>
      </w:r>
      <w:r w:rsidRPr="00E551BC">
        <w:t>groups</w:t>
      </w:r>
      <w:bookmarkEnd w:id="116"/>
    </w:p>
    <w:p w:rsidR="00CE4F74" w:rsidRPr="00C31183" w:rsidRDefault="00CE4F74" w:rsidP="00E551BC">
      <w:pPr>
        <w:pStyle w:val="Heading5"/>
        <w:rPr>
          <w:lang w:eastAsia="ja-JP"/>
        </w:rPr>
      </w:pPr>
      <w:bookmarkStart w:id="117" w:name="_Toc228773398"/>
      <w:r w:rsidRPr="00C31183">
        <w:rPr>
          <w:lang w:eastAsia="ja-JP"/>
        </w:rPr>
        <w:t>Age</w:t>
      </w:r>
      <w:bookmarkEnd w:id="117"/>
    </w:p>
    <w:p w:rsidR="00CE4F74" w:rsidRPr="00C31183" w:rsidRDefault="00CE4F74" w:rsidP="00E551BC">
      <w:pPr>
        <w:rPr>
          <w:lang w:eastAsia="ja-JP"/>
        </w:rPr>
      </w:pPr>
      <w:r w:rsidRPr="00C31183">
        <w:rPr>
          <w:lang w:eastAsia="ja-JP"/>
        </w:rPr>
        <w:t xml:space="preserve">The TEAE profiles (all causality, all cycles) for patients aged &lt; 65 years and patients aged </w:t>
      </w:r>
      <w:r>
        <w:rPr>
          <w:lang w:eastAsia="ja-JP"/>
        </w:rPr>
        <w:t>≥</w:t>
      </w:r>
      <w:r w:rsidRPr="00C31183">
        <w:rPr>
          <w:lang w:eastAsia="ja-JP"/>
        </w:rPr>
        <w:t xml:space="preserve"> 65 years are </w:t>
      </w:r>
      <w:r>
        <w:rPr>
          <w:lang w:eastAsia="ja-JP"/>
        </w:rPr>
        <w:t>summarised</w:t>
      </w:r>
      <w:r w:rsidRPr="00C31183">
        <w:rPr>
          <w:lang w:eastAsia="ja-JP"/>
        </w:rPr>
        <w:t xml:space="preserve"> below in Table 18. In patients aged &lt; 65, the profiles for Grade 1/2 and Grade 3/4 TEAEs were similar for the </w:t>
      </w:r>
      <w:proofErr w:type="spellStart"/>
      <w:r w:rsidRPr="00C31183">
        <w:rPr>
          <w:lang w:eastAsia="ja-JP"/>
        </w:rPr>
        <w:t>crizotinib</w:t>
      </w:r>
      <w:proofErr w:type="spellEnd"/>
      <w:r w:rsidRPr="00C31183">
        <w:rPr>
          <w:lang w:eastAsia="ja-JP"/>
        </w:rPr>
        <w:t xml:space="preserve"> and chemotherapy groups but Grade 5 TEAEs occurred more commonly in the </w:t>
      </w:r>
      <w:proofErr w:type="spellStart"/>
      <w:r w:rsidRPr="00C31183">
        <w:rPr>
          <w:lang w:eastAsia="ja-JP"/>
        </w:rPr>
        <w:t>crizotinib</w:t>
      </w:r>
      <w:proofErr w:type="spellEnd"/>
      <w:r w:rsidRPr="00C31183">
        <w:rPr>
          <w:lang w:eastAsia="ja-JP"/>
        </w:rPr>
        <w:t xml:space="preserve"> group than in the chemotherapy group. In patients aged </w:t>
      </w:r>
      <w:r>
        <w:rPr>
          <w:lang w:eastAsia="ja-JP"/>
        </w:rPr>
        <w:t>≥</w:t>
      </w:r>
      <w:r w:rsidRPr="00C31183">
        <w:rPr>
          <w:lang w:eastAsia="ja-JP"/>
        </w:rPr>
        <w:t xml:space="preserve"> 65 years, Grade 3/4 and Grade 5 events occurred notably more commonly in the </w:t>
      </w:r>
      <w:proofErr w:type="spellStart"/>
      <w:r w:rsidRPr="00C31183">
        <w:rPr>
          <w:lang w:eastAsia="ja-JP"/>
        </w:rPr>
        <w:t>crizotinib</w:t>
      </w:r>
      <w:proofErr w:type="spellEnd"/>
      <w:r w:rsidRPr="00C31183">
        <w:rPr>
          <w:lang w:eastAsia="ja-JP"/>
        </w:rPr>
        <w:t xml:space="preserve"> group compared with the chemotherapy group. The main difference between patients in the two </w:t>
      </w:r>
      <w:proofErr w:type="spellStart"/>
      <w:r w:rsidRPr="00C31183">
        <w:rPr>
          <w:lang w:eastAsia="ja-JP"/>
        </w:rPr>
        <w:t>crizotinib</w:t>
      </w:r>
      <w:proofErr w:type="spellEnd"/>
      <w:r w:rsidRPr="00C31183">
        <w:rPr>
          <w:lang w:eastAsia="ja-JP"/>
        </w:rPr>
        <w:t xml:space="preserve"> groups was the higher incidence of Grade 3/4 events and particularly Grade 5 events in patients aged </w:t>
      </w:r>
      <w:r>
        <w:rPr>
          <w:lang w:eastAsia="ja-JP"/>
        </w:rPr>
        <w:t>≥</w:t>
      </w:r>
      <w:r w:rsidRPr="00C31183">
        <w:rPr>
          <w:lang w:eastAsia="ja-JP"/>
        </w:rPr>
        <w:t xml:space="preserve"> 65 years compared with patients aged &lt; 65 years. However, the observed differences between patients aged &lt; 65 years and </w:t>
      </w:r>
      <w:r>
        <w:rPr>
          <w:lang w:eastAsia="ja-JP"/>
        </w:rPr>
        <w:t>≥</w:t>
      </w:r>
      <w:r w:rsidRPr="00C31183">
        <w:rPr>
          <w:lang w:eastAsia="ja-JP"/>
        </w:rPr>
        <w:t xml:space="preserve"> 65 years should be interpreted cautiously due to the marked imbalance in patient numb</w:t>
      </w:r>
      <w:r w:rsidR="00E551BC">
        <w:rPr>
          <w:lang w:eastAsia="ja-JP"/>
        </w:rPr>
        <w:t>ers between the two age groups.</w:t>
      </w:r>
    </w:p>
    <w:p w:rsidR="00CE4F74" w:rsidRPr="00C31183" w:rsidRDefault="00CE4F74" w:rsidP="00E551BC">
      <w:pPr>
        <w:pStyle w:val="TableTitle"/>
        <w:rPr>
          <w:lang w:eastAsia="ja-JP"/>
        </w:rPr>
      </w:pPr>
      <w:bookmarkStart w:id="118" w:name="_Toc228773441"/>
      <w:r w:rsidRPr="00C31183">
        <w:rPr>
          <w:lang w:eastAsia="ja-JP"/>
        </w:rPr>
        <w:t xml:space="preserve">Table </w:t>
      </w:r>
      <w:r w:rsidRPr="00C31183">
        <w:rPr>
          <w:lang w:eastAsia="ja-JP"/>
        </w:rPr>
        <w:fldChar w:fldCharType="begin"/>
      </w:r>
      <w:r w:rsidRPr="00C31183">
        <w:rPr>
          <w:lang w:eastAsia="ja-JP"/>
        </w:rPr>
        <w:instrText xml:space="preserve"> SEQ Table \* ARABIC </w:instrText>
      </w:r>
      <w:r w:rsidRPr="00C31183">
        <w:rPr>
          <w:lang w:eastAsia="ja-JP"/>
        </w:rPr>
        <w:fldChar w:fldCharType="separate"/>
      </w:r>
      <w:r>
        <w:rPr>
          <w:noProof/>
          <w:lang w:eastAsia="ja-JP"/>
        </w:rPr>
        <w:t>18</w:t>
      </w:r>
      <w:r w:rsidRPr="00C31183">
        <w:rPr>
          <w:lang w:eastAsia="ja-JP"/>
        </w:rPr>
        <w:fldChar w:fldCharType="end"/>
      </w:r>
      <w:r w:rsidRPr="00C31183">
        <w:rPr>
          <w:lang w:eastAsia="ja-JP"/>
        </w:rPr>
        <w:t xml:space="preserve">: Treatment emergent adverse events (all causality, all cycles) in patients aged &lt; </w:t>
      </w:r>
      <w:r w:rsidRPr="00E551BC">
        <w:t>65</w:t>
      </w:r>
      <w:r w:rsidRPr="00C31183">
        <w:rPr>
          <w:lang w:eastAsia="ja-JP"/>
        </w:rPr>
        <w:t xml:space="preserve"> years and ≥ 65 years, n (%); SA</w:t>
      </w:r>
      <w:bookmarkEnd w:id="118"/>
    </w:p>
    <w:tbl>
      <w:tblPr>
        <w:tblStyle w:val="TableTGAblue"/>
        <w:tblW w:w="0" w:type="auto"/>
        <w:tblLook w:val="00A0" w:firstRow="1" w:lastRow="0" w:firstColumn="1" w:lastColumn="0" w:noHBand="0" w:noVBand="0"/>
      </w:tblPr>
      <w:tblGrid>
        <w:gridCol w:w="2218"/>
        <w:gridCol w:w="1482"/>
        <w:gridCol w:w="1473"/>
        <w:gridCol w:w="1542"/>
        <w:gridCol w:w="1525"/>
      </w:tblGrid>
      <w:tr w:rsidR="00CE4F74" w:rsidRPr="00C31183" w:rsidTr="00E551BC">
        <w:trPr>
          <w:cnfStyle w:val="100000000000" w:firstRow="1" w:lastRow="0" w:firstColumn="0" w:lastColumn="0" w:oddVBand="0" w:evenVBand="0" w:oddHBand="0" w:evenHBand="0" w:firstRowFirstColumn="0" w:firstRowLastColumn="0" w:lastRowFirstColumn="0" w:lastRowLastColumn="0"/>
          <w:trHeight w:val="408"/>
          <w:tblHeader/>
        </w:trPr>
        <w:tc>
          <w:tcPr>
            <w:cnfStyle w:val="001000000000" w:firstRow="0" w:lastRow="0" w:firstColumn="1" w:lastColumn="0" w:oddVBand="0" w:evenVBand="0" w:oddHBand="0" w:evenHBand="0" w:firstRowFirstColumn="0" w:firstRowLastColumn="0" w:lastRowFirstColumn="0" w:lastRowLastColumn="0"/>
            <w:tcW w:w="2218" w:type="dxa"/>
          </w:tcPr>
          <w:p w:rsidR="00CE4F74" w:rsidRPr="00DA4DDC" w:rsidRDefault="00CE4F74" w:rsidP="00E551BC">
            <w:pPr>
              <w:ind w:left="0" w:right="0"/>
              <w:rPr>
                <w:lang w:eastAsia="ja-JP"/>
              </w:rPr>
            </w:pPr>
          </w:p>
        </w:tc>
        <w:tc>
          <w:tcPr>
            <w:tcW w:w="2955" w:type="dxa"/>
            <w:gridSpan w:val="2"/>
          </w:tcPr>
          <w:p w:rsidR="00CE4F74" w:rsidRPr="00DA4DDC" w:rsidRDefault="00CE4F74" w:rsidP="00E551BC">
            <w:pPr>
              <w:ind w:left="50" w:right="0"/>
              <w:cnfStyle w:val="100000000000" w:firstRow="1" w:lastRow="0" w:firstColumn="0" w:lastColumn="0" w:oddVBand="0" w:evenVBand="0" w:oddHBand="0" w:evenHBand="0" w:firstRowFirstColumn="0" w:firstRowLastColumn="0" w:lastRowFirstColumn="0" w:lastRowLastColumn="0"/>
              <w:rPr>
                <w:lang w:eastAsia="ja-JP"/>
              </w:rPr>
            </w:pPr>
            <w:r w:rsidRPr="00DA4DDC">
              <w:rPr>
                <w:lang w:eastAsia="ja-JP"/>
              </w:rPr>
              <w:t>Patients aged &lt; 65 years</w:t>
            </w:r>
          </w:p>
        </w:tc>
        <w:tc>
          <w:tcPr>
            <w:tcW w:w="3067" w:type="dxa"/>
            <w:gridSpan w:val="2"/>
          </w:tcPr>
          <w:p w:rsidR="00CE4F74" w:rsidRPr="00DA4DDC" w:rsidRDefault="00CE4F74" w:rsidP="00E551BC">
            <w:pPr>
              <w:ind w:left="0" w:right="0"/>
              <w:cnfStyle w:val="100000000000" w:firstRow="1" w:lastRow="0" w:firstColumn="0" w:lastColumn="0" w:oddVBand="0" w:evenVBand="0" w:oddHBand="0" w:evenHBand="0" w:firstRowFirstColumn="0" w:firstRowLastColumn="0" w:lastRowFirstColumn="0" w:lastRowLastColumn="0"/>
              <w:rPr>
                <w:lang w:eastAsia="ja-JP"/>
              </w:rPr>
            </w:pPr>
            <w:r w:rsidRPr="00DA4DDC">
              <w:rPr>
                <w:lang w:eastAsia="ja-JP"/>
              </w:rPr>
              <w:t>Patients aged ≥ 65 years</w:t>
            </w:r>
          </w:p>
        </w:tc>
      </w:tr>
      <w:tr w:rsidR="00CE4F74" w:rsidRPr="00C31183" w:rsidTr="00E551BC">
        <w:trPr>
          <w:trHeight w:val="622"/>
        </w:trPr>
        <w:tc>
          <w:tcPr>
            <w:cnfStyle w:val="001000000000" w:firstRow="0" w:lastRow="0" w:firstColumn="1" w:lastColumn="0" w:oddVBand="0" w:evenVBand="0" w:oddHBand="0" w:evenHBand="0" w:firstRowFirstColumn="0" w:firstRowLastColumn="0" w:lastRowFirstColumn="0" w:lastRowLastColumn="0"/>
            <w:tcW w:w="2218" w:type="dxa"/>
          </w:tcPr>
          <w:p w:rsidR="00CE4F74" w:rsidRPr="00DA4DDC" w:rsidRDefault="00CE4F74" w:rsidP="00E551BC">
            <w:pPr>
              <w:ind w:left="0" w:right="0"/>
              <w:rPr>
                <w:color w:val="000000"/>
                <w:lang w:eastAsia="ja-JP"/>
              </w:rPr>
            </w:pPr>
          </w:p>
        </w:tc>
        <w:tc>
          <w:tcPr>
            <w:tcW w:w="1482" w:type="dxa"/>
          </w:tcPr>
          <w:p w:rsidR="00CE4F74" w:rsidRPr="00DA4DDC" w:rsidRDefault="00CE4F74" w:rsidP="00E551BC">
            <w:pPr>
              <w:ind w:left="50" w:right="0"/>
              <w:cnfStyle w:val="000000000000" w:firstRow="0" w:lastRow="0" w:firstColumn="0" w:lastColumn="0" w:oddVBand="0" w:evenVBand="0" w:oddHBand="0" w:evenHBand="0" w:firstRowFirstColumn="0" w:firstRowLastColumn="0" w:lastRowFirstColumn="0" w:lastRowLastColumn="0"/>
              <w:rPr>
                <w:color w:val="000000"/>
                <w:lang w:eastAsia="ja-JP"/>
              </w:rPr>
            </w:pPr>
            <w:proofErr w:type="spellStart"/>
            <w:r w:rsidRPr="00DA4DDC">
              <w:rPr>
                <w:color w:val="000000"/>
                <w:lang w:eastAsia="ja-JP"/>
              </w:rPr>
              <w:t>Crizotinib</w:t>
            </w:r>
            <w:proofErr w:type="spellEnd"/>
            <w:r w:rsidRPr="00DA4DDC">
              <w:rPr>
                <w:color w:val="000000"/>
                <w:lang w:eastAsia="ja-JP"/>
              </w:rPr>
              <w:t xml:space="preserve"> (n=144)</w:t>
            </w:r>
          </w:p>
        </w:tc>
        <w:tc>
          <w:tcPr>
            <w:tcW w:w="1473" w:type="dxa"/>
          </w:tcPr>
          <w:p w:rsidR="00CE4F74" w:rsidRPr="00DA4DDC" w:rsidRDefault="00CE4F74" w:rsidP="00E551BC">
            <w:pPr>
              <w:ind w:left="5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Chemo (n=148)</w:t>
            </w:r>
          </w:p>
        </w:tc>
        <w:tc>
          <w:tcPr>
            <w:tcW w:w="1542" w:type="dxa"/>
          </w:tcPr>
          <w:p w:rsidR="00CE4F74" w:rsidRPr="00DA4DDC" w:rsidRDefault="00CE4F74" w:rsidP="00E551BC">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proofErr w:type="spellStart"/>
            <w:r w:rsidRPr="00DA4DDC">
              <w:rPr>
                <w:color w:val="000000"/>
                <w:lang w:eastAsia="ja-JP"/>
              </w:rPr>
              <w:t>Crizotinib</w:t>
            </w:r>
            <w:proofErr w:type="spellEnd"/>
            <w:r w:rsidRPr="00DA4DDC">
              <w:rPr>
                <w:color w:val="000000"/>
                <w:lang w:eastAsia="ja-JP"/>
              </w:rPr>
              <w:t xml:space="preserve"> (n=27)</w:t>
            </w:r>
          </w:p>
        </w:tc>
        <w:tc>
          <w:tcPr>
            <w:tcW w:w="1525" w:type="dxa"/>
          </w:tcPr>
          <w:p w:rsidR="00CE4F74" w:rsidRPr="00DA4DDC" w:rsidRDefault="00CE4F74" w:rsidP="00E551BC">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Chemo (n=23)</w:t>
            </w:r>
          </w:p>
        </w:tc>
      </w:tr>
      <w:tr w:rsidR="00CE4F74" w:rsidRPr="00C31183" w:rsidTr="00E551BC">
        <w:trPr>
          <w:trHeight w:val="418"/>
        </w:trPr>
        <w:tc>
          <w:tcPr>
            <w:cnfStyle w:val="001000000000" w:firstRow="0" w:lastRow="0" w:firstColumn="1" w:lastColumn="0" w:oddVBand="0" w:evenVBand="0" w:oddHBand="0" w:evenHBand="0" w:firstRowFirstColumn="0" w:firstRowLastColumn="0" w:lastRowFirstColumn="0" w:lastRowLastColumn="0"/>
            <w:tcW w:w="2218" w:type="dxa"/>
          </w:tcPr>
          <w:p w:rsidR="00CE4F74" w:rsidRPr="00DA4DDC" w:rsidRDefault="00CE4F74" w:rsidP="00E551BC">
            <w:pPr>
              <w:ind w:left="0" w:right="0"/>
              <w:rPr>
                <w:color w:val="000000"/>
                <w:lang w:eastAsia="ja-JP"/>
              </w:rPr>
            </w:pPr>
            <w:r w:rsidRPr="00DA4DDC">
              <w:rPr>
                <w:color w:val="000000"/>
                <w:lang w:eastAsia="ja-JP"/>
              </w:rPr>
              <w:t>Patients with TEAEs</w:t>
            </w:r>
          </w:p>
        </w:tc>
        <w:tc>
          <w:tcPr>
            <w:tcW w:w="1482" w:type="dxa"/>
          </w:tcPr>
          <w:p w:rsidR="00CE4F74" w:rsidRPr="00DA4DDC" w:rsidRDefault="00CE4F74" w:rsidP="00E551BC">
            <w:pPr>
              <w:ind w:left="5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145 (100.0)</w:t>
            </w:r>
          </w:p>
        </w:tc>
        <w:tc>
          <w:tcPr>
            <w:tcW w:w="1473" w:type="dxa"/>
          </w:tcPr>
          <w:p w:rsidR="00CE4F74" w:rsidRPr="00DA4DDC" w:rsidRDefault="00CE4F74" w:rsidP="00E551BC">
            <w:pPr>
              <w:ind w:left="5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146 (98.6)</w:t>
            </w:r>
          </w:p>
        </w:tc>
        <w:tc>
          <w:tcPr>
            <w:tcW w:w="1542" w:type="dxa"/>
          </w:tcPr>
          <w:p w:rsidR="00CE4F74" w:rsidRPr="00DA4DDC" w:rsidRDefault="00CE4F74" w:rsidP="00E551BC">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27 (100.0)</w:t>
            </w:r>
          </w:p>
        </w:tc>
        <w:tc>
          <w:tcPr>
            <w:tcW w:w="1525" w:type="dxa"/>
          </w:tcPr>
          <w:p w:rsidR="00CE4F74" w:rsidRPr="00DA4DDC" w:rsidRDefault="00CE4F74" w:rsidP="00E551BC">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22 (95.7)</w:t>
            </w:r>
          </w:p>
        </w:tc>
      </w:tr>
      <w:tr w:rsidR="00CE4F74" w:rsidRPr="00C31183" w:rsidTr="00E551BC">
        <w:trPr>
          <w:trHeight w:val="632"/>
        </w:trPr>
        <w:tc>
          <w:tcPr>
            <w:cnfStyle w:val="001000000000" w:firstRow="0" w:lastRow="0" w:firstColumn="1" w:lastColumn="0" w:oddVBand="0" w:evenVBand="0" w:oddHBand="0" w:evenHBand="0" w:firstRowFirstColumn="0" w:firstRowLastColumn="0" w:lastRowFirstColumn="0" w:lastRowLastColumn="0"/>
            <w:tcW w:w="2218" w:type="dxa"/>
          </w:tcPr>
          <w:p w:rsidR="00CE4F74" w:rsidRPr="00DA4DDC" w:rsidRDefault="00CE4F74" w:rsidP="00E551BC">
            <w:pPr>
              <w:ind w:left="0" w:right="0"/>
              <w:rPr>
                <w:color w:val="000000"/>
                <w:lang w:eastAsia="ja-JP"/>
              </w:rPr>
            </w:pPr>
            <w:r w:rsidRPr="00DA4DDC">
              <w:rPr>
                <w:color w:val="000000"/>
                <w:lang w:eastAsia="ja-JP"/>
              </w:rPr>
              <w:t>Patients with Grade 1/2 TEAEs</w:t>
            </w:r>
          </w:p>
        </w:tc>
        <w:tc>
          <w:tcPr>
            <w:tcW w:w="1482" w:type="dxa"/>
          </w:tcPr>
          <w:p w:rsidR="00CE4F74" w:rsidRPr="00DA4DDC" w:rsidRDefault="00CE4F74" w:rsidP="00E551BC">
            <w:pPr>
              <w:ind w:left="5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66 (45.5)</w:t>
            </w:r>
          </w:p>
        </w:tc>
        <w:tc>
          <w:tcPr>
            <w:tcW w:w="1473" w:type="dxa"/>
          </w:tcPr>
          <w:p w:rsidR="00CE4F74" w:rsidRPr="00DA4DDC" w:rsidRDefault="00CE4F74" w:rsidP="00E551BC">
            <w:pPr>
              <w:ind w:left="5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75 (50.7)</w:t>
            </w:r>
          </w:p>
        </w:tc>
        <w:tc>
          <w:tcPr>
            <w:tcW w:w="1542" w:type="dxa"/>
          </w:tcPr>
          <w:p w:rsidR="00CE4F74" w:rsidRPr="00DA4DDC" w:rsidRDefault="00CE4F74" w:rsidP="00E551BC">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5 (18.5)</w:t>
            </w:r>
          </w:p>
        </w:tc>
        <w:tc>
          <w:tcPr>
            <w:tcW w:w="1525" w:type="dxa"/>
          </w:tcPr>
          <w:p w:rsidR="00CE4F74" w:rsidRPr="00DA4DDC" w:rsidRDefault="00CE4F74" w:rsidP="00E551BC">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14 (60.9)</w:t>
            </w:r>
          </w:p>
        </w:tc>
      </w:tr>
      <w:tr w:rsidR="00CE4F74" w:rsidRPr="00C31183" w:rsidTr="00E551BC">
        <w:trPr>
          <w:trHeight w:val="622"/>
        </w:trPr>
        <w:tc>
          <w:tcPr>
            <w:cnfStyle w:val="001000000000" w:firstRow="0" w:lastRow="0" w:firstColumn="1" w:lastColumn="0" w:oddVBand="0" w:evenVBand="0" w:oddHBand="0" w:evenHBand="0" w:firstRowFirstColumn="0" w:firstRowLastColumn="0" w:lastRowFirstColumn="0" w:lastRowLastColumn="0"/>
            <w:tcW w:w="2218" w:type="dxa"/>
          </w:tcPr>
          <w:p w:rsidR="00CE4F74" w:rsidRPr="00DA4DDC" w:rsidRDefault="00CE4F74" w:rsidP="00E551BC">
            <w:pPr>
              <w:ind w:left="0" w:right="0"/>
              <w:rPr>
                <w:color w:val="000000"/>
                <w:lang w:eastAsia="ja-JP"/>
              </w:rPr>
            </w:pPr>
            <w:r w:rsidRPr="00DA4DDC">
              <w:rPr>
                <w:color w:val="000000"/>
                <w:lang w:eastAsia="ja-JP"/>
              </w:rPr>
              <w:t>Patients with Grade 3/4 TEAEs</w:t>
            </w:r>
          </w:p>
        </w:tc>
        <w:tc>
          <w:tcPr>
            <w:tcW w:w="1482" w:type="dxa"/>
          </w:tcPr>
          <w:p w:rsidR="00CE4F74" w:rsidRPr="00DA4DDC" w:rsidRDefault="00CE4F74" w:rsidP="00E551BC">
            <w:pPr>
              <w:ind w:left="5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62 (42.8)</w:t>
            </w:r>
          </w:p>
        </w:tc>
        <w:tc>
          <w:tcPr>
            <w:tcW w:w="1473" w:type="dxa"/>
          </w:tcPr>
          <w:p w:rsidR="00CE4F74" w:rsidRPr="00DA4DDC" w:rsidRDefault="00CE4F74" w:rsidP="00E551BC">
            <w:pPr>
              <w:ind w:left="5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65 (43.9)</w:t>
            </w:r>
          </w:p>
        </w:tc>
        <w:tc>
          <w:tcPr>
            <w:tcW w:w="1542" w:type="dxa"/>
          </w:tcPr>
          <w:p w:rsidR="00CE4F74" w:rsidRPr="00DA4DDC" w:rsidRDefault="00CE4F74" w:rsidP="00E551BC">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14 (51.8)</w:t>
            </w:r>
          </w:p>
        </w:tc>
        <w:tc>
          <w:tcPr>
            <w:tcW w:w="1525" w:type="dxa"/>
          </w:tcPr>
          <w:p w:rsidR="00CE4F74" w:rsidRPr="00DA4DDC" w:rsidRDefault="00CE4F74" w:rsidP="00E551BC">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7 (30.4)</w:t>
            </w:r>
          </w:p>
        </w:tc>
      </w:tr>
      <w:tr w:rsidR="00CE4F74" w:rsidRPr="00C31183" w:rsidTr="00E551BC">
        <w:trPr>
          <w:trHeight w:val="43"/>
        </w:trPr>
        <w:tc>
          <w:tcPr>
            <w:cnfStyle w:val="001000000000" w:firstRow="0" w:lastRow="0" w:firstColumn="1" w:lastColumn="0" w:oddVBand="0" w:evenVBand="0" w:oddHBand="0" w:evenHBand="0" w:firstRowFirstColumn="0" w:firstRowLastColumn="0" w:lastRowFirstColumn="0" w:lastRowLastColumn="0"/>
            <w:tcW w:w="2218" w:type="dxa"/>
          </w:tcPr>
          <w:p w:rsidR="00CE4F74" w:rsidRPr="00DA4DDC" w:rsidRDefault="00CE4F74" w:rsidP="00E551BC">
            <w:pPr>
              <w:ind w:left="0" w:right="0"/>
              <w:rPr>
                <w:color w:val="000000"/>
                <w:lang w:eastAsia="ja-JP"/>
              </w:rPr>
            </w:pPr>
            <w:r w:rsidRPr="00DA4DDC">
              <w:rPr>
                <w:color w:val="000000"/>
                <w:lang w:eastAsia="ja-JP"/>
              </w:rPr>
              <w:t xml:space="preserve">Patients with Grade </w:t>
            </w:r>
            <w:r w:rsidRPr="00DA4DDC">
              <w:rPr>
                <w:color w:val="000000"/>
                <w:lang w:eastAsia="ja-JP"/>
              </w:rPr>
              <w:lastRenderedPageBreak/>
              <w:t xml:space="preserve">5 </w:t>
            </w:r>
          </w:p>
        </w:tc>
        <w:tc>
          <w:tcPr>
            <w:tcW w:w="1482" w:type="dxa"/>
          </w:tcPr>
          <w:p w:rsidR="00CE4F74" w:rsidRPr="00DA4DDC" w:rsidRDefault="00CE4F74" w:rsidP="00E551BC">
            <w:pPr>
              <w:ind w:left="5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lastRenderedPageBreak/>
              <w:t>17 (11.7)</w:t>
            </w:r>
          </w:p>
        </w:tc>
        <w:tc>
          <w:tcPr>
            <w:tcW w:w="1473" w:type="dxa"/>
          </w:tcPr>
          <w:p w:rsidR="00CE4F74" w:rsidRPr="00DA4DDC" w:rsidRDefault="00CE4F74" w:rsidP="00E551BC">
            <w:pPr>
              <w:ind w:left="5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6 (4.1)</w:t>
            </w:r>
          </w:p>
        </w:tc>
        <w:tc>
          <w:tcPr>
            <w:tcW w:w="1542" w:type="dxa"/>
          </w:tcPr>
          <w:p w:rsidR="00CE4F74" w:rsidRPr="00DA4DDC" w:rsidRDefault="00CE4F74" w:rsidP="00E551BC">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8 (29.6)</w:t>
            </w:r>
          </w:p>
        </w:tc>
        <w:tc>
          <w:tcPr>
            <w:tcW w:w="1525" w:type="dxa"/>
          </w:tcPr>
          <w:p w:rsidR="00CE4F74" w:rsidRPr="00DA4DDC" w:rsidRDefault="00CE4F74" w:rsidP="00E551BC">
            <w:pPr>
              <w:ind w:left="0" w:righ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 (4.3)</w:t>
            </w:r>
          </w:p>
        </w:tc>
      </w:tr>
    </w:tbl>
    <w:p w:rsidR="00CE4F74" w:rsidRPr="00C31183" w:rsidRDefault="00CE4F74" w:rsidP="00E551BC">
      <w:pPr>
        <w:pStyle w:val="Heading5"/>
        <w:rPr>
          <w:lang w:eastAsia="ja-JP"/>
        </w:rPr>
      </w:pPr>
      <w:bookmarkStart w:id="119" w:name="_Toc228773399"/>
      <w:r w:rsidRPr="00C31183">
        <w:rPr>
          <w:lang w:eastAsia="ja-JP"/>
        </w:rPr>
        <w:lastRenderedPageBreak/>
        <w:t>Sex</w:t>
      </w:r>
      <w:bookmarkEnd w:id="119"/>
    </w:p>
    <w:p w:rsidR="00CE4F74" w:rsidRPr="00C31183" w:rsidRDefault="00CE4F74" w:rsidP="00E551BC">
      <w:pPr>
        <w:rPr>
          <w:lang w:eastAsia="ja-JP"/>
        </w:rPr>
      </w:pPr>
      <w:r w:rsidRPr="00C31183">
        <w:rPr>
          <w:lang w:eastAsia="ja-JP"/>
        </w:rPr>
        <w:t xml:space="preserve">The TEAE profiles (all causality, all cycles) by sex are </w:t>
      </w:r>
      <w:r>
        <w:rPr>
          <w:lang w:eastAsia="ja-JP"/>
        </w:rPr>
        <w:t>summarised</w:t>
      </w:r>
      <w:r w:rsidRPr="00C31183">
        <w:rPr>
          <w:lang w:eastAsia="ja-JP"/>
        </w:rPr>
        <w:t xml:space="preserve"> below in Table 19. In both males and females, the main difference between the two treatment groups was the notably higher incidence of Grade 5 events in the </w:t>
      </w:r>
      <w:proofErr w:type="spellStart"/>
      <w:r w:rsidRPr="00C31183">
        <w:rPr>
          <w:lang w:eastAsia="ja-JP"/>
        </w:rPr>
        <w:t>crizotinib</w:t>
      </w:r>
      <w:proofErr w:type="spellEnd"/>
      <w:r w:rsidRPr="00C31183">
        <w:rPr>
          <w:lang w:eastAsia="ja-JP"/>
        </w:rPr>
        <w:t xml:space="preserve"> group compared with the chemotherapy group. In the </w:t>
      </w:r>
      <w:proofErr w:type="spellStart"/>
      <w:r w:rsidRPr="00C31183">
        <w:rPr>
          <w:lang w:eastAsia="ja-JP"/>
        </w:rPr>
        <w:t>crizotinib</w:t>
      </w:r>
      <w:proofErr w:type="spellEnd"/>
      <w:r w:rsidRPr="00C31183">
        <w:rPr>
          <w:lang w:eastAsia="ja-JP"/>
        </w:rPr>
        <w:t xml:space="preserve"> group, the main difference between the sexes was the notably higher incidence of Grade 3/4 events </w:t>
      </w:r>
      <w:r w:rsidR="00E551BC">
        <w:rPr>
          <w:lang w:eastAsia="ja-JP"/>
        </w:rPr>
        <w:t>in females compared with males.</w:t>
      </w:r>
    </w:p>
    <w:p w:rsidR="00CE4F74" w:rsidRPr="00C31183" w:rsidRDefault="00CE4F74" w:rsidP="00E551BC">
      <w:pPr>
        <w:pStyle w:val="TableTitle"/>
        <w:rPr>
          <w:lang w:eastAsia="ja-JP"/>
        </w:rPr>
      </w:pPr>
      <w:bookmarkStart w:id="120" w:name="_Toc228773442"/>
      <w:r w:rsidRPr="00C31183">
        <w:rPr>
          <w:lang w:eastAsia="ja-JP"/>
        </w:rPr>
        <w:t xml:space="preserve">Table </w:t>
      </w:r>
      <w:r w:rsidRPr="00C31183">
        <w:rPr>
          <w:lang w:eastAsia="ja-JP"/>
        </w:rPr>
        <w:fldChar w:fldCharType="begin"/>
      </w:r>
      <w:r w:rsidRPr="00C31183">
        <w:rPr>
          <w:lang w:eastAsia="ja-JP"/>
        </w:rPr>
        <w:instrText xml:space="preserve"> SEQ Table \* ARABIC </w:instrText>
      </w:r>
      <w:r w:rsidRPr="00C31183">
        <w:rPr>
          <w:lang w:eastAsia="ja-JP"/>
        </w:rPr>
        <w:fldChar w:fldCharType="separate"/>
      </w:r>
      <w:r>
        <w:rPr>
          <w:noProof/>
          <w:lang w:eastAsia="ja-JP"/>
        </w:rPr>
        <w:t>19</w:t>
      </w:r>
      <w:r w:rsidRPr="00C31183">
        <w:rPr>
          <w:lang w:eastAsia="ja-JP"/>
        </w:rPr>
        <w:fldChar w:fldCharType="end"/>
      </w:r>
      <w:r w:rsidRPr="00C31183">
        <w:rPr>
          <w:lang w:eastAsia="ja-JP"/>
        </w:rPr>
        <w:t xml:space="preserve">: Treatment emergent adverse events (all causality, all </w:t>
      </w:r>
      <w:r w:rsidRPr="00E551BC">
        <w:t>cycles</w:t>
      </w:r>
      <w:r w:rsidRPr="00C31183">
        <w:rPr>
          <w:lang w:eastAsia="ja-JP"/>
        </w:rPr>
        <w:t>) by sex, n (%); SA</w:t>
      </w:r>
      <w:bookmarkEnd w:id="120"/>
    </w:p>
    <w:tbl>
      <w:tblPr>
        <w:tblStyle w:val="TableTGAblue"/>
        <w:tblW w:w="0" w:type="auto"/>
        <w:tblLook w:val="00A0" w:firstRow="1" w:lastRow="0" w:firstColumn="1" w:lastColumn="0" w:noHBand="0" w:noVBand="0"/>
      </w:tblPr>
      <w:tblGrid>
        <w:gridCol w:w="2333"/>
        <w:gridCol w:w="1543"/>
        <w:gridCol w:w="1526"/>
        <w:gridCol w:w="1606"/>
        <w:gridCol w:w="1589"/>
      </w:tblGrid>
      <w:tr w:rsidR="00CE4F74" w:rsidRPr="00C31183" w:rsidTr="00D040C2">
        <w:trPr>
          <w:cnfStyle w:val="100000000000" w:firstRow="1" w:lastRow="0" w:firstColumn="0" w:lastColumn="0" w:oddVBand="0" w:evenVBand="0" w:oddHBand="0" w:evenHBand="0" w:firstRowFirstColumn="0" w:firstRowLastColumn="0" w:lastRowFirstColumn="0" w:lastRowLastColumn="0"/>
          <w:trHeight w:val="437"/>
          <w:tblHeader/>
        </w:trPr>
        <w:tc>
          <w:tcPr>
            <w:cnfStyle w:val="001000000000" w:firstRow="0" w:lastRow="0" w:firstColumn="1" w:lastColumn="0" w:oddVBand="0" w:evenVBand="0" w:oddHBand="0" w:evenHBand="0" w:firstRowFirstColumn="0" w:firstRowLastColumn="0" w:lastRowFirstColumn="0" w:lastRowLastColumn="0"/>
            <w:tcW w:w="2333" w:type="dxa"/>
          </w:tcPr>
          <w:p w:rsidR="00CE4F74" w:rsidRPr="00DA4DDC" w:rsidRDefault="00CE4F74" w:rsidP="00D040C2">
            <w:pPr>
              <w:ind w:left="0"/>
              <w:rPr>
                <w:lang w:eastAsia="ja-JP"/>
              </w:rPr>
            </w:pPr>
          </w:p>
        </w:tc>
        <w:tc>
          <w:tcPr>
            <w:tcW w:w="3069" w:type="dxa"/>
            <w:gridSpan w:val="2"/>
          </w:tcPr>
          <w:p w:rsidR="00CE4F74" w:rsidRPr="00DA4DDC" w:rsidRDefault="00D040C2" w:rsidP="00D040C2">
            <w:pPr>
              <w:ind w:left="77"/>
              <w:cnfStyle w:val="100000000000" w:firstRow="1" w:lastRow="0" w:firstColumn="0" w:lastColumn="0" w:oddVBand="0" w:evenVBand="0" w:oddHBand="0" w:evenHBand="0" w:firstRowFirstColumn="0" w:firstRowLastColumn="0" w:lastRowFirstColumn="0" w:lastRowLastColumn="0"/>
              <w:rPr>
                <w:lang w:eastAsia="ja-JP"/>
              </w:rPr>
            </w:pPr>
            <w:r>
              <w:rPr>
                <w:lang w:eastAsia="ja-JP"/>
              </w:rPr>
              <w:t>Male</w:t>
            </w:r>
          </w:p>
        </w:tc>
        <w:tc>
          <w:tcPr>
            <w:tcW w:w="3195" w:type="dxa"/>
            <w:gridSpan w:val="2"/>
          </w:tcPr>
          <w:p w:rsidR="00CE4F74" w:rsidRPr="00DA4DDC" w:rsidRDefault="00CE4F74" w:rsidP="00D040C2">
            <w:pPr>
              <w:ind w:left="93"/>
              <w:cnfStyle w:val="100000000000" w:firstRow="1" w:lastRow="0" w:firstColumn="0" w:lastColumn="0" w:oddVBand="0" w:evenVBand="0" w:oddHBand="0" w:evenHBand="0" w:firstRowFirstColumn="0" w:firstRowLastColumn="0" w:lastRowFirstColumn="0" w:lastRowLastColumn="0"/>
              <w:rPr>
                <w:lang w:eastAsia="ja-JP"/>
              </w:rPr>
            </w:pPr>
            <w:r w:rsidRPr="00DA4DDC">
              <w:rPr>
                <w:lang w:eastAsia="ja-JP"/>
              </w:rPr>
              <w:t>Female</w:t>
            </w:r>
          </w:p>
        </w:tc>
      </w:tr>
      <w:tr w:rsidR="00CE4F74" w:rsidRPr="00C31183" w:rsidTr="00D040C2">
        <w:trPr>
          <w:trHeight w:val="667"/>
        </w:trPr>
        <w:tc>
          <w:tcPr>
            <w:cnfStyle w:val="001000000000" w:firstRow="0" w:lastRow="0" w:firstColumn="1" w:lastColumn="0" w:oddVBand="0" w:evenVBand="0" w:oddHBand="0" w:evenHBand="0" w:firstRowFirstColumn="0" w:firstRowLastColumn="0" w:lastRowFirstColumn="0" w:lastRowLastColumn="0"/>
            <w:tcW w:w="2333" w:type="dxa"/>
          </w:tcPr>
          <w:p w:rsidR="00CE4F74" w:rsidRPr="00DA4DDC" w:rsidRDefault="00CE4F74" w:rsidP="00D040C2">
            <w:pPr>
              <w:ind w:left="0"/>
              <w:rPr>
                <w:color w:val="000000"/>
                <w:lang w:eastAsia="ja-JP"/>
              </w:rPr>
            </w:pPr>
          </w:p>
        </w:tc>
        <w:tc>
          <w:tcPr>
            <w:tcW w:w="1543" w:type="dxa"/>
          </w:tcPr>
          <w:p w:rsidR="00CE4F74" w:rsidRPr="00DA4DDC" w:rsidRDefault="00CE4F74" w:rsidP="00D040C2">
            <w:pPr>
              <w:ind w:left="77"/>
              <w:cnfStyle w:val="000000000000" w:firstRow="0" w:lastRow="0" w:firstColumn="0" w:lastColumn="0" w:oddVBand="0" w:evenVBand="0" w:oddHBand="0" w:evenHBand="0" w:firstRowFirstColumn="0" w:firstRowLastColumn="0" w:lastRowFirstColumn="0" w:lastRowLastColumn="0"/>
              <w:rPr>
                <w:color w:val="000000"/>
                <w:lang w:eastAsia="ja-JP"/>
              </w:rPr>
            </w:pPr>
            <w:proofErr w:type="spellStart"/>
            <w:r w:rsidRPr="00DA4DDC">
              <w:rPr>
                <w:color w:val="000000"/>
                <w:lang w:eastAsia="ja-JP"/>
              </w:rPr>
              <w:t>Crizotinib</w:t>
            </w:r>
            <w:proofErr w:type="spellEnd"/>
            <w:r w:rsidRPr="00DA4DDC">
              <w:rPr>
                <w:color w:val="000000"/>
                <w:lang w:eastAsia="ja-JP"/>
              </w:rPr>
              <w:t xml:space="preserve"> (n=75)</w:t>
            </w:r>
          </w:p>
        </w:tc>
        <w:tc>
          <w:tcPr>
            <w:tcW w:w="1526" w:type="dxa"/>
          </w:tcPr>
          <w:p w:rsidR="00CE4F74" w:rsidRPr="00DA4DDC" w:rsidRDefault="00CE4F74" w:rsidP="00D040C2">
            <w:pPr>
              <w:ind w:left="7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Chemo (n=77)</w:t>
            </w:r>
          </w:p>
        </w:tc>
        <w:tc>
          <w:tcPr>
            <w:tcW w:w="1606" w:type="dxa"/>
          </w:tcPr>
          <w:p w:rsidR="00CE4F74" w:rsidRPr="00DA4DDC" w:rsidRDefault="00CE4F74" w:rsidP="00D040C2">
            <w:pPr>
              <w:ind w:left="93"/>
              <w:cnfStyle w:val="000000000000" w:firstRow="0" w:lastRow="0" w:firstColumn="0" w:lastColumn="0" w:oddVBand="0" w:evenVBand="0" w:oddHBand="0" w:evenHBand="0" w:firstRowFirstColumn="0" w:firstRowLastColumn="0" w:lastRowFirstColumn="0" w:lastRowLastColumn="0"/>
              <w:rPr>
                <w:color w:val="000000"/>
                <w:lang w:eastAsia="ja-JP"/>
              </w:rPr>
            </w:pPr>
            <w:proofErr w:type="spellStart"/>
            <w:r w:rsidRPr="00DA4DDC">
              <w:rPr>
                <w:color w:val="000000"/>
                <w:lang w:eastAsia="ja-JP"/>
              </w:rPr>
              <w:t>Crizotinib</w:t>
            </w:r>
            <w:proofErr w:type="spellEnd"/>
            <w:r w:rsidRPr="00DA4DDC">
              <w:rPr>
                <w:color w:val="000000"/>
                <w:lang w:eastAsia="ja-JP"/>
              </w:rPr>
              <w:t xml:space="preserve"> (n=97)</w:t>
            </w:r>
          </w:p>
        </w:tc>
        <w:tc>
          <w:tcPr>
            <w:tcW w:w="1589" w:type="dxa"/>
          </w:tcPr>
          <w:p w:rsidR="00CE4F74" w:rsidRPr="00DA4DDC" w:rsidRDefault="00CE4F74" w:rsidP="00D040C2">
            <w:pPr>
              <w:ind w:left="93"/>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Chemo (n=94)</w:t>
            </w:r>
          </w:p>
        </w:tc>
      </w:tr>
      <w:tr w:rsidR="00CE4F74" w:rsidRPr="00C31183" w:rsidTr="00D040C2">
        <w:trPr>
          <w:trHeight w:val="448"/>
        </w:trPr>
        <w:tc>
          <w:tcPr>
            <w:cnfStyle w:val="001000000000" w:firstRow="0" w:lastRow="0" w:firstColumn="1" w:lastColumn="0" w:oddVBand="0" w:evenVBand="0" w:oddHBand="0" w:evenHBand="0" w:firstRowFirstColumn="0" w:firstRowLastColumn="0" w:lastRowFirstColumn="0" w:lastRowLastColumn="0"/>
            <w:tcW w:w="2333" w:type="dxa"/>
          </w:tcPr>
          <w:p w:rsidR="00CE4F74" w:rsidRPr="00DA4DDC" w:rsidRDefault="00CE4F74" w:rsidP="00D040C2">
            <w:pPr>
              <w:ind w:left="0"/>
              <w:rPr>
                <w:color w:val="000000"/>
                <w:lang w:eastAsia="ja-JP"/>
              </w:rPr>
            </w:pPr>
            <w:r w:rsidRPr="00DA4DDC">
              <w:rPr>
                <w:color w:val="000000"/>
                <w:lang w:eastAsia="ja-JP"/>
              </w:rPr>
              <w:t>Patients with TEAEs</w:t>
            </w:r>
          </w:p>
        </w:tc>
        <w:tc>
          <w:tcPr>
            <w:tcW w:w="1543" w:type="dxa"/>
          </w:tcPr>
          <w:p w:rsidR="00CE4F74" w:rsidRPr="00DA4DDC" w:rsidRDefault="00CE4F74" w:rsidP="00D040C2">
            <w:pPr>
              <w:ind w:left="7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75 (100.0)</w:t>
            </w:r>
          </w:p>
        </w:tc>
        <w:tc>
          <w:tcPr>
            <w:tcW w:w="1526" w:type="dxa"/>
          </w:tcPr>
          <w:p w:rsidR="00CE4F74" w:rsidRPr="00DA4DDC" w:rsidRDefault="00CE4F74" w:rsidP="00D040C2">
            <w:pPr>
              <w:ind w:left="7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75 (97.4) </w:t>
            </w:r>
          </w:p>
        </w:tc>
        <w:tc>
          <w:tcPr>
            <w:tcW w:w="1606" w:type="dxa"/>
          </w:tcPr>
          <w:p w:rsidR="00CE4F74" w:rsidRPr="00DA4DDC" w:rsidRDefault="00CE4F74" w:rsidP="00D040C2">
            <w:pPr>
              <w:ind w:left="93"/>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97 (100)</w:t>
            </w:r>
          </w:p>
        </w:tc>
        <w:tc>
          <w:tcPr>
            <w:tcW w:w="1589" w:type="dxa"/>
          </w:tcPr>
          <w:p w:rsidR="00CE4F74" w:rsidRPr="00DA4DDC" w:rsidRDefault="00CE4F74" w:rsidP="00D040C2">
            <w:pPr>
              <w:ind w:left="93"/>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93 (98.9)</w:t>
            </w:r>
          </w:p>
        </w:tc>
      </w:tr>
      <w:tr w:rsidR="00CE4F74" w:rsidRPr="00C31183" w:rsidTr="00D040C2">
        <w:trPr>
          <w:trHeight w:val="667"/>
        </w:trPr>
        <w:tc>
          <w:tcPr>
            <w:cnfStyle w:val="001000000000" w:firstRow="0" w:lastRow="0" w:firstColumn="1" w:lastColumn="0" w:oddVBand="0" w:evenVBand="0" w:oddHBand="0" w:evenHBand="0" w:firstRowFirstColumn="0" w:firstRowLastColumn="0" w:lastRowFirstColumn="0" w:lastRowLastColumn="0"/>
            <w:tcW w:w="2333" w:type="dxa"/>
          </w:tcPr>
          <w:p w:rsidR="00CE4F74" w:rsidRPr="00DA4DDC" w:rsidRDefault="00CE4F74" w:rsidP="00D040C2">
            <w:pPr>
              <w:ind w:left="0"/>
              <w:rPr>
                <w:color w:val="000000"/>
                <w:lang w:eastAsia="ja-JP"/>
              </w:rPr>
            </w:pPr>
            <w:r w:rsidRPr="00DA4DDC">
              <w:rPr>
                <w:color w:val="000000"/>
                <w:lang w:eastAsia="ja-JP"/>
              </w:rPr>
              <w:t>Patients with Grade 1/2 TEAEs</w:t>
            </w:r>
          </w:p>
        </w:tc>
        <w:tc>
          <w:tcPr>
            <w:tcW w:w="1543" w:type="dxa"/>
          </w:tcPr>
          <w:p w:rsidR="00CE4F74" w:rsidRPr="00DA4DDC" w:rsidRDefault="00CE4F74" w:rsidP="00D040C2">
            <w:pPr>
              <w:ind w:left="7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35 (46.6)</w:t>
            </w:r>
          </w:p>
        </w:tc>
        <w:tc>
          <w:tcPr>
            <w:tcW w:w="1526" w:type="dxa"/>
          </w:tcPr>
          <w:p w:rsidR="00CE4F74" w:rsidRPr="00DA4DDC" w:rsidRDefault="00CE4F74" w:rsidP="00D040C2">
            <w:pPr>
              <w:ind w:left="7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44 (57.2)</w:t>
            </w:r>
          </w:p>
        </w:tc>
        <w:tc>
          <w:tcPr>
            <w:tcW w:w="1606" w:type="dxa"/>
          </w:tcPr>
          <w:p w:rsidR="00CE4F74" w:rsidRPr="00DA4DDC" w:rsidRDefault="00CE4F74" w:rsidP="00D040C2">
            <w:pPr>
              <w:ind w:left="93"/>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36 (37.1)</w:t>
            </w:r>
          </w:p>
        </w:tc>
        <w:tc>
          <w:tcPr>
            <w:tcW w:w="1589" w:type="dxa"/>
          </w:tcPr>
          <w:p w:rsidR="00CE4F74" w:rsidRPr="00DA4DDC" w:rsidRDefault="00CE4F74" w:rsidP="00D040C2">
            <w:pPr>
              <w:ind w:left="93"/>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45 (47.8)</w:t>
            </w:r>
          </w:p>
        </w:tc>
      </w:tr>
      <w:tr w:rsidR="00CE4F74" w:rsidRPr="00C31183" w:rsidTr="00D040C2">
        <w:trPr>
          <w:trHeight w:val="667"/>
        </w:trPr>
        <w:tc>
          <w:tcPr>
            <w:cnfStyle w:val="001000000000" w:firstRow="0" w:lastRow="0" w:firstColumn="1" w:lastColumn="0" w:oddVBand="0" w:evenVBand="0" w:oddHBand="0" w:evenHBand="0" w:firstRowFirstColumn="0" w:firstRowLastColumn="0" w:lastRowFirstColumn="0" w:lastRowLastColumn="0"/>
            <w:tcW w:w="2333" w:type="dxa"/>
          </w:tcPr>
          <w:p w:rsidR="00CE4F74" w:rsidRPr="00DA4DDC" w:rsidRDefault="00CE4F74" w:rsidP="00D040C2">
            <w:pPr>
              <w:ind w:left="0"/>
              <w:rPr>
                <w:color w:val="000000"/>
                <w:lang w:eastAsia="ja-JP"/>
              </w:rPr>
            </w:pPr>
            <w:r w:rsidRPr="00DA4DDC">
              <w:rPr>
                <w:color w:val="000000"/>
                <w:lang w:eastAsia="ja-JP"/>
              </w:rPr>
              <w:t>Patients with Grade 3/4 TEAEs</w:t>
            </w:r>
          </w:p>
        </w:tc>
        <w:tc>
          <w:tcPr>
            <w:tcW w:w="1543" w:type="dxa"/>
          </w:tcPr>
          <w:p w:rsidR="00CE4F74" w:rsidRPr="00DA4DDC" w:rsidRDefault="00CE4F74" w:rsidP="00D040C2">
            <w:pPr>
              <w:ind w:left="7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28 (37.3)</w:t>
            </w:r>
          </w:p>
        </w:tc>
        <w:tc>
          <w:tcPr>
            <w:tcW w:w="1526" w:type="dxa"/>
          </w:tcPr>
          <w:p w:rsidR="00CE4F74" w:rsidRPr="00DA4DDC" w:rsidRDefault="00CE4F74" w:rsidP="00D040C2">
            <w:pPr>
              <w:ind w:left="7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26 (33.8)</w:t>
            </w:r>
          </w:p>
        </w:tc>
        <w:tc>
          <w:tcPr>
            <w:tcW w:w="1606" w:type="dxa"/>
          </w:tcPr>
          <w:p w:rsidR="00CE4F74" w:rsidRPr="00DA4DDC" w:rsidRDefault="00CE4F74" w:rsidP="00D040C2">
            <w:pPr>
              <w:ind w:left="93"/>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48 (49.5)</w:t>
            </w:r>
          </w:p>
        </w:tc>
        <w:tc>
          <w:tcPr>
            <w:tcW w:w="1589" w:type="dxa"/>
          </w:tcPr>
          <w:p w:rsidR="00CE4F74" w:rsidRPr="00DA4DDC" w:rsidRDefault="00CE4F74" w:rsidP="00D040C2">
            <w:pPr>
              <w:ind w:left="93"/>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46 (48.9)</w:t>
            </w:r>
          </w:p>
        </w:tc>
      </w:tr>
      <w:tr w:rsidR="00CE4F74" w:rsidRPr="00C31183" w:rsidTr="00D040C2">
        <w:trPr>
          <w:trHeight w:val="460"/>
        </w:trPr>
        <w:tc>
          <w:tcPr>
            <w:cnfStyle w:val="001000000000" w:firstRow="0" w:lastRow="0" w:firstColumn="1" w:lastColumn="0" w:oddVBand="0" w:evenVBand="0" w:oddHBand="0" w:evenHBand="0" w:firstRowFirstColumn="0" w:firstRowLastColumn="0" w:lastRowFirstColumn="0" w:lastRowLastColumn="0"/>
            <w:tcW w:w="2333" w:type="dxa"/>
          </w:tcPr>
          <w:p w:rsidR="00CE4F74" w:rsidRPr="00DA4DDC" w:rsidRDefault="00CE4F74" w:rsidP="00D040C2">
            <w:pPr>
              <w:ind w:left="0"/>
              <w:rPr>
                <w:color w:val="000000"/>
                <w:lang w:eastAsia="ja-JP"/>
              </w:rPr>
            </w:pPr>
            <w:r w:rsidRPr="00DA4DDC">
              <w:rPr>
                <w:color w:val="000000"/>
                <w:lang w:eastAsia="ja-JP"/>
              </w:rPr>
              <w:t xml:space="preserve">Patients with Grade 5 </w:t>
            </w:r>
          </w:p>
        </w:tc>
        <w:tc>
          <w:tcPr>
            <w:tcW w:w="1543" w:type="dxa"/>
          </w:tcPr>
          <w:p w:rsidR="00CE4F74" w:rsidRPr="00DA4DDC" w:rsidRDefault="00CE4F74" w:rsidP="00D040C2">
            <w:pPr>
              <w:ind w:left="7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12 (16.0)</w:t>
            </w:r>
          </w:p>
        </w:tc>
        <w:tc>
          <w:tcPr>
            <w:tcW w:w="1526" w:type="dxa"/>
          </w:tcPr>
          <w:p w:rsidR="00CE4F74" w:rsidRPr="00DA4DDC" w:rsidRDefault="00CE4F74" w:rsidP="00D040C2">
            <w:pPr>
              <w:ind w:left="77"/>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5 (6.5)</w:t>
            </w:r>
          </w:p>
        </w:tc>
        <w:tc>
          <w:tcPr>
            <w:tcW w:w="1606" w:type="dxa"/>
          </w:tcPr>
          <w:p w:rsidR="00CE4F74" w:rsidRPr="00DA4DDC" w:rsidRDefault="00CE4F74" w:rsidP="00D040C2">
            <w:pPr>
              <w:ind w:left="93"/>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 xml:space="preserve">13 (13.4) </w:t>
            </w:r>
          </w:p>
        </w:tc>
        <w:tc>
          <w:tcPr>
            <w:tcW w:w="1589" w:type="dxa"/>
          </w:tcPr>
          <w:p w:rsidR="00CE4F74" w:rsidRPr="00DA4DDC" w:rsidRDefault="00CE4F74" w:rsidP="00D040C2">
            <w:pPr>
              <w:ind w:left="93"/>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 (2.1)</w:t>
            </w:r>
          </w:p>
        </w:tc>
      </w:tr>
    </w:tbl>
    <w:p w:rsidR="00CE4F74" w:rsidRPr="00C31183" w:rsidRDefault="00CE4F74" w:rsidP="00D040C2">
      <w:pPr>
        <w:pStyle w:val="Heading5"/>
        <w:rPr>
          <w:lang w:eastAsia="ja-JP"/>
        </w:rPr>
      </w:pPr>
      <w:bookmarkStart w:id="121" w:name="_Toc228773400"/>
      <w:r w:rsidRPr="00C31183">
        <w:rPr>
          <w:lang w:eastAsia="ja-JP"/>
        </w:rPr>
        <w:t>Race</w:t>
      </w:r>
      <w:bookmarkEnd w:id="121"/>
    </w:p>
    <w:p w:rsidR="00CE4F74" w:rsidRPr="00C31183" w:rsidRDefault="00CE4F74" w:rsidP="00D040C2">
      <w:pPr>
        <w:rPr>
          <w:lang w:eastAsia="ja-JP"/>
        </w:rPr>
      </w:pPr>
      <w:r w:rsidRPr="00C31183">
        <w:rPr>
          <w:lang w:eastAsia="ja-JP"/>
        </w:rPr>
        <w:t xml:space="preserve">The TEAE profiles (all causality, all cycles) by race (White and Asian) are </w:t>
      </w:r>
      <w:r>
        <w:rPr>
          <w:lang w:eastAsia="ja-JP"/>
        </w:rPr>
        <w:t>summarised</w:t>
      </w:r>
      <w:r w:rsidRPr="00C31183">
        <w:rPr>
          <w:lang w:eastAsia="ja-JP"/>
        </w:rPr>
        <w:t xml:space="preserve"> below in Table 20. In White patients, the main difference between the two treatment groups was the lower incidence of Grade 1/2 events and the higher incidence of Grade 5 events in the </w:t>
      </w:r>
      <w:proofErr w:type="spellStart"/>
      <w:r w:rsidRPr="00C31183">
        <w:rPr>
          <w:lang w:eastAsia="ja-JP"/>
        </w:rPr>
        <w:t>crizotinib</w:t>
      </w:r>
      <w:proofErr w:type="spellEnd"/>
      <w:r w:rsidRPr="00C31183">
        <w:rPr>
          <w:lang w:eastAsia="ja-JP"/>
        </w:rPr>
        <w:t xml:space="preserve"> group compared with the chemotherapy group. In Asian patients, the overall safety profile was notably worse in the </w:t>
      </w:r>
      <w:proofErr w:type="spellStart"/>
      <w:r w:rsidRPr="00C31183">
        <w:rPr>
          <w:lang w:eastAsia="ja-JP"/>
        </w:rPr>
        <w:t>crizotinib</w:t>
      </w:r>
      <w:proofErr w:type="spellEnd"/>
      <w:r w:rsidRPr="00C31183">
        <w:rPr>
          <w:lang w:eastAsia="ja-JP"/>
        </w:rPr>
        <w:t xml:space="preserve"> group compared with the chemotherapy group. In the </w:t>
      </w:r>
      <w:proofErr w:type="spellStart"/>
      <w:r w:rsidRPr="00C31183">
        <w:rPr>
          <w:lang w:eastAsia="ja-JP"/>
        </w:rPr>
        <w:t>crizotinib</w:t>
      </w:r>
      <w:proofErr w:type="spellEnd"/>
      <w:r w:rsidRPr="00C31183">
        <w:rPr>
          <w:lang w:eastAsia="ja-JP"/>
        </w:rPr>
        <w:t xml:space="preserve"> group, the main difference between the two racial groups was the notably higher incidence of Grade 3/4 events in Asian patient</w:t>
      </w:r>
      <w:r w:rsidR="00D040C2">
        <w:rPr>
          <w:lang w:eastAsia="ja-JP"/>
        </w:rPr>
        <w:t>s compared with White patients.</w:t>
      </w:r>
    </w:p>
    <w:p w:rsidR="00CE4F74" w:rsidRPr="00D040C2" w:rsidRDefault="00CE4F74" w:rsidP="00D040C2">
      <w:pPr>
        <w:pStyle w:val="TableTitle"/>
      </w:pPr>
      <w:bookmarkStart w:id="122" w:name="_Toc228773443"/>
      <w:r w:rsidRPr="00C31183">
        <w:rPr>
          <w:lang w:eastAsia="ja-JP"/>
        </w:rPr>
        <w:t xml:space="preserve">Table </w:t>
      </w:r>
      <w:r w:rsidRPr="00C31183">
        <w:rPr>
          <w:lang w:eastAsia="ja-JP"/>
        </w:rPr>
        <w:fldChar w:fldCharType="begin"/>
      </w:r>
      <w:r w:rsidRPr="00C31183">
        <w:rPr>
          <w:lang w:eastAsia="ja-JP"/>
        </w:rPr>
        <w:instrText xml:space="preserve"> SEQ Table \* ARABIC </w:instrText>
      </w:r>
      <w:r w:rsidRPr="00C31183">
        <w:rPr>
          <w:lang w:eastAsia="ja-JP"/>
        </w:rPr>
        <w:fldChar w:fldCharType="separate"/>
      </w:r>
      <w:r>
        <w:rPr>
          <w:noProof/>
          <w:lang w:eastAsia="ja-JP"/>
        </w:rPr>
        <w:t>20</w:t>
      </w:r>
      <w:r w:rsidRPr="00C31183">
        <w:rPr>
          <w:lang w:eastAsia="ja-JP"/>
        </w:rPr>
        <w:fldChar w:fldCharType="end"/>
      </w:r>
      <w:r w:rsidRPr="00C31183">
        <w:rPr>
          <w:lang w:eastAsia="ja-JP"/>
        </w:rPr>
        <w:t>: Treatment emergent adverse events (all causality, all cycles) by race n (%); SA</w:t>
      </w:r>
      <w:bookmarkEnd w:id="122"/>
    </w:p>
    <w:tbl>
      <w:tblPr>
        <w:tblStyle w:val="TableTGAblue"/>
        <w:tblW w:w="0" w:type="auto"/>
        <w:tblLook w:val="00A0" w:firstRow="1" w:lastRow="0" w:firstColumn="1" w:lastColumn="0" w:noHBand="0" w:noVBand="0"/>
      </w:tblPr>
      <w:tblGrid>
        <w:gridCol w:w="2154"/>
        <w:gridCol w:w="1513"/>
        <w:gridCol w:w="1496"/>
        <w:gridCol w:w="1575"/>
        <w:gridCol w:w="1558"/>
      </w:tblGrid>
      <w:tr w:rsidR="00CE4F74" w:rsidRPr="00C31183" w:rsidTr="00D040C2">
        <w:trPr>
          <w:cnfStyle w:val="100000000000" w:firstRow="1" w:lastRow="0" w:firstColumn="0" w:lastColumn="0" w:oddVBand="0" w:evenVBand="0" w:oddHBand="0" w:evenHBand="0" w:firstRowFirstColumn="0" w:firstRowLastColumn="0" w:lastRowFirstColumn="0" w:lastRowLastColumn="0"/>
          <w:trHeight w:val="449"/>
          <w:tblHeader/>
        </w:trPr>
        <w:tc>
          <w:tcPr>
            <w:cnfStyle w:val="001000000000" w:firstRow="0" w:lastRow="0" w:firstColumn="1" w:lastColumn="0" w:oddVBand="0" w:evenVBand="0" w:oddHBand="0" w:evenHBand="0" w:firstRowFirstColumn="0" w:firstRowLastColumn="0" w:lastRowFirstColumn="0" w:lastRowLastColumn="0"/>
            <w:tcW w:w="2154" w:type="dxa"/>
          </w:tcPr>
          <w:p w:rsidR="00CE4F74" w:rsidRPr="00DA4DDC" w:rsidRDefault="00CE4F74" w:rsidP="00D040C2">
            <w:pPr>
              <w:ind w:left="0"/>
              <w:rPr>
                <w:lang w:eastAsia="ja-JP"/>
              </w:rPr>
            </w:pPr>
          </w:p>
        </w:tc>
        <w:tc>
          <w:tcPr>
            <w:tcW w:w="3009" w:type="dxa"/>
            <w:gridSpan w:val="2"/>
          </w:tcPr>
          <w:p w:rsidR="00CE4F74" w:rsidRPr="00DA4DDC" w:rsidRDefault="00D040C2" w:rsidP="00D040C2">
            <w:pPr>
              <w:ind w:left="0"/>
              <w:cnfStyle w:val="100000000000" w:firstRow="1" w:lastRow="0" w:firstColumn="0" w:lastColumn="0" w:oddVBand="0" w:evenVBand="0" w:oddHBand="0" w:evenHBand="0" w:firstRowFirstColumn="0" w:firstRowLastColumn="0" w:lastRowFirstColumn="0" w:lastRowLastColumn="0"/>
              <w:rPr>
                <w:lang w:eastAsia="ja-JP"/>
              </w:rPr>
            </w:pPr>
            <w:r>
              <w:rPr>
                <w:lang w:eastAsia="ja-JP"/>
              </w:rPr>
              <w:t>White</w:t>
            </w:r>
          </w:p>
        </w:tc>
        <w:tc>
          <w:tcPr>
            <w:tcW w:w="3133" w:type="dxa"/>
            <w:gridSpan w:val="2"/>
          </w:tcPr>
          <w:p w:rsidR="00CE4F74" w:rsidRPr="00DA4DDC" w:rsidRDefault="00CE4F74" w:rsidP="00D040C2">
            <w:pPr>
              <w:ind w:left="19"/>
              <w:cnfStyle w:val="100000000000" w:firstRow="1" w:lastRow="0" w:firstColumn="0" w:lastColumn="0" w:oddVBand="0" w:evenVBand="0" w:oddHBand="0" w:evenHBand="0" w:firstRowFirstColumn="0" w:firstRowLastColumn="0" w:lastRowFirstColumn="0" w:lastRowLastColumn="0"/>
              <w:rPr>
                <w:lang w:eastAsia="ja-JP"/>
              </w:rPr>
            </w:pPr>
            <w:r w:rsidRPr="00DA4DDC">
              <w:rPr>
                <w:lang w:eastAsia="ja-JP"/>
              </w:rPr>
              <w:t>Asian</w:t>
            </w:r>
          </w:p>
        </w:tc>
      </w:tr>
      <w:tr w:rsidR="00CE4F74" w:rsidRPr="00C31183" w:rsidTr="00D040C2">
        <w:trPr>
          <w:trHeight w:val="668"/>
        </w:trPr>
        <w:tc>
          <w:tcPr>
            <w:cnfStyle w:val="001000000000" w:firstRow="0" w:lastRow="0" w:firstColumn="1" w:lastColumn="0" w:oddVBand="0" w:evenVBand="0" w:oddHBand="0" w:evenHBand="0" w:firstRowFirstColumn="0" w:firstRowLastColumn="0" w:lastRowFirstColumn="0" w:lastRowLastColumn="0"/>
            <w:tcW w:w="2154" w:type="dxa"/>
          </w:tcPr>
          <w:p w:rsidR="00CE4F74" w:rsidRPr="00DA4DDC" w:rsidRDefault="00CE4F74" w:rsidP="00D040C2">
            <w:pPr>
              <w:ind w:left="0"/>
              <w:rPr>
                <w:color w:val="000000"/>
                <w:lang w:eastAsia="ja-JP"/>
              </w:rPr>
            </w:pPr>
          </w:p>
        </w:tc>
        <w:tc>
          <w:tcPr>
            <w:tcW w:w="1513" w:type="dxa"/>
          </w:tcPr>
          <w:p w:rsidR="00CE4F74" w:rsidRPr="00DA4DDC" w:rsidRDefault="00CE4F74" w:rsidP="00D040C2">
            <w:pPr>
              <w:ind w:left="0"/>
              <w:cnfStyle w:val="000000000000" w:firstRow="0" w:lastRow="0" w:firstColumn="0" w:lastColumn="0" w:oddVBand="0" w:evenVBand="0" w:oddHBand="0" w:evenHBand="0" w:firstRowFirstColumn="0" w:firstRowLastColumn="0" w:lastRowFirstColumn="0" w:lastRowLastColumn="0"/>
              <w:rPr>
                <w:color w:val="000000"/>
                <w:lang w:eastAsia="ja-JP"/>
              </w:rPr>
            </w:pPr>
            <w:proofErr w:type="spellStart"/>
            <w:r w:rsidRPr="00DA4DDC">
              <w:rPr>
                <w:color w:val="000000"/>
                <w:lang w:eastAsia="ja-JP"/>
              </w:rPr>
              <w:t>Crizotinib</w:t>
            </w:r>
            <w:proofErr w:type="spellEnd"/>
            <w:r w:rsidRPr="00DA4DDC">
              <w:rPr>
                <w:color w:val="000000"/>
                <w:lang w:eastAsia="ja-JP"/>
              </w:rPr>
              <w:t xml:space="preserve"> (n=89)</w:t>
            </w:r>
          </w:p>
        </w:tc>
        <w:tc>
          <w:tcPr>
            <w:tcW w:w="1496" w:type="dxa"/>
          </w:tcPr>
          <w:p w:rsidR="00CE4F74" w:rsidRPr="00DA4DDC" w:rsidRDefault="00CE4F74" w:rsidP="00D040C2">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Chemo (n=89)</w:t>
            </w:r>
          </w:p>
        </w:tc>
        <w:tc>
          <w:tcPr>
            <w:tcW w:w="1575" w:type="dxa"/>
          </w:tcPr>
          <w:p w:rsidR="00CE4F74" w:rsidRPr="00DA4DDC" w:rsidRDefault="00CE4F74" w:rsidP="00D040C2">
            <w:pPr>
              <w:ind w:left="19"/>
              <w:cnfStyle w:val="000000000000" w:firstRow="0" w:lastRow="0" w:firstColumn="0" w:lastColumn="0" w:oddVBand="0" w:evenVBand="0" w:oddHBand="0" w:evenHBand="0" w:firstRowFirstColumn="0" w:firstRowLastColumn="0" w:lastRowFirstColumn="0" w:lastRowLastColumn="0"/>
              <w:rPr>
                <w:color w:val="000000"/>
                <w:lang w:eastAsia="ja-JP"/>
              </w:rPr>
            </w:pPr>
            <w:proofErr w:type="spellStart"/>
            <w:r w:rsidRPr="00DA4DDC">
              <w:rPr>
                <w:color w:val="000000"/>
                <w:lang w:eastAsia="ja-JP"/>
              </w:rPr>
              <w:t>Crizotinib</w:t>
            </w:r>
            <w:proofErr w:type="spellEnd"/>
            <w:r w:rsidRPr="00DA4DDC">
              <w:rPr>
                <w:color w:val="000000"/>
                <w:lang w:eastAsia="ja-JP"/>
              </w:rPr>
              <w:t xml:space="preserve"> (n=79)</w:t>
            </w:r>
          </w:p>
        </w:tc>
        <w:tc>
          <w:tcPr>
            <w:tcW w:w="1558" w:type="dxa"/>
          </w:tcPr>
          <w:p w:rsidR="00CE4F74" w:rsidRPr="00DA4DDC" w:rsidRDefault="00CE4F74" w:rsidP="00D040C2">
            <w:pPr>
              <w:ind w:left="19"/>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Chemo (n=77)</w:t>
            </w:r>
          </w:p>
        </w:tc>
      </w:tr>
      <w:tr w:rsidR="00CE4F74" w:rsidRPr="00C31183" w:rsidTr="00D040C2">
        <w:trPr>
          <w:trHeight w:val="438"/>
        </w:trPr>
        <w:tc>
          <w:tcPr>
            <w:cnfStyle w:val="001000000000" w:firstRow="0" w:lastRow="0" w:firstColumn="1" w:lastColumn="0" w:oddVBand="0" w:evenVBand="0" w:oddHBand="0" w:evenHBand="0" w:firstRowFirstColumn="0" w:firstRowLastColumn="0" w:lastRowFirstColumn="0" w:lastRowLastColumn="0"/>
            <w:tcW w:w="2154" w:type="dxa"/>
          </w:tcPr>
          <w:p w:rsidR="00CE4F74" w:rsidRPr="00DA4DDC" w:rsidRDefault="00CE4F74" w:rsidP="00D040C2">
            <w:pPr>
              <w:ind w:left="0"/>
              <w:rPr>
                <w:color w:val="000000"/>
                <w:lang w:eastAsia="ja-JP"/>
              </w:rPr>
            </w:pPr>
            <w:r w:rsidRPr="00DA4DDC">
              <w:rPr>
                <w:color w:val="000000"/>
                <w:lang w:eastAsia="ja-JP"/>
              </w:rPr>
              <w:t>Patients with TEAEs</w:t>
            </w:r>
          </w:p>
        </w:tc>
        <w:tc>
          <w:tcPr>
            <w:tcW w:w="1513" w:type="dxa"/>
          </w:tcPr>
          <w:p w:rsidR="00CE4F74" w:rsidRPr="00DA4DDC" w:rsidRDefault="00CE4F74" w:rsidP="00D040C2">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89 (100.0)</w:t>
            </w:r>
          </w:p>
        </w:tc>
        <w:tc>
          <w:tcPr>
            <w:tcW w:w="1496" w:type="dxa"/>
          </w:tcPr>
          <w:p w:rsidR="00CE4F74" w:rsidRPr="00DA4DDC" w:rsidRDefault="00CE4F74" w:rsidP="00D040C2">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87 (97.8)</w:t>
            </w:r>
          </w:p>
        </w:tc>
        <w:tc>
          <w:tcPr>
            <w:tcW w:w="1575" w:type="dxa"/>
          </w:tcPr>
          <w:p w:rsidR="00CE4F74" w:rsidRPr="00DA4DDC" w:rsidRDefault="00CE4F74" w:rsidP="00D040C2">
            <w:pPr>
              <w:ind w:left="19"/>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79 (100.0)</w:t>
            </w:r>
          </w:p>
        </w:tc>
        <w:tc>
          <w:tcPr>
            <w:tcW w:w="1558" w:type="dxa"/>
          </w:tcPr>
          <w:p w:rsidR="00CE4F74" w:rsidRPr="00DA4DDC" w:rsidRDefault="00CE4F74" w:rsidP="00D040C2">
            <w:pPr>
              <w:ind w:left="19"/>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76 (98.7)</w:t>
            </w:r>
          </w:p>
        </w:tc>
      </w:tr>
      <w:tr w:rsidR="00CE4F74" w:rsidRPr="00C31183" w:rsidTr="00D040C2">
        <w:trPr>
          <w:trHeight w:val="668"/>
        </w:trPr>
        <w:tc>
          <w:tcPr>
            <w:cnfStyle w:val="001000000000" w:firstRow="0" w:lastRow="0" w:firstColumn="1" w:lastColumn="0" w:oddVBand="0" w:evenVBand="0" w:oddHBand="0" w:evenHBand="0" w:firstRowFirstColumn="0" w:firstRowLastColumn="0" w:lastRowFirstColumn="0" w:lastRowLastColumn="0"/>
            <w:tcW w:w="2154" w:type="dxa"/>
          </w:tcPr>
          <w:p w:rsidR="00CE4F74" w:rsidRPr="00DA4DDC" w:rsidRDefault="00CE4F74" w:rsidP="00D040C2">
            <w:pPr>
              <w:ind w:left="0"/>
              <w:rPr>
                <w:color w:val="000000"/>
                <w:lang w:eastAsia="ja-JP"/>
              </w:rPr>
            </w:pPr>
            <w:r w:rsidRPr="00DA4DDC">
              <w:rPr>
                <w:color w:val="000000"/>
                <w:lang w:eastAsia="ja-JP"/>
              </w:rPr>
              <w:t>Patients with Grade 1/2 TEAEs</w:t>
            </w:r>
          </w:p>
        </w:tc>
        <w:tc>
          <w:tcPr>
            <w:tcW w:w="1513" w:type="dxa"/>
          </w:tcPr>
          <w:p w:rsidR="00CE4F74" w:rsidRPr="00DA4DDC" w:rsidRDefault="00CE4F74" w:rsidP="00D040C2">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39 (43.8)</w:t>
            </w:r>
          </w:p>
        </w:tc>
        <w:tc>
          <w:tcPr>
            <w:tcW w:w="1496" w:type="dxa"/>
          </w:tcPr>
          <w:p w:rsidR="00CE4F74" w:rsidRPr="00DA4DDC" w:rsidRDefault="00CE4F74" w:rsidP="00D040C2">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46 (51.7)</w:t>
            </w:r>
          </w:p>
        </w:tc>
        <w:tc>
          <w:tcPr>
            <w:tcW w:w="1575" w:type="dxa"/>
          </w:tcPr>
          <w:p w:rsidR="00CE4F74" w:rsidRPr="00DA4DDC" w:rsidRDefault="00CE4F74" w:rsidP="00D040C2">
            <w:pPr>
              <w:ind w:left="19"/>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31 (39.2)</w:t>
            </w:r>
          </w:p>
        </w:tc>
        <w:tc>
          <w:tcPr>
            <w:tcW w:w="1558" w:type="dxa"/>
          </w:tcPr>
          <w:p w:rsidR="00CE4F74" w:rsidRPr="00DA4DDC" w:rsidRDefault="00CE4F74" w:rsidP="00D040C2">
            <w:pPr>
              <w:ind w:left="19"/>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41 (53.3)</w:t>
            </w:r>
          </w:p>
        </w:tc>
      </w:tr>
      <w:tr w:rsidR="00CE4F74" w:rsidRPr="00C31183" w:rsidTr="00D040C2">
        <w:trPr>
          <w:trHeight w:val="668"/>
        </w:trPr>
        <w:tc>
          <w:tcPr>
            <w:cnfStyle w:val="001000000000" w:firstRow="0" w:lastRow="0" w:firstColumn="1" w:lastColumn="0" w:oddVBand="0" w:evenVBand="0" w:oddHBand="0" w:evenHBand="0" w:firstRowFirstColumn="0" w:firstRowLastColumn="0" w:lastRowFirstColumn="0" w:lastRowLastColumn="0"/>
            <w:tcW w:w="2154" w:type="dxa"/>
          </w:tcPr>
          <w:p w:rsidR="00CE4F74" w:rsidRPr="00DA4DDC" w:rsidRDefault="00CE4F74" w:rsidP="00D040C2">
            <w:pPr>
              <w:ind w:left="0"/>
              <w:rPr>
                <w:color w:val="000000"/>
                <w:lang w:eastAsia="ja-JP"/>
              </w:rPr>
            </w:pPr>
            <w:r w:rsidRPr="00DA4DDC">
              <w:rPr>
                <w:color w:val="000000"/>
                <w:lang w:eastAsia="ja-JP"/>
              </w:rPr>
              <w:t>Patients with Grade 3/4 TEAEs</w:t>
            </w:r>
          </w:p>
        </w:tc>
        <w:tc>
          <w:tcPr>
            <w:tcW w:w="1513" w:type="dxa"/>
          </w:tcPr>
          <w:p w:rsidR="00CE4F74" w:rsidRPr="00DA4DDC" w:rsidRDefault="00CE4F74" w:rsidP="00D040C2">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36 (40.5)</w:t>
            </w:r>
          </w:p>
        </w:tc>
        <w:tc>
          <w:tcPr>
            <w:tcW w:w="1496" w:type="dxa"/>
          </w:tcPr>
          <w:p w:rsidR="00CE4F74" w:rsidRPr="00DA4DDC" w:rsidRDefault="00CE4F74" w:rsidP="00D040C2">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39 (43.8)</w:t>
            </w:r>
          </w:p>
        </w:tc>
        <w:tc>
          <w:tcPr>
            <w:tcW w:w="1575" w:type="dxa"/>
          </w:tcPr>
          <w:p w:rsidR="00CE4F74" w:rsidRPr="00DA4DDC" w:rsidRDefault="00CE4F74" w:rsidP="00D040C2">
            <w:pPr>
              <w:ind w:left="19"/>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37 (46.8)</w:t>
            </w:r>
          </w:p>
        </w:tc>
        <w:tc>
          <w:tcPr>
            <w:tcW w:w="1558" w:type="dxa"/>
          </w:tcPr>
          <w:p w:rsidR="00CE4F74" w:rsidRPr="00DA4DDC" w:rsidRDefault="00CE4F74" w:rsidP="00D040C2">
            <w:pPr>
              <w:ind w:left="19"/>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30 (39.0)</w:t>
            </w:r>
          </w:p>
        </w:tc>
      </w:tr>
      <w:tr w:rsidR="00CE4F74" w:rsidRPr="00C31183" w:rsidTr="00D040C2">
        <w:trPr>
          <w:trHeight w:val="679"/>
        </w:trPr>
        <w:tc>
          <w:tcPr>
            <w:cnfStyle w:val="001000000000" w:firstRow="0" w:lastRow="0" w:firstColumn="1" w:lastColumn="0" w:oddVBand="0" w:evenVBand="0" w:oddHBand="0" w:evenHBand="0" w:firstRowFirstColumn="0" w:firstRowLastColumn="0" w:lastRowFirstColumn="0" w:lastRowLastColumn="0"/>
            <w:tcW w:w="2154" w:type="dxa"/>
          </w:tcPr>
          <w:p w:rsidR="00CE4F74" w:rsidRPr="00DA4DDC" w:rsidRDefault="00CE4F74" w:rsidP="00D040C2">
            <w:pPr>
              <w:ind w:left="0"/>
              <w:rPr>
                <w:color w:val="000000"/>
                <w:lang w:eastAsia="ja-JP"/>
              </w:rPr>
            </w:pPr>
            <w:r w:rsidRPr="00DA4DDC">
              <w:rPr>
                <w:color w:val="000000"/>
                <w:lang w:eastAsia="ja-JP"/>
              </w:rPr>
              <w:lastRenderedPageBreak/>
              <w:t xml:space="preserve">Patients with Grade 5 </w:t>
            </w:r>
          </w:p>
        </w:tc>
        <w:tc>
          <w:tcPr>
            <w:tcW w:w="1513" w:type="dxa"/>
          </w:tcPr>
          <w:p w:rsidR="00CE4F74" w:rsidRPr="00DA4DDC" w:rsidRDefault="00CE4F74" w:rsidP="00D040C2">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14 (15.7)</w:t>
            </w:r>
          </w:p>
        </w:tc>
        <w:tc>
          <w:tcPr>
            <w:tcW w:w="1496" w:type="dxa"/>
          </w:tcPr>
          <w:p w:rsidR="00CE4F74" w:rsidRPr="00DA4DDC" w:rsidRDefault="00CE4F74" w:rsidP="00D040C2">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 (2.2)</w:t>
            </w:r>
          </w:p>
        </w:tc>
        <w:tc>
          <w:tcPr>
            <w:tcW w:w="1575" w:type="dxa"/>
          </w:tcPr>
          <w:p w:rsidR="00CE4F74" w:rsidRPr="00DA4DDC" w:rsidRDefault="00CE4F74" w:rsidP="00D040C2">
            <w:pPr>
              <w:ind w:left="19"/>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11 (13.9)</w:t>
            </w:r>
          </w:p>
        </w:tc>
        <w:tc>
          <w:tcPr>
            <w:tcW w:w="1558" w:type="dxa"/>
          </w:tcPr>
          <w:p w:rsidR="00CE4F74" w:rsidRPr="00DA4DDC" w:rsidRDefault="00CE4F74" w:rsidP="00D040C2">
            <w:pPr>
              <w:ind w:left="19"/>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5 (6.5)</w:t>
            </w:r>
          </w:p>
        </w:tc>
      </w:tr>
    </w:tbl>
    <w:p w:rsidR="00CE4F74" w:rsidRPr="00C31183" w:rsidRDefault="00CE4F74" w:rsidP="00D040C2">
      <w:pPr>
        <w:pStyle w:val="Heading3"/>
      </w:pPr>
      <w:bookmarkStart w:id="123" w:name="_Toc228773401"/>
      <w:bookmarkStart w:id="124" w:name="_Toc380058436"/>
      <w:bookmarkStart w:id="125" w:name="_Toc384975290"/>
      <w:r w:rsidRPr="00C31183">
        <w:t xml:space="preserve">Evaluator’s comments on benefits of treatment with </w:t>
      </w:r>
      <w:proofErr w:type="spellStart"/>
      <w:r w:rsidRPr="00C31183">
        <w:t>crizotinib</w:t>
      </w:r>
      <w:proofErr w:type="spellEnd"/>
      <w:r w:rsidRPr="00C31183">
        <w:t xml:space="preserve"> based on </w:t>
      </w:r>
      <w:r>
        <w:t>S</w:t>
      </w:r>
      <w:r w:rsidRPr="00C31183">
        <w:t>tudy A8081007</w:t>
      </w:r>
      <w:bookmarkEnd w:id="123"/>
      <w:bookmarkEnd w:id="124"/>
      <w:bookmarkEnd w:id="125"/>
    </w:p>
    <w:p w:rsidR="00CE4F74" w:rsidRPr="00C31183" w:rsidRDefault="00CE4F74" w:rsidP="00D040C2">
      <w:pPr>
        <w:rPr>
          <w:lang w:eastAsia="ja-JP"/>
        </w:rPr>
      </w:pPr>
      <w:r w:rsidRPr="00C31183">
        <w:rPr>
          <w:lang w:eastAsia="ja-JP"/>
        </w:rPr>
        <w:t xml:space="preserve">Overall, it is </w:t>
      </w:r>
      <w:r>
        <w:rPr>
          <w:lang w:eastAsia="ja-JP"/>
        </w:rPr>
        <w:t>considered that the results of S</w:t>
      </w:r>
      <w:r w:rsidRPr="00C31183">
        <w:rPr>
          <w:lang w:eastAsia="ja-JP"/>
        </w:rPr>
        <w:t xml:space="preserve">tudy A8081007 show that the benefits of </w:t>
      </w:r>
      <w:proofErr w:type="spellStart"/>
      <w:r w:rsidRPr="00C31183">
        <w:rPr>
          <w:lang w:eastAsia="ja-JP"/>
        </w:rPr>
        <w:t>crizotinib</w:t>
      </w:r>
      <w:proofErr w:type="spellEnd"/>
      <w:r w:rsidRPr="00C31183">
        <w:rPr>
          <w:lang w:eastAsia="ja-JP"/>
        </w:rPr>
        <w:t xml:space="preserve"> are greater than those of standard of care chemotherapy (</w:t>
      </w:r>
      <w:proofErr w:type="spellStart"/>
      <w:r w:rsidRPr="00C31183">
        <w:rPr>
          <w:lang w:eastAsia="ja-JP"/>
        </w:rPr>
        <w:t>pemetrexed</w:t>
      </w:r>
      <w:proofErr w:type="spellEnd"/>
      <w:r w:rsidRPr="00C31183">
        <w:rPr>
          <w:lang w:eastAsia="ja-JP"/>
        </w:rPr>
        <w:t xml:space="preserve"> or </w:t>
      </w:r>
      <w:proofErr w:type="spellStart"/>
      <w:r w:rsidRPr="00C31183">
        <w:rPr>
          <w:lang w:eastAsia="ja-JP"/>
        </w:rPr>
        <w:t>docetaxel</w:t>
      </w:r>
      <w:proofErr w:type="spellEnd"/>
      <w:r w:rsidRPr="00C31183">
        <w:rPr>
          <w:lang w:eastAsia="ja-JP"/>
        </w:rPr>
        <w:t xml:space="preserve">) for the treatment of previously treated ALK-positive NSCLC. However, the interim analysis of </w:t>
      </w:r>
      <w:r>
        <w:rPr>
          <w:lang w:eastAsia="ja-JP"/>
        </w:rPr>
        <w:t>Overall Survival (</w:t>
      </w:r>
      <w:r w:rsidRPr="00C31183">
        <w:rPr>
          <w:lang w:eastAsia="ja-JP"/>
        </w:rPr>
        <w:t>OS</w:t>
      </w:r>
      <w:r>
        <w:rPr>
          <w:lang w:eastAsia="ja-JP"/>
        </w:rPr>
        <w:t>)</w:t>
      </w:r>
      <w:r w:rsidRPr="00C31183">
        <w:rPr>
          <w:lang w:eastAsia="ja-JP"/>
        </w:rPr>
        <w:t xml:space="preserve"> showed no statistically significant difference between </w:t>
      </w:r>
      <w:proofErr w:type="spellStart"/>
      <w:r w:rsidRPr="00C31183">
        <w:rPr>
          <w:lang w:eastAsia="ja-JP"/>
        </w:rPr>
        <w:t>crizotinib</w:t>
      </w:r>
      <w:proofErr w:type="spellEnd"/>
      <w:r w:rsidRPr="00C31183">
        <w:rPr>
          <w:lang w:eastAsia="ja-JP"/>
        </w:rPr>
        <w:t xml:space="preserve"> and chemotherapy. It should be noted that in the preliminary </w:t>
      </w:r>
      <w:r>
        <w:rPr>
          <w:lang w:eastAsia="ja-JP"/>
        </w:rPr>
        <w:t>Company Study Report (</w:t>
      </w:r>
      <w:r w:rsidRPr="00C31183">
        <w:rPr>
          <w:lang w:eastAsia="ja-JP"/>
        </w:rPr>
        <w:t>CSR</w:t>
      </w:r>
      <w:r>
        <w:rPr>
          <w:lang w:eastAsia="ja-JP"/>
        </w:rPr>
        <w:t>)</w:t>
      </w:r>
      <w:r w:rsidRPr="00C31183">
        <w:rPr>
          <w:lang w:eastAsia="ja-JP"/>
        </w:rPr>
        <w:t xml:space="preserve"> the analysis of </w:t>
      </w:r>
      <w:r>
        <w:rPr>
          <w:lang w:eastAsia="ja-JP"/>
        </w:rPr>
        <w:t>Progression Free Survival (</w:t>
      </w:r>
      <w:r w:rsidRPr="00C31183">
        <w:rPr>
          <w:lang w:eastAsia="ja-JP"/>
        </w:rPr>
        <w:t>PFS</w:t>
      </w:r>
      <w:r>
        <w:rPr>
          <w:lang w:eastAsia="ja-JP"/>
        </w:rPr>
        <w:t>)</w:t>
      </w:r>
      <w:r w:rsidRPr="00C31183">
        <w:rPr>
          <w:lang w:eastAsia="ja-JP"/>
        </w:rPr>
        <w:t xml:space="preserve"> was the final analysis of this parameter as the </w:t>
      </w:r>
      <w:proofErr w:type="spellStart"/>
      <w:r w:rsidRPr="00C31183">
        <w:rPr>
          <w:lang w:eastAsia="ja-JP"/>
        </w:rPr>
        <w:t>prespecified</w:t>
      </w:r>
      <w:proofErr w:type="spellEnd"/>
      <w:r w:rsidRPr="00C31183">
        <w:rPr>
          <w:lang w:eastAsia="ja-JP"/>
        </w:rPr>
        <w:t xml:space="preserve"> number of events had been reached at the date of the data cut</w:t>
      </w:r>
      <w:r>
        <w:rPr>
          <w:lang w:eastAsia="ja-JP"/>
        </w:rPr>
        <w:t xml:space="preserve"> </w:t>
      </w:r>
      <w:r w:rsidRPr="00C31183">
        <w:rPr>
          <w:lang w:eastAsia="ja-JP"/>
        </w:rPr>
        <w:t>off, while the analysis of the OS was an interim analysis of this parameter as the specified number of events had not been reached at the date of data cut</w:t>
      </w:r>
      <w:r>
        <w:rPr>
          <w:lang w:eastAsia="ja-JP"/>
        </w:rPr>
        <w:t xml:space="preserve"> </w:t>
      </w:r>
      <w:r w:rsidR="00D040C2">
        <w:rPr>
          <w:lang w:eastAsia="ja-JP"/>
        </w:rPr>
        <w:t>off.</w:t>
      </w:r>
    </w:p>
    <w:p w:rsidR="00CE4F74" w:rsidRPr="00C31183" w:rsidRDefault="00CE4F74" w:rsidP="00D040C2">
      <w:pPr>
        <w:rPr>
          <w:lang w:eastAsia="ja-JP"/>
        </w:rPr>
      </w:pPr>
      <w:r w:rsidRPr="00C31183">
        <w:rPr>
          <w:lang w:eastAsia="ja-JP"/>
        </w:rPr>
        <w:t xml:space="preserve">The primary objective of the study was to show that </w:t>
      </w:r>
      <w:proofErr w:type="spellStart"/>
      <w:r w:rsidRPr="00C31183">
        <w:rPr>
          <w:lang w:eastAsia="ja-JP"/>
        </w:rPr>
        <w:t>crizotinib</w:t>
      </w:r>
      <w:proofErr w:type="spellEnd"/>
      <w:r w:rsidRPr="00C31183">
        <w:rPr>
          <w:lang w:eastAsia="ja-JP"/>
        </w:rPr>
        <w:t xml:space="preserve"> was superior to standard-of-care chemotherapy (</w:t>
      </w:r>
      <w:proofErr w:type="spellStart"/>
      <w:r w:rsidRPr="00C31183">
        <w:rPr>
          <w:lang w:eastAsia="ja-JP"/>
        </w:rPr>
        <w:t>pemetrexed</w:t>
      </w:r>
      <w:proofErr w:type="spellEnd"/>
      <w:r w:rsidRPr="00C31183">
        <w:rPr>
          <w:lang w:eastAsia="ja-JP"/>
        </w:rPr>
        <w:t xml:space="preserve"> or </w:t>
      </w:r>
      <w:proofErr w:type="spellStart"/>
      <w:r w:rsidRPr="00C31183">
        <w:rPr>
          <w:lang w:eastAsia="ja-JP"/>
        </w:rPr>
        <w:t>docetaxel</w:t>
      </w:r>
      <w:proofErr w:type="spellEnd"/>
      <w:r w:rsidRPr="00C31183">
        <w:rPr>
          <w:lang w:eastAsia="ja-JP"/>
        </w:rPr>
        <w:t>) in prolonging the duration of PFS (objective tumour progression or death, whichever occurred first). The primary analy</w:t>
      </w:r>
      <w:r w:rsidRPr="00BF6363">
        <w:rPr>
          <w:lang w:eastAsia="ja-JP"/>
        </w:rPr>
        <w:t>sis of the PFS was based on Independent Radiology Review Response Evaluation Criteria in Solid Tumours (IRR RECIST) criteria in patients randomised to open-label treatment stratified by bas</w:t>
      </w:r>
      <w:r w:rsidRPr="00C31183">
        <w:rPr>
          <w:lang w:eastAsia="ja-JP"/>
        </w:rPr>
        <w:t>eline ECOG</w:t>
      </w:r>
      <w:r>
        <w:rPr>
          <w:lang w:eastAsia="ja-JP"/>
        </w:rPr>
        <w:t xml:space="preserve"> PS </w:t>
      </w:r>
      <w:r>
        <w:rPr>
          <w:rStyle w:val="FootnoteReference"/>
          <w:lang w:eastAsia="ja-JP"/>
        </w:rPr>
        <w:footnoteReference w:id="4"/>
      </w:r>
      <w:r w:rsidRPr="00C31183">
        <w:rPr>
          <w:lang w:eastAsia="ja-JP"/>
        </w:rPr>
        <w:t xml:space="preserve"> (0-1</w:t>
      </w:r>
      <w:r>
        <w:rPr>
          <w:lang w:eastAsia="ja-JP"/>
        </w:rPr>
        <w:t xml:space="preserve"> versus </w:t>
      </w:r>
      <w:r w:rsidRPr="00C31183">
        <w:rPr>
          <w:lang w:eastAsia="ja-JP"/>
        </w:rPr>
        <w:t>2), brain metastases (yes</w:t>
      </w:r>
      <w:r>
        <w:rPr>
          <w:lang w:eastAsia="ja-JP"/>
        </w:rPr>
        <w:t xml:space="preserve"> versus </w:t>
      </w:r>
      <w:r w:rsidRPr="00C31183">
        <w:rPr>
          <w:lang w:eastAsia="ja-JP"/>
        </w:rPr>
        <w:t xml:space="preserve">no) and previous treatment with an </w:t>
      </w:r>
      <w:r>
        <w:rPr>
          <w:lang w:eastAsia="ja-JP"/>
        </w:rPr>
        <w:t>epidermal growth factor tyrosine kinase inhibitor (</w:t>
      </w:r>
      <w:r w:rsidRPr="00C31183">
        <w:rPr>
          <w:lang w:eastAsia="ja-JP"/>
        </w:rPr>
        <w:t>EGFR TKI</w:t>
      </w:r>
      <w:r>
        <w:rPr>
          <w:lang w:eastAsia="ja-JP"/>
        </w:rPr>
        <w:t>)</w:t>
      </w:r>
      <w:r w:rsidRPr="00C31183">
        <w:rPr>
          <w:lang w:eastAsia="ja-JP"/>
        </w:rPr>
        <w:t xml:space="preserve"> (yes</w:t>
      </w:r>
      <w:r>
        <w:rPr>
          <w:lang w:eastAsia="ja-JP"/>
        </w:rPr>
        <w:t xml:space="preserve"> versus </w:t>
      </w:r>
      <w:r w:rsidRPr="00C31183">
        <w:rPr>
          <w:lang w:eastAsia="ja-JP"/>
        </w:rPr>
        <w:t xml:space="preserve">no). The study met the primary objective and demonstrated that the median time to PFS was 4.7 months longer in the </w:t>
      </w:r>
      <w:proofErr w:type="spellStart"/>
      <w:r w:rsidRPr="00C31183">
        <w:rPr>
          <w:lang w:eastAsia="ja-JP"/>
        </w:rPr>
        <w:t>crizotinib</w:t>
      </w:r>
      <w:proofErr w:type="spellEnd"/>
      <w:r w:rsidRPr="00C31183">
        <w:rPr>
          <w:lang w:eastAsia="ja-JP"/>
        </w:rPr>
        <w:t xml:space="preserve"> arm compared with the chemotherapy arm and that this increase was statistically significant. At the time of the data cut</w:t>
      </w:r>
      <w:r>
        <w:rPr>
          <w:lang w:eastAsia="ja-JP"/>
        </w:rPr>
        <w:t xml:space="preserve"> </w:t>
      </w:r>
      <w:r w:rsidRPr="00C31183">
        <w:rPr>
          <w:lang w:eastAsia="ja-JP"/>
        </w:rPr>
        <w:t xml:space="preserve">off, 57.8% (100/173) of patients in the </w:t>
      </w:r>
      <w:proofErr w:type="spellStart"/>
      <w:r w:rsidRPr="00C31183">
        <w:rPr>
          <w:lang w:eastAsia="ja-JP"/>
        </w:rPr>
        <w:t>crizotinib</w:t>
      </w:r>
      <w:proofErr w:type="spellEnd"/>
      <w:r w:rsidRPr="00C31183">
        <w:rPr>
          <w:lang w:eastAsia="ja-JP"/>
        </w:rPr>
        <w:t xml:space="preserve"> arm had experienced a PFS event compared with 73.0% (127/119) of patients in the chemotherapy arm, with a median PFS of 7.7 months (95% CI: 6.0, 8.8 months) and 3.0 months (2.6, 4.3 months), respectively. The </w:t>
      </w:r>
      <w:r>
        <w:rPr>
          <w:lang w:eastAsia="ja-JP"/>
        </w:rPr>
        <w:t>hazard ratio (</w:t>
      </w:r>
      <w:r w:rsidRPr="00C31183">
        <w:rPr>
          <w:lang w:eastAsia="ja-JP"/>
        </w:rPr>
        <w:t>HR</w:t>
      </w:r>
      <w:r>
        <w:rPr>
          <w:lang w:eastAsia="ja-JP"/>
        </w:rPr>
        <w:t>)</w:t>
      </w:r>
      <w:r w:rsidRPr="00C31183">
        <w:rPr>
          <w:lang w:eastAsia="ja-JP"/>
        </w:rPr>
        <w:t xml:space="preserve"> for PFS was 0.487 (95% CI: 0.371, 0.638), p&lt;0.0001 (1-sided log rank test), indicating a significantly lower risk of experiencing a PFS event in the </w:t>
      </w:r>
      <w:proofErr w:type="spellStart"/>
      <w:r w:rsidRPr="00C31183">
        <w:rPr>
          <w:lang w:eastAsia="ja-JP"/>
        </w:rPr>
        <w:t>crizotinib</w:t>
      </w:r>
      <w:proofErr w:type="spellEnd"/>
      <w:r w:rsidRPr="00C31183">
        <w:rPr>
          <w:lang w:eastAsia="ja-JP"/>
        </w:rPr>
        <w:t xml:space="preserve"> arm comp</w:t>
      </w:r>
      <w:r w:rsidR="00D040C2">
        <w:rPr>
          <w:lang w:eastAsia="ja-JP"/>
        </w:rPr>
        <w:t>ared with the chemotherapy arm.</w:t>
      </w:r>
    </w:p>
    <w:p w:rsidR="00CE4F74" w:rsidRPr="00C31183" w:rsidRDefault="00CE4F74" w:rsidP="00D040C2">
      <w:pPr>
        <w:rPr>
          <w:lang w:eastAsia="ja-JP"/>
        </w:rPr>
      </w:pPr>
      <w:r w:rsidRPr="00C31183">
        <w:rPr>
          <w:lang w:eastAsia="ja-JP"/>
        </w:rPr>
        <w:t xml:space="preserve">The secondary efficacy endpoints of </w:t>
      </w:r>
      <w:r>
        <w:rPr>
          <w:lang w:eastAsia="ja-JP"/>
        </w:rPr>
        <w:t>Objective response rate (</w:t>
      </w:r>
      <w:r w:rsidRPr="00C31183">
        <w:rPr>
          <w:lang w:eastAsia="ja-JP"/>
        </w:rPr>
        <w:t>ORR</w:t>
      </w:r>
      <w:r>
        <w:rPr>
          <w:lang w:eastAsia="ja-JP"/>
        </w:rPr>
        <w:t>)</w:t>
      </w:r>
      <w:r w:rsidRPr="00C31183">
        <w:rPr>
          <w:lang w:eastAsia="ja-JP"/>
        </w:rPr>
        <w:t xml:space="preserve">, </w:t>
      </w:r>
      <w:r>
        <w:rPr>
          <w:lang w:eastAsia="ja-JP"/>
        </w:rPr>
        <w:t>Time to tumour response (</w:t>
      </w:r>
      <w:r w:rsidRPr="00C31183">
        <w:rPr>
          <w:lang w:eastAsia="ja-JP"/>
        </w:rPr>
        <w:t>TTR</w:t>
      </w:r>
      <w:r>
        <w:rPr>
          <w:lang w:eastAsia="ja-JP"/>
        </w:rPr>
        <w:t>)</w:t>
      </w:r>
      <w:r w:rsidRPr="00C31183">
        <w:rPr>
          <w:lang w:eastAsia="ja-JP"/>
        </w:rPr>
        <w:t xml:space="preserve">, </w:t>
      </w:r>
      <w:r>
        <w:rPr>
          <w:lang w:eastAsia="ja-JP"/>
        </w:rPr>
        <w:t>Duration of response (</w:t>
      </w:r>
      <w:r w:rsidRPr="00C31183">
        <w:rPr>
          <w:lang w:eastAsia="ja-JP"/>
        </w:rPr>
        <w:t>DR</w:t>
      </w:r>
      <w:r>
        <w:rPr>
          <w:lang w:eastAsia="ja-JP"/>
        </w:rPr>
        <w:t>)</w:t>
      </w:r>
      <w:r w:rsidRPr="00C31183">
        <w:rPr>
          <w:lang w:eastAsia="ja-JP"/>
        </w:rPr>
        <w:t xml:space="preserve"> and </w:t>
      </w:r>
      <w:r>
        <w:rPr>
          <w:lang w:eastAsia="ja-JP"/>
        </w:rPr>
        <w:t>Disease control rate (</w:t>
      </w:r>
      <w:r w:rsidRPr="00C31183">
        <w:rPr>
          <w:lang w:eastAsia="ja-JP"/>
        </w:rPr>
        <w:t>DCR</w:t>
      </w:r>
      <w:r>
        <w:rPr>
          <w:lang w:eastAsia="ja-JP"/>
        </w:rPr>
        <w:t>)</w:t>
      </w:r>
      <w:r w:rsidRPr="00C31183">
        <w:rPr>
          <w:lang w:eastAsia="ja-JP"/>
        </w:rPr>
        <w:t xml:space="preserve"> but not OS support the primary PFS outcome. In the interim OS analysis there was no statistically significant difference in overall survival between the two treatment arms. The median duration of overall survival was similar in the </w:t>
      </w:r>
      <w:proofErr w:type="spellStart"/>
      <w:r w:rsidRPr="00C31183">
        <w:rPr>
          <w:lang w:eastAsia="ja-JP"/>
        </w:rPr>
        <w:t>crizotinib</w:t>
      </w:r>
      <w:proofErr w:type="spellEnd"/>
      <w:r w:rsidRPr="00C31183">
        <w:rPr>
          <w:lang w:eastAsia="ja-JP"/>
        </w:rPr>
        <w:t xml:space="preserve"> and chemotherapy treatment arms (20.3 months [95% CI: 18.1, not reached]</w:t>
      </w:r>
      <w:r>
        <w:rPr>
          <w:lang w:eastAsia="ja-JP"/>
        </w:rPr>
        <w:t xml:space="preserve"> versus </w:t>
      </w:r>
      <w:r w:rsidRPr="00C31183">
        <w:rPr>
          <w:lang w:eastAsia="ja-JP"/>
        </w:rPr>
        <w:t>22.8 months [95% CI:</w:t>
      </w:r>
      <w:r>
        <w:rPr>
          <w:lang w:eastAsia="ja-JP"/>
        </w:rPr>
        <w:t xml:space="preserve"> </w:t>
      </w:r>
      <w:r w:rsidRPr="00C31183">
        <w:rPr>
          <w:lang w:eastAsia="ja-JP"/>
        </w:rPr>
        <w:t>18.6, not reached]) and the HR (</w:t>
      </w:r>
      <w:proofErr w:type="spellStart"/>
      <w:r w:rsidRPr="00C31183">
        <w:rPr>
          <w:lang w:eastAsia="ja-JP"/>
        </w:rPr>
        <w:t>crizotinib</w:t>
      </w:r>
      <w:proofErr w:type="spellEnd"/>
      <w:r>
        <w:rPr>
          <w:lang w:eastAsia="ja-JP"/>
        </w:rPr>
        <w:t xml:space="preserve"> versus </w:t>
      </w:r>
      <w:r w:rsidRPr="00C31183">
        <w:rPr>
          <w:lang w:eastAsia="ja-JP"/>
        </w:rPr>
        <w:t xml:space="preserve">chemotherapy) was 1.021 (95%: CI 0.677, 1.540). At the time of the interim OS analysis, 49 (28.3%) deaths had occurred in the 173 patients in the </w:t>
      </w:r>
      <w:proofErr w:type="spellStart"/>
      <w:r w:rsidRPr="00C31183">
        <w:rPr>
          <w:lang w:eastAsia="ja-JP"/>
        </w:rPr>
        <w:t>crizotinib</w:t>
      </w:r>
      <w:proofErr w:type="spellEnd"/>
      <w:r w:rsidRPr="00C31183">
        <w:rPr>
          <w:lang w:eastAsia="ja-JP"/>
        </w:rPr>
        <w:t xml:space="preserve"> arm and 47 (27.0%) deaths had occurred in the 174 patients in the chemotherapy arm. However, the number of deaths </w:t>
      </w:r>
      <w:r w:rsidRPr="00C31183">
        <w:rPr>
          <w:lang w:eastAsia="ja-JP"/>
        </w:rPr>
        <w:lastRenderedPageBreak/>
        <w:t>reported at the time of the interim analysis (</w:t>
      </w:r>
      <w:r>
        <w:rPr>
          <w:lang w:eastAsia="ja-JP"/>
        </w:rPr>
        <w:t>that is,</w:t>
      </w:r>
      <w:r w:rsidRPr="00C31183">
        <w:rPr>
          <w:lang w:eastAsia="ja-JP"/>
        </w:rPr>
        <w:t xml:space="preserve"> 96 deaths) corresponds to only 39.8% of the total number of deaths (</w:t>
      </w:r>
      <w:r>
        <w:rPr>
          <w:lang w:eastAsia="ja-JP"/>
        </w:rPr>
        <w:t>that is,</w:t>
      </w:r>
      <w:r w:rsidRPr="00C31183">
        <w:rPr>
          <w:lang w:eastAsia="ja-JP"/>
        </w:rPr>
        <w:t xml:space="preserve"> 241 deaths) required for the final OS analysis. The interim OS analysis is underpowered to demonstrate a meaningful statistically significant difference between the two treatment arms. Furthermore, the interim OS analysis is potentially confounded by patients who crossed over from one-treatment arm to the other following objective disease progression and by the use of post disease progression anti-cancer systemic therapies. Pre-specified sensitivity analyses of the interim OS data provided in the Technical Report failed to demonstrate a statistically significant difference between </w:t>
      </w:r>
      <w:proofErr w:type="spellStart"/>
      <w:r w:rsidRPr="00C31183">
        <w:rPr>
          <w:lang w:eastAsia="ja-JP"/>
        </w:rPr>
        <w:t>crizotinib</w:t>
      </w:r>
      <w:proofErr w:type="spellEnd"/>
      <w:r w:rsidRPr="00C31183">
        <w:rPr>
          <w:lang w:eastAsia="ja-JP"/>
        </w:rPr>
        <w:t xml:space="preserve"> and chemotherapy arms as regards overall survival. Overall, it is considered that the interim OS data should be considered to be exploratory ra</w:t>
      </w:r>
      <w:r w:rsidR="00D040C2">
        <w:rPr>
          <w:lang w:eastAsia="ja-JP"/>
        </w:rPr>
        <w:t>ther than confirmatory.</w:t>
      </w:r>
    </w:p>
    <w:p w:rsidR="00CE4F74" w:rsidRPr="00C31183" w:rsidRDefault="00CE4F74" w:rsidP="00D040C2">
      <w:pPr>
        <w:rPr>
          <w:lang w:eastAsia="ja-JP"/>
        </w:rPr>
      </w:pPr>
      <w:r w:rsidRPr="00C31183">
        <w:rPr>
          <w:lang w:eastAsia="ja-JP"/>
        </w:rPr>
        <w:t>The ORR (</w:t>
      </w:r>
      <w:r>
        <w:rPr>
          <w:lang w:eastAsia="ja-JP"/>
        </w:rPr>
        <w:t>complete response (</w:t>
      </w:r>
      <w:r w:rsidRPr="00C31183">
        <w:rPr>
          <w:lang w:eastAsia="ja-JP"/>
        </w:rPr>
        <w:t>CR</w:t>
      </w:r>
      <w:r>
        <w:rPr>
          <w:lang w:eastAsia="ja-JP"/>
        </w:rPr>
        <w:t xml:space="preserve">) </w:t>
      </w:r>
      <w:r w:rsidRPr="00C31183">
        <w:rPr>
          <w:lang w:eastAsia="ja-JP"/>
        </w:rPr>
        <w:t>+</w:t>
      </w:r>
      <w:r>
        <w:rPr>
          <w:lang w:eastAsia="ja-JP"/>
        </w:rPr>
        <w:t xml:space="preserve"> partial response (</w:t>
      </w:r>
      <w:r w:rsidRPr="00C31183">
        <w:rPr>
          <w:lang w:eastAsia="ja-JP"/>
        </w:rPr>
        <w:t>PR</w:t>
      </w:r>
      <w:r>
        <w:rPr>
          <w:lang w:eastAsia="ja-JP"/>
        </w:rPr>
        <w:t>)</w:t>
      </w:r>
      <w:r w:rsidRPr="00C31183">
        <w:rPr>
          <w:lang w:eastAsia="ja-JP"/>
        </w:rPr>
        <w:t xml:space="preserve">), a secondary efficacy endpoint, was statistically significantly greater in the </w:t>
      </w:r>
      <w:proofErr w:type="spellStart"/>
      <w:r w:rsidRPr="00C31183">
        <w:rPr>
          <w:lang w:eastAsia="ja-JP"/>
        </w:rPr>
        <w:t>crizotinib</w:t>
      </w:r>
      <w:proofErr w:type="spellEnd"/>
      <w:r w:rsidRPr="00C31183">
        <w:rPr>
          <w:lang w:eastAsia="ja-JP"/>
        </w:rPr>
        <w:t xml:space="preserve"> arm compared with the chemotherapy arm (65.3% [95% CI: 57.7, 72.4]</w:t>
      </w:r>
      <w:r>
        <w:rPr>
          <w:lang w:eastAsia="ja-JP"/>
        </w:rPr>
        <w:t xml:space="preserve"> versus </w:t>
      </w:r>
      <w:r w:rsidRPr="00C31183">
        <w:rPr>
          <w:lang w:eastAsia="ja-JP"/>
        </w:rPr>
        <w:t xml:space="preserve">19.5% [95% CI: 13.9, 26.2], respectively). The absolute ORR difference between the two treatment arms was 45.8% (95% CI: 36.5, 55.0); p&lt;0.001, Pearson chi-square test. Of the 113 patients with an ORR in the </w:t>
      </w:r>
      <w:proofErr w:type="spellStart"/>
      <w:r w:rsidRPr="00C31183">
        <w:rPr>
          <w:lang w:eastAsia="ja-JP"/>
        </w:rPr>
        <w:t>crizotinib</w:t>
      </w:r>
      <w:proofErr w:type="spellEnd"/>
      <w:r w:rsidRPr="00C31183">
        <w:rPr>
          <w:lang w:eastAsia="ja-JP"/>
        </w:rPr>
        <w:t xml:space="preserve"> arm, 1 (&lt;1.0%) had a complete response (CR) and 112 (64.7%) had a partial response. Of the 34 patients in the chemotherapy arm with a complete response, no patients had a CR and all 34 (19.5%) patients had a PR. Descriptive results for the two other secondary efficacy endpoints o</w:t>
      </w:r>
      <w:r w:rsidRPr="00BF6363">
        <w:rPr>
          <w:lang w:eastAsia="ja-JP"/>
        </w:rPr>
        <w:t>r TTR and DR base</w:t>
      </w:r>
      <w:r w:rsidRPr="00C31183">
        <w:rPr>
          <w:lang w:eastAsia="ja-JP"/>
        </w:rPr>
        <w:t xml:space="preserve">d on patients achieving an objective response both favoured </w:t>
      </w:r>
      <w:proofErr w:type="spellStart"/>
      <w:r w:rsidRPr="00C31183">
        <w:rPr>
          <w:lang w:eastAsia="ja-JP"/>
        </w:rPr>
        <w:t>crizoti</w:t>
      </w:r>
      <w:r w:rsidR="00D040C2">
        <w:rPr>
          <w:lang w:eastAsia="ja-JP"/>
        </w:rPr>
        <w:t>nib</w:t>
      </w:r>
      <w:proofErr w:type="spellEnd"/>
      <w:r w:rsidR="00D040C2">
        <w:rPr>
          <w:lang w:eastAsia="ja-JP"/>
        </w:rPr>
        <w:t xml:space="preserve"> compared with chemotherapy.</w:t>
      </w:r>
    </w:p>
    <w:p w:rsidR="00CE4F74" w:rsidRPr="00BF6363" w:rsidRDefault="00CE4F74" w:rsidP="00D040C2">
      <w:pPr>
        <w:rPr>
          <w:lang w:eastAsia="ja-JP"/>
        </w:rPr>
      </w:pPr>
      <w:r w:rsidRPr="00C31183">
        <w:rPr>
          <w:lang w:eastAsia="ja-JP"/>
        </w:rPr>
        <w:t>The secondary efficacy endpoint</w:t>
      </w:r>
      <w:r w:rsidRPr="00BF6363">
        <w:rPr>
          <w:lang w:eastAsia="ja-JP"/>
        </w:rPr>
        <w:t>s of DCR (Complete response (CR)+Partial response (PR)+ Stable disease (SD)) at Week 6 and Week 12</w:t>
      </w:r>
      <w:r w:rsidRPr="00C31183">
        <w:rPr>
          <w:lang w:eastAsia="ja-JP"/>
        </w:rPr>
        <w:t xml:space="preserve"> both statistically significantly (p&lt;0.0001) favoured the </w:t>
      </w:r>
      <w:proofErr w:type="spellStart"/>
      <w:r w:rsidRPr="00C31183">
        <w:rPr>
          <w:lang w:eastAsia="ja-JP"/>
        </w:rPr>
        <w:t>crizotinib</w:t>
      </w:r>
      <w:proofErr w:type="spellEnd"/>
      <w:r w:rsidRPr="00C31183">
        <w:rPr>
          <w:lang w:eastAsia="ja-JP"/>
        </w:rPr>
        <w:t xml:space="preserve"> arm compared with the chemotherapy arm (81.5% [95% CI: 74.9, 87.0]</w:t>
      </w:r>
      <w:r>
        <w:rPr>
          <w:lang w:eastAsia="ja-JP"/>
        </w:rPr>
        <w:t xml:space="preserve"> versus </w:t>
      </w:r>
      <w:r w:rsidRPr="00C31183">
        <w:rPr>
          <w:lang w:eastAsia="ja-JP"/>
        </w:rPr>
        <w:t>55.2% (95% CI: 47.5, 62.7), respectively, at Week 6 and 64.2% [95% CI: 56.5, 71.3]</w:t>
      </w:r>
      <w:r>
        <w:rPr>
          <w:lang w:eastAsia="ja-JP"/>
        </w:rPr>
        <w:t xml:space="preserve"> versus </w:t>
      </w:r>
      <w:r w:rsidRPr="00C31183">
        <w:rPr>
          <w:lang w:eastAsia="ja-JP"/>
        </w:rPr>
        <w:t>38.5% (95% CI: 31.2, 46.2), respectively, at Week 12.). However, the statistically significant results are considered to be nominal rather than confirmatory due to the pre-specified hierarchal order of testing to control for multiple efficacy comparisons (</w:t>
      </w:r>
      <w:r>
        <w:rPr>
          <w:lang w:eastAsia="ja-JP"/>
        </w:rPr>
        <w:t>th</w:t>
      </w:r>
      <w:r w:rsidRPr="00BF6363">
        <w:rPr>
          <w:lang w:eastAsia="ja-JP"/>
        </w:rPr>
        <w:t xml:space="preserve">at is, PFS then ORR then OS then DCR), and the failure of the OS analysis preceding DCR to show a statistically significant difference </w:t>
      </w:r>
      <w:r w:rsidR="00D040C2">
        <w:rPr>
          <w:lang w:eastAsia="ja-JP"/>
        </w:rPr>
        <w:t>between the two treatment arms.</w:t>
      </w:r>
    </w:p>
    <w:p w:rsidR="00CE4F74" w:rsidRPr="00C31183" w:rsidRDefault="00CE4F74" w:rsidP="00D040C2">
      <w:pPr>
        <w:rPr>
          <w:lang w:eastAsia="ja-JP"/>
        </w:rPr>
      </w:pPr>
      <w:r w:rsidRPr="00BF6363">
        <w:rPr>
          <w:lang w:eastAsia="ja-JP"/>
        </w:rPr>
        <w:t>Other efficacy endpoints based on improvement from baseline in PROs relating to</w:t>
      </w:r>
      <w:r w:rsidRPr="00C31183">
        <w:rPr>
          <w:lang w:eastAsia="ja-JP"/>
        </w:rPr>
        <w:t xml:space="preserve"> quality of life and symptoms consistently favoured </w:t>
      </w:r>
      <w:proofErr w:type="spellStart"/>
      <w:r w:rsidRPr="00C31183">
        <w:rPr>
          <w:lang w:eastAsia="ja-JP"/>
        </w:rPr>
        <w:t>crizotinib</w:t>
      </w:r>
      <w:proofErr w:type="spellEnd"/>
      <w:r w:rsidRPr="00C31183">
        <w:rPr>
          <w:lang w:eastAsia="ja-JP"/>
        </w:rPr>
        <w:t xml:space="preserve"> compared with chemotherapy. I</w:t>
      </w:r>
      <w:r w:rsidRPr="00165615">
        <w:rPr>
          <w:lang w:eastAsia="ja-JP"/>
        </w:rPr>
        <w:t>n the ETORC QLC-30 core questionnaire</w:t>
      </w:r>
      <w:r w:rsidRPr="00165615">
        <w:rPr>
          <w:rStyle w:val="FootnoteReference"/>
          <w:lang w:eastAsia="ja-JP"/>
        </w:rPr>
        <w:footnoteReference w:id="5"/>
      </w:r>
      <w:r w:rsidRPr="00165615">
        <w:rPr>
          <w:lang w:eastAsia="ja-JP"/>
        </w:rPr>
        <w:t>, changes from baseline in estimates of global quality of life, physical functioning, role functioning, emotional functioning, and social functioning all sig</w:t>
      </w:r>
      <w:r w:rsidRPr="00C31183">
        <w:rPr>
          <w:lang w:eastAsia="ja-JP"/>
        </w:rPr>
        <w:t xml:space="preserve">nificantly favoured </w:t>
      </w:r>
      <w:proofErr w:type="spellStart"/>
      <w:r w:rsidRPr="00C31183">
        <w:rPr>
          <w:lang w:eastAsia="ja-JP"/>
        </w:rPr>
        <w:t>crizotinib</w:t>
      </w:r>
      <w:proofErr w:type="spellEnd"/>
      <w:r w:rsidRPr="00C31183">
        <w:rPr>
          <w:lang w:eastAsia="ja-JP"/>
        </w:rPr>
        <w:t xml:space="preserve"> compared with chemotherapy, with no significant difference between the treatment arms for cognitive functioning. In the EORTC QLQ-30 symptom questionnaire, changes from baseline in estimates of fatigue, pain, dyspnoea, insomnia, and appetite loss all significantly favoured </w:t>
      </w:r>
      <w:proofErr w:type="spellStart"/>
      <w:r w:rsidRPr="00C31183">
        <w:rPr>
          <w:lang w:eastAsia="ja-JP"/>
        </w:rPr>
        <w:t>crizotinib</w:t>
      </w:r>
      <w:proofErr w:type="spellEnd"/>
      <w:r w:rsidRPr="00C31183">
        <w:rPr>
          <w:lang w:eastAsia="ja-JP"/>
        </w:rPr>
        <w:t xml:space="preserve"> compared with chemotherapy. In this questionnaire, changes from baseline in estimates of constipation and diarrhoea significantly favoured chemotherapy compared with </w:t>
      </w:r>
      <w:proofErr w:type="spellStart"/>
      <w:r w:rsidRPr="00C31183">
        <w:rPr>
          <w:lang w:eastAsia="ja-JP"/>
        </w:rPr>
        <w:t>crizotinib</w:t>
      </w:r>
      <w:proofErr w:type="spellEnd"/>
      <w:r w:rsidRPr="00C31183">
        <w:rPr>
          <w:lang w:eastAsia="ja-JP"/>
        </w:rPr>
        <w:t xml:space="preserve">, while changes from baseline in estimates of nausea and vomiting were similar in both treatment arms. In the EORTC QLC-LC13 lung cancer symptom questionnaire, changes from baseline in estimates of dyspnoea, coughing, haemoptysis, sore mouth, dysphagia, peripheral neuropathy, alopecia, pain in chest, pain in arm and shoulder and pain in other parts all significantly favoured </w:t>
      </w:r>
      <w:proofErr w:type="spellStart"/>
      <w:r w:rsidRPr="00C31183">
        <w:rPr>
          <w:lang w:eastAsia="ja-JP"/>
        </w:rPr>
        <w:t>crizotinib</w:t>
      </w:r>
      <w:proofErr w:type="spellEnd"/>
      <w:r w:rsidRPr="00C31183">
        <w:rPr>
          <w:lang w:eastAsia="ja-JP"/>
        </w:rPr>
        <w:t xml:space="preserve"> compared with chemotherapy. However, it should be noted that the PROs were not specified as either primary or secondary efficacy endpoints but were referred to as “other” efficacy endpoints. Furthermore, no adjustments of statistical significance levels were made to account for multiplicity of testing. Overall, it is considered that the PROs should be considered to be explor</w:t>
      </w:r>
      <w:r w:rsidR="00D040C2">
        <w:rPr>
          <w:lang w:eastAsia="ja-JP"/>
        </w:rPr>
        <w:t>atory rather than confirmatory.</w:t>
      </w:r>
    </w:p>
    <w:p w:rsidR="00CE4F74" w:rsidRPr="00C31183" w:rsidRDefault="00CE4F74" w:rsidP="00D040C2">
      <w:pPr>
        <w:rPr>
          <w:lang w:eastAsia="ja-JP"/>
        </w:rPr>
      </w:pPr>
      <w:r w:rsidRPr="00C31183">
        <w:rPr>
          <w:lang w:eastAsia="ja-JP"/>
        </w:rPr>
        <w:t xml:space="preserve">The median </w:t>
      </w:r>
      <w:r>
        <w:rPr>
          <w:lang w:eastAsia="ja-JP"/>
        </w:rPr>
        <w:t>Time to deterioratio</w:t>
      </w:r>
      <w:r w:rsidRPr="008D0614">
        <w:rPr>
          <w:lang w:eastAsia="ja-JP"/>
        </w:rPr>
        <w:t>n (TTD) in pain</w:t>
      </w:r>
      <w:r w:rsidRPr="00C31183">
        <w:rPr>
          <w:lang w:eastAsia="ja-JP"/>
        </w:rPr>
        <w:t xml:space="preserve"> in chest, </w:t>
      </w:r>
      <w:proofErr w:type="spellStart"/>
      <w:r w:rsidRPr="00C31183">
        <w:rPr>
          <w:lang w:eastAsia="ja-JP"/>
        </w:rPr>
        <w:t>dyspnea</w:t>
      </w:r>
      <w:proofErr w:type="spellEnd"/>
      <w:r w:rsidRPr="00C31183">
        <w:rPr>
          <w:lang w:eastAsia="ja-JP"/>
        </w:rPr>
        <w:t xml:space="preserve">, or cough determined from the EORTC QCQ-LC13 questionnaire as a composite endpoint was 5.6 months (95% CI: 3.4, 11.0 </w:t>
      </w:r>
      <w:r w:rsidRPr="00C31183">
        <w:rPr>
          <w:lang w:eastAsia="ja-JP"/>
        </w:rPr>
        <w:lastRenderedPageBreak/>
        <w:t xml:space="preserve">months) in the </w:t>
      </w:r>
      <w:proofErr w:type="spellStart"/>
      <w:r w:rsidRPr="00C31183">
        <w:rPr>
          <w:lang w:eastAsia="ja-JP"/>
        </w:rPr>
        <w:t>crizotinib</w:t>
      </w:r>
      <w:proofErr w:type="spellEnd"/>
      <w:r w:rsidRPr="00C31183">
        <w:rPr>
          <w:lang w:eastAsia="ja-JP"/>
        </w:rPr>
        <w:t xml:space="preserve"> arm compared with 1.4 months (95% CI: 1.0, 1.8 months) in the chemotherapy arm. The HR (</w:t>
      </w:r>
      <w:proofErr w:type="spellStart"/>
      <w:r w:rsidRPr="00C31183">
        <w:rPr>
          <w:lang w:eastAsia="ja-JP"/>
        </w:rPr>
        <w:t>crizotinib</w:t>
      </w:r>
      <w:proofErr w:type="spellEnd"/>
      <w:r>
        <w:rPr>
          <w:lang w:eastAsia="ja-JP"/>
        </w:rPr>
        <w:t xml:space="preserve"> versus </w:t>
      </w:r>
      <w:r w:rsidRPr="00C31183">
        <w:rPr>
          <w:lang w:eastAsia="ja-JP"/>
        </w:rPr>
        <w:t xml:space="preserve">chemotherapy) was 0.535 (95% CI: 0.404, 0.709), p&lt;0.0001 (2-sided Hochberg adjusted </w:t>
      </w:r>
      <w:proofErr w:type="spellStart"/>
      <w:r w:rsidRPr="00C31183">
        <w:rPr>
          <w:lang w:eastAsia="ja-JP"/>
        </w:rPr>
        <w:t>unstratified</w:t>
      </w:r>
      <w:proofErr w:type="spellEnd"/>
      <w:r w:rsidRPr="00C31183">
        <w:rPr>
          <w:lang w:eastAsia="ja-JP"/>
        </w:rPr>
        <w:t xml:space="preserve"> log-rank test), indicating that the risk of experiencing the composite endpoint was significantly lower in the </w:t>
      </w:r>
      <w:proofErr w:type="spellStart"/>
      <w:r w:rsidRPr="00C31183">
        <w:rPr>
          <w:lang w:eastAsia="ja-JP"/>
        </w:rPr>
        <w:t>crizotinib</w:t>
      </w:r>
      <w:proofErr w:type="spellEnd"/>
      <w:r w:rsidRPr="00C31183">
        <w:rPr>
          <w:lang w:eastAsia="ja-JP"/>
        </w:rPr>
        <w:t xml:space="preserve"> arm comp</w:t>
      </w:r>
      <w:r w:rsidR="00D040C2">
        <w:rPr>
          <w:lang w:eastAsia="ja-JP"/>
        </w:rPr>
        <w:t>ared with the chemotherapy arm.</w:t>
      </w:r>
    </w:p>
    <w:p w:rsidR="00CE4F74" w:rsidRPr="00C31183" w:rsidRDefault="00CE4F74" w:rsidP="00D040C2">
      <w:pPr>
        <w:pStyle w:val="Heading3"/>
      </w:pPr>
      <w:bookmarkStart w:id="126" w:name="_Toc228773402"/>
      <w:bookmarkStart w:id="127" w:name="_Toc380058437"/>
      <w:bookmarkStart w:id="128" w:name="_Toc384975291"/>
      <w:r w:rsidRPr="00C31183">
        <w:t xml:space="preserve">Evaluator’s comments on risks of treatment with </w:t>
      </w:r>
      <w:proofErr w:type="spellStart"/>
      <w:r w:rsidRPr="00C31183">
        <w:t>crizotinib</w:t>
      </w:r>
      <w:proofErr w:type="spellEnd"/>
      <w:r w:rsidRPr="00C31183">
        <w:t xml:space="preserve"> based on study A8081007</w:t>
      </w:r>
      <w:bookmarkEnd w:id="126"/>
      <w:bookmarkEnd w:id="127"/>
      <w:bookmarkEnd w:id="128"/>
    </w:p>
    <w:p w:rsidR="00CE4F74" w:rsidRPr="00C31183" w:rsidRDefault="00CE4F74" w:rsidP="00D040C2">
      <w:pPr>
        <w:rPr>
          <w:lang w:eastAsia="ja-JP"/>
        </w:rPr>
      </w:pPr>
      <w:r w:rsidRPr="00C31183">
        <w:rPr>
          <w:lang w:eastAsia="ja-JP"/>
        </w:rPr>
        <w:t>Treatment emergent adverse events (TEAEs) were reported both as all causality events and treatment-related events (</w:t>
      </w:r>
      <w:r>
        <w:rPr>
          <w:lang w:eastAsia="ja-JP"/>
        </w:rPr>
        <w:t>that is,</w:t>
      </w:r>
      <w:r w:rsidRPr="00C31183">
        <w:rPr>
          <w:lang w:eastAsia="ja-JP"/>
        </w:rPr>
        <w:t xml:space="preserve"> events judged by the investigator to be at least possibly related to the study drug). It is considered that comparison between the </w:t>
      </w:r>
      <w:proofErr w:type="spellStart"/>
      <w:r w:rsidRPr="00C31183">
        <w:rPr>
          <w:lang w:eastAsia="ja-JP"/>
        </w:rPr>
        <w:t>crizotinib</w:t>
      </w:r>
      <w:proofErr w:type="spellEnd"/>
      <w:r w:rsidRPr="00C31183">
        <w:rPr>
          <w:lang w:eastAsia="ja-JP"/>
        </w:rPr>
        <w:t xml:space="preserve"> and chemotherapy treatment arms based on treatment-related TEAEs is subject to potential bias due to the open-label design of the study. Consequently, the conclusions relating to risks of treatment focuses primarily on all causality TEAEs and TEAEs referred to in the following summary are all cau</w:t>
      </w:r>
      <w:r w:rsidR="00D040C2">
        <w:rPr>
          <w:lang w:eastAsia="ja-JP"/>
        </w:rPr>
        <w:t>sality unless otherwise stated.</w:t>
      </w:r>
    </w:p>
    <w:p w:rsidR="00CE4F74" w:rsidRPr="00C31183" w:rsidRDefault="00CE4F74" w:rsidP="00D040C2">
      <w:pPr>
        <w:rPr>
          <w:lang w:eastAsia="ja-JP"/>
        </w:rPr>
      </w:pPr>
      <w:r w:rsidRPr="00C31183">
        <w:rPr>
          <w:lang w:eastAsia="ja-JP"/>
        </w:rPr>
        <w:t xml:space="preserve">Overall, it is considered that the safety profile of </w:t>
      </w:r>
      <w:proofErr w:type="spellStart"/>
      <w:r w:rsidRPr="00C31183">
        <w:rPr>
          <w:lang w:eastAsia="ja-JP"/>
        </w:rPr>
        <w:t>crizotinib</w:t>
      </w:r>
      <w:proofErr w:type="spellEnd"/>
      <w:r w:rsidRPr="00C31183">
        <w:rPr>
          <w:lang w:eastAsia="ja-JP"/>
        </w:rPr>
        <w:t xml:space="preserve"> is inferior to that of standard of care chemotherapy (</w:t>
      </w:r>
      <w:proofErr w:type="spellStart"/>
      <w:r w:rsidRPr="00C31183">
        <w:rPr>
          <w:lang w:eastAsia="ja-JP"/>
        </w:rPr>
        <w:t>pemetrexed</w:t>
      </w:r>
      <w:proofErr w:type="spellEnd"/>
      <w:r w:rsidRPr="00C31183">
        <w:rPr>
          <w:lang w:eastAsia="ja-JP"/>
        </w:rPr>
        <w:t xml:space="preserve"> or </w:t>
      </w:r>
      <w:proofErr w:type="spellStart"/>
      <w:r w:rsidRPr="00C31183">
        <w:rPr>
          <w:lang w:eastAsia="ja-JP"/>
        </w:rPr>
        <w:t>docetaxel</w:t>
      </w:r>
      <w:proofErr w:type="spellEnd"/>
      <w:r w:rsidRPr="00C31183">
        <w:rPr>
          <w:lang w:eastAsia="ja-JP"/>
        </w:rPr>
        <w:t xml:space="preserve">) for the treatment of previously treated ALK-positive NSCLC. While the frequency of TEAEs (all grades) was similar in patients in the </w:t>
      </w:r>
      <w:proofErr w:type="spellStart"/>
      <w:r w:rsidRPr="00C31183">
        <w:rPr>
          <w:lang w:eastAsia="ja-JP"/>
        </w:rPr>
        <w:t>crizotinib</w:t>
      </w:r>
      <w:proofErr w:type="spellEnd"/>
      <w:r w:rsidRPr="00C31183">
        <w:rPr>
          <w:lang w:eastAsia="ja-JP"/>
        </w:rPr>
        <w:t xml:space="preserve"> and chemotherapy arms (100%</w:t>
      </w:r>
      <w:r>
        <w:rPr>
          <w:lang w:eastAsia="ja-JP"/>
        </w:rPr>
        <w:t xml:space="preserve"> versus </w:t>
      </w:r>
      <w:r w:rsidRPr="00C31183">
        <w:rPr>
          <w:lang w:eastAsia="ja-JP"/>
        </w:rPr>
        <w:t xml:space="preserve">98.2%), the incidence of </w:t>
      </w:r>
      <w:r>
        <w:rPr>
          <w:lang w:eastAsia="ja-JP"/>
        </w:rPr>
        <w:t>serious adverse events (</w:t>
      </w:r>
      <w:r w:rsidRPr="00C31183">
        <w:rPr>
          <w:lang w:eastAsia="ja-JP"/>
        </w:rPr>
        <w:t>SAEs</w:t>
      </w:r>
      <w:r>
        <w:rPr>
          <w:lang w:eastAsia="ja-JP"/>
        </w:rPr>
        <w:t>)</w:t>
      </w:r>
      <w:r w:rsidRPr="00C31183">
        <w:rPr>
          <w:lang w:eastAsia="ja-JP"/>
        </w:rPr>
        <w:t xml:space="preserve"> was greater in the </w:t>
      </w:r>
      <w:proofErr w:type="spellStart"/>
      <w:r w:rsidRPr="00C31183">
        <w:rPr>
          <w:lang w:eastAsia="ja-JP"/>
        </w:rPr>
        <w:t>crizotinib</w:t>
      </w:r>
      <w:proofErr w:type="spellEnd"/>
      <w:r w:rsidRPr="00C31183">
        <w:rPr>
          <w:lang w:eastAsia="ja-JP"/>
        </w:rPr>
        <w:t xml:space="preserve"> arm than in the chemotherapy arm (37.2%</w:t>
      </w:r>
      <w:r>
        <w:rPr>
          <w:lang w:eastAsia="ja-JP"/>
        </w:rPr>
        <w:t xml:space="preserve"> versus </w:t>
      </w:r>
      <w:r w:rsidRPr="00C31183">
        <w:rPr>
          <w:lang w:eastAsia="ja-JP"/>
        </w:rPr>
        <w:t>23.4%), as were Grade 3 or 4 AEs (56.4%</w:t>
      </w:r>
      <w:r>
        <w:rPr>
          <w:lang w:eastAsia="ja-JP"/>
        </w:rPr>
        <w:t xml:space="preserve"> versus </w:t>
      </w:r>
      <w:r w:rsidRPr="00C31183">
        <w:rPr>
          <w:lang w:eastAsia="ja-JP"/>
        </w:rPr>
        <w:t>45.6%), Grade 5 AEs (14.5%</w:t>
      </w:r>
      <w:r>
        <w:rPr>
          <w:lang w:eastAsia="ja-JP"/>
        </w:rPr>
        <w:t xml:space="preserve"> versus </w:t>
      </w:r>
      <w:r w:rsidRPr="00C31183">
        <w:rPr>
          <w:lang w:eastAsia="ja-JP"/>
        </w:rPr>
        <w:t>4.1%), permanent discontinuations due to AEs (17.4%</w:t>
      </w:r>
      <w:r>
        <w:rPr>
          <w:lang w:eastAsia="ja-JP"/>
        </w:rPr>
        <w:t xml:space="preserve"> versus </w:t>
      </w:r>
      <w:r w:rsidRPr="00C31183">
        <w:rPr>
          <w:lang w:eastAsia="ja-JP"/>
        </w:rPr>
        <w:t>13.5%), dose reductions due to AEs (16.3%</w:t>
      </w:r>
      <w:r>
        <w:rPr>
          <w:lang w:eastAsia="ja-JP"/>
        </w:rPr>
        <w:t xml:space="preserve"> versus </w:t>
      </w:r>
      <w:r w:rsidRPr="00C31183">
        <w:rPr>
          <w:lang w:eastAsia="ja-JP"/>
        </w:rPr>
        <w:t>14.6%), and temporary discontinuations due to AEs (39.0%</w:t>
      </w:r>
      <w:r>
        <w:rPr>
          <w:lang w:eastAsia="ja-JP"/>
        </w:rPr>
        <w:t xml:space="preserve"> versus </w:t>
      </w:r>
      <w:r w:rsidR="00D040C2">
        <w:rPr>
          <w:lang w:eastAsia="ja-JP"/>
        </w:rPr>
        <w:t>15.8%).</w:t>
      </w:r>
    </w:p>
    <w:p w:rsidR="00CE4F74" w:rsidRPr="00C31183" w:rsidRDefault="00CE4F74" w:rsidP="00D040C2">
      <w:pPr>
        <w:rPr>
          <w:lang w:eastAsia="ja-JP"/>
        </w:rPr>
      </w:pPr>
      <w:r w:rsidRPr="00C31183">
        <w:rPr>
          <w:lang w:eastAsia="ja-JP"/>
        </w:rPr>
        <w:t xml:space="preserve">TEAEs were reported in 100.0% (172/172) of patients in the </w:t>
      </w:r>
      <w:proofErr w:type="spellStart"/>
      <w:r w:rsidRPr="00C31183">
        <w:rPr>
          <w:lang w:eastAsia="ja-JP"/>
        </w:rPr>
        <w:t>crizotinib</w:t>
      </w:r>
      <w:proofErr w:type="spellEnd"/>
      <w:r w:rsidRPr="00C31183">
        <w:rPr>
          <w:lang w:eastAsia="ja-JP"/>
        </w:rPr>
        <w:t xml:space="preserve"> arm (2085 events) and 98.2% (168/171) of patients in the chemotherapy arm (1358 events). The maximum severity categories for the TEAEs in the </w:t>
      </w:r>
      <w:proofErr w:type="spellStart"/>
      <w:r w:rsidRPr="00C31183">
        <w:rPr>
          <w:lang w:eastAsia="ja-JP"/>
        </w:rPr>
        <w:t>crizotinib</w:t>
      </w:r>
      <w:proofErr w:type="spellEnd"/>
      <w:r>
        <w:rPr>
          <w:lang w:eastAsia="ja-JP"/>
        </w:rPr>
        <w:t xml:space="preserve"> versus </w:t>
      </w:r>
      <w:r w:rsidRPr="00C31183">
        <w:rPr>
          <w:lang w:eastAsia="ja-JP"/>
        </w:rPr>
        <w:t>chemotherapy treatment arms were Grade 1 (12.2%</w:t>
      </w:r>
      <w:r>
        <w:rPr>
          <w:lang w:eastAsia="ja-JP"/>
        </w:rPr>
        <w:t xml:space="preserve"> versus </w:t>
      </w:r>
      <w:r w:rsidRPr="00C31183">
        <w:rPr>
          <w:lang w:eastAsia="ja-JP"/>
        </w:rPr>
        <w:t>16.4%), Grade 2 (29.1%</w:t>
      </w:r>
      <w:r>
        <w:rPr>
          <w:lang w:eastAsia="ja-JP"/>
        </w:rPr>
        <w:t xml:space="preserve"> versus </w:t>
      </w:r>
      <w:r w:rsidRPr="00C31183">
        <w:rPr>
          <w:lang w:eastAsia="ja-JP"/>
        </w:rPr>
        <w:t>35.7%), Grade 3 (35.5%</w:t>
      </w:r>
      <w:r>
        <w:rPr>
          <w:lang w:eastAsia="ja-JP"/>
        </w:rPr>
        <w:t xml:space="preserve"> versus </w:t>
      </w:r>
      <w:r w:rsidRPr="00C31183">
        <w:rPr>
          <w:lang w:eastAsia="ja-JP"/>
        </w:rPr>
        <w:t>28.7%), Grade 4 (8.7%</w:t>
      </w:r>
      <w:r>
        <w:rPr>
          <w:lang w:eastAsia="ja-JP"/>
        </w:rPr>
        <w:t xml:space="preserve"> versus </w:t>
      </w:r>
      <w:r w:rsidRPr="00C31183">
        <w:rPr>
          <w:lang w:eastAsia="ja-JP"/>
        </w:rPr>
        <w:t>13.4%), and Grade 5 (14.5%</w:t>
      </w:r>
      <w:r>
        <w:rPr>
          <w:lang w:eastAsia="ja-JP"/>
        </w:rPr>
        <w:t xml:space="preserve"> versus </w:t>
      </w:r>
      <w:r w:rsidR="00D040C2">
        <w:rPr>
          <w:lang w:eastAsia="ja-JP"/>
        </w:rPr>
        <w:t>4.1%).</w:t>
      </w:r>
    </w:p>
    <w:p w:rsidR="00CE4F74" w:rsidRPr="00C31183" w:rsidRDefault="00CE4F74" w:rsidP="00D040C2">
      <w:pPr>
        <w:rPr>
          <w:lang w:eastAsia="ja-JP"/>
        </w:rPr>
      </w:pPr>
      <w:r w:rsidRPr="00C31183">
        <w:rPr>
          <w:lang w:eastAsia="ja-JP"/>
        </w:rPr>
        <w:t xml:space="preserve">The median duration of treatment in the </w:t>
      </w:r>
      <w:proofErr w:type="spellStart"/>
      <w:r w:rsidRPr="00C31183">
        <w:rPr>
          <w:lang w:eastAsia="ja-JP"/>
        </w:rPr>
        <w:t>crizotinib</w:t>
      </w:r>
      <w:proofErr w:type="spellEnd"/>
      <w:r w:rsidRPr="00C31183">
        <w:rPr>
          <w:lang w:eastAsia="ja-JP"/>
        </w:rPr>
        <w:t xml:space="preserve"> arm was longer than in the </w:t>
      </w:r>
      <w:proofErr w:type="spellStart"/>
      <w:r w:rsidRPr="00C31183">
        <w:rPr>
          <w:lang w:eastAsia="ja-JP"/>
        </w:rPr>
        <w:t>crizotinib</w:t>
      </w:r>
      <w:proofErr w:type="spellEnd"/>
      <w:r w:rsidRPr="00C31183">
        <w:rPr>
          <w:lang w:eastAsia="ja-JP"/>
        </w:rPr>
        <w:t xml:space="preserve"> arm (31 weeks) compared with the chemotherapy arm (12 weeks) and the safety data were not adjusted for different durations of exposure. Nevertheless, it can be reasonably concluded from the safety data reported in the preliminary CSR that there is a clinically meaningful increased risk in the </w:t>
      </w:r>
      <w:proofErr w:type="spellStart"/>
      <w:r w:rsidRPr="00C31183">
        <w:rPr>
          <w:lang w:eastAsia="ja-JP"/>
        </w:rPr>
        <w:t>crizotinib</w:t>
      </w:r>
      <w:proofErr w:type="spellEnd"/>
      <w:r w:rsidRPr="00C31183">
        <w:rPr>
          <w:lang w:eastAsia="ja-JP"/>
        </w:rPr>
        <w:t xml:space="preserve"> arm compared with the chemotherapy arm, in decreasing order of frequency, of diarrhoea (59.9%</w:t>
      </w:r>
      <w:r>
        <w:rPr>
          <w:lang w:eastAsia="ja-JP"/>
        </w:rPr>
        <w:t xml:space="preserve"> versus </w:t>
      </w:r>
      <w:r w:rsidRPr="00C31183">
        <w:rPr>
          <w:lang w:eastAsia="ja-JP"/>
        </w:rPr>
        <w:t>19.3%), VISION DISORDER (59.9%</w:t>
      </w:r>
      <w:r>
        <w:rPr>
          <w:lang w:eastAsia="ja-JP"/>
        </w:rPr>
        <w:t xml:space="preserve"> versus </w:t>
      </w:r>
      <w:r w:rsidRPr="00C31183">
        <w:rPr>
          <w:lang w:eastAsia="ja-JP"/>
        </w:rPr>
        <w:t>9.4%), nausea (54.7%</w:t>
      </w:r>
      <w:r>
        <w:rPr>
          <w:lang w:eastAsia="ja-JP"/>
        </w:rPr>
        <w:t xml:space="preserve"> versus </w:t>
      </w:r>
      <w:r w:rsidRPr="00C31183">
        <w:rPr>
          <w:lang w:eastAsia="ja-JP"/>
        </w:rPr>
        <w:t>37.4%), vomiting (46.5%</w:t>
      </w:r>
      <w:r>
        <w:rPr>
          <w:lang w:eastAsia="ja-JP"/>
        </w:rPr>
        <w:t xml:space="preserve"> versus </w:t>
      </w:r>
      <w:r w:rsidRPr="00C31183">
        <w:rPr>
          <w:lang w:eastAsia="ja-JP"/>
        </w:rPr>
        <w:t>17.5%), constipation (42.4%</w:t>
      </w:r>
      <w:r>
        <w:rPr>
          <w:lang w:eastAsia="ja-JP"/>
        </w:rPr>
        <w:t xml:space="preserve"> versus </w:t>
      </w:r>
      <w:r w:rsidRPr="00C31183">
        <w:rPr>
          <w:lang w:eastAsia="ja-JP"/>
        </w:rPr>
        <w:t>22.8%), ELEVATED TRANSAMINASES (38.4%</w:t>
      </w:r>
      <w:r>
        <w:rPr>
          <w:lang w:eastAsia="ja-JP"/>
        </w:rPr>
        <w:t xml:space="preserve"> versus </w:t>
      </w:r>
      <w:r w:rsidRPr="00C31183">
        <w:rPr>
          <w:lang w:eastAsia="ja-JP"/>
        </w:rPr>
        <w:t xml:space="preserve">14.6%), EDEMA (31.4% </w:t>
      </w:r>
      <w:r>
        <w:rPr>
          <w:lang w:eastAsia="ja-JP"/>
        </w:rPr>
        <w:t>versus</w:t>
      </w:r>
      <w:r w:rsidRPr="00C31183">
        <w:rPr>
          <w:lang w:eastAsia="ja-JP"/>
        </w:rPr>
        <w:t xml:space="preserve"> 15.8%), </w:t>
      </w:r>
      <w:proofErr w:type="spellStart"/>
      <w:r w:rsidRPr="00C31183">
        <w:rPr>
          <w:lang w:eastAsia="ja-JP"/>
        </w:rPr>
        <w:t>dysgeusia</w:t>
      </w:r>
      <w:proofErr w:type="spellEnd"/>
      <w:r w:rsidRPr="00C31183">
        <w:rPr>
          <w:lang w:eastAsia="ja-JP"/>
        </w:rPr>
        <w:t xml:space="preserve"> (25.6%</w:t>
      </w:r>
      <w:r>
        <w:rPr>
          <w:lang w:eastAsia="ja-JP"/>
        </w:rPr>
        <w:t xml:space="preserve"> versu</w:t>
      </w:r>
      <w:r w:rsidRPr="008271D2">
        <w:rPr>
          <w:lang w:eastAsia="ja-JP"/>
        </w:rPr>
        <w:t>s 9.4%</w:t>
      </w:r>
      <w:r w:rsidRPr="00C31183">
        <w:rPr>
          <w:lang w:eastAsia="ja-JP"/>
        </w:rPr>
        <w:t>), UPPER RESPIRATORY INFECTION (25.6%</w:t>
      </w:r>
      <w:r>
        <w:rPr>
          <w:lang w:eastAsia="ja-JP"/>
        </w:rPr>
        <w:t xml:space="preserve"> versus </w:t>
      </w:r>
      <w:r w:rsidRPr="00C31183">
        <w:rPr>
          <w:lang w:eastAsia="ja-JP"/>
        </w:rPr>
        <w:t>12.9%), and DIZZINESS (21.5%</w:t>
      </w:r>
      <w:r>
        <w:rPr>
          <w:lang w:eastAsia="ja-JP"/>
        </w:rPr>
        <w:t xml:space="preserve"> versus </w:t>
      </w:r>
      <w:r w:rsidRPr="00C31183">
        <w:rPr>
          <w:lang w:eastAsia="ja-JP"/>
        </w:rPr>
        <w:t xml:space="preserve">8.2%). On the other hand, it can be reasonably concluded that there is a clinically meaningful increased risk in the chemotherapy arm compared with the </w:t>
      </w:r>
      <w:proofErr w:type="spellStart"/>
      <w:r w:rsidRPr="00C31183">
        <w:rPr>
          <w:lang w:eastAsia="ja-JP"/>
        </w:rPr>
        <w:t>crizotinib</w:t>
      </w:r>
      <w:proofErr w:type="spellEnd"/>
      <w:r w:rsidRPr="00C31183">
        <w:rPr>
          <w:lang w:eastAsia="ja-JP"/>
        </w:rPr>
        <w:t xml:space="preserve"> arm, in decreasing order of frequency, of fatigue (33.3%</w:t>
      </w:r>
      <w:r>
        <w:rPr>
          <w:lang w:eastAsia="ja-JP"/>
        </w:rPr>
        <w:t xml:space="preserve"> versus </w:t>
      </w:r>
      <w:r w:rsidRPr="00C31183">
        <w:rPr>
          <w:lang w:eastAsia="ja-JP"/>
        </w:rPr>
        <w:t>26.7%), alopecia (20.5%</w:t>
      </w:r>
      <w:r>
        <w:rPr>
          <w:lang w:eastAsia="ja-JP"/>
        </w:rPr>
        <w:t xml:space="preserve"> versus </w:t>
      </w:r>
      <w:r w:rsidRPr="00C31183">
        <w:rPr>
          <w:lang w:eastAsia="ja-JP"/>
        </w:rPr>
        <w:t>8.1%), DYSPNOEA (18.7%</w:t>
      </w:r>
      <w:r>
        <w:rPr>
          <w:lang w:eastAsia="ja-JP"/>
        </w:rPr>
        <w:t xml:space="preserve"> versus </w:t>
      </w:r>
      <w:r w:rsidRPr="00C31183">
        <w:rPr>
          <w:lang w:eastAsia="ja-JP"/>
        </w:rPr>
        <w:t>13.4%), rash (17.0%</w:t>
      </w:r>
      <w:r>
        <w:rPr>
          <w:lang w:eastAsia="ja-JP"/>
        </w:rPr>
        <w:t xml:space="preserve"> versus </w:t>
      </w:r>
      <w:r w:rsidRPr="00C31183">
        <w:rPr>
          <w:lang w:eastAsia="ja-JP"/>
        </w:rPr>
        <w:t>8.7%), arthralgia (11.7%</w:t>
      </w:r>
      <w:r>
        <w:rPr>
          <w:lang w:eastAsia="ja-JP"/>
        </w:rPr>
        <w:t xml:space="preserve"> versus </w:t>
      </w:r>
      <w:r w:rsidRPr="00C31183">
        <w:rPr>
          <w:lang w:eastAsia="ja-JP"/>
        </w:rPr>
        <w:t>6.4%), and myalgia (10.5%</w:t>
      </w:r>
      <w:r>
        <w:rPr>
          <w:lang w:eastAsia="ja-JP"/>
        </w:rPr>
        <w:t xml:space="preserve"> versus </w:t>
      </w:r>
      <w:r w:rsidR="00D040C2">
        <w:rPr>
          <w:lang w:eastAsia="ja-JP"/>
        </w:rPr>
        <w:t>1.7%).</w:t>
      </w:r>
    </w:p>
    <w:p w:rsidR="00CE4F74" w:rsidRPr="00143CC0" w:rsidRDefault="00CE4F74" w:rsidP="00D040C2">
      <w:pPr>
        <w:rPr>
          <w:lang w:eastAsia="ja-JP"/>
        </w:rPr>
      </w:pPr>
      <w:r w:rsidRPr="00C31183">
        <w:rPr>
          <w:lang w:eastAsia="ja-JP"/>
        </w:rPr>
        <w:t xml:space="preserve">SAEs (including Grade 5 events) were reported more commonly in the </w:t>
      </w:r>
      <w:proofErr w:type="spellStart"/>
      <w:r w:rsidRPr="00C31183">
        <w:rPr>
          <w:lang w:eastAsia="ja-JP"/>
        </w:rPr>
        <w:t>crizotinib</w:t>
      </w:r>
      <w:proofErr w:type="spellEnd"/>
      <w:r w:rsidRPr="00C31183">
        <w:rPr>
          <w:lang w:eastAsia="ja-JP"/>
        </w:rPr>
        <w:t xml:space="preserve"> arm than in the chemotherapy arm (37.2% [64/172]</w:t>
      </w:r>
      <w:r>
        <w:rPr>
          <w:lang w:eastAsia="ja-JP"/>
        </w:rPr>
        <w:t xml:space="preserve"> versus </w:t>
      </w:r>
      <w:r w:rsidRPr="00C31183">
        <w:rPr>
          <w:lang w:eastAsia="ja-JP"/>
        </w:rPr>
        <w:t xml:space="preserve">23.4%, [40/171]). SAEs reported with an incidence of </w:t>
      </w:r>
      <w:r>
        <w:rPr>
          <w:lang w:eastAsia="ja-JP"/>
        </w:rPr>
        <w:t>≥</w:t>
      </w:r>
      <w:r w:rsidRPr="00C31183">
        <w:rPr>
          <w:lang w:eastAsia="ja-JP"/>
        </w:rPr>
        <w:t xml:space="preserve"> 1% in the </w:t>
      </w:r>
      <w:proofErr w:type="spellStart"/>
      <w:r w:rsidRPr="00C31183">
        <w:rPr>
          <w:lang w:eastAsia="ja-JP"/>
        </w:rPr>
        <w:t>crizotinib</w:t>
      </w:r>
      <w:proofErr w:type="spellEnd"/>
      <w:r w:rsidRPr="00C31183">
        <w:rPr>
          <w:lang w:eastAsia="ja-JP"/>
        </w:rPr>
        <w:t xml:space="preserve"> arm and reported more commonly than in the chemotherapy arm were, in decreasing order of frequency, disease progression (7.6 %</w:t>
      </w:r>
      <w:r>
        <w:rPr>
          <w:lang w:eastAsia="ja-JP"/>
        </w:rPr>
        <w:t xml:space="preserve"> versus </w:t>
      </w:r>
      <w:r w:rsidRPr="00C31183">
        <w:rPr>
          <w:lang w:eastAsia="ja-JP"/>
        </w:rPr>
        <w:t>1.8%), pneumonia (4.1%</w:t>
      </w:r>
      <w:r>
        <w:rPr>
          <w:lang w:eastAsia="ja-JP"/>
        </w:rPr>
        <w:t xml:space="preserve"> versus </w:t>
      </w:r>
      <w:r w:rsidRPr="00C31183">
        <w:rPr>
          <w:lang w:eastAsia="ja-JP"/>
        </w:rPr>
        <w:t>1.8%), pulmonary embolism (2.9%</w:t>
      </w:r>
      <w:r>
        <w:rPr>
          <w:lang w:eastAsia="ja-JP"/>
        </w:rPr>
        <w:t xml:space="preserve"> versus </w:t>
      </w:r>
      <w:r w:rsidRPr="00C31183">
        <w:rPr>
          <w:lang w:eastAsia="ja-JP"/>
        </w:rPr>
        <w:t>1.8%), dyspnoea (2.3%</w:t>
      </w:r>
      <w:r>
        <w:rPr>
          <w:lang w:eastAsia="ja-JP"/>
        </w:rPr>
        <w:t xml:space="preserve"> versus </w:t>
      </w:r>
      <w:r w:rsidRPr="00C31183">
        <w:rPr>
          <w:lang w:eastAsia="ja-JP"/>
        </w:rPr>
        <w:t>1.8%), interstitial lung disease (1.7%</w:t>
      </w:r>
      <w:r>
        <w:rPr>
          <w:lang w:eastAsia="ja-JP"/>
        </w:rPr>
        <w:t xml:space="preserve"> versus </w:t>
      </w:r>
      <w:r w:rsidRPr="00C31183">
        <w:rPr>
          <w:lang w:eastAsia="ja-JP"/>
        </w:rPr>
        <w:t xml:space="preserve">0%), </w:t>
      </w:r>
      <w:r>
        <w:rPr>
          <w:lang w:eastAsia="ja-JP"/>
        </w:rPr>
        <w:t>alanine aminotransferase (</w:t>
      </w:r>
      <w:r w:rsidRPr="00C31183">
        <w:rPr>
          <w:lang w:eastAsia="ja-JP"/>
        </w:rPr>
        <w:t>ALT</w:t>
      </w:r>
      <w:r>
        <w:rPr>
          <w:lang w:eastAsia="ja-JP"/>
        </w:rPr>
        <w:t>)</w:t>
      </w:r>
      <w:r w:rsidRPr="00C31183">
        <w:rPr>
          <w:lang w:eastAsia="ja-JP"/>
        </w:rPr>
        <w:t xml:space="preserve"> increased (1.2%</w:t>
      </w:r>
      <w:r>
        <w:rPr>
          <w:lang w:eastAsia="ja-JP"/>
        </w:rPr>
        <w:t xml:space="preserve"> versus </w:t>
      </w:r>
      <w:r w:rsidRPr="00C31183">
        <w:rPr>
          <w:lang w:eastAsia="ja-JP"/>
        </w:rPr>
        <w:t xml:space="preserve">0%), </w:t>
      </w:r>
      <w:r>
        <w:rPr>
          <w:lang w:eastAsia="ja-JP"/>
        </w:rPr>
        <w:t>aspartate aminotransferase (</w:t>
      </w:r>
      <w:r w:rsidRPr="00C31183">
        <w:rPr>
          <w:lang w:eastAsia="ja-JP"/>
        </w:rPr>
        <w:t>AST</w:t>
      </w:r>
      <w:r>
        <w:rPr>
          <w:lang w:eastAsia="ja-JP"/>
        </w:rPr>
        <w:t>)</w:t>
      </w:r>
      <w:r w:rsidRPr="00C31183">
        <w:rPr>
          <w:lang w:eastAsia="ja-JP"/>
        </w:rPr>
        <w:t xml:space="preserve"> increased (1.2%</w:t>
      </w:r>
      <w:r>
        <w:rPr>
          <w:lang w:eastAsia="ja-JP"/>
        </w:rPr>
        <w:t xml:space="preserve"> versus </w:t>
      </w:r>
      <w:r w:rsidRPr="00C31183">
        <w:rPr>
          <w:lang w:eastAsia="ja-JP"/>
        </w:rPr>
        <w:t>0%), convulsion (1.2%</w:t>
      </w:r>
      <w:r>
        <w:rPr>
          <w:lang w:eastAsia="ja-JP"/>
        </w:rPr>
        <w:t xml:space="preserve"> versus </w:t>
      </w:r>
      <w:r w:rsidRPr="00C31183">
        <w:rPr>
          <w:lang w:eastAsia="ja-JP"/>
        </w:rPr>
        <w:t>0.6%), hypoglycaemia (1.2%</w:t>
      </w:r>
      <w:r>
        <w:rPr>
          <w:lang w:eastAsia="ja-JP"/>
        </w:rPr>
        <w:t xml:space="preserve"> versus </w:t>
      </w:r>
      <w:r w:rsidRPr="00C31183">
        <w:rPr>
          <w:lang w:eastAsia="ja-JP"/>
        </w:rPr>
        <w:t>0.6%), lung abscess (1.2%</w:t>
      </w:r>
      <w:r>
        <w:rPr>
          <w:lang w:eastAsia="ja-JP"/>
        </w:rPr>
        <w:t xml:space="preserve"> versus </w:t>
      </w:r>
      <w:r w:rsidRPr="00C31183">
        <w:rPr>
          <w:lang w:eastAsia="ja-JP"/>
        </w:rPr>
        <w:t xml:space="preserve">0%), lung </w:t>
      </w:r>
      <w:r w:rsidRPr="00C31183">
        <w:rPr>
          <w:lang w:eastAsia="ja-JP"/>
        </w:rPr>
        <w:lastRenderedPageBreak/>
        <w:t>infection (1.2%</w:t>
      </w:r>
      <w:r>
        <w:rPr>
          <w:lang w:eastAsia="ja-JP"/>
        </w:rPr>
        <w:t xml:space="preserve"> versus </w:t>
      </w:r>
      <w:r w:rsidRPr="00C31183">
        <w:rPr>
          <w:lang w:eastAsia="ja-JP"/>
        </w:rPr>
        <w:t>0.6%), and vomiting (1.2%</w:t>
      </w:r>
      <w:r>
        <w:rPr>
          <w:lang w:eastAsia="ja-JP"/>
        </w:rPr>
        <w:t xml:space="preserve"> versus </w:t>
      </w:r>
      <w:r w:rsidRPr="00C31183">
        <w:rPr>
          <w:lang w:eastAsia="ja-JP"/>
        </w:rPr>
        <w:t>0%)</w:t>
      </w:r>
      <w:r w:rsidRPr="00143CC0">
        <w:rPr>
          <w:lang w:eastAsia="ja-JP"/>
        </w:rPr>
        <w:t xml:space="preserve">.SAEs occurring with an incidence of ≥ 1% in the chemotherapy arm and reported more commonly than in the </w:t>
      </w:r>
      <w:proofErr w:type="spellStart"/>
      <w:r w:rsidRPr="00143CC0">
        <w:rPr>
          <w:lang w:eastAsia="ja-JP"/>
        </w:rPr>
        <w:t>crizotinib</w:t>
      </w:r>
      <w:proofErr w:type="spellEnd"/>
      <w:r w:rsidRPr="00143CC0">
        <w:rPr>
          <w:lang w:eastAsia="ja-JP"/>
        </w:rPr>
        <w:t xml:space="preserve"> arm were, in decreasing order of frequency, febrile neutropenia (7.0% versus 0.6%), anaemia (1.2% versus 0%) and deep vein thrombosis (1.2% versus 0%)</w:t>
      </w:r>
      <w:r>
        <w:rPr>
          <w:lang w:eastAsia="ja-JP"/>
        </w:rPr>
        <w:t>.</w:t>
      </w:r>
    </w:p>
    <w:p w:rsidR="00CE4F74" w:rsidRPr="00C31183" w:rsidRDefault="00CE4F74" w:rsidP="00D040C2">
      <w:pPr>
        <w:rPr>
          <w:lang w:eastAsia="ja-JP"/>
        </w:rPr>
      </w:pPr>
      <w:r w:rsidRPr="00C31183">
        <w:rPr>
          <w:lang w:eastAsia="ja-JP"/>
        </w:rPr>
        <w:t xml:space="preserve">The incidence of deaths from all causes in the </w:t>
      </w:r>
      <w:proofErr w:type="spellStart"/>
      <w:r w:rsidRPr="00C31183">
        <w:rPr>
          <w:lang w:eastAsia="ja-JP"/>
        </w:rPr>
        <w:t>crizotinib</w:t>
      </w:r>
      <w:proofErr w:type="spellEnd"/>
      <w:r w:rsidRPr="00C31183">
        <w:rPr>
          <w:lang w:eastAsia="ja-JP"/>
        </w:rPr>
        <w:t xml:space="preserve"> arm was 27.9% (48/172) compared with 23.1% (15/65) in the chemotherapy arm without cross-over. The majority of deaths in both the </w:t>
      </w:r>
      <w:proofErr w:type="spellStart"/>
      <w:r w:rsidRPr="00C31183">
        <w:rPr>
          <w:lang w:eastAsia="ja-JP"/>
        </w:rPr>
        <w:t>crizotinib</w:t>
      </w:r>
      <w:proofErr w:type="spellEnd"/>
      <w:r w:rsidRPr="00C31183">
        <w:rPr>
          <w:lang w:eastAsia="ja-JP"/>
        </w:rPr>
        <w:t xml:space="preserve"> and chemotherapy arms without cross-over were considered to be due to NSCLC (</w:t>
      </w:r>
      <w:r>
        <w:rPr>
          <w:lang w:eastAsia="ja-JP"/>
        </w:rPr>
        <w:t>that is,</w:t>
      </w:r>
      <w:r w:rsidRPr="00C31183">
        <w:rPr>
          <w:lang w:eastAsia="ja-JP"/>
        </w:rPr>
        <w:t xml:space="preserve"> the disease under study). The incidence of death within 28 days of the last dose of the study drug was higher in the </w:t>
      </w:r>
      <w:proofErr w:type="spellStart"/>
      <w:r w:rsidRPr="00C31183">
        <w:rPr>
          <w:lang w:eastAsia="ja-JP"/>
        </w:rPr>
        <w:t>crizotinib</w:t>
      </w:r>
      <w:proofErr w:type="spellEnd"/>
      <w:r w:rsidRPr="00C31183">
        <w:rPr>
          <w:lang w:eastAsia="ja-JP"/>
        </w:rPr>
        <w:t xml:space="preserve"> arm than in the chemotherapy arm without cross-over (13.4% [23/172]</w:t>
      </w:r>
      <w:r>
        <w:rPr>
          <w:lang w:eastAsia="ja-JP"/>
        </w:rPr>
        <w:t xml:space="preserve"> versus </w:t>
      </w:r>
      <w:r w:rsidRPr="00C31183">
        <w:rPr>
          <w:lang w:eastAsia="ja-JP"/>
        </w:rPr>
        <w:t>9.2% [6/65]), while the incidence of death more than 28 days after the last dose of study drug was similar in the two treatment arms (14.5% [25/172]</w:t>
      </w:r>
      <w:r>
        <w:rPr>
          <w:lang w:eastAsia="ja-JP"/>
        </w:rPr>
        <w:t xml:space="preserve"> versus </w:t>
      </w:r>
      <w:r w:rsidRPr="00C31183">
        <w:rPr>
          <w:lang w:eastAsia="ja-JP"/>
        </w:rPr>
        <w:t xml:space="preserve">13.9% [9/65], respectively). However, the incidence of death within 30 days of the first dose of study drug was higher in chemotherapy arm without cross-over than in the </w:t>
      </w:r>
      <w:proofErr w:type="spellStart"/>
      <w:r w:rsidRPr="00C31183">
        <w:rPr>
          <w:lang w:eastAsia="ja-JP"/>
        </w:rPr>
        <w:t>crizotinib</w:t>
      </w:r>
      <w:proofErr w:type="spellEnd"/>
      <w:r w:rsidRPr="00C31183">
        <w:rPr>
          <w:lang w:eastAsia="ja-JP"/>
        </w:rPr>
        <w:t xml:space="preserve"> arm (4.6% [3/65]</w:t>
      </w:r>
      <w:r>
        <w:rPr>
          <w:lang w:eastAsia="ja-JP"/>
        </w:rPr>
        <w:t xml:space="preserve"> versus </w:t>
      </w:r>
      <w:r w:rsidRPr="00C31183">
        <w:rPr>
          <w:lang w:eastAsia="ja-JP"/>
        </w:rPr>
        <w:t>1.7% [3/172]), as was the incidence of death within 60 days of first dose of study drug (10.8% [7/65]</w:t>
      </w:r>
      <w:r>
        <w:rPr>
          <w:lang w:eastAsia="ja-JP"/>
        </w:rPr>
        <w:t xml:space="preserve"> versus </w:t>
      </w:r>
      <w:r w:rsidR="00D040C2">
        <w:rPr>
          <w:lang w:eastAsia="ja-JP"/>
        </w:rPr>
        <w:t>5.8% [10/172]).</w:t>
      </w:r>
    </w:p>
    <w:p w:rsidR="00CE4F74" w:rsidRPr="00C31183" w:rsidRDefault="00CE4F74" w:rsidP="00D040C2">
      <w:pPr>
        <w:rPr>
          <w:lang w:eastAsia="ja-JP"/>
        </w:rPr>
      </w:pPr>
      <w:r w:rsidRPr="00C31183">
        <w:rPr>
          <w:lang w:eastAsia="ja-JP"/>
        </w:rPr>
        <w:t>During the treatment phase of the study there were 32 Grade 5 TEAEs (</w:t>
      </w:r>
      <w:r>
        <w:rPr>
          <w:lang w:eastAsia="ja-JP"/>
        </w:rPr>
        <w:t>that is,</w:t>
      </w:r>
      <w:r w:rsidRPr="00C31183">
        <w:rPr>
          <w:lang w:eastAsia="ja-JP"/>
        </w:rPr>
        <w:t xml:space="preserve"> deaths), 25 (14.5%) in the </w:t>
      </w:r>
      <w:proofErr w:type="spellStart"/>
      <w:r w:rsidRPr="00C31183">
        <w:rPr>
          <w:lang w:eastAsia="ja-JP"/>
        </w:rPr>
        <w:t>crizotinib</w:t>
      </w:r>
      <w:proofErr w:type="spellEnd"/>
      <w:r w:rsidRPr="00C31183">
        <w:rPr>
          <w:lang w:eastAsia="ja-JP"/>
        </w:rPr>
        <w:t xml:space="preserve"> arm and 7 (4.1%) in the chemotherapy arm. Included in these 32 deaths were 2 patients on </w:t>
      </w:r>
      <w:proofErr w:type="spellStart"/>
      <w:r w:rsidRPr="00C31183">
        <w:rPr>
          <w:lang w:eastAsia="ja-JP"/>
        </w:rPr>
        <w:t>crizotinib</w:t>
      </w:r>
      <w:proofErr w:type="spellEnd"/>
      <w:r w:rsidRPr="00C31183">
        <w:rPr>
          <w:lang w:eastAsia="ja-JP"/>
        </w:rPr>
        <w:t xml:space="preserve"> and 1 patient on chemotherapy who had non-treatment related Grade 5 TEAEs reported &gt; 28 days after the last day of the study drug. Death related to disease progression was the most commonly reported Grade 5 TEAE in the treatment phase (14/25 [56.0%] in the </w:t>
      </w:r>
      <w:proofErr w:type="spellStart"/>
      <w:r w:rsidRPr="00C31183">
        <w:rPr>
          <w:lang w:eastAsia="ja-JP"/>
        </w:rPr>
        <w:t>crizotinib</w:t>
      </w:r>
      <w:proofErr w:type="spellEnd"/>
      <w:r w:rsidRPr="00C31183">
        <w:rPr>
          <w:lang w:eastAsia="ja-JP"/>
        </w:rPr>
        <w:t xml:space="preserve"> arm</w:t>
      </w:r>
      <w:r>
        <w:rPr>
          <w:lang w:eastAsia="ja-JP"/>
        </w:rPr>
        <w:t xml:space="preserve"> versus </w:t>
      </w:r>
      <w:r w:rsidRPr="00C31183">
        <w:rPr>
          <w:lang w:eastAsia="ja-JP"/>
        </w:rPr>
        <w:t xml:space="preserve">3/7 [42.9%] in the chemotherapy arm). Death related to pulmonary disease occurred notably more commonly in the </w:t>
      </w:r>
      <w:proofErr w:type="spellStart"/>
      <w:r w:rsidRPr="00C31183">
        <w:rPr>
          <w:lang w:eastAsia="ja-JP"/>
        </w:rPr>
        <w:t>crizotinib</w:t>
      </w:r>
      <w:proofErr w:type="spellEnd"/>
      <w:r w:rsidRPr="00C31183">
        <w:rPr>
          <w:lang w:eastAsia="ja-JP"/>
        </w:rPr>
        <w:t xml:space="preserve"> arm than in the chemotherapy arm (</w:t>
      </w:r>
      <w:r>
        <w:rPr>
          <w:lang w:eastAsia="ja-JP"/>
        </w:rPr>
        <w:t>that is,</w:t>
      </w:r>
      <w:r w:rsidRPr="00C31183">
        <w:rPr>
          <w:lang w:eastAsia="ja-JP"/>
        </w:rPr>
        <w:t xml:space="preserve"> ILD, pneumonitis, acute respiratory</w:t>
      </w:r>
      <w:r w:rsidR="00D040C2">
        <w:rPr>
          <w:lang w:eastAsia="ja-JP"/>
        </w:rPr>
        <w:t xml:space="preserve"> distress syndrome, pneumonia).</w:t>
      </w:r>
    </w:p>
    <w:p w:rsidR="00CE4F74" w:rsidRPr="00C31183" w:rsidRDefault="00CE4F74" w:rsidP="00D040C2">
      <w:pPr>
        <w:rPr>
          <w:lang w:eastAsia="ja-JP"/>
        </w:rPr>
      </w:pPr>
      <w:r w:rsidRPr="00C31183">
        <w:rPr>
          <w:lang w:eastAsia="ja-JP"/>
        </w:rPr>
        <w:t xml:space="preserve">There were 6 deaths considered by the investigator and/or the sponsor to be at least possibly related to study treatment (5 [2.9%] in the </w:t>
      </w:r>
      <w:proofErr w:type="spellStart"/>
      <w:r w:rsidRPr="00C31183">
        <w:rPr>
          <w:lang w:eastAsia="ja-JP"/>
        </w:rPr>
        <w:t>crizotinib</w:t>
      </w:r>
      <w:proofErr w:type="spellEnd"/>
      <w:r w:rsidRPr="00C31183">
        <w:rPr>
          <w:lang w:eastAsia="ja-JP"/>
        </w:rPr>
        <w:t xml:space="preserve"> arm</w:t>
      </w:r>
      <w:r>
        <w:rPr>
          <w:lang w:eastAsia="ja-JP"/>
        </w:rPr>
        <w:t xml:space="preserve"> versus </w:t>
      </w:r>
      <w:r w:rsidRPr="00C31183">
        <w:rPr>
          <w:lang w:eastAsia="ja-JP"/>
        </w:rPr>
        <w:t>1 [0.6%] in the chemotherapy arm [</w:t>
      </w:r>
      <w:proofErr w:type="spellStart"/>
      <w:r w:rsidRPr="00C31183">
        <w:rPr>
          <w:lang w:eastAsia="ja-JP"/>
        </w:rPr>
        <w:t>pemetrexed</w:t>
      </w:r>
      <w:proofErr w:type="spellEnd"/>
      <w:r w:rsidRPr="00C31183">
        <w:rPr>
          <w:lang w:eastAsia="ja-JP"/>
        </w:rPr>
        <w:t xml:space="preserve">]). The 5 treatment-related deaths in the </w:t>
      </w:r>
      <w:proofErr w:type="spellStart"/>
      <w:r w:rsidRPr="00C31183">
        <w:rPr>
          <w:lang w:eastAsia="ja-JP"/>
        </w:rPr>
        <w:t>crizotinib</w:t>
      </w:r>
      <w:proofErr w:type="spellEnd"/>
      <w:r w:rsidRPr="00C31183">
        <w:rPr>
          <w:lang w:eastAsia="ja-JP"/>
        </w:rPr>
        <w:t xml:space="preserve"> treatment arm were </w:t>
      </w:r>
      <w:r>
        <w:rPr>
          <w:lang w:eastAsia="ja-JP"/>
        </w:rPr>
        <w:t>Interstitial lung disease (</w:t>
      </w:r>
      <w:r w:rsidRPr="00C31183">
        <w:rPr>
          <w:lang w:eastAsia="ja-JP"/>
        </w:rPr>
        <w:t>ILD</w:t>
      </w:r>
      <w:r>
        <w:rPr>
          <w:lang w:eastAsia="ja-JP"/>
        </w:rPr>
        <w:t>)</w:t>
      </w:r>
      <w:r w:rsidRPr="00C31183">
        <w:rPr>
          <w:lang w:eastAsia="ja-JP"/>
        </w:rPr>
        <w:t xml:space="preserve"> (1 death), pneumonitis (1 death), arrhythmia which appears to have been due to bradycardia (1 death), sudden death probably due to heart failure (1 death), and unknown cause (1 death). The </w:t>
      </w:r>
      <w:r>
        <w:rPr>
          <w:lang w:eastAsia="ja-JP"/>
        </w:rPr>
        <w:t>(</w:t>
      </w:r>
      <w:r w:rsidRPr="00C31183">
        <w:rPr>
          <w:lang w:eastAsia="ja-JP"/>
        </w:rPr>
        <w:t>1</w:t>
      </w:r>
      <w:r>
        <w:rPr>
          <w:lang w:eastAsia="ja-JP"/>
        </w:rPr>
        <w:t>)</w:t>
      </w:r>
      <w:r w:rsidRPr="00C31183">
        <w:rPr>
          <w:lang w:eastAsia="ja-JP"/>
        </w:rPr>
        <w:t xml:space="preserve"> treatment-related death in the chemotherapy arm (</w:t>
      </w:r>
      <w:proofErr w:type="spellStart"/>
      <w:r w:rsidRPr="00C31183">
        <w:rPr>
          <w:lang w:eastAsia="ja-JP"/>
        </w:rPr>
        <w:t>pemetrexed</w:t>
      </w:r>
      <w:proofErr w:type="spellEnd"/>
      <w:r w:rsidRPr="00C31183">
        <w:rPr>
          <w:lang w:eastAsia="ja-JP"/>
        </w:rPr>
        <w:t xml:space="preserve">) was due to sepsis. In addition to the 5 treatment-related deaths in the </w:t>
      </w:r>
      <w:proofErr w:type="spellStart"/>
      <w:r w:rsidRPr="00C31183">
        <w:rPr>
          <w:lang w:eastAsia="ja-JP"/>
        </w:rPr>
        <w:t>crizotinib</w:t>
      </w:r>
      <w:proofErr w:type="spellEnd"/>
      <w:r w:rsidRPr="00C31183">
        <w:rPr>
          <w:lang w:eastAsia="ja-JP"/>
        </w:rPr>
        <w:t xml:space="preserve"> treatment reported at the data </w:t>
      </w:r>
      <w:proofErr w:type="spellStart"/>
      <w:r w:rsidRPr="00C31183">
        <w:rPr>
          <w:lang w:eastAsia="ja-JP"/>
        </w:rPr>
        <w:t>cut</w:t>
      </w:r>
      <w:r>
        <w:rPr>
          <w:lang w:eastAsia="ja-JP"/>
        </w:rPr>
        <w:t xml:space="preserve"> </w:t>
      </w:r>
      <w:r w:rsidRPr="00C31183">
        <w:rPr>
          <w:lang w:eastAsia="ja-JP"/>
        </w:rPr>
        <w:t>off</w:t>
      </w:r>
      <w:proofErr w:type="spellEnd"/>
      <w:r w:rsidRPr="00C31183">
        <w:rPr>
          <w:lang w:eastAsia="ja-JP"/>
        </w:rPr>
        <w:t xml:space="preserve"> date, there was 1 reported death due to liver failure in a patient meeting </w:t>
      </w:r>
      <w:proofErr w:type="spellStart"/>
      <w:r w:rsidRPr="00C31183">
        <w:rPr>
          <w:lang w:eastAsia="ja-JP"/>
        </w:rPr>
        <w:t>Hy’s</w:t>
      </w:r>
      <w:proofErr w:type="spellEnd"/>
      <w:r w:rsidRPr="00C31183">
        <w:rPr>
          <w:lang w:eastAsia="ja-JP"/>
        </w:rPr>
        <w:t xml:space="preserve"> law criteria for potential drug induced liver injury occurring after the data cut-</w:t>
      </w:r>
      <w:r w:rsidR="00D040C2">
        <w:rPr>
          <w:lang w:eastAsia="ja-JP"/>
        </w:rPr>
        <w:t>off date.</w:t>
      </w:r>
    </w:p>
    <w:p w:rsidR="00CE4F74" w:rsidRPr="00C31183" w:rsidRDefault="00CE4F74" w:rsidP="00D040C2">
      <w:pPr>
        <w:rPr>
          <w:lang w:eastAsia="ja-JP"/>
        </w:rPr>
      </w:pPr>
      <w:r w:rsidRPr="00C31183">
        <w:rPr>
          <w:lang w:eastAsia="ja-JP"/>
        </w:rPr>
        <w:t xml:space="preserve">Permanent treatment discontinuations were reported more frequently in the </w:t>
      </w:r>
      <w:proofErr w:type="spellStart"/>
      <w:r w:rsidRPr="00C31183">
        <w:rPr>
          <w:lang w:eastAsia="ja-JP"/>
        </w:rPr>
        <w:t>crizotinib</w:t>
      </w:r>
      <w:proofErr w:type="spellEnd"/>
      <w:r w:rsidRPr="00C31183">
        <w:rPr>
          <w:lang w:eastAsia="ja-JP"/>
        </w:rPr>
        <w:t xml:space="preserve"> arm than in the chemotherapy arm (17.4% [30/172]</w:t>
      </w:r>
      <w:r>
        <w:rPr>
          <w:lang w:eastAsia="ja-JP"/>
        </w:rPr>
        <w:t xml:space="preserve"> versus </w:t>
      </w:r>
      <w:r w:rsidRPr="00C31183">
        <w:rPr>
          <w:lang w:eastAsia="ja-JP"/>
        </w:rPr>
        <w:t xml:space="preserve">13.5% [23/171]), respectively. TEAEs resulting in </w:t>
      </w:r>
      <w:r>
        <w:rPr>
          <w:lang w:eastAsia="ja-JP"/>
        </w:rPr>
        <w:t>≥</w:t>
      </w:r>
      <w:r w:rsidRPr="00C31183">
        <w:rPr>
          <w:lang w:eastAsia="ja-JP"/>
        </w:rPr>
        <w:t xml:space="preserve"> 1% of patients permanently discontinuing from treatment in the </w:t>
      </w:r>
      <w:proofErr w:type="spellStart"/>
      <w:r w:rsidRPr="00C31183">
        <w:rPr>
          <w:lang w:eastAsia="ja-JP"/>
        </w:rPr>
        <w:t>crizotinib</w:t>
      </w:r>
      <w:proofErr w:type="spellEnd"/>
      <w:r w:rsidRPr="00C31183">
        <w:rPr>
          <w:lang w:eastAsia="ja-JP"/>
        </w:rPr>
        <w:t xml:space="preserve"> arm and occurring more frequently than in the chemotherapy arm were, in decreasing order of frequency, disease progression (2.9%</w:t>
      </w:r>
      <w:r>
        <w:rPr>
          <w:lang w:eastAsia="ja-JP"/>
        </w:rPr>
        <w:t xml:space="preserve"> versus </w:t>
      </w:r>
      <w:r w:rsidRPr="00C31183">
        <w:rPr>
          <w:lang w:eastAsia="ja-JP"/>
        </w:rPr>
        <w:t>0%), interstitial lung disease (1.7%</w:t>
      </w:r>
      <w:r>
        <w:rPr>
          <w:lang w:eastAsia="ja-JP"/>
        </w:rPr>
        <w:t xml:space="preserve"> versus </w:t>
      </w:r>
      <w:r w:rsidRPr="00C31183">
        <w:rPr>
          <w:lang w:eastAsia="ja-JP"/>
        </w:rPr>
        <w:t>0%), pulmonary embolism (1.2%</w:t>
      </w:r>
      <w:r>
        <w:rPr>
          <w:lang w:eastAsia="ja-JP"/>
        </w:rPr>
        <w:t xml:space="preserve"> versus </w:t>
      </w:r>
      <w:r w:rsidRPr="00C31183">
        <w:rPr>
          <w:lang w:eastAsia="ja-JP"/>
        </w:rPr>
        <w:t>0%), ALT increased (1.2%</w:t>
      </w:r>
      <w:r>
        <w:rPr>
          <w:lang w:eastAsia="ja-JP"/>
        </w:rPr>
        <w:t xml:space="preserve"> versus </w:t>
      </w:r>
      <w:r w:rsidRPr="00C31183">
        <w:rPr>
          <w:lang w:eastAsia="ja-JP"/>
        </w:rPr>
        <w:t>0%), AST increased (1.2%</w:t>
      </w:r>
      <w:r>
        <w:rPr>
          <w:lang w:eastAsia="ja-JP"/>
        </w:rPr>
        <w:t xml:space="preserve"> versus </w:t>
      </w:r>
      <w:r w:rsidRPr="00C31183">
        <w:rPr>
          <w:lang w:eastAsia="ja-JP"/>
        </w:rPr>
        <w:t>0%), and dyspnoea (1.2%</w:t>
      </w:r>
      <w:r>
        <w:rPr>
          <w:lang w:eastAsia="ja-JP"/>
        </w:rPr>
        <w:t xml:space="preserve"> versus </w:t>
      </w:r>
      <w:r w:rsidRPr="00C31183">
        <w:rPr>
          <w:lang w:eastAsia="ja-JP"/>
        </w:rPr>
        <w:t xml:space="preserve">0%). TEAEs resulting in </w:t>
      </w:r>
      <w:r>
        <w:rPr>
          <w:lang w:eastAsia="ja-JP"/>
        </w:rPr>
        <w:t>≥</w:t>
      </w:r>
      <w:r w:rsidRPr="00C31183">
        <w:rPr>
          <w:lang w:eastAsia="ja-JP"/>
        </w:rPr>
        <w:t xml:space="preserve"> 1% of patients permanently discontinuing from treatment in the chemotherapy arm and occurring more frequently than in the </w:t>
      </w:r>
      <w:proofErr w:type="spellStart"/>
      <w:r w:rsidRPr="00C31183">
        <w:rPr>
          <w:lang w:eastAsia="ja-JP"/>
        </w:rPr>
        <w:t>crizotinib</w:t>
      </w:r>
      <w:proofErr w:type="spellEnd"/>
      <w:r w:rsidRPr="00C31183">
        <w:rPr>
          <w:lang w:eastAsia="ja-JP"/>
        </w:rPr>
        <w:t xml:space="preserve"> arm were, in decreasing order of frequency, febrile neutropenia (1.8%</w:t>
      </w:r>
      <w:r>
        <w:rPr>
          <w:lang w:eastAsia="ja-JP"/>
        </w:rPr>
        <w:t xml:space="preserve"> versus </w:t>
      </w:r>
      <w:r w:rsidRPr="00C31183">
        <w:rPr>
          <w:lang w:eastAsia="ja-JP"/>
        </w:rPr>
        <w:t>0%), asthenia (1.2%</w:t>
      </w:r>
      <w:r>
        <w:rPr>
          <w:lang w:eastAsia="ja-JP"/>
        </w:rPr>
        <w:t xml:space="preserve"> versus </w:t>
      </w:r>
      <w:r w:rsidRPr="00C31183">
        <w:rPr>
          <w:lang w:eastAsia="ja-JP"/>
        </w:rPr>
        <w:t>0%), pericardial effusion (1.2%</w:t>
      </w:r>
      <w:r>
        <w:rPr>
          <w:lang w:eastAsia="ja-JP"/>
        </w:rPr>
        <w:t xml:space="preserve"> versus </w:t>
      </w:r>
      <w:r w:rsidRPr="00C31183">
        <w:rPr>
          <w:lang w:eastAsia="ja-JP"/>
        </w:rPr>
        <w:t>0%) and pleural effusion (1.2%</w:t>
      </w:r>
      <w:r>
        <w:rPr>
          <w:lang w:eastAsia="ja-JP"/>
        </w:rPr>
        <w:t xml:space="preserve"> versus </w:t>
      </w:r>
      <w:r w:rsidR="00D040C2">
        <w:rPr>
          <w:lang w:eastAsia="ja-JP"/>
        </w:rPr>
        <w:t>0%).</w:t>
      </w:r>
    </w:p>
    <w:p w:rsidR="00CE4F74" w:rsidRPr="00C31183" w:rsidRDefault="00CE4F74" w:rsidP="00D040C2">
      <w:pPr>
        <w:rPr>
          <w:lang w:eastAsia="ja-JP"/>
        </w:rPr>
      </w:pPr>
      <w:r w:rsidRPr="00C31183">
        <w:rPr>
          <w:lang w:eastAsia="ja-JP"/>
        </w:rPr>
        <w:t xml:space="preserve">Temporary treatment discontinuations due to TEAEs were reported notably more frequently in the </w:t>
      </w:r>
      <w:proofErr w:type="spellStart"/>
      <w:r w:rsidRPr="00C31183">
        <w:rPr>
          <w:lang w:eastAsia="ja-JP"/>
        </w:rPr>
        <w:t>crizotinib</w:t>
      </w:r>
      <w:proofErr w:type="spellEnd"/>
      <w:r w:rsidRPr="00C31183">
        <w:rPr>
          <w:lang w:eastAsia="ja-JP"/>
        </w:rPr>
        <w:t xml:space="preserve"> arm than in the chemotherapy arm (39.0% [67/172]</w:t>
      </w:r>
      <w:r>
        <w:rPr>
          <w:lang w:eastAsia="ja-JP"/>
        </w:rPr>
        <w:t xml:space="preserve"> versus </w:t>
      </w:r>
      <w:r w:rsidRPr="00C31183">
        <w:rPr>
          <w:lang w:eastAsia="ja-JP"/>
        </w:rPr>
        <w:t xml:space="preserve">15.8% [27/171]). TEAEs resulting in temporary treatment discontinuations in </w:t>
      </w:r>
      <w:r>
        <w:rPr>
          <w:lang w:eastAsia="ja-JP"/>
        </w:rPr>
        <w:t>≥</w:t>
      </w:r>
      <w:r w:rsidRPr="00C31183">
        <w:rPr>
          <w:lang w:eastAsia="ja-JP"/>
        </w:rPr>
        <w:t xml:space="preserve"> 1% of patients in the </w:t>
      </w:r>
      <w:proofErr w:type="spellStart"/>
      <w:r w:rsidRPr="00C31183">
        <w:rPr>
          <w:lang w:eastAsia="ja-JP"/>
        </w:rPr>
        <w:t>crizotinib</w:t>
      </w:r>
      <w:proofErr w:type="spellEnd"/>
      <w:r w:rsidRPr="00C31183">
        <w:rPr>
          <w:lang w:eastAsia="ja-JP"/>
        </w:rPr>
        <w:t xml:space="preserve"> arm and reported more commonly than in the chemotherapy arm were, in decreasing order of frequency, neutropenia (8.1%</w:t>
      </w:r>
      <w:r>
        <w:rPr>
          <w:lang w:eastAsia="ja-JP"/>
        </w:rPr>
        <w:t xml:space="preserve"> versus </w:t>
      </w:r>
      <w:r w:rsidRPr="00C31183">
        <w:rPr>
          <w:lang w:eastAsia="ja-JP"/>
        </w:rPr>
        <w:t>0%), ALT increased (6.4%</w:t>
      </w:r>
      <w:r>
        <w:rPr>
          <w:lang w:eastAsia="ja-JP"/>
        </w:rPr>
        <w:t xml:space="preserve"> versus </w:t>
      </w:r>
      <w:r w:rsidRPr="00C31183">
        <w:rPr>
          <w:lang w:eastAsia="ja-JP"/>
        </w:rPr>
        <w:t>0%), nausea (4.7%</w:t>
      </w:r>
      <w:r>
        <w:rPr>
          <w:lang w:eastAsia="ja-JP"/>
        </w:rPr>
        <w:t xml:space="preserve"> versus </w:t>
      </w:r>
      <w:r w:rsidRPr="00C31183">
        <w:rPr>
          <w:lang w:eastAsia="ja-JP"/>
        </w:rPr>
        <w:t>0%), AST increased (3.5%</w:t>
      </w:r>
      <w:r>
        <w:rPr>
          <w:lang w:eastAsia="ja-JP"/>
        </w:rPr>
        <w:t xml:space="preserve"> versus </w:t>
      </w:r>
      <w:r w:rsidRPr="00C31183">
        <w:rPr>
          <w:lang w:eastAsia="ja-JP"/>
        </w:rPr>
        <w:t>0.6%), vomiting (3.5%</w:t>
      </w:r>
      <w:r>
        <w:rPr>
          <w:lang w:eastAsia="ja-JP"/>
        </w:rPr>
        <w:t xml:space="preserve"> versus </w:t>
      </w:r>
      <w:r w:rsidRPr="00C31183">
        <w:rPr>
          <w:lang w:eastAsia="ja-JP"/>
        </w:rPr>
        <w:t>0%), pneumonia (2.9%</w:t>
      </w:r>
      <w:r>
        <w:rPr>
          <w:lang w:eastAsia="ja-JP"/>
        </w:rPr>
        <w:t xml:space="preserve"> versus </w:t>
      </w:r>
      <w:r w:rsidRPr="00C31183">
        <w:rPr>
          <w:lang w:eastAsia="ja-JP"/>
        </w:rPr>
        <w:t>0.6%), neutrophil count decreased (2.3%</w:t>
      </w:r>
      <w:r>
        <w:rPr>
          <w:lang w:eastAsia="ja-JP"/>
        </w:rPr>
        <w:t xml:space="preserve"> versus </w:t>
      </w:r>
      <w:r w:rsidRPr="00C31183">
        <w:rPr>
          <w:lang w:eastAsia="ja-JP"/>
        </w:rPr>
        <w:t>0%), upper abdominal pain (2.3%</w:t>
      </w:r>
      <w:r>
        <w:rPr>
          <w:lang w:eastAsia="ja-JP"/>
        </w:rPr>
        <w:t xml:space="preserve"> </w:t>
      </w:r>
      <w:r>
        <w:rPr>
          <w:lang w:eastAsia="ja-JP"/>
        </w:rPr>
        <w:lastRenderedPageBreak/>
        <w:t xml:space="preserve">versus </w:t>
      </w:r>
      <w:r w:rsidRPr="00C31183">
        <w:rPr>
          <w:lang w:eastAsia="ja-JP"/>
        </w:rPr>
        <w:t>0%), leukopenia (1.7%</w:t>
      </w:r>
      <w:r>
        <w:rPr>
          <w:lang w:eastAsia="ja-JP"/>
        </w:rPr>
        <w:t xml:space="preserve"> versus </w:t>
      </w:r>
      <w:r w:rsidRPr="00C31183">
        <w:rPr>
          <w:lang w:eastAsia="ja-JP"/>
        </w:rPr>
        <w:t>0%), peripheral oedema (1.7%</w:t>
      </w:r>
      <w:r>
        <w:rPr>
          <w:lang w:eastAsia="ja-JP"/>
        </w:rPr>
        <w:t xml:space="preserve"> versus </w:t>
      </w:r>
      <w:r w:rsidRPr="00C31183">
        <w:rPr>
          <w:lang w:eastAsia="ja-JP"/>
        </w:rPr>
        <w:t>0%), constipation (1.2%</w:t>
      </w:r>
      <w:r>
        <w:rPr>
          <w:lang w:eastAsia="ja-JP"/>
        </w:rPr>
        <w:t xml:space="preserve"> versus </w:t>
      </w:r>
      <w:r w:rsidRPr="00C31183">
        <w:rPr>
          <w:lang w:eastAsia="ja-JP"/>
        </w:rPr>
        <w:t>0%), pyrexia (1.2%</w:t>
      </w:r>
      <w:r>
        <w:rPr>
          <w:lang w:eastAsia="ja-JP"/>
        </w:rPr>
        <w:t xml:space="preserve"> versus </w:t>
      </w:r>
      <w:r w:rsidRPr="00C31183">
        <w:rPr>
          <w:lang w:eastAsia="ja-JP"/>
        </w:rPr>
        <w:t>0%), gastroenteritis (1.2%</w:t>
      </w:r>
      <w:r>
        <w:rPr>
          <w:lang w:eastAsia="ja-JP"/>
        </w:rPr>
        <w:t xml:space="preserve"> versus </w:t>
      </w:r>
      <w:r w:rsidRPr="00C31183">
        <w:rPr>
          <w:lang w:eastAsia="ja-JP"/>
        </w:rPr>
        <w:t>0%), lung infection (1.2%</w:t>
      </w:r>
      <w:r>
        <w:rPr>
          <w:lang w:eastAsia="ja-JP"/>
        </w:rPr>
        <w:t xml:space="preserve"> versus </w:t>
      </w:r>
      <w:r w:rsidRPr="00C31183">
        <w:rPr>
          <w:lang w:eastAsia="ja-JP"/>
        </w:rPr>
        <w:t>0%), sinus bradycardia (1.2%</w:t>
      </w:r>
      <w:r>
        <w:rPr>
          <w:lang w:eastAsia="ja-JP"/>
        </w:rPr>
        <w:t xml:space="preserve"> versus </w:t>
      </w:r>
      <w:r w:rsidRPr="00C31183">
        <w:rPr>
          <w:lang w:eastAsia="ja-JP"/>
        </w:rPr>
        <w:t>0%), ECG QT prolonged (1.2%</w:t>
      </w:r>
      <w:r>
        <w:rPr>
          <w:lang w:eastAsia="ja-JP"/>
        </w:rPr>
        <w:t xml:space="preserve"> versus </w:t>
      </w:r>
      <w:r w:rsidRPr="00C31183">
        <w:rPr>
          <w:lang w:eastAsia="ja-JP"/>
        </w:rPr>
        <w:t>0%), transaminases increased (1.2%</w:t>
      </w:r>
      <w:r>
        <w:rPr>
          <w:lang w:eastAsia="ja-JP"/>
        </w:rPr>
        <w:t xml:space="preserve"> versus </w:t>
      </w:r>
      <w:r w:rsidRPr="00C31183">
        <w:rPr>
          <w:lang w:eastAsia="ja-JP"/>
        </w:rPr>
        <w:t>0%), decreased appetite (1.2%</w:t>
      </w:r>
      <w:r>
        <w:rPr>
          <w:lang w:eastAsia="ja-JP"/>
        </w:rPr>
        <w:t xml:space="preserve"> versus </w:t>
      </w:r>
      <w:r w:rsidRPr="00C31183">
        <w:rPr>
          <w:lang w:eastAsia="ja-JP"/>
        </w:rPr>
        <w:t>0%) and brain oedema (1.2%</w:t>
      </w:r>
      <w:r>
        <w:rPr>
          <w:lang w:eastAsia="ja-JP"/>
        </w:rPr>
        <w:t xml:space="preserve"> versus </w:t>
      </w:r>
      <w:r w:rsidRPr="00C31183">
        <w:rPr>
          <w:lang w:eastAsia="ja-JP"/>
        </w:rPr>
        <w:t xml:space="preserve">0%). The only TEAE resulting in temporary treatment discontinuation in </w:t>
      </w:r>
      <w:r>
        <w:rPr>
          <w:lang w:eastAsia="ja-JP"/>
        </w:rPr>
        <w:t>≥</w:t>
      </w:r>
      <w:r w:rsidRPr="00C31183">
        <w:rPr>
          <w:lang w:eastAsia="ja-JP"/>
        </w:rPr>
        <w:t xml:space="preserve"> 1% of patients in the chemotherapy arm and reported more commonly than in the </w:t>
      </w:r>
      <w:proofErr w:type="spellStart"/>
      <w:r w:rsidRPr="00C31183">
        <w:rPr>
          <w:lang w:eastAsia="ja-JP"/>
        </w:rPr>
        <w:t>crizotinib</w:t>
      </w:r>
      <w:proofErr w:type="spellEnd"/>
      <w:r w:rsidRPr="00C31183">
        <w:rPr>
          <w:lang w:eastAsia="ja-JP"/>
        </w:rPr>
        <w:t xml:space="preserve"> arm was dizziness (1.2%</w:t>
      </w:r>
      <w:r>
        <w:rPr>
          <w:lang w:eastAsia="ja-JP"/>
        </w:rPr>
        <w:t xml:space="preserve"> versus </w:t>
      </w:r>
      <w:r w:rsidR="00D040C2">
        <w:rPr>
          <w:lang w:eastAsia="ja-JP"/>
        </w:rPr>
        <w:t>0.6%).</w:t>
      </w:r>
    </w:p>
    <w:p w:rsidR="00CE4F74" w:rsidRPr="00C31183" w:rsidRDefault="00CE4F74" w:rsidP="00D040C2">
      <w:pPr>
        <w:rPr>
          <w:lang w:eastAsia="ja-JP"/>
        </w:rPr>
      </w:pPr>
      <w:r w:rsidRPr="00C31183">
        <w:rPr>
          <w:lang w:eastAsia="ja-JP"/>
        </w:rPr>
        <w:t xml:space="preserve">Dose reductions due to TEAEs were reported in 16.3% (28/172) of patients in the </w:t>
      </w:r>
      <w:proofErr w:type="spellStart"/>
      <w:r w:rsidRPr="00C31183">
        <w:rPr>
          <w:lang w:eastAsia="ja-JP"/>
        </w:rPr>
        <w:t>crizotinib</w:t>
      </w:r>
      <w:proofErr w:type="spellEnd"/>
      <w:r w:rsidRPr="00C31183">
        <w:rPr>
          <w:lang w:eastAsia="ja-JP"/>
        </w:rPr>
        <w:t xml:space="preserve"> arm and 14.6% (25/171) of patients in the chemotherapy arm. TEAEs resulting in dose reductions in </w:t>
      </w:r>
      <w:r>
        <w:rPr>
          <w:lang w:eastAsia="ja-JP"/>
        </w:rPr>
        <w:t>≥</w:t>
      </w:r>
      <w:r w:rsidRPr="00C31183">
        <w:rPr>
          <w:lang w:eastAsia="ja-JP"/>
        </w:rPr>
        <w:t xml:space="preserve"> 1% of patients in the </w:t>
      </w:r>
      <w:proofErr w:type="spellStart"/>
      <w:r w:rsidRPr="00C31183">
        <w:rPr>
          <w:lang w:eastAsia="ja-JP"/>
        </w:rPr>
        <w:t>crizotinib</w:t>
      </w:r>
      <w:proofErr w:type="spellEnd"/>
      <w:r w:rsidRPr="00C31183">
        <w:rPr>
          <w:lang w:eastAsia="ja-JP"/>
        </w:rPr>
        <w:t xml:space="preserve"> arm and reported more commonly than in the chemotherapy arm were, in decreasing order of frequency, ALT increased (7.6%</w:t>
      </w:r>
      <w:r>
        <w:rPr>
          <w:lang w:eastAsia="ja-JP"/>
        </w:rPr>
        <w:t xml:space="preserve"> versus </w:t>
      </w:r>
      <w:r w:rsidRPr="00C31183">
        <w:rPr>
          <w:lang w:eastAsia="ja-JP"/>
        </w:rPr>
        <w:t>0%), ECG QT prolonged (2.9%</w:t>
      </w:r>
      <w:r>
        <w:rPr>
          <w:lang w:eastAsia="ja-JP"/>
        </w:rPr>
        <w:t xml:space="preserve"> versus </w:t>
      </w:r>
      <w:r w:rsidRPr="00C31183">
        <w:rPr>
          <w:lang w:eastAsia="ja-JP"/>
        </w:rPr>
        <w:t>0%), AST increased (2.3%</w:t>
      </w:r>
      <w:r>
        <w:rPr>
          <w:lang w:eastAsia="ja-JP"/>
        </w:rPr>
        <w:t xml:space="preserve"> versus </w:t>
      </w:r>
      <w:r w:rsidRPr="00C31183">
        <w:rPr>
          <w:lang w:eastAsia="ja-JP"/>
        </w:rPr>
        <w:t>0%), neutropenia (2.3%</w:t>
      </w:r>
      <w:r>
        <w:rPr>
          <w:lang w:eastAsia="ja-JP"/>
        </w:rPr>
        <w:t xml:space="preserve"> versus </w:t>
      </w:r>
      <w:r w:rsidRPr="00C31183">
        <w:rPr>
          <w:lang w:eastAsia="ja-JP"/>
        </w:rPr>
        <w:t>1.2%) and neutrophil count decreased (1.2%</w:t>
      </w:r>
      <w:r>
        <w:rPr>
          <w:lang w:eastAsia="ja-JP"/>
        </w:rPr>
        <w:t xml:space="preserve"> versus </w:t>
      </w:r>
      <w:r w:rsidRPr="00C31183">
        <w:rPr>
          <w:lang w:eastAsia="ja-JP"/>
        </w:rPr>
        <w:t xml:space="preserve">0%). TEAEs resulting in dose reductions in </w:t>
      </w:r>
      <w:r>
        <w:rPr>
          <w:lang w:eastAsia="ja-JP"/>
        </w:rPr>
        <w:t>≥</w:t>
      </w:r>
      <w:r w:rsidRPr="00C31183">
        <w:rPr>
          <w:lang w:eastAsia="ja-JP"/>
        </w:rPr>
        <w:t xml:space="preserve"> 1% of patients in the chemotherapy arm and reported more commonly than in the </w:t>
      </w:r>
      <w:proofErr w:type="spellStart"/>
      <w:r w:rsidRPr="00C31183">
        <w:rPr>
          <w:lang w:eastAsia="ja-JP"/>
        </w:rPr>
        <w:t>crizotinib</w:t>
      </w:r>
      <w:proofErr w:type="spellEnd"/>
      <w:r w:rsidRPr="00C31183">
        <w:rPr>
          <w:lang w:eastAsia="ja-JP"/>
        </w:rPr>
        <w:t xml:space="preserve"> arm were, in decreasing order of frequency, febrile neutropenia (7.0%</w:t>
      </w:r>
      <w:r>
        <w:rPr>
          <w:lang w:eastAsia="ja-JP"/>
        </w:rPr>
        <w:t xml:space="preserve"> versus </w:t>
      </w:r>
      <w:r w:rsidRPr="00C31183">
        <w:rPr>
          <w:lang w:eastAsia="ja-JP"/>
        </w:rPr>
        <w:t>0%), fatigue (1.2%</w:t>
      </w:r>
      <w:r>
        <w:rPr>
          <w:lang w:eastAsia="ja-JP"/>
        </w:rPr>
        <w:t xml:space="preserve"> versus </w:t>
      </w:r>
      <w:r w:rsidRPr="00C31183">
        <w:rPr>
          <w:lang w:eastAsia="ja-JP"/>
        </w:rPr>
        <w:t>0%), and mucosal inflammation (1.2%</w:t>
      </w:r>
      <w:r>
        <w:rPr>
          <w:lang w:eastAsia="ja-JP"/>
        </w:rPr>
        <w:t xml:space="preserve"> versus </w:t>
      </w:r>
      <w:r w:rsidRPr="00C31183">
        <w:rPr>
          <w:lang w:eastAsia="ja-JP"/>
        </w:rPr>
        <w:t>0%)</w:t>
      </w:r>
      <w:r w:rsidR="00D040C2">
        <w:rPr>
          <w:lang w:eastAsia="ja-JP"/>
        </w:rPr>
        <w:t>.</w:t>
      </w:r>
    </w:p>
    <w:p w:rsidR="00CE4F74" w:rsidRPr="00C31183" w:rsidRDefault="00CE4F74" w:rsidP="00D040C2">
      <w:pPr>
        <w:rPr>
          <w:lang w:eastAsia="ja-JP"/>
        </w:rPr>
      </w:pPr>
      <w:r w:rsidRPr="00C31183">
        <w:rPr>
          <w:lang w:eastAsia="ja-JP"/>
        </w:rPr>
        <w:t xml:space="preserve">TEAEs of particular interest associated with </w:t>
      </w:r>
      <w:proofErr w:type="spellStart"/>
      <w:r w:rsidR="00D040C2">
        <w:rPr>
          <w:lang w:eastAsia="ja-JP"/>
        </w:rPr>
        <w:t>crizotinib</w:t>
      </w:r>
      <w:proofErr w:type="spellEnd"/>
      <w:r w:rsidR="00D040C2">
        <w:rPr>
          <w:lang w:eastAsia="ja-JP"/>
        </w:rPr>
        <w:t xml:space="preserve"> are discussed below:</w:t>
      </w:r>
    </w:p>
    <w:p w:rsidR="00CE4F74" w:rsidRPr="00C31183" w:rsidRDefault="00D040C2" w:rsidP="00D040C2">
      <w:pPr>
        <w:pStyle w:val="Heading4"/>
      </w:pPr>
      <w:r>
        <w:t>Hepatotoxicity</w:t>
      </w:r>
    </w:p>
    <w:p w:rsidR="00CE4F74" w:rsidRPr="00C31183" w:rsidRDefault="00CE4F74" w:rsidP="005824A1">
      <w:pPr>
        <w:rPr>
          <w:lang w:eastAsia="ja-JP"/>
        </w:rPr>
      </w:pPr>
      <w:r w:rsidRPr="00C31183">
        <w:rPr>
          <w:lang w:eastAsia="ja-JP"/>
        </w:rPr>
        <w:t xml:space="preserve">The primary safety concern relating to treatment with </w:t>
      </w:r>
      <w:proofErr w:type="spellStart"/>
      <w:r w:rsidRPr="00C31183">
        <w:rPr>
          <w:lang w:eastAsia="ja-JP"/>
        </w:rPr>
        <w:t>crizotinib</w:t>
      </w:r>
      <w:proofErr w:type="spellEnd"/>
      <w:r w:rsidRPr="00C31183">
        <w:rPr>
          <w:lang w:eastAsia="ja-JP"/>
        </w:rPr>
        <w:t xml:space="preserve"> is considered to be the potential for drug induced liver injury (DILI). There was 1 patient in the </w:t>
      </w:r>
      <w:proofErr w:type="spellStart"/>
      <w:r w:rsidRPr="00C31183">
        <w:rPr>
          <w:lang w:eastAsia="ja-JP"/>
        </w:rPr>
        <w:t>crizotinib</w:t>
      </w:r>
      <w:proofErr w:type="spellEnd"/>
      <w:r w:rsidRPr="00C31183">
        <w:rPr>
          <w:lang w:eastAsia="ja-JP"/>
        </w:rPr>
        <w:t xml:space="preserve"> arm meeting </w:t>
      </w:r>
      <w:proofErr w:type="spellStart"/>
      <w:r w:rsidRPr="00C31183">
        <w:rPr>
          <w:lang w:eastAsia="ja-JP"/>
        </w:rPr>
        <w:t>Hy’s</w:t>
      </w:r>
      <w:proofErr w:type="spellEnd"/>
      <w:r w:rsidRPr="00C31183">
        <w:rPr>
          <w:lang w:eastAsia="ja-JP"/>
        </w:rPr>
        <w:t xml:space="preserve"> law criteria for potential DILI who died due to liver failure. This patient was an Asian woman aged 73 years wh</w:t>
      </w:r>
      <w:r>
        <w:rPr>
          <w:lang w:eastAsia="ja-JP"/>
        </w:rPr>
        <w:t>o developed hepatic failure on D</w:t>
      </w:r>
      <w:r w:rsidRPr="00C31183">
        <w:rPr>
          <w:lang w:eastAsia="ja-JP"/>
        </w:rPr>
        <w:t xml:space="preserve">ay 33 of treatment with </w:t>
      </w:r>
      <w:proofErr w:type="spellStart"/>
      <w:r w:rsidRPr="00C31183">
        <w:rPr>
          <w:lang w:eastAsia="ja-JP"/>
        </w:rPr>
        <w:t>crizotinib</w:t>
      </w:r>
      <w:proofErr w:type="spellEnd"/>
      <w:r w:rsidRPr="00C31183">
        <w:rPr>
          <w:lang w:eastAsia="ja-JP"/>
        </w:rPr>
        <w:t xml:space="preserve"> 250 mg </w:t>
      </w:r>
      <w:r>
        <w:rPr>
          <w:lang w:eastAsia="ja-JP"/>
        </w:rPr>
        <w:t>twice a day (</w:t>
      </w:r>
      <w:r w:rsidRPr="00C31183">
        <w:rPr>
          <w:lang w:eastAsia="ja-JP"/>
        </w:rPr>
        <w:t>BID</w:t>
      </w:r>
      <w:r>
        <w:rPr>
          <w:lang w:eastAsia="ja-JP"/>
        </w:rPr>
        <w:t>)</w:t>
      </w:r>
      <w:r w:rsidRPr="00C31183">
        <w:rPr>
          <w:lang w:eastAsia="ja-JP"/>
        </w:rPr>
        <w:t>. The patient permane</w:t>
      </w:r>
      <w:r>
        <w:rPr>
          <w:lang w:eastAsia="ja-JP"/>
        </w:rPr>
        <w:t>ntly discontinued treatment on D</w:t>
      </w:r>
      <w:r w:rsidRPr="00C31183">
        <w:rPr>
          <w:lang w:eastAsia="ja-JP"/>
        </w:rPr>
        <w:t xml:space="preserve">ay 33 and died on </w:t>
      </w:r>
      <w:r>
        <w:rPr>
          <w:lang w:eastAsia="ja-JP"/>
        </w:rPr>
        <w:t>D</w:t>
      </w:r>
      <w:r w:rsidR="005824A1">
        <w:rPr>
          <w:lang w:eastAsia="ja-JP"/>
        </w:rPr>
        <w:t>ay 140 due to hepatic failure.</w:t>
      </w:r>
    </w:p>
    <w:p w:rsidR="00CE4F74" w:rsidRPr="00C31183" w:rsidRDefault="00CE4F74" w:rsidP="005824A1">
      <w:pPr>
        <w:rPr>
          <w:lang w:eastAsia="ja-JP"/>
        </w:rPr>
      </w:pPr>
      <w:r w:rsidRPr="00C31183">
        <w:rPr>
          <w:lang w:eastAsia="ja-JP"/>
        </w:rPr>
        <w:t xml:space="preserve">Increased ALT (all Grades) was reported in 36.0% (n=62) of patients in the </w:t>
      </w:r>
      <w:proofErr w:type="spellStart"/>
      <w:r w:rsidRPr="00C31183">
        <w:rPr>
          <w:lang w:eastAsia="ja-JP"/>
        </w:rPr>
        <w:t>crizotinib</w:t>
      </w:r>
      <w:proofErr w:type="spellEnd"/>
      <w:r w:rsidRPr="00C31183">
        <w:rPr>
          <w:lang w:eastAsia="ja-JP"/>
        </w:rPr>
        <w:t xml:space="preserve"> compared with 11.7% (n=20) of patients in the chemotherapy arm, while increased ALT (Grade 3 or 4) was reported in 12.8% (n=22) and 2.3% (n=4) of patients, respectively. Increased AST (all Grades) was reported in 26.2% (n=45) of patients in the </w:t>
      </w:r>
      <w:proofErr w:type="spellStart"/>
      <w:r w:rsidRPr="00C31183">
        <w:rPr>
          <w:lang w:eastAsia="ja-JP"/>
        </w:rPr>
        <w:t>crizotinib</w:t>
      </w:r>
      <w:proofErr w:type="spellEnd"/>
      <w:r w:rsidRPr="00C31183">
        <w:rPr>
          <w:lang w:eastAsia="ja-JP"/>
        </w:rPr>
        <w:t xml:space="preserve"> arm compared with 9.4% (n=16) of patients in the chemotherapy arm, while increased AST</w:t>
      </w:r>
      <w:r>
        <w:rPr>
          <w:lang w:eastAsia="ja-JP"/>
        </w:rPr>
        <w:t xml:space="preserve"> </w:t>
      </w:r>
      <w:r w:rsidRPr="00C31183">
        <w:rPr>
          <w:lang w:eastAsia="ja-JP"/>
        </w:rPr>
        <w:t>(Grade 3 or 4) was reported in 5.3% (n=9) and 0.6% (</w:t>
      </w:r>
      <w:r w:rsidR="005824A1">
        <w:rPr>
          <w:lang w:eastAsia="ja-JP"/>
        </w:rPr>
        <w:t>n=1) of patients, respectively.</w:t>
      </w:r>
    </w:p>
    <w:p w:rsidR="00CE4F74" w:rsidRPr="00C31183" w:rsidRDefault="00CE4F74" w:rsidP="005824A1">
      <w:pPr>
        <w:rPr>
          <w:lang w:eastAsia="ja-JP"/>
        </w:rPr>
      </w:pPr>
      <w:r w:rsidRPr="00C31183">
        <w:rPr>
          <w:lang w:eastAsia="ja-JP"/>
        </w:rPr>
        <w:t xml:space="preserve">In general, increased ALT and increased AST events observed in the </w:t>
      </w:r>
      <w:proofErr w:type="spellStart"/>
      <w:r w:rsidRPr="00C31183">
        <w:rPr>
          <w:lang w:eastAsia="ja-JP"/>
        </w:rPr>
        <w:t>crizotinib</w:t>
      </w:r>
      <w:proofErr w:type="spellEnd"/>
      <w:r w:rsidRPr="00C31183">
        <w:rPr>
          <w:lang w:eastAsia="ja-JP"/>
        </w:rPr>
        <w:t xml:space="preserve"> arm were manageable by temporary treatment discontinuation or dose reduction rather than permanent treatment discontinuation. In the </w:t>
      </w:r>
      <w:proofErr w:type="spellStart"/>
      <w:r w:rsidRPr="00C31183">
        <w:rPr>
          <w:lang w:eastAsia="ja-JP"/>
        </w:rPr>
        <w:t>crizotinib</w:t>
      </w:r>
      <w:proofErr w:type="spellEnd"/>
      <w:r w:rsidRPr="00C31183">
        <w:rPr>
          <w:lang w:eastAsia="ja-JP"/>
        </w:rPr>
        <w:t xml:space="preserve"> arm, increased ALT resulted in 1.2% (n=2) of patients permanently discontinuing (both Grade 3 events), while increased AST resulted in 1.2% (n=2) of patients permanently discontinuing (both Grade 3 events). No patients in the chemotherapy arm permanently discontinued treatment due to increases in ALT or AST events. Temporary treatment discontinuation due to increased ALT was reported in 6.4% (n=11) patients in the </w:t>
      </w:r>
      <w:proofErr w:type="spellStart"/>
      <w:r w:rsidRPr="00C31183">
        <w:rPr>
          <w:lang w:eastAsia="ja-JP"/>
        </w:rPr>
        <w:t>crizotinib</w:t>
      </w:r>
      <w:proofErr w:type="spellEnd"/>
      <w:r w:rsidRPr="00C31183">
        <w:rPr>
          <w:lang w:eastAsia="ja-JP"/>
        </w:rPr>
        <w:t xml:space="preserve"> arm compared with no patients in the chemotherapy arm and the corresponding results for increased AST were 3.5% (n=6) and 0.6% (n=1), respectively. In the </w:t>
      </w:r>
      <w:proofErr w:type="spellStart"/>
      <w:r w:rsidRPr="00C31183">
        <w:rPr>
          <w:lang w:eastAsia="ja-JP"/>
        </w:rPr>
        <w:t>crizotinib</w:t>
      </w:r>
      <w:proofErr w:type="spellEnd"/>
      <w:r w:rsidRPr="00C31183">
        <w:rPr>
          <w:lang w:eastAsia="ja-JP"/>
        </w:rPr>
        <w:t xml:space="preserve"> arm, dose reductions due to increased ALT were reported in 7.6% (n=13) of patients and dose reductions due to increased AST were reported in 2.3% (n=4) of patients. No dose reductions were reported in the chemotherapy arm for increased ALT or AST.</w:t>
      </w:r>
    </w:p>
    <w:p w:rsidR="00CE4F74" w:rsidRPr="00C31183" w:rsidRDefault="00CE4F74" w:rsidP="005824A1">
      <w:pPr>
        <w:rPr>
          <w:lang w:eastAsia="ja-JP"/>
        </w:rPr>
      </w:pPr>
      <w:r w:rsidRPr="00C31183">
        <w:rPr>
          <w:lang w:eastAsia="ja-JP"/>
        </w:rPr>
        <w:t xml:space="preserve">In the </w:t>
      </w:r>
      <w:proofErr w:type="spellStart"/>
      <w:r w:rsidRPr="00C31183">
        <w:rPr>
          <w:lang w:eastAsia="ja-JP"/>
        </w:rPr>
        <w:t>crizotinib</w:t>
      </w:r>
      <w:proofErr w:type="spellEnd"/>
      <w:r w:rsidRPr="00C31183">
        <w:rPr>
          <w:lang w:eastAsia="ja-JP"/>
        </w:rPr>
        <w:t xml:space="preserve"> arm, the median time to first onset for treatment-related ELEVATED TRANSAMINASES was 23 days (range: 3, 716) and the median duration was 85 days (95% CI: 51, 144), while in the chemotherapy arm the median time to first onset was 22 days (range: 3, 150 days) and the median duration was 64 days (95% CI: 24, 98). Treatment-related ELEVATED TRANSAMINASES occurred in 13.4% of patients in the first cycle in the </w:t>
      </w:r>
      <w:proofErr w:type="spellStart"/>
      <w:r w:rsidRPr="00C31183">
        <w:rPr>
          <w:lang w:eastAsia="ja-JP"/>
        </w:rPr>
        <w:t>crizotinib</w:t>
      </w:r>
      <w:proofErr w:type="spellEnd"/>
      <w:r w:rsidRPr="00C31183">
        <w:rPr>
          <w:lang w:eastAsia="ja-JP"/>
        </w:rPr>
        <w:t xml:space="preserve"> arm and increased in the next 5 cycles with levels ranging from 13.6% to 21.2%. Treatment-related ELEVATED TRANSAMINASES occurred in 6.4% of patients in Cycle 1 in the chemotherapy arm and increased in the next 5 cycles with levels ranging from 4.1% </w:t>
      </w:r>
      <w:r w:rsidR="005824A1">
        <w:rPr>
          <w:lang w:eastAsia="ja-JP"/>
        </w:rPr>
        <w:t>to 12.8%.</w:t>
      </w:r>
    </w:p>
    <w:p w:rsidR="00CE4F74" w:rsidRPr="00C31183" w:rsidRDefault="00CE4F74" w:rsidP="005824A1">
      <w:pPr>
        <w:rPr>
          <w:lang w:eastAsia="ja-JP"/>
        </w:rPr>
      </w:pPr>
      <w:r w:rsidRPr="00C31183">
        <w:rPr>
          <w:lang w:eastAsia="ja-JP"/>
        </w:rPr>
        <w:lastRenderedPageBreak/>
        <w:t xml:space="preserve">HEPATOTOXICITY (all causalities, all grades) was reported in 5 (2.9%) patients in the </w:t>
      </w:r>
      <w:proofErr w:type="spellStart"/>
      <w:r w:rsidRPr="00C31183">
        <w:rPr>
          <w:lang w:eastAsia="ja-JP"/>
        </w:rPr>
        <w:t>crizotinib</w:t>
      </w:r>
      <w:proofErr w:type="spellEnd"/>
      <w:r w:rsidRPr="00C31183">
        <w:rPr>
          <w:lang w:eastAsia="ja-JP"/>
        </w:rPr>
        <w:t xml:space="preserve"> arm (n=3 [Grade 1/2] and n=2 [Grade 3]) compared with 1 (0.6%) patient in the chemotherapy arm (n=1 [Grade 2], </w:t>
      </w:r>
      <w:proofErr w:type="spellStart"/>
      <w:r w:rsidRPr="00C31183">
        <w:rPr>
          <w:lang w:eastAsia="ja-JP"/>
        </w:rPr>
        <w:t>pemetrexed</w:t>
      </w:r>
      <w:proofErr w:type="spellEnd"/>
      <w:r w:rsidRPr="00C31183">
        <w:rPr>
          <w:lang w:eastAsia="ja-JP"/>
        </w:rPr>
        <w:t xml:space="preserve"> group).</w:t>
      </w:r>
      <w:r>
        <w:rPr>
          <w:lang w:eastAsia="ja-JP"/>
        </w:rPr>
        <w:t xml:space="preserve"> </w:t>
      </w:r>
      <w:r w:rsidRPr="00C31183">
        <w:rPr>
          <w:lang w:eastAsia="ja-JP"/>
        </w:rPr>
        <w:t xml:space="preserve">In the </w:t>
      </w:r>
      <w:proofErr w:type="spellStart"/>
      <w:r w:rsidRPr="00C31183">
        <w:rPr>
          <w:lang w:eastAsia="ja-JP"/>
        </w:rPr>
        <w:t>crizotinib</w:t>
      </w:r>
      <w:proofErr w:type="spellEnd"/>
      <w:r w:rsidRPr="00C31183">
        <w:rPr>
          <w:lang w:eastAsia="ja-JP"/>
        </w:rPr>
        <w:t xml:space="preserve"> arm, </w:t>
      </w:r>
      <w:proofErr w:type="spellStart"/>
      <w:r w:rsidRPr="00C31183">
        <w:rPr>
          <w:lang w:eastAsia="ja-JP"/>
        </w:rPr>
        <w:t>hepatobiliary</w:t>
      </w:r>
      <w:proofErr w:type="spellEnd"/>
      <w:r w:rsidRPr="00C31183">
        <w:rPr>
          <w:lang w:eastAsia="ja-JP"/>
        </w:rPr>
        <w:t xml:space="preserve"> disorders (</w:t>
      </w:r>
      <w:r>
        <w:rPr>
          <w:lang w:eastAsia="ja-JP"/>
        </w:rPr>
        <w:t>System Organ Class (</w:t>
      </w:r>
      <w:r w:rsidRPr="00C31183">
        <w:rPr>
          <w:lang w:eastAsia="ja-JP"/>
        </w:rPr>
        <w:t>SOC</w:t>
      </w:r>
      <w:r>
        <w:rPr>
          <w:lang w:eastAsia="ja-JP"/>
        </w:rPr>
        <w:t>)</w:t>
      </w:r>
      <w:r w:rsidRPr="00C31183">
        <w:rPr>
          <w:lang w:eastAsia="ja-JP"/>
        </w:rPr>
        <w:t xml:space="preserve">) were reported in 7.0% (n=12) of patients, with preferred term events of </w:t>
      </w:r>
      <w:proofErr w:type="spellStart"/>
      <w:r w:rsidRPr="00C31183">
        <w:rPr>
          <w:lang w:eastAsia="ja-JP"/>
        </w:rPr>
        <w:t>cytolytic</w:t>
      </w:r>
      <w:proofErr w:type="spellEnd"/>
      <w:r w:rsidRPr="00C31183">
        <w:rPr>
          <w:lang w:eastAsia="ja-JP"/>
        </w:rPr>
        <w:t xml:space="preserve"> hepatitis, hepatic function abnormal, </w:t>
      </w:r>
      <w:proofErr w:type="spellStart"/>
      <w:r w:rsidRPr="00C31183">
        <w:rPr>
          <w:lang w:eastAsia="ja-JP"/>
        </w:rPr>
        <w:t>hyperbilirubinaemia</w:t>
      </w:r>
      <w:proofErr w:type="spellEnd"/>
      <w:r w:rsidRPr="00C31183">
        <w:rPr>
          <w:lang w:eastAsia="ja-JP"/>
        </w:rPr>
        <w:t xml:space="preserve"> and liver injury each being reported in 2 patients. In the chemotherapy arm, </w:t>
      </w:r>
      <w:proofErr w:type="spellStart"/>
      <w:r w:rsidRPr="00C31183">
        <w:rPr>
          <w:lang w:eastAsia="ja-JP"/>
        </w:rPr>
        <w:t>hepatobiliary</w:t>
      </w:r>
      <w:proofErr w:type="spellEnd"/>
      <w:r w:rsidRPr="00C31183">
        <w:rPr>
          <w:lang w:eastAsia="ja-JP"/>
        </w:rPr>
        <w:t xml:space="preserve"> disorders (SOC) were reported in 4.7% (n=8) of patients, with preferred term events of </w:t>
      </w:r>
      <w:proofErr w:type="spellStart"/>
      <w:r w:rsidRPr="00C31183">
        <w:rPr>
          <w:lang w:eastAsia="ja-JP"/>
        </w:rPr>
        <w:t>hyperbilirubinaemia</w:t>
      </w:r>
      <w:proofErr w:type="spellEnd"/>
      <w:r w:rsidRPr="00C31183">
        <w:rPr>
          <w:lang w:eastAsia="ja-JP"/>
        </w:rPr>
        <w:t xml:space="preserve"> being reported in 3 patients and hepatic function abnormal in 2 patients.</w:t>
      </w:r>
    </w:p>
    <w:p w:rsidR="00CE4F74" w:rsidRPr="00C31183" w:rsidRDefault="005824A1" w:rsidP="005824A1">
      <w:pPr>
        <w:pStyle w:val="Heading4"/>
      </w:pPr>
      <w:r>
        <w:t>Diarrhoea</w:t>
      </w:r>
    </w:p>
    <w:p w:rsidR="00CE4F74" w:rsidRPr="00C31183" w:rsidRDefault="00CE4F74" w:rsidP="005824A1">
      <w:pPr>
        <w:rPr>
          <w:lang w:eastAsia="ja-JP"/>
        </w:rPr>
      </w:pPr>
      <w:r w:rsidRPr="00C31183">
        <w:rPr>
          <w:lang w:eastAsia="ja-JP"/>
        </w:rPr>
        <w:t xml:space="preserve">Diarrhoea (all grades) was reported more commonly in the </w:t>
      </w:r>
      <w:proofErr w:type="spellStart"/>
      <w:r w:rsidRPr="00C31183">
        <w:rPr>
          <w:lang w:eastAsia="ja-JP"/>
        </w:rPr>
        <w:t>crizotinib</w:t>
      </w:r>
      <w:proofErr w:type="spellEnd"/>
      <w:r w:rsidRPr="00C31183">
        <w:rPr>
          <w:lang w:eastAsia="ja-JP"/>
        </w:rPr>
        <w:t xml:space="preserve"> arm than in the chemotherapy arm (59.9%, n=103</w:t>
      </w:r>
      <w:r>
        <w:rPr>
          <w:lang w:eastAsia="ja-JP"/>
        </w:rPr>
        <w:t xml:space="preserve"> versus </w:t>
      </w:r>
      <w:r w:rsidRPr="00C31183">
        <w:rPr>
          <w:lang w:eastAsia="ja-JP"/>
        </w:rPr>
        <w:t xml:space="preserve">19.3%, n=33, respectively). All reports of diarrhoea in both treatment arms were Grade 1 or 2 in severity, apart from one Grade 3 event in the chemotherapy arm. There were no permanent treatment discontinuations due to diarrhoea in either treatment arm, while temporary treatment discontinuations due to diarrhoea were reported in 1 (0.6%) patient in the chemotherapy arm and no patients in the </w:t>
      </w:r>
      <w:proofErr w:type="spellStart"/>
      <w:r w:rsidRPr="00C31183">
        <w:rPr>
          <w:lang w:eastAsia="ja-JP"/>
        </w:rPr>
        <w:t>crizotinib</w:t>
      </w:r>
      <w:proofErr w:type="spellEnd"/>
      <w:r w:rsidRPr="00C31183">
        <w:rPr>
          <w:lang w:eastAsia="ja-JP"/>
        </w:rPr>
        <w:t xml:space="preserve"> arm. Dose reductions due to diarrhoea were reported in 1 (0.6%) patient in the </w:t>
      </w:r>
      <w:proofErr w:type="spellStart"/>
      <w:r w:rsidRPr="00C31183">
        <w:rPr>
          <w:lang w:eastAsia="ja-JP"/>
        </w:rPr>
        <w:t>crizotinib</w:t>
      </w:r>
      <w:proofErr w:type="spellEnd"/>
      <w:r w:rsidRPr="00C31183">
        <w:rPr>
          <w:lang w:eastAsia="ja-JP"/>
        </w:rPr>
        <w:t xml:space="preserve"> arm and no pa</w:t>
      </w:r>
      <w:r w:rsidR="005824A1">
        <w:rPr>
          <w:lang w:eastAsia="ja-JP"/>
        </w:rPr>
        <w:t>tients in the chemotherapy arm.</w:t>
      </w:r>
    </w:p>
    <w:p w:rsidR="00CE4F74" w:rsidRPr="00C31183" w:rsidRDefault="00CE4F74" w:rsidP="005824A1">
      <w:pPr>
        <w:rPr>
          <w:lang w:eastAsia="ja-JP"/>
        </w:rPr>
      </w:pPr>
      <w:r w:rsidRPr="00C31183">
        <w:rPr>
          <w:lang w:eastAsia="ja-JP"/>
        </w:rPr>
        <w:t xml:space="preserve">Diarrhoea in both treatment arms rarely required treatment modification in either the </w:t>
      </w:r>
      <w:proofErr w:type="spellStart"/>
      <w:r w:rsidRPr="00C31183">
        <w:rPr>
          <w:lang w:eastAsia="ja-JP"/>
        </w:rPr>
        <w:t>crizotinib</w:t>
      </w:r>
      <w:proofErr w:type="spellEnd"/>
      <w:r w:rsidRPr="00C31183">
        <w:rPr>
          <w:lang w:eastAsia="ja-JP"/>
        </w:rPr>
        <w:t xml:space="preserve"> or chemotherapy arms and appears to have been primarily managed symptomatically. The use of </w:t>
      </w:r>
      <w:proofErr w:type="spellStart"/>
      <w:r w:rsidRPr="00C31183">
        <w:rPr>
          <w:lang w:eastAsia="ja-JP"/>
        </w:rPr>
        <w:t>loperamide</w:t>
      </w:r>
      <w:proofErr w:type="spellEnd"/>
      <w:r w:rsidRPr="00C31183">
        <w:rPr>
          <w:lang w:eastAsia="ja-JP"/>
        </w:rPr>
        <w:t xml:space="preserve"> preparations during treatment was notably more common in the </w:t>
      </w:r>
      <w:proofErr w:type="spellStart"/>
      <w:r w:rsidRPr="00C31183">
        <w:rPr>
          <w:lang w:eastAsia="ja-JP"/>
        </w:rPr>
        <w:t>crizotinib</w:t>
      </w:r>
      <w:proofErr w:type="spellEnd"/>
      <w:r w:rsidRPr="00C31183">
        <w:rPr>
          <w:lang w:eastAsia="ja-JP"/>
        </w:rPr>
        <w:t xml:space="preserve"> arm than in the chemotherapy arm (24.4%, n=42</w:t>
      </w:r>
      <w:r>
        <w:rPr>
          <w:lang w:eastAsia="ja-JP"/>
        </w:rPr>
        <w:t xml:space="preserve"> versus </w:t>
      </w:r>
      <w:r w:rsidRPr="00C31183">
        <w:rPr>
          <w:lang w:eastAsia="ja-JP"/>
        </w:rPr>
        <w:t xml:space="preserve">5.3%, n=9). The greater use of </w:t>
      </w:r>
      <w:proofErr w:type="spellStart"/>
      <w:r w:rsidRPr="00C31183">
        <w:rPr>
          <w:lang w:eastAsia="ja-JP"/>
        </w:rPr>
        <w:t>loperamide</w:t>
      </w:r>
      <w:proofErr w:type="spellEnd"/>
      <w:r w:rsidRPr="00C31183">
        <w:rPr>
          <w:lang w:eastAsia="ja-JP"/>
        </w:rPr>
        <w:t xml:space="preserve"> in the </w:t>
      </w:r>
      <w:proofErr w:type="spellStart"/>
      <w:r w:rsidRPr="00C31183">
        <w:rPr>
          <w:lang w:eastAsia="ja-JP"/>
        </w:rPr>
        <w:t>crizotinib</w:t>
      </w:r>
      <w:proofErr w:type="spellEnd"/>
      <w:r w:rsidRPr="00C31183">
        <w:rPr>
          <w:lang w:eastAsia="ja-JP"/>
        </w:rPr>
        <w:t xml:space="preserve"> arm compared with the chemotherapy arm was consistent with both the increased frequency of clinically meaningful diarrhoea in the </w:t>
      </w:r>
      <w:proofErr w:type="spellStart"/>
      <w:r w:rsidRPr="00C31183">
        <w:rPr>
          <w:lang w:eastAsia="ja-JP"/>
        </w:rPr>
        <w:t>crizotinib</w:t>
      </w:r>
      <w:proofErr w:type="spellEnd"/>
      <w:r w:rsidRPr="00C31183">
        <w:rPr>
          <w:lang w:eastAsia="ja-JP"/>
        </w:rPr>
        <w:t xml:space="preserve"> arm compared with the chemotherapy arm and the significantly greater increase from baseline in the EORTC QLQ-C30 symptom score for this event in the </w:t>
      </w:r>
      <w:proofErr w:type="spellStart"/>
      <w:r w:rsidRPr="00C31183">
        <w:rPr>
          <w:lang w:eastAsia="ja-JP"/>
        </w:rPr>
        <w:t>crizotinib</w:t>
      </w:r>
      <w:proofErr w:type="spellEnd"/>
      <w:r w:rsidRPr="00C31183">
        <w:rPr>
          <w:lang w:eastAsia="ja-JP"/>
        </w:rPr>
        <w:t xml:space="preserve"> arm comp</w:t>
      </w:r>
      <w:r w:rsidR="005824A1">
        <w:rPr>
          <w:lang w:eastAsia="ja-JP"/>
        </w:rPr>
        <w:t>ared with the chemotherapy arm.</w:t>
      </w:r>
    </w:p>
    <w:p w:rsidR="00CE4F74" w:rsidRPr="00C31183" w:rsidRDefault="00CE4F74" w:rsidP="005824A1">
      <w:pPr>
        <w:rPr>
          <w:lang w:eastAsia="ja-JP"/>
        </w:rPr>
      </w:pPr>
      <w:r w:rsidRPr="00C31183">
        <w:rPr>
          <w:lang w:eastAsia="ja-JP"/>
        </w:rPr>
        <w:t xml:space="preserve">In the </w:t>
      </w:r>
      <w:proofErr w:type="spellStart"/>
      <w:r w:rsidRPr="00C31183">
        <w:rPr>
          <w:lang w:eastAsia="ja-JP"/>
        </w:rPr>
        <w:t>crizotinib</w:t>
      </w:r>
      <w:proofErr w:type="spellEnd"/>
      <w:r w:rsidRPr="00C31183">
        <w:rPr>
          <w:lang w:eastAsia="ja-JP"/>
        </w:rPr>
        <w:t xml:space="preserve"> arm, the median time to first onset of treatment-related diarrhoea was 6 days (range: 1, 397) and the median duration of the event was 72 days (95% CI: 27, 135), while in the chemotherapy arm the median time to onset was 8.5 days (range: 1, 310) and the mean duration of the event was 8.5 days (95% CI: 4, 30). Treatment-related diarrhoea occurred in 36.6% of patients in the first cycle in the </w:t>
      </w:r>
      <w:proofErr w:type="spellStart"/>
      <w:r w:rsidRPr="00C31183">
        <w:rPr>
          <w:lang w:eastAsia="ja-JP"/>
        </w:rPr>
        <w:t>crizotinib</w:t>
      </w:r>
      <w:proofErr w:type="spellEnd"/>
      <w:r w:rsidRPr="00C31183">
        <w:rPr>
          <w:lang w:eastAsia="ja-JP"/>
        </w:rPr>
        <w:t xml:space="preserve"> arm, and remained at consistently high over the next 5 cycles with levels ranging from 24.3% to 29.6%. Treatment-related diarrhoea occurred in 11.1% of patients in the first cycle in the chemotherapy arm and fell over the next 5 cycles with levels ranging from 2.6%</w:t>
      </w:r>
      <w:r w:rsidR="005824A1">
        <w:rPr>
          <w:lang w:eastAsia="ja-JP"/>
        </w:rPr>
        <w:t xml:space="preserve"> to 7.5%.</w:t>
      </w:r>
    </w:p>
    <w:p w:rsidR="00CE4F74" w:rsidRPr="00C31183" w:rsidRDefault="00CE4F74" w:rsidP="005824A1">
      <w:pPr>
        <w:pStyle w:val="Heading4"/>
      </w:pPr>
      <w:r w:rsidRPr="00C31183">
        <w:t xml:space="preserve">Nausea and </w:t>
      </w:r>
      <w:r w:rsidR="005824A1" w:rsidRPr="005824A1">
        <w:t>v</w:t>
      </w:r>
      <w:r w:rsidRPr="005824A1">
        <w:t>omiting</w:t>
      </w:r>
    </w:p>
    <w:p w:rsidR="00CE4F74" w:rsidRPr="00C31183" w:rsidRDefault="00CE4F74" w:rsidP="005824A1">
      <w:pPr>
        <w:rPr>
          <w:lang w:eastAsia="ja-JP"/>
        </w:rPr>
      </w:pPr>
      <w:r w:rsidRPr="00C31183">
        <w:rPr>
          <w:b/>
          <w:lang w:eastAsia="ja-JP"/>
        </w:rPr>
        <w:t xml:space="preserve">Vomiting </w:t>
      </w:r>
      <w:r w:rsidRPr="00C31183">
        <w:rPr>
          <w:lang w:eastAsia="ja-JP"/>
        </w:rPr>
        <w:t xml:space="preserve">(all grades) was reported more commonly in the </w:t>
      </w:r>
      <w:proofErr w:type="spellStart"/>
      <w:r w:rsidRPr="00C31183">
        <w:rPr>
          <w:lang w:eastAsia="ja-JP"/>
        </w:rPr>
        <w:t>crizotinib</w:t>
      </w:r>
      <w:proofErr w:type="spellEnd"/>
      <w:r w:rsidRPr="00C31183">
        <w:rPr>
          <w:lang w:eastAsia="ja-JP"/>
        </w:rPr>
        <w:t xml:space="preserve"> arm than in the chemotherapy arm (46.5%, n=80</w:t>
      </w:r>
      <w:r>
        <w:rPr>
          <w:lang w:eastAsia="ja-JP"/>
        </w:rPr>
        <w:t xml:space="preserve"> versus </w:t>
      </w:r>
      <w:r w:rsidRPr="00C31183">
        <w:rPr>
          <w:lang w:eastAsia="ja-JP"/>
        </w:rPr>
        <w:t>17.5%, n=30) and vomiting</w:t>
      </w:r>
      <w:r>
        <w:rPr>
          <w:lang w:eastAsia="ja-JP"/>
        </w:rPr>
        <w:t xml:space="preserve"> </w:t>
      </w:r>
      <w:r w:rsidRPr="00C31183">
        <w:rPr>
          <w:lang w:eastAsia="ja-JP"/>
        </w:rPr>
        <w:t xml:space="preserve">(Grade 3 or 4) was reported only in the </w:t>
      </w:r>
      <w:proofErr w:type="spellStart"/>
      <w:r w:rsidRPr="00C31183">
        <w:rPr>
          <w:lang w:eastAsia="ja-JP"/>
        </w:rPr>
        <w:t>crizotinib</w:t>
      </w:r>
      <w:proofErr w:type="spellEnd"/>
      <w:r w:rsidRPr="00C31183">
        <w:rPr>
          <w:lang w:eastAsia="ja-JP"/>
        </w:rPr>
        <w:t xml:space="preserve"> arm (1.2%, n=2). There were no permanent treatment discontinuations due to vomiting in either treatment arm but temporary treatment discontinuations and dose reductions due to vomiting were reported in 6 (3.5%) and 1 (0.6%) patients in the </w:t>
      </w:r>
      <w:proofErr w:type="spellStart"/>
      <w:r w:rsidRPr="00C31183">
        <w:rPr>
          <w:lang w:eastAsia="ja-JP"/>
        </w:rPr>
        <w:t>crizotinib</w:t>
      </w:r>
      <w:proofErr w:type="spellEnd"/>
      <w:r w:rsidRPr="00C31183">
        <w:rPr>
          <w:lang w:eastAsia="ja-JP"/>
        </w:rPr>
        <w:t xml:space="preserve"> arm, respectively, compared with no pa</w:t>
      </w:r>
      <w:r w:rsidR="005824A1">
        <w:rPr>
          <w:lang w:eastAsia="ja-JP"/>
        </w:rPr>
        <w:t>tients in the chemotherapy arm.</w:t>
      </w:r>
    </w:p>
    <w:p w:rsidR="00CE4F74" w:rsidRPr="00C31183" w:rsidRDefault="00CE4F74" w:rsidP="005824A1">
      <w:pPr>
        <w:rPr>
          <w:lang w:eastAsia="ja-JP"/>
        </w:rPr>
      </w:pPr>
      <w:r w:rsidRPr="00C31183">
        <w:rPr>
          <w:lang w:eastAsia="ja-JP"/>
        </w:rPr>
        <w:t xml:space="preserve">In the </w:t>
      </w:r>
      <w:proofErr w:type="spellStart"/>
      <w:r w:rsidRPr="00C31183">
        <w:rPr>
          <w:lang w:eastAsia="ja-JP"/>
        </w:rPr>
        <w:t>crizotinib</w:t>
      </w:r>
      <w:proofErr w:type="spellEnd"/>
      <w:r w:rsidRPr="00C31183">
        <w:rPr>
          <w:lang w:eastAsia="ja-JP"/>
        </w:rPr>
        <w:t xml:space="preserve"> arm, the median time to first onset of treatment-related vomiting was 2 days (range: 1, 439) and the median duration this event was 13 days (95% CI: 9, 22)</w:t>
      </w:r>
      <w:r>
        <w:rPr>
          <w:lang w:eastAsia="ja-JP"/>
        </w:rPr>
        <w:t>. I</w:t>
      </w:r>
      <w:r w:rsidRPr="00C31183">
        <w:rPr>
          <w:lang w:eastAsia="ja-JP"/>
        </w:rPr>
        <w:t xml:space="preserve">n the chemotherapy arm the median time to first onset of treatment-related vomiting was 14.5 days (range: 2, 459) and the duration of the event was 3 days (95% CI: 2, 21). Treatment-related vomiting occurred in 36.6% of patients in the first cycle in the </w:t>
      </w:r>
      <w:proofErr w:type="spellStart"/>
      <w:r w:rsidRPr="00C31183">
        <w:rPr>
          <w:lang w:eastAsia="ja-JP"/>
        </w:rPr>
        <w:t>crizotinib</w:t>
      </w:r>
      <w:proofErr w:type="spellEnd"/>
      <w:r w:rsidRPr="00C31183">
        <w:rPr>
          <w:lang w:eastAsia="ja-JP"/>
        </w:rPr>
        <w:t xml:space="preserve"> arm after and fell over the next 5 cycles with levels ranging from 6.2% to 9.6%. Treatment-related vomiting occurred in 8.2% of patients in the first cycle after in the chemotherapy arm and fell over the next 5 cycles with le</w:t>
      </w:r>
      <w:r w:rsidR="005824A1">
        <w:rPr>
          <w:lang w:eastAsia="ja-JP"/>
        </w:rPr>
        <w:t>vels ranging from 1.8% to 6.4%.</w:t>
      </w:r>
    </w:p>
    <w:p w:rsidR="00CE4F74" w:rsidRPr="00C31183" w:rsidRDefault="00CE4F74" w:rsidP="005824A1">
      <w:pPr>
        <w:rPr>
          <w:lang w:eastAsia="ja-JP"/>
        </w:rPr>
      </w:pPr>
      <w:r w:rsidRPr="00C31183">
        <w:rPr>
          <w:b/>
          <w:lang w:eastAsia="ja-JP"/>
        </w:rPr>
        <w:lastRenderedPageBreak/>
        <w:t xml:space="preserve">Nausea </w:t>
      </w:r>
      <w:r w:rsidRPr="00C31183">
        <w:rPr>
          <w:lang w:eastAsia="ja-JP"/>
        </w:rPr>
        <w:t xml:space="preserve">(all grades) was reported more commonly in the </w:t>
      </w:r>
      <w:proofErr w:type="spellStart"/>
      <w:r w:rsidRPr="00C31183">
        <w:rPr>
          <w:lang w:eastAsia="ja-JP"/>
        </w:rPr>
        <w:t>crizotinib</w:t>
      </w:r>
      <w:proofErr w:type="spellEnd"/>
      <w:r w:rsidRPr="00C31183">
        <w:rPr>
          <w:lang w:eastAsia="ja-JP"/>
        </w:rPr>
        <w:t xml:space="preserve"> arm than in the chemotherapy arm (54.7%, n=94</w:t>
      </w:r>
      <w:r>
        <w:rPr>
          <w:lang w:eastAsia="ja-JP"/>
        </w:rPr>
        <w:t xml:space="preserve"> versus </w:t>
      </w:r>
      <w:r w:rsidRPr="00C31183">
        <w:rPr>
          <w:lang w:eastAsia="ja-JP"/>
        </w:rPr>
        <w:t xml:space="preserve">37.4%, n=64) and there were 2 patients (1.2%) with Grade 3 events and 1 patient (0.6%) with a Grade 5 event in the </w:t>
      </w:r>
      <w:proofErr w:type="spellStart"/>
      <w:r w:rsidRPr="00C31183">
        <w:rPr>
          <w:lang w:eastAsia="ja-JP"/>
        </w:rPr>
        <w:t>crizotinib</w:t>
      </w:r>
      <w:proofErr w:type="spellEnd"/>
      <w:r w:rsidRPr="00C31183">
        <w:rPr>
          <w:lang w:eastAsia="ja-JP"/>
        </w:rPr>
        <w:t xml:space="preserve"> arm compared with 1 (0.6%) patient with a Grade 3 event in the chemotherapy arm. The Grade 5 TEAE of nausea in the </w:t>
      </w:r>
      <w:proofErr w:type="spellStart"/>
      <w:r w:rsidRPr="00C31183">
        <w:rPr>
          <w:lang w:eastAsia="ja-JP"/>
        </w:rPr>
        <w:t>crizotinib</w:t>
      </w:r>
      <w:proofErr w:type="spellEnd"/>
      <w:r w:rsidRPr="00C31183">
        <w:rPr>
          <w:lang w:eastAsia="ja-JP"/>
        </w:rPr>
        <w:t xml:space="preserve"> arm was incorrectly listed and was corrected after the data </w:t>
      </w:r>
      <w:proofErr w:type="spellStart"/>
      <w:r w:rsidRPr="00C31183">
        <w:rPr>
          <w:lang w:eastAsia="ja-JP"/>
        </w:rPr>
        <w:t>cut</w:t>
      </w:r>
      <w:r>
        <w:rPr>
          <w:lang w:eastAsia="ja-JP"/>
        </w:rPr>
        <w:t xml:space="preserve"> </w:t>
      </w:r>
      <w:r w:rsidRPr="00C31183">
        <w:rPr>
          <w:lang w:eastAsia="ja-JP"/>
        </w:rPr>
        <w:t>off</w:t>
      </w:r>
      <w:proofErr w:type="spellEnd"/>
      <w:r w:rsidRPr="00C31183">
        <w:rPr>
          <w:lang w:eastAsia="ja-JP"/>
        </w:rPr>
        <w:t xml:space="preserve"> date (the patient had a Grade 1 event of nausea and a Grade 5 event or pulmonary embolism). Permanent treatment discontinuations due to nausea w</w:t>
      </w:r>
      <w:r>
        <w:rPr>
          <w:lang w:eastAsia="ja-JP"/>
        </w:rPr>
        <w:t>ere</w:t>
      </w:r>
      <w:r w:rsidRPr="00C31183">
        <w:rPr>
          <w:lang w:eastAsia="ja-JP"/>
        </w:rPr>
        <w:t xml:space="preserve"> reported in 1 (0.6%) patient in the </w:t>
      </w:r>
      <w:proofErr w:type="spellStart"/>
      <w:r w:rsidRPr="00C31183">
        <w:rPr>
          <w:lang w:eastAsia="ja-JP"/>
        </w:rPr>
        <w:t>crizotinib</w:t>
      </w:r>
      <w:proofErr w:type="spellEnd"/>
      <w:r w:rsidRPr="00C31183">
        <w:rPr>
          <w:lang w:eastAsia="ja-JP"/>
        </w:rPr>
        <w:t xml:space="preserve"> arm and no patients in the chemotherapy arm</w:t>
      </w:r>
      <w:r>
        <w:rPr>
          <w:lang w:eastAsia="ja-JP"/>
        </w:rPr>
        <w:t>. T</w:t>
      </w:r>
      <w:r w:rsidRPr="00C31183">
        <w:rPr>
          <w:lang w:eastAsia="ja-JP"/>
        </w:rPr>
        <w:t xml:space="preserve">emporary treatment discontinuations were reported in 8 (4.7%) patients in the </w:t>
      </w:r>
      <w:proofErr w:type="spellStart"/>
      <w:r w:rsidRPr="00C31183">
        <w:rPr>
          <w:lang w:eastAsia="ja-JP"/>
        </w:rPr>
        <w:t>crizotinib</w:t>
      </w:r>
      <w:proofErr w:type="spellEnd"/>
      <w:r w:rsidRPr="00C31183">
        <w:rPr>
          <w:lang w:eastAsia="ja-JP"/>
        </w:rPr>
        <w:t xml:space="preserve"> arm and no patients in the chemotherapy arm</w:t>
      </w:r>
      <w:r>
        <w:rPr>
          <w:lang w:eastAsia="ja-JP"/>
        </w:rPr>
        <w:t>. D</w:t>
      </w:r>
      <w:r w:rsidRPr="00C31183">
        <w:rPr>
          <w:lang w:eastAsia="ja-JP"/>
        </w:rPr>
        <w:t xml:space="preserve">ose reductions were reported in 1 (0.6%) patient in the </w:t>
      </w:r>
      <w:proofErr w:type="spellStart"/>
      <w:r w:rsidRPr="00C31183">
        <w:rPr>
          <w:lang w:eastAsia="ja-JP"/>
        </w:rPr>
        <w:t>crizotinib</w:t>
      </w:r>
      <w:proofErr w:type="spellEnd"/>
      <w:r w:rsidRPr="00C31183">
        <w:rPr>
          <w:lang w:eastAsia="ja-JP"/>
        </w:rPr>
        <w:t xml:space="preserve"> arm and no pa</w:t>
      </w:r>
      <w:r w:rsidR="005824A1">
        <w:rPr>
          <w:lang w:eastAsia="ja-JP"/>
        </w:rPr>
        <w:t>tients in the chemotherapy arm.</w:t>
      </w:r>
    </w:p>
    <w:p w:rsidR="00CE4F74" w:rsidRPr="00C31183" w:rsidRDefault="00CE4F74" w:rsidP="005824A1">
      <w:pPr>
        <w:rPr>
          <w:lang w:eastAsia="ja-JP"/>
        </w:rPr>
      </w:pPr>
      <w:r w:rsidRPr="00C31183">
        <w:rPr>
          <w:lang w:eastAsia="ja-JP"/>
        </w:rPr>
        <w:t xml:space="preserve">In the </w:t>
      </w:r>
      <w:proofErr w:type="spellStart"/>
      <w:r w:rsidRPr="00C31183">
        <w:rPr>
          <w:lang w:eastAsia="ja-JP"/>
        </w:rPr>
        <w:t>crizotinib</w:t>
      </w:r>
      <w:proofErr w:type="spellEnd"/>
      <w:r w:rsidRPr="00C31183">
        <w:rPr>
          <w:lang w:eastAsia="ja-JP"/>
        </w:rPr>
        <w:t xml:space="preserve"> arm, the median time to first onset of treatment-related nausea was 2 days (range: 1, 247 days) and the median duration of the event was 42 days (95% CI: 22, 71), while in the chemotherapy arm the median time to first onset of treatment-related nausea was 4 days (range: 1, 424) and the median duration of the event was 17 days (95%CI: 8, 35). Treatment-related nausea occurred in 43.6% of patients in the first cycle in the </w:t>
      </w:r>
      <w:proofErr w:type="spellStart"/>
      <w:r w:rsidRPr="00C31183">
        <w:rPr>
          <w:lang w:eastAsia="ja-JP"/>
        </w:rPr>
        <w:t>crizotinib</w:t>
      </w:r>
      <w:proofErr w:type="spellEnd"/>
      <w:r w:rsidRPr="00C31183">
        <w:rPr>
          <w:lang w:eastAsia="ja-JP"/>
        </w:rPr>
        <w:t xml:space="preserve"> arm and fell over the next 5 cycles with levels ranging from 15.2% to 20.1%. Treatment-related nausea occurred in 24.6% of patients in the first cycle in the chemotherapy arm and fell over the next 5 cycles with leve</w:t>
      </w:r>
      <w:r w:rsidR="005824A1">
        <w:rPr>
          <w:lang w:eastAsia="ja-JP"/>
        </w:rPr>
        <w:t>ls ranging from 11.3% to 18.5%.</w:t>
      </w:r>
    </w:p>
    <w:p w:rsidR="00CE4F74" w:rsidRPr="00C31183" w:rsidRDefault="00CE4F74" w:rsidP="005824A1">
      <w:pPr>
        <w:rPr>
          <w:lang w:eastAsia="ja-JP"/>
        </w:rPr>
      </w:pPr>
      <w:r w:rsidRPr="00C31183">
        <w:rPr>
          <w:lang w:eastAsia="ja-JP"/>
        </w:rPr>
        <w:t>Concomitant use of anti-emetics and anti-</w:t>
      </w:r>
      <w:proofErr w:type="spellStart"/>
      <w:r w:rsidRPr="00C31183">
        <w:rPr>
          <w:lang w:eastAsia="ja-JP"/>
        </w:rPr>
        <w:t>nauseants</w:t>
      </w:r>
      <w:proofErr w:type="spellEnd"/>
      <w:r w:rsidRPr="00C31183">
        <w:rPr>
          <w:lang w:eastAsia="ja-JP"/>
        </w:rPr>
        <w:t xml:space="preserve"> during the study were reported more commonly in the chemotherapy arm (67.3%, n=115) than in the </w:t>
      </w:r>
      <w:proofErr w:type="spellStart"/>
      <w:r w:rsidRPr="00C31183">
        <w:rPr>
          <w:lang w:eastAsia="ja-JP"/>
        </w:rPr>
        <w:t>crizotinib</w:t>
      </w:r>
      <w:proofErr w:type="spellEnd"/>
      <w:r w:rsidRPr="00C31183">
        <w:rPr>
          <w:lang w:eastAsia="ja-JP"/>
        </w:rPr>
        <w:t xml:space="preserve"> arm (20.3%, n=35), despite nausea and vomiting occurring more often in the </w:t>
      </w:r>
      <w:proofErr w:type="spellStart"/>
      <w:r w:rsidRPr="00C31183">
        <w:rPr>
          <w:lang w:eastAsia="ja-JP"/>
        </w:rPr>
        <w:t>crizotinib</w:t>
      </w:r>
      <w:proofErr w:type="spellEnd"/>
      <w:r w:rsidRPr="00C31183">
        <w:rPr>
          <w:lang w:eastAsia="ja-JP"/>
        </w:rPr>
        <w:t xml:space="preserve"> arm than in the chemotherapy arm. There were no significant differences between the two treatment arms in the change from baseline in the EORTC QLQ-C30 symptom </w:t>
      </w:r>
      <w:r w:rsidR="005824A1">
        <w:rPr>
          <w:lang w:eastAsia="ja-JP"/>
        </w:rPr>
        <w:t>score for “nausea and vomiting”.</w:t>
      </w:r>
    </w:p>
    <w:p w:rsidR="00CE4F74" w:rsidRPr="00C31183" w:rsidRDefault="00CE4F74" w:rsidP="005824A1">
      <w:pPr>
        <w:pStyle w:val="Heading4"/>
      </w:pPr>
      <w:r w:rsidRPr="00C31183">
        <w:t>Constipation</w:t>
      </w:r>
    </w:p>
    <w:p w:rsidR="00CE4F74" w:rsidRPr="00C31183" w:rsidRDefault="00CE4F74" w:rsidP="005824A1">
      <w:pPr>
        <w:rPr>
          <w:lang w:eastAsia="ja-JP"/>
        </w:rPr>
      </w:pPr>
      <w:r w:rsidRPr="00C31183">
        <w:rPr>
          <w:lang w:eastAsia="ja-JP"/>
        </w:rPr>
        <w:t xml:space="preserve">Constipation (all grades) was reported more commonly in the </w:t>
      </w:r>
      <w:proofErr w:type="spellStart"/>
      <w:r w:rsidRPr="00C31183">
        <w:rPr>
          <w:lang w:eastAsia="ja-JP"/>
        </w:rPr>
        <w:t>crizotinib</w:t>
      </w:r>
      <w:proofErr w:type="spellEnd"/>
      <w:r w:rsidRPr="00C31183">
        <w:rPr>
          <w:lang w:eastAsia="ja-JP"/>
        </w:rPr>
        <w:t xml:space="preserve"> arm than in the chemotherapy arm (42.4%, n=73</w:t>
      </w:r>
      <w:r>
        <w:rPr>
          <w:lang w:eastAsia="ja-JP"/>
        </w:rPr>
        <w:t xml:space="preserve"> versus </w:t>
      </w:r>
      <w:r w:rsidRPr="00C31183">
        <w:rPr>
          <w:lang w:eastAsia="ja-JP"/>
        </w:rPr>
        <w:t>22.8%, n=39)</w:t>
      </w:r>
      <w:r>
        <w:rPr>
          <w:lang w:eastAsia="ja-JP"/>
        </w:rPr>
        <w:t>. A</w:t>
      </w:r>
      <w:r w:rsidRPr="00C31183">
        <w:rPr>
          <w:lang w:eastAsia="ja-JP"/>
        </w:rPr>
        <w:t xml:space="preserve">ll events in both treatment arms were Grade 1 or 2 in severity apart from 4 (2.3%) patients with Grade 3 events in the </w:t>
      </w:r>
      <w:proofErr w:type="spellStart"/>
      <w:r w:rsidRPr="00C31183">
        <w:rPr>
          <w:lang w:eastAsia="ja-JP"/>
        </w:rPr>
        <w:t>crizotinib</w:t>
      </w:r>
      <w:proofErr w:type="spellEnd"/>
      <w:r w:rsidRPr="00C31183">
        <w:rPr>
          <w:lang w:eastAsia="ja-JP"/>
        </w:rPr>
        <w:t xml:space="preserve"> arm. There were no permanent treatment discontinuations or dose reductions due to constipation in either treatment arm. Temporary treatment discontinuations due to constipation were reported in 2 (1.2%) patients in the </w:t>
      </w:r>
      <w:proofErr w:type="spellStart"/>
      <w:r w:rsidRPr="00C31183">
        <w:rPr>
          <w:lang w:eastAsia="ja-JP"/>
        </w:rPr>
        <w:t>crizotinib</w:t>
      </w:r>
      <w:proofErr w:type="spellEnd"/>
      <w:r w:rsidRPr="00C31183">
        <w:rPr>
          <w:lang w:eastAsia="ja-JP"/>
        </w:rPr>
        <w:t xml:space="preserve"> arm and no pa</w:t>
      </w:r>
      <w:r w:rsidR="005824A1">
        <w:rPr>
          <w:lang w:eastAsia="ja-JP"/>
        </w:rPr>
        <w:t>tients in the chemotherapy arm.</w:t>
      </w:r>
    </w:p>
    <w:p w:rsidR="00CE4F74" w:rsidRPr="00C31183" w:rsidRDefault="00CE4F74" w:rsidP="005824A1">
      <w:pPr>
        <w:pStyle w:val="Heading4"/>
      </w:pPr>
      <w:r w:rsidRPr="00C31183">
        <w:t xml:space="preserve">Eye </w:t>
      </w:r>
      <w:r w:rsidR="005824A1" w:rsidRPr="005824A1">
        <w:t>d</w:t>
      </w:r>
      <w:r w:rsidRPr="005824A1">
        <w:t>isorders</w:t>
      </w:r>
    </w:p>
    <w:p w:rsidR="00CE4F74" w:rsidRPr="00C31183" w:rsidRDefault="00CE4F74" w:rsidP="005824A1">
      <w:pPr>
        <w:rPr>
          <w:lang w:eastAsia="ja-JP"/>
        </w:rPr>
      </w:pPr>
      <w:r w:rsidRPr="00C31183">
        <w:rPr>
          <w:lang w:eastAsia="ja-JP"/>
        </w:rPr>
        <w:t xml:space="preserve">Eye disorders (all grades) were reported in 64.5% (n=111) of patients in the </w:t>
      </w:r>
      <w:proofErr w:type="spellStart"/>
      <w:r w:rsidRPr="00C31183">
        <w:rPr>
          <w:lang w:eastAsia="ja-JP"/>
        </w:rPr>
        <w:t>crizotinib</w:t>
      </w:r>
      <w:proofErr w:type="spellEnd"/>
      <w:r w:rsidRPr="00C31183">
        <w:rPr>
          <w:lang w:eastAsia="ja-JP"/>
        </w:rPr>
        <w:t xml:space="preserve"> arm and 19.9% (n=34) of patients in the chemotherapy arm and nearly all disorders were Grade 1 events (59.3%, n=102</w:t>
      </w:r>
      <w:r>
        <w:rPr>
          <w:lang w:eastAsia="ja-JP"/>
        </w:rPr>
        <w:t xml:space="preserve"> versus </w:t>
      </w:r>
      <w:r w:rsidRPr="00C31183">
        <w:rPr>
          <w:lang w:eastAsia="ja-JP"/>
        </w:rPr>
        <w:t>17.0%, n=29, respectively) with the remainder being Grade 2 events (5.2%, n=9</w:t>
      </w:r>
      <w:r>
        <w:rPr>
          <w:lang w:eastAsia="ja-JP"/>
        </w:rPr>
        <w:t xml:space="preserve"> versus </w:t>
      </w:r>
      <w:r w:rsidRPr="00C31183">
        <w:rPr>
          <w:lang w:eastAsia="ja-JP"/>
        </w:rPr>
        <w:t xml:space="preserve">2.9%, n=5). The most commonly reported eye disorders in the </w:t>
      </w:r>
      <w:proofErr w:type="spellStart"/>
      <w:r w:rsidRPr="00C31183">
        <w:rPr>
          <w:lang w:eastAsia="ja-JP"/>
        </w:rPr>
        <w:t>crizotinib</w:t>
      </w:r>
      <w:proofErr w:type="spellEnd"/>
      <w:r w:rsidRPr="00C31183">
        <w:rPr>
          <w:lang w:eastAsia="ja-JP"/>
        </w:rPr>
        <w:t xml:space="preserve"> arm occurring in </w:t>
      </w:r>
      <w:r>
        <w:rPr>
          <w:lang w:eastAsia="ja-JP"/>
        </w:rPr>
        <w:t>≥</w:t>
      </w:r>
      <w:r w:rsidRPr="00C31183">
        <w:rPr>
          <w:lang w:eastAsia="ja-JP"/>
        </w:rPr>
        <w:t xml:space="preserve"> 5% of patients were visual impairment (47.1%, n=81) followed by </w:t>
      </w:r>
      <w:proofErr w:type="spellStart"/>
      <w:r w:rsidRPr="00C31183">
        <w:rPr>
          <w:lang w:eastAsia="ja-JP"/>
        </w:rPr>
        <w:t>photopsia</w:t>
      </w:r>
      <w:proofErr w:type="spellEnd"/>
      <w:r w:rsidRPr="00C31183">
        <w:rPr>
          <w:lang w:eastAsia="ja-JP"/>
        </w:rPr>
        <w:t xml:space="preserve"> (9.9%, n=17) and blurred vision (8.1%, n=14). All other visual TEAEs occurred in </w:t>
      </w:r>
      <w:r>
        <w:rPr>
          <w:lang w:eastAsia="ja-JP"/>
        </w:rPr>
        <w:t>≤</w:t>
      </w:r>
      <w:r w:rsidRPr="00C31183">
        <w:rPr>
          <w:lang w:eastAsia="ja-JP"/>
        </w:rPr>
        <w:t xml:space="preserve"> 5 patients (</w:t>
      </w:r>
      <w:r>
        <w:rPr>
          <w:lang w:eastAsia="ja-JP"/>
        </w:rPr>
        <w:t>that is,</w:t>
      </w:r>
      <w:r w:rsidRPr="00C31183">
        <w:rPr>
          <w:lang w:eastAsia="ja-JP"/>
        </w:rPr>
        <w:t xml:space="preserve"> </w:t>
      </w:r>
      <w:r>
        <w:rPr>
          <w:lang w:eastAsia="ja-JP"/>
        </w:rPr>
        <w:t>≤</w:t>
      </w:r>
      <w:r w:rsidRPr="00C31183">
        <w:rPr>
          <w:lang w:eastAsia="ja-JP"/>
        </w:rPr>
        <w:t xml:space="preserve"> 3.0% of patients). In the chemotherapy arm, the only eye disorder reported in </w:t>
      </w:r>
      <w:r>
        <w:rPr>
          <w:lang w:eastAsia="ja-JP"/>
        </w:rPr>
        <w:t>≥</w:t>
      </w:r>
      <w:r w:rsidRPr="00C31183">
        <w:rPr>
          <w:lang w:eastAsia="ja-JP"/>
        </w:rPr>
        <w:t xml:space="preserve"> 5% of patients was visual impairment (5.3%, n=9), and the only other eye disorder reported in </w:t>
      </w:r>
      <w:r>
        <w:rPr>
          <w:lang w:eastAsia="ja-JP"/>
        </w:rPr>
        <w:t>≥</w:t>
      </w:r>
      <w:r w:rsidRPr="00C31183">
        <w:rPr>
          <w:lang w:eastAsia="ja-JP"/>
        </w:rPr>
        <w:t xml:space="preserve"> 3% of patients was lac</w:t>
      </w:r>
      <w:r w:rsidR="005824A1">
        <w:rPr>
          <w:lang w:eastAsia="ja-JP"/>
        </w:rPr>
        <w:t>rimation increased (4.7%, n=8).</w:t>
      </w:r>
    </w:p>
    <w:p w:rsidR="00CE4F74" w:rsidRPr="00C31183" w:rsidRDefault="00CE4F74" w:rsidP="005824A1">
      <w:pPr>
        <w:rPr>
          <w:lang w:eastAsia="ja-JP"/>
        </w:rPr>
      </w:pPr>
      <w:r w:rsidRPr="00C31183">
        <w:rPr>
          <w:lang w:eastAsia="ja-JP"/>
        </w:rPr>
        <w:t xml:space="preserve">Permanent treatment discontinuations due to eye disorders were reported in no patients in either treatment arm, while temporary treatment discontinuations were reported in 1 (0.6%) patient in the chemotherapy arm (diplopia) and no patients in the </w:t>
      </w:r>
      <w:proofErr w:type="spellStart"/>
      <w:r w:rsidRPr="00C31183">
        <w:rPr>
          <w:lang w:eastAsia="ja-JP"/>
        </w:rPr>
        <w:t>crizotinib</w:t>
      </w:r>
      <w:proofErr w:type="spellEnd"/>
      <w:r w:rsidRPr="00C31183">
        <w:rPr>
          <w:lang w:eastAsia="ja-JP"/>
        </w:rPr>
        <w:t xml:space="preserve"> arm. Dose reductions due to eye disorders were reported in 3 (1.8%) patients in the </w:t>
      </w:r>
      <w:proofErr w:type="spellStart"/>
      <w:r w:rsidRPr="00C31183">
        <w:rPr>
          <w:lang w:eastAsia="ja-JP"/>
        </w:rPr>
        <w:t>crizotinib</w:t>
      </w:r>
      <w:proofErr w:type="spellEnd"/>
      <w:r w:rsidRPr="00C31183">
        <w:rPr>
          <w:lang w:eastAsia="ja-JP"/>
        </w:rPr>
        <w:t xml:space="preserve"> arm (1 each </w:t>
      </w:r>
      <w:proofErr w:type="spellStart"/>
      <w:r w:rsidRPr="00C31183">
        <w:rPr>
          <w:lang w:eastAsia="ja-JP"/>
        </w:rPr>
        <w:t>photopsia</w:t>
      </w:r>
      <w:proofErr w:type="spellEnd"/>
      <w:r w:rsidRPr="00C31183">
        <w:rPr>
          <w:lang w:eastAsia="ja-JP"/>
        </w:rPr>
        <w:t>, vision blurred, and vitreous floaters) and no patients in the chemotherapy arm. These results suggest that patients in both treatment arms continued without r</w:t>
      </w:r>
      <w:r w:rsidR="005824A1">
        <w:rPr>
          <w:lang w:eastAsia="ja-JP"/>
        </w:rPr>
        <w:t>equiring treatment adjustments.</w:t>
      </w:r>
    </w:p>
    <w:p w:rsidR="00CE4F74" w:rsidRPr="00C31183" w:rsidRDefault="00CE4F74" w:rsidP="005824A1">
      <w:pPr>
        <w:rPr>
          <w:lang w:eastAsia="ja-JP"/>
        </w:rPr>
      </w:pPr>
      <w:r w:rsidRPr="00C31183">
        <w:rPr>
          <w:lang w:eastAsia="ja-JP"/>
        </w:rPr>
        <w:t xml:space="preserve">In the </w:t>
      </w:r>
      <w:proofErr w:type="spellStart"/>
      <w:r w:rsidRPr="00C31183">
        <w:rPr>
          <w:lang w:eastAsia="ja-JP"/>
        </w:rPr>
        <w:t>crizotinib</w:t>
      </w:r>
      <w:proofErr w:type="spellEnd"/>
      <w:r w:rsidRPr="00C31183">
        <w:rPr>
          <w:lang w:eastAsia="ja-JP"/>
        </w:rPr>
        <w:t xml:space="preserve"> arm, the median time to first onset of treatment-related VISION DISORDER was 5 days (range: 1, 213) and the median duration of the disorders was 247 days (95% CI: 168, </w:t>
      </w:r>
      <w:r w:rsidRPr="00C31183">
        <w:rPr>
          <w:lang w:eastAsia="ja-JP"/>
        </w:rPr>
        <w:lastRenderedPageBreak/>
        <w:t xml:space="preserve">460), while in the chemotherapy arm the median time to first onset was 12.5 days (range: 2, 6 days) and the median duration was not reached. Treatment-related VISION DISORDERS occurred in 51.2% of patients in the first cycle in the </w:t>
      </w:r>
      <w:proofErr w:type="spellStart"/>
      <w:r w:rsidRPr="00C31183">
        <w:rPr>
          <w:lang w:eastAsia="ja-JP"/>
        </w:rPr>
        <w:t>crizotinib</w:t>
      </w:r>
      <w:proofErr w:type="spellEnd"/>
      <w:r w:rsidRPr="00C31183">
        <w:rPr>
          <w:lang w:eastAsia="ja-JP"/>
        </w:rPr>
        <w:t xml:space="preserve"> arm and remained high in the following 5 cycles ranging from 44.2% to 50.8%. Treatment-related VISION DISORDERS occurred in 3.5% of patients in the first cycle in the chemotherapy arm and remained low in the following 5 cy</w:t>
      </w:r>
      <w:r w:rsidR="005824A1">
        <w:rPr>
          <w:lang w:eastAsia="ja-JP"/>
        </w:rPr>
        <w:t>cles ranging from 2.6% to 3.1%.</w:t>
      </w:r>
    </w:p>
    <w:p w:rsidR="00CE4F74" w:rsidRPr="00C31183" w:rsidRDefault="00CE4F74" w:rsidP="005824A1">
      <w:pPr>
        <w:rPr>
          <w:lang w:eastAsia="ja-JP"/>
        </w:rPr>
      </w:pPr>
      <w:r w:rsidRPr="00C31183">
        <w:rPr>
          <w:lang w:eastAsia="ja-JP"/>
        </w:rPr>
        <w:t xml:space="preserve">Based on the Visual Symptom Assessment Questionnaire (VSAQ), visual disturbances during the first 18 treatment cycles was reported by 42% to 62% of patients in the </w:t>
      </w:r>
      <w:proofErr w:type="spellStart"/>
      <w:r w:rsidRPr="00C31183">
        <w:rPr>
          <w:lang w:eastAsia="ja-JP"/>
        </w:rPr>
        <w:t>crizotinib</w:t>
      </w:r>
      <w:proofErr w:type="spellEnd"/>
      <w:r w:rsidRPr="00C31183">
        <w:rPr>
          <w:lang w:eastAsia="ja-JP"/>
        </w:rPr>
        <w:t xml:space="preserve"> arm compared with 0% to 20% of patients in the chemotherapy arm. The majority of patients in the </w:t>
      </w:r>
      <w:proofErr w:type="spellStart"/>
      <w:r w:rsidRPr="00C31183">
        <w:rPr>
          <w:lang w:eastAsia="ja-JP"/>
        </w:rPr>
        <w:t>crizotinib</w:t>
      </w:r>
      <w:proofErr w:type="spellEnd"/>
      <w:r w:rsidRPr="00C31183">
        <w:rPr>
          <w:lang w:eastAsia="ja-JP"/>
        </w:rPr>
        <w:t xml:space="preserve"> arm reporting visual disturbance in the first 18 treatment cycles reported &gt; 1 event per day and these events occurred more frequently in the evening than in the morning. In both treatment arms most patients reported events lasting </w:t>
      </w:r>
      <w:r>
        <w:rPr>
          <w:lang w:eastAsia="ja-JP"/>
        </w:rPr>
        <w:t>≤</w:t>
      </w:r>
      <w:r w:rsidRPr="00C31183">
        <w:rPr>
          <w:lang w:eastAsia="ja-JP"/>
        </w:rPr>
        <w:t xml:space="preserve"> 1 minute. The most commonly experienced visual disturbances in the </w:t>
      </w:r>
      <w:proofErr w:type="spellStart"/>
      <w:r w:rsidRPr="00C31183">
        <w:rPr>
          <w:lang w:eastAsia="ja-JP"/>
        </w:rPr>
        <w:t>crizotinib</w:t>
      </w:r>
      <w:proofErr w:type="spellEnd"/>
      <w:r w:rsidRPr="00C31183">
        <w:rPr>
          <w:lang w:eastAsia="ja-JP"/>
        </w:rPr>
        <w:t xml:space="preserve"> arm were shimmering, flashing or trailing lights, streamers, strings or floaters and overlapping shadows or after images. The most commonly experienced visual disturbances in the chemotherapy arm were hazy or blurry vision. Among patients reporting visual disturbances in each cycle in the </w:t>
      </w:r>
      <w:proofErr w:type="spellStart"/>
      <w:r w:rsidRPr="00C31183">
        <w:rPr>
          <w:lang w:eastAsia="ja-JP"/>
        </w:rPr>
        <w:t>crizotinib</w:t>
      </w:r>
      <w:proofErr w:type="spellEnd"/>
      <w:r w:rsidRPr="00C31183">
        <w:rPr>
          <w:lang w:eastAsia="ja-JP"/>
        </w:rPr>
        <w:t xml:space="preserve"> arm, most (61% to 92%) reported that visual effects were not at all or a little bothersome and most</w:t>
      </w:r>
      <w:r>
        <w:rPr>
          <w:lang w:eastAsia="ja-JP"/>
        </w:rPr>
        <w:t xml:space="preserve"> </w:t>
      </w:r>
      <w:r w:rsidRPr="00C31183">
        <w:rPr>
          <w:lang w:eastAsia="ja-JP"/>
        </w:rPr>
        <w:t xml:space="preserve">(70% to 93%) indicated no or minimal impact on daily activities at each cycle. Of the 77 patients in the </w:t>
      </w:r>
      <w:proofErr w:type="spellStart"/>
      <w:r w:rsidRPr="00C31183">
        <w:rPr>
          <w:lang w:eastAsia="ja-JP"/>
        </w:rPr>
        <w:t>crizotinib</w:t>
      </w:r>
      <w:proofErr w:type="spellEnd"/>
      <w:r w:rsidRPr="00C31183">
        <w:rPr>
          <w:lang w:eastAsia="ja-JP"/>
        </w:rPr>
        <w:t xml:space="preserve"> arm with baseline and post-treatment ophthalmic evaluations only a few had new finding</w:t>
      </w:r>
      <w:r w:rsidR="005824A1">
        <w:rPr>
          <w:lang w:eastAsia="ja-JP"/>
        </w:rPr>
        <w:t>s detected following treatment.</w:t>
      </w:r>
    </w:p>
    <w:p w:rsidR="00CE4F74" w:rsidRPr="00C31183" w:rsidRDefault="00CE4F74" w:rsidP="005824A1">
      <w:pPr>
        <w:pStyle w:val="Heading4"/>
      </w:pPr>
      <w:r w:rsidRPr="00C31183">
        <w:t>Oedema</w:t>
      </w:r>
    </w:p>
    <w:p w:rsidR="00CE4F74" w:rsidRPr="00C31183" w:rsidRDefault="00CE4F74" w:rsidP="005824A1">
      <w:pPr>
        <w:rPr>
          <w:lang w:eastAsia="ja-JP"/>
        </w:rPr>
      </w:pPr>
      <w:r w:rsidRPr="00C31183">
        <w:rPr>
          <w:lang w:eastAsia="ja-JP"/>
        </w:rPr>
        <w:t>T</w:t>
      </w:r>
      <w:r>
        <w:rPr>
          <w:lang w:eastAsia="ja-JP"/>
        </w:rPr>
        <w:t>he most notable difference in “G</w:t>
      </w:r>
      <w:r w:rsidRPr="00C31183">
        <w:rPr>
          <w:lang w:eastAsia="ja-JP"/>
        </w:rPr>
        <w:t xml:space="preserve">eneral disorders and administration site conditions” (SOC) relating to oedema (face, generalised, oedema peripheral, or oedema) occurred for peripheral oedema. Peripheral oedema was reported in 25.6% (n=44) of patients in the </w:t>
      </w:r>
      <w:proofErr w:type="spellStart"/>
      <w:r w:rsidRPr="00C31183">
        <w:rPr>
          <w:lang w:eastAsia="ja-JP"/>
        </w:rPr>
        <w:t>crizotinib</w:t>
      </w:r>
      <w:proofErr w:type="spellEnd"/>
      <w:r w:rsidRPr="00C31183">
        <w:rPr>
          <w:lang w:eastAsia="ja-JP"/>
        </w:rPr>
        <w:t xml:space="preserve"> arm (all Grade 1 or 2 events) and 8.2% of patients in the chemotherapy arm (all Grade 1 events). There no reports of permanent treatment discontinuations or dose reductions due to peripheral oedema, while temporary treatment discontinuations due to this event were reported in 3 (1.7%) patients in the </w:t>
      </w:r>
      <w:proofErr w:type="spellStart"/>
      <w:r w:rsidRPr="00C31183">
        <w:rPr>
          <w:lang w:eastAsia="ja-JP"/>
        </w:rPr>
        <w:t>crizotinib</w:t>
      </w:r>
      <w:proofErr w:type="spellEnd"/>
      <w:r w:rsidRPr="00C31183">
        <w:rPr>
          <w:lang w:eastAsia="ja-JP"/>
        </w:rPr>
        <w:t xml:space="preserve"> arm and n</w:t>
      </w:r>
      <w:r w:rsidR="005824A1">
        <w:rPr>
          <w:lang w:eastAsia="ja-JP"/>
        </w:rPr>
        <w:t>o patients in the chemotherapy.</w:t>
      </w:r>
    </w:p>
    <w:p w:rsidR="00CE4F74" w:rsidRPr="00C31183" w:rsidRDefault="00CE4F74" w:rsidP="005824A1">
      <w:pPr>
        <w:rPr>
          <w:lang w:eastAsia="ja-JP"/>
        </w:rPr>
      </w:pPr>
      <w:r w:rsidRPr="00C31183">
        <w:rPr>
          <w:lang w:eastAsia="ja-JP"/>
        </w:rPr>
        <w:t xml:space="preserve">In the </w:t>
      </w:r>
      <w:proofErr w:type="spellStart"/>
      <w:r w:rsidRPr="00C31183">
        <w:rPr>
          <w:lang w:eastAsia="ja-JP"/>
        </w:rPr>
        <w:t>crizotinib</w:t>
      </w:r>
      <w:proofErr w:type="spellEnd"/>
      <w:r w:rsidRPr="00C31183">
        <w:rPr>
          <w:lang w:eastAsia="ja-JP"/>
        </w:rPr>
        <w:t xml:space="preserve"> arm, the median time to first onset of treatment related EDEMA was 49 days (range: 3, 599) and the median duration of the event was 170 days (95% CI: 104, 365), while in the chemotherapy arm the median time to first onset was 126 days (range: 10, 505) and the median duration was 127 days (95% CI: 13, 207). Treatment-related EDEMA occurred in 5.2% of patients in the first cycles in the </w:t>
      </w:r>
      <w:proofErr w:type="spellStart"/>
      <w:r w:rsidRPr="00C31183">
        <w:rPr>
          <w:lang w:eastAsia="ja-JP"/>
        </w:rPr>
        <w:t>crizotinib</w:t>
      </w:r>
      <w:proofErr w:type="spellEnd"/>
      <w:r w:rsidRPr="00C31183">
        <w:rPr>
          <w:lang w:eastAsia="ja-JP"/>
        </w:rPr>
        <w:t xml:space="preserve"> arm and increased in the following 5 cycles ranging from 8.4% to 16.8%. Treatment-related EDEMA occurred in 2.1% of patients in the first cycle in the chemotherapy arm and was marginally higher in the following 5 cy</w:t>
      </w:r>
      <w:r w:rsidR="005824A1">
        <w:rPr>
          <w:lang w:eastAsia="ja-JP"/>
        </w:rPr>
        <w:t>cles ranging from 0.9% to 4.2%.</w:t>
      </w:r>
    </w:p>
    <w:p w:rsidR="00CE4F74" w:rsidRPr="00C31183" w:rsidRDefault="005824A1" w:rsidP="005824A1">
      <w:pPr>
        <w:pStyle w:val="Heading4"/>
      </w:pPr>
      <w:r>
        <w:t>Neutropenia</w:t>
      </w:r>
    </w:p>
    <w:p w:rsidR="00CE4F74" w:rsidRPr="00C31183" w:rsidRDefault="00CE4F74" w:rsidP="005824A1">
      <w:pPr>
        <w:rPr>
          <w:lang w:eastAsia="ja-JP"/>
        </w:rPr>
      </w:pPr>
      <w:r w:rsidRPr="00C31183">
        <w:rPr>
          <w:lang w:eastAsia="ja-JP"/>
        </w:rPr>
        <w:t xml:space="preserve">Neutropenia was reported in 21.5% (n=37) of patients in the </w:t>
      </w:r>
      <w:proofErr w:type="spellStart"/>
      <w:r w:rsidRPr="00C31183">
        <w:rPr>
          <w:lang w:eastAsia="ja-JP"/>
        </w:rPr>
        <w:t>crizotinib</w:t>
      </w:r>
      <w:proofErr w:type="spellEnd"/>
      <w:r w:rsidRPr="00C31183">
        <w:rPr>
          <w:lang w:eastAsia="ja-JP"/>
        </w:rPr>
        <w:t xml:space="preserve"> arm (Grade 3 or 4, 9.9% [n=17]) compared with 10.5% (n=18) of patients in the chemotherapy arm (Grade 3 or 4, 8.2% [n=14]). No permanent treatment discontinuations due to neutropenia were reported in either treatment arm, while temporary treatment discontinuations were reported in 8.1% (n=14) of patients in the </w:t>
      </w:r>
      <w:proofErr w:type="spellStart"/>
      <w:r w:rsidRPr="00C31183">
        <w:rPr>
          <w:lang w:eastAsia="ja-JP"/>
        </w:rPr>
        <w:t>crizotinib</w:t>
      </w:r>
      <w:proofErr w:type="spellEnd"/>
      <w:r w:rsidRPr="00C31183">
        <w:rPr>
          <w:lang w:eastAsia="ja-JP"/>
        </w:rPr>
        <w:t xml:space="preserve"> arm and no patients in the chemotherapy arm. Dose reduction due to neutropenia was reported in 2.3% (n=4) of patients in the </w:t>
      </w:r>
      <w:proofErr w:type="spellStart"/>
      <w:r w:rsidRPr="00C31183">
        <w:rPr>
          <w:lang w:eastAsia="ja-JP"/>
        </w:rPr>
        <w:t>crizotinib</w:t>
      </w:r>
      <w:proofErr w:type="spellEnd"/>
      <w:r w:rsidRPr="00C31183">
        <w:rPr>
          <w:lang w:eastAsia="ja-JP"/>
        </w:rPr>
        <w:t xml:space="preserve"> arm and </w:t>
      </w:r>
      <w:r>
        <w:rPr>
          <w:lang w:eastAsia="ja-JP"/>
        </w:rPr>
        <w:t xml:space="preserve">in </w:t>
      </w:r>
      <w:r w:rsidRPr="00C31183">
        <w:rPr>
          <w:lang w:eastAsia="ja-JP"/>
        </w:rPr>
        <w:t>1.2% (n=2) of pa</w:t>
      </w:r>
      <w:r w:rsidR="005824A1">
        <w:rPr>
          <w:lang w:eastAsia="ja-JP"/>
        </w:rPr>
        <w:t>tients in the chemotherapy arm.</w:t>
      </w:r>
    </w:p>
    <w:p w:rsidR="00CE4F74" w:rsidRPr="00C31183" w:rsidRDefault="00CE4F74" w:rsidP="005824A1">
      <w:pPr>
        <w:rPr>
          <w:lang w:eastAsia="ja-JP"/>
        </w:rPr>
      </w:pPr>
      <w:r w:rsidRPr="00C31183">
        <w:rPr>
          <w:lang w:eastAsia="ja-JP"/>
        </w:rPr>
        <w:t xml:space="preserve">In the </w:t>
      </w:r>
      <w:proofErr w:type="spellStart"/>
      <w:r w:rsidRPr="00C31183">
        <w:rPr>
          <w:lang w:eastAsia="ja-JP"/>
        </w:rPr>
        <w:t>crizotinib</w:t>
      </w:r>
      <w:proofErr w:type="spellEnd"/>
      <w:r w:rsidRPr="00C31183">
        <w:rPr>
          <w:lang w:eastAsia="ja-JP"/>
        </w:rPr>
        <w:t xml:space="preserve"> arm, the median time to first onset of treatment-related NEUTROPENIA was 43 days (range: 12, 568) and the median duration was 72 days (95% CI: 31, 173), while in the chemotherapy arm the median time to first onset was 10 days (range: 6, 76) and the median duration was 9 days (95% CI: 6, 11). Treatment-related NEUTROPENIA occurred in 8.7% of patients in the first cycle in the </w:t>
      </w:r>
      <w:proofErr w:type="spellStart"/>
      <w:r w:rsidRPr="00C31183">
        <w:rPr>
          <w:lang w:eastAsia="ja-JP"/>
        </w:rPr>
        <w:t>crizotinib</w:t>
      </w:r>
      <w:proofErr w:type="spellEnd"/>
      <w:r w:rsidRPr="00C31183">
        <w:rPr>
          <w:lang w:eastAsia="ja-JP"/>
        </w:rPr>
        <w:t xml:space="preserve"> arm and remained relatively constant over the following 5 cycles ranging from 7.8% to 8.5%. Treatment-related NEUTROPENIA occurred in </w:t>
      </w:r>
      <w:r w:rsidRPr="00C31183">
        <w:rPr>
          <w:lang w:eastAsia="ja-JP"/>
        </w:rPr>
        <w:lastRenderedPageBreak/>
        <w:t>17.0% of patients in the first cycle in the chemotherapy arm and notably declined over the following 5 cy</w:t>
      </w:r>
      <w:r w:rsidR="005824A1">
        <w:rPr>
          <w:lang w:eastAsia="ja-JP"/>
        </w:rPr>
        <w:t>cles ranging from 2.1% to 7.5%.</w:t>
      </w:r>
    </w:p>
    <w:p w:rsidR="00CE4F74" w:rsidRPr="00C31183" w:rsidRDefault="005824A1" w:rsidP="005824A1">
      <w:pPr>
        <w:pStyle w:val="Heading4"/>
      </w:pPr>
      <w:r>
        <w:t>Febrile neutropenia</w:t>
      </w:r>
    </w:p>
    <w:p w:rsidR="00CE4F74" w:rsidRPr="00C31183" w:rsidRDefault="00CE4F74" w:rsidP="005824A1">
      <w:pPr>
        <w:rPr>
          <w:lang w:eastAsia="ja-JP"/>
        </w:rPr>
      </w:pPr>
      <w:r w:rsidRPr="00C31183">
        <w:rPr>
          <w:lang w:eastAsia="ja-JP"/>
        </w:rPr>
        <w:t xml:space="preserve">Febrile neutropenia was reported in 0.6% (n=1) patients in the </w:t>
      </w:r>
      <w:proofErr w:type="spellStart"/>
      <w:r w:rsidRPr="00C31183">
        <w:rPr>
          <w:lang w:eastAsia="ja-JP"/>
        </w:rPr>
        <w:t>crizotinib</w:t>
      </w:r>
      <w:proofErr w:type="spellEnd"/>
      <w:r w:rsidRPr="00C31183">
        <w:rPr>
          <w:lang w:eastAsia="ja-JP"/>
        </w:rPr>
        <w:t xml:space="preserve"> arm compared with 9.4% (n=16) patients in the chemotherapy arm. Permanent treatment discontinuation due to febrile neutropenia was reported in 1.8% (n=3) of patients in the chemotherapy arm and no patients in the </w:t>
      </w:r>
      <w:proofErr w:type="spellStart"/>
      <w:r w:rsidRPr="00C31183">
        <w:rPr>
          <w:lang w:eastAsia="ja-JP"/>
        </w:rPr>
        <w:t>crizotinib</w:t>
      </w:r>
      <w:proofErr w:type="spellEnd"/>
      <w:r w:rsidRPr="00C31183">
        <w:rPr>
          <w:lang w:eastAsia="ja-JP"/>
        </w:rPr>
        <w:t xml:space="preserve"> arm, while temporary treatment discontinuation was reported in 0.6% (n=1) of patients in both treatment arms. Dose reduction due to febrile neutropenia was reported in 7.0% (n=12) of patients in the chemotherapy arm and no </w:t>
      </w:r>
      <w:r w:rsidR="005824A1">
        <w:rPr>
          <w:lang w:eastAsia="ja-JP"/>
        </w:rPr>
        <w:t xml:space="preserve">patients in the </w:t>
      </w:r>
      <w:proofErr w:type="spellStart"/>
      <w:r w:rsidR="005824A1">
        <w:rPr>
          <w:lang w:eastAsia="ja-JP"/>
        </w:rPr>
        <w:t>crizotinib</w:t>
      </w:r>
      <w:proofErr w:type="spellEnd"/>
      <w:r w:rsidR="005824A1">
        <w:rPr>
          <w:lang w:eastAsia="ja-JP"/>
        </w:rPr>
        <w:t xml:space="preserve"> arm.</w:t>
      </w:r>
    </w:p>
    <w:p w:rsidR="00CE4F74" w:rsidRPr="00C31183" w:rsidRDefault="00CE4F74" w:rsidP="005824A1">
      <w:pPr>
        <w:pStyle w:val="Heading4"/>
      </w:pPr>
      <w:r w:rsidRPr="00C31183">
        <w:t>Leukopenia</w:t>
      </w:r>
    </w:p>
    <w:p w:rsidR="00CE4F74" w:rsidRPr="00C31183" w:rsidRDefault="00CE4F74" w:rsidP="009C55C1">
      <w:pPr>
        <w:rPr>
          <w:lang w:eastAsia="ja-JP"/>
        </w:rPr>
      </w:pPr>
      <w:r w:rsidRPr="00C31183">
        <w:rPr>
          <w:lang w:eastAsia="ja-JP"/>
        </w:rPr>
        <w:t xml:space="preserve">Leukopenia was reported in 8.7% (n=15) patients in the </w:t>
      </w:r>
      <w:proofErr w:type="spellStart"/>
      <w:r w:rsidRPr="00C31183">
        <w:rPr>
          <w:lang w:eastAsia="ja-JP"/>
        </w:rPr>
        <w:t>crizotinib</w:t>
      </w:r>
      <w:proofErr w:type="spellEnd"/>
      <w:r w:rsidRPr="00C31183">
        <w:rPr>
          <w:lang w:eastAsia="ja-JP"/>
        </w:rPr>
        <w:t xml:space="preserve"> arm (Grade 3 or 4, 1.7% [n=3]), and </w:t>
      </w:r>
      <w:r>
        <w:rPr>
          <w:lang w:eastAsia="ja-JP"/>
        </w:rPr>
        <w:t xml:space="preserve">in </w:t>
      </w:r>
      <w:r w:rsidRPr="00C31183">
        <w:rPr>
          <w:lang w:eastAsia="ja-JP"/>
        </w:rPr>
        <w:t xml:space="preserve">5.3% (n=9) of patients in the chemotherapy arm (Grade 3 or 4, 2.3% [n=4]). No permanent treatment discontinuations due to leukopenia were reported in either treatment arm, while temporary treatment discontinuations were reported in 3 (1.7%) patients in the </w:t>
      </w:r>
      <w:proofErr w:type="spellStart"/>
      <w:r w:rsidRPr="00C31183">
        <w:rPr>
          <w:lang w:eastAsia="ja-JP"/>
        </w:rPr>
        <w:t>crizotinib</w:t>
      </w:r>
      <w:proofErr w:type="spellEnd"/>
      <w:r w:rsidRPr="00C31183">
        <w:rPr>
          <w:lang w:eastAsia="ja-JP"/>
        </w:rPr>
        <w:t xml:space="preserve"> and no patients in the chemotherapy arm. Dose reductions due to leukopenia were reported in 1 (0.6%) </w:t>
      </w:r>
      <w:r w:rsidR="009C55C1">
        <w:rPr>
          <w:lang w:eastAsia="ja-JP"/>
        </w:rPr>
        <w:t>patient in both treatment arms.</w:t>
      </w:r>
    </w:p>
    <w:p w:rsidR="00CE4F74" w:rsidRPr="00C31183" w:rsidRDefault="009C55C1" w:rsidP="009C55C1">
      <w:pPr>
        <w:pStyle w:val="Heading4"/>
      </w:pPr>
      <w:r>
        <w:t>Neuropathy</w:t>
      </w:r>
    </w:p>
    <w:p w:rsidR="00CE4F74" w:rsidRPr="00C31183" w:rsidRDefault="00CE4F74" w:rsidP="009C55C1">
      <w:pPr>
        <w:rPr>
          <w:lang w:eastAsia="ja-JP"/>
        </w:rPr>
      </w:pPr>
      <w:r w:rsidRPr="00C31183">
        <w:rPr>
          <w:lang w:eastAsia="ja-JP"/>
        </w:rPr>
        <w:t xml:space="preserve">In “Nervous System disorders” (SOC), the most commonly occurring “neuropathy” </w:t>
      </w:r>
      <w:proofErr w:type="spellStart"/>
      <w:r w:rsidRPr="00C31183">
        <w:rPr>
          <w:lang w:eastAsia="ja-JP"/>
        </w:rPr>
        <w:t>MedDRA</w:t>
      </w:r>
      <w:proofErr w:type="spellEnd"/>
      <w:r w:rsidRPr="00C31183">
        <w:rPr>
          <w:lang w:eastAsia="ja-JP"/>
        </w:rPr>
        <w:t xml:space="preserve"> preferred event in the </w:t>
      </w:r>
      <w:proofErr w:type="spellStart"/>
      <w:r w:rsidRPr="00C31183">
        <w:rPr>
          <w:lang w:eastAsia="ja-JP"/>
        </w:rPr>
        <w:t>crizotinib</w:t>
      </w:r>
      <w:proofErr w:type="spellEnd"/>
      <w:r w:rsidRPr="00C31183">
        <w:rPr>
          <w:lang w:eastAsia="ja-JP"/>
        </w:rPr>
        <w:t xml:space="preserve"> arm was peripheral sensory neuropathy reported in 4.1% (n=7) of patients (all Grade 1 or 2), while in the chemotherapy arm this event was reported in 3.5% (n=60 of patients (all Grade 1 or 2). Peripheral neuropathy was reported in 2.3% (n=4) of patients in the </w:t>
      </w:r>
      <w:proofErr w:type="spellStart"/>
      <w:r w:rsidRPr="00C31183">
        <w:rPr>
          <w:lang w:eastAsia="ja-JP"/>
        </w:rPr>
        <w:t>crizotinib</w:t>
      </w:r>
      <w:proofErr w:type="spellEnd"/>
      <w:r w:rsidRPr="00C31183">
        <w:rPr>
          <w:lang w:eastAsia="ja-JP"/>
        </w:rPr>
        <w:t xml:space="preserve"> arm (all Grade 1 events) and 5.3% (n=9) of patients in the chemotherapy arm (8 Grade 1 events and 1 Grade 3 event). Polyneuropathy was reported in 1 (0.6%) patient in the chemotherapy arm (Grade 1 event) and no </w:t>
      </w:r>
      <w:r w:rsidR="009C55C1">
        <w:rPr>
          <w:lang w:eastAsia="ja-JP"/>
        </w:rPr>
        <w:t xml:space="preserve">patients in the </w:t>
      </w:r>
      <w:proofErr w:type="spellStart"/>
      <w:r w:rsidR="009C55C1">
        <w:rPr>
          <w:lang w:eastAsia="ja-JP"/>
        </w:rPr>
        <w:t>crizotinib</w:t>
      </w:r>
      <w:proofErr w:type="spellEnd"/>
      <w:r w:rsidR="009C55C1">
        <w:rPr>
          <w:lang w:eastAsia="ja-JP"/>
        </w:rPr>
        <w:t xml:space="preserve"> arm.</w:t>
      </w:r>
    </w:p>
    <w:p w:rsidR="00CE4F74" w:rsidRPr="00C31183" w:rsidRDefault="00CE4F74" w:rsidP="009C55C1">
      <w:pPr>
        <w:rPr>
          <w:lang w:eastAsia="ja-JP"/>
        </w:rPr>
      </w:pPr>
      <w:r w:rsidRPr="00C31183">
        <w:rPr>
          <w:lang w:eastAsia="ja-JP"/>
        </w:rPr>
        <w:t xml:space="preserve">NEUROPATHY (all causality) was reported in 19.2% (n=33) of patients in the </w:t>
      </w:r>
      <w:proofErr w:type="spellStart"/>
      <w:r w:rsidRPr="00C31183">
        <w:rPr>
          <w:lang w:eastAsia="ja-JP"/>
        </w:rPr>
        <w:t>crizotinib</w:t>
      </w:r>
      <w:proofErr w:type="spellEnd"/>
      <w:r w:rsidRPr="00C31183">
        <w:rPr>
          <w:lang w:eastAsia="ja-JP"/>
        </w:rPr>
        <w:t xml:space="preserve"> arm and 10.7% (n=29) of patients in the chemotherapy arm. Permanent treatment discontinuations resulting from NEUROPATHY (all causality) was reported in 2 (1.2%) patients in the chemotherapy arm (paraesthesia and peripheral sensory neuropathy, 1 patient each) and no </w:t>
      </w:r>
      <w:r w:rsidR="009C55C1">
        <w:rPr>
          <w:lang w:eastAsia="ja-JP"/>
        </w:rPr>
        <w:t xml:space="preserve">patients in the </w:t>
      </w:r>
      <w:proofErr w:type="spellStart"/>
      <w:r w:rsidR="009C55C1">
        <w:rPr>
          <w:lang w:eastAsia="ja-JP"/>
        </w:rPr>
        <w:t>crizotinib</w:t>
      </w:r>
      <w:proofErr w:type="spellEnd"/>
      <w:r w:rsidR="009C55C1">
        <w:rPr>
          <w:lang w:eastAsia="ja-JP"/>
        </w:rPr>
        <w:t xml:space="preserve"> arm.</w:t>
      </w:r>
    </w:p>
    <w:p w:rsidR="00CE4F74" w:rsidRPr="00C31183" w:rsidRDefault="00CE4F74" w:rsidP="009C55C1">
      <w:pPr>
        <w:rPr>
          <w:lang w:eastAsia="ja-JP"/>
        </w:rPr>
      </w:pPr>
      <w:r w:rsidRPr="00C31183">
        <w:rPr>
          <w:lang w:eastAsia="ja-JP"/>
        </w:rPr>
        <w:t xml:space="preserve">In the treatment sub-group analysis, NEUROPATHY (all causality) was reported in 19.2% (n=33) of patients in the </w:t>
      </w:r>
      <w:proofErr w:type="spellStart"/>
      <w:r w:rsidRPr="00C31183">
        <w:rPr>
          <w:lang w:eastAsia="ja-JP"/>
        </w:rPr>
        <w:t>crizotinib</w:t>
      </w:r>
      <w:proofErr w:type="spellEnd"/>
      <w:r w:rsidRPr="00C31183">
        <w:rPr>
          <w:lang w:eastAsia="ja-JP"/>
        </w:rPr>
        <w:t xml:space="preserve"> group, 10.1% (n=10) of patients in the </w:t>
      </w:r>
      <w:proofErr w:type="spellStart"/>
      <w:r w:rsidRPr="00C31183">
        <w:rPr>
          <w:lang w:eastAsia="ja-JP"/>
        </w:rPr>
        <w:t>pemetrexed</w:t>
      </w:r>
      <w:proofErr w:type="spellEnd"/>
      <w:r w:rsidRPr="00C31183">
        <w:rPr>
          <w:lang w:eastAsia="ja-JP"/>
        </w:rPr>
        <w:t xml:space="preserve"> group, and 26.4% (n=19) of patients in the </w:t>
      </w:r>
      <w:proofErr w:type="spellStart"/>
      <w:r w:rsidRPr="00C31183">
        <w:rPr>
          <w:lang w:eastAsia="ja-JP"/>
        </w:rPr>
        <w:t>docetaxel</w:t>
      </w:r>
      <w:proofErr w:type="spellEnd"/>
      <w:r w:rsidRPr="00C31183">
        <w:rPr>
          <w:lang w:eastAsia="ja-JP"/>
        </w:rPr>
        <w:t xml:space="preserve"> group.</w:t>
      </w:r>
    </w:p>
    <w:p w:rsidR="00CE4F74" w:rsidRPr="00C31183" w:rsidRDefault="00CE4F74" w:rsidP="009C55C1">
      <w:pPr>
        <w:rPr>
          <w:lang w:eastAsia="ja-JP"/>
        </w:rPr>
      </w:pPr>
      <w:r w:rsidRPr="00C31183">
        <w:rPr>
          <w:lang w:eastAsia="ja-JP"/>
        </w:rPr>
        <w:t xml:space="preserve">NEUROPATHY (treatment-related) was reported in 14 (8.1%) patients in the </w:t>
      </w:r>
      <w:proofErr w:type="spellStart"/>
      <w:r w:rsidRPr="00C31183">
        <w:rPr>
          <w:lang w:eastAsia="ja-JP"/>
        </w:rPr>
        <w:t>crizotinib</w:t>
      </w:r>
      <w:proofErr w:type="spellEnd"/>
      <w:r w:rsidRPr="00C31183">
        <w:rPr>
          <w:lang w:eastAsia="ja-JP"/>
        </w:rPr>
        <w:t xml:space="preserve"> arm and 19 (11.1%) patients in the chemotherapy arm. The median time to onset was 43.5 days (range: 2, 355) in the </w:t>
      </w:r>
      <w:proofErr w:type="spellStart"/>
      <w:r w:rsidRPr="00C31183">
        <w:rPr>
          <w:lang w:eastAsia="ja-JP"/>
        </w:rPr>
        <w:t>crizotinib</w:t>
      </w:r>
      <w:proofErr w:type="spellEnd"/>
      <w:r w:rsidRPr="00C31183">
        <w:rPr>
          <w:lang w:eastAsia="ja-JP"/>
        </w:rPr>
        <w:t xml:space="preserve"> arm and 45.0 days (range: 1, 171) in the chemotherapy arm, while the median duration of the event was 85 days (95% CI: 45, not reached) and 161 days (95% CI: 20, not reached), respectively. In the </w:t>
      </w:r>
      <w:proofErr w:type="spellStart"/>
      <w:r w:rsidRPr="00C31183">
        <w:rPr>
          <w:lang w:eastAsia="ja-JP"/>
        </w:rPr>
        <w:t>crizotinib</w:t>
      </w:r>
      <w:proofErr w:type="spellEnd"/>
      <w:r w:rsidRPr="00C31183">
        <w:rPr>
          <w:lang w:eastAsia="ja-JP"/>
        </w:rPr>
        <w:t xml:space="preserve"> arm, NEUROPATHY (treatment-related) was reported in 3.5% of patients in the first cycle and remained relatively constant over the following 5 cycles ranging from 2.4% to 4.6%. In the chemotherapy arm NEUROPATHY (treatment-related) was reported in 4.1% of patients in the first cycle and remained relatively constant over the following 5 cy</w:t>
      </w:r>
      <w:r w:rsidR="009C55C1">
        <w:rPr>
          <w:lang w:eastAsia="ja-JP"/>
        </w:rPr>
        <w:t>cles ranging from 3.6% to 7.0%.</w:t>
      </w:r>
    </w:p>
    <w:p w:rsidR="00CE4F74" w:rsidRPr="00C31183" w:rsidRDefault="00CE4F74" w:rsidP="009C55C1">
      <w:pPr>
        <w:pStyle w:val="Heading4"/>
      </w:pPr>
      <w:r w:rsidRPr="00C31183">
        <w:t>Dizziness</w:t>
      </w:r>
    </w:p>
    <w:p w:rsidR="00CE4F74" w:rsidRPr="00C31183" w:rsidRDefault="00CE4F74" w:rsidP="009C55C1">
      <w:pPr>
        <w:rPr>
          <w:lang w:eastAsia="ja-JP"/>
        </w:rPr>
      </w:pPr>
      <w:r w:rsidRPr="00C31183">
        <w:rPr>
          <w:lang w:eastAsia="ja-JP"/>
        </w:rPr>
        <w:t xml:space="preserve">Dizziness (all grades) was reported in 16.3% (n=28) of patients in the </w:t>
      </w:r>
      <w:proofErr w:type="spellStart"/>
      <w:r w:rsidRPr="00C31183">
        <w:rPr>
          <w:lang w:eastAsia="ja-JP"/>
        </w:rPr>
        <w:t>crizotinib</w:t>
      </w:r>
      <w:proofErr w:type="spellEnd"/>
      <w:r w:rsidRPr="00C31183">
        <w:rPr>
          <w:lang w:eastAsia="ja-JP"/>
        </w:rPr>
        <w:t xml:space="preserve"> arm and 7.0% (n=12) of patients in the chemotherapy arm. In both the arms, dizziness was reported as Grade 1 or 2 events in all patients, apart from 1 (0.6%) patient with a Grade 3 event in the </w:t>
      </w:r>
      <w:proofErr w:type="spellStart"/>
      <w:r w:rsidRPr="00C31183">
        <w:rPr>
          <w:lang w:eastAsia="ja-JP"/>
        </w:rPr>
        <w:t>crizotinib</w:t>
      </w:r>
      <w:proofErr w:type="spellEnd"/>
      <w:r w:rsidRPr="00C31183">
        <w:rPr>
          <w:lang w:eastAsia="ja-JP"/>
        </w:rPr>
        <w:t xml:space="preserve"> arm. Postural dizziness was reported in 4.7% (n=8) of patients in the </w:t>
      </w:r>
      <w:proofErr w:type="spellStart"/>
      <w:r w:rsidRPr="00C31183">
        <w:rPr>
          <w:lang w:eastAsia="ja-JP"/>
        </w:rPr>
        <w:t>crizotinib</w:t>
      </w:r>
      <w:proofErr w:type="spellEnd"/>
      <w:r w:rsidRPr="00C31183">
        <w:rPr>
          <w:lang w:eastAsia="ja-JP"/>
        </w:rPr>
        <w:t xml:space="preserve"> arm (all Grade 1 events) and 1.2% (n=2) of patients in the chemothe</w:t>
      </w:r>
      <w:r w:rsidR="009C55C1">
        <w:rPr>
          <w:lang w:eastAsia="ja-JP"/>
        </w:rPr>
        <w:t>rapy arm (both Grade 1 events).</w:t>
      </w:r>
    </w:p>
    <w:p w:rsidR="00CE4F74" w:rsidRPr="00C31183" w:rsidRDefault="00CE4F74" w:rsidP="009C55C1">
      <w:pPr>
        <w:rPr>
          <w:lang w:eastAsia="ja-JP"/>
        </w:rPr>
      </w:pPr>
      <w:r w:rsidRPr="00C31183">
        <w:rPr>
          <w:lang w:eastAsia="ja-JP"/>
        </w:rPr>
        <w:lastRenderedPageBreak/>
        <w:t xml:space="preserve">There were no permanent treatment discontinuations due to dizziness or postural dizziness reported in either treatment arm. Temporary treatment discontinuations due to dizziness were reported in 1 (0.6%) patient in the </w:t>
      </w:r>
      <w:proofErr w:type="spellStart"/>
      <w:r w:rsidRPr="00C31183">
        <w:rPr>
          <w:lang w:eastAsia="ja-JP"/>
        </w:rPr>
        <w:t>crizotinib</w:t>
      </w:r>
      <w:proofErr w:type="spellEnd"/>
      <w:r w:rsidRPr="00C31183">
        <w:rPr>
          <w:lang w:eastAsia="ja-JP"/>
        </w:rPr>
        <w:t xml:space="preserve"> arm and 2 (1.2%) patients in the chemotherapy arm, while postural dizziness was not reported as leading to temporary treatment discontinuation in either treatment arm. There were no dose reductions due to dizziness or postural dizziness in either treatment arm.</w:t>
      </w:r>
    </w:p>
    <w:p w:rsidR="00CE4F74" w:rsidRPr="00C31183" w:rsidRDefault="00CE4F74" w:rsidP="009C55C1">
      <w:pPr>
        <w:pStyle w:val="Heading4"/>
      </w:pPr>
      <w:r w:rsidRPr="00C31183">
        <w:t>Cardiac disorders</w:t>
      </w:r>
    </w:p>
    <w:p w:rsidR="00CE4F74" w:rsidRPr="00C31183" w:rsidRDefault="00CE4F74" w:rsidP="009C55C1">
      <w:pPr>
        <w:rPr>
          <w:lang w:eastAsia="ja-JP"/>
        </w:rPr>
      </w:pPr>
      <w:r w:rsidRPr="00C31183">
        <w:rPr>
          <w:lang w:eastAsia="ja-JP"/>
        </w:rPr>
        <w:t xml:space="preserve">Cardiac disorders (SOC) were reported in 12.8% (n=22) patients in the </w:t>
      </w:r>
      <w:proofErr w:type="spellStart"/>
      <w:r w:rsidRPr="00C31183">
        <w:rPr>
          <w:lang w:eastAsia="ja-JP"/>
        </w:rPr>
        <w:t>crizotinib</w:t>
      </w:r>
      <w:proofErr w:type="spellEnd"/>
      <w:r w:rsidRPr="00C31183">
        <w:rPr>
          <w:lang w:eastAsia="ja-JP"/>
        </w:rPr>
        <w:t xml:space="preserve"> arm and 5.3% (n=9) patients in the chemotherapy arm. In the </w:t>
      </w:r>
      <w:proofErr w:type="spellStart"/>
      <w:r w:rsidRPr="00C31183">
        <w:rPr>
          <w:lang w:eastAsia="ja-JP"/>
        </w:rPr>
        <w:t>crizotinib</w:t>
      </w:r>
      <w:proofErr w:type="spellEnd"/>
      <w:r w:rsidRPr="00C31183">
        <w:rPr>
          <w:lang w:eastAsia="ja-JP"/>
        </w:rPr>
        <w:t xml:space="preserve"> arm, there were 3 (1.7%) reports of bradycardia and 5 (2.9%) reports of sinus bradycardia, 1 report of arrhythmia and 1 report of cardiac arrest. In the chemotherapy arm, the only cardiac disorders occurring in more than 1 patient were pericardial effusion (3 patients, 1.8%) and tachycardia (2 patients, 1.2%). There were no reports of arrhythmia in the chemotherapy arm but 1 report of ventricular tachycardia. There were no reports of bradycardia or cardiac arrest in </w:t>
      </w:r>
      <w:r w:rsidR="009C55C1">
        <w:rPr>
          <w:lang w:eastAsia="ja-JP"/>
        </w:rPr>
        <w:t>the chemotherapy arm.</w:t>
      </w:r>
    </w:p>
    <w:p w:rsidR="00CE4F74" w:rsidRPr="00C31183" w:rsidRDefault="00CE4F74" w:rsidP="009C55C1">
      <w:pPr>
        <w:rPr>
          <w:lang w:eastAsia="ja-JP"/>
        </w:rPr>
      </w:pPr>
      <w:r w:rsidRPr="00C31183">
        <w:rPr>
          <w:lang w:eastAsia="ja-JP"/>
        </w:rPr>
        <w:t xml:space="preserve">Cardiac disorders resulted in 1 (0.6%) permanent treatment discontinuation in the </w:t>
      </w:r>
      <w:proofErr w:type="spellStart"/>
      <w:r w:rsidRPr="00C31183">
        <w:rPr>
          <w:lang w:eastAsia="ja-JP"/>
        </w:rPr>
        <w:t>crizotinib</w:t>
      </w:r>
      <w:proofErr w:type="spellEnd"/>
      <w:r w:rsidRPr="00C31183">
        <w:rPr>
          <w:lang w:eastAsia="ja-JP"/>
        </w:rPr>
        <w:t xml:space="preserve"> arm (arrhythmia Grade 5) compared with 4 (2.3%) permanent treatment discontinuations in the chemotherapy arm (cardiomyopathy Grade 2, left ventricular dysfunction Grade 2, and pericardial effusion Grades 4 and 5). Cardiac disorders resulted in 5 (2.9%) temporary treatment discontinuations in the </w:t>
      </w:r>
      <w:proofErr w:type="spellStart"/>
      <w:r w:rsidRPr="00C31183">
        <w:rPr>
          <w:lang w:eastAsia="ja-JP"/>
        </w:rPr>
        <w:t>crizotinib</w:t>
      </w:r>
      <w:proofErr w:type="spellEnd"/>
      <w:r w:rsidRPr="00C31183">
        <w:rPr>
          <w:lang w:eastAsia="ja-JP"/>
        </w:rPr>
        <w:t xml:space="preserve"> arm (2 for sinus bradycardia and 1 each for arrhythmia, cardiac arrest, ventricular dilatation) compared with no patients in the chemotherapy arm. No patients in either treatment arm had dose reductions due to cardiac disorders.</w:t>
      </w:r>
    </w:p>
    <w:p w:rsidR="00CE4F74" w:rsidRPr="00C31183" w:rsidRDefault="009C55C1" w:rsidP="009C55C1">
      <w:pPr>
        <w:pStyle w:val="Heading4"/>
      </w:pPr>
      <w:r>
        <w:t>Electrocardiogram QT prolonged</w:t>
      </w:r>
    </w:p>
    <w:p w:rsidR="00CE4F74" w:rsidRPr="00C31183" w:rsidRDefault="00CE4F74" w:rsidP="009C55C1">
      <w:pPr>
        <w:rPr>
          <w:lang w:eastAsia="ja-JP"/>
        </w:rPr>
      </w:pPr>
      <w:r w:rsidRPr="00C31183">
        <w:rPr>
          <w:lang w:eastAsia="ja-JP"/>
        </w:rPr>
        <w:t xml:space="preserve">ECG QT prolonged (“investigations” [SOC]) was reported in 4.7% (n=8) of patients in the </w:t>
      </w:r>
      <w:proofErr w:type="spellStart"/>
      <w:r w:rsidRPr="00C31183">
        <w:rPr>
          <w:lang w:eastAsia="ja-JP"/>
        </w:rPr>
        <w:t>crizotinib</w:t>
      </w:r>
      <w:proofErr w:type="spellEnd"/>
      <w:r w:rsidRPr="00C31183">
        <w:rPr>
          <w:lang w:eastAsia="ja-JP"/>
        </w:rPr>
        <w:t xml:space="preserve"> arm (6 Grade 3 events, 1 each Grade 1 and 2 events) and no patients in the chemotherapy arm.</w:t>
      </w:r>
      <w:r>
        <w:rPr>
          <w:rStyle w:val="FootnoteReference"/>
          <w:lang w:eastAsia="ja-JP"/>
        </w:rPr>
        <w:footnoteReference w:id="6"/>
      </w:r>
      <w:r>
        <w:rPr>
          <w:lang w:eastAsia="ja-JP"/>
        </w:rPr>
        <w:t xml:space="preserve"> (</w:t>
      </w:r>
      <w:r w:rsidRPr="00C31183">
        <w:rPr>
          <w:lang w:eastAsia="ja-JP"/>
        </w:rPr>
        <w:t xml:space="preserve">No permanent treatment discontinuations were reported for ECG QT prolonged in the </w:t>
      </w:r>
      <w:proofErr w:type="spellStart"/>
      <w:r w:rsidRPr="00C31183">
        <w:rPr>
          <w:lang w:eastAsia="ja-JP"/>
        </w:rPr>
        <w:t>crizotinib</w:t>
      </w:r>
      <w:proofErr w:type="spellEnd"/>
      <w:r w:rsidRPr="00C31183">
        <w:rPr>
          <w:lang w:eastAsia="ja-JP"/>
        </w:rPr>
        <w:t xml:space="preserve"> arm, while 2 (1.2%) temporary treatment discontinuations and 5 (2.9%)</w:t>
      </w:r>
      <w:r w:rsidR="009C55C1">
        <w:rPr>
          <w:lang w:eastAsia="ja-JP"/>
        </w:rPr>
        <w:t xml:space="preserve"> dose reductions were reported.</w:t>
      </w:r>
    </w:p>
    <w:p w:rsidR="00CE4F74" w:rsidRPr="00C31183" w:rsidRDefault="00CE4F74" w:rsidP="009C55C1">
      <w:pPr>
        <w:pStyle w:val="Heading4"/>
      </w:pPr>
      <w:r w:rsidRPr="00C31183">
        <w:t>Interstitial lun</w:t>
      </w:r>
      <w:r w:rsidR="009C55C1">
        <w:t>g disease (ILD) and pneumonitis</w:t>
      </w:r>
    </w:p>
    <w:p w:rsidR="00CE4F74" w:rsidRPr="00C31183" w:rsidRDefault="00CE4F74" w:rsidP="009C55C1">
      <w:pPr>
        <w:rPr>
          <w:lang w:eastAsia="ja-JP"/>
        </w:rPr>
      </w:pPr>
      <w:r w:rsidRPr="00C31183">
        <w:rPr>
          <w:lang w:eastAsia="ja-JP"/>
        </w:rPr>
        <w:t xml:space="preserve">ILD was reported in 3 (1.7%) patients in the </w:t>
      </w:r>
      <w:proofErr w:type="spellStart"/>
      <w:r w:rsidRPr="00C31183">
        <w:rPr>
          <w:lang w:eastAsia="ja-JP"/>
        </w:rPr>
        <w:t>crizotinib</w:t>
      </w:r>
      <w:proofErr w:type="spellEnd"/>
      <w:r w:rsidRPr="00C31183">
        <w:rPr>
          <w:lang w:eastAsia="ja-JP"/>
        </w:rPr>
        <w:t xml:space="preserve"> arm (1 each for Grades 1, 3 and 5) and in no patients in the chemotherapy arm. Permanent treatment discontinuation occurred </w:t>
      </w:r>
      <w:r w:rsidR="009C55C1">
        <w:rPr>
          <w:lang w:eastAsia="ja-JP"/>
        </w:rPr>
        <w:t>for each of the 3 cases of ILD.</w:t>
      </w:r>
    </w:p>
    <w:p w:rsidR="00CE4F74" w:rsidRPr="00C31183" w:rsidRDefault="00CE4F74" w:rsidP="009C55C1">
      <w:pPr>
        <w:rPr>
          <w:lang w:eastAsia="ja-JP"/>
        </w:rPr>
      </w:pPr>
      <w:r w:rsidRPr="00C31183">
        <w:rPr>
          <w:lang w:eastAsia="ja-JP"/>
        </w:rPr>
        <w:t xml:space="preserve">Pneumonitis was reported in 3 (1.7%) patients in the </w:t>
      </w:r>
      <w:proofErr w:type="spellStart"/>
      <w:r w:rsidRPr="00C31183">
        <w:rPr>
          <w:lang w:eastAsia="ja-JP"/>
        </w:rPr>
        <w:t>crizotinib</w:t>
      </w:r>
      <w:proofErr w:type="spellEnd"/>
      <w:r w:rsidRPr="00C31183">
        <w:rPr>
          <w:lang w:eastAsia="ja-JP"/>
        </w:rPr>
        <w:t xml:space="preserve"> arm (1 each for Grades 1, 2, and 5) and in 1 (0.6%) patient in the chemotherapy arm (Grade 1 event). Permanent treatment discontinuation due to pneumonitis (Grade 5) was reported in 1 (0.6%) patient in the </w:t>
      </w:r>
      <w:proofErr w:type="spellStart"/>
      <w:r w:rsidRPr="00C31183">
        <w:rPr>
          <w:lang w:eastAsia="ja-JP"/>
        </w:rPr>
        <w:t>crizotinib</w:t>
      </w:r>
      <w:proofErr w:type="spellEnd"/>
      <w:r w:rsidRPr="00C31183">
        <w:rPr>
          <w:lang w:eastAsia="ja-JP"/>
        </w:rPr>
        <w:t xml:space="preserve"> arm and no patients in the chemotherapy arm. Temporary treatment discontinuations were reported in 1 (0.6%) patient in the </w:t>
      </w:r>
      <w:proofErr w:type="spellStart"/>
      <w:r w:rsidRPr="00C31183">
        <w:rPr>
          <w:lang w:eastAsia="ja-JP"/>
        </w:rPr>
        <w:t>crizotinib</w:t>
      </w:r>
      <w:proofErr w:type="spellEnd"/>
      <w:r w:rsidRPr="00C31183">
        <w:rPr>
          <w:lang w:eastAsia="ja-JP"/>
        </w:rPr>
        <w:t xml:space="preserve"> arm and no patients in the chemotherapy arm and no dose reductions due to pneumonitis were reported in either treatment arm.</w:t>
      </w:r>
    </w:p>
    <w:p w:rsidR="00CE4F74" w:rsidRPr="00C31183" w:rsidRDefault="00CE4F74" w:rsidP="009C55C1">
      <w:pPr>
        <w:rPr>
          <w:lang w:eastAsia="ja-JP"/>
        </w:rPr>
      </w:pPr>
      <w:r w:rsidRPr="00C31183">
        <w:rPr>
          <w:lang w:eastAsia="ja-JP"/>
        </w:rPr>
        <w:t xml:space="preserve">The median time to first onset of treatment-related INTERSTITIAL LUNG DISEAES in the </w:t>
      </w:r>
      <w:proofErr w:type="spellStart"/>
      <w:r w:rsidRPr="00C31183">
        <w:rPr>
          <w:lang w:eastAsia="ja-JP"/>
        </w:rPr>
        <w:t>crizotinib</w:t>
      </w:r>
      <w:proofErr w:type="spellEnd"/>
      <w:r w:rsidRPr="00C31183">
        <w:rPr>
          <w:lang w:eastAsia="ja-JP"/>
        </w:rPr>
        <w:t xml:space="preserve"> arm (n=5, 2.9%) was 66 days (range: 9, 335) and there were no data on median duration, while in the chemotherapy arm there was one report of this condition with time to first onset of 20</w:t>
      </w:r>
      <w:r w:rsidR="009C55C1">
        <w:rPr>
          <w:lang w:eastAsia="ja-JP"/>
        </w:rPr>
        <w:t>3 days and duration of 50 days.</w:t>
      </w:r>
    </w:p>
    <w:p w:rsidR="00CE4F74" w:rsidRPr="00C31183" w:rsidRDefault="00CE4F74" w:rsidP="009C55C1">
      <w:pPr>
        <w:pStyle w:val="Heading3"/>
      </w:pPr>
      <w:bookmarkStart w:id="129" w:name="_Toc228773403"/>
      <w:bookmarkStart w:id="130" w:name="_Toc380058438"/>
      <w:bookmarkStart w:id="131" w:name="_Toc384975292"/>
      <w:r w:rsidRPr="00C31183">
        <w:t xml:space="preserve">Risk-benefit </w:t>
      </w:r>
      <w:r w:rsidRPr="009C55C1">
        <w:t>balance</w:t>
      </w:r>
      <w:r w:rsidRPr="00C31183">
        <w:t xml:space="preserve"> based on </w:t>
      </w:r>
      <w:r>
        <w:t>S</w:t>
      </w:r>
      <w:r w:rsidRPr="00C31183">
        <w:t>tudy A8081007</w:t>
      </w:r>
      <w:bookmarkEnd w:id="129"/>
      <w:bookmarkEnd w:id="130"/>
      <w:bookmarkEnd w:id="131"/>
    </w:p>
    <w:p w:rsidR="00CE4F74" w:rsidRPr="00C31183" w:rsidRDefault="00CE4F74" w:rsidP="009C55C1">
      <w:pPr>
        <w:rPr>
          <w:lang w:eastAsia="ja-JP"/>
        </w:rPr>
      </w:pPr>
      <w:r w:rsidRPr="00C31183">
        <w:rPr>
          <w:lang w:eastAsia="ja-JP"/>
        </w:rPr>
        <w:t xml:space="preserve">It is considered that the benefits of </w:t>
      </w:r>
      <w:proofErr w:type="spellStart"/>
      <w:r w:rsidRPr="00C31183">
        <w:rPr>
          <w:lang w:eastAsia="ja-JP"/>
        </w:rPr>
        <w:t>crizotinib</w:t>
      </w:r>
      <w:proofErr w:type="spellEnd"/>
      <w:r w:rsidRPr="00C31183">
        <w:rPr>
          <w:lang w:eastAsia="ja-JP"/>
        </w:rPr>
        <w:t xml:space="preserve"> are greater than those for standard of care chemotherapy (</w:t>
      </w:r>
      <w:proofErr w:type="spellStart"/>
      <w:r w:rsidRPr="00C31183">
        <w:rPr>
          <w:lang w:eastAsia="ja-JP"/>
        </w:rPr>
        <w:t>pemetrexed</w:t>
      </w:r>
      <w:proofErr w:type="spellEnd"/>
      <w:r w:rsidRPr="00C31183">
        <w:rPr>
          <w:lang w:eastAsia="ja-JP"/>
        </w:rPr>
        <w:t xml:space="preserve"> or </w:t>
      </w:r>
      <w:proofErr w:type="spellStart"/>
      <w:r w:rsidRPr="00C31183">
        <w:rPr>
          <w:lang w:eastAsia="ja-JP"/>
        </w:rPr>
        <w:t>docetaxel</w:t>
      </w:r>
      <w:proofErr w:type="spellEnd"/>
      <w:r w:rsidRPr="00C31183">
        <w:rPr>
          <w:lang w:eastAsia="ja-JP"/>
        </w:rPr>
        <w:t xml:space="preserve">) for the treatment of patients with previously treated </w:t>
      </w:r>
      <w:r w:rsidRPr="00C31183">
        <w:rPr>
          <w:lang w:eastAsia="ja-JP"/>
        </w:rPr>
        <w:lastRenderedPageBreak/>
        <w:t xml:space="preserve">ALK-positive NSCLC. The primary benefit of </w:t>
      </w:r>
      <w:proofErr w:type="spellStart"/>
      <w:r w:rsidRPr="00C31183">
        <w:rPr>
          <w:lang w:eastAsia="ja-JP"/>
        </w:rPr>
        <w:t>crizotinib</w:t>
      </w:r>
      <w:proofErr w:type="spellEnd"/>
      <w:r w:rsidRPr="00C31183">
        <w:rPr>
          <w:lang w:eastAsia="ja-JP"/>
        </w:rPr>
        <w:t xml:space="preserve"> compared with chemotherapy relates to the clinically meaningful median improvement of 4.7 months in PFS, supported by i</w:t>
      </w:r>
      <w:r>
        <w:rPr>
          <w:lang w:eastAsia="ja-JP"/>
        </w:rPr>
        <w:t>mprovements in the ORR, DCR at W</w:t>
      </w:r>
      <w:r w:rsidRPr="00C31183">
        <w:rPr>
          <w:lang w:eastAsia="ja-JP"/>
        </w:rPr>
        <w:t xml:space="preserve">eek 6 and 12 and PRO quality of life and symptom outcomes. However, there was no overall survival benefit (or detriment) in the </w:t>
      </w:r>
      <w:proofErr w:type="spellStart"/>
      <w:r w:rsidRPr="00C31183">
        <w:rPr>
          <w:lang w:eastAsia="ja-JP"/>
        </w:rPr>
        <w:t>crizotinib</w:t>
      </w:r>
      <w:proofErr w:type="spellEnd"/>
      <w:r w:rsidRPr="00C31183">
        <w:rPr>
          <w:lang w:eastAsia="ja-JP"/>
        </w:rPr>
        <w:t xml:space="preserve"> arm compared with the chemotherapy arm based on th</w:t>
      </w:r>
      <w:r w:rsidR="009C55C1">
        <w:rPr>
          <w:lang w:eastAsia="ja-JP"/>
        </w:rPr>
        <w:t>e interim OS analysis.</w:t>
      </w:r>
    </w:p>
    <w:p w:rsidR="00CE4F74" w:rsidRPr="00C31183" w:rsidRDefault="00CE4F74" w:rsidP="009C55C1">
      <w:pPr>
        <w:rPr>
          <w:lang w:eastAsia="ja-JP"/>
        </w:rPr>
      </w:pPr>
      <w:r w:rsidRPr="00C31183">
        <w:rPr>
          <w:lang w:eastAsia="ja-JP"/>
        </w:rPr>
        <w:t xml:space="preserve">It is considered that risks of </w:t>
      </w:r>
      <w:proofErr w:type="spellStart"/>
      <w:r w:rsidRPr="00C31183">
        <w:rPr>
          <w:lang w:eastAsia="ja-JP"/>
        </w:rPr>
        <w:t>crizotinib</w:t>
      </w:r>
      <w:proofErr w:type="spellEnd"/>
      <w:r w:rsidRPr="00C31183">
        <w:rPr>
          <w:lang w:eastAsia="ja-JP"/>
        </w:rPr>
        <w:t xml:space="preserve"> are greater than those for standard of care chemotherapy (</w:t>
      </w:r>
      <w:proofErr w:type="spellStart"/>
      <w:r w:rsidRPr="00C31183">
        <w:rPr>
          <w:lang w:eastAsia="ja-JP"/>
        </w:rPr>
        <w:t>pemetrexed</w:t>
      </w:r>
      <w:proofErr w:type="spellEnd"/>
      <w:r w:rsidRPr="00C31183">
        <w:rPr>
          <w:lang w:eastAsia="ja-JP"/>
        </w:rPr>
        <w:t xml:space="preserve"> or </w:t>
      </w:r>
      <w:proofErr w:type="spellStart"/>
      <w:r w:rsidRPr="00C31183">
        <w:rPr>
          <w:lang w:eastAsia="ja-JP"/>
        </w:rPr>
        <w:t>docetaxel</w:t>
      </w:r>
      <w:proofErr w:type="spellEnd"/>
      <w:r w:rsidRPr="00C31183">
        <w:rPr>
          <w:lang w:eastAsia="ja-JP"/>
        </w:rPr>
        <w:t xml:space="preserve">) for the treatment of patients with previously treated ALK-positive NSCLC. However, most of the commonly occurring risks associated with </w:t>
      </w:r>
      <w:proofErr w:type="spellStart"/>
      <w:r w:rsidRPr="00C31183">
        <w:rPr>
          <w:lang w:eastAsia="ja-JP"/>
        </w:rPr>
        <w:t>crizotinib</w:t>
      </w:r>
      <w:proofErr w:type="spellEnd"/>
      <w:r w:rsidRPr="00C31183">
        <w:rPr>
          <w:lang w:eastAsia="ja-JP"/>
        </w:rPr>
        <w:t xml:space="preserve"> were generally manageable by temporary treatment discontinuation, dose reductions and/or symptomatic treatment rather than by permanent treatment discontinuation. Of concern, there were small but potentially fatal risks of DILI and ILD related to treatment with </w:t>
      </w:r>
      <w:proofErr w:type="spellStart"/>
      <w:r w:rsidRPr="00C31183">
        <w:rPr>
          <w:lang w:eastAsia="ja-JP"/>
        </w:rPr>
        <w:t>crizotinib</w:t>
      </w:r>
      <w:proofErr w:type="spellEnd"/>
      <w:r w:rsidRPr="00C31183">
        <w:rPr>
          <w:lang w:eastAsia="ja-JP"/>
        </w:rPr>
        <w:t xml:space="preserve">. While regular liver function monitoring may assist early recognition and appropriate management of elevated hepatic transaminase levels associated with </w:t>
      </w:r>
      <w:proofErr w:type="spellStart"/>
      <w:r w:rsidRPr="00C31183">
        <w:rPr>
          <w:lang w:eastAsia="ja-JP"/>
        </w:rPr>
        <w:t>crizotinib</w:t>
      </w:r>
      <w:proofErr w:type="spellEnd"/>
      <w:r w:rsidRPr="00C31183">
        <w:rPr>
          <w:lang w:eastAsia="ja-JP"/>
        </w:rPr>
        <w:t>, such monitoring is unlikely to prevent drug induced liver injury due to the idiosyncratic and unpredictable nature of the condition. There are no known monitoring methods to</w:t>
      </w:r>
      <w:r w:rsidR="009C55C1">
        <w:rPr>
          <w:lang w:eastAsia="ja-JP"/>
        </w:rPr>
        <w:t xml:space="preserve"> prevent ILD due to </w:t>
      </w:r>
      <w:proofErr w:type="spellStart"/>
      <w:r w:rsidR="009C55C1">
        <w:rPr>
          <w:lang w:eastAsia="ja-JP"/>
        </w:rPr>
        <w:t>crizotinib</w:t>
      </w:r>
      <w:proofErr w:type="spellEnd"/>
      <w:r w:rsidR="009C55C1">
        <w:rPr>
          <w:lang w:eastAsia="ja-JP"/>
        </w:rPr>
        <w:t>.</w:t>
      </w:r>
    </w:p>
    <w:p w:rsidR="00CE4F74" w:rsidRPr="00C31183" w:rsidRDefault="00CE4F74" w:rsidP="009C55C1">
      <w:pPr>
        <w:rPr>
          <w:lang w:eastAsia="ja-JP"/>
        </w:rPr>
      </w:pPr>
      <w:r w:rsidRPr="00C31183">
        <w:rPr>
          <w:lang w:eastAsia="ja-JP"/>
        </w:rPr>
        <w:t xml:space="preserve">The risk-benefit assessment for </w:t>
      </w:r>
      <w:proofErr w:type="spellStart"/>
      <w:r w:rsidRPr="00C31183">
        <w:rPr>
          <w:lang w:eastAsia="ja-JP"/>
        </w:rPr>
        <w:t>crizotinib</w:t>
      </w:r>
      <w:proofErr w:type="spellEnd"/>
      <w:r w:rsidRPr="00C31183">
        <w:rPr>
          <w:lang w:eastAsia="ja-JP"/>
        </w:rPr>
        <w:t xml:space="preserve"> compared with standard of care chemotherapy (</w:t>
      </w:r>
      <w:proofErr w:type="spellStart"/>
      <w:r w:rsidRPr="00C31183">
        <w:rPr>
          <w:lang w:eastAsia="ja-JP"/>
        </w:rPr>
        <w:t>pemetrexed</w:t>
      </w:r>
      <w:proofErr w:type="spellEnd"/>
      <w:r w:rsidRPr="00C31183">
        <w:rPr>
          <w:lang w:eastAsia="ja-JP"/>
        </w:rPr>
        <w:t xml:space="preserve"> or </w:t>
      </w:r>
      <w:proofErr w:type="spellStart"/>
      <w:r w:rsidRPr="00C31183">
        <w:rPr>
          <w:lang w:eastAsia="ja-JP"/>
        </w:rPr>
        <w:t>docetaxel</w:t>
      </w:r>
      <w:proofErr w:type="spellEnd"/>
      <w:r w:rsidRPr="00C31183">
        <w:rPr>
          <w:lang w:eastAsia="ja-JP"/>
        </w:rPr>
        <w:t xml:space="preserve">) for the treatment of patients with previously treated ALK-positive NSCLC is considered to be finally balanced. The risk-benefit balance hinges on whether the clinically meaningful PFS benefit, in the absence of an OS benefit, observed with </w:t>
      </w:r>
      <w:proofErr w:type="spellStart"/>
      <w:r w:rsidRPr="00C31183">
        <w:rPr>
          <w:lang w:eastAsia="ja-JP"/>
        </w:rPr>
        <w:t>crizotinib</w:t>
      </w:r>
      <w:proofErr w:type="spellEnd"/>
      <w:r w:rsidRPr="00C31183">
        <w:rPr>
          <w:lang w:eastAsia="ja-JP"/>
        </w:rPr>
        <w:t xml:space="preserve"> compared with chemotherapy outweighs the inferior safety profile of </w:t>
      </w:r>
      <w:proofErr w:type="spellStart"/>
      <w:r w:rsidRPr="00C31183">
        <w:rPr>
          <w:lang w:eastAsia="ja-JP"/>
        </w:rPr>
        <w:t>crizotinib</w:t>
      </w:r>
      <w:proofErr w:type="spellEnd"/>
      <w:r>
        <w:rPr>
          <w:lang w:eastAsia="ja-JP"/>
        </w:rPr>
        <w:t>,</w:t>
      </w:r>
      <w:r w:rsidRPr="00C31183">
        <w:rPr>
          <w:lang w:eastAsia="ja-JP"/>
        </w:rPr>
        <w:t xml:space="preserve"> including the potentially fatal risks of DILI and ILD, compared with chemotherapy. On balance, it is considered that the benefits of treatment with </w:t>
      </w:r>
      <w:proofErr w:type="spellStart"/>
      <w:r w:rsidRPr="00C31183">
        <w:rPr>
          <w:lang w:eastAsia="ja-JP"/>
        </w:rPr>
        <w:t>crizotinib</w:t>
      </w:r>
      <w:proofErr w:type="spellEnd"/>
      <w:r w:rsidRPr="00C31183">
        <w:rPr>
          <w:lang w:eastAsia="ja-JP"/>
        </w:rPr>
        <w:t xml:space="preserve"> compared with standard of care chemotherapy (</w:t>
      </w:r>
      <w:proofErr w:type="spellStart"/>
      <w:r w:rsidRPr="00C31183">
        <w:rPr>
          <w:lang w:eastAsia="ja-JP"/>
        </w:rPr>
        <w:t>pemetrexed</w:t>
      </w:r>
      <w:proofErr w:type="spellEnd"/>
      <w:r w:rsidRPr="00C31183">
        <w:rPr>
          <w:lang w:eastAsia="ja-JP"/>
        </w:rPr>
        <w:t xml:space="preserve"> or </w:t>
      </w:r>
      <w:proofErr w:type="spellStart"/>
      <w:r w:rsidRPr="00C31183">
        <w:rPr>
          <w:lang w:eastAsia="ja-JP"/>
        </w:rPr>
        <w:t>docetaxel</w:t>
      </w:r>
      <w:proofErr w:type="spellEnd"/>
      <w:r w:rsidRPr="00C31183">
        <w:rPr>
          <w:lang w:eastAsia="ja-JP"/>
        </w:rPr>
        <w:t>) for previously treated ALK-posi</w:t>
      </w:r>
      <w:r w:rsidR="009C55C1">
        <w:rPr>
          <w:lang w:eastAsia="ja-JP"/>
        </w:rPr>
        <w:t>tive NSCLC outweighs the risks.</w:t>
      </w:r>
    </w:p>
    <w:p w:rsidR="00CE4F74" w:rsidRPr="00C31183" w:rsidRDefault="00CE4F74" w:rsidP="009C55C1">
      <w:pPr>
        <w:pStyle w:val="Heading3"/>
      </w:pPr>
      <w:bookmarkStart w:id="132" w:name="_Toc228773404"/>
      <w:bookmarkStart w:id="133" w:name="_Toc380058439"/>
      <w:bookmarkStart w:id="134" w:name="_Toc384975293"/>
      <w:r w:rsidRPr="00C31183">
        <w:t>Relevant safety data from the RMP V4.0 dated 25 February 2013</w:t>
      </w:r>
      <w:bookmarkEnd w:id="132"/>
      <w:bookmarkEnd w:id="133"/>
      <w:bookmarkEnd w:id="134"/>
    </w:p>
    <w:p w:rsidR="00CE4F74" w:rsidRPr="00C31183" w:rsidRDefault="00CE4F74" w:rsidP="009C55C1">
      <w:pPr>
        <w:pStyle w:val="Heading4"/>
      </w:pPr>
      <w:bookmarkStart w:id="135" w:name="_Toc228773405"/>
      <w:r w:rsidRPr="00C31183">
        <w:t>Exposure</w:t>
      </w:r>
      <w:bookmarkEnd w:id="135"/>
    </w:p>
    <w:p w:rsidR="00CE4F74" w:rsidRPr="00C31183" w:rsidRDefault="00CE4F74" w:rsidP="009C55C1">
      <w:pPr>
        <w:rPr>
          <w:lang w:eastAsia="ja-JP"/>
        </w:rPr>
      </w:pPr>
      <w:r w:rsidRPr="00C31183">
        <w:rPr>
          <w:lang w:eastAsia="ja-JP"/>
        </w:rPr>
        <w:t xml:space="preserve">The data lock for </w:t>
      </w:r>
      <w:r>
        <w:rPr>
          <w:lang w:eastAsia="ja-JP"/>
        </w:rPr>
        <w:t>Risk Management Plan (</w:t>
      </w:r>
      <w:r w:rsidRPr="00C31183">
        <w:rPr>
          <w:lang w:eastAsia="ja-JP"/>
        </w:rPr>
        <w:t>RMP</w:t>
      </w:r>
      <w:r>
        <w:rPr>
          <w:lang w:eastAsia="ja-JP"/>
        </w:rPr>
        <w:t>) version 4.0 (</w:t>
      </w:r>
      <w:r w:rsidRPr="00C31183">
        <w:rPr>
          <w:lang w:eastAsia="ja-JP"/>
        </w:rPr>
        <w:t>V4.0</w:t>
      </w:r>
      <w:r>
        <w:rPr>
          <w:lang w:eastAsia="ja-JP"/>
        </w:rPr>
        <w:t>)</w:t>
      </w:r>
      <w:r w:rsidRPr="00C31183">
        <w:rPr>
          <w:lang w:eastAsia="ja-JP"/>
        </w:rPr>
        <w:t xml:space="preserve"> was 31 December 2012 and the date of final sign</w:t>
      </w:r>
      <w:r>
        <w:rPr>
          <w:lang w:eastAsia="ja-JP"/>
        </w:rPr>
        <w:t xml:space="preserve"> </w:t>
      </w:r>
      <w:r w:rsidRPr="00C31183">
        <w:rPr>
          <w:lang w:eastAsia="ja-JP"/>
        </w:rPr>
        <w:t xml:space="preserve">off was 25 February 2013. The RMP included safety data on 1106 patients treated for “ALK-positive advanced NSCLC” with </w:t>
      </w:r>
      <w:proofErr w:type="spellStart"/>
      <w:r w:rsidRPr="00C31183">
        <w:rPr>
          <w:lang w:eastAsia="ja-JP"/>
        </w:rPr>
        <w:t>crizotinib</w:t>
      </w:r>
      <w:proofErr w:type="spellEnd"/>
      <w:r w:rsidRPr="00C31183">
        <w:rPr>
          <w:lang w:eastAsia="ja-JP"/>
        </w:rPr>
        <w:t xml:space="preserve"> 250 mg BID from </w:t>
      </w:r>
      <w:r>
        <w:rPr>
          <w:lang w:eastAsia="ja-JP"/>
        </w:rPr>
        <w:t>S</w:t>
      </w:r>
      <w:r w:rsidRPr="00C31183">
        <w:rPr>
          <w:lang w:eastAsia="ja-JP"/>
        </w:rPr>
        <w:t>tudies A8081005 (#5) and A8081007 (#7) (see Table 21, below</w:t>
      </w:r>
      <w:r w:rsidRPr="00143CC0">
        <w:rPr>
          <w:lang w:eastAsia="ja-JP"/>
        </w:rPr>
        <w:t xml:space="preserve">).Of the 1106 patients in the safety analysis population, 934 were from Study #5 with a data </w:t>
      </w:r>
      <w:proofErr w:type="spellStart"/>
      <w:r w:rsidRPr="00143CC0">
        <w:rPr>
          <w:lang w:eastAsia="ja-JP"/>
        </w:rPr>
        <w:t>cut off</w:t>
      </w:r>
      <w:proofErr w:type="spellEnd"/>
      <w:r w:rsidRPr="00143CC0">
        <w:rPr>
          <w:lang w:eastAsia="ja-JP"/>
        </w:rPr>
        <w:t xml:space="preserve"> date of 15 February 2012 and 172 were from Study #7 with a data </w:t>
      </w:r>
      <w:proofErr w:type="spellStart"/>
      <w:r w:rsidRPr="00143CC0">
        <w:rPr>
          <w:lang w:eastAsia="ja-JP"/>
        </w:rPr>
        <w:t>cut off</w:t>
      </w:r>
      <w:proofErr w:type="spellEnd"/>
      <w:r w:rsidRPr="00143CC0">
        <w:rPr>
          <w:lang w:eastAsia="ja-JP"/>
        </w:rPr>
        <w:t xml:space="preserve"> date of 30 March 2012. It should be noted that the patient number and data </w:t>
      </w:r>
      <w:proofErr w:type="spellStart"/>
      <w:r w:rsidRPr="00143CC0">
        <w:rPr>
          <w:lang w:eastAsia="ja-JP"/>
        </w:rPr>
        <w:t>cut off</w:t>
      </w:r>
      <w:proofErr w:type="spellEnd"/>
      <w:r w:rsidRPr="00143CC0">
        <w:rPr>
          <w:lang w:eastAsia="ja-JP"/>
        </w:rPr>
        <w:t xml:space="preserve"> date for study #7 (30 March 2012) a</w:t>
      </w:r>
      <w:r w:rsidRPr="00C31183">
        <w:rPr>
          <w:lang w:eastAsia="ja-JP"/>
        </w:rPr>
        <w:t xml:space="preserve">re identical to those provided in the preliminary CSR for this study. Consequently, the safety data for </w:t>
      </w:r>
      <w:proofErr w:type="spellStart"/>
      <w:r w:rsidRPr="00C31183">
        <w:rPr>
          <w:lang w:eastAsia="ja-JP"/>
        </w:rPr>
        <w:t>crizotinib</w:t>
      </w:r>
      <w:proofErr w:type="spellEnd"/>
      <w:r w:rsidRPr="00C31183">
        <w:rPr>
          <w:lang w:eastAsia="ja-JP"/>
        </w:rPr>
        <w:t xml:space="preserve"> from </w:t>
      </w:r>
      <w:r>
        <w:rPr>
          <w:lang w:eastAsia="ja-JP"/>
        </w:rPr>
        <w:t>S</w:t>
      </w:r>
      <w:r w:rsidRPr="00C31183">
        <w:rPr>
          <w:lang w:eastAsia="ja-JP"/>
        </w:rPr>
        <w:t xml:space="preserve">tudy #7 in the RMP is the same as that in the preliminary CSR for study #7 evaluated above. Overall mean relative dose intensity was &gt; 90% for all time intervals in both </w:t>
      </w:r>
      <w:r>
        <w:rPr>
          <w:lang w:eastAsia="ja-JP"/>
        </w:rPr>
        <w:t>S</w:t>
      </w:r>
      <w:r w:rsidRPr="00C31183">
        <w:rPr>
          <w:lang w:eastAsia="ja-JP"/>
        </w:rPr>
        <w:t xml:space="preserve">tudy #5 and </w:t>
      </w:r>
      <w:r>
        <w:rPr>
          <w:lang w:eastAsia="ja-JP"/>
        </w:rPr>
        <w:t>S</w:t>
      </w:r>
      <w:r w:rsidRPr="00C31183">
        <w:rPr>
          <w:lang w:eastAsia="ja-JP"/>
        </w:rPr>
        <w:t xml:space="preserve">tudy #7, apart from </w:t>
      </w:r>
      <w:r>
        <w:rPr>
          <w:lang w:eastAsia="ja-JP"/>
        </w:rPr>
        <w:t>≤</w:t>
      </w:r>
      <w:r w:rsidRPr="00C31183">
        <w:rPr>
          <w:lang w:eastAsia="ja-JP"/>
        </w:rPr>
        <w:t xml:space="preserve"> 4 weeks in </w:t>
      </w:r>
      <w:r>
        <w:rPr>
          <w:lang w:eastAsia="ja-JP"/>
        </w:rPr>
        <w:t>S</w:t>
      </w:r>
      <w:r w:rsidR="009C55C1">
        <w:rPr>
          <w:lang w:eastAsia="ja-JP"/>
        </w:rPr>
        <w:t>tudy #7 where it was 89.76%.</w:t>
      </w:r>
    </w:p>
    <w:p w:rsidR="00CE4F74" w:rsidRPr="009C55C1" w:rsidRDefault="00CE4F74" w:rsidP="009C55C1">
      <w:pPr>
        <w:pStyle w:val="TableTitle"/>
      </w:pPr>
      <w:bookmarkStart w:id="136" w:name="_Toc228773444"/>
      <w:r w:rsidRPr="00C31183">
        <w:rPr>
          <w:lang w:eastAsia="ja-JP"/>
        </w:rPr>
        <w:t xml:space="preserve">Table </w:t>
      </w:r>
      <w:r w:rsidRPr="00C31183">
        <w:rPr>
          <w:lang w:eastAsia="ja-JP"/>
        </w:rPr>
        <w:fldChar w:fldCharType="begin"/>
      </w:r>
      <w:r w:rsidRPr="00C31183">
        <w:rPr>
          <w:lang w:eastAsia="ja-JP"/>
        </w:rPr>
        <w:instrText xml:space="preserve"> SEQ Table \* ARABIC </w:instrText>
      </w:r>
      <w:r w:rsidRPr="00C31183">
        <w:rPr>
          <w:lang w:eastAsia="ja-JP"/>
        </w:rPr>
        <w:fldChar w:fldCharType="separate"/>
      </w:r>
      <w:r>
        <w:rPr>
          <w:noProof/>
          <w:lang w:eastAsia="ja-JP"/>
        </w:rPr>
        <w:t>21</w:t>
      </w:r>
      <w:r w:rsidRPr="00C31183">
        <w:rPr>
          <w:lang w:eastAsia="ja-JP"/>
        </w:rPr>
        <w:fldChar w:fldCharType="end"/>
      </w:r>
      <w:r w:rsidRPr="00C31183">
        <w:rPr>
          <w:lang w:eastAsia="ja-JP"/>
        </w:rPr>
        <w:t xml:space="preserve">: RMP – Duration of exposure in patients treated with </w:t>
      </w:r>
      <w:proofErr w:type="spellStart"/>
      <w:r w:rsidRPr="00C31183">
        <w:rPr>
          <w:lang w:eastAsia="ja-JP"/>
        </w:rPr>
        <w:t>crizotinib</w:t>
      </w:r>
      <w:proofErr w:type="spellEnd"/>
      <w:r w:rsidRPr="00C31183">
        <w:rPr>
          <w:lang w:eastAsia="ja-JP"/>
        </w:rPr>
        <w:t xml:space="preserve"> 250 mg </w:t>
      </w:r>
      <w:proofErr w:type="spellStart"/>
      <w:r w:rsidRPr="00C31183">
        <w:rPr>
          <w:lang w:eastAsia="ja-JP"/>
        </w:rPr>
        <w:t>bd</w:t>
      </w:r>
      <w:proofErr w:type="spellEnd"/>
      <w:r w:rsidRPr="00C31183">
        <w:rPr>
          <w:lang w:eastAsia="ja-JP"/>
        </w:rPr>
        <w:t xml:space="preserve"> from studies #1005 and #1007.</w:t>
      </w:r>
      <w:bookmarkEnd w:id="136"/>
    </w:p>
    <w:tbl>
      <w:tblPr>
        <w:tblStyle w:val="TableTGAblue"/>
        <w:tblW w:w="0" w:type="auto"/>
        <w:tblLook w:val="00A0" w:firstRow="1" w:lastRow="0" w:firstColumn="1" w:lastColumn="0" w:noHBand="0" w:noVBand="0"/>
      </w:tblPr>
      <w:tblGrid>
        <w:gridCol w:w="2831"/>
        <w:gridCol w:w="1989"/>
        <w:gridCol w:w="2835"/>
      </w:tblGrid>
      <w:tr w:rsidR="00CE4F74" w:rsidRPr="00C31183" w:rsidTr="009C55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1" w:type="dxa"/>
          </w:tcPr>
          <w:p w:rsidR="00CE4F74" w:rsidRPr="00DA4DDC" w:rsidRDefault="00CE4F74" w:rsidP="009C55C1">
            <w:pPr>
              <w:ind w:left="0"/>
              <w:rPr>
                <w:lang w:eastAsia="ja-JP"/>
              </w:rPr>
            </w:pPr>
            <w:r w:rsidRPr="00DA4DDC">
              <w:rPr>
                <w:lang w:eastAsia="ja-JP"/>
              </w:rPr>
              <w:t>Duration</w:t>
            </w:r>
          </w:p>
        </w:tc>
        <w:tc>
          <w:tcPr>
            <w:tcW w:w="1989" w:type="dxa"/>
          </w:tcPr>
          <w:p w:rsidR="00CE4F74" w:rsidRPr="00DA4DDC" w:rsidRDefault="00CE4F74" w:rsidP="009C55C1">
            <w:pPr>
              <w:ind w:left="0"/>
              <w:cnfStyle w:val="100000000000" w:firstRow="1" w:lastRow="0" w:firstColumn="0" w:lastColumn="0" w:oddVBand="0" w:evenVBand="0" w:oddHBand="0" w:evenHBand="0" w:firstRowFirstColumn="0" w:firstRowLastColumn="0" w:lastRowFirstColumn="0" w:lastRowLastColumn="0"/>
              <w:rPr>
                <w:lang w:eastAsia="ja-JP"/>
              </w:rPr>
            </w:pPr>
            <w:r w:rsidRPr="00DA4DDC">
              <w:rPr>
                <w:lang w:eastAsia="ja-JP"/>
              </w:rPr>
              <w:t>Persons</w:t>
            </w:r>
          </w:p>
        </w:tc>
        <w:tc>
          <w:tcPr>
            <w:tcW w:w="2835" w:type="dxa"/>
          </w:tcPr>
          <w:p w:rsidR="00CE4F74" w:rsidRPr="00DA4DDC" w:rsidRDefault="00CE4F74" w:rsidP="009C55C1">
            <w:pPr>
              <w:ind w:left="0"/>
              <w:cnfStyle w:val="100000000000" w:firstRow="1" w:lastRow="0" w:firstColumn="0" w:lastColumn="0" w:oddVBand="0" w:evenVBand="0" w:oddHBand="0" w:evenHBand="0" w:firstRowFirstColumn="0" w:firstRowLastColumn="0" w:lastRowFirstColumn="0" w:lastRowLastColumn="0"/>
              <w:rPr>
                <w:lang w:eastAsia="ja-JP"/>
              </w:rPr>
            </w:pPr>
            <w:r w:rsidRPr="00DA4DDC">
              <w:rPr>
                <w:lang w:eastAsia="ja-JP"/>
              </w:rPr>
              <w:t>Person-time (months)</w:t>
            </w:r>
          </w:p>
        </w:tc>
      </w:tr>
      <w:tr w:rsidR="00CE4F74" w:rsidRPr="00C31183" w:rsidTr="009C55C1">
        <w:tc>
          <w:tcPr>
            <w:cnfStyle w:val="001000000000" w:firstRow="0" w:lastRow="0" w:firstColumn="1" w:lastColumn="0" w:oddVBand="0" w:evenVBand="0" w:oddHBand="0" w:evenHBand="0" w:firstRowFirstColumn="0" w:firstRowLastColumn="0" w:lastRowFirstColumn="0" w:lastRowLastColumn="0"/>
            <w:tcW w:w="2831" w:type="dxa"/>
          </w:tcPr>
          <w:p w:rsidR="00CE4F74" w:rsidRPr="00DA4DDC" w:rsidRDefault="00CE4F74" w:rsidP="009C55C1">
            <w:pPr>
              <w:ind w:left="0"/>
              <w:rPr>
                <w:color w:val="000000"/>
                <w:lang w:eastAsia="ja-JP"/>
              </w:rPr>
            </w:pPr>
            <w:r w:rsidRPr="00DA4DDC">
              <w:rPr>
                <w:color w:val="000000"/>
                <w:lang w:eastAsia="ja-JP"/>
              </w:rPr>
              <w:t>1 dose</w:t>
            </w:r>
          </w:p>
        </w:tc>
        <w:tc>
          <w:tcPr>
            <w:tcW w:w="1989" w:type="dxa"/>
          </w:tcPr>
          <w:p w:rsidR="00CE4F74" w:rsidRPr="00DA4DDC" w:rsidRDefault="00CE4F74" w:rsidP="009C55C1">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1106</w:t>
            </w:r>
          </w:p>
        </w:tc>
        <w:tc>
          <w:tcPr>
            <w:tcW w:w="2835" w:type="dxa"/>
          </w:tcPr>
          <w:p w:rsidR="00CE4F74" w:rsidRPr="00DA4DDC" w:rsidRDefault="00CE4F74" w:rsidP="009C55C1">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36.3</w:t>
            </w:r>
          </w:p>
        </w:tc>
      </w:tr>
      <w:tr w:rsidR="00CE4F74" w:rsidRPr="00C31183" w:rsidTr="009C55C1">
        <w:tc>
          <w:tcPr>
            <w:cnfStyle w:val="001000000000" w:firstRow="0" w:lastRow="0" w:firstColumn="1" w:lastColumn="0" w:oddVBand="0" w:evenVBand="0" w:oddHBand="0" w:evenHBand="0" w:firstRowFirstColumn="0" w:firstRowLastColumn="0" w:lastRowFirstColumn="0" w:lastRowLastColumn="0"/>
            <w:tcW w:w="2831" w:type="dxa"/>
          </w:tcPr>
          <w:p w:rsidR="00CE4F74" w:rsidRPr="00DA4DDC" w:rsidRDefault="00CE4F74" w:rsidP="009C55C1">
            <w:pPr>
              <w:ind w:left="0"/>
              <w:rPr>
                <w:color w:val="000000"/>
                <w:lang w:eastAsia="ja-JP"/>
              </w:rPr>
            </w:pPr>
            <w:r w:rsidRPr="00DA4DDC">
              <w:rPr>
                <w:color w:val="000000"/>
                <w:lang w:eastAsia="ja-JP"/>
              </w:rPr>
              <w:t>At least 1 month</w:t>
            </w:r>
          </w:p>
        </w:tc>
        <w:tc>
          <w:tcPr>
            <w:tcW w:w="1989" w:type="dxa"/>
          </w:tcPr>
          <w:p w:rsidR="00CE4F74" w:rsidRPr="00DA4DDC" w:rsidRDefault="00CE4F74" w:rsidP="009C55C1">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1008</w:t>
            </w:r>
          </w:p>
        </w:tc>
        <w:tc>
          <w:tcPr>
            <w:tcW w:w="2835" w:type="dxa"/>
          </w:tcPr>
          <w:p w:rsidR="00CE4F74" w:rsidRPr="00DA4DDC" w:rsidRDefault="00CE4F74" w:rsidP="009C55C1">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1243.9</w:t>
            </w:r>
          </w:p>
        </w:tc>
      </w:tr>
      <w:tr w:rsidR="00CE4F74" w:rsidRPr="00C31183" w:rsidTr="009C55C1">
        <w:tc>
          <w:tcPr>
            <w:cnfStyle w:val="001000000000" w:firstRow="0" w:lastRow="0" w:firstColumn="1" w:lastColumn="0" w:oddVBand="0" w:evenVBand="0" w:oddHBand="0" w:evenHBand="0" w:firstRowFirstColumn="0" w:firstRowLastColumn="0" w:lastRowFirstColumn="0" w:lastRowLastColumn="0"/>
            <w:tcW w:w="2831" w:type="dxa"/>
          </w:tcPr>
          <w:p w:rsidR="00CE4F74" w:rsidRPr="00DA4DDC" w:rsidRDefault="00CE4F74" w:rsidP="009C55C1">
            <w:pPr>
              <w:ind w:left="0"/>
              <w:rPr>
                <w:color w:val="000000"/>
                <w:lang w:eastAsia="ja-JP"/>
              </w:rPr>
            </w:pPr>
            <w:r w:rsidRPr="00DA4DDC">
              <w:rPr>
                <w:color w:val="000000"/>
                <w:lang w:eastAsia="ja-JP"/>
              </w:rPr>
              <w:t>At least 3 months</w:t>
            </w:r>
          </w:p>
        </w:tc>
        <w:tc>
          <w:tcPr>
            <w:tcW w:w="1989" w:type="dxa"/>
          </w:tcPr>
          <w:p w:rsidR="00CE4F74" w:rsidRPr="00DA4DDC" w:rsidRDefault="00CE4F74" w:rsidP="009C55C1">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768</w:t>
            </w:r>
          </w:p>
        </w:tc>
        <w:tc>
          <w:tcPr>
            <w:tcW w:w="2835" w:type="dxa"/>
          </w:tcPr>
          <w:p w:rsidR="00CE4F74" w:rsidRPr="00DA4DDC" w:rsidRDefault="00CE4F74" w:rsidP="009C55C1">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2710.9</w:t>
            </w:r>
          </w:p>
        </w:tc>
      </w:tr>
      <w:tr w:rsidR="00CE4F74" w:rsidRPr="00C31183" w:rsidTr="009C55C1">
        <w:tc>
          <w:tcPr>
            <w:cnfStyle w:val="001000000000" w:firstRow="0" w:lastRow="0" w:firstColumn="1" w:lastColumn="0" w:oddVBand="0" w:evenVBand="0" w:oddHBand="0" w:evenHBand="0" w:firstRowFirstColumn="0" w:firstRowLastColumn="0" w:lastRowFirstColumn="0" w:lastRowLastColumn="0"/>
            <w:tcW w:w="2831" w:type="dxa"/>
          </w:tcPr>
          <w:p w:rsidR="00CE4F74" w:rsidRPr="00DA4DDC" w:rsidRDefault="00CE4F74" w:rsidP="009C55C1">
            <w:pPr>
              <w:ind w:left="0"/>
              <w:rPr>
                <w:color w:val="000000"/>
                <w:lang w:eastAsia="ja-JP"/>
              </w:rPr>
            </w:pPr>
            <w:r w:rsidRPr="00DA4DDC">
              <w:rPr>
                <w:color w:val="000000"/>
                <w:lang w:eastAsia="ja-JP"/>
              </w:rPr>
              <w:t>At least 6 months</w:t>
            </w:r>
          </w:p>
        </w:tc>
        <w:tc>
          <w:tcPr>
            <w:tcW w:w="1989" w:type="dxa"/>
          </w:tcPr>
          <w:p w:rsidR="00CE4F74" w:rsidRPr="00DA4DDC" w:rsidRDefault="00CE4F74" w:rsidP="009C55C1">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501</w:t>
            </w:r>
          </w:p>
        </w:tc>
        <w:tc>
          <w:tcPr>
            <w:tcW w:w="2835" w:type="dxa"/>
          </w:tcPr>
          <w:p w:rsidR="00CE4F74" w:rsidRPr="00DA4DDC" w:rsidRDefault="00CE4F74" w:rsidP="009C55C1">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3827.0</w:t>
            </w:r>
          </w:p>
        </w:tc>
      </w:tr>
      <w:tr w:rsidR="00CE4F74" w:rsidRPr="00C31183" w:rsidTr="009C55C1">
        <w:tc>
          <w:tcPr>
            <w:cnfStyle w:val="001000000000" w:firstRow="0" w:lastRow="0" w:firstColumn="1" w:lastColumn="0" w:oddVBand="0" w:evenVBand="0" w:oddHBand="0" w:evenHBand="0" w:firstRowFirstColumn="0" w:firstRowLastColumn="0" w:lastRowFirstColumn="0" w:lastRowLastColumn="0"/>
            <w:tcW w:w="2831" w:type="dxa"/>
          </w:tcPr>
          <w:p w:rsidR="00CE4F74" w:rsidRPr="00DA4DDC" w:rsidRDefault="00CE4F74" w:rsidP="009C55C1">
            <w:pPr>
              <w:ind w:left="0"/>
              <w:rPr>
                <w:color w:val="000000"/>
                <w:lang w:eastAsia="ja-JP"/>
              </w:rPr>
            </w:pPr>
            <w:r w:rsidRPr="00DA4DDC">
              <w:rPr>
                <w:color w:val="000000"/>
                <w:lang w:eastAsia="ja-JP"/>
              </w:rPr>
              <w:lastRenderedPageBreak/>
              <w:t>At least 12 months</w:t>
            </w:r>
          </w:p>
        </w:tc>
        <w:tc>
          <w:tcPr>
            <w:tcW w:w="1989" w:type="dxa"/>
          </w:tcPr>
          <w:p w:rsidR="00CE4F74" w:rsidRPr="00DA4DDC" w:rsidRDefault="00CE4F74" w:rsidP="009C55C1">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171</w:t>
            </w:r>
          </w:p>
        </w:tc>
        <w:tc>
          <w:tcPr>
            <w:tcW w:w="2835" w:type="dxa"/>
          </w:tcPr>
          <w:p w:rsidR="00CE4F74" w:rsidRPr="00DA4DDC" w:rsidRDefault="00CE4F74" w:rsidP="009C55C1">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2401.9</w:t>
            </w:r>
          </w:p>
        </w:tc>
      </w:tr>
      <w:tr w:rsidR="00CE4F74" w:rsidRPr="00C31183" w:rsidTr="009C55C1">
        <w:tc>
          <w:tcPr>
            <w:cnfStyle w:val="001000000000" w:firstRow="0" w:lastRow="0" w:firstColumn="1" w:lastColumn="0" w:oddVBand="0" w:evenVBand="0" w:oddHBand="0" w:evenHBand="0" w:firstRowFirstColumn="0" w:firstRowLastColumn="0" w:lastRowFirstColumn="0" w:lastRowLastColumn="0"/>
            <w:tcW w:w="2831" w:type="dxa"/>
          </w:tcPr>
          <w:p w:rsidR="00CE4F74" w:rsidRPr="00DA4DDC" w:rsidRDefault="00CE4F74" w:rsidP="009C55C1">
            <w:pPr>
              <w:ind w:left="0"/>
              <w:rPr>
                <w:color w:val="000000"/>
                <w:lang w:eastAsia="ja-JP"/>
              </w:rPr>
            </w:pPr>
            <w:r w:rsidRPr="00DA4DDC">
              <w:rPr>
                <w:color w:val="000000"/>
                <w:lang w:eastAsia="ja-JP"/>
              </w:rPr>
              <w:t>At least 18 months</w:t>
            </w:r>
          </w:p>
        </w:tc>
        <w:tc>
          <w:tcPr>
            <w:tcW w:w="1989" w:type="dxa"/>
          </w:tcPr>
          <w:p w:rsidR="00CE4F74" w:rsidRPr="00DA4DDC" w:rsidRDefault="00CE4F74" w:rsidP="009C55C1">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38</w:t>
            </w:r>
          </w:p>
        </w:tc>
        <w:tc>
          <w:tcPr>
            <w:tcW w:w="2835" w:type="dxa"/>
          </w:tcPr>
          <w:p w:rsidR="00CE4F74" w:rsidRPr="00DA4DDC" w:rsidRDefault="00CE4F74" w:rsidP="009C55C1">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764.1</w:t>
            </w:r>
          </w:p>
        </w:tc>
      </w:tr>
      <w:tr w:rsidR="00CE4F74" w:rsidRPr="00C31183" w:rsidTr="009C55C1">
        <w:tc>
          <w:tcPr>
            <w:cnfStyle w:val="001000000000" w:firstRow="0" w:lastRow="0" w:firstColumn="1" w:lastColumn="0" w:oddVBand="0" w:evenVBand="0" w:oddHBand="0" w:evenHBand="0" w:firstRowFirstColumn="0" w:firstRowLastColumn="0" w:lastRowFirstColumn="0" w:lastRowLastColumn="0"/>
            <w:tcW w:w="2831" w:type="dxa"/>
          </w:tcPr>
          <w:p w:rsidR="00CE4F74" w:rsidRPr="00DA4DDC" w:rsidRDefault="00CE4F74" w:rsidP="009C55C1">
            <w:pPr>
              <w:ind w:left="0"/>
              <w:rPr>
                <w:color w:val="000000"/>
                <w:lang w:eastAsia="ja-JP"/>
              </w:rPr>
            </w:pPr>
            <w:r w:rsidRPr="00DA4DDC">
              <w:rPr>
                <w:color w:val="000000"/>
                <w:lang w:eastAsia="ja-JP"/>
              </w:rPr>
              <w:t>At least 24 months</w:t>
            </w:r>
          </w:p>
        </w:tc>
        <w:tc>
          <w:tcPr>
            <w:tcW w:w="1989" w:type="dxa"/>
          </w:tcPr>
          <w:p w:rsidR="00CE4F74" w:rsidRPr="00DA4DDC" w:rsidRDefault="00CE4F74" w:rsidP="009C55C1">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1</w:t>
            </w:r>
          </w:p>
        </w:tc>
        <w:tc>
          <w:tcPr>
            <w:tcW w:w="2835" w:type="dxa"/>
          </w:tcPr>
          <w:p w:rsidR="00CE4F74" w:rsidRPr="00DA4DDC" w:rsidRDefault="00CE4F74" w:rsidP="009C55C1">
            <w:pPr>
              <w:ind w:left="0"/>
              <w:cnfStyle w:val="000000000000" w:firstRow="0" w:lastRow="0" w:firstColumn="0" w:lastColumn="0" w:oddVBand="0" w:evenVBand="0" w:oddHBand="0" w:evenHBand="0" w:firstRowFirstColumn="0" w:firstRowLastColumn="0" w:lastRowFirstColumn="0" w:lastRowLastColumn="0"/>
              <w:rPr>
                <w:color w:val="000000"/>
                <w:lang w:eastAsia="ja-JP"/>
              </w:rPr>
            </w:pPr>
            <w:r w:rsidRPr="00DA4DDC">
              <w:rPr>
                <w:color w:val="000000"/>
                <w:lang w:eastAsia="ja-JP"/>
              </w:rPr>
              <w:t>24.9</w:t>
            </w:r>
          </w:p>
        </w:tc>
      </w:tr>
      <w:tr w:rsidR="00CE4F74" w:rsidRPr="00C31183" w:rsidTr="009C55C1">
        <w:tc>
          <w:tcPr>
            <w:cnfStyle w:val="001000000000" w:firstRow="0" w:lastRow="0" w:firstColumn="1" w:lastColumn="0" w:oddVBand="0" w:evenVBand="0" w:oddHBand="0" w:evenHBand="0" w:firstRowFirstColumn="0" w:firstRowLastColumn="0" w:lastRowFirstColumn="0" w:lastRowLastColumn="0"/>
            <w:tcW w:w="2831" w:type="dxa"/>
          </w:tcPr>
          <w:p w:rsidR="00CE4F74" w:rsidRPr="00DA4DDC" w:rsidRDefault="009C55C1" w:rsidP="009C55C1">
            <w:pPr>
              <w:ind w:left="0"/>
              <w:rPr>
                <w:b/>
                <w:color w:val="000000"/>
                <w:lang w:eastAsia="ja-JP"/>
              </w:rPr>
            </w:pPr>
            <w:r>
              <w:rPr>
                <w:b/>
                <w:color w:val="000000"/>
                <w:lang w:eastAsia="ja-JP"/>
              </w:rPr>
              <w:t>Total</w:t>
            </w:r>
          </w:p>
        </w:tc>
        <w:tc>
          <w:tcPr>
            <w:tcW w:w="1989" w:type="dxa"/>
          </w:tcPr>
          <w:p w:rsidR="00CE4F74" w:rsidRPr="00DA4DDC" w:rsidRDefault="00CE4F74" w:rsidP="009C55C1">
            <w:pPr>
              <w:ind w:left="0"/>
              <w:cnfStyle w:val="000000000000" w:firstRow="0" w:lastRow="0" w:firstColumn="0" w:lastColumn="0" w:oddVBand="0" w:evenVBand="0" w:oddHBand="0" w:evenHBand="0" w:firstRowFirstColumn="0" w:firstRowLastColumn="0" w:lastRowFirstColumn="0" w:lastRowLastColumn="0"/>
              <w:rPr>
                <w:b/>
                <w:color w:val="000000"/>
                <w:lang w:eastAsia="ja-JP"/>
              </w:rPr>
            </w:pPr>
            <w:r w:rsidRPr="00DA4DDC">
              <w:rPr>
                <w:b/>
                <w:color w:val="000000"/>
                <w:lang w:eastAsia="ja-JP"/>
              </w:rPr>
              <w:t>1106</w:t>
            </w:r>
          </w:p>
        </w:tc>
        <w:tc>
          <w:tcPr>
            <w:tcW w:w="2835" w:type="dxa"/>
          </w:tcPr>
          <w:p w:rsidR="00CE4F74" w:rsidRPr="00DA4DDC" w:rsidRDefault="00CE4F74" w:rsidP="009C55C1">
            <w:pPr>
              <w:ind w:left="0"/>
              <w:cnfStyle w:val="000000000000" w:firstRow="0" w:lastRow="0" w:firstColumn="0" w:lastColumn="0" w:oddVBand="0" w:evenVBand="0" w:oddHBand="0" w:evenHBand="0" w:firstRowFirstColumn="0" w:firstRowLastColumn="0" w:lastRowFirstColumn="0" w:lastRowLastColumn="0"/>
              <w:rPr>
                <w:b/>
                <w:color w:val="000000"/>
                <w:lang w:eastAsia="ja-JP"/>
              </w:rPr>
            </w:pPr>
            <w:r w:rsidRPr="00DA4DDC">
              <w:rPr>
                <w:b/>
                <w:color w:val="000000"/>
                <w:lang w:eastAsia="ja-JP"/>
              </w:rPr>
              <w:t>7254.3</w:t>
            </w:r>
          </w:p>
        </w:tc>
      </w:tr>
    </w:tbl>
    <w:p w:rsidR="00CE4F74" w:rsidRPr="00C31183" w:rsidRDefault="00CE4F74" w:rsidP="009C55C1">
      <w:pPr>
        <w:rPr>
          <w:lang w:eastAsia="ja-JP"/>
        </w:rPr>
      </w:pPr>
      <w:r w:rsidRPr="00C31183">
        <w:rPr>
          <w:lang w:eastAsia="ja-JP"/>
        </w:rPr>
        <w:t xml:space="preserve">Pooled serious adverse event (SAE) data from the Pfizer (Argus) Safety Database provided in the RMP originated from 1,600 ALK-positive NSCLC patients treated with </w:t>
      </w:r>
      <w:proofErr w:type="spellStart"/>
      <w:r w:rsidRPr="00C31183">
        <w:rPr>
          <w:lang w:eastAsia="ja-JP"/>
        </w:rPr>
        <w:t>crizotinib</w:t>
      </w:r>
      <w:proofErr w:type="spellEnd"/>
      <w:r w:rsidRPr="00C31183">
        <w:rPr>
          <w:lang w:eastAsia="ja-JP"/>
        </w:rPr>
        <w:t xml:space="preserve"> in clinical trials with a starting dose of 250 mg BID as of the data </w:t>
      </w:r>
      <w:proofErr w:type="spellStart"/>
      <w:r w:rsidRPr="00C31183">
        <w:rPr>
          <w:lang w:eastAsia="ja-JP"/>
        </w:rPr>
        <w:t>cut</w:t>
      </w:r>
      <w:r>
        <w:rPr>
          <w:lang w:eastAsia="ja-JP"/>
        </w:rPr>
        <w:t xml:space="preserve"> </w:t>
      </w:r>
      <w:r w:rsidRPr="00C31183">
        <w:rPr>
          <w:lang w:eastAsia="ja-JP"/>
        </w:rPr>
        <w:t>off</w:t>
      </w:r>
      <w:proofErr w:type="spellEnd"/>
      <w:r w:rsidRPr="00C31183">
        <w:rPr>
          <w:lang w:eastAsia="ja-JP"/>
        </w:rPr>
        <w:t xml:space="preserve"> date of 31 December 2012. The contribution of individual clinical trials to the total number of patients in the </w:t>
      </w:r>
      <w:r>
        <w:rPr>
          <w:lang w:eastAsia="ja-JP"/>
        </w:rPr>
        <w:t>database is: 153 patients from S</w:t>
      </w:r>
      <w:r w:rsidRPr="00C31183">
        <w:rPr>
          <w:lang w:eastAsia="ja-JP"/>
        </w:rPr>
        <w:t>tudy A80</w:t>
      </w:r>
      <w:r>
        <w:rPr>
          <w:lang w:eastAsia="ja-JP"/>
        </w:rPr>
        <w:t>81001 (#1); 1050 patients from S</w:t>
      </w:r>
      <w:r w:rsidRPr="00C31183">
        <w:rPr>
          <w:lang w:eastAsia="ja-JP"/>
        </w:rPr>
        <w:t xml:space="preserve">tudy #5; 172 patients from </w:t>
      </w:r>
      <w:r>
        <w:rPr>
          <w:lang w:eastAsia="ja-JP"/>
        </w:rPr>
        <w:t>S</w:t>
      </w:r>
      <w:r w:rsidRPr="00C31183">
        <w:rPr>
          <w:lang w:eastAsia="ja-JP"/>
        </w:rPr>
        <w:t xml:space="preserve">tudy #7; 32 patients from </w:t>
      </w:r>
      <w:r>
        <w:rPr>
          <w:lang w:eastAsia="ja-JP"/>
        </w:rPr>
        <w:t>S</w:t>
      </w:r>
      <w:r w:rsidRPr="00C31183">
        <w:rPr>
          <w:lang w:eastAsia="ja-JP"/>
        </w:rPr>
        <w:t xml:space="preserve">tudy A8081013 (#13); 140 patients </w:t>
      </w:r>
      <w:r>
        <w:rPr>
          <w:lang w:eastAsia="ja-JP"/>
        </w:rPr>
        <w:t>randomised</w:t>
      </w:r>
      <w:r w:rsidRPr="00C31183">
        <w:rPr>
          <w:lang w:eastAsia="ja-JP"/>
        </w:rPr>
        <w:t xml:space="preserve"> and treated from </w:t>
      </w:r>
      <w:r>
        <w:rPr>
          <w:lang w:eastAsia="ja-JP"/>
        </w:rPr>
        <w:t>S</w:t>
      </w:r>
      <w:r w:rsidRPr="00C31183">
        <w:rPr>
          <w:lang w:eastAsia="ja-JP"/>
        </w:rPr>
        <w:t xml:space="preserve">tudy A8081014 (#14); and 53 patients who crossed over from chemotherapy to </w:t>
      </w:r>
      <w:proofErr w:type="spellStart"/>
      <w:r w:rsidRPr="00C31183">
        <w:rPr>
          <w:lang w:eastAsia="ja-JP"/>
        </w:rPr>
        <w:t>crizotinib</w:t>
      </w:r>
      <w:proofErr w:type="spellEnd"/>
      <w:r w:rsidRPr="00C31183">
        <w:rPr>
          <w:lang w:eastAsia="ja-JP"/>
        </w:rPr>
        <w:t xml:space="preserve"> from </w:t>
      </w:r>
      <w:r>
        <w:rPr>
          <w:lang w:eastAsia="ja-JP"/>
        </w:rPr>
        <w:t>S</w:t>
      </w:r>
      <w:r w:rsidRPr="00C31183">
        <w:rPr>
          <w:lang w:eastAsia="ja-JP"/>
        </w:rPr>
        <w:t>tudy #14. Multiple SAEs may have been reported from individual patients.</w:t>
      </w:r>
    </w:p>
    <w:p w:rsidR="00CE4F74" w:rsidRPr="00C31183" w:rsidRDefault="00CE4F74" w:rsidP="009C55C1">
      <w:pPr>
        <w:rPr>
          <w:lang w:eastAsia="ja-JP"/>
        </w:rPr>
      </w:pPr>
      <w:r w:rsidRPr="00C31183">
        <w:rPr>
          <w:lang w:eastAsia="ja-JP"/>
        </w:rPr>
        <w:t xml:space="preserve">Worldwide exposure to </w:t>
      </w:r>
      <w:proofErr w:type="spellStart"/>
      <w:r w:rsidRPr="00C31183">
        <w:rPr>
          <w:lang w:eastAsia="ja-JP"/>
        </w:rPr>
        <w:t>crizotinib</w:t>
      </w:r>
      <w:proofErr w:type="spellEnd"/>
      <w:r w:rsidRPr="00C31183">
        <w:rPr>
          <w:lang w:eastAsia="ja-JP"/>
        </w:rPr>
        <w:t xml:space="preserve"> based on audited sales and prescription data from International Marketing Services (IMS) Health from the first worldwide approval in the US on 26 August 2011 through</w:t>
      </w:r>
      <w:r>
        <w:rPr>
          <w:lang w:eastAsia="ja-JP"/>
        </w:rPr>
        <w:t xml:space="preserve"> third quarter of</w:t>
      </w:r>
      <w:r w:rsidRPr="00C31183">
        <w:rPr>
          <w:lang w:eastAsia="ja-JP"/>
        </w:rPr>
        <w:t xml:space="preserve"> 2012 (402 days) is 473,200 standard units (394,000 from the USA). The total worldwide exposure corresponds to approximately 588 patient-years of exposure.</w:t>
      </w:r>
    </w:p>
    <w:p w:rsidR="00CE4F74" w:rsidRPr="00C31183" w:rsidRDefault="00CE4F74" w:rsidP="009C55C1">
      <w:pPr>
        <w:pStyle w:val="Heading4"/>
      </w:pPr>
      <w:bookmarkStart w:id="137" w:name="_Toc228773406"/>
      <w:r w:rsidRPr="00C31183">
        <w:t>Demographics</w:t>
      </w:r>
      <w:bookmarkEnd w:id="137"/>
    </w:p>
    <w:p w:rsidR="00CE4F74" w:rsidRPr="00C31183" w:rsidRDefault="00CE4F74" w:rsidP="009C55C1">
      <w:pPr>
        <w:rPr>
          <w:lang w:eastAsia="ja-JP"/>
        </w:rPr>
      </w:pPr>
      <w:r>
        <w:rPr>
          <w:lang w:eastAsia="ja-JP"/>
        </w:rPr>
        <w:t>Of the 1106 patients in S</w:t>
      </w:r>
      <w:r w:rsidRPr="00C31183">
        <w:rPr>
          <w:lang w:eastAsia="ja-JP"/>
        </w:rPr>
        <w:t xml:space="preserve">tudies #1005 and #1007, 476 were males (406 aged &lt; 65 years; 70 aged &gt; 65 years) and 630 were females (521 aged &lt; 65 years; 109 aged </w:t>
      </w:r>
      <w:r>
        <w:rPr>
          <w:lang w:eastAsia="ja-JP"/>
        </w:rPr>
        <w:t>≥</w:t>
      </w:r>
      <w:r w:rsidRPr="00C31183">
        <w:rPr>
          <w:lang w:eastAsia="ja-JP"/>
        </w:rPr>
        <w:t xml:space="preserve"> 65 years). The mean (SD) age of the 1106 patients was 51.1 (12.4) years, the median age was 52 years and the range was 19 to 83 years. The racial background of the 1106 patients was 576 (52.1%) White, 488 (44.1%) Asian, 20 (1.8%) Black, and 22 (2.0%) </w:t>
      </w:r>
      <w:proofErr w:type="gramStart"/>
      <w:r w:rsidRPr="00C31183">
        <w:rPr>
          <w:lang w:eastAsia="ja-JP"/>
        </w:rPr>
        <w:t>Other</w:t>
      </w:r>
      <w:r w:rsidRPr="00143CC0">
        <w:rPr>
          <w:lang w:eastAsia="ja-JP"/>
        </w:rPr>
        <w:t>.</w:t>
      </w:r>
      <w:proofErr w:type="gramEnd"/>
      <w:r w:rsidRPr="00143CC0">
        <w:rPr>
          <w:lang w:eastAsia="ja-JP"/>
        </w:rPr>
        <w:t xml:space="preserve"> Of the 1106 patients, 293 (26.5%) were aged &lt; 44 years, 241 (21.8%) were aged between 44 and &lt; 52 years, 250 (22.6%) were aged between 52 and &lt; 60 years, and 322 (29.1%) were aged ≥ 60 years.</w:t>
      </w:r>
    </w:p>
    <w:p w:rsidR="00CE4F74" w:rsidRPr="00C31183" w:rsidRDefault="00CE4F74" w:rsidP="009C55C1">
      <w:pPr>
        <w:pStyle w:val="Heading4"/>
      </w:pPr>
      <w:bookmarkStart w:id="138" w:name="_Toc228773407"/>
      <w:r w:rsidRPr="00C31183">
        <w:t>Important identified risks</w:t>
      </w:r>
      <w:bookmarkEnd w:id="138"/>
    </w:p>
    <w:p w:rsidR="00CE4F74" w:rsidRPr="00C31183" w:rsidRDefault="00CE4F74" w:rsidP="009C55C1">
      <w:pPr>
        <w:pStyle w:val="Heading5"/>
        <w:rPr>
          <w:lang w:eastAsia="ja-JP"/>
        </w:rPr>
      </w:pPr>
      <w:bookmarkStart w:id="139" w:name="_Toc228773408"/>
      <w:r w:rsidRPr="00C31183">
        <w:rPr>
          <w:lang w:eastAsia="ja-JP"/>
        </w:rPr>
        <w:t>Introduction</w:t>
      </w:r>
      <w:bookmarkEnd w:id="139"/>
    </w:p>
    <w:p w:rsidR="00CE4F74" w:rsidRPr="00C31183" w:rsidRDefault="00CE4F74" w:rsidP="009C55C1">
      <w:pPr>
        <w:rPr>
          <w:lang w:eastAsia="ja-JP"/>
        </w:rPr>
      </w:pPr>
      <w:r w:rsidRPr="00C31183">
        <w:rPr>
          <w:lang w:eastAsia="ja-JP"/>
        </w:rPr>
        <w:t xml:space="preserve">The RMP specified the following events as “important identified risks”: hepatotoxicity; pneumonitis/interstitial lung disease; </w:t>
      </w:r>
      <w:proofErr w:type="spellStart"/>
      <w:r w:rsidRPr="00C31183">
        <w:rPr>
          <w:lang w:eastAsia="ja-JP"/>
        </w:rPr>
        <w:t>QTc</w:t>
      </w:r>
      <w:proofErr w:type="spellEnd"/>
      <w:r w:rsidRPr="00C31183">
        <w:rPr>
          <w:lang w:eastAsia="ja-JP"/>
        </w:rPr>
        <w:t xml:space="preserve"> prolongation; bradycardia; vision disorder; renal cyst; oedema; leukopenia; and neuropathy. The RMP specified the following events as “important potential risks”: reproductive toxicity; and photosensitivity. The RMP included tabulated lists of all causality AEs and treatment-related AEs (based on investigator assessment) coded by </w:t>
      </w:r>
      <w:proofErr w:type="spellStart"/>
      <w:r w:rsidRPr="00C31183">
        <w:rPr>
          <w:lang w:eastAsia="ja-JP"/>
        </w:rPr>
        <w:t>MedDRA</w:t>
      </w:r>
      <w:proofErr w:type="spellEnd"/>
      <w:r w:rsidRPr="00C31183">
        <w:rPr>
          <w:lang w:eastAsia="ja-JP"/>
        </w:rPr>
        <w:t xml:space="preserve"> (V15.1) preferred terms and graded by CTCAE (V4). The all c</w:t>
      </w:r>
      <w:r>
        <w:rPr>
          <w:lang w:eastAsia="ja-JP"/>
        </w:rPr>
        <w:t>ausality AEs were also categoris</w:t>
      </w:r>
      <w:r w:rsidRPr="00C31183">
        <w:rPr>
          <w:lang w:eastAsia="ja-JP"/>
        </w:rPr>
        <w:t>ed as recovered or not recovered (including missin</w:t>
      </w:r>
      <w:r w:rsidR="009C55C1">
        <w:rPr>
          <w:lang w:eastAsia="ja-JP"/>
        </w:rPr>
        <w:t>g outcome and unknown outcome).</w:t>
      </w:r>
    </w:p>
    <w:p w:rsidR="00CE4F74" w:rsidRPr="00C31183" w:rsidRDefault="00CE4F74" w:rsidP="009C55C1">
      <w:pPr>
        <w:rPr>
          <w:lang w:eastAsia="ja-JP"/>
        </w:rPr>
      </w:pPr>
      <w:r w:rsidRPr="00C31183">
        <w:rPr>
          <w:lang w:eastAsia="ja-JP"/>
        </w:rPr>
        <w:t>In addition, the RMP also included similar t</w:t>
      </w:r>
      <w:r>
        <w:rPr>
          <w:lang w:eastAsia="ja-JP"/>
        </w:rPr>
        <w:t>abulated lists of SAEs categorised by outcome (hospitalis</w:t>
      </w:r>
      <w:r w:rsidRPr="00C31183">
        <w:rPr>
          <w:lang w:eastAsia="ja-JP"/>
        </w:rPr>
        <w:t>ed, recovered, not recovered and fatal). Each important identified and potential risk included AEs/SAEs terms that were compatible with the risk. The following description of important identified risks and important potential risks relates to all causality eve</w:t>
      </w:r>
      <w:r w:rsidR="009C55C1">
        <w:rPr>
          <w:lang w:eastAsia="ja-JP"/>
        </w:rPr>
        <w:t>nts unless otherwise specified.</w:t>
      </w:r>
    </w:p>
    <w:p w:rsidR="00CE4F74" w:rsidRPr="00C31183" w:rsidRDefault="00CE4F74" w:rsidP="009C55C1">
      <w:pPr>
        <w:pStyle w:val="Heading5"/>
        <w:rPr>
          <w:lang w:eastAsia="ja-JP"/>
        </w:rPr>
      </w:pPr>
      <w:bookmarkStart w:id="140" w:name="_Toc228773409"/>
      <w:r w:rsidRPr="00C31183">
        <w:rPr>
          <w:lang w:eastAsia="ja-JP"/>
        </w:rPr>
        <w:lastRenderedPageBreak/>
        <w:t>Hepatotoxicity</w:t>
      </w:r>
      <w:bookmarkEnd w:id="140"/>
    </w:p>
    <w:p w:rsidR="00CE4F74" w:rsidRPr="00C31183" w:rsidRDefault="00CE4F74" w:rsidP="009C55C1">
      <w:pPr>
        <w:pStyle w:val="Heading6"/>
        <w:numPr>
          <w:ilvl w:val="0"/>
          <w:numId w:val="0"/>
        </w:numPr>
        <w:ind w:left="1702" w:hanging="1418"/>
        <w:rPr>
          <w:lang w:eastAsia="ja-JP"/>
        </w:rPr>
      </w:pPr>
      <w:r>
        <w:rPr>
          <w:lang w:eastAsia="ja-JP"/>
        </w:rPr>
        <w:t>a)</w:t>
      </w:r>
      <w:r>
        <w:rPr>
          <w:lang w:eastAsia="ja-JP"/>
        </w:rPr>
        <w:tab/>
      </w:r>
      <w:r w:rsidRPr="00C31183">
        <w:rPr>
          <w:lang w:eastAsia="ja-JP"/>
        </w:rPr>
        <w:t>All causality AEs (</w:t>
      </w:r>
      <w:r>
        <w:rPr>
          <w:lang w:eastAsia="ja-JP"/>
        </w:rPr>
        <w:t>S</w:t>
      </w:r>
      <w:r w:rsidR="009C55C1">
        <w:rPr>
          <w:lang w:eastAsia="ja-JP"/>
        </w:rPr>
        <w:t>tudies #5 and #7)</w:t>
      </w:r>
    </w:p>
    <w:p w:rsidR="00CE4F74" w:rsidRPr="00C31183" w:rsidRDefault="00CE4F74" w:rsidP="009C55C1">
      <w:pPr>
        <w:rPr>
          <w:lang w:eastAsia="ja-JP"/>
        </w:rPr>
      </w:pPr>
      <w:r w:rsidRPr="00C31183">
        <w:rPr>
          <w:lang w:eastAsia="ja-JP"/>
        </w:rPr>
        <w:t xml:space="preserve">There were 313 (28.3%) patients with AEs identified as being compatible with hepatotoxicity. These AEs were ALT increased (n=249, 22.5%), ascites (n=3, 0.3%), AST increased (n=181, 16.4%), blood bilirubin increased (n=8, 0.7%), </w:t>
      </w:r>
      <w:proofErr w:type="spellStart"/>
      <w:r w:rsidRPr="00C31183">
        <w:rPr>
          <w:lang w:eastAsia="ja-JP"/>
        </w:rPr>
        <w:t>cytolytic</w:t>
      </w:r>
      <w:proofErr w:type="spellEnd"/>
      <w:r w:rsidRPr="00C31183">
        <w:rPr>
          <w:lang w:eastAsia="ja-JP"/>
        </w:rPr>
        <w:t xml:space="preserve"> hepatitis (n=5, 0.5%), GGT increased (n=10, 0.9%), hepatic encephalopathy (n=1, 0.1%), hepatic enzyme increased (n=1, 0.1%), hepatic failure (n=2, 0.2%), hepatic function abnormal (n=8, 0.7%), hepatic lesion (n=3, 0.3%), hepatic pain (n=2, 0.2%), hepatic </w:t>
      </w:r>
      <w:proofErr w:type="spellStart"/>
      <w:r w:rsidRPr="00C31183">
        <w:rPr>
          <w:lang w:eastAsia="ja-JP"/>
        </w:rPr>
        <w:t>steatosis</w:t>
      </w:r>
      <w:proofErr w:type="spellEnd"/>
      <w:r w:rsidRPr="00C31183">
        <w:rPr>
          <w:lang w:eastAsia="ja-JP"/>
        </w:rPr>
        <w:t xml:space="preserve"> (n=1, 0.1%), hepatitis (n=1, 0.1%), hepatomegaly (n=1, 0.1%), hepatotoxicity (n=4, 0.4%), </w:t>
      </w:r>
      <w:proofErr w:type="spellStart"/>
      <w:r w:rsidRPr="00C31183">
        <w:rPr>
          <w:lang w:eastAsia="ja-JP"/>
        </w:rPr>
        <w:t>hyperbilirubinaemia</w:t>
      </w:r>
      <w:proofErr w:type="spellEnd"/>
      <w:r w:rsidRPr="00C31183">
        <w:rPr>
          <w:lang w:eastAsia="ja-JP"/>
        </w:rPr>
        <w:t xml:space="preserve"> (n=3, 0.3%), </w:t>
      </w:r>
      <w:proofErr w:type="spellStart"/>
      <w:r w:rsidRPr="00C31183">
        <w:rPr>
          <w:lang w:eastAsia="ja-JP"/>
        </w:rPr>
        <w:t>cholestatic</w:t>
      </w:r>
      <w:proofErr w:type="spellEnd"/>
      <w:r w:rsidRPr="00C31183">
        <w:rPr>
          <w:lang w:eastAsia="ja-JP"/>
        </w:rPr>
        <w:t xml:space="preserve"> jaundice (n=1, 0.1%), liver disorder (n=6, 0.5%), liver function test abnormal (n=2, 0.2%), liver injury (n=3, 0.3%), </w:t>
      </w:r>
      <w:proofErr w:type="spellStart"/>
      <w:r w:rsidRPr="00C31183">
        <w:rPr>
          <w:lang w:eastAsia="ja-JP"/>
        </w:rPr>
        <w:t>perihepatic</w:t>
      </w:r>
      <w:proofErr w:type="spellEnd"/>
      <w:r w:rsidRPr="00C31183">
        <w:rPr>
          <w:lang w:eastAsia="ja-JP"/>
        </w:rPr>
        <w:t xml:space="preserve"> discomfort (n=1, 0.1%) and transa</w:t>
      </w:r>
      <w:r w:rsidR="009C55C1">
        <w:rPr>
          <w:lang w:eastAsia="ja-JP"/>
        </w:rPr>
        <w:t>minases increased (n=11, 1.0%).</w:t>
      </w:r>
    </w:p>
    <w:p w:rsidR="00CE4F74" w:rsidRPr="00C31183" w:rsidRDefault="00CE4F74" w:rsidP="009C55C1">
      <w:pPr>
        <w:rPr>
          <w:lang w:eastAsia="ja-JP"/>
        </w:rPr>
      </w:pPr>
      <w:r w:rsidRPr="00C31183">
        <w:rPr>
          <w:lang w:eastAsia="ja-JP"/>
        </w:rPr>
        <w:t>Of the 313 patients with hepatotoxicity, 195 (17.6%) were reported as recovered and 118 (10.7%) were reported as not recovered. Grade 5 events were reported in 2 (0.2%) patients (1 x hepatic failure and 1 x liver injury). No specific risk groups or risk factors for hepat</w:t>
      </w:r>
      <w:r w:rsidR="009C55C1">
        <w:rPr>
          <w:lang w:eastAsia="ja-JP"/>
        </w:rPr>
        <w:t>otoxicity have been identified.</w:t>
      </w:r>
    </w:p>
    <w:p w:rsidR="00CE4F74" w:rsidRPr="00143CC0" w:rsidRDefault="00CE4F74" w:rsidP="009C55C1">
      <w:pPr>
        <w:rPr>
          <w:lang w:eastAsia="ja-JP"/>
        </w:rPr>
      </w:pPr>
      <w:r w:rsidRPr="00C31183">
        <w:rPr>
          <w:lang w:eastAsia="ja-JP"/>
        </w:rPr>
        <w:t xml:space="preserve">There were three AEs considered to be compatible with possible hepatotoxicity occurring in </w:t>
      </w:r>
      <w:r>
        <w:rPr>
          <w:lang w:eastAsia="ja-JP"/>
        </w:rPr>
        <w:t>≥</w:t>
      </w:r>
      <w:r w:rsidRPr="00C31183">
        <w:rPr>
          <w:lang w:eastAsia="ja-JP"/>
        </w:rPr>
        <w:t xml:space="preserve"> 1% of patients (ALT increased, AST increased, and transaminases increased). </w:t>
      </w:r>
      <w:r w:rsidRPr="00C31183">
        <w:rPr>
          <w:b/>
          <w:i/>
          <w:lang w:eastAsia="ja-JP"/>
        </w:rPr>
        <w:t>Increased ALT</w:t>
      </w:r>
      <w:r w:rsidRPr="00C31183">
        <w:rPr>
          <w:lang w:eastAsia="ja-JP"/>
        </w:rPr>
        <w:t xml:space="preserve"> occurred in 22.5% (n=249) of patients, with the majority of events (15.6%, n=172) being Grade 1 (11.8%, n=130) or Grade 2 (3.8%, n=42) and the remainder (7.0%, n=77) being Grade 3 (5.6%, n=62) or Grade 4 (1.4%, n=15). </w:t>
      </w:r>
      <w:r w:rsidRPr="00C31183">
        <w:rPr>
          <w:b/>
          <w:i/>
          <w:lang w:eastAsia="ja-JP"/>
        </w:rPr>
        <w:t>Increased AST</w:t>
      </w:r>
      <w:r w:rsidRPr="00C31183">
        <w:rPr>
          <w:lang w:eastAsia="ja-JP"/>
        </w:rPr>
        <w:t xml:space="preserve"> occurred in 16.4% (n=181) of patients, with the majority of events (13.5%, n=149) being Grade 1 (11.1%, n=123) or Grade 2 (2.4%, n=26) and the remainder (2.9%, n=32) being Grade 3 (2.5%, n=28) or Grade 4 (0.4%, n=4). </w:t>
      </w:r>
      <w:r w:rsidRPr="00143CC0">
        <w:rPr>
          <w:b/>
          <w:i/>
          <w:lang w:eastAsia="ja-JP"/>
        </w:rPr>
        <w:t xml:space="preserve">Transaminases increased </w:t>
      </w:r>
      <w:r w:rsidRPr="00143CC0">
        <w:rPr>
          <w:lang w:eastAsia="ja-JP"/>
        </w:rPr>
        <w:t>occurred in 1.0% (n=11) of patients, with 0.5% (n=5) of events being Grade1 (0.4%, n=4) or Grade 2 (0.1%, n=1), and 0.6% (n=6) of events being Grade 3 (0.5</w:t>
      </w:r>
      <w:r w:rsidR="009C55C1">
        <w:rPr>
          <w:lang w:eastAsia="ja-JP"/>
        </w:rPr>
        <w:t>%, n=5) or Grade 4 (0.1%, n=1).</w:t>
      </w:r>
    </w:p>
    <w:p w:rsidR="00CE4F74" w:rsidRPr="00C31183" w:rsidRDefault="00CE4F74" w:rsidP="009C55C1">
      <w:pPr>
        <w:rPr>
          <w:lang w:eastAsia="ja-JP"/>
        </w:rPr>
      </w:pPr>
      <w:r w:rsidRPr="00C31183">
        <w:rPr>
          <w:lang w:eastAsia="ja-JP"/>
        </w:rPr>
        <w:t xml:space="preserve">The frequency </w:t>
      </w:r>
      <w:r w:rsidRPr="00C31183">
        <w:rPr>
          <w:b/>
          <w:i/>
          <w:lang w:eastAsia="ja-JP"/>
        </w:rPr>
        <w:t xml:space="preserve">of treatment-related AEs </w:t>
      </w:r>
      <w:r w:rsidRPr="00C31183">
        <w:rPr>
          <w:lang w:eastAsia="ja-JP"/>
        </w:rPr>
        <w:t xml:space="preserve">compatible with possible hepatotoxicity is very common at 26.4% (95% CI </w:t>
      </w:r>
      <w:r w:rsidR="009C55C1">
        <w:rPr>
          <w:lang w:eastAsia="ja-JP"/>
        </w:rPr>
        <w:t>23.8, 29.1); 292/1106 patients.</w:t>
      </w:r>
    </w:p>
    <w:p w:rsidR="00CE4F74" w:rsidRPr="00C31183" w:rsidRDefault="00CE4F74" w:rsidP="009C55C1">
      <w:pPr>
        <w:rPr>
          <w:lang w:eastAsia="ja-JP"/>
        </w:rPr>
      </w:pPr>
      <w:r w:rsidRPr="00C31183">
        <w:rPr>
          <w:lang w:eastAsia="ja-JP"/>
        </w:rPr>
        <w:t xml:space="preserve">In its letter of 22 March 2013 (response to Question 3), the sponsor states that increases to Grade 3 or 4 ALT were observed in 17% of patients in </w:t>
      </w:r>
      <w:r>
        <w:rPr>
          <w:lang w:eastAsia="ja-JP"/>
        </w:rPr>
        <w:t>S</w:t>
      </w:r>
      <w:r w:rsidRPr="00C31183">
        <w:rPr>
          <w:lang w:eastAsia="ja-JP"/>
        </w:rPr>
        <w:t xml:space="preserve">tudyA8081007, 4% of patients in </w:t>
      </w:r>
      <w:r>
        <w:rPr>
          <w:lang w:eastAsia="ja-JP"/>
        </w:rPr>
        <w:t>S</w:t>
      </w:r>
      <w:r w:rsidRPr="00C31183">
        <w:rPr>
          <w:lang w:eastAsia="ja-JP"/>
        </w:rPr>
        <w:t xml:space="preserve">tudy A8081001 and 8% of patients in </w:t>
      </w:r>
      <w:r>
        <w:rPr>
          <w:lang w:eastAsia="ja-JP"/>
        </w:rPr>
        <w:t>Study A8081005</w:t>
      </w:r>
      <w:r w:rsidRPr="00C31183">
        <w:rPr>
          <w:lang w:eastAsia="ja-JP"/>
        </w:rPr>
        <w:t xml:space="preserve">. The sponsor goes on to state that Grade 3 and 4 changes were generally asymptomatic and reversible on dosing interruption. Patients usually resumed treatment at a lower dose of </w:t>
      </w:r>
      <w:proofErr w:type="spellStart"/>
      <w:r w:rsidRPr="00C31183">
        <w:rPr>
          <w:lang w:eastAsia="ja-JP"/>
        </w:rPr>
        <w:t>crizotinib</w:t>
      </w:r>
      <w:proofErr w:type="spellEnd"/>
      <w:r w:rsidRPr="00C31183">
        <w:rPr>
          <w:lang w:eastAsia="ja-JP"/>
        </w:rPr>
        <w:t xml:space="preserve"> without recurrence. However, the sponsor noted that 2 (1%) patients from </w:t>
      </w:r>
      <w:r>
        <w:rPr>
          <w:lang w:eastAsia="ja-JP"/>
        </w:rPr>
        <w:t>S</w:t>
      </w:r>
      <w:r w:rsidRPr="00C31183">
        <w:rPr>
          <w:lang w:eastAsia="ja-JP"/>
        </w:rPr>
        <w:t xml:space="preserve">tudy A8081007, 1 (&lt;1%) patient from </w:t>
      </w:r>
      <w:r>
        <w:rPr>
          <w:lang w:eastAsia="ja-JP"/>
        </w:rPr>
        <w:t>Study A081</w:t>
      </w:r>
      <w:r w:rsidRPr="00C31183">
        <w:rPr>
          <w:lang w:eastAsia="ja-JP"/>
        </w:rPr>
        <w:t xml:space="preserve">001 and 6 (&lt;1%) patients from </w:t>
      </w:r>
      <w:r>
        <w:rPr>
          <w:lang w:eastAsia="ja-JP"/>
        </w:rPr>
        <w:t>Study A8081005</w:t>
      </w:r>
      <w:r w:rsidRPr="00C31183">
        <w:rPr>
          <w:lang w:eastAsia="ja-JP"/>
        </w:rPr>
        <w:t xml:space="preserve"> required permanent treatment discontinuation. The sponsor commented that transaminase elevations generally occurred within t</w:t>
      </w:r>
      <w:r w:rsidR="009C55C1">
        <w:rPr>
          <w:lang w:eastAsia="ja-JP"/>
        </w:rPr>
        <w:t>he first 2 months of treatment.</w:t>
      </w:r>
    </w:p>
    <w:p w:rsidR="00CE4F74" w:rsidRPr="00C31183" w:rsidRDefault="00CE4F74" w:rsidP="009C55C1">
      <w:pPr>
        <w:pStyle w:val="Heading6"/>
        <w:numPr>
          <w:ilvl w:val="0"/>
          <w:numId w:val="0"/>
        </w:numPr>
        <w:ind w:left="1702" w:hanging="1418"/>
        <w:rPr>
          <w:lang w:eastAsia="ja-JP"/>
        </w:rPr>
      </w:pPr>
      <w:r w:rsidRPr="00C31183">
        <w:rPr>
          <w:lang w:eastAsia="ja-JP"/>
        </w:rPr>
        <w:t>(b)</w:t>
      </w:r>
      <w:r w:rsidRPr="00C31183">
        <w:rPr>
          <w:lang w:eastAsia="ja-JP"/>
        </w:rPr>
        <w:tab/>
        <w:t>All causality SAEs (</w:t>
      </w:r>
      <w:r>
        <w:rPr>
          <w:lang w:eastAsia="ja-JP"/>
        </w:rPr>
        <w:t>S</w:t>
      </w:r>
      <w:r w:rsidRPr="00C31183">
        <w:rPr>
          <w:lang w:eastAsia="ja-JP"/>
        </w:rPr>
        <w:t>tudies #1, #5, #7, #13, and #14)</w:t>
      </w:r>
    </w:p>
    <w:p w:rsidR="00CE4F74" w:rsidRPr="00C31183" w:rsidRDefault="00CE4F74" w:rsidP="009C55C1">
      <w:pPr>
        <w:rPr>
          <w:lang w:eastAsia="ja-JP"/>
        </w:rPr>
      </w:pPr>
      <w:r w:rsidRPr="00C31183">
        <w:rPr>
          <w:lang w:eastAsia="ja-JP"/>
        </w:rPr>
        <w:t>There were 34 (2.1%) SAEs (all causality) compatible with possible hepatotoxicity in the pooled SAE database (n=1,600) – 10 report</w:t>
      </w:r>
      <w:r>
        <w:rPr>
          <w:lang w:eastAsia="ja-JP"/>
        </w:rPr>
        <w:t>s of ALT increased (4 hospitalis</w:t>
      </w:r>
      <w:r w:rsidRPr="00C31183">
        <w:rPr>
          <w:lang w:eastAsia="ja-JP"/>
        </w:rPr>
        <w:t xml:space="preserve">ed, 10 recovered); 6 reports of AST increased </w:t>
      </w:r>
      <w:r w:rsidRPr="004753C5">
        <w:rPr>
          <w:lang w:eastAsia="ja-JP"/>
        </w:rPr>
        <w:t>(3 hospitalised, 6 recovered); 3 reports</w:t>
      </w:r>
      <w:r w:rsidRPr="00C31183">
        <w:rPr>
          <w:lang w:eastAsia="ja-JP"/>
        </w:rPr>
        <w:t xml:space="preserve"> of DILI (2 </w:t>
      </w:r>
      <w:r>
        <w:rPr>
          <w:lang w:eastAsia="ja-JP"/>
        </w:rPr>
        <w:t>hospitalised</w:t>
      </w:r>
      <w:r w:rsidRPr="00C31183">
        <w:rPr>
          <w:lang w:eastAsia="ja-JP"/>
        </w:rPr>
        <w:t xml:space="preserve">, 2 recovered, 1 not recovered); 2 reports of ascites (2 </w:t>
      </w:r>
      <w:r>
        <w:rPr>
          <w:lang w:eastAsia="ja-JP"/>
        </w:rPr>
        <w:t>hospitalised</w:t>
      </w:r>
      <w:r w:rsidRPr="00C31183">
        <w:rPr>
          <w:lang w:eastAsia="ja-JP"/>
        </w:rPr>
        <w:t xml:space="preserve">, 2 recovered); 2 reports of blood bilirubin increased (1 </w:t>
      </w:r>
      <w:r>
        <w:rPr>
          <w:lang w:eastAsia="ja-JP"/>
        </w:rPr>
        <w:t>hospitalised</w:t>
      </w:r>
      <w:r w:rsidRPr="00C31183">
        <w:rPr>
          <w:lang w:eastAsia="ja-JP"/>
        </w:rPr>
        <w:t xml:space="preserve">, 1 recovered, 1 not recovered); 2 reports of hepatic failure (1 </w:t>
      </w:r>
      <w:r>
        <w:rPr>
          <w:lang w:eastAsia="ja-JP"/>
        </w:rPr>
        <w:t>hospitalised</w:t>
      </w:r>
      <w:r w:rsidRPr="00C31183">
        <w:rPr>
          <w:lang w:eastAsia="ja-JP"/>
        </w:rPr>
        <w:t xml:space="preserve">, 2 fatal); 2 reports of hepatitis (2 </w:t>
      </w:r>
      <w:r>
        <w:rPr>
          <w:lang w:eastAsia="ja-JP"/>
        </w:rPr>
        <w:t>hospitalised</w:t>
      </w:r>
      <w:r w:rsidRPr="00C31183">
        <w:rPr>
          <w:lang w:eastAsia="ja-JP"/>
        </w:rPr>
        <w:t>, 2 recovered); 2 reports of hepatotoxicity (2 recovered); 1 report of hepatic enzyme increased (</w:t>
      </w:r>
      <w:r>
        <w:rPr>
          <w:lang w:eastAsia="ja-JP"/>
        </w:rPr>
        <w:t>hospitalised</w:t>
      </w:r>
      <w:r w:rsidRPr="00C31183">
        <w:rPr>
          <w:lang w:eastAsia="ja-JP"/>
        </w:rPr>
        <w:t xml:space="preserve"> and recovered); 1 report of hepatocellular injury (</w:t>
      </w:r>
      <w:r>
        <w:rPr>
          <w:lang w:eastAsia="ja-JP"/>
        </w:rPr>
        <w:t>hospitalised</w:t>
      </w:r>
      <w:r w:rsidRPr="00C31183">
        <w:rPr>
          <w:lang w:eastAsia="ja-JP"/>
        </w:rPr>
        <w:t xml:space="preserve"> and recovered); 1 report of liver function test abnormal (</w:t>
      </w:r>
      <w:r>
        <w:rPr>
          <w:lang w:eastAsia="ja-JP"/>
        </w:rPr>
        <w:t>hospitalised</w:t>
      </w:r>
      <w:r w:rsidRPr="00C31183">
        <w:rPr>
          <w:lang w:eastAsia="ja-JP"/>
        </w:rPr>
        <w:t xml:space="preserve"> and recovered); 1 report of liver injury (</w:t>
      </w:r>
      <w:r>
        <w:rPr>
          <w:lang w:eastAsia="ja-JP"/>
        </w:rPr>
        <w:t>hospitalised</w:t>
      </w:r>
      <w:r w:rsidRPr="00C31183">
        <w:rPr>
          <w:lang w:eastAsia="ja-JP"/>
        </w:rPr>
        <w:t xml:space="preserve"> and fatal); and 1 report of transaminases increased (recovered). There were three SAE reports (all causality) of death associated with </w:t>
      </w:r>
      <w:proofErr w:type="spellStart"/>
      <w:r w:rsidRPr="00C31183">
        <w:rPr>
          <w:lang w:eastAsia="ja-JP"/>
        </w:rPr>
        <w:t>crizotinib</w:t>
      </w:r>
      <w:proofErr w:type="spellEnd"/>
      <w:r w:rsidRPr="00C31183">
        <w:rPr>
          <w:lang w:eastAsia="ja-JP"/>
        </w:rPr>
        <w:t>: 2 x hepatic failur</w:t>
      </w:r>
      <w:r w:rsidR="009C55C1">
        <w:rPr>
          <w:lang w:eastAsia="ja-JP"/>
        </w:rPr>
        <w:t>e and 1 report of liver injury.</w:t>
      </w:r>
    </w:p>
    <w:p w:rsidR="00CE4F74" w:rsidRPr="00C31183" w:rsidRDefault="00CE4F74" w:rsidP="009C55C1">
      <w:pPr>
        <w:pStyle w:val="Heading6"/>
        <w:numPr>
          <w:ilvl w:val="0"/>
          <w:numId w:val="0"/>
        </w:numPr>
        <w:ind w:left="1702" w:hanging="1418"/>
        <w:rPr>
          <w:lang w:eastAsia="ja-JP"/>
        </w:rPr>
      </w:pPr>
      <w:r>
        <w:rPr>
          <w:lang w:eastAsia="ja-JP"/>
        </w:rPr>
        <w:lastRenderedPageBreak/>
        <w:t>(c)</w:t>
      </w:r>
      <w:r>
        <w:rPr>
          <w:lang w:eastAsia="ja-JP"/>
        </w:rPr>
        <w:tab/>
      </w:r>
      <w:r w:rsidRPr="00C31183">
        <w:rPr>
          <w:lang w:eastAsia="ja-JP"/>
        </w:rPr>
        <w:t>D</w:t>
      </w:r>
      <w:r w:rsidR="009C55C1">
        <w:rPr>
          <w:lang w:eastAsia="ja-JP"/>
        </w:rPr>
        <w:t>rug induced liver injury (DILI)</w:t>
      </w:r>
    </w:p>
    <w:p w:rsidR="00CE4F74" w:rsidRPr="00C31183" w:rsidRDefault="00CE4F74" w:rsidP="009C55C1">
      <w:pPr>
        <w:rPr>
          <w:lang w:eastAsia="ja-JP"/>
        </w:rPr>
      </w:pPr>
      <w:r w:rsidRPr="00C31183">
        <w:rPr>
          <w:lang w:eastAsia="ja-JP"/>
        </w:rPr>
        <w:t>Cases of fatal drug induced hepatotoxicity have occurred in &lt; 1% of patients in clinical trials. Concurrent elevations in ALT &gt; 3 x ULN and total bilirubin &gt; 2 x ULN without elevated alkaline phosphatase have occurred in &lt; 1%</w:t>
      </w:r>
      <w:r w:rsidR="009C55C1">
        <w:rPr>
          <w:lang w:eastAsia="ja-JP"/>
        </w:rPr>
        <w:t xml:space="preserve"> of patients in clinical trials.</w:t>
      </w:r>
    </w:p>
    <w:p w:rsidR="00CE4F74" w:rsidRPr="00C31183" w:rsidRDefault="00CE4F74" w:rsidP="009C55C1">
      <w:pPr>
        <w:pStyle w:val="Heading6"/>
        <w:numPr>
          <w:ilvl w:val="0"/>
          <w:numId w:val="0"/>
        </w:numPr>
        <w:ind w:left="1702" w:hanging="1418"/>
        <w:rPr>
          <w:lang w:eastAsia="ja-JP"/>
        </w:rPr>
      </w:pPr>
      <w:r>
        <w:rPr>
          <w:lang w:eastAsia="ja-JP"/>
        </w:rPr>
        <w:t>(d)</w:t>
      </w:r>
      <w:r>
        <w:rPr>
          <w:lang w:eastAsia="ja-JP"/>
        </w:rPr>
        <w:tab/>
      </w:r>
      <w:r w:rsidR="009C55C1">
        <w:rPr>
          <w:lang w:eastAsia="ja-JP"/>
        </w:rPr>
        <w:t>Preventability</w:t>
      </w:r>
    </w:p>
    <w:p w:rsidR="00CE4F74" w:rsidRPr="00C31183" w:rsidRDefault="00CE4F74" w:rsidP="009C55C1">
      <w:pPr>
        <w:rPr>
          <w:lang w:eastAsia="ja-JP"/>
        </w:rPr>
      </w:pPr>
      <w:r w:rsidRPr="00C31183">
        <w:rPr>
          <w:lang w:eastAsia="ja-JP"/>
        </w:rPr>
        <w:t xml:space="preserve">It is not known which patients may be at increased risk of developing hepatotoxicity during treatment with </w:t>
      </w:r>
      <w:proofErr w:type="spellStart"/>
      <w:r w:rsidRPr="00C31183">
        <w:rPr>
          <w:lang w:eastAsia="ja-JP"/>
        </w:rPr>
        <w:t>crizotinib</w:t>
      </w:r>
      <w:proofErr w:type="spellEnd"/>
      <w:r w:rsidRPr="00C31183">
        <w:rPr>
          <w:lang w:eastAsia="ja-JP"/>
        </w:rPr>
        <w:t xml:space="preserve">. The </w:t>
      </w:r>
      <w:r>
        <w:rPr>
          <w:lang w:eastAsia="ja-JP"/>
        </w:rPr>
        <w:t>European Union Summary of Product Characteristics (</w:t>
      </w:r>
      <w:proofErr w:type="spellStart"/>
      <w:r w:rsidRPr="00C31183">
        <w:rPr>
          <w:lang w:eastAsia="ja-JP"/>
        </w:rPr>
        <w:t>SmPC</w:t>
      </w:r>
      <w:proofErr w:type="spellEnd"/>
      <w:r>
        <w:rPr>
          <w:lang w:eastAsia="ja-JP"/>
        </w:rPr>
        <w:t>)</w:t>
      </w:r>
      <w:r w:rsidRPr="00C31183">
        <w:rPr>
          <w:lang w:eastAsia="ja-JP"/>
        </w:rPr>
        <w:t xml:space="preserve"> specifies that all patients should have monthly transaminases and total bilirubin levels measured, with more frequent testing if clinically indicated. The </w:t>
      </w:r>
      <w:proofErr w:type="spellStart"/>
      <w:r w:rsidRPr="00C31183">
        <w:rPr>
          <w:lang w:eastAsia="ja-JP"/>
        </w:rPr>
        <w:t>SmPC</w:t>
      </w:r>
      <w:proofErr w:type="spellEnd"/>
      <w:r w:rsidRPr="00C31183">
        <w:rPr>
          <w:lang w:eastAsia="ja-JP"/>
        </w:rPr>
        <w:t xml:space="preserve"> describes dose interruptions, dose reductions and discontinuations based on specified increases in ALT or AST levels (in association with spe</w:t>
      </w:r>
      <w:r w:rsidR="009C55C1">
        <w:rPr>
          <w:lang w:eastAsia="ja-JP"/>
        </w:rPr>
        <w:t>cified total bilirubin levels).</w:t>
      </w:r>
    </w:p>
    <w:p w:rsidR="00CE4F74" w:rsidRPr="00C31183" w:rsidRDefault="00CE4F74" w:rsidP="009C55C1">
      <w:pPr>
        <w:pStyle w:val="Heading5"/>
        <w:rPr>
          <w:lang w:eastAsia="ja-JP"/>
        </w:rPr>
      </w:pPr>
      <w:bookmarkStart w:id="141" w:name="_Toc228773410"/>
      <w:r w:rsidRPr="00C31183">
        <w:rPr>
          <w:lang w:eastAsia="ja-JP"/>
        </w:rPr>
        <w:t xml:space="preserve">Pneumonitis / </w:t>
      </w:r>
      <w:r w:rsidR="009C55C1">
        <w:rPr>
          <w:lang w:eastAsia="ja-JP"/>
        </w:rPr>
        <w:t>i</w:t>
      </w:r>
      <w:r w:rsidRPr="00C31183">
        <w:rPr>
          <w:lang w:eastAsia="ja-JP"/>
        </w:rPr>
        <w:t xml:space="preserve">nterstitial </w:t>
      </w:r>
      <w:r w:rsidR="009C55C1">
        <w:rPr>
          <w:lang w:eastAsia="ja-JP"/>
        </w:rPr>
        <w:t>l</w:t>
      </w:r>
      <w:r w:rsidRPr="00C31183">
        <w:rPr>
          <w:lang w:eastAsia="ja-JP"/>
        </w:rPr>
        <w:t xml:space="preserve">ung </w:t>
      </w:r>
      <w:r w:rsidR="009C55C1">
        <w:rPr>
          <w:lang w:eastAsia="ja-JP"/>
        </w:rPr>
        <w:t>d</w:t>
      </w:r>
      <w:r w:rsidRPr="00C31183">
        <w:rPr>
          <w:lang w:eastAsia="ja-JP"/>
        </w:rPr>
        <w:t>isease</w:t>
      </w:r>
      <w:bookmarkEnd w:id="141"/>
    </w:p>
    <w:p w:rsidR="00CE4F74" w:rsidRPr="00C31183" w:rsidRDefault="00CE4F74" w:rsidP="009C55C1">
      <w:pPr>
        <w:pStyle w:val="Heading6"/>
        <w:numPr>
          <w:ilvl w:val="0"/>
          <w:numId w:val="0"/>
        </w:numPr>
        <w:ind w:left="1702" w:hanging="1418"/>
        <w:rPr>
          <w:lang w:eastAsia="ja-JP"/>
        </w:rPr>
      </w:pPr>
      <w:r w:rsidRPr="00C31183">
        <w:rPr>
          <w:lang w:eastAsia="ja-JP"/>
        </w:rPr>
        <w:t>a)</w:t>
      </w:r>
      <w:r w:rsidRPr="00C31183">
        <w:rPr>
          <w:lang w:eastAsia="ja-JP"/>
        </w:rPr>
        <w:tab/>
        <w:t>All causality AEs (</w:t>
      </w:r>
      <w:r>
        <w:rPr>
          <w:lang w:eastAsia="ja-JP"/>
        </w:rPr>
        <w:t>S</w:t>
      </w:r>
      <w:r w:rsidR="009C55C1">
        <w:rPr>
          <w:lang w:eastAsia="ja-JP"/>
        </w:rPr>
        <w:t>tudies #5 and #7)</w:t>
      </w:r>
    </w:p>
    <w:p w:rsidR="00CE4F74" w:rsidRPr="00C31183" w:rsidRDefault="00CE4F74" w:rsidP="009C55C1">
      <w:pPr>
        <w:rPr>
          <w:lang w:eastAsia="ja-JP"/>
        </w:rPr>
      </w:pPr>
      <w:r w:rsidRPr="00C31183">
        <w:rPr>
          <w:lang w:eastAsia="ja-JP"/>
        </w:rPr>
        <w:t>There were 34 patients (3.1%) with AEs identified as being compatible with pneumonitis/interstitial lung disease. These AEs were acute respiratory syndrome (n=2, 0.2%), bronchiolitis (n=1, 0.1%), interstitial lung disease (n=6, 0.5%), lung infiltration (n=1, 0.1%), pneumonitis (n=21, 1.9%), pulmonary fibrosis (n=1, 0.1%) and radiation pneumonitis (n=3, 0.3%). Of the 34 patients with pneumonitis/interstitial lung disease, 23 (2.1%) were reported as recovered and 11 (1.0%) were reported as not recovered. There were 5 (0.5%) Grade 5 events, 3 (0.3%) associated with interstitial lung disease, 2 (0.2%) associated with pneumonitis and 1 (0.1%) associated with acute</w:t>
      </w:r>
      <w:r w:rsidR="009C55C1">
        <w:rPr>
          <w:lang w:eastAsia="ja-JP"/>
        </w:rPr>
        <w:t xml:space="preserve"> respiratory distress syndrome.</w:t>
      </w:r>
    </w:p>
    <w:p w:rsidR="00CE4F74" w:rsidRPr="00C31183" w:rsidRDefault="00CE4F74" w:rsidP="009C55C1">
      <w:pPr>
        <w:rPr>
          <w:lang w:eastAsia="ja-JP"/>
        </w:rPr>
      </w:pPr>
      <w:r w:rsidRPr="00C31183">
        <w:rPr>
          <w:lang w:eastAsia="ja-JP"/>
        </w:rPr>
        <w:t>Of the 34 patients with pneumonitis/interstitial lung disease, 23 (2.1%) were reported as recovered and 11 (1.0%) were reported as not recovered (</w:t>
      </w:r>
      <w:r>
        <w:rPr>
          <w:lang w:eastAsia="ja-JP"/>
        </w:rPr>
        <w:t>that is,</w:t>
      </w:r>
      <w:r w:rsidRPr="00C31183">
        <w:rPr>
          <w:lang w:eastAsia="ja-JP"/>
        </w:rPr>
        <w:t xml:space="preserve"> includes missing outcomes and unknown outcomes). Grade 5 AEs were reported in 6 (0.5%) patients (3 x interstitial lung disease, 2 x pneumonitis and 1 x acute</w:t>
      </w:r>
      <w:r w:rsidR="009C55C1">
        <w:rPr>
          <w:lang w:eastAsia="ja-JP"/>
        </w:rPr>
        <w:t xml:space="preserve"> respiratory distress syndrome).</w:t>
      </w:r>
    </w:p>
    <w:p w:rsidR="00CE4F74" w:rsidRPr="00C31183" w:rsidRDefault="00CE4F74" w:rsidP="009C55C1">
      <w:pPr>
        <w:rPr>
          <w:lang w:eastAsia="ja-JP"/>
        </w:rPr>
      </w:pPr>
      <w:r w:rsidRPr="00C31183">
        <w:rPr>
          <w:lang w:eastAsia="ja-JP"/>
        </w:rPr>
        <w:t xml:space="preserve">AEs reported in </w:t>
      </w:r>
      <w:r>
        <w:rPr>
          <w:lang w:eastAsia="ja-JP"/>
        </w:rPr>
        <w:t>≥</w:t>
      </w:r>
      <w:r w:rsidRPr="00C31183">
        <w:rPr>
          <w:lang w:eastAsia="ja-JP"/>
        </w:rPr>
        <w:t xml:space="preserve"> 2 patients were pneumonitis (n=21, 1.9%), interstitial lung disease (n=6, 0.5%), radiation pneumonitis (n=3, 0.3%) and acute respiratory syndrome (n=2, 0.2%). Of the 21 patients with </w:t>
      </w:r>
      <w:r w:rsidRPr="00C31183">
        <w:rPr>
          <w:b/>
          <w:i/>
          <w:lang w:eastAsia="ja-JP"/>
        </w:rPr>
        <w:t>pneumonitis</w:t>
      </w:r>
      <w:r w:rsidRPr="00C31183">
        <w:rPr>
          <w:b/>
          <w:lang w:eastAsia="ja-JP"/>
        </w:rPr>
        <w:t>,</w:t>
      </w:r>
      <w:r w:rsidRPr="00C31183">
        <w:rPr>
          <w:lang w:eastAsia="ja-JP"/>
        </w:rPr>
        <w:t xml:space="preserve"> there 2 (0.2%) patients with Grade 5 events, 12 (1.1%) patients with Grade 1 or 2 events and 7 (0.7%) patients with Grade 3 or 4 events. Of the 6 patients with</w:t>
      </w:r>
      <w:r w:rsidRPr="00C31183">
        <w:rPr>
          <w:b/>
          <w:lang w:eastAsia="ja-JP"/>
        </w:rPr>
        <w:t xml:space="preserve"> </w:t>
      </w:r>
      <w:r w:rsidRPr="00C31183">
        <w:rPr>
          <w:b/>
          <w:i/>
          <w:lang w:eastAsia="ja-JP"/>
        </w:rPr>
        <w:t>interstitial lung disease</w:t>
      </w:r>
      <w:r w:rsidRPr="00C31183">
        <w:rPr>
          <w:lang w:eastAsia="ja-JP"/>
        </w:rPr>
        <w:t xml:space="preserve">, there were 3 (0.3%) patients with Grade 5 events, 2 (0.2%) patients with Grade 1 events and 1 (0.1%) patient with a Grade 3 event. Of the 2 patients with </w:t>
      </w:r>
      <w:r w:rsidRPr="00C31183">
        <w:rPr>
          <w:b/>
          <w:i/>
          <w:lang w:eastAsia="ja-JP"/>
        </w:rPr>
        <w:t>acute respiratory distress syndrome</w:t>
      </w:r>
      <w:r w:rsidRPr="00C31183">
        <w:rPr>
          <w:lang w:eastAsia="ja-JP"/>
        </w:rPr>
        <w:t>, there was 1 (0.1%) patient with a Grade 5 event and 1 (0.1%) patient with a Grade 3 event.</w:t>
      </w:r>
    </w:p>
    <w:p w:rsidR="00CE4F74" w:rsidRPr="00C31183" w:rsidRDefault="00CE4F74" w:rsidP="009C55C1">
      <w:pPr>
        <w:rPr>
          <w:lang w:eastAsia="ja-JP"/>
        </w:rPr>
      </w:pPr>
      <w:r w:rsidRPr="00C31183">
        <w:rPr>
          <w:lang w:eastAsia="ja-JP"/>
        </w:rPr>
        <w:t xml:space="preserve">The frequency of </w:t>
      </w:r>
      <w:r w:rsidRPr="00C31183">
        <w:rPr>
          <w:b/>
          <w:i/>
          <w:lang w:eastAsia="ja-JP"/>
        </w:rPr>
        <w:t xml:space="preserve">treatment-related AEs </w:t>
      </w:r>
      <w:r w:rsidRPr="00C31183">
        <w:rPr>
          <w:lang w:eastAsia="ja-JP"/>
        </w:rPr>
        <w:t>compatible with possible pneumonitis/interstitial lung disease is common at 1.8% (95% C</w:t>
      </w:r>
      <w:r w:rsidR="009C55C1">
        <w:rPr>
          <w:lang w:eastAsia="ja-JP"/>
        </w:rPr>
        <w:t>I: 1.1, 2.8); 20/1106 patients.</w:t>
      </w:r>
    </w:p>
    <w:p w:rsidR="00CE4F74" w:rsidRPr="00C31183" w:rsidRDefault="00CE4F74" w:rsidP="009C55C1">
      <w:pPr>
        <w:pStyle w:val="Heading6"/>
        <w:numPr>
          <w:ilvl w:val="0"/>
          <w:numId w:val="0"/>
        </w:numPr>
        <w:ind w:left="1702" w:hanging="1418"/>
        <w:rPr>
          <w:lang w:eastAsia="ja-JP"/>
        </w:rPr>
      </w:pPr>
      <w:r w:rsidRPr="00C31183">
        <w:rPr>
          <w:lang w:eastAsia="ja-JP"/>
        </w:rPr>
        <w:t>(b)</w:t>
      </w:r>
      <w:r w:rsidRPr="00C31183">
        <w:rPr>
          <w:lang w:eastAsia="ja-JP"/>
        </w:rPr>
        <w:tab/>
        <w:t>All causality SAEs (</w:t>
      </w:r>
      <w:r>
        <w:rPr>
          <w:lang w:eastAsia="ja-JP"/>
        </w:rPr>
        <w:t>S</w:t>
      </w:r>
      <w:r w:rsidRPr="00C31183">
        <w:rPr>
          <w:lang w:eastAsia="ja-JP"/>
        </w:rPr>
        <w:t>tudies #1, #5, #7, #13, and #14)</w:t>
      </w:r>
    </w:p>
    <w:p w:rsidR="00CE4F74" w:rsidRPr="00C31183" w:rsidRDefault="00CE4F74" w:rsidP="009C55C1">
      <w:pPr>
        <w:rPr>
          <w:lang w:eastAsia="ja-JP"/>
        </w:rPr>
      </w:pPr>
      <w:r w:rsidRPr="00C31183">
        <w:rPr>
          <w:lang w:eastAsia="ja-JP"/>
        </w:rPr>
        <w:t xml:space="preserve">There were 30 (1.9%) SAEs (all causality) compatible with pneumonitis/interstitial lung disease in the pooled SAE database (n=1,600) – 18 reports of pneumonitis (15 </w:t>
      </w:r>
      <w:r>
        <w:rPr>
          <w:lang w:eastAsia="ja-JP"/>
        </w:rPr>
        <w:t>hospitalised</w:t>
      </w:r>
      <w:r w:rsidRPr="00C31183">
        <w:rPr>
          <w:lang w:eastAsia="ja-JP"/>
        </w:rPr>
        <w:t xml:space="preserve">, 7 recovered, 5 not recovered, 6 fatal); 8 reports of interstitial lung disease (6 </w:t>
      </w:r>
      <w:r>
        <w:rPr>
          <w:lang w:eastAsia="ja-JP"/>
        </w:rPr>
        <w:t>hospitalised</w:t>
      </w:r>
      <w:r w:rsidRPr="00C31183">
        <w:rPr>
          <w:lang w:eastAsia="ja-JP"/>
        </w:rPr>
        <w:t xml:space="preserve">, 3 recovered, 1 not recovered, 4 fatal); 2 reports of acute respiratory distress syndrome (both fatal); 1 report of </w:t>
      </w:r>
      <w:proofErr w:type="spellStart"/>
      <w:r w:rsidRPr="00C31183">
        <w:rPr>
          <w:lang w:eastAsia="ja-JP"/>
        </w:rPr>
        <w:t>alveolitis</w:t>
      </w:r>
      <w:proofErr w:type="spellEnd"/>
      <w:r w:rsidRPr="00C31183">
        <w:rPr>
          <w:lang w:eastAsia="ja-JP"/>
        </w:rPr>
        <w:t xml:space="preserve"> (</w:t>
      </w:r>
      <w:r>
        <w:rPr>
          <w:lang w:eastAsia="ja-JP"/>
        </w:rPr>
        <w:t>hospitalised</w:t>
      </w:r>
      <w:r w:rsidRPr="00C31183">
        <w:rPr>
          <w:lang w:eastAsia="ja-JP"/>
        </w:rPr>
        <w:t>, not recovered); and 1 report of radiation pneumonitis (</w:t>
      </w:r>
      <w:r>
        <w:rPr>
          <w:lang w:eastAsia="ja-JP"/>
        </w:rPr>
        <w:t>hospitalised</w:t>
      </w:r>
      <w:r w:rsidR="009C55C1">
        <w:rPr>
          <w:lang w:eastAsia="ja-JP"/>
        </w:rPr>
        <w:t>, not recovered).</w:t>
      </w:r>
    </w:p>
    <w:p w:rsidR="00CE4F74" w:rsidRPr="00C31183" w:rsidRDefault="00CE4F74" w:rsidP="009C55C1">
      <w:pPr>
        <w:pStyle w:val="Heading6"/>
        <w:numPr>
          <w:ilvl w:val="0"/>
          <w:numId w:val="0"/>
        </w:numPr>
        <w:ind w:left="1702" w:hanging="1418"/>
        <w:rPr>
          <w:lang w:eastAsia="ja-JP"/>
        </w:rPr>
      </w:pPr>
      <w:r w:rsidRPr="00C31183">
        <w:rPr>
          <w:lang w:eastAsia="ja-JP"/>
        </w:rPr>
        <w:t>(c</w:t>
      </w:r>
      <w:r>
        <w:rPr>
          <w:lang w:eastAsia="ja-JP"/>
        </w:rPr>
        <w:t>)</w:t>
      </w:r>
      <w:r w:rsidR="009C55C1">
        <w:rPr>
          <w:lang w:eastAsia="ja-JP"/>
        </w:rPr>
        <w:tab/>
        <w:t>Preventability</w:t>
      </w:r>
    </w:p>
    <w:p w:rsidR="00CE4F74" w:rsidRPr="00C31183" w:rsidRDefault="00CE4F74" w:rsidP="009C55C1">
      <w:pPr>
        <w:rPr>
          <w:lang w:eastAsia="ja-JP"/>
        </w:rPr>
      </w:pPr>
      <w:r w:rsidRPr="00C31183">
        <w:rPr>
          <w:lang w:eastAsia="ja-JP"/>
        </w:rPr>
        <w:t xml:space="preserve">There are no known preventive measures to reduce the incidence or decrease the severity of </w:t>
      </w:r>
      <w:proofErr w:type="spellStart"/>
      <w:r w:rsidRPr="00C31183">
        <w:rPr>
          <w:lang w:eastAsia="ja-JP"/>
        </w:rPr>
        <w:t>crizotinib</w:t>
      </w:r>
      <w:proofErr w:type="spellEnd"/>
      <w:r w:rsidRPr="00C31183">
        <w:rPr>
          <w:lang w:eastAsia="ja-JP"/>
        </w:rPr>
        <w:t xml:space="preserve"> related pneumonitis/inters</w:t>
      </w:r>
      <w:r w:rsidR="009C55C1">
        <w:rPr>
          <w:lang w:eastAsia="ja-JP"/>
        </w:rPr>
        <w:t>titial lung disease.</w:t>
      </w:r>
    </w:p>
    <w:p w:rsidR="00CE4F74" w:rsidRPr="00C31183" w:rsidRDefault="00CE4F74" w:rsidP="009C55C1">
      <w:pPr>
        <w:pStyle w:val="Heading5"/>
        <w:rPr>
          <w:lang w:eastAsia="ja-JP"/>
        </w:rPr>
      </w:pPr>
      <w:bookmarkStart w:id="142" w:name="_Toc228773411"/>
      <w:proofErr w:type="spellStart"/>
      <w:r w:rsidRPr="00C31183">
        <w:rPr>
          <w:lang w:eastAsia="ja-JP"/>
        </w:rPr>
        <w:lastRenderedPageBreak/>
        <w:t>QTc</w:t>
      </w:r>
      <w:proofErr w:type="spellEnd"/>
      <w:r w:rsidRPr="00C31183">
        <w:rPr>
          <w:lang w:eastAsia="ja-JP"/>
        </w:rPr>
        <w:t xml:space="preserve"> Prolongation</w:t>
      </w:r>
      <w:bookmarkEnd w:id="142"/>
    </w:p>
    <w:p w:rsidR="00CE4F74" w:rsidRPr="00C31183" w:rsidRDefault="00CE4F74" w:rsidP="009C55C1">
      <w:pPr>
        <w:pStyle w:val="Heading6"/>
        <w:numPr>
          <w:ilvl w:val="0"/>
          <w:numId w:val="0"/>
        </w:numPr>
        <w:ind w:left="1702" w:hanging="1418"/>
        <w:rPr>
          <w:lang w:eastAsia="ja-JP"/>
        </w:rPr>
      </w:pPr>
      <w:r>
        <w:rPr>
          <w:lang w:eastAsia="ja-JP"/>
        </w:rPr>
        <w:t>(</w:t>
      </w:r>
      <w:r w:rsidRPr="00C31183">
        <w:rPr>
          <w:lang w:eastAsia="ja-JP"/>
        </w:rPr>
        <w:t>a)</w:t>
      </w:r>
      <w:r w:rsidRPr="00C31183">
        <w:rPr>
          <w:lang w:eastAsia="ja-JP"/>
        </w:rPr>
        <w:tab/>
        <w:t>All ca</w:t>
      </w:r>
      <w:r w:rsidR="009C55C1">
        <w:rPr>
          <w:lang w:eastAsia="ja-JP"/>
        </w:rPr>
        <w:t>usality AEs (studies #5 and #7)</w:t>
      </w:r>
    </w:p>
    <w:p w:rsidR="00CE4F74" w:rsidRPr="00C31183" w:rsidRDefault="00CE4F74" w:rsidP="009C55C1">
      <w:pPr>
        <w:rPr>
          <w:lang w:eastAsia="ja-JP"/>
        </w:rPr>
      </w:pPr>
      <w:r w:rsidRPr="00C31183">
        <w:rPr>
          <w:lang w:eastAsia="ja-JP"/>
        </w:rPr>
        <w:t xml:space="preserve">There were 58 (5.2%) patients with AEs (all causality) identified as being potentially compatible with </w:t>
      </w:r>
      <w:proofErr w:type="spellStart"/>
      <w:r w:rsidRPr="00C31183">
        <w:rPr>
          <w:lang w:eastAsia="ja-JP"/>
        </w:rPr>
        <w:t>QTc</w:t>
      </w:r>
      <w:proofErr w:type="spellEnd"/>
      <w:r w:rsidRPr="00C31183">
        <w:rPr>
          <w:lang w:eastAsia="ja-JP"/>
        </w:rPr>
        <w:t xml:space="preserve"> prolongation. These AEs were cardiac arrest (n=2, 0.2%), ECG QT prolonged (n=33, 3.0%), loss of consciousness (n=1, 0.1%), sudden death (n=1, 0.1%) and syncope (n=2</w:t>
      </w:r>
      <w:r w:rsidRPr="00143CC0">
        <w:rPr>
          <w:lang w:eastAsia="ja-JP"/>
        </w:rPr>
        <w:t>2,</w:t>
      </w:r>
      <w:r w:rsidRPr="00C31183">
        <w:rPr>
          <w:lang w:eastAsia="ja-JP"/>
        </w:rPr>
        <w:t xml:space="preserve"> 2.0%). Of the 58 patients with </w:t>
      </w:r>
      <w:proofErr w:type="spellStart"/>
      <w:r w:rsidRPr="00C31183">
        <w:rPr>
          <w:lang w:eastAsia="ja-JP"/>
        </w:rPr>
        <w:t>QTc</w:t>
      </w:r>
      <w:proofErr w:type="spellEnd"/>
      <w:r w:rsidRPr="00C31183">
        <w:rPr>
          <w:lang w:eastAsia="ja-JP"/>
        </w:rPr>
        <w:t xml:space="preserve"> prolongation, 53 (4.8%) were reported as recovered and 5 (0.5%) were reported as not recovered. There were 2 (0.2%) Grade 5 events, 1 (0.1%) associated with cardiac ar</w:t>
      </w:r>
      <w:r w:rsidR="009C55C1">
        <w:rPr>
          <w:lang w:eastAsia="ja-JP"/>
        </w:rPr>
        <w:t>rest and 1 (0.1%) sudden death.</w:t>
      </w:r>
    </w:p>
    <w:p w:rsidR="00CE4F74" w:rsidRPr="00C31183" w:rsidRDefault="00CE4F74" w:rsidP="009C55C1">
      <w:pPr>
        <w:rPr>
          <w:lang w:eastAsia="ja-JP"/>
        </w:rPr>
      </w:pPr>
      <w:r w:rsidRPr="00C31183">
        <w:rPr>
          <w:lang w:eastAsia="ja-JP"/>
        </w:rPr>
        <w:t xml:space="preserve">There were two AEs considered to be potentially compatible with </w:t>
      </w:r>
      <w:proofErr w:type="spellStart"/>
      <w:r w:rsidRPr="00C31183">
        <w:rPr>
          <w:lang w:eastAsia="ja-JP"/>
        </w:rPr>
        <w:t>QTc</w:t>
      </w:r>
      <w:proofErr w:type="spellEnd"/>
      <w:r w:rsidRPr="00C31183">
        <w:rPr>
          <w:lang w:eastAsia="ja-JP"/>
        </w:rPr>
        <w:t xml:space="preserve"> prolongation occurring in </w:t>
      </w:r>
      <w:r>
        <w:rPr>
          <w:lang w:eastAsia="ja-JP"/>
        </w:rPr>
        <w:t>≥</w:t>
      </w:r>
      <w:r w:rsidRPr="00C31183">
        <w:rPr>
          <w:lang w:eastAsia="ja-JP"/>
        </w:rPr>
        <w:t xml:space="preserve"> 2% of patients (ECG QT prolongation and syncope). </w:t>
      </w:r>
      <w:r w:rsidRPr="00C31183">
        <w:rPr>
          <w:b/>
          <w:i/>
          <w:lang w:eastAsia="ja-JP"/>
        </w:rPr>
        <w:t xml:space="preserve">ECG QT prolongation </w:t>
      </w:r>
      <w:r w:rsidRPr="00C31183">
        <w:rPr>
          <w:lang w:eastAsia="ja-JP"/>
        </w:rPr>
        <w:t xml:space="preserve">occurred in 33 (3.0%) patients, including 16 (1.5%) patients with Grade 1 or 2 events and 17 (1.5%) patients with Grade 3 or 4 events. </w:t>
      </w:r>
      <w:r w:rsidRPr="00C31183">
        <w:rPr>
          <w:b/>
          <w:i/>
          <w:lang w:eastAsia="ja-JP"/>
        </w:rPr>
        <w:t>Syncope</w:t>
      </w:r>
      <w:r w:rsidRPr="00C31183">
        <w:rPr>
          <w:lang w:eastAsia="ja-JP"/>
        </w:rPr>
        <w:t xml:space="preserve"> occurred in 22 (2.0%) patients and all ev</w:t>
      </w:r>
      <w:r w:rsidR="009C55C1">
        <w:rPr>
          <w:lang w:eastAsia="ja-JP"/>
        </w:rPr>
        <w:t>ents were Grade 3.</w:t>
      </w:r>
    </w:p>
    <w:p w:rsidR="00CE4F74" w:rsidRPr="00C31183" w:rsidRDefault="00CE4F74" w:rsidP="009C55C1">
      <w:pPr>
        <w:rPr>
          <w:lang w:eastAsia="ja-JP"/>
        </w:rPr>
      </w:pPr>
      <w:r w:rsidRPr="00C31183">
        <w:rPr>
          <w:lang w:eastAsia="ja-JP"/>
        </w:rPr>
        <w:t xml:space="preserve">The frequency of </w:t>
      </w:r>
      <w:r w:rsidRPr="00C31183">
        <w:rPr>
          <w:b/>
          <w:i/>
          <w:lang w:eastAsia="ja-JP"/>
        </w:rPr>
        <w:t xml:space="preserve">treatment-related AEs </w:t>
      </w:r>
      <w:r w:rsidRPr="00C31183">
        <w:rPr>
          <w:lang w:eastAsia="ja-JP"/>
        </w:rPr>
        <w:t>compatible with possible QT prolongation is common at 3.5% (95% CI: 2.5, 4.8); 39/1106 patients.</w:t>
      </w:r>
    </w:p>
    <w:p w:rsidR="00CE4F74" w:rsidRPr="00C31183" w:rsidRDefault="00CE4F74" w:rsidP="009C55C1">
      <w:pPr>
        <w:pStyle w:val="Heading6"/>
        <w:numPr>
          <w:ilvl w:val="0"/>
          <w:numId w:val="0"/>
        </w:numPr>
        <w:ind w:left="1702" w:hanging="1418"/>
        <w:rPr>
          <w:lang w:eastAsia="ja-JP"/>
        </w:rPr>
      </w:pPr>
      <w:r w:rsidRPr="00C31183">
        <w:rPr>
          <w:lang w:eastAsia="ja-JP"/>
        </w:rPr>
        <w:t>(b)</w:t>
      </w:r>
      <w:r w:rsidRPr="00C31183">
        <w:rPr>
          <w:lang w:eastAsia="ja-JP"/>
        </w:rPr>
        <w:tab/>
        <w:t>All causality SAEs (</w:t>
      </w:r>
      <w:r>
        <w:rPr>
          <w:lang w:eastAsia="ja-JP"/>
        </w:rPr>
        <w:t>S</w:t>
      </w:r>
      <w:r w:rsidRPr="00C31183">
        <w:rPr>
          <w:lang w:eastAsia="ja-JP"/>
        </w:rPr>
        <w:t>tudies #1, #5, #7, #13, and #14)</w:t>
      </w:r>
    </w:p>
    <w:p w:rsidR="00CE4F74" w:rsidRPr="00C31183" w:rsidRDefault="00CE4F74" w:rsidP="009C55C1">
      <w:pPr>
        <w:rPr>
          <w:lang w:eastAsia="ja-JP"/>
        </w:rPr>
      </w:pPr>
      <w:r w:rsidRPr="00C31183">
        <w:rPr>
          <w:lang w:eastAsia="ja-JP"/>
        </w:rPr>
        <w:t xml:space="preserve">There were 20 (1.3%) SAEs considered to be potentially compatible with </w:t>
      </w:r>
      <w:proofErr w:type="spellStart"/>
      <w:r w:rsidRPr="00C31183">
        <w:rPr>
          <w:lang w:eastAsia="ja-JP"/>
        </w:rPr>
        <w:t>QTc</w:t>
      </w:r>
      <w:proofErr w:type="spellEnd"/>
      <w:r w:rsidRPr="00C31183">
        <w:rPr>
          <w:lang w:eastAsia="ja-JP"/>
        </w:rPr>
        <w:t xml:space="preserve"> prolongation in the pooled SAE database (n=1,600) – 12 events of syncope (11 </w:t>
      </w:r>
      <w:r>
        <w:rPr>
          <w:lang w:eastAsia="ja-JP"/>
        </w:rPr>
        <w:t>hospitalised</w:t>
      </w:r>
      <w:r w:rsidRPr="00C31183">
        <w:rPr>
          <w:lang w:eastAsia="ja-JP"/>
        </w:rPr>
        <w:t xml:space="preserve">, 10 recovered, 2 not recovered); 4 events of ECG QT prolonged (2 </w:t>
      </w:r>
      <w:r>
        <w:rPr>
          <w:lang w:eastAsia="ja-JP"/>
        </w:rPr>
        <w:t>hospitalised</w:t>
      </w:r>
      <w:r w:rsidRPr="00C31183">
        <w:rPr>
          <w:lang w:eastAsia="ja-JP"/>
        </w:rPr>
        <w:t xml:space="preserve">, 4 recovered); 2 events of cardiac arrest (1 </w:t>
      </w:r>
      <w:r>
        <w:rPr>
          <w:lang w:eastAsia="ja-JP"/>
        </w:rPr>
        <w:t>hospitalised</w:t>
      </w:r>
      <w:r w:rsidRPr="00C31183">
        <w:rPr>
          <w:lang w:eastAsia="ja-JP"/>
        </w:rPr>
        <w:t>, 1 not recovered, 1 fatal); 1 event of cardio</w:t>
      </w:r>
      <w:r>
        <w:rPr>
          <w:lang w:eastAsia="ja-JP"/>
        </w:rPr>
        <w:t>-</w:t>
      </w:r>
      <w:r w:rsidRPr="00C31183">
        <w:rPr>
          <w:lang w:eastAsia="ja-JP"/>
        </w:rPr>
        <w:t xml:space="preserve">respiratory </w:t>
      </w:r>
      <w:r w:rsidR="009C55C1">
        <w:rPr>
          <w:lang w:eastAsia="ja-JP"/>
        </w:rPr>
        <w:t>arrest (fatal); 1 sudden death.</w:t>
      </w:r>
    </w:p>
    <w:p w:rsidR="00CE4F74" w:rsidRPr="00C31183" w:rsidRDefault="009C55C1" w:rsidP="009C55C1">
      <w:pPr>
        <w:pStyle w:val="Heading6"/>
        <w:numPr>
          <w:ilvl w:val="0"/>
          <w:numId w:val="0"/>
        </w:numPr>
        <w:ind w:left="1702" w:hanging="1418"/>
        <w:rPr>
          <w:lang w:eastAsia="ja-JP"/>
        </w:rPr>
      </w:pPr>
      <w:r>
        <w:rPr>
          <w:lang w:eastAsia="ja-JP"/>
        </w:rPr>
        <w:t>(c)</w:t>
      </w:r>
      <w:r>
        <w:rPr>
          <w:lang w:eastAsia="ja-JP"/>
        </w:rPr>
        <w:tab/>
        <w:t>Preventability</w:t>
      </w:r>
    </w:p>
    <w:p w:rsidR="00CE4F74" w:rsidRPr="00C31183" w:rsidRDefault="00CE4F74" w:rsidP="009C55C1">
      <w:pPr>
        <w:rPr>
          <w:lang w:eastAsia="ja-JP"/>
        </w:rPr>
      </w:pPr>
      <w:r w:rsidRPr="00C31183">
        <w:rPr>
          <w:lang w:eastAsia="ja-JP"/>
        </w:rPr>
        <w:t xml:space="preserve">It is not known which patients may be at increased risk of developing symptomatic </w:t>
      </w:r>
      <w:proofErr w:type="spellStart"/>
      <w:r w:rsidRPr="00C31183">
        <w:rPr>
          <w:lang w:eastAsia="ja-JP"/>
        </w:rPr>
        <w:t>QTc</w:t>
      </w:r>
      <w:proofErr w:type="spellEnd"/>
      <w:r w:rsidRPr="00C31183">
        <w:rPr>
          <w:lang w:eastAsia="ja-JP"/>
        </w:rPr>
        <w:t xml:space="preserve"> prolongation during treatment with </w:t>
      </w:r>
      <w:proofErr w:type="spellStart"/>
      <w:r w:rsidRPr="00C31183">
        <w:rPr>
          <w:lang w:eastAsia="ja-JP"/>
        </w:rPr>
        <w:t>crizotinib</w:t>
      </w:r>
      <w:proofErr w:type="spellEnd"/>
      <w:r w:rsidRPr="00C31183">
        <w:rPr>
          <w:lang w:eastAsia="ja-JP"/>
        </w:rPr>
        <w:t xml:space="preserve">. There are no known specific preventive measures to reduce the incidence or decrease the severity of </w:t>
      </w:r>
      <w:proofErr w:type="spellStart"/>
      <w:r w:rsidRPr="00C31183">
        <w:rPr>
          <w:lang w:eastAsia="ja-JP"/>
        </w:rPr>
        <w:t>QTc</w:t>
      </w:r>
      <w:proofErr w:type="spellEnd"/>
      <w:r w:rsidRPr="00C31183">
        <w:rPr>
          <w:lang w:eastAsia="ja-JP"/>
        </w:rPr>
        <w:t xml:space="preserve"> prolongation in individual patients. However, dose reduction may be appropriate once the </w:t>
      </w:r>
      <w:proofErr w:type="spellStart"/>
      <w:r w:rsidRPr="00C31183">
        <w:rPr>
          <w:lang w:eastAsia="ja-JP"/>
        </w:rPr>
        <w:t>QTc</w:t>
      </w:r>
      <w:proofErr w:type="spellEnd"/>
      <w:r w:rsidRPr="00C31183">
        <w:rPr>
          <w:lang w:eastAsia="ja-JP"/>
        </w:rPr>
        <w:t xml:space="preserve"> prolongation has been identified. The sponsor proposes periodic on-treatment ECG and electrolyte monitoring and specifies particular actions to be undertaken if Grade 3 </w:t>
      </w:r>
      <w:proofErr w:type="spellStart"/>
      <w:r w:rsidRPr="00C31183">
        <w:rPr>
          <w:lang w:eastAsia="ja-JP"/>
        </w:rPr>
        <w:t>QTc</w:t>
      </w:r>
      <w:proofErr w:type="spellEnd"/>
      <w:r w:rsidRPr="00C31183">
        <w:rPr>
          <w:lang w:eastAsia="ja-JP"/>
        </w:rPr>
        <w:t xml:space="preserve"> prolongation occurs.</w:t>
      </w:r>
    </w:p>
    <w:p w:rsidR="00CE4F74" w:rsidRPr="00C31183" w:rsidRDefault="00CE4F74" w:rsidP="00483BE2">
      <w:pPr>
        <w:pStyle w:val="Heading5"/>
        <w:rPr>
          <w:lang w:eastAsia="ja-JP"/>
        </w:rPr>
      </w:pPr>
      <w:bookmarkStart w:id="143" w:name="_Toc228773412"/>
      <w:r w:rsidRPr="00C31183">
        <w:rPr>
          <w:lang w:eastAsia="ja-JP"/>
        </w:rPr>
        <w:t>Bradycardia</w:t>
      </w:r>
      <w:bookmarkEnd w:id="143"/>
    </w:p>
    <w:p w:rsidR="00CE4F74" w:rsidRPr="00C31183" w:rsidRDefault="00CE4F74" w:rsidP="00483BE2">
      <w:pPr>
        <w:pStyle w:val="Heading6"/>
        <w:numPr>
          <w:ilvl w:val="0"/>
          <w:numId w:val="0"/>
        </w:numPr>
        <w:ind w:left="1702" w:hanging="1418"/>
        <w:rPr>
          <w:lang w:eastAsia="ja-JP"/>
        </w:rPr>
      </w:pPr>
      <w:r>
        <w:rPr>
          <w:lang w:eastAsia="ja-JP"/>
        </w:rPr>
        <w:t>(</w:t>
      </w:r>
      <w:r w:rsidRPr="00C31183">
        <w:rPr>
          <w:lang w:eastAsia="ja-JP"/>
        </w:rPr>
        <w:t>a)</w:t>
      </w:r>
      <w:r w:rsidRPr="00C31183">
        <w:rPr>
          <w:lang w:eastAsia="ja-JP"/>
        </w:rPr>
        <w:tab/>
        <w:t xml:space="preserve">All </w:t>
      </w:r>
      <w:r w:rsidRPr="00483BE2">
        <w:t>causality</w:t>
      </w:r>
      <w:r w:rsidRPr="00C31183">
        <w:rPr>
          <w:lang w:eastAsia="ja-JP"/>
        </w:rPr>
        <w:t xml:space="preserve"> AEs (</w:t>
      </w:r>
      <w:r>
        <w:rPr>
          <w:lang w:eastAsia="ja-JP"/>
        </w:rPr>
        <w:t>S</w:t>
      </w:r>
      <w:r w:rsidR="009C55C1">
        <w:rPr>
          <w:lang w:eastAsia="ja-JP"/>
        </w:rPr>
        <w:t>tudies #5 and #7)</w:t>
      </w:r>
    </w:p>
    <w:p w:rsidR="00CE4F74" w:rsidRPr="00C31183" w:rsidRDefault="00CE4F74" w:rsidP="00483BE2">
      <w:pPr>
        <w:rPr>
          <w:lang w:eastAsia="ja-JP"/>
        </w:rPr>
      </w:pPr>
      <w:r w:rsidRPr="00C31183">
        <w:rPr>
          <w:lang w:eastAsia="ja-JP"/>
        </w:rPr>
        <w:t>There were 65 (5.9%) patients with AEs identified as compatible with bradycardia. These AEs (</w:t>
      </w:r>
      <w:proofErr w:type="spellStart"/>
      <w:r w:rsidRPr="00C31183">
        <w:rPr>
          <w:lang w:eastAsia="ja-JP"/>
        </w:rPr>
        <w:t>MedDRA</w:t>
      </w:r>
      <w:proofErr w:type="spellEnd"/>
      <w:r w:rsidRPr="00C31183">
        <w:rPr>
          <w:lang w:eastAsia="ja-JP"/>
        </w:rPr>
        <w:t xml:space="preserve"> preferred terms) were bradycardia (n=29, 2.6%), heart rate decreased (n=1, 0.1%) and sinus bradycardia (n=35, 3.2%). Of the 65 patients with bradycardia, 42 (3.8%) were reported as recovered and 23 (2.1%) were reported as not recovered</w:t>
      </w:r>
      <w:r>
        <w:rPr>
          <w:lang w:eastAsia="ja-JP"/>
        </w:rPr>
        <w:t xml:space="preserve"> </w:t>
      </w:r>
      <w:r w:rsidRPr="00C31183">
        <w:rPr>
          <w:lang w:eastAsia="ja-JP"/>
        </w:rPr>
        <w:t xml:space="preserve">(includes missing outcomes and unknown outcomes). There </w:t>
      </w:r>
      <w:proofErr w:type="gramStart"/>
      <w:r w:rsidRPr="00C31183">
        <w:rPr>
          <w:lang w:eastAsia="ja-JP"/>
        </w:rPr>
        <w:t>were</w:t>
      </w:r>
      <w:proofErr w:type="gramEnd"/>
      <w:r w:rsidRPr="00C31183">
        <w:rPr>
          <w:lang w:eastAsia="ja-JP"/>
        </w:rPr>
        <w:t xml:space="preserve"> no Grade 4 or 5 AEs.</w:t>
      </w:r>
    </w:p>
    <w:p w:rsidR="00CE4F74" w:rsidRPr="00C31183" w:rsidRDefault="00CE4F74" w:rsidP="00483BE2">
      <w:pPr>
        <w:rPr>
          <w:lang w:eastAsia="ja-JP"/>
        </w:rPr>
      </w:pPr>
      <w:r w:rsidRPr="00C31183">
        <w:rPr>
          <w:lang w:eastAsia="ja-JP"/>
        </w:rPr>
        <w:t xml:space="preserve">There were two AEs considered to be compatible with bradycardia occurring in </w:t>
      </w:r>
      <w:r>
        <w:rPr>
          <w:lang w:eastAsia="ja-JP"/>
        </w:rPr>
        <w:t>≥</w:t>
      </w:r>
      <w:r w:rsidRPr="00C31183">
        <w:rPr>
          <w:lang w:eastAsia="ja-JP"/>
        </w:rPr>
        <w:t xml:space="preserve"> 2% of patients (bradycardia and sinus bradycardia). </w:t>
      </w:r>
      <w:r w:rsidRPr="00C31183">
        <w:rPr>
          <w:b/>
          <w:i/>
          <w:lang w:eastAsia="ja-JP"/>
        </w:rPr>
        <w:t>Bradycardia (</w:t>
      </w:r>
      <w:proofErr w:type="spellStart"/>
      <w:r w:rsidRPr="00C31183">
        <w:rPr>
          <w:b/>
          <w:i/>
          <w:lang w:eastAsia="ja-JP"/>
        </w:rPr>
        <w:t>MedDRA</w:t>
      </w:r>
      <w:proofErr w:type="spellEnd"/>
      <w:r w:rsidRPr="00C31183">
        <w:rPr>
          <w:b/>
          <w:i/>
          <w:lang w:eastAsia="ja-JP"/>
        </w:rPr>
        <w:t xml:space="preserve"> preferred term)</w:t>
      </w:r>
      <w:r w:rsidRPr="00C31183">
        <w:rPr>
          <w:lang w:eastAsia="ja-JP"/>
        </w:rPr>
        <w:t xml:space="preserve"> occurred in 29 (2.6%) patients, including 28 (2.6%) with Grade 1 or 2 events and 1 (0.1%) with a Grade 3 event. </w:t>
      </w:r>
      <w:r w:rsidRPr="00C31183">
        <w:rPr>
          <w:b/>
          <w:lang w:eastAsia="ja-JP"/>
        </w:rPr>
        <w:t>Sinus bradycardia (</w:t>
      </w:r>
      <w:proofErr w:type="spellStart"/>
      <w:r w:rsidRPr="00C31183">
        <w:rPr>
          <w:b/>
          <w:lang w:eastAsia="ja-JP"/>
        </w:rPr>
        <w:t>MedDRA</w:t>
      </w:r>
      <w:proofErr w:type="spellEnd"/>
      <w:r w:rsidRPr="00C31183">
        <w:rPr>
          <w:b/>
          <w:lang w:eastAsia="ja-JP"/>
        </w:rPr>
        <w:t xml:space="preserve"> preferred term)</w:t>
      </w:r>
      <w:r w:rsidRPr="00C31183">
        <w:rPr>
          <w:lang w:eastAsia="ja-JP"/>
        </w:rPr>
        <w:t xml:space="preserve"> occurred in 35 (3.2%) patients, including 34 (3.1%) with Grade 1 or 2 events and 1 (0.1%) with a Gra</w:t>
      </w:r>
      <w:r w:rsidR="00483BE2">
        <w:rPr>
          <w:lang w:eastAsia="ja-JP"/>
        </w:rPr>
        <w:t>de 3 event.</w:t>
      </w:r>
    </w:p>
    <w:p w:rsidR="00CE4F74" w:rsidRPr="00C31183" w:rsidRDefault="00CE4F74" w:rsidP="00483BE2">
      <w:pPr>
        <w:rPr>
          <w:lang w:eastAsia="ja-JP"/>
        </w:rPr>
      </w:pPr>
      <w:r w:rsidRPr="00C31183">
        <w:rPr>
          <w:lang w:eastAsia="ja-JP"/>
        </w:rPr>
        <w:t xml:space="preserve">The frequency of </w:t>
      </w:r>
      <w:r w:rsidRPr="00C31183">
        <w:rPr>
          <w:b/>
          <w:i/>
          <w:lang w:eastAsia="ja-JP"/>
        </w:rPr>
        <w:t xml:space="preserve">treatment-related AEs </w:t>
      </w:r>
      <w:r w:rsidRPr="00C31183">
        <w:rPr>
          <w:lang w:eastAsia="ja-JP"/>
        </w:rPr>
        <w:t>compatible with possible bradycardia is common at 5.1% (95% C</w:t>
      </w:r>
      <w:r w:rsidR="00483BE2">
        <w:rPr>
          <w:lang w:eastAsia="ja-JP"/>
        </w:rPr>
        <w:t>I: 3.9, 6.5); 56/1106 patients.</w:t>
      </w:r>
    </w:p>
    <w:p w:rsidR="00CE4F74" w:rsidRPr="00C31183" w:rsidRDefault="00CE4F74" w:rsidP="00483BE2">
      <w:pPr>
        <w:pStyle w:val="Heading6"/>
        <w:numPr>
          <w:ilvl w:val="0"/>
          <w:numId w:val="0"/>
        </w:numPr>
        <w:ind w:left="1702" w:hanging="1418"/>
        <w:rPr>
          <w:lang w:eastAsia="ja-JP"/>
        </w:rPr>
      </w:pPr>
      <w:r w:rsidRPr="00C31183">
        <w:rPr>
          <w:lang w:eastAsia="ja-JP"/>
        </w:rPr>
        <w:t>(b)</w:t>
      </w:r>
      <w:r w:rsidRPr="00C31183">
        <w:rPr>
          <w:lang w:eastAsia="ja-JP"/>
        </w:rPr>
        <w:tab/>
        <w:t>All causality SAEs (</w:t>
      </w:r>
      <w:r>
        <w:rPr>
          <w:lang w:eastAsia="ja-JP"/>
        </w:rPr>
        <w:t>S</w:t>
      </w:r>
      <w:r w:rsidRPr="00C31183">
        <w:rPr>
          <w:lang w:eastAsia="ja-JP"/>
        </w:rPr>
        <w:t>tudies #1, #5, #7, #13, and #14)</w:t>
      </w:r>
    </w:p>
    <w:p w:rsidR="00CE4F74" w:rsidRPr="00C31183" w:rsidRDefault="00CE4F74" w:rsidP="00483BE2">
      <w:pPr>
        <w:rPr>
          <w:lang w:eastAsia="ja-JP"/>
        </w:rPr>
      </w:pPr>
      <w:r w:rsidRPr="00C31183">
        <w:rPr>
          <w:lang w:eastAsia="ja-JP"/>
        </w:rPr>
        <w:t xml:space="preserve">There were 2 (0.1%) SAEs (all causality) considered to be potentially compatible with bradycardia in the pooled SAE database (n=1,600) - 2 bradycardia (2 </w:t>
      </w:r>
      <w:r>
        <w:rPr>
          <w:lang w:eastAsia="ja-JP"/>
        </w:rPr>
        <w:t>hospitalised</w:t>
      </w:r>
      <w:r w:rsidR="00483BE2">
        <w:rPr>
          <w:lang w:eastAsia="ja-JP"/>
        </w:rPr>
        <w:t xml:space="preserve"> and 2 recovered).</w:t>
      </w:r>
    </w:p>
    <w:p w:rsidR="00CE4F74" w:rsidRPr="00C31183" w:rsidRDefault="00483BE2" w:rsidP="00483BE2">
      <w:pPr>
        <w:pStyle w:val="Heading6"/>
        <w:numPr>
          <w:ilvl w:val="0"/>
          <w:numId w:val="0"/>
        </w:numPr>
        <w:ind w:left="1702" w:hanging="1418"/>
        <w:rPr>
          <w:lang w:eastAsia="ja-JP"/>
        </w:rPr>
      </w:pPr>
      <w:r>
        <w:rPr>
          <w:lang w:eastAsia="ja-JP"/>
        </w:rPr>
        <w:lastRenderedPageBreak/>
        <w:t>(c)</w:t>
      </w:r>
      <w:r>
        <w:rPr>
          <w:lang w:eastAsia="ja-JP"/>
        </w:rPr>
        <w:tab/>
        <w:t>Preventability</w:t>
      </w:r>
    </w:p>
    <w:p w:rsidR="00CE4F74" w:rsidRPr="00483BE2" w:rsidRDefault="00CE4F74" w:rsidP="00483BE2">
      <w:r w:rsidRPr="00C31183">
        <w:rPr>
          <w:lang w:eastAsia="ja-JP"/>
        </w:rPr>
        <w:t xml:space="preserve">It is not known which patients may be at increased risk of developing bradycardia during treatment with </w:t>
      </w:r>
      <w:proofErr w:type="spellStart"/>
      <w:r w:rsidRPr="00C31183">
        <w:rPr>
          <w:lang w:eastAsia="ja-JP"/>
        </w:rPr>
        <w:t>crizotinib</w:t>
      </w:r>
      <w:proofErr w:type="spellEnd"/>
      <w:r w:rsidRPr="00C31183">
        <w:rPr>
          <w:lang w:eastAsia="ja-JP"/>
        </w:rPr>
        <w:t>. There are no known preventive measures to reduce the incidence or severity of these disorders.</w:t>
      </w:r>
    </w:p>
    <w:p w:rsidR="00CE4F74" w:rsidRPr="00C31183" w:rsidRDefault="00CE4F74" w:rsidP="00483BE2">
      <w:pPr>
        <w:pStyle w:val="Heading5"/>
        <w:rPr>
          <w:lang w:eastAsia="ja-JP"/>
        </w:rPr>
      </w:pPr>
      <w:bookmarkStart w:id="144" w:name="_Toc228773413"/>
      <w:r w:rsidRPr="00C31183">
        <w:rPr>
          <w:lang w:eastAsia="ja-JP"/>
        </w:rPr>
        <w:t xml:space="preserve">Vision </w:t>
      </w:r>
      <w:r w:rsidR="00483BE2" w:rsidRPr="00483BE2">
        <w:t>d</w:t>
      </w:r>
      <w:r w:rsidRPr="00483BE2">
        <w:t>isorder</w:t>
      </w:r>
      <w:bookmarkEnd w:id="144"/>
    </w:p>
    <w:p w:rsidR="00CE4F74" w:rsidRPr="00C31183" w:rsidRDefault="00CE4F74" w:rsidP="00483BE2">
      <w:pPr>
        <w:pStyle w:val="Heading6"/>
        <w:numPr>
          <w:ilvl w:val="0"/>
          <w:numId w:val="0"/>
        </w:numPr>
        <w:ind w:left="1702" w:hanging="1418"/>
        <w:rPr>
          <w:lang w:eastAsia="ja-JP"/>
        </w:rPr>
      </w:pPr>
      <w:r>
        <w:rPr>
          <w:lang w:eastAsia="ja-JP"/>
        </w:rPr>
        <w:t>(</w:t>
      </w:r>
      <w:r w:rsidRPr="00C31183">
        <w:rPr>
          <w:lang w:eastAsia="ja-JP"/>
        </w:rPr>
        <w:t>a)</w:t>
      </w:r>
      <w:r>
        <w:rPr>
          <w:lang w:eastAsia="ja-JP"/>
        </w:rPr>
        <w:tab/>
        <w:t xml:space="preserve">All </w:t>
      </w:r>
      <w:r w:rsidRPr="00483BE2">
        <w:t>causality</w:t>
      </w:r>
      <w:r>
        <w:rPr>
          <w:lang w:eastAsia="ja-JP"/>
        </w:rPr>
        <w:t xml:space="preserve"> AEs (S</w:t>
      </w:r>
      <w:r w:rsidR="00483BE2">
        <w:rPr>
          <w:lang w:eastAsia="ja-JP"/>
        </w:rPr>
        <w:t>tudies #5 and #7)</w:t>
      </w:r>
    </w:p>
    <w:p w:rsidR="00CE4F74" w:rsidRPr="00C31183" w:rsidRDefault="00CE4F74" w:rsidP="00483BE2">
      <w:pPr>
        <w:rPr>
          <w:lang w:eastAsia="ja-JP"/>
        </w:rPr>
      </w:pPr>
      <w:r w:rsidRPr="00C31183">
        <w:rPr>
          <w:lang w:eastAsia="ja-JP"/>
        </w:rPr>
        <w:t>There were 634 (57.3%) patients with AEs compatible with vision disorder.</w:t>
      </w:r>
      <w:r w:rsidRPr="00905072">
        <w:rPr>
          <w:rFonts w:ascii="Times New Roman" w:hAnsi="Times New Roman"/>
        </w:rPr>
        <w:t xml:space="preserve"> </w:t>
      </w:r>
      <w:r w:rsidRPr="00143CC0">
        <w:rPr>
          <w:lang w:eastAsia="ja-JP"/>
        </w:rPr>
        <w:t>Of the 634 patients with AEs compatible with vision disorder, 301 (27.2%) were reported as recovered and 333 (30.1%) were reported as not recovered. Nearly all vision disorders were Grade 1 or 2 in severity (n=627, 98.9%), with 5 (0.5%) events being Grade 3 and 2 (0.2%) even</w:t>
      </w:r>
      <w:r w:rsidRPr="00C31183">
        <w:rPr>
          <w:lang w:eastAsia="ja-JP"/>
        </w:rPr>
        <w:t>t being Grad</w:t>
      </w:r>
      <w:r w:rsidR="00483BE2">
        <w:rPr>
          <w:lang w:eastAsia="ja-JP"/>
        </w:rPr>
        <w:t>e 4. There were no Grade 5 AEs.</w:t>
      </w:r>
    </w:p>
    <w:p w:rsidR="00CE4F74" w:rsidRPr="00143CC0" w:rsidRDefault="00CE4F74" w:rsidP="00483BE2">
      <w:pPr>
        <w:rPr>
          <w:lang w:eastAsia="ja-JP"/>
        </w:rPr>
      </w:pPr>
      <w:r w:rsidRPr="00C31183">
        <w:rPr>
          <w:lang w:eastAsia="ja-JP"/>
        </w:rPr>
        <w:t xml:space="preserve">There were four AEs considered to be compatible with vision disorders occurring in </w:t>
      </w:r>
      <w:r>
        <w:rPr>
          <w:lang w:eastAsia="ja-JP"/>
        </w:rPr>
        <w:t>≥</w:t>
      </w:r>
      <w:r w:rsidRPr="00C31183">
        <w:rPr>
          <w:lang w:eastAsia="ja-JP"/>
        </w:rPr>
        <w:t xml:space="preserve"> 2% of patients (visual impairment, </w:t>
      </w:r>
      <w:proofErr w:type="spellStart"/>
      <w:r w:rsidRPr="00C31183">
        <w:rPr>
          <w:lang w:eastAsia="ja-JP"/>
        </w:rPr>
        <w:t>photopsia</w:t>
      </w:r>
      <w:proofErr w:type="spellEnd"/>
      <w:r w:rsidRPr="00C31183">
        <w:rPr>
          <w:lang w:eastAsia="ja-JP"/>
        </w:rPr>
        <w:t xml:space="preserve">, vision blurred, and vitreous floaters). </w:t>
      </w:r>
      <w:r w:rsidRPr="00C31183">
        <w:rPr>
          <w:b/>
          <w:i/>
          <w:lang w:eastAsia="ja-JP"/>
        </w:rPr>
        <w:t xml:space="preserve">Visual impairment </w:t>
      </w:r>
      <w:r w:rsidRPr="00C31183">
        <w:rPr>
          <w:lang w:eastAsia="ja-JP"/>
        </w:rPr>
        <w:t>occurred in 458 (41.4%) patients including 442 (40.0%) with Grade 1 events, 13 (1.2%) with Grade 2 events, and 3 (0.3%) with Grade 3 events.</w:t>
      </w:r>
      <w:r>
        <w:rPr>
          <w:lang w:eastAsia="ja-JP"/>
        </w:rPr>
        <w:t xml:space="preserve"> </w:t>
      </w:r>
      <w:proofErr w:type="spellStart"/>
      <w:r w:rsidRPr="00143CC0">
        <w:rPr>
          <w:b/>
          <w:i/>
          <w:lang w:eastAsia="ja-JP"/>
        </w:rPr>
        <w:t>Photopsia</w:t>
      </w:r>
      <w:proofErr w:type="spellEnd"/>
      <w:r w:rsidRPr="00143CC0">
        <w:rPr>
          <w:lang w:eastAsia="ja-JP"/>
        </w:rPr>
        <w:t xml:space="preserve"> occurred in 97 (8.8%) patients including 94 (8.5%) with Grade 1 events and 3 (0.3%) with Grade 2 events. </w:t>
      </w:r>
      <w:r w:rsidRPr="00143CC0">
        <w:rPr>
          <w:b/>
          <w:i/>
          <w:lang w:eastAsia="ja-JP"/>
        </w:rPr>
        <w:t>Vision blurred</w:t>
      </w:r>
      <w:r w:rsidRPr="00143CC0">
        <w:rPr>
          <w:lang w:eastAsia="ja-JP"/>
        </w:rPr>
        <w:t xml:space="preserve"> occurred in 62 (5.6%)</w:t>
      </w:r>
      <w:r>
        <w:rPr>
          <w:lang w:eastAsia="ja-JP"/>
        </w:rPr>
        <w:t xml:space="preserve"> </w:t>
      </w:r>
      <w:r w:rsidRPr="00143CC0">
        <w:rPr>
          <w:lang w:eastAsia="ja-JP"/>
        </w:rPr>
        <w:t>patients including 50 (4.5%) with Grade 1 events, 11 (1.0%) with Grade 2 events, and 1 (0.1%) with a Grade 3 event.</w:t>
      </w:r>
      <w:r>
        <w:rPr>
          <w:lang w:eastAsia="ja-JP"/>
        </w:rPr>
        <w:t xml:space="preserve"> </w:t>
      </w:r>
      <w:r w:rsidRPr="00143CC0">
        <w:rPr>
          <w:b/>
          <w:i/>
          <w:lang w:eastAsia="ja-JP"/>
        </w:rPr>
        <w:t>Vitreous floaters</w:t>
      </w:r>
      <w:r w:rsidRPr="00143CC0">
        <w:rPr>
          <w:lang w:eastAsia="ja-JP"/>
        </w:rPr>
        <w:t xml:space="preserve"> occurred in 38 (3.4%) of patients and all were Grade 1 events</w:t>
      </w:r>
      <w:r>
        <w:rPr>
          <w:lang w:eastAsia="ja-JP"/>
        </w:rPr>
        <w:t>.</w:t>
      </w:r>
    </w:p>
    <w:p w:rsidR="00CE4F74" w:rsidRPr="00C31183" w:rsidRDefault="00CE4F74" w:rsidP="00483BE2">
      <w:pPr>
        <w:rPr>
          <w:lang w:eastAsia="ja-JP"/>
        </w:rPr>
      </w:pPr>
      <w:r w:rsidRPr="00C31183">
        <w:rPr>
          <w:lang w:eastAsia="ja-JP"/>
        </w:rPr>
        <w:t xml:space="preserve">The frequency of </w:t>
      </w:r>
      <w:r w:rsidRPr="00C31183">
        <w:rPr>
          <w:b/>
          <w:i/>
          <w:lang w:eastAsia="ja-JP"/>
        </w:rPr>
        <w:t>possible treatment-related vision disorder</w:t>
      </w:r>
      <w:r w:rsidRPr="00C31183">
        <w:rPr>
          <w:lang w:eastAsia="ja-JP"/>
        </w:rPr>
        <w:t xml:space="preserve"> is very common at 55.2% (95% CI: 52</w:t>
      </w:r>
      <w:r w:rsidR="00483BE2">
        <w:rPr>
          <w:lang w:eastAsia="ja-JP"/>
        </w:rPr>
        <w:t>.17, 58.11); 610/1106 patients.</w:t>
      </w:r>
    </w:p>
    <w:p w:rsidR="00CE4F74" w:rsidRPr="00C31183" w:rsidRDefault="00CE4F74" w:rsidP="00483BE2">
      <w:pPr>
        <w:pStyle w:val="Heading6"/>
        <w:numPr>
          <w:ilvl w:val="0"/>
          <w:numId w:val="0"/>
        </w:numPr>
        <w:ind w:left="1702" w:hanging="1418"/>
        <w:rPr>
          <w:lang w:eastAsia="ja-JP"/>
        </w:rPr>
      </w:pPr>
      <w:r w:rsidRPr="00C31183">
        <w:rPr>
          <w:lang w:eastAsia="ja-JP"/>
        </w:rPr>
        <w:t>(b)</w:t>
      </w:r>
      <w:r w:rsidRPr="00C31183">
        <w:rPr>
          <w:lang w:eastAsia="ja-JP"/>
        </w:rPr>
        <w:tab/>
        <w:t>All causality SAEs (</w:t>
      </w:r>
      <w:r>
        <w:rPr>
          <w:lang w:eastAsia="ja-JP"/>
        </w:rPr>
        <w:t>S</w:t>
      </w:r>
      <w:r w:rsidRPr="00C31183">
        <w:rPr>
          <w:lang w:eastAsia="ja-JP"/>
        </w:rPr>
        <w:t>tudies #1, #5, #7, #13, and #14)</w:t>
      </w:r>
    </w:p>
    <w:p w:rsidR="00CE4F74" w:rsidRPr="00C31183" w:rsidRDefault="00CE4F74" w:rsidP="00483BE2">
      <w:pPr>
        <w:rPr>
          <w:lang w:eastAsia="ja-JP"/>
        </w:rPr>
      </w:pPr>
      <w:r w:rsidRPr="00C31183">
        <w:rPr>
          <w:lang w:eastAsia="ja-JP"/>
        </w:rPr>
        <w:t>There were 4 (0.3%) SAEs (all causality) considered to be compatible with vision disorder in the pooled SAE database (n=1,600) – 1 retinal detachment (</w:t>
      </w:r>
      <w:r>
        <w:rPr>
          <w:lang w:eastAsia="ja-JP"/>
        </w:rPr>
        <w:t>hospitalised</w:t>
      </w:r>
      <w:r w:rsidRPr="00C31183">
        <w:rPr>
          <w:lang w:eastAsia="ja-JP"/>
        </w:rPr>
        <w:t xml:space="preserve"> and recovered); 1 blurred vision (</w:t>
      </w:r>
      <w:r>
        <w:rPr>
          <w:lang w:eastAsia="ja-JP"/>
        </w:rPr>
        <w:t>hospitalised</w:t>
      </w:r>
      <w:r w:rsidRPr="00C31183">
        <w:rPr>
          <w:lang w:eastAsia="ja-JP"/>
        </w:rPr>
        <w:t>, not recovered); 1 visual acuity reduced (</w:t>
      </w:r>
      <w:r>
        <w:rPr>
          <w:lang w:eastAsia="ja-JP"/>
        </w:rPr>
        <w:t>hospitalised</w:t>
      </w:r>
      <w:r w:rsidRPr="00C31183">
        <w:rPr>
          <w:lang w:eastAsia="ja-JP"/>
        </w:rPr>
        <w:t>, recovered); and 1 vitreous haemorrhage (</w:t>
      </w:r>
      <w:r>
        <w:rPr>
          <w:lang w:eastAsia="ja-JP"/>
        </w:rPr>
        <w:t>hospitalised</w:t>
      </w:r>
      <w:r w:rsidR="00483BE2">
        <w:rPr>
          <w:lang w:eastAsia="ja-JP"/>
        </w:rPr>
        <w:t>, recovered).</w:t>
      </w:r>
    </w:p>
    <w:p w:rsidR="00CE4F74" w:rsidRPr="00C31183" w:rsidRDefault="00483BE2" w:rsidP="00483BE2">
      <w:pPr>
        <w:pStyle w:val="Heading6"/>
        <w:numPr>
          <w:ilvl w:val="0"/>
          <w:numId w:val="0"/>
        </w:numPr>
        <w:ind w:left="1702" w:hanging="1418"/>
        <w:rPr>
          <w:lang w:eastAsia="ja-JP"/>
        </w:rPr>
      </w:pPr>
      <w:r>
        <w:rPr>
          <w:lang w:eastAsia="ja-JP"/>
        </w:rPr>
        <w:t>(c)</w:t>
      </w:r>
      <w:r>
        <w:rPr>
          <w:lang w:eastAsia="ja-JP"/>
        </w:rPr>
        <w:tab/>
        <w:t>Preventability</w:t>
      </w:r>
    </w:p>
    <w:p w:rsidR="00CE4F74" w:rsidRPr="00C31183" w:rsidRDefault="00CE4F74" w:rsidP="00483BE2">
      <w:pPr>
        <w:rPr>
          <w:lang w:eastAsia="ja-JP"/>
        </w:rPr>
      </w:pPr>
      <w:r w:rsidRPr="00C31183">
        <w:rPr>
          <w:lang w:eastAsia="ja-JP"/>
        </w:rPr>
        <w:t xml:space="preserve">It is not known which patients may be at increased risk of developing vision disorders during treatment with </w:t>
      </w:r>
      <w:proofErr w:type="spellStart"/>
      <w:r w:rsidRPr="00C31183">
        <w:rPr>
          <w:lang w:eastAsia="ja-JP"/>
        </w:rPr>
        <w:t>crizotinib</w:t>
      </w:r>
      <w:proofErr w:type="spellEnd"/>
      <w:r w:rsidRPr="00C31183">
        <w:rPr>
          <w:lang w:eastAsia="ja-JP"/>
        </w:rPr>
        <w:t xml:space="preserve">. There are no known preventive measures to reduce the incidence </w:t>
      </w:r>
      <w:r w:rsidR="00483BE2">
        <w:rPr>
          <w:lang w:eastAsia="ja-JP"/>
        </w:rPr>
        <w:t>of severity of these disorders.</w:t>
      </w:r>
    </w:p>
    <w:p w:rsidR="00CE4F74" w:rsidRPr="00C31183" w:rsidRDefault="00CE4F74" w:rsidP="00483BE2">
      <w:pPr>
        <w:pStyle w:val="Heading5"/>
        <w:rPr>
          <w:lang w:eastAsia="ja-JP"/>
        </w:rPr>
      </w:pPr>
      <w:bookmarkStart w:id="145" w:name="_Toc228773414"/>
      <w:r w:rsidRPr="00C31183">
        <w:rPr>
          <w:lang w:eastAsia="ja-JP"/>
        </w:rPr>
        <w:t xml:space="preserve">Renal </w:t>
      </w:r>
      <w:r w:rsidR="00483BE2">
        <w:rPr>
          <w:lang w:eastAsia="ja-JP"/>
        </w:rPr>
        <w:t>c</w:t>
      </w:r>
      <w:r w:rsidRPr="00C31183">
        <w:rPr>
          <w:lang w:eastAsia="ja-JP"/>
        </w:rPr>
        <w:t>yst</w:t>
      </w:r>
      <w:bookmarkEnd w:id="145"/>
    </w:p>
    <w:p w:rsidR="00CE4F74" w:rsidRPr="00C31183" w:rsidRDefault="00CE4F74" w:rsidP="00483BE2">
      <w:pPr>
        <w:pStyle w:val="Heading6"/>
        <w:numPr>
          <w:ilvl w:val="0"/>
          <w:numId w:val="0"/>
        </w:numPr>
        <w:ind w:left="1702" w:hanging="1418"/>
        <w:rPr>
          <w:lang w:eastAsia="ja-JP"/>
        </w:rPr>
      </w:pPr>
      <w:r>
        <w:rPr>
          <w:lang w:eastAsia="ja-JP"/>
        </w:rPr>
        <w:t>(</w:t>
      </w:r>
      <w:r w:rsidRPr="00C31183">
        <w:rPr>
          <w:lang w:eastAsia="ja-JP"/>
        </w:rPr>
        <w:t>a)</w:t>
      </w:r>
      <w:r>
        <w:rPr>
          <w:lang w:eastAsia="ja-JP"/>
        </w:rPr>
        <w:tab/>
        <w:t>All causality AEs (S</w:t>
      </w:r>
      <w:r w:rsidR="00483BE2">
        <w:rPr>
          <w:lang w:eastAsia="ja-JP"/>
        </w:rPr>
        <w:t>tudies #5 and #7)</w:t>
      </w:r>
    </w:p>
    <w:p w:rsidR="00CE4F74" w:rsidRPr="00C31183" w:rsidRDefault="00CE4F74" w:rsidP="00483BE2">
      <w:pPr>
        <w:rPr>
          <w:lang w:eastAsia="ja-JP"/>
        </w:rPr>
      </w:pPr>
      <w:r w:rsidRPr="00C31183">
        <w:rPr>
          <w:lang w:eastAsia="ja-JP"/>
        </w:rPr>
        <w:t xml:space="preserve">There were 19 (1.7%) patients with AEs compatible with renal cyst, including 15 (1.4%) with Grade 1 events; 3 (0.3%) with Grade 2 events; and 1 (0.1%) with a Grade 3 event. There were no Grade 5 AEs. Of the 19 patients with AEs compatible with renal cyst, 3 (0.3%) were reported as recovered and 16 (1.5%) were reported as not recovered. The frequency of </w:t>
      </w:r>
      <w:r w:rsidRPr="00C31183">
        <w:rPr>
          <w:b/>
          <w:i/>
          <w:lang w:eastAsia="ja-JP"/>
        </w:rPr>
        <w:t xml:space="preserve">treatment-related </w:t>
      </w:r>
      <w:r w:rsidRPr="00C31183">
        <w:rPr>
          <w:lang w:eastAsia="ja-JP"/>
        </w:rPr>
        <w:t>AEs</w:t>
      </w:r>
      <w:r w:rsidRPr="00C31183">
        <w:rPr>
          <w:i/>
          <w:lang w:eastAsia="ja-JP"/>
        </w:rPr>
        <w:t xml:space="preserve"> </w:t>
      </w:r>
      <w:r w:rsidRPr="00C31183">
        <w:rPr>
          <w:lang w:eastAsia="ja-JP"/>
        </w:rPr>
        <w:t>compatible with possible renal cyst is common at 1.6% (95% CI:</w:t>
      </w:r>
      <w:r w:rsidR="00483BE2">
        <w:rPr>
          <w:lang w:eastAsia="ja-JP"/>
        </w:rPr>
        <w:t xml:space="preserve"> 0.97, 2.56); 18/1106 patients.</w:t>
      </w:r>
    </w:p>
    <w:p w:rsidR="00CE4F74" w:rsidRPr="00C31183" w:rsidRDefault="00CE4F74" w:rsidP="00483BE2">
      <w:pPr>
        <w:pStyle w:val="Heading6"/>
        <w:numPr>
          <w:ilvl w:val="0"/>
          <w:numId w:val="0"/>
        </w:numPr>
        <w:ind w:left="1702" w:hanging="1418"/>
        <w:rPr>
          <w:lang w:eastAsia="ja-JP"/>
        </w:rPr>
      </w:pPr>
      <w:r w:rsidRPr="00C31183">
        <w:rPr>
          <w:lang w:eastAsia="ja-JP"/>
        </w:rPr>
        <w:t>(b)</w:t>
      </w:r>
      <w:r w:rsidRPr="00C31183">
        <w:rPr>
          <w:lang w:eastAsia="ja-JP"/>
        </w:rPr>
        <w:tab/>
        <w:t>All causality SAEs (</w:t>
      </w:r>
      <w:r>
        <w:rPr>
          <w:lang w:eastAsia="ja-JP"/>
        </w:rPr>
        <w:t>S</w:t>
      </w:r>
      <w:r w:rsidRPr="00C31183">
        <w:rPr>
          <w:lang w:eastAsia="ja-JP"/>
        </w:rPr>
        <w:t>tudies #1, #5, #7, #13, and #14)</w:t>
      </w:r>
    </w:p>
    <w:p w:rsidR="00CE4F74" w:rsidRPr="00C31183" w:rsidRDefault="00CE4F74" w:rsidP="00483BE2">
      <w:pPr>
        <w:rPr>
          <w:lang w:eastAsia="ja-JP"/>
        </w:rPr>
      </w:pPr>
      <w:r w:rsidRPr="00C31183">
        <w:rPr>
          <w:lang w:eastAsia="ja-JP"/>
        </w:rPr>
        <w:t xml:space="preserve">There were 17 (1.1%) SAEs in the pooled SAE database (n=1,600) – 15 renal cyst (5 </w:t>
      </w:r>
      <w:r>
        <w:rPr>
          <w:lang w:eastAsia="ja-JP"/>
        </w:rPr>
        <w:t>hospitalised</w:t>
      </w:r>
      <w:r w:rsidRPr="00C31183">
        <w:rPr>
          <w:lang w:eastAsia="ja-JP"/>
        </w:rPr>
        <w:t>, 2 recovered, 13 not recovered); 1 renal abscess (</w:t>
      </w:r>
      <w:r>
        <w:rPr>
          <w:lang w:eastAsia="ja-JP"/>
        </w:rPr>
        <w:t>hospitalised</w:t>
      </w:r>
      <w:r w:rsidRPr="00C31183">
        <w:rPr>
          <w:lang w:eastAsia="ja-JP"/>
        </w:rPr>
        <w:t>, recovered); and 1 renal haematoma (</w:t>
      </w:r>
      <w:r>
        <w:rPr>
          <w:lang w:eastAsia="ja-JP"/>
        </w:rPr>
        <w:t>hospitalised</w:t>
      </w:r>
      <w:r w:rsidR="00483BE2">
        <w:rPr>
          <w:lang w:eastAsia="ja-JP"/>
        </w:rPr>
        <w:t>, recovered).</w:t>
      </w:r>
    </w:p>
    <w:p w:rsidR="00CE4F74" w:rsidRPr="00C31183" w:rsidRDefault="00483BE2" w:rsidP="00483BE2">
      <w:pPr>
        <w:pStyle w:val="Heading6"/>
        <w:numPr>
          <w:ilvl w:val="0"/>
          <w:numId w:val="0"/>
        </w:numPr>
        <w:ind w:left="1702" w:hanging="1418"/>
        <w:rPr>
          <w:lang w:eastAsia="ja-JP"/>
        </w:rPr>
      </w:pPr>
      <w:r>
        <w:rPr>
          <w:lang w:eastAsia="ja-JP"/>
        </w:rPr>
        <w:t>(c)</w:t>
      </w:r>
      <w:r>
        <w:rPr>
          <w:lang w:eastAsia="ja-JP"/>
        </w:rPr>
        <w:tab/>
        <w:t>Preventability</w:t>
      </w:r>
    </w:p>
    <w:p w:rsidR="00CE4F74" w:rsidRPr="00C31183" w:rsidRDefault="00CE4F74" w:rsidP="00483BE2">
      <w:pPr>
        <w:rPr>
          <w:lang w:eastAsia="ja-JP"/>
        </w:rPr>
      </w:pPr>
      <w:r w:rsidRPr="00C31183">
        <w:rPr>
          <w:lang w:eastAsia="ja-JP"/>
        </w:rPr>
        <w:t>It is not known how the development of renal cysts in patients treated wi</w:t>
      </w:r>
      <w:r w:rsidR="00483BE2">
        <w:rPr>
          <w:lang w:eastAsia="ja-JP"/>
        </w:rPr>
        <w:t xml:space="preserve">th </w:t>
      </w:r>
      <w:proofErr w:type="spellStart"/>
      <w:r w:rsidR="00483BE2">
        <w:rPr>
          <w:lang w:eastAsia="ja-JP"/>
        </w:rPr>
        <w:t>crizotinib</w:t>
      </w:r>
      <w:proofErr w:type="spellEnd"/>
      <w:r w:rsidR="00483BE2">
        <w:rPr>
          <w:lang w:eastAsia="ja-JP"/>
        </w:rPr>
        <w:t xml:space="preserve"> can be prevented.</w:t>
      </w:r>
    </w:p>
    <w:p w:rsidR="00CE4F74" w:rsidRPr="00C31183" w:rsidRDefault="00CE4F74" w:rsidP="00483BE2">
      <w:pPr>
        <w:pStyle w:val="Heading5"/>
        <w:rPr>
          <w:lang w:eastAsia="ja-JP"/>
        </w:rPr>
      </w:pPr>
      <w:bookmarkStart w:id="146" w:name="_Toc228773415"/>
      <w:r w:rsidRPr="00C31183">
        <w:rPr>
          <w:lang w:eastAsia="ja-JP"/>
        </w:rPr>
        <w:lastRenderedPageBreak/>
        <w:t>Oedema</w:t>
      </w:r>
      <w:bookmarkEnd w:id="146"/>
    </w:p>
    <w:p w:rsidR="00CE4F74" w:rsidRPr="00C31183" w:rsidRDefault="00CE4F74" w:rsidP="00483BE2">
      <w:pPr>
        <w:pStyle w:val="Heading6"/>
        <w:numPr>
          <w:ilvl w:val="0"/>
          <w:numId w:val="0"/>
        </w:numPr>
        <w:ind w:left="1702" w:hanging="1418"/>
        <w:rPr>
          <w:lang w:eastAsia="ja-JP"/>
        </w:rPr>
      </w:pPr>
      <w:r>
        <w:rPr>
          <w:lang w:eastAsia="ja-JP"/>
        </w:rPr>
        <w:t>(</w:t>
      </w:r>
      <w:r w:rsidRPr="00C31183">
        <w:rPr>
          <w:lang w:eastAsia="ja-JP"/>
        </w:rPr>
        <w:t>a)</w:t>
      </w:r>
      <w:r w:rsidRPr="00C31183">
        <w:rPr>
          <w:lang w:eastAsia="ja-JP"/>
        </w:rPr>
        <w:tab/>
        <w:t>All causality AEs (</w:t>
      </w:r>
      <w:r>
        <w:rPr>
          <w:lang w:eastAsia="ja-JP"/>
        </w:rPr>
        <w:t>S</w:t>
      </w:r>
      <w:r w:rsidR="00483BE2">
        <w:rPr>
          <w:lang w:eastAsia="ja-JP"/>
        </w:rPr>
        <w:t>tudies #5 and #7)</w:t>
      </w:r>
    </w:p>
    <w:p w:rsidR="00CE4F74" w:rsidRPr="00C31183" w:rsidRDefault="00CE4F74" w:rsidP="00483BE2">
      <w:pPr>
        <w:rPr>
          <w:lang w:eastAsia="ja-JP"/>
        </w:rPr>
      </w:pPr>
      <w:r w:rsidRPr="00C31183">
        <w:rPr>
          <w:lang w:eastAsia="ja-JP"/>
        </w:rPr>
        <w:t>There were 433 (39.2%) patients with AEs compatible with oedema. The majority of AEs (</w:t>
      </w:r>
      <w:proofErr w:type="spellStart"/>
      <w:r w:rsidRPr="00C31183">
        <w:rPr>
          <w:lang w:eastAsia="ja-JP"/>
        </w:rPr>
        <w:t>MedDRA</w:t>
      </w:r>
      <w:proofErr w:type="spellEnd"/>
      <w:r w:rsidRPr="00C31183">
        <w:rPr>
          <w:lang w:eastAsia="ja-JP"/>
        </w:rPr>
        <w:t xml:space="preserve"> preferred terms) compatible with oedema were peripheral oedema (n=350, 31.6%). The only other AEs occurring in </w:t>
      </w:r>
      <w:r>
        <w:rPr>
          <w:lang w:eastAsia="ja-JP"/>
        </w:rPr>
        <w:t>≥</w:t>
      </w:r>
      <w:r w:rsidRPr="00C31183">
        <w:rPr>
          <w:lang w:eastAsia="ja-JP"/>
        </w:rPr>
        <w:t xml:space="preserve"> 2% of patients were oedema (n=69, 6.2%) and face oedema (n=27, 2.4%). Of the 433 patients with oedema, 182 (16.5%) were reported as recovered and 251 (22.7%) were reported as not recovered. There </w:t>
      </w:r>
      <w:proofErr w:type="gramStart"/>
      <w:r w:rsidR="00483BE2">
        <w:rPr>
          <w:lang w:eastAsia="ja-JP"/>
        </w:rPr>
        <w:t>were</w:t>
      </w:r>
      <w:proofErr w:type="gramEnd"/>
      <w:r w:rsidR="00483BE2">
        <w:rPr>
          <w:lang w:eastAsia="ja-JP"/>
        </w:rPr>
        <w:t xml:space="preserve"> no Grade 5 or Grade 4 AEs.</w:t>
      </w:r>
    </w:p>
    <w:p w:rsidR="00CE4F74" w:rsidRPr="00C31183" w:rsidRDefault="00CE4F74" w:rsidP="00483BE2">
      <w:pPr>
        <w:rPr>
          <w:lang w:eastAsia="ja-JP"/>
        </w:rPr>
      </w:pPr>
      <w:r w:rsidRPr="00C31183">
        <w:rPr>
          <w:lang w:eastAsia="ja-JP"/>
        </w:rPr>
        <w:t xml:space="preserve">The details of the three AEs compatible with oedema and occurring in </w:t>
      </w:r>
      <w:r>
        <w:rPr>
          <w:lang w:eastAsia="ja-JP"/>
        </w:rPr>
        <w:t>≥</w:t>
      </w:r>
      <w:r w:rsidRPr="00C31183">
        <w:rPr>
          <w:lang w:eastAsia="ja-JP"/>
        </w:rPr>
        <w:t xml:space="preserve"> 2% of patients are summarised as follows. </w:t>
      </w:r>
      <w:r w:rsidRPr="00C31183">
        <w:rPr>
          <w:b/>
          <w:i/>
          <w:lang w:eastAsia="ja-JP"/>
        </w:rPr>
        <w:t>Peripheral oedema</w:t>
      </w:r>
      <w:r w:rsidRPr="00C31183">
        <w:rPr>
          <w:lang w:eastAsia="ja-JP"/>
        </w:rPr>
        <w:t xml:space="preserve"> occurred in 350 (31.6%) patients including 341 (30.8%) with Grade 1 or 2 events and 8 (0.7%) with Grade 3 events. </w:t>
      </w:r>
      <w:r w:rsidRPr="00C31183">
        <w:rPr>
          <w:b/>
          <w:i/>
          <w:lang w:eastAsia="ja-JP"/>
        </w:rPr>
        <w:t xml:space="preserve">Oedema </w:t>
      </w:r>
      <w:proofErr w:type="spellStart"/>
      <w:r w:rsidRPr="00C31183">
        <w:rPr>
          <w:b/>
          <w:i/>
          <w:lang w:eastAsia="ja-JP"/>
        </w:rPr>
        <w:t>MedDRA</w:t>
      </w:r>
      <w:proofErr w:type="spellEnd"/>
      <w:r w:rsidRPr="00C31183">
        <w:rPr>
          <w:b/>
          <w:i/>
          <w:lang w:eastAsia="ja-JP"/>
        </w:rPr>
        <w:t xml:space="preserve"> preferred term</w:t>
      </w:r>
      <w:r w:rsidRPr="00C31183">
        <w:rPr>
          <w:lang w:eastAsia="ja-JP"/>
        </w:rPr>
        <w:t xml:space="preserve"> occurred in 69 (6.2%) patients including 67 (6.1%) with Grade 1 or 2 events and 2 (0.2%) with Grade 3 events. </w:t>
      </w:r>
      <w:r w:rsidRPr="00C31183">
        <w:rPr>
          <w:b/>
          <w:i/>
          <w:lang w:eastAsia="ja-JP"/>
        </w:rPr>
        <w:t xml:space="preserve">Face oedema </w:t>
      </w:r>
      <w:r w:rsidRPr="00C31183">
        <w:rPr>
          <w:lang w:eastAsia="ja-JP"/>
        </w:rPr>
        <w:t>occurred in 27 (2.4%) patients an</w:t>
      </w:r>
      <w:r w:rsidR="00483BE2">
        <w:rPr>
          <w:lang w:eastAsia="ja-JP"/>
        </w:rPr>
        <w:t>d all were Grade 1 or 2 events.</w:t>
      </w:r>
    </w:p>
    <w:p w:rsidR="00CE4F74" w:rsidRPr="00C31183" w:rsidRDefault="00CE4F74" w:rsidP="00483BE2">
      <w:pPr>
        <w:rPr>
          <w:lang w:eastAsia="ja-JP"/>
        </w:rPr>
      </w:pPr>
      <w:r w:rsidRPr="00C31183">
        <w:rPr>
          <w:lang w:eastAsia="ja-JP"/>
        </w:rPr>
        <w:t xml:space="preserve">The frequency of </w:t>
      </w:r>
      <w:r w:rsidRPr="00C31183">
        <w:rPr>
          <w:b/>
          <w:i/>
          <w:lang w:eastAsia="ja-JP"/>
        </w:rPr>
        <w:t xml:space="preserve">treatment-related AEs </w:t>
      </w:r>
      <w:r w:rsidRPr="00C31183">
        <w:rPr>
          <w:lang w:eastAsia="ja-JP"/>
        </w:rPr>
        <w:t>compatible with possible oedema is very common at 28.6% (95% CI: 95% CI: 25.9, 31.3)</w:t>
      </w:r>
      <w:r w:rsidR="00483BE2">
        <w:rPr>
          <w:lang w:eastAsia="ja-JP"/>
        </w:rPr>
        <w:t>.</w:t>
      </w:r>
    </w:p>
    <w:p w:rsidR="00CE4F74" w:rsidRPr="00C31183" w:rsidRDefault="00CE4F74" w:rsidP="00483BE2">
      <w:pPr>
        <w:pStyle w:val="Heading6"/>
        <w:numPr>
          <w:ilvl w:val="0"/>
          <w:numId w:val="0"/>
        </w:numPr>
        <w:ind w:left="1702" w:hanging="1418"/>
        <w:rPr>
          <w:lang w:eastAsia="ja-JP"/>
        </w:rPr>
      </w:pPr>
      <w:r w:rsidRPr="00C31183">
        <w:rPr>
          <w:lang w:eastAsia="ja-JP"/>
        </w:rPr>
        <w:t>(b)</w:t>
      </w:r>
      <w:r w:rsidRPr="00C31183">
        <w:rPr>
          <w:lang w:eastAsia="ja-JP"/>
        </w:rPr>
        <w:tab/>
        <w:t>All causality SAEs (</w:t>
      </w:r>
      <w:r>
        <w:rPr>
          <w:lang w:eastAsia="ja-JP"/>
        </w:rPr>
        <w:t>S</w:t>
      </w:r>
      <w:r w:rsidRPr="00C31183">
        <w:rPr>
          <w:lang w:eastAsia="ja-JP"/>
        </w:rPr>
        <w:t>tudies #1, #5, #7, #13, and #14)</w:t>
      </w:r>
    </w:p>
    <w:p w:rsidR="00CE4F74" w:rsidRPr="00143CC0" w:rsidRDefault="00CE4F74" w:rsidP="00483BE2">
      <w:pPr>
        <w:rPr>
          <w:strike/>
          <w:lang w:eastAsia="ja-JP"/>
        </w:rPr>
      </w:pPr>
      <w:r w:rsidRPr="00143CC0">
        <w:rPr>
          <w:lang w:eastAsia="ja-JP"/>
        </w:rPr>
        <w:t xml:space="preserve">There were 13 (0.8%) SAEs in the pooled SAE database (n=1,600) - 6 reports of peripheral oedema (6 hospitalized, 4 recovered, 2 not recovered); 4 reports of generalized oedema (3 hospitalized, 1 recovered, 3 not recovered); 2 reports of oedema </w:t>
      </w:r>
      <w:proofErr w:type="spellStart"/>
      <w:r w:rsidRPr="00143CC0">
        <w:rPr>
          <w:lang w:eastAsia="ja-JP"/>
        </w:rPr>
        <w:t>MedDRA</w:t>
      </w:r>
      <w:proofErr w:type="spellEnd"/>
      <w:r w:rsidRPr="00143CC0">
        <w:rPr>
          <w:lang w:eastAsia="ja-JP"/>
        </w:rPr>
        <w:t xml:space="preserve"> preferred term (2 hospitalized, 2 recovered); and 1 report of chronic obstructive airways disease (hospitalized, not recovered).</w:t>
      </w:r>
    </w:p>
    <w:p w:rsidR="00CE4F74" w:rsidRPr="00C31183" w:rsidRDefault="00CE4F74" w:rsidP="00483BE2">
      <w:pPr>
        <w:pStyle w:val="Heading6"/>
        <w:numPr>
          <w:ilvl w:val="0"/>
          <w:numId w:val="0"/>
        </w:numPr>
        <w:ind w:left="1702" w:hanging="1418"/>
        <w:rPr>
          <w:lang w:eastAsia="ja-JP"/>
        </w:rPr>
      </w:pPr>
      <w:r w:rsidRPr="00C31183">
        <w:rPr>
          <w:lang w:eastAsia="ja-JP"/>
        </w:rPr>
        <w:t>(c)</w:t>
      </w:r>
      <w:r w:rsidRPr="00C31183">
        <w:rPr>
          <w:lang w:eastAsia="ja-JP"/>
        </w:rPr>
        <w:tab/>
        <w:t>Preventability</w:t>
      </w:r>
    </w:p>
    <w:p w:rsidR="00CE4F74" w:rsidRPr="00C31183" w:rsidRDefault="00CE4F74" w:rsidP="00483BE2">
      <w:pPr>
        <w:rPr>
          <w:lang w:eastAsia="ja-JP"/>
        </w:rPr>
      </w:pPr>
      <w:r w:rsidRPr="00C31183">
        <w:rPr>
          <w:lang w:eastAsia="ja-JP"/>
        </w:rPr>
        <w:t>It is not known how the development of oedema in patients treated wi</w:t>
      </w:r>
      <w:r w:rsidR="00483BE2">
        <w:rPr>
          <w:lang w:eastAsia="ja-JP"/>
        </w:rPr>
        <w:t xml:space="preserve">th </w:t>
      </w:r>
      <w:proofErr w:type="spellStart"/>
      <w:r w:rsidR="00483BE2">
        <w:rPr>
          <w:lang w:eastAsia="ja-JP"/>
        </w:rPr>
        <w:t>crizotinib</w:t>
      </w:r>
      <w:proofErr w:type="spellEnd"/>
      <w:r w:rsidR="00483BE2">
        <w:rPr>
          <w:lang w:eastAsia="ja-JP"/>
        </w:rPr>
        <w:t xml:space="preserve"> can be prevented.</w:t>
      </w:r>
    </w:p>
    <w:p w:rsidR="00CE4F74" w:rsidRPr="00C31183" w:rsidRDefault="00CE4F74" w:rsidP="00483BE2">
      <w:pPr>
        <w:pStyle w:val="Heading5"/>
        <w:rPr>
          <w:lang w:eastAsia="ja-JP"/>
        </w:rPr>
      </w:pPr>
      <w:bookmarkStart w:id="147" w:name="_Toc228773416"/>
      <w:r w:rsidRPr="00C31183">
        <w:rPr>
          <w:lang w:eastAsia="ja-JP"/>
        </w:rPr>
        <w:t>Leukopenia</w:t>
      </w:r>
      <w:bookmarkEnd w:id="147"/>
    </w:p>
    <w:p w:rsidR="00CE4F74" w:rsidRPr="00C31183" w:rsidRDefault="00CE4F74" w:rsidP="00483BE2">
      <w:pPr>
        <w:pStyle w:val="Heading6"/>
        <w:numPr>
          <w:ilvl w:val="0"/>
          <w:numId w:val="0"/>
        </w:numPr>
        <w:ind w:left="1702" w:hanging="1418"/>
        <w:rPr>
          <w:lang w:eastAsia="ja-JP"/>
        </w:rPr>
      </w:pPr>
      <w:r>
        <w:rPr>
          <w:lang w:eastAsia="ja-JP"/>
        </w:rPr>
        <w:t>(</w:t>
      </w:r>
      <w:r w:rsidRPr="00C31183">
        <w:rPr>
          <w:lang w:eastAsia="ja-JP"/>
        </w:rPr>
        <w:t>a)</w:t>
      </w:r>
      <w:r w:rsidRPr="00C31183">
        <w:rPr>
          <w:lang w:eastAsia="ja-JP"/>
        </w:rPr>
        <w:tab/>
        <w:t xml:space="preserve">All </w:t>
      </w:r>
      <w:r w:rsidRPr="00483BE2">
        <w:t>causality</w:t>
      </w:r>
      <w:r w:rsidRPr="00C31183">
        <w:rPr>
          <w:lang w:eastAsia="ja-JP"/>
        </w:rPr>
        <w:t xml:space="preserve"> AEs (</w:t>
      </w:r>
      <w:r>
        <w:rPr>
          <w:lang w:eastAsia="ja-JP"/>
        </w:rPr>
        <w:t>S</w:t>
      </w:r>
      <w:r w:rsidR="00483BE2">
        <w:rPr>
          <w:lang w:eastAsia="ja-JP"/>
        </w:rPr>
        <w:t>tudies #5 and #7)</w:t>
      </w:r>
    </w:p>
    <w:p w:rsidR="00CE4F74" w:rsidRPr="00C31183" w:rsidRDefault="00CE4F74" w:rsidP="00483BE2">
      <w:pPr>
        <w:rPr>
          <w:lang w:eastAsia="ja-JP"/>
        </w:rPr>
      </w:pPr>
      <w:r w:rsidRPr="00C31183">
        <w:rPr>
          <w:lang w:eastAsia="ja-JP"/>
        </w:rPr>
        <w:t>There were 228 (20.6%) patients with AEs compatible with leukopenia.</w:t>
      </w:r>
      <w:r w:rsidRPr="00143CC0">
        <w:rPr>
          <w:lang w:eastAsia="ja-JP"/>
        </w:rPr>
        <w:t xml:space="preserve"> The AEs were febrile neutropenia (n=5, 0.5%, </w:t>
      </w:r>
      <w:proofErr w:type="spellStart"/>
      <w:r w:rsidRPr="00143CC0">
        <w:rPr>
          <w:lang w:eastAsia="ja-JP"/>
        </w:rPr>
        <w:t>granulocytopenia</w:t>
      </w:r>
      <w:proofErr w:type="spellEnd"/>
      <w:r w:rsidRPr="00143CC0">
        <w:rPr>
          <w:lang w:eastAsia="ja-JP"/>
        </w:rPr>
        <w:t xml:space="preserve"> (n=1, 0.1%), neutropenia (n=142, 12.8%), leukopenia (n=73, 6.6%), </w:t>
      </w:r>
      <w:proofErr w:type="spellStart"/>
      <w:r w:rsidRPr="00143CC0">
        <w:rPr>
          <w:lang w:eastAsia="ja-JP"/>
        </w:rPr>
        <w:t>lymphopenia</w:t>
      </w:r>
      <w:proofErr w:type="spellEnd"/>
      <w:r w:rsidRPr="00143CC0">
        <w:rPr>
          <w:lang w:eastAsia="ja-JP"/>
        </w:rPr>
        <w:t xml:space="preserve"> (n=37, 3.3%), monocyte count decreased (n=1, 0.1%), lymphocyte count decreased (n=17, 1.5%), and neutrophil count decreased (n=38, 34%).O</w:t>
      </w:r>
      <w:r w:rsidRPr="00C31183">
        <w:rPr>
          <w:lang w:eastAsia="ja-JP"/>
        </w:rPr>
        <w:t>f the 228 patients with leukopenia, 140 (12.7%) were reported as recovered and 88 (8.0%) were reported as not recovered</w:t>
      </w:r>
      <w:r w:rsidR="00483BE2">
        <w:rPr>
          <w:lang w:eastAsia="ja-JP"/>
        </w:rPr>
        <w:t>. There were no Grade 5 events.</w:t>
      </w:r>
    </w:p>
    <w:p w:rsidR="00CE4F74" w:rsidRPr="00C31183" w:rsidRDefault="00CE4F74" w:rsidP="00483BE2">
      <w:pPr>
        <w:rPr>
          <w:lang w:eastAsia="ja-JP"/>
        </w:rPr>
      </w:pPr>
      <w:r w:rsidRPr="00C31183">
        <w:rPr>
          <w:lang w:eastAsia="ja-JP"/>
        </w:rPr>
        <w:t xml:space="preserve">The details of the four AEs occurring in </w:t>
      </w:r>
      <w:r>
        <w:rPr>
          <w:lang w:eastAsia="ja-JP"/>
        </w:rPr>
        <w:t>≥</w:t>
      </w:r>
      <w:r w:rsidRPr="00C31183">
        <w:rPr>
          <w:lang w:eastAsia="ja-JP"/>
        </w:rPr>
        <w:t xml:space="preserve"> 2% of patients are summarised as follows. </w:t>
      </w:r>
      <w:r w:rsidRPr="00C31183">
        <w:rPr>
          <w:b/>
          <w:i/>
          <w:lang w:eastAsia="ja-JP"/>
        </w:rPr>
        <w:t>Neutropenia</w:t>
      </w:r>
      <w:r w:rsidRPr="00C31183">
        <w:rPr>
          <w:lang w:eastAsia="ja-JP"/>
        </w:rPr>
        <w:t xml:space="preserve"> occurred in 142 (12.8%) patients, including 28 (2.5%) with Grade 1 events, 37 (3.3%) with Grade 2 events, 62 (5.6%) with Grade 3 events and 15 (1.4%) with Grade 4 events. </w:t>
      </w:r>
      <w:r w:rsidRPr="00C31183">
        <w:rPr>
          <w:b/>
          <w:i/>
          <w:lang w:eastAsia="ja-JP"/>
        </w:rPr>
        <w:t xml:space="preserve">Leukopenia </w:t>
      </w:r>
      <w:r w:rsidRPr="00C31183">
        <w:rPr>
          <w:lang w:eastAsia="ja-JP"/>
        </w:rPr>
        <w:t xml:space="preserve">occurred in 73 (6.6%) patients including 38 (3.4%) with Grade 1 events, 18 (1.6%) with Grade 2 events and 17 (1.5%) with Grade 3 events. </w:t>
      </w:r>
      <w:r w:rsidRPr="00C31183">
        <w:rPr>
          <w:b/>
          <w:i/>
          <w:lang w:eastAsia="ja-JP"/>
        </w:rPr>
        <w:t xml:space="preserve">Neutrophil count decreased </w:t>
      </w:r>
      <w:r w:rsidRPr="00C31183">
        <w:rPr>
          <w:lang w:eastAsia="ja-JP"/>
        </w:rPr>
        <w:t xml:space="preserve">occurred in 38 (3.4%) patients, including 9 (0.8%) with Grade 1 events, 11 (1.0%) with Grade 2 events, 17 (1.5%) with Grade 3 events and 1 (0.1%) with a Grade 4 event. </w:t>
      </w:r>
      <w:proofErr w:type="spellStart"/>
      <w:r w:rsidRPr="00C31183">
        <w:rPr>
          <w:b/>
          <w:i/>
          <w:lang w:eastAsia="ja-JP"/>
        </w:rPr>
        <w:t>Lymphopenia</w:t>
      </w:r>
      <w:proofErr w:type="spellEnd"/>
      <w:r w:rsidRPr="00C31183">
        <w:rPr>
          <w:b/>
          <w:i/>
          <w:lang w:eastAsia="ja-JP"/>
        </w:rPr>
        <w:t xml:space="preserve"> </w:t>
      </w:r>
      <w:r w:rsidRPr="00C31183">
        <w:rPr>
          <w:lang w:eastAsia="ja-JP"/>
        </w:rPr>
        <w:t>occurred in 37 (3.3%) of patients, including 3 (0.3%) with Grade 1 events, 8 (0.7%) with Grade 2 events, 21 (1.9%) with Grade 3 events an</w:t>
      </w:r>
      <w:r w:rsidR="00483BE2">
        <w:rPr>
          <w:lang w:eastAsia="ja-JP"/>
        </w:rPr>
        <w:t>d 5 (0.5%) with Grade 4 events.</w:t>
      </w:r>
    </w:p>
    <w:p w:rsidR="00CE4F74" w:rsidRPr="00C31183" w:rsidRDefault="00CE4F74" w:rsidP="00483BE2">
      <w:pPr>
        <w:rPr>
          <w:lang w:eastAsia="ja-JP"/>
        </w:rPr>
      </w:pPr>
      <w:r w:rsidRPr="00C31183">
        <w:rPr>
          <w:lang w:eastAsia="ja-JP"/>
        </w:rPr>
        <w:t xml:space="preserve">The frequency of </w:t>
      </w:r>
      <w:r w:rsidRPr="00C31183">
        <w:rPr>
          <w:b/>
          <w:i/>
          <w:lang w:eastAsia="ja-JP"/>
        </w:rPr>
        <w:t xml:space="preserve">treatment-related AEs </w:t>
      </w:r>
      <w:r w:rsidRPr="00C31183">
        <w:rPr>
          <w:lang w:eastAsia="ja-JP"/>
        </w:rPr>
        <w:t>compatible with leukopenia was very common at 17.7</w:t>
      </w:r>
      <w:r w:rsidR="00483BE2">
        <w:rPr>
          <w:lang w:eastAsia="ja-JP"/>
        </w:rPr>
        <w:t>% (95% CI: 95% CI: 15.5, 20.1).</w:t>
      </w:r>
    </w:p>
    <w:p w:rsidR="00CE4F74" w:rsidRPr="00C31183" w:rsidRDefault="00CE4F74" w:rsidP="00483BE2">
      <w:pPr>
        <w:pStyle w:val="Heading6"/>
        <w:numPr>
          <w:ilvl w:val="0"/>
          <w:numId w:val="0"/>
        </w:numPr>
        <w:ind w:left="1702" w:hanging="1418"/>
        <w:rPr>
          <w:lang w:eastAsia="ja-JP"/>
        </w:rPr>
      </w:pPr>
      <w:r w:rsidRPr="00C31183">
        <w:rPr>
          <w:lang w:eastAsia="ja-JP"/>
        </w:rPr>
        <w:lastRenderedPageBreak/>
        <w:t>(b)</w:t>
      </w:r>
      <w:r w:rsidRPr="00C31183">
        <w:rPr>
          <w:lang w:eastAsia="ja-JP"/>
        </w:rPr>
        <w:tab/>
        <w:t>All causality SAEs (</w:t>
      </w:r>
      <w:r>
        <w:rPr>
          <w:lang w:eastAsia="ja-JP"/>
        </w:rPr>
        <w:t>S</w:t>
      </w:r>
      <w:r w:rsidRPr="00C31183">
        <w:rPr>
          <w:lang w:eastAsia="ja-JP"/>
        </w:rPr>
        <w:t>tudies #1, #5, #7, #13, and #14)</w:t>
      </w:r>
    </w:p>
    <w:p w:rsidR="00CE4F74" w:rsidRPr="00C31183" w:rsidRDefault="00CE4F74" w:rsidP="00483BE2">
      <w:pPr>
        <w:rPr>
          <w:lang w:eastAsia="ja-JP"/>
        </w:rPr>
      </w:pPr>
      <w:r w:rsidRPr="00C31183">
        <w:rPr>
          <w:lang w:eastAsia="ja-JP"/>
        </w:rPr>
        <w:t xml:space="preserve">There were 9 (0.6%) SAEs (all causality) compatible with leukopenia in the pooled SAE database (n=1,600) – 7 reports of febrile neutropenia (6 </w:t>
      </w:r>
      <w:r>
        <w:rPr>
          <w:lang w:eastAsia="ja-JP"/>
        </w:rPr>
        <w:t>hospitalised</w:t>
      </w:r>
      <w:r w:rsidRPr="00C31183">
        <w:rPr>
          <w:lang w:eastAsia="ja-JP"/>
        </w:rPr>
        <w:t>, 6 recovered, 1 not recovered); and 2 report</w:t>
      </w:r>
      <w:r w:rsidR="00483BE2">
        <w:rPr>
          <w:lang w:eastAsia="ja-JP"/>
        </w:rPr>
        <w:t>s of neutropenia (2 recovered).</w:t>
      </w:r>
    </w:p>
    <w:p w:rsidR="00CE4F74" w:rsidRPr="00C31183" w:rsidRDefault="00CE4F74" w:rsidP="00483BE2">
      <w:pPr>
        <w:pStyle w:val="Heading6"/>
        <w:numPr>
          <w:ilvl w:val="0"/>
          <w:numId w:val="0"/>
        </w:numPr>
        <w:ind w:left="1702" w:hanging="1418"/>
        <w:rPr>
          <w:lang w:eastAsia="ja-JP"/>
        </w:rPr>
      </w:pPr>
      <w:r w:rsidRPr="00C31183">
        <w:rPr>
          <w:lang w:eastAsia="ja-JP"/>
        </w:rPr>
        <w:t>(c)</w:t>
      </w:r>
      <w:r w:rsidRPr="00C31183">
        <w:rPr>
          <w:lang w:eastAsia="ja-JP"/>
        </w:rPr>
        <w:tab/>
        <w:t>Preventability</w:t>
      </w:r>
    </w:p>
    <w:p w:rsidR="00CE4F74" w:rsidRPr="00C31183" w:rsidRDefault="00CE4F74" w:rsidP="00483BE2">
      <w:pPr>
        <w:rPr>
          <w:lang w:eastAsia="ja-JP"/>
        </w:rPr>
      </w:pPr>
      <w:r w:rsidRPr="00C31183">
        <w:rPr>
          <w:lang w:eastAsia="ja-JP"/>
        </w:rPr>
        <w:t xml:space="preserve">It is not known which patients may be at increased risk of developing leukopenia during treatment with </w:t>
      </w:r>
      <w:proofErr w:type="spellStart"/>
      <w:r w:rsidRPr="00C31183">
        <w:rPr>
          <w:lang w:eastAsia="ja-JP"/>
        </w:rPr>
        <w:t>crizotinib</w:t>
      </w:r>
      <w:proofErr w:type="spellEnd"/>
      <w:r w:rsidRPr="00C31183">
        <w:rPr>
          <w:lang w:eastAsia="ja-JP"/>
        </w:rPr>
        <w:t xml:space="preserve">. The optimal frequency of monitoring has not been determined. The sponsor proposes dosing interruptions, dosing reductions or dosing discontinuation and appropriate management for patients developing Grade 3 or </w:t>
      </w:r>
      <w:proofErr w:type="gramStart"/>
      <w:r w:rsidRPr="00C31183">
        <w:rPr>
          <w:lang w:eastAsia="ja-JP"/>
        </w:rPr>
        <w:t xml:space="preserve">4 leukopenia while on </w:t>
      </w:r>
      <w:proofErr w:type="spellStart"/>
      <w:r w:rsidRPr="00C31183">
        <w:rPr>
          <w:lang w:eastAsia="ja-JP"/>
        </w:rPr>
        <w:t>criz</w:t>
      </w:r>
      <w:r w:rsidR="00483BE2">
        <w:rPr>
          <w:lang w:eastAsia="ja-JP"/>
        </w:rPr>
        <w:t>otinib</w:t>
      </w:r>
      <w:proofErr w:type="spellEnd"/>
      <w:r w:rsidR="00483BE2">
        <w:rPr>
          <w:lang w:eastAsia="ja-JP"/>
        </w:rPr>
        <w:t xml:space="preserve"> treatment</w:t>
      </w:r>
      <w:proofErr w:type="gramEnd"/>
      <w:r w:rsidR="00483BE2">
        <w:rPr>
          <w:lang w:eastAsia="ja-JP"/>
        </w:rPr>
        <w:t>.</w:t>
      </w:r>
    </w:p>
    <w:p w:rsidR="00CE4F74" w:rsidRPr="00C31183" w:rsidRDefault="00CE4F74" w:rsidP="00483BE2">
      <w:pPr>
        <w:pStyle w:val="Heading5"/>
        <w:rPr>
          <w:lang w:eastAsia="ja-JP"/>
        </w:rPr>
      </w:pPr>
      <w:bookmarkStart w:id="148" w:name="_Toc228773417"/>
      <w:r w:rsidRPr="00C31183">
        <w:rPr>
          <w:lang w:eastAsia="ja-JP"/>
        </w:rPr>
        <w:t>Neuropathy</w:t>
      </w:r>
      <w:bookmarkEnd w:id="148"/>
    </w:p>
    <w:p w:rsidR="00CE4F74" w:rsidRPr="00C31183" w:rsidRDefault="00CE4F74" w:rsidP="00483BE2">
      <w:pPr>
        <w:pStyle w:val="Heading6"/>
        <w:numPr>
          <w:ilvl w:val="0"/>
          <w:numId w:val="0"/>
        </w:numPr>
        <w:ind w:left="1702" w:hanging="1418"/>
        <w:rPr>
          <w:lang w:eastAsia="ja-JP"/>
        </w:rPr>
      </w:pPr>
      <w:r>
        <w:rPr>
          <w:lang w:eastAsia="ja-JP"/>
        </w:rPr>
        <w:t>(</w:t>
      </w:r>
      <w:r w:rsidRPr="00C31183">
        <w:rPr>
          <w:lang w:eastAsia="ja-JP"/>
        </w:rPr>
        <w:t>a)</w:t>
      </w:r>
      <w:r w:rsidRPr="00C31183">
        <w:rPr>
          <w:lang w:eastAsia="ja-JP"/>
        </w:rPr>
        <w:tab/>
        <w:t xml:space="preserve">All </w:t>
      </w:r>
      <w:r w:rsidRPr="00483BE2">
        <w:t>causality</w:t>
      </w:r>
      <w:r w:rsidRPr="00C31183">
        <w:rPr>
          <w:lang w:eastAsia="ja-JP"/>
        </w:rPr>
        <w:t xml:space="preserve"> AEs (</w:t>
      </w:r>
      <w:r>
        <w:rPr>
          <w:lang w:eastAsia="ja-JP"/>
        </w:rPr>
        <w:t>S</w:t>
      </w:r>
      <w:r w:rsidR="00483BE2">
        <w:rPr>
          <w:lang w:eastAsia="ja-JP"/>
        </w:rPr>
        <w:t>tudies #5 and #7)</w:t>
      </w:r>
    </w:p>
    <w:p w:rsidR="00CE4F74" w:rsidRPr="00C31183" w:rsidRDefault="00CE4F74" w:rsidP="00483BE2">
      <w:pPr>
        <w:rPr>
          <w:lang w:eastAsia="ja-JP"/>
        </w:rPr>
      </w:pPr>
      <w:r w:rsidRPr="00C31183">
        <w:rPr>
          <w:lang w:eastAsia="ja-JP"/>
        </w:rPr>
        <w:t xml:space="preserve">There were 211 (19.1%) patients with AEs compatible with neuropathy. AEs occurring in </w:t>
      </w:r>
      <w:r>
        <w:rPr>
          <w:lang w:eastAsia="ja-JP"/>
        </w:rPr>
        <w:t>≥</w:t>
      </w:r>
      <w:r w:rsidRPr="00C31183">
        <w:rPr>
          <w:lang w:eastAsia="ja-JP"/>
        </w:rPr>
        <w:t xml:space="preserve"> 2% of patients were – paraesthesia 62 (5.6%) patients (n=56, [5.1%] with Grade 1 events; 6 [0.5%] with Grade 2 events); </w:t>
      </w:r>
      <w:proofErr w:type="spellStart"/>
      <w:r w:rsidRPr="00C31183">
        <w:rPr>
          <w:lang w:eastAsia="ja-JP"/>
        </w:rPr>
        <w:t>hypoaesthesia</w:t>
      </w:r>
      <w:proofErr w:type="spellEnd"/>
      <w:r w:rsidRPr="00C31183">
        <w:rPr>
          <w:lang w:eastAsia="ja-JP"/>
        </w:rPr>
        <w:t xml:space="preserve"> 35 (3.2%) patients (n=32 [2.9%] with Grade 1 events; 1 [0.1%] with a Grade 2 event; and 2 [0.2%] with a Grade 3 event); peripheral neuropathy 34 (3.1%) patients (n=28 [2.5%] with Grade 1 events; n=6 [0.5%] with Grade 2 events); peripheral sensory neuropathy 33 (3.0%) patients (n=26 [2.4%] with Grade 1 events; n=6 [0.5%] with Grade 2 events); n=1 [0.1%] with a Grade 3 event); and muscular weakness 28 (2.5%) patients (n=13 [1.2%] with Grade 1 events; n=10 [0.9%] with Grade 2 events; 4 [0.4%] with Grade 3 events; 1 [0.1%] with a Grade 4 event). Of the 211 patients with AEs compatible with leukopenia, 113 (10.2%) were reported as recovered and 98 (8.9%) were reported as not recovered (includes missing outcomes and unknown outcom</w:t>
      </w:r>
      <w:r w:rsidR="00483BE2">
        <w:rPr>
          <w:lang w:eastAsia="ja-JP"/>
        </w:rPr>
        <w:t>es). There were no Grade 5 AEs.</w:t>
      </w:r>
    </w:p>
    <w:p w:rsidR="00CE4F74" w:rsidRPr="00C31183" w:rsidRDefault="00CE4F74" w:rsidP="00483BE2">
      <w:pPr>
        <w:rPr>
          <w:lang w:eastAsia="ja-JP"/>
        </w:rPr>
      </w:pPr>
      <w:r w:rsidRPr="00C31183">
        <w:rPr>
          <w:lang w:eastAsia="ja-JP"/>
        </w:rPr>
        <w:t xml:space="preserve">The frequency of </w:t>
      </w:r>
      <w:r w:rsidRPr="00C31183">
        <w:rPr>
          <w:b/>
          <w:lang w:eastAsia="ja-JP"/>
        </w:rPr>
        <w:t>treatment-related AEs</w:t>
      </w:r>
      <w:r w:rsidRPr="00C31183">
        <w:rPr>
          <w:lang w:eastAsia="ja-JP"/>
        </w:rPr>
        <w:t xml:space="preserve"> compatible with neuropathy was common at 9.9% (95% CI: 95% CI: 8.2, 11.8); 109/110</w:t>
      </w:r>
      <w:r w:rsidR="00483BE2">
        <w:rPr>
          <w:lang w:eastAsia="ja-JP"/>
        </w:rPr>
        <w:t>6 patients.</w:t>
      </w:r>
    </w:p>
    <w:p w:rsidR="00CE4F74" w:rsidRPr="00C31183" w:rsidRDefault="00CE4F74" w:rsidP="00483BE2">
      <w:pPr>
        <w:pStyle w:val="Heading6"/>
        <w:numPr>
          <w:ilvl w:val="0"/>
          <w:numId w:val="0"/>
        </w:numPr>
        <w:ind w:left="1702" w:hanging="1418"/>
        <w:rPr>
          <w:lang w:eastAsia="ja-JP"/>
        </w:rPr>
      </w:pPr>
      <w:r w:rsidRPr="00C31183">
        <w:rPr>
          <w:lang w:eastAsia="ja-JP"/>
        </w:rPr>
        <w:t>(b)</w:t>
      </w:r>
      <w:r w:rsidRPr="00C31183">
        <w:rPr>
          <w:lang w:eastAsia="ja-JP"/>
        </w:rPr>
        <w:tab/>
        <w:t>All causality SAEs (</w:t>
      </w:r>
      <w:r>
        <w:rPr>
          <w:lang w:eastAsia="ja-JP"/>
        </w:rPr>
        <w:t>S</w:t>
      </w:r>
      <w:r w:rsidRPr="00C31183">
        <w:rPr>
          <w:lang w:eastAsia="ja-JP"/>
        </w:rPr>
        <w:t>tudies #1, #5, #7, #13, and #14)</w:t>
      </w:r>
    </w:p>
    <w:p w:rsidR="00CE4F74" w:rsidRPr="00C31183" w:rsidRDefault="00CE4F74" w:rsidP="00483BE2">
      <w:pPr>
        <w:rPr>
          <w:lang w:eastAsia="ja-JP"/>
        </w:rPr>
      </w:pPr>
      <w:r w:rsidRPr="00143CC0">
        <w:rPr>
          <w:lang w:eastAsia="ja-JP"/>
        </w:rPr>
        <w:t>There were 8 (0.5%) SAEs (all causality) compatible with neuropathy in the pooled SAE database</w:t>
      </w:r>
      <w:r w:rsidRPr="00143CC0" w:rsidDel="00403A58">
        <w:rPr>
          <w:lang w:eastAsia="ja-JP"/>
        </w:rPr>
        <w:t xml:space="preserve"> </w:t>
      </w:r>
      <w:r w:rsidRPr="00143CC0">
        <w:rPr>
          <w:lang w:eastAsia="ja-JP"/>
        </w:rPr>
        <w:t>(n=1,600) - 4 reports of muscular weakness (4 hospitalized, 2 recovered, 2 not recovered); 1 paraesthesia (hospitalized, recovered)</w:t>
      </w:r>
      <w:r>
        <w:rPr>
          <w:lang w:eastAsia="ja-JP"/>
        </w:rPr>
        <w:t>;</w:t>
      </w:r>
      <w:r w:rsidRPr="00143CC0">
        <w:rPr>
          <w:lang w:eastAsia="ja-JP"/>
        </w:rPr>
        <w:t xml:space="preserve"> 1 periph</w:t>
      </w:r>
      <w:r w:rsidRPr="00C31183">
        <w:rPr>
          <w:lang w:eastAsia="ja-JP"/>
        </w:rPr>
        <w:t>eral motor neuropathy (</w:t>
      </w:r>
      <w:r>
        <w:rPr>
          <w:lang w:eastAsia="ja-JP"/>
        </w:rPr>
        <w:t>hospitalised</w:t>
      </w:r>
      <w:r w:rsidRPr="00C31183">
        <w:rPr>
          <w:lang w:eastAsia="ja-JP"/>
        </w:rPr>
        <w:t>, not recovered); 1 peripheral sensorimotor neuropathy (</w:t>
      </w:r>
      <w:r>
        <w:rPr>
          <w:lang w:eastAsia="ja-JP"/>
        </w:rPr>
        <w:t>hospitalised</w:t>
      </w:r>
      <w:r w:rsidRPr="00C31183">
        <w:rPr>
          <w:lang w:eastAsia="ja-JP"/>
        </w:rPr>
        <w:t>, recovered); and 1 peripheral sensory neuropathy (</w:t>
      </w:r>
      <w:r>
        <w:rPr>
          <w:lang w:eastAsia="ja-JP"/>
        </w:rPr>
        <w:t>hospitalised</w:t>
      </w:r>
      <w:r w:rsidR="00483BE2">
        <w:rPr>
          <w:lang w:eastAsia="ja-JP"/>
        </w:rPr>
        <w:t>, not recovered).</w:t>
      </w:r>
    </w:p>
    <w:p w:rsidR="00CE4F74" w:rsidRPr="00C31183" w:rsidRDefault="00483BE2" w:rsidP="00483BE2">
      <w:pPr>
        <w:pStyle w:val="Heading6"/>
        <w:numPr>
          <w:ilvl w:val="0"/>
          <w:numId w:val="0"/>
        </w:numPr>
        <w:ind w:left="1702" w:hanging="1418"/>
        <w:rPr>
          <w:lang w:eastAsia="ja-JP"/>
        </w:rPr>
      </w:pPr>
      <w:r>
        <w:rPr>
          <w:lang w:eastAsia="ja-JP"/>
        </w:rPr>
        <w:t>(c)</w:t>
      </w:r>
      <w:r>
        <w:rPr>
          <w:lang w:eastAsia="ja-JP"/>
        </w:rPr>
        <w:tab/>
        <w:t>Preventability</w:t>
      </w:r>
    </w:p>
    <w:p w:rsidR="00CE4F74" w:rsidRPr="00C31183" w:rsidRDefault="00CE4F74" w:rsidP="00483BE2">
      <w:pPr>
        <w:rPr>
          <w:lang w:eastAsia="ja-JP"/>
        </w:rPr>
      </w:pPr>
      <w:r w:rsidRPr="00C31183">
        <w:rPr>
          <w:lang w:eastAsia="ja-JP"/>
        </w:rPr>
        <w:t xml:space="preserve">It is not known which patients may be at increased risk of developing leukopenia during treatment with </w:t>
      </w:r>
      <w:proofErr w:type="spellStart"/>
      <w:r w:rsidRPr="00C31183">
        <w:rPr>
          <w:lang w:eastAsia="ja-JP"/>
        </w:rPr>
        <w:t>crizotinib</w:t>
      </w:r>
      <w:proofErr w:type="spellEnd"/>
      <w:r w:rsidRPr="00C31183">
        <w:rPr>
          <w:lang w:eastAsia="ja-JP"/>
        </w:rPr>
        <w:t>. There ar</w:t>
      </w:r>
      <w:r w:rsidR="00483BE2">
        <w:rPr>
          <w:lang w:eastAsia="ja-JP"/>
        </w:rPr>
        <w:t>e no known preventive measures.</w:t>
      </w:r>
    </w:p>
    <w:p w:rsidR="00CE4F74" w:rsidRPr="00C31183" w:rsidRDefault="00CE4F74" w:rsidP="00483BE2">
      <w:pPr>
        <w:pStyle w:val="Heading4"/>
      </w:pPr>
      <w:bookmarkStart w:id="149" w:name="_Toc228773418"/>
      <w:r w:rsidRPr="00C31183">
        <w:t>Important potential risks</w:t>
      </w:r>
      <w:bookmarkEnd w:id="149"/>
    </w:p>
    <w:p w:rsidR="00CE4F74" w:rsidRPr="00C31183" w:rsidRDefault="00CE4F74" w:rsidP="00483BE2">
      <w:pPr>
        <w:rPr>
          <w:lang w:eastAsia="ja-JP"/>
        </w:rPr>
      </w:pPr>
      <w:r w:rsidRPr="00C31183">
        <w:rPr>
          <w:lang w:eastAsia="ja-JP"/>
        </w:rPr>
        <w:t>The RMP identified two important potential risks, reproductive toxicity a</w:t>
      </w:r>
      <w:r w:rsidR="00483BE2">
        <w:rPr>
          <w:lang w:eastAsia="ja-JP"/>
        </w:rPr>
        <w:t>nd photosensitivity.</w:t>
      </w:r>
    </w:p>
    <w:p w:rsidR="00CE4F74" w:rsidRPr="00C31183" w:rsidRDefault="00CE4F74" w:rsidP="00483BE2">
      <w:pPr>
        <w:rPr>
          <w:lang w:eastAsia="ja-JP"/>
        </w:rPr>
      </w:pPr>
      <w:r w:rsidRPr="00143CC0">
        <w:rPr>
          <w:b/>
          <w:i/>
          <w:lang w:eastAsia="ja-JP"/>
        </w:rPr>
        <w:t xml:space="preserve">Reproductive toxicity </w:t>
      </w:r>
      <w:r w:rsidRPr="00143CC0">
        <w:rPr>
          <w:lang w:eastAsia="ja-JP"/>
        </w:rPr>
        <w:t xml:space="preserve">(all causality) was reported in 8 (07%) patients - 4 (0.2%) with </w:t>
      </w:r>
      <w:proofErr w:type="spellStart"/>
      <w:r w:rsidRPr="00143CC0">
        <w:rPr>
          <w:lang w:eastAsia="ja-JP"/>
        </w:rPr>
        <w:t>hypogonadism</w:t>
      </w:r>
      <w:proofErr w:type="spellEnd"/>
      <w:r w:rsidRPr="00143CC0">
        <w:rPr>
          <w:lang w:eastAsia="ja-JP"/>
        </w:rPr>
        <w:t xml:space="preserve"> (2 [0.2%] with Grade 1 events; 2 [0.2%] with Grade 2 events); and 4 (0.4%) with irregular menstruation (all Grade 1 events). Of the 8 patien</w:t>
      </w:r>
      <w:r w:rsidRPr="00C31183">
        <w:rPr>
          <w:lang w:eastAsia="ja-JP"/>
        </w:rPr>
        <w:t xml:space="preserve">ts with AEs compatible with reproductive toxicity, 2 (0.2%) were reported to have recovered and 6 (0.5%) were reported not to have recovered. There were no Grade 3, 4 or 5 AEs. There were no SAEs. The frequency of </w:t>
      </w:r>
      <w:r w:rsidRPr="00C31183">
        <w:rPr>
          <w:b/>
          <w:i/>
          <w:lang w:eastAsia="ja-JP"/>
        </w:rPr>
        <w:t>treatment-related AEs</w:t>
      </w:r>
      <w:r w:rsidRPr="00C31183">
        <w:rPr>
          <w:lang w:eastAsia="ja-JP"/>
        </w:rPr>
        <w:t xml:space="preserve"> compatible with possible reproductive toxicity is uncommon at 0.5% (95% C</w:t>
      </w:r>
      <w:r w:rsidR="00483BE2">
        <w:rPr>
          <w:lang w:eastAsia="ja-JP"/>
        </w:rPr>
        <w:t>I: 0.15, 1.1); 5/1106 patients.</w:t>
      </w:r>
    </w:p>
    <w:p w:rsidR="00CE4F74" w:rsidRPr="00C31183" w:rsidRDefault="00CE4F74" w:rsidP="00483BE2">
      <w:pPr>
        <w:rPr>
          <w:lang w:eastAsia="ja-JP"/>
        </w:rPr>
      </w:pPr>
      <w:r w:rsidRPr="00C31183">
        <w:rPr>
          <w:b/>
          <w:i/>
          <w:lang w:eastAsia="ja-JP"/>
        </w:rPr>
        <w:t xml:space="preserve">Photosensitivity (all causality) </w:t>
      </w:r>
      <w:r w:rsidRPr="00C31183">
        <w:rPr>
          <w:lang w:eastAsia="ja-JP"/>
        </w:rPr>
        <w:t xml:space="preserve">was reported in 5 (0.5%) patients – 4 with photosensitivity reaction (n=3, 0.3%, with Grade 1 events; n=1, 0.1%, with a Grade 2 event); and 1 (0.1%) with sunburn (Grade 1 event). Of the 5 patients with AEs compatible with photosensitivity, 3 (0.3%) </w:t>
      </w:r>
      <w:r w:rsidRPr="00C31183">
        <w:rPr>
          <w:lang w:eastAsia="ja-JP"/>
        </w:rPr>
        <w:lastRenderedPageBreak/>
        <w:t xml:space="preserve">were reported to have recovered and 2 (0.2%) were reported not to have recovered. There were no Grade 3, 4 or 5 AEs. There were no SAEs. The frequency of </w:t>
      </w:r>
      <w:r w:rsidRPr="00C31183">
        <w:rPr>
          <w:b/>
          <w:i/>
          <w:lang w:eastAsia="ja-JP"/>
        </w:rPr>
        <w:t>treatment-related AEs</w:t>
      </w:r>
      <w:r w:rsidRPr="00C31183">
        <w:rPr>
          <w:lang w:eastAsia="ja-JP"/>
        </w:rPr>
        <w:t xml:space="preserve"> compatible with possible photosensitivity is low at 0.3% (95% CI</w:t>
      </w:r>
      <w:r w:rsidR="00483BE2">
        <w:rPr>
          <w:lang w:eastAsia="ja-JP"/>
        </w:rPr>
        <w:t>: 0.06, 0.79); 3/1106 patients.</w:t>
      </w:r>
    </w:p>
    <w:p w:rsidR="00CE4F74" w:rsidRPr="00C31183" w:rsidRDefault="00CE4F74" w:rsidP="00483BE2">
      <w:pPr>
        <w:pStyle w:val="Heading4"/>
      </w:pPr>
      <w:bookmarkStart w:id="150" w:name="_Toc228773419"/>
      <w:r w:rsidRPr="00C31183">
        <w:t>Important missing information</w:t>
      </w:r>
      <w:bookmarkEnd w:id="150"/>
    </w:p>
    <w:p w:rsidR="00CE4F74" w:rsidRPr="00C31183" w:rsidRDefault="00CE4F74" w:rsidP="00483BE2">
      <w:pPr>
        <w:rPr>
          <w:lang w:eastAsia="ja-JP"/>
        </w:rPr>
      </w:pPr>
      <w:r w:rsidRPr="00C31183">
        <w:rPr>
          <w:lang w:eastAsia="ja-JP"/>
        </w:rPr>
        <w:t>The RMP lists the following important missing information: (a) patients with severe hepatic impairment; (b) patients with severe renal impairment; (c) paediatric patients; (d) pregnant and lactating women; (e) drug interaction with strong CYP3A inhibitors, strong CYP3A4 inducers, CYPA3A4 substrates with narrow therapeutic indices, P-glycoprotein substrates, proton-pump inhibitors or H2 antagonists; and (f) patients undergoing long-term treatment.</w:t>
      </w:r>
    </w:p>
    <w:p w:rsidR="00CE4F74" w:rsidRPr="00C31183" w:rsidRDefault="00CE4F74" w:rsidP="00483BE2">
      <w:pPr>
        <w:pStyle w:val="Heading4"/>
      </w:pPr>
      <w:bookmarkStart w:id="151" w:name="_Toc228773420"/>
      <w:r w:rsidRPr="00C31183">
        <w:t>Patient and prescriber education/information brochures</w:t>
      </w:r>
      <w:bookmarkEnd w:id="151"/>
    </w:p>
    <w:p w:rsidR="00CE4F74" w:rsidRPr="00C31183" w:rsidRDefault="00CE4F74" w:rsidP="00483BE2">
      <w:pPr>
        <w:rPr>
          <w:lang w:eastAsia="ja-JP"/>
        </w:rPr>
      </w:pPr>
      <w:r w:rsidRPr="00C31183">
        <w:rPr>
          <w:lang w:eastAsia="ja-JP"/>
        </w:rPr>
        <w:t>The patient and prescribe education/information brochures included in the RMP are considered to b</w:t>
      </w:r>
      <w:r w:rsidR="00483BE2">
        <w:rPr>
          <w:lang w:eastAsia="ja-JP"/>
        </w:rPr>
        <w:t>e satisfactory.</w:t>
      </w:r>
    </w:p>
    <w:p w:rsidR="00CE4F74" w:rsidRPr="00C31183" w:rsidRDefault="00CE4F74" w:rsidP="00483BE2">
      <w:pPr>
        <w:pStyle w:val="Heading4"/>
      </w:pPr>
      <w:bookmarkStart w:id="152" w:name="_Toc228773421"/>
      <w:r w:rsidRPr="00C31183">
        <w:t>Clinical evaluator’s conclusion on the safety data in the RMP</w:t>
      </w:r>
      <w:bookmarkEnd w:id="152"/>
    </w:p>
    <w:p w:rsidR="00CE4F74" w:rsidRPr="00C31183" w:rsidRDefault="00CE4F74" w:rsidP="00483BE2">
      <w:pPr>
        <w:rPr>
          <w:lang w:eastAsia="ja-JP"/>
        </w:rPr>
      </w:pPr>
      <w:r w:rsidRPr="00C31183">
        <w:rPr>
          <w:lang w:eastAsia="ja-JP"/>
        </w:rPr>
        <w:t xml:space="preserve">The safety data in the RMP is consistent with the safety data from </w:t>
      </w:r>
      <w:r>
        <w:rPr>
          <w:lang w:eastAsia="ja-JP"/>
        </w:rPr>
        <w:t>S</w:t>
      </w:r>
      <w:r w:rsidRPr="00C31183">
        <w:rPr>
          <w:lang w:eastAsia="ja-JP"/>
        </w:rPr>
        <w:t>tudy A8081007. The safety data are also consistent with the safety data submitted by the sponsor in its original a</w:t>
      </w:r>
      <w:bookmarkStart w:id="153" w:name="_Toc228773422"/>
      <w:r w:rsidR="00483BE2">
        <w:rPr>
          <w:lang w:eastAsia="ja-JP"/>
        </w:rPr>
        <w:t xml:space="preserve">pplication to register </w:t>
      </w:r>
      <w:proofErr w:type="spellStart"/>
      <w:r w:rsidR="00483BE2">
        <w:rPr>
          <w:lang w:eastAsia="ja-JP"/>
        </w:rPr>
        <w:t>Xalkori</w:t>
      </w:r>
      <w:proofErr w:type="spellEnd"/>
      <w:r w:rsidR="00483BE2">
        <w:rPr>
          <w:lang w:eastAsia="ja-JP"/>
        </w:rPr>
        <w:t>.</w:t>
      </w:r>
    </w:p>
    <w:p w:rsidR="00CE4F74" w:rsidRPr="00C31183" w:rsidRDefault="00CE4F74" w:rsidP="00483BE2">
      <w:pPr>
        <w:pStyle w:val="Heading2"/>
      </w:pPr>
      <w:bookmarkStart w:id="154" w:name="_Toc380058440"/>
      <w:bookmarkStart w:id="155" w:name="_Toc384975294"/>
      <w:r w:rsidRPr="00C31183">
        <w:t>References</w:t>
      </w:r>
      <w:bookmarkEnd w:id="153"/>
      <w:bookmarkEnd w:id="154"/>
      <w:bookmarkEnd w:id="155"/>
    </w:p>
    <w:p w:rsidR="00CE4F74" w:rsidRPr="00C31183" w:rsidRDefault="00CE4F74" w:rsidP="00483BE2">
      <w:pPr>
        <w:pStyle w:val="Numberbullet0"/>
        <w:rPr>
          <w:lang w:eastAsia="ja-JP"/>
        </w:rPr>
      </w:pPr>
      <w:r w:rsidRPr="00C31183">
        <w:rPr>
          <w:lang w:eastAsia="ja-JP"/>
        </w:rPr>
        <w:t xml:space="preserve">Robins JM, </w:t>
      </w:r>
      <w:proofErr w:type="spellStart"/>
      <w:r w:rsidRPr="00C31183">
        <w:rPr>
          <w:lang w:eastAsia="ja-JP"/>
        </w:rPr>
        <w:t>Tsiatis</w:t>
      </w:r>
      <w:proofErr w:type="spellEnd"/>
      <w:r w:rsidRPr="00C31183">
        <w:rPr>
          <w:lang w:eastAsia="ja-JP"/>
        </w:rPr>
        <w:t xml:space="preserve"> AA. Correcting for non-compliance in </w:t>
      </w:r>
      <w:r>
        <w:rPr>
          <w:lang w:eastAsia="ja-JP"/>
        </w:rPr>
        <w:t>randomised</w:t>
      </w:r>
      <w:r w:rsidRPr="00C31183">
        <w:rPr>
          <w:lang w:eastAsia="ja-JP"/>
        </w:rPr>
        <w:t xml:space="preserve"> trials using rank preserving structural failure time models. </w:t>
      </w:r>
      <w:proofErr w:type="gramStart"/>
      <w:r w:rsidRPr="00C31183">
        <w:rPr>
          <w:lang w:eastAsia="ja-JP"/>
        </w:rPr>
        <w:t>Communications in Statistics.</w:t>
      </w:r>
      <w:proofErr w:type="gramEnd"/>
      <w:r>
        <w:rPr>
          <w:lang w:eastAsia="ja-JP"/>
        </w:rPr>
        <w:t xml:space="preserve"> - Theory and Methods. </w:t>
      </w:r>
      <w:r w:rsidR="00483BE2">
        <w:rPr>
          <w:lang w:eastAsia="ja-JP"/>
        </w:rPr>
        <w:t>1991</w:t>
      </w:r>
      <w:proofErr w:type="gramStart"/>
      <w:r w:rsidR="00483BE2">
        <w:rPr>
          <w:lang w:eastAsia="ja-JP"/>
        </w:rPr>
        <w:t>;20:2609</w:t>
      </w:r>
      <w:proofErr w:type="gramEnd"/>
      <w:r w:rsidR="00483BE2">
        <w:rPr>
          <w:lang w:eastAsia="ja-JP"/>
        </w:rPr>
        <w:t>-31.</w:t>
      </w:r>
    </w:p>
    <w:p w:rsidR="00CE4F74" w:rsidRPr="00C31183" w:rsidRDefault="00CE4F74" w:rsidP="00483BE2">
      <w:pPr>
        <w:pStyle w:val="Numberbullet0"/>
        <w:rPr>
          <w:lang w:eastAsia="ja-JP"/>
        </w:rPr>
      </w:pPr>
      <w:r w:rsidRPr="00C31183">
        <w:rPr>
          <w:lang w:eastAsia="ja-JP"/>
        </w:rPr>
        <w:t xml:space="preserve">White IR, </w:t>
      </w:r>
      <w:proofErr w:type="spellStart"/>
      <w:r w:rsidRPr="00C31183">
        <w:rPr>
          <w:lang w:eastAsia="ja-JP"/>
        </w:rPr>
        <w:t>Babiker</w:t>
      </w:r>
      <w:proofErr w:type="spellEnd"/>
      <w:r w:rsidRPr="00C31183">
        <w:rPr>
          <w:lang w:eastAsia="ja-JP"/>
        </w:rPr>
        <w:t xml:space="preserve"> AG, </w:t>
      </w:r>
      <w:proofErr w:type="spellStart"/>
      <w:r w:rsidRPr="00C31183">
        <w:rPr>
          <w:lang w:eastAsia="ja-JP"/>
        </w:rPr>
        <w:t>Walkder</w:t>
      </w:r>
      <w:proofErr w:type="spellEnd"/>
      <w:r w:rsidRPr="00C31183">
        <w:rPr>
          <w:lang w:eastAsia="ja-JP"/>
        </w:rPr>
        <w:t xml:space="preserve"> S, et al. Randomization-based methods for correcting for treatment changes: examples from the Concorde trial. Statistics in Medicine 1999</w:t>
      </w:r>
      <w:proofErr w:type="gramStart"/>
      <w:r w:rsidRPr="00C31183">
        <w:rPr>
          <w:lang w:eastAsia="ja-JP"/>
        </w:rPr>
        <w:t>;18:2617</w:t>
      </w:r>
      <w:proofErr w:type="gramEnd"/>
      <w:r w:rsidRPr="00C31183">
        <w:rPr>
          <w:lang w:eastAsia="ja-JP"/>
        </w:rPr>
        <w:t>-</w:t>
      </w:r>
      <w:r w:rsidR="00483BE2">
        <w:rPr>
          <w:lang w:eastAsia="ja-JP"/>
        </w:rPr>
        <w:t>.</w:t>
      </w:r>
    </w:p>
    <w:p w:rsidR="00CE4F74" w:rsidRPr="00C31183" w:rsidRDefault="00CE4F74" w:rsidP="00483BE2">
      <w:pPr>
        <w:pStyle w:val="Numberbullet0"/>
        <w:rPr>
          <w:lang w:eastAsia="ja-JP"/>
        </w:rPr>
      </w:pPr>
      <w:r w:rsidRPr="00C31183">
        <w:rPr>
          <w:lang w:eastAsia="ja-JP"/>
        </w:rPr>
        <w:t xml:space="preserve">Robins JM, Hernan MA and </w:t>
      </w:r>
      <w:proofErr w:type="spellStart"/>
      <w:r w:rsidRPr="00C31183">
        <w:rPr>
          <w:lang w:eastAsia="ja-JP"/>
        </w:rPr>
        <w:t>Brumback</w:t>
      </w:r>
      <w:proofErr w:type="spellEnd"/>
      <w:r w:rsidRPr="00C31183">
        <w:rPr>
          <w:lang w:eastAsia="ja-JP"/>
        </w:rPr>
        <w:t xml:space="preserve"> B. Marginal Structural </w:t>
      </w:r>
      <w:r>
        <w:rPr>
          <w:lang w:eastAsia="ja-JP"/>
        </w:rPr>
        <w:t xml:space="preserve">Models and Causal Inference in </w:t>
      </w:r>
      <w:r w:rsidRPr="00C31183">
        <w:rPr>
          <w:lang w:eastAsia="ja-JP"/>
        </w:rPr>
        <w:t>Epidemiolog</w:t>
      </w:r>
      <w:r w:rsidR="00483BE2">
        <w:rPr>
          <w:lang w:eastAsia="ja-JP"/>
        </w:rPr>
        <w:t>y. Epidemiology 2000</w:t>
      </w:r>
      <w:proofErr w:type="gramStart"/>
      <w:r w:rsidR="00483BE2">
        <w:rPr>
          <w:lang w:eastAsia="ja-JP"/>
        </w:rPr>
        <w:t>;11:550</w:t>
      </w:r>
      <w:proofErr w:type="gramEnd"/>
      <w:r w:rsidR="00483BE2">
        <w:rPr>
          <w:lang w:eastAsia="ja-JP"/>
        </w:rPr>
        <w:t>-60.</w:t>
      </w:r>
    </w:p>
    <w:p w:rsidR="00CE4F74" w:rsidRPr="00C31183" w:rsidRDefault="00CE4F74" w:rsidP="00483BE2">
      <w:pPr>
        <w:pStyle w:val="Numberbullet0"/>
        <w:rPr>
          <w:lang w:eastAsia="ja-JP"/>
        </w:rPr>
      </w:pPr>
      <w:r w:rsidRPr="00C31183">
        <w:rPr>
          <w:lang w:eastAsia="ja-JP"/>
        </w:rPr>
        <w:t xml:space="preserve">Hernan MA and </w:t>
      </w:r>
      <w:proofErr w:type="spellStart"/>
      <w:r w:rsidRPr="00C31183">
        <w:rPr>
          <w:lang w:eastAsia="ja-JP"/>
        </w:rPr>
        <w:t>Brumback</w:t>
      </w:r>
      <w:proofErr w:type="spellEnd"/>
      <w:r w:rsidRPr="00C31183">
        <w:rPr>
          <w:lang w:eastAsia="ja-JP"/>
        </w:rPr>
        <w:t xml:space="preserve"> B. and Robins JM. Marginal Structural Models to estimate the Casual Effect of </w:t>
      </w:r>
      <w:proofErr w:type="spellStart"/>
      <w:r w:rsidRPr="00C31183">
        <w:rPr>
          <w:lang w:eastAsia="ja-JP"/>
        </w:rPr>
        <w:t>Zidovudine</w:t>
      </w:r>
      <w:proofErr w:type="spellEnd"/>
      <w:r w:rsidRPr="00C31183">
        <w:rPr>
          <w:lang w:eastAsia="ja-JP"/>
        </w:rPr>
        <w:t xml:space="preserve"> on the Survival of HIV-Positive Men.</w:t>
      </w:r>
      <w:r>
        <w:rPr>
          <w:lang w:eastAsia="ja-JP"/>
        </w:rPr>
        <w:t xml:space="preserve"> </w:t>
      </w:r>
      <w:proofErr w:type="gramStart"/>
      <w:r>
        <w:rPr>
          <w:lang w:eastAsia="ja-JP"/>
        </w:rPr>
        <w:t>Epidemiology.</w:t>
      </w:r>
      <w:proofErr w:type="gramEnd"/>
      <w:r>
        <w:rPr>
          <w:lang w:eastAsia="ja-JP"/>
        </w:rPr>
        <w:t xml:space="preserve"> Epidemiology </w:t>
      </w:r>
      <w:r w:rsidR="00483BE2">
        <w:rPr>
          <w:lang w:eastAsia="ja-JP"/>
        </w:rPr>
        <w:t>2000</w:t>
      </w:r>
      <w:proofErr w:type="gramStart"/>
      <w:r w:rsidR="00483BE2">
        <w:rPr>
          <w:lang w:eastAsia="ja-JP"/>
        </w:rPr>
        <w:t>;11:561</w:t>
      </w:r>
      <w:proofErr w:type="gramEnd"/>
      <w:r w:rsidR="00483BE2">
        <w:rPr>
          <w:lang w:eastAsia="ja-JP"/>
        </w:rPr>
        <w:t>–570.</w:t>
      </w:r>
    </w:p>
    <w:p w:rsidR="008D770F" w:rsidRPr="00AE01C2" w:rsidRDefault="00CE4F74" w:rsidP="008B5A3E">
      <w:pPr>
        <w:pStyle w:val="Numberbullet0"/>
        <w:rPr>
          <w:lang w:eastAsia="ja-JP"/>
        </w:rPr>
      </w:pPr>
      <w:proofErr w:type="spellStart"/>
      <w:r w:rsidRPr="00C31183">
        <w:rPr>
          <w:lang w:eastAsia="ja-JP"/>
        </w:rPr>
        <w:t>Schaubel</w:t>
      </w:r>
      <w:proofErr w:type="spellEnd"/>
      <w:r w:rsidRPr="00C31183">
        <w:rPr>
          <w:lang w:eastAsia="ja-JP"/>
        </w:rPr>
        <w:t xml:space="preserve"> DE and Wei G. Double inverse-weighted estimation o</w:t>
      </w:r>
      <w:r>
        <w:rPr>
          <w:lang w:eastAsia="ja-JP"/>
        </w:rPr>
        <w:t xml:space="preserve">f cumulative treatment effects </w:t>
      </w:r>
      <w:r w:rsidRPr="00C31183">
        <w:rPr>
          <w:lang w:eastAsia="ja-JP"/>
        </w:rPr>
        <w:t xml:space="preserve">under </w:t>
      </w:r>
      <w:proofErr w:type="spellStart"/>
      <w:r w:rsidRPr="00C31183">
        <w:rPr>
          <w:lang w:eastAsia="ja-JP"/>
        </w:rPr>
        <w:t>nonproportional</w:t>
      </w:r>
      <w:proofErr w:type="spellEnd"/>
      <w:r w:rsidRPr="00C31183">
        <w:rPr>
          <w:lang w:eastAsia="ja-JP"/>
        </w:rPr>
        <w:t xml:space="preserve"> hazards and dependent censoring. Biometrics 2011</w:t>
      </w:r>
      <w:proofErr w:type="gramStart"/>
      <w:r w:rsidRPr="00C31183">
        <w:rPr>
          <w:lang w:eastAsia="ja-JP"/>
        </w:rPr>
        <w:t>;67:29</w:t>
      </w:r>
      <w:proofErr w:type="gramEnd"/>
      <w:r w:rsidRPr="00C31183">
        <w:rPr>
          <w:lang w:eastAsia="ja-JP"/>
        </w:rPr>
        <w:t>-38.</w:t>
      </w:r>
    </w:p>
    <w:p w:rsidR="003D1E62" w:rsidRPr="001D043B" w:rsidRDefault="008E7846" w:rsidP="002666AC">
      <w:pPr>
        <w:sectPr w:rsidR="003D1E62" w:rsidRPr="001D043B" w:rsidSect="008D770F">
          <w:headerReference w:type="even" r:id="rId22"/>
          <w:headerReference w:type="default" r:id="rId23"/>
          <w:footerReference w:type="default" r:id="rId24"/>
          <w:headerReference w:type="first" r:id="rId25"/>
          <w:footerReference w:type="first" r:id="rId26"/>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BB3A08">
        <w:trPr>
          <w:trHeight w:hRule="exact" w:val="564"/>
        </w:trPr>
        <w:tc>
          <w:tcPr>
            <w:tcW w:w="9175" w:type="dxa"/>
          </w:tcPr>
          <w:p w:rsidR="00B3567E" w:rsidRPr="00487162" w:rsidRDefault="00B3567E" w:rsidP="00BB3A08">
            <w:pPr>
              <w:pStyle w:val="TGASignoff"/>
            </w:pPr>
            <w:r w:rsidRPr="00487162">
              <w:lastRenderedPageBreak/>
              <w:t>Therapeutic Goods Administration</w:t>
            </w:r>
          </w:p>
        </w:tc>
      </w:tr>
      <w:tr w:rsidR="00B3567E" w:rsidRPr="00487162" w:rsidTr="00BB3A08">
        <w:trPr>
          <w:trHeight w:val="1221"/>
        </w:trPr>
        <w:tc>
          <w:tcPr>
            <w:tcW w:w="9175" w:type="dxa"/>
            <w:tcMar>
              <w:top w:w="28" w:type="dxa"/>
            </w:tcMar>
          </w:tcPr>
          <w:p w:rsidR="00B3567E" w:rsidRPr="00487162" w:rsidRDefault="00B3567E" w:rsidP="00BB3A08">
            <w:pPr>
              <w:pStyle w:val="Address"/>
            </w:pPr>
            <w:r w:rsidRPr="00487162">
              <w:t>PO Box 100 Woden ACT 2606 Australia</w:t>
            </w:r>
          </w:p>
          <w:p w:rsidR="00B3567E" w:rsidRPr="00487162" w:rsidRDefault="00B3567E" w:rsidP="00BB3A08">
            <w:pPr>
              <w:pStyle w:val="Address"/>
            </w:pPr>
            <w:r w:rsidRPr="00487162">
              <w:t xml:space="preserve">Email: </w:t>
            </w:r>
            <w:hyperlink r:id="rId27" w:history="1">
              <w:r w:rsidRPr="008D770F">
                <w:rPr>
                  <w:rStyle w:val="Hyperlink"/>
                </w:rPr>
                <w:t>info@tga.gov.au</w:t>
              </w:r>
            </w:hyperlink>
            <w:r w:rsidRPr="00487162">
              <w:t xml:space="preserve">  Phone: 1800 020 653  Fax: 02 6232 8605</w:t>
            </w:r>
          </w:p>
          <w:p w:rsidR="00B3567E" w:rsidRPr="008D770F" w:rsidRDefault="00640CC5" w:rsidP="00BB3A08">
            <w:pPr>
              <w:pStyle w:val="Address"/>
              <w:spacing w:line="260" w:lineRule="atLeast"/>
              <w:rPr>
                <w:b/>
                <w:color w:val="0000FF"/>
                <w:u w:val="single"/>
              </w:rPr>
            </w:pPr>
            <w:hyperlink r:id="rId28"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29"/>
      <w:headerReference w:type="default" r:id="rId30"/>
      <w:footerReference w:type="default" r:id="rId31"/>
      <w:headerReference w:type="first" r:id="rId32"/>
      <w:footerReference w:type="first" r:id="rId33"/>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CC5" w:rsidRDefault="00640CC5" w:rsidP="00C40A36">
      <w:pPr>
        <w:spacing w:after="0"/>
      </w:pPr>
      <w:r>
        <w:separator/>
      </w:r>
    </w:p>
  </w:endnote>
  <w:endnote w:type="continuationSeparator" w:id="0">
    <w:p w:rsidR="00640CC5" w:rsidRDefault="00640CC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640CC5" w:rsidRPr="00487162" w:rsidTr="0053625B">
      <w:trPr>
        <w:trHeight w:val="269"/>
      </w:trPr>
      <w:tc>
        <w:tcPr>
          <w:tcW w:w="7938" w:type="dxa"/>
          <w:tcMar>
            <w:top w:w="142" w:type="dxa"/>
            <w:bottom w:w="0" w:type="dxa"/>
          </w:tcMar>
        </w:tcPr>
        <w:p w:rsidR="00640CC5" w:rsidRPr="00487162" w:rsidRDefault="00640CC5" w:rsidP="00CE4F74">
          <w:pPr>
            <w:pStyle w:val="Footer"/>
          </w:pPr>
          <w:r>
            <w:t>Submission</w:t>
          </w:r>
          <w:r w:rsidRPr="00487162">
            <w:t xml:space="preserve"> PM-20</w:t>
          </w:r>
          <w:r>
            <w:t>11</w:t>
          </w:r>
          <w:r w:rsidRPr="00487162">
            <w:t>-</w:t>
          </w:r>
          <w:r>
            <w:t>02752</w:t>
          </w:r>
          <w:r w:rsidRPr="00487162">
            <w:t>-</w:t>
          </w:r>
          <w:r>
            <w:t xml:space="preserve">3-4 Extract from the Clinical Evaluation Report for </w:t>
          </w:r>
          <w:proofErr w:type="spellStart"/>
          <w:r>
            <w:t>Xalkori</w:t>
          </w:r>
          <w:proofErr w:type="spellEnd"/>
        </w:p>
      </w:tc>
      <w:tc>
        <w:tcPr>
          <w:tcW w:w="923" w:type="dxa"/>
          <w:tcMar>
            <w:top w:w="142" w:type="dxa"/>
            <w:bottom w:w="0" w:type="dxa"/>
          </w:tcMar>
        </w:tcPr>
        <w:p w:rsidR="00640CC5" w:rsidRPr="00487162" w:rsidRDefault="00640CC5" w:rsidP="00D855D4">
          <w:pPr>
            <w:pStyle w:val="Footer"/>
            <w:jc w:val="right"/>
          </w:pPr>
          <w:r w:rsidRPr="00487162">
            <w:t xml:space="preserve">Page </w:t>
          </w:r>
          <w:r>
            <w:t>2</w:t>
          </w:r>
          <w:r w:rsidRPr="00487162">
            <w:t xml:space="preserve"> of </w:t>
          </w:r>
          <w:r>
            <w:fldChar w:fldCharType="begin"/>
          </w:r>
          <w:r>
            <w:instrText xml:space="preserve"> NUMPAGES  \* Arabic </w:instrText>
          </w:r>
          <w:r>
            <w:fldChar w:fldCharType="separate"/>
          </w:r>
          <w:r w:rsidR="005B4BFC">
            <w:rPr>
              <w:noProof/>
            </w:rPr>
            <w:t>61</w:t>
          </w:r>
          <w:r>
            <w:rPr>
              <w:noProof/>
            </w:rPr>
            <w:fldChar w:fldCharType="end"/>
          </w:r>
        </w:p>
      </w:tc>
    </w:tr>
  </w:tbl>
  <w:p w:rsidR="00640CC5" w:rsidRDefault="00640CC5"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640CC5" w:rsidRPr="00487162" w:rsidTr="00586F98">
      <w:trPr>
        <w:trHeight w:val="269"/>
      </w:trPr>
      <w:tc>
        <w:tcPr>
          <w:tcW w:w="7655" w:type="dxa"/>
          <w:tcMar>
            <w:top w:w="142" w:type="dxa"/>
            <w:bottom w:w="0" w:type="dxa"/>
          </w:tcMar>
        </w:tcPr>
        <w:p w:rsidR="00640CC5" w:rsidRPr="00487162" w:rsidRDefault="00640CC5" w:rsidP="00CE4F74">
          <w:pPr>
            <w:pStyle w:val="Footer"/>
          </w:pPr>
          <w:r>
            <w:t>Submission</w:t>
          </w:r>
          <w:r w:rsidRPr="00487162">
            <w:t xml:space="preserve"> PM-20</w:t>
          </w:r>
          <w:r>
            <w:t>11</w:t>
          </w:r>
          <w:r w:rsidRPr="00487162">
            <w:t>-</w:t>
          </w:r>
          <w:r>
            <w:t>02752</w:t>
          </w:r>
          <w:r w:rsidRPr="00487162">
            <w:t>-</w:t>
          </w:r>
          <w:r>
            <w:t>3</w:t>
          </w:r>
          <w:r w:rsidRPr="00487162">
            <w:t>-</w:t>
          </w:r>
          <w:r>
            <w:t xml:space="preserve">4 Extract from the Clinical Evaluation Report for </w:t>
          </w:r>
          <w:proofErr w:type="spellStart"/>
          <w:r>
            <w:t>Xalkori</w:t>
          </w:r>
          <w:proofErr w:type="spellEnd"/>
        </w:p>
      </w:tc>
      <w:tc>
        <w:tcPr>
          <w:tcW w:w="1206" w:type="dxa"/>
          <w:tcMar>
            <w:top w:w="142" w:type="dxa"/>
            <w:bottom w:w="0" w:type="dxa"/>
          </w:tcMar>
        </w:tcPr>
        <w:p w:rsidR="00640CC5" w:rsidRPr="00487162" w:rsidRDefault="00640CC5" w:rsidP="00E45619">
          <w:pPr>
            <w:pStyle w:val="Footer"/>
            <w:jc w:val="right"/>
          </w:pPr>
          <w:r w:rsidRPr="00487162">
            <w:t xml:space="preserve">Page </w:t>
          </w:r>
          <w:r>
            <w:fldChar w:fldCharType="begin"/>
          </w:r>
          <w:r>
            <w:instrText>PAGE</w:instrText>
          </w:r>
          <w:r>
            <w:fldChar w:fldCharType="separate"/>
          </w:r>
          <w:r w:rsidR="005B4BFC">
            <w:rPr>
              <w:noProof/>
            </w:rPr>
            <w:t>4</w:t>
          </w:r>
          <w:r>
            <w:rPr>
              <w:noProof/>
            </w:rPr>
            <w:fldChar w:fldCharType="end"/>
          </w:r>
          <w:r w:rsidRPr="00487162">
            <w:t xml:space="preserve"> of </w:t>
          </w:r>
          <w:r>
            <w:fldChar w:fldCharType="begin"/>
          </w:r>
          <w:r>
            <w:instrText xml:space="preserve"> NUMPAGES  \* Arabic </w:instrText>
          </w:r>
          <w:r>
            <w:fldChar w:fldCharType="separate"/>
          </w:r>
          <w:r w:rsidR="005B4BFC">
            <w:rPr>
              <w:noProof/>
            </w:rPr>
            <w:t>61</w:t>
          </w:r>
          <w:r>
            <w:rPr>
              <w:noProof/>
            </w:rPr>
            <w:fldChar w:fldCharType="end"/>
          </w:r>
        </w:p>
      </w:tc>
    </w:tr>
  </w:tbl>
  <w:p w:rsidR="00640CC5" w:rsidRDefault="00640CC5"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40CC5" w:rsidRPr="00487162" w:rsidTr="00E45619">
      <w:trPr>
        <w:trHeight w:val="269"/>
      </w:trPr>
      <w:tc>
        <w:tcPr>
          <w:tcW w:w="4519" w:type="dxa"/>
          <w:tcBorders>
            <w:top w:val="single" w:sz="4" w:space="0" w:color="auto"/>
          </w:tcBorders>
          <w:tcMar>
            <w:top w:w="142" w:type="dxa"/>
            <w:bottom w:w="0" w:type="dxa"/>
          </w:tcMar>
        </w:tcPr>
        <w:p w:rsidR="00640CC5" w:rsidRPr="00487162" w:rsidRDefault="00640CC5" w:rsidP="00FE1DEE">
          <w:pPr>
            <w:pStyle w:val="Footer"/>
          </w:pPr>
          <w:r w:rsidRPr="00487162">
            <w:t>Document title, Part #, Section # - Section title</w:t>
          </w:r>
        </w:p>
        <w:p w:rsidR="00640CC5" w:rsidRPr="00487162" w:rsidRDefault="00640CC5" w:rsidP="00FE1DEE">
          <w:pPr>
            <w:pStyle w:val="Footer"/>
          </w:pPr>
          <w:r w:rsidRPr="00487162">
            <w:t>V1.0 October 2010</w:t>
          </w:r>
        </w:p>
      </w:tc>
      <w:tc>
        <w:tcPr>
          <w:tcW w:w="4342" w:type="dxa"/>
          <w:tcBorders>
            <w:top w:val="single" w:sz="4" w:space="0" w:color="auto"/>
          </w:tcBorders>
          <w:tcMar>
            <w:top w:w="142" w:type="dxa"/>
            <w:bottom w:w="0" w:type="dxa"/>
          </w:tcMar>
        </w:tcPr>
        <w:p w:rsidR="00640CC5" w:rsidRPr="00487162" w:rsidRDefault="00640CC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4</w:t>
          </w:r>
          <w:r>
            <w:rPr>
              <w:noProof/>
            </w:rPr>
            <w:fldChar w:fldCharType="end"/>
          </w:r>
        </w:p>
      </w:tc>
    </w:tr>
  </w:tbl>
  <w:p w:rsidR="00640CC5" w:rsidRDefault="00640CC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CC5" w:rsidRDefault="00640CC5"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40CC5" w:rsidTr="0010601F">
      <w:trPr>
        <w:trHeight w:val="108"/>
      </w:trPr>
      <w:tc>
        <w:tcPr>
          <w:tcW w:w="8875" w:type="dxa"/>
          <w:gridSpan w:val="2"/>
          <w:tcBorders>
            <w:bottom w:val="single" w:sz="4" w:space="0" w:color="auto"/>
          </w:tcBorders>
          <w:tcMar>
            <w:right w:w="284" w:type="dxa"/>
          </w:tcMar>
        </w:tcPr>
        <w:p w:rsidR="00640CC5" w:rsidRDefault="00640CC5" w:rsidP="006E08B3">
          <w:pPr>
            <w:pStyle w:val="Heading3"/>
          </w:pPr>
          <w:r>
            <w:t>Copyright</w:t>
          </w:r>
        </w:p>
        <w:p w:rsidR="00640CC5" w:rsidRDefault="00640CC5" w:rsidP="006E08B3">
          <w:r>
            <w:rPr>
              <w:rFonts w:cs="Arial"/>
            </w:rPr>
            <w:t>©</w:t>
          </w:r>
          <w:r>
            <w:t xml:space="preserve"> Commonwealth of Australia [add year]</w:t>
          </w:r>
        </w:p>
        <w:p w:rsidR="00640CC5" w:rsidRDefault="00640CC5" w:rsidP="006E08B3"/>
        <w:p w:rsidR="00640CC5" w:rsidRDefault="00640CC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40CC5" w:rsidRDefault="00640CC5" w:rsidP="006E08B3"/>
        <w:p w:rsidR="00640CC5" w:rsidRDefault="00640CC5" w:rsidP="006E08B3">
          <w:pPr>
            <w:pStyle w:val="Heading3"/>
          </w:pPr>
          <w:r>
            <w:t>Confidentiality</w:t>
          </w:r>
        </w:p>
        <w:p w:rsidR="00640CC5" w:rsidRDefault="00640CC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40CC5" w:rsidRDefault="00640CC5" w:rsidP="006E08B3"/>
        <w:p w:rsidR="00640CC5" w:rsidRDefault="00640CC5" w:rsidP="006E08B3">
          <w:r>
            <w:t>For submission made by individuals, all personal details, other than your name, will be removed from your submission before it is published on the TGA’s Internet site.</w:t>
          </w:r>
        </w:p>
        <w:p w:rsidR="00640CC5" w:rsidRDefault="00640CC5" w:rsidP="006E08B3"/>
        <w:p w:rsidR="00640CC5" w:rsidRDefault="00640CC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40CC5" w:rsidTr="0010601F">
      <w:trPr>
        <w:trHeight w:val="417"/>
      </w:trPr>
      <w:tc>
        <w:tcPr>
          <w:tcW w:w="4519" w:type="dxa"/>
          <w:tcBorders>
            <w:top w:val="single" w:sz="4" w:space="0" w:color="auto"/>
          </w:tcBorders>
          <w:tcMar>
            <w:top w:w="142" w:type="dxa"/>
            <w:bottom w:w="0" w:type="dxa"/>
          </w:tcMar>
        </w:tcPr>
        <w:p w:rsidR="00640CC5" w:rsidRDefault="00640CC5" w:rsidP="006E08B3">
          <w:r>
            <w:t>Document title, Part #, Section # - Section title</w:t>
          </w:r>
        </w:p>
        <w:p w:rsidR="00640CC5" w:rsidRDefault="00640CC5" w:rsidP="006E08B3">
          <w:r>
            <w:t>V1.0 October 2010</w:t>
          </w:r>
        </w:p>
      </w:tc>
      <w:tc>
        <w:tcPr>
          <w:tcW w:w="4356" w:type="dxa"/>
          <w:tcBorders>
            <w:top w:val="single" w:sz="4" w:space="0" w:color="auto"/>
          </w:tcBorders>
          <w:tcMar>
            <w:top w:w="142" w:type="dxa"/>
            <w:bottom w:w="0" w:type="dxa"/>
          </w:tcMar>
        </w:tcPr>
        <w:p w:rsidR="00640CC5" w:rsidRDefault="00640CC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4</w:t>
          </w:r>
          <w:r>
            <w:rPr>
              <w:noProof/>
            </w:rPr>
            <w:fldChar w:fldCharType="end"/>
          </w:r>
          <w:r>
            <w:t xml:space="preserve">  </w:t>
          </w:r>
        </w:p>
      </w:tc>
    </w:tr>
  </w:tbl>
  <w:p w:rsidR="00640CC5" w:rsidRDefault="00640C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CC5" w:rsidRDefault="00640CC5" w:rsidP="00C40A36">
      <w:pPr>
        <w:spacing w:after="0"/>
      </w:pPr>
      <w:r>
        <w:separator/>
      </w:r>
    </w:p>
  </w:footnote>
  <w:footnote w:type="continuationSeparator" w:id="0">
    <w:p w:rsidR="00640CC5" w:rsidRDefault="00640CC5" w:rsidP="00C40A36">
      <w:pPr>
        <w:spacing w:after="0"/>
      </w:pPr>
      <w:r>
        <w:continuationSeparator/>
      </w:r>
    </w:p>
  </w:footnote>
  <w:footnote w:id="1">
    <w:p w:rsidR="00640CC5" w:rsidRPr="00640CC5" w:rsidRDefault="00640CC5" w:rsidP="00640CC5">
      <w:pPr>
        <w:pStyle w:val="FootnoteText"/>
      </w:pPr>
      <w:r>
        <w:rPr>
          <w:rStyle w:val="FootnoteReference"/>
        </w:rPr>
        <w:footnoteRef/>
      </w:r>
      <w:r>
        <w:t>This report includes amendments proposed by the sponsor and accepted by the TGA prior to the decision by the AAT.</w:t>
      </w:r>
    </w:p>
  </w:footnote>
  <w:footnote w:id="2">
    <w:p w:rsidR="00640CC5" w:rsidRDefault="00640CC5" w:rsidP="00CE4F74">
      <w:pPr>
        <w:pStyle w:val="FootnoteText"/>
      </w:pPr>
      <w:r>
        <w:rPr>
          <w:rStyle w:val="FootnoteReference"/>
        </w:rPr>
        <w:footnoteRef/>
      </w:r>
      <w:r>
        <w:t xml:space="preserve"> </w:t>
      </w:r>
      <w:r w:rsidR="002C69B9" w:rsidRPr="002C69B9">
        <w:t>CPMP/EWP/205/95/Rev.3/Corr. Guideline on the evaluation of anticancer medicinal products in man</w:t>
      </w:r>
    </w:p>
  </w:footnote>
  <w:footnote w:id="3">
    <w:p w:rsidR="00640CC5" w:rsidRDefault="00640CC5" w:rsidP="000B78FC">
      <w:pPr>
        <w:pStyle w:val="FootnoteText"/>
      </w:pPr>
      <w:r w:rsidRPr="001249D5">
        <w:rPr>
          <w:rStyle w:val="FootnoteReference"/>
        </w:rPr>
        <w:footnoteRef/>
      </w:r>
      <w:r w:rsidRPr="001249D5">
        <w:t xml:space="preserve">The Delegate noted that the analyses described did </w:t>
      </w:r>
      <w:r w:rsidRPr="000B78FC">
        <w:t>not</w:t>
      </w:r>
      <w:r w:rsidRPr="001249D5">
        <w:t xml:space="preserve"> include Duration of Response.</w:t>
      </w:r>
    </w:p>
  </w:footnote>
  <w:footnote w:id="4">
    <w:p w:rsidR="00640CC5" w:rsidRPr="00D040C2" w:rsidRDefault="00640CC5" w:rsidP="00D040C2">
      <w:pPr>
        <w:pStyle w:val="FootnoteText"/>
      </w:pPr>
      <w:r>
        <w:rPr>
          <w:rStyle w:val="FootnoteReference"/>
        </w:rPr>
        <w:footnoteRef/>
      </w:r>
      <w:r>
        <w:t xml:space="preserve"> </w:t>
      </w:r>
      <w:proofErr w:type="gramStart"/>
      <w:r w:rsidRPr="00BF6363">
        <w:t>ECOG Performance Status.</w:t>
      </w:r>
      <w:proofErr w:type="gramEnd"/>
      <w:r w:rsidRPr="00BF6363">
        <w:t xml:space="preserve"> The Eastern Cooperative Oncology Group (ECOG) has developed criteria used by doctors and researchers to assess how a patient's disease is progressing, assess how the disease affects the daily living abilities of the patient, and determine appropriate treatment and prognosis</w:t>
      </w:r>
      <w:r w:rsidRPr="00BF6363">
        <w:rPr>
          <w:i/>
          <w:iCs/>
        </w:rPr>
        <w:t xml:space="preserve">. </w:t>
      </w:r>
      <w:r w:rsidR="00D040C2">
        <w:t>The following are used:</w:t>
      </w:r>
    </w:p>
    <w:p w:rsidR="00640CC5" w:rsidRPr="00D040C2" w:rsidRDefault="00640CC5" w:rsidP="00D040C2">
      <w:pPr>
        <w:pStyle w:val="FootnoteText"/>
      </w:pPr>
      <w:r w:rsidRPr="00BF6363">
        <w:rPr>
          <w:iCs/>
        </w:rPr>
        <w:t xml:space="preserve">0 - </w:t>
      </w:r>
      <w:r w:rsidRPr="00BF6363">
        <w:t>Fully active, able to carry on all pre-disease performance without restriction</w:t>
      </w:r>
    </w:p>
    <w:p w:rsidR="00640CC5" w:rsidRPr="00BF6363" w:rsidRDefault="00640CC5" w:rsidP="00D040C2">
      <w:pPr>
        <w:pStyle w:val="FootnoteText"/>
      </w:pPr>
      <w:r w:rsidRPr="00BF6363">
        <w:t>1- Restricted in physically strenuous activity but ambulatory and able to carry out work of a light or sedentary nature, e.g., light house work, office work</w:t>
      </w:r>
    </w:p>
    <w:p w:rsidR="00640CC5" w:rsidRPr="00BF6363" w:rsidRDefault="00640CC5" w:rsidP="00D040C2">
      <w:pPr>
        <w:pStyle w:val="FootnoteText"/>
      </w:pPr>
      <w:r w:rsidRPr="00BF6363">
        <w:t xml:space="preserve">2 - Ambulatory and capable of all </w:t>
      </w:r>
      <w:proofErr w:type="spellStart"/>
      <w:r w:rsidRPr="00BF6363">
        <w:t>selfcare</w:t>
      </w:r>
      <w:proofErr w:type="spellEnd"/>
      <w:r w:rsidRPr="00BF6363">
        <w:t xml:space="preserve"> but unable to carry out any work activities. Up and about more than 50% of waking hours</w:t>
      </w:r>
    </w:p>
    <w:p w:rsidR="00640CC5" w:rsidRPr="00BF6363" w:rsidRDefault="00640CC5" w:rsidP="00D040C2">
      <w:pPr>
        <w:pStyle w:val="FootnoteText"/>
      </w:pPr>
      <w:r w:rsidRPr="00BF6363">
        <w:t xml:space="preserve">3 - Capable of only limited </w:t>
      </w:r>
      <w:proofErr w:type="spellStart"/>
      <w:r w:rsidRPr="00BF6363">
        <w:t>selfcare</w:t>
      </w:r>
      <w:proofErr w:type="spellEnd"/>
      <w:r w:rsidRPr="00BF6363">
        <w:t xml:space="preserve">, confined to bed or chair more </w:t>
      </w:r>
      <w:r w:rsidRPr="00D040C2">
        <w:t>than</w:t>
      </w:r>
      <w:r w:rsidRPr="00BF6363">
        <w:t xml:space="preserve"> 50% of waking hours</w:t>
      </w:r>
    </w:p>
    <w:p w:rsidR="00640CC5" w:rsidRPr="00BF6363" w:rsidRDefault="00640CC5" w:rsidP="00D040C2">
      <w:pPr>
        <w:pStyle w:val="FootnoteText"/>
      </w:pPr>
      <w:r w:rsidRPr="00BF6363">
        <w:t xml:space="preserve">4 - Completely disabled. </w:t>
      </w:r>
      <w:proofErr w:type="gramStart"/>
      <w:r w:rsidRPr="00BF6363">
        <w:t xml:space="preserve">Cannot carry on any </w:t>
      </w:r>
      <w:proofErr w:type="spellStart"/>
      <w:r w:rsidRPr="00BF6363">
        <w:t>selfcare</w:t>
      </w:r>
      <w:proofErr w:type="spellEnd"/>
      <w:r w:rsidRPr="00BF6363">
        <w:t>.</w:t>
      </w:r>
      <w:proofErr w:type="gramEnd"/>
      <w:r w:rsidRPr="00BF6363">
        <w:t xml:space="preserve"> Totally </w:t>
      </w:r>
      <w:r w:rsidRPr="00D040C2">
        <w:t>confined</w:t>
      </w:r>
      <w:r w:rsidRPr="00BF6363">
        <w:t xml:space="preserve"> to bed or chair</w:t>
      </w:r>
    </w:p>
    <w:p w:rsidR="00640CC5" w:rsidRPr="00D040C2" w:rsidRDefault="00640CC5" w:rsidP="00D040C2">
      <w:pPr>
        <w:pStyle w:val="FootnoteText"/>
      </w:pPr>
      <w:r w:rsidRPr="00BF6363">
        <w:t>5 – Dead</w:t>
      </w:r>
    </w:p>
  </w:footnote>
  <w:footnote w:id="5">
    <w:p w:rsidR="00640CC5" w:rsidRPr="00D040C2" w:rsidRDefault="00640CC5" w:rsidP="00D040C2">
      <w:pPr>
        <w:pStyle w:val="FootnoteText"/>
      </w:pPr>
      <w:r>
        <w:rPr>
          <w:rStyle w:val="FootnoteReference"/>
        </w:rPr>
        <w:footnoteRef/>
      </w:r>
      <w:r>
        <w:t xml:space="preserve"> </w:t>
      </w:r>
      <w:r w:rsidRPr="00165615">
        <w:t>The EORTC QLQ-C30 is a questionnaire developed to assess the quality of life of cancer patients</w:t>
      </w:r>
      <w:r>
        <w:t>.</w:t>
      </w:r>
    </w:p>
  </w:footnote>
  <w:footnote w:id="6">
    <w:p w:rsidR="00640CC5" w:rsidRDefault="00640CC5" w:rsidP="009C55C1">
      <w:pPr>
        <w:pStyle w:val="FootnoteText"/>
      </w:pPr>
      <w:r>
        <w:rPr>
          <w:rStyle w:val="FootnoteReference"/>
        </w:rPr>
        <w:footnoteRef/>
      </w:r>
      <w:r>
        <w:t xml:space="preserve"> Sponsor correction: </w:t>
      </w:r>
      <w:r w:rsidRPr="00DF5FF8">
        <w:t>The protocol did not require on-</w:t>
      </w:r>
      <w:r w:rsidRPr="009C55C1">
        <w:t>treatment</w:t>
      </w:r>
      <w:r w:rsidRPr="00DF5FF8">
        <w:t xml:space="preserve"> ECGs for the chemotherapy arm.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CC5" w:rsidRDefault="00640CC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CC5" w:rsidRDefault="00640CC5">
    <w:pPr>
      <w:rPr>
        <w:noProof/>
        <w:lang w:eastAsia="en-AU"/>
      </w:rPr>
    </w:pPr>
    <w:r w:rsidRPr="002D545C">
      <w:rPr>
        <w:noProof/>
        <w:lang w:eastAsia="en-AU"/>
      </w:rPr>
      <w:drawing>
        <wp:anchor distT="0" distB="0" distL="114300" distR="114300" simplePos="0" relativeHeight="251659264" behindDoc="1" locked="0" layoutInCell="1" allowOverlap="1" wp14:anchorId="73B46F00" wp14:editId="6C13573F">
          <wp:simplePos x="0" y="0"/>
          <wp:positionH relativeFrom="column">
            <wp:posOffset>-1081709</wp:posOffset>
          </wp:positionH>
          <wp:positionV relativeFrom="paragraph">
            <wp:posOffset>-585470</wp:posOffset>
          </wp:positionV>
          <wp:extent cx="7572375" cy="10706100"/>
          <wp:effectExtent l="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640CC5" w:rsidRDefault="00640CC5" w:rsidP="00593AD1">
    <w:pPr>
      <w:pStyle w:val="HeaderNoLine"/>
    </w:pPr>
    <w:r>
      <w:rPr>
        <w:noProof/>
        <w:lang w:eastAsia="en-AU"/>
      </w:rPr>
      <w:drawing>
        <wp:inline distT="0" distB="0" distL="0" distR="0">
          <wp:extent cx="5400675" cy="7639050"/>
          <wp:effectExtent l="0" t="0" r="0" b="0"/>
          <wp:docPr id="9" name="Picture 9"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CC5" w:rsidRDefault="00640CC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CC5" w:rsidRDefault="00640CC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CC5" w:rsidRDefault="00640CC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CC5" w:rsidRDefault="00640CC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CC5" w:rsidRDefault="00640CC5"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CC5" w:rsidRDefault="00640CC5" w:rsidP="006E08B3">
    <w:r>
      <w:t>Therapeutic Goods Administration</w:t>
    </w:r>
  </w:p>
  <w:p w:rsidR="00640CC5" w:rsidRDefault="00640CC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8FA8780"/>
    <w:lvl w:ilvl="0">
      <w:start w:val="1"/>
      <w:numFmt w:val="decimal"/>
      <w:lvlText w:val="%1."/>
      <w:lvlJc w:val="left"/>
      <w:pPr>
        <w:tabs>
          <w:tab w:val="num" w:pos="1492"/>
        </w:tabs>
        <w:ind w:left="1492" w:hanging="360"/>
      </w:pPr>
    </w:lvl>
  </w:abstractNum>
  <w:abstractNum w:abstractNumId="1">
    <w:nsid w:val="FFFFFF7D"/>
    <w:multiLevelType w:val="singleLevel"/>
    <w:tmpl w:val="4E22C386"/>
    <w:lvl w:ilvl="0">
      <w:start w:val="1"/>
      <w:numFmt w:val="decimal"/>
      <w:lvlText w:val="%1."/>
      <w:lvlJc w:val="left"/>
      <w:pPr>
        <w:tabs>
          <w:tab w:val="num" w:pos="1209"/>
        </w:tabs>
        <w:ind w:left="1209" w:hanging="360"/>
      </w:pPr>
    </w:lvl>
  </w:abstractNum>
  <w:abstractNum w:abstractNumId="2">
    <w:nsid w:val="FFFFFF7E"/>
    <w:multiLevelType w:val="singleLevel"/>
    <w:tmpl w:val="37807C92"/>
    <w:lvl w:ilvl="0">
      <w:start w:val="1"/>
      <w:numFmt w:val="decimal"/>
      <w:lvlText w:val="%1."/>
      <w:lvlJc w:val="left"/>
      <w:pPr>
        <w:tabs>
          <w:tab w:val="num" w:pos="926"/>
        </w:tabs>
        <w:ind w:left="926" w:hanging="360"/>
      </w:pPr>
    </w:lvl>
  </w:abstractNum>
  <w:abstractNum w:abstractNumId="3">
    <w:nsid w:val="FFFFFF7F"/>
    <w:multiLevelType w:val="singleLevel"/>
    <w:tmpl w:val="1A86DEBA"/>
    <w:lvl w:ilvl="0">
      <w:start w:val="1"/>
      <w:numFmt w:val="decimal"/>
      <w:lvlText w:val="%1."/>
      <w:lvlJc w:val="left"/>
      <w:pPr>
        <w:tabs>
          <w:tab w:val="num" w:pos="643"/>
        </w:tabs>
        <w:ind w:left="643" w:hanging="360"/>
      </w:pPr>
    </w:lvl>
  </w:abstractNum>
  <w:abstractNum w:abstractNumId="4">
    <w:nsid w:val="FFFFFF80"/>
    <w:multiLevelType w:val="singleLevel"/>
    <w:tmpl w:val="8B9C4D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52CE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036A6572"/>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Wingdings"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Wingdings"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Wingdings" w:hint="default"/>
      </w:rPr>
    </w:lvl>
    <w:lvl w:ilvl="8" w:tplc="0C090005" w:tentative="1">
      <w:start w:val="1"/>
      <w:numFmt w:val="bullet"/>
      <w:lvlText w:val=""/>
      <w:lvlJc w:val="left"/>
      <w:pPr>
        <w:ind w:left="7614" w:hanging="360"/>
      </w:pPr>
      <w:rPr>
        <w:rFonts w:ascii="Wingdings" w:hAnsi="Wingdings" w:hint="default"/>
      </w:rPr>
    </w:lvl>
  </w:abstractNum>
  <w:abstractNum w:abstractNumId="1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238E24AA"/>
    <w:multiLevelType w:val="multilevel"/>
    <w:tmpl w:val="8E943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Wingdings"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Wingdings"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Wingdings"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Wingdings"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Wingdings"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Wingdings"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7">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DD12F12"/>
    <w:multiLevelType w:val="hybridMultilevel"/>
    <w:tmpl w:val="9828A8A8"/>
    <w:lvl w:ilvl="0" w:tplc="C114BE4A">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0">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1">
    <w:nsid w:val="63366163"/>
    <w:multiLevelType w:val="multilevel"/>
    <w:tmpl w:val="D8DE4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3F595D"/>
    <w:multiLevelType w:val="hybridMultilevel"/>
    <w:tmpl w:val="86B69502"/>
    <w:lvl w:ilvl="0" w:tplc="F5C052B2">
      <w:start w:val="1"/>
      <w:numFmt w:val="bullet"/>
      <w:pStyle w:val="Instructions2"/>
      <w:lvlText w:val="­"/>
      <w:lvlJc w:val="left"/>
      <w:pPr>
        <w:ind w:left="644" w:hanging="360"/>
      </w:pPr>
      <w:rPr>
        <w:rFonts w:ascii="Calibri" w:hAnsi="Calibri" w:hint="default"/>
      </w:rPr>
    </w:lvl>
    <w:lvl w:ilvl="1" w:tplc="052CECCE" w:tentative="1">
      <w:start w:val="1"/>
      <w:numFmt w:val="bullet"/>
      <w:lvlText w:val="o"/>
      <w:lvlJc w:val="left"/>
      <w:pPr>
        <w:ind w:left="1610" w:hanging="360"/>
      </w:pPr>
      <w:rPr>
        <w:rFonts w:ascii="Courier New" w:hAnsi="Courier New" w:cs="Wingdings" w:hint="default"/>
      </w:rPr>
    </w:lvl>
    <w:lvl w:ilvl="2" w:tplc="1DC45C4C" w:tentative="1">
      <w:start w:val="1"/>
      <w:numFmt w:val="bullet"/>
      <w:lvlText w:val=""/>
      <w:lvlJc w:val="left"/>
      <w:pPr>
        <w:ind w:left="2330" w:hanging="360"/>
      </w:pPr>
      <w:rPr>
        <w:rFonts w:ascii="Wingdings" w:hAnsi="Wingdings" w:hint="default"/>
      </w:rPr>
    </w:lvl>
    <w:lvl w:ilvl="3" w:tplc="5BA6449C" w:tentative="1">
      <w:start w:val="1"/>
      <w:numFmt w:val="bullet"/>
      <w:lvlText w:val=""/>
      <w:lvlJc w:val="left"/>
      <w:pPr>
        <w:ind w:left="3050" w:hanging="360"/>
      </w:pPr>
      <w:rPr>
        <w:rFonts w:ascii="Symbol" w:hAnsi="Symbol" w:hint="default"/>
      </w:rPr>
    </w:lvl>
    <w:lvl w:ilvl="4" w:tplc="9E3035F4" w:tentative="1">
      <w:start w:val="1"/>
      <w:numFmt w:val="bullet"/>
      <w:lvlText w:val="o"/>
      <w:lvlJc w:val="left"/>
      <w:pPr>
        <w:ind w:left="3770" w:hanging="360"/>
      </w:pPr>
      <w:rPr>
        <w:rFonts w:ascii="Courier New" w:hAnsi="Courier New" w:cs="Wingdings" w:hint="default"/>
      </w:rPr>
    </w:lvl>
    <w:lvl w:ilvl="5" w:tplc="3C723DDC" w:tentative="1">
      <w:start w:val="1"/>
      <w:numFmt w:val="bullet"/>
      <w:lvlText w:val=""/>
      <w:lvlJc w:val="left"/>
      <w:pPr>
        <w:ind w:left="4490" w:hanging="360"/>
      </w:pPr>
      <w:rPr>
        <w:rFonts w:ascii="Wingdings" w:hAnsi="Wingdings" w:hint="default"/>
      </w:rPr>
    </w:lvl>
    <w:lvl w:ilvl="6" w:tplc="953A43E6" w:tentative="1">
      <w:start w:val="1"/>
      <w:numFmt w:val="bullet"/>
      <w:lvlText w:val=""/>
      <w:lvlJc w:val="left"/>
      <w:pPr>
        <w:ind w:left="5210" w:hanging="360"/>
      </w:pPr>
      <w:rPr>
        <w:rFonts w:ascii="Symbol" w:hAnsi="Symbol" w:hint="default"/>
      </w:rPr>
    </w:lvl>
    <w:lvl w:ilvl="7" w:tplc="19564E10" w:tentative="1">
      <w:start w:val="1"/>
      <w:numFmt w:val="bullet"/>
      <w:lvlText w:val="o"/>
      <w:lvlJc w:val="left"/>
      <w:pPr>
        <w:ind w:left="5930" w:hanging="360"/>
      </w:pPr>
      <w:rPr>
        <w:rFonts w:ascii="Courier New" w:hAnsi="Courier New" w:cs="Wingdings" w:hint="default"/>
      </w:rPr>
    </w:lvl>
    <w:lvl w:ilvl="8" w:tplc="0A0E2CEE" w:tentative="1">
      <w:start w:val="1"/>
      <w:numFmt w:val="bullet"/>
      <w:lvlText w:val=""/>
      <w:lvlJc w:val="left"/>
      <w:pPr>
        <w:ind w:left="6650" w:hanging="360"/>
      </w:pPr>
      <w:rPr>
        <w:rFonts w:ascii="Wingdings" w:hAnsi="Wingdings" w:hint="default"/>
      </w:rPr>
    </w:lvl>
  </w:abstractNum>
  <w:abstractNum w:abstractNumId="23">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5">
    <w:nsid w:val="6D214E8B"/>
    <w:multiLevelType w:val="hybridMultilevel"/>
    <w:tmpl w:val="4426C4F8"/>
    <w:lvl w:ilvl="0" w:tplc="9D7C2A72">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13"/>
  </w:num>
  <w:num w:numId="4">
    <w:abstractNumId w:val="13"/>
  </w:num>
  <w:num w:numId="5">
    <w:abstractNumId w:val="6"/>
  </w:num>
  <w:num w:numId="6">
    <w:abstractNumId w:val="13"/>
  </w:num>
  <w:num w:numId="7">
    <w:abstractNumId w:val="13"/>
  </w:num>
  <w:num w:numId="8">
    <w:abstractNumId w:val="12"/>
  </w:num>
  <w:num w:numId="9">
    <w:abstractNumId w:val="12"/>
  </w:num>
  <w:num w:numId="10">
    <w:abstractNumId w:val="12"/>
  </w:num>
  <w:num w:numId="11">
    <w:abstractNumId w:val="12"/>
  </w:num>
  <w:num w:numId="12">
    <w:abstractNumId w:val="10"/>
    <w:lvlOverride w:ilvl="0">
      <w:lvl w:ilvl="0">
        <w:numFmt w:val="bullet"/>
        <w:lvlText w:val="•"/>
        <w:legacy w:legacy="1" w:legacySpace="0" w:legacyIndent="0"/>
        <w:lvlJc w:val="left"/>
        <w:rPr>
          <w:rFonts w:ascii="Helv" w:hAnsi="Helv" w:hint="default"/>
        </w:rPr>
      </w:lvl>
    </w:lvlOverride>
  </w:num>
  <w:num w:numId="13">
    <w:abstractNumId w:val="13"/>
  </w:num>
  <w:num w:numId="14">
    <w:abstractNumId w:val="13"/>
  </w:num>
  <w:num w:numId="15">
    <w:abstractNumId w:val="13"/>
  </w:num>
  <w:num w:numId="16">
    <w:abstractNumId w:val="12"/>
  </w:num>
  <w:num w:numId="17">
    <w:abstractNumId w:val="12"/>
  </w:num>
  <w:num w:numId="18">
    <w:abstractNumId w:val="12"/>
  </w:num>
  <w:num w:numId="19">
    <w:abstractNumId w:val="13"/>
  </w:num>
  <w:num w:numId="20">
    <w:abstractNumId w:val="13"/>
  </w:num>
  <w:num w:numId="21">
    <w:abstractNumId w:val="13"/>
  </w:num>
  <w:num w:numId="22">
    <w:abstractNumId w:val="12"/>
  </w:num>
  <w:num w:numId="23">
    <w:abstractNumId w:val="12"/>
  </w:num>
  <w:num w:numId="24">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7"/>
  </w:num>
  <w:num w:numId="26">
    <w:abstractNumId w:val="19"/>
  </w:num>
  <w:num w:numId="27">
    <w:abstractNumId w:val="20"/>
  </w:num>
  <w:num w:numId="28">
    <w:abstractNumId w:val="23"/>
  </w:num>
  <w:num w:numId="29">
    <w:abstractNumId w:val="24"/>
  </w:num>
  <w:num w:numId="30">
    <w:abstractNumId w:val="24"/>
  </w:num>
  <w:num w:numId="31">
    <w:abstractNumId w:val="24"/>
  </w:num>
  <w:num w:numId="32">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25"/>
  </w:num>
  <w:num w:numId="34">
    <w:abstractNumId w:val="15"/>
  </w:num>
  <w:num w:numId="35">
    <w:abstractNumId w:val="16"/>
  </w:num>
  <w:num w:numId="36">
    <w:abstractNumId w:val="11"/>
  </w:num>
  <w:num w:numId="37">
    <w:abstractNumId w:val="22"/>
  </w:num>
  <w:num w:numId="38">
    <w:abstractNumId w:val="21"/>
  </w:num>
  <w:num w:numId="39">
    <w:abstractNumId w:val="14"/>
  </w:num>
  <w:num w:numId="40">
    <w:abstractNumId w:val="18"/>
  </w:num>
  <w:num w:numId="41">
    <w:abstractNumId w:val="5"/>
  </w:num>
  <w:num w:numId="42">
    <w:abstractNumId w:val="4"/>
  </w:num>
  <w:num w:numId="43">
    <w:abstractNumId w:val="8"/>
  </w:num>
  <w:num w:numId="44">
    <w:abstractNumId w:val="3"/>
  </w:num>
  <w:num w:numId="45">
    <w:abstractNumId w:val="2"/>
  </w:num>
  <w:num w:numId="46">
    <w:abstractNumId w:val="1"/>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TGAblue"/>
  <w:drawingGridHorizontalSpacing w:val="110"/>
  <w:displayHorizontalDrawingGridEvery w:val="2"/>
  <w:characterSpacingControl w:val="doNotCompress"/>
  <w:hdrShapeDefaults>
    <o:shapedefaults v:ext="edit" spidmax="55297">
      <o:colormenu v:ext="edit" fillcolor="none [3206]"/>
    </o:shapedefaults>
  </w:hdrShapeDefaults>
  <w:footnotePr>
    <w:footnote w:id="-1"/>
    <w:footnote w:id="0"/>
  </w:footnotePr>
  <w:endnotePr>
    <w:endnote w:id="-1"/>
    <w:endnote w:id="0"/>
  </w:endnotePr>
  <w:compat>
    <w:compatSetting w:name="compatibilityMode" w:uri="http://schemas.microsoft.com/office/word" w:val="12"/>
  </w:compat>
  <w:rsids>
    <w:rsidRoot w:val="0017078F"/>
    <w:rsid w:val="00002031"/>
    <w:rsid w:val="00004734"/>
    <w:rsid w:val="00006B22"/>
    <w:rsid w:val="0001276A"/>
    <w:rsid w:val="000246AE"/>
    <w:rsid w:val="00025C67"/>
    <w:rsid w:val="00040ACB"/>
    <w:rsid w:val="0005559E"/>
    <w:rsid w:val="00077775"/>
    <w:rsid w:val="00090471"/>
    <w:rsid w:val="000A3AED"/>
    <w:rsid w:val="000A63AF"/>
    <w:rsid w:val="000B3532"/>
    <w:rsid w:val="000B3A75"/>
    <w:rsid w:val="000B78FC"/>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5D98"/>
    <w:rsid w:val="001B6448"/>
    <w:rsid w:val="001E07CF"/>
    <w:rsid w:val="001E59F1"/>
    <w:rsid w:val="001F49EB"/>
    <w:rsid w:val="001F6CBA"/>
    <w:rsid w:val="00201D4E"/>
    <w:rsid w:val="002076C9"/>
    <w:rsid w:val="00220B8A"/>
    <w:rsid w:val="002257F3"/>
    <w:rsid w:val="00226DDE"/>
    <w:rsid w:val="00233456"/>
    <w:rsid w:val="002339A5"/>
    <w:rsid w:val="00257848"/>
    <w:rsid w:val="002666AC"/>
    <w:rsid w:val="0027084A"/>
    <w:rsid w:val="00286434"/>
    <w:rsid w:val="00286C59"/>
    <w:rsid w:val="00292113"/>
    <w:rsid w:val="002942D1"/>
    <w:rsid w:val="0029501A"/>
    <w:rsid w:val="002B1638"/>
    <w:rsid w:val="002C63ED"/>
    <w:rsid w:val="002C69B9"/>
    <w:rsid w:val="002D545C"/>
    <w:rsid w:val="002D6161"/>
    <w:rsid w:val="002E4C9A"/>
    <w:rsid w:val="002F11F8"/>
    <w:rsid w:val="002F3F56"/>
    <w:rsid w:val="002F44B5"/>
    <w:rsid w:val="00311AC0"/>
    <w:rsid w:val="0032583B"/>
    <w:rsid w:val="00327883"/>
    <w:rsid w:val="00335504"/>
    <w:rsid w:val="003438F8"/>
    <w:rsid w:val="003521E8"/>
    <w:rsid w:val="003728F3"/>
    <w:rsid w:val="0037496E"/>
    <w:rsid w:val="0037623D"/>
    <w:rsid w:val="00386150"/>
    <w:rsid w:val="003874CE"/>
    <w:rsid w:val="003902EC"/>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4EB3"/>
    <w:rsid w:val="0043797D"/>
    <w:rsid w:val="00440A2D"/>
    <w:rsid w:val="004564A7"/>
    <w:rsid w:val="004617BF"/>
    <w:rsid w:val="00463658"/>
    <w:rsid w:val="004722CC"/>
    <w:rsid w:val="00483BE2"/>
    <w:rsid w:val="004936E4"/>
    <w:rsid w:val="00494E60"/>
    <w:rsid w:val="00497487"/>
    <w:rsid w:val="004A7E13"/>
    <w:rsid w:val="004B7B76"/>
    <w:rsid w:val="004C2DCA"/>
    <w:rsid w:val="004F0F38"/>
    <w:rsid w:val="004F4AF5"/>
    <w:rsid w:val="00501921"/>
    <w:rsid w:val="00530354"/>
    <w:rsid w:val="0053625B"/>
    <w:rsid w:val="005434C6"/>
    <w:rsid w:val="00543B39"/>
    <w:rsid w:val="00550096"/>
    <w:rsid w:val="00557FF9"/>
    <w:rsid w:val="00576378"/>
    <w:rsid w:val="00577945"/>
    <w:rsid w:val="00577E38"/>
    <w:rsid w:val="005824A1"/>
    <w:rsid w:val="00585322"/>
    <w:rsid w:val="005857C6"/>
    <w:rsid w:val="00586F98"/>
    <w:rsid w:val="00592F6E"/>
    <w:rsid w:val="00593AD1"/>
    <w:rsid w:val="005A68B6"/>
    <w:rsid w:val="005B4BFC"/>
    <w:rsid w:val="005C5570"/>
    <w:rsid w:val="005C79A4"/>
    <w:rsid w:val="005D5442"/>
    <w:rsid w:val="00603F32"/>
    <w:rsid w:val="00620406"/>
    <w:rsid w:val="00625270"/>
    <w:rsid w:val="00632398"/>
    <w:rsid w:val="00640CC5"/>
    <w:rsid w:val="00640FC3"/>
    <w:rsid w:val="00642020"/>
    <w:rsid w:val="00646206"/>
    <w:rsid w:val="0065337B"/>
    <w:rsid w:val="0065419D"/>
    <w:rsid w:val="006604D8"/>
    <w:rsid w:val="00664A5B"/>
    <w:rsid w:val="006763D2"/>
    <w:rsid w:val="00680C08"/>
    <w:rsid w:val="006931B1"/>
    <w:rsid w:val="006A15C0"/>
    <w:rsid w:val="006C130C"/>
    <w:rsid w:val="006C3E2A"/>
    <w:rsid w:val="006C642F"/>
    <w:rsid w:val="006D03E5"/>
    <w:rsid w:val="006D5D3E"/>
    <w:rsid w:val="006E08B3"/>
    <w:rsid w:val="006F17AC"/>
    <w:rsid w:val="006F1D37"/>
    <w:rsid w:val="006F2796"/>
    <w:rsid w:val="006F572E"/>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5721"/>
    <w:rsid w:val="00791312"/>
    <w:rsid w:val="00793A59"/>
    <w:rsid w:val="007B6E9F"/>
    <w:rsid w:val="007C1216"/>
    <w:rsid w:val="007C1AF7"/>
    <w:rsid w:val="007E6E27"/>
    <w:rsid w:val="00805D27"/>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20330"/>
    <w:rsid w:val="009219D7"/>
    <w:rsid w:val="00922D53"/>
    <w:rsid w:val="00923B70"/>
    <w:rsid w:val="00924482"/>
    <w:rsid w:val="00930237"/>
    <w:rsid w:val="009437AB"/>
    <w:rsid w:val="00946EA5"/>
    <w:rsid w:val="0095160F"/>
    <w:rsid w:val="00963C08"/>
    <w:rsid w:val="0098585A"/>
    <w:rsid w:val="0098669D"/>
    <w:rsid w:val="009A4CED"/>
    <w:rsid w:val="009A690D"/>
    <w:rsid w:val="009B1D12"/>
    <w:rsid w:val="009B416B"/>
    <w:rsid w:val="009C4BD5"/>
    <w:rsid w:val="009C55C1"/>
    <w:rsid w:val="009D7B77"/>
    <w:rsid w:val="009E0BB0"/>
    <w:rsid w:val="009E3FBB"/>
    <w:rsid w:val="00A102E4"/>
    <w:rsid w:val="00A12C42"/>
    <w:rsid w:val="00A14DF7"/>
    <w:rsid w:val="00A235D9"/>
    <w:rsid w:val="00A3246D"/>
    <w:rsid w:val="00A36FA7"/>
    <w:rsid w:val="00A475B7"/>
    <w:rsid w:val="00A47AF7"/>
    <w:rsid w:val="00A47C3E"/>
    <w:rsid w:val="00A50226"/>
    <w:rsid w:val="00A60BAD"/>
    <w:rsid w:val="00A65348"/>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33588"/>
    <w:rsid w:val="00B33863"/>
    <w:rsid w:val="00B3567E"/>
    <w:rsid w:val="00B37D17"/>
    <w:rsid w:val="00B4175E"/>
    <w:rsid w:val="00B452CE"/>
    <w:rsid w:val="00B54C25"/>
    <w:rsid w:val="00B76B91"/>
    <w:rsid w:val="00B77EB1"/>
    <w:rsid w:val="00B811C6"/>
    <w:rsid w:val="00B85A87"/>
    <w:rsid w:val="00B92E08"/>
    <w:rsid w:val="00B96EBE"/>
    <w:rsid w:val="00BB3A08"/>
    <w:rsid w:val="00BC622A"/>
    <w:rsid w:val="00BD45E3"/>
    <w:rsid w:val="00BE0A78"/>
    <w:rsid w:val="00BE6252"/>
    <w:rsid w:val="00BE79F0"/>
    <w:rsid w:val="00BF046D"/>
    <w:rsid w:val="00BF1190"/>
    <w:rsid w:val="00BF5D04"/>
    <w:rsid w:val="00C1164D"/>
    <w:rsid w:val="00C16861"/>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B6BC0"/>
    <w:rsid w:val="00CB7082"/>
    <w:rsid w:val="00CC1B7C"/>
    <w:rsid w:val="00CC727F"/>
    <w:rsid w:val="00CE4F74"/>
    <w:rsid w:val="00CF15C3"/>
    <w:rsid w:val="00CF2B6F"/>
    <w:rsid w:val="00CF58B6"/>
    <w:rsid w:val="00D017ED"/>
    <w:rsid w:val="00D040C2"/>
    <w:rsid w:val="00D040D3"/>
    <w:rsid w:val="00D04C65"/>
    <w:rsid w:val="00D224FE"/>
    <w:rsid w:val="00D53A31"/>
    <w:rsid w:val="00D6493E"/>
    <w:rsid w:val="00D7301E"/>
    <w:rsid w:val="00D83AE1"/>
    <w:rsid w:val="00D855D4"/>
    <w:rsid w:val="00D93466"/>
    <w:rsid w:val="00DA1124"/>
    <w:rsid w:val="00DB75B7"/>
    <w:rsid w:val="00DC6E02"/>
    <w:rsid w:val="00DE02AE"/>
    <w:rsid w:val="00DF1D7F"/>
    <w:rsid w:val="00DF4BE4"/>
    <w:rsid w:val="00E02FB4"/>
    <w:rsid w:val="00E07F15"/>
    <w:rsid w:val="00E20571"/>
    <w:rsid w:val="00E235F7"/>
    <w:rsid w:val="00E23659"/>
    <w:rsid w:val="00E239D4"/>
    <w:rsid w:val="00E26130"/>
    <w:rsid w:val="00E2741C"/>
    <w:rsid w:val="00E340C3"/>
    <w:rsid w:val="00E40B22"/>
    <w:rsid w:val="00E45619"/>
    <w:rsid w:val="00E4588F"/>
    <w:rsid w:val="00E45E56"/>
    <w:rsid w:val="00E46DA3"/>
    <w:rsid w:val="00E51BB1"/>
    <w:rsid w:val="00E551BC"/>
    <w:rsid w:val="00E624A5"/>
    <w:rsid w:val="00E7344E"/>
    <w:rsid w:val="00E936E3"/>
    <w:rsid w:val="00EA4B78"/>
    <w:rsid w:val="00EB0798"/>
    <w:rsid w:val="00EB40AD"/>
    <w:rsid w:val="00EB586E"/>
    <w:rsid w:val="00EB5FC8"/>
    <w:rsid w:val="00ED3CAD"/>
    <w:rsid w:val="00ED5A41"/>
    <w:rsid w:val="00EE1DE8"/>
    <w:rsid w:val="00F033EC"/>
    <w:rsid w:val="00F04F68"/>
    <w:rsid w:val="00F12670"/>
    <w:rsid w:val="00F144AA"/>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40CC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CE4F74"/>
    <w:pPr>
      <w:keepNext/>
      <w:spacing w:before="0" w:line="240" w:lineRule="auto"/>
      <w:jc w:val="both"/>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CE4F74"/>
    <w:pPr>
      <w:keepNext/>
      <w:spacing w:before="0" w:line="240" w:lineRule="auto"/>
      <w:jc w:val="both"/>
      <w:outlineLvl w:val="8"/>
    </w:pPr>
    <w:rPr>
      <w:rFonts w:ascii="Arial" w:eastAsia="Times New Roman" w:hAnsi="Arial" w:cs="Arial"/>
      <w:kern w:val="16"/>
      <w:u w:val="single"/>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E45E56"/>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rsid w:val="00CE4F74"/>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CE4F74"/>
    <w:rPr>
      <w:rFonts w:ascii="Arial" w:eastAsia="Times New Roman" w:hAnsi="Arial" w:cs="Arial"/>
      <w:kern w:val="16"/>
      <w:u w:val="single"/>
      <w:lang w:eastAsia="en-AU"/>
    </w:rPr>
  </w:style>
  <w:style w:type="paragraph" w:customStyle="1" w:styleId="Bullet1">
    <w:name w:val="Bullet 1"/>
    <w:basedOn w:val="Normal"/>
    <w:rsid w:val="00CE4F74"/>
    <w:pPr>
      <w:numPr>
        <w:numId w:val="34"/>
      </w:numPr>
      <w:spacing w:line="240" w:lineRule="auto"/>
      <w:jc w:val="both"/>
    </w:pPr>
    <w:rPr>
      <w:rFonts w:eastAsia="Times New Roman"/>
      <w:kern w:val="24"/>
      <w:szCs w:val="24"/>
      <w:lang w:eastAsia="en-AU"/>
    </w:rPr>
  </w:style>
  <w:style w:type="paragraph" w:customStyle="1" w:styleId="Bullet2">
    <w:name w:val="Bullet 2"/>
    <w:basedOn w:val="Bullet1"/>
    <w:rsid w:val="00CE4F74"/>
    <w:pPr>
      <w:numPr>
        <w:numId w:val="35"/>
      </w:numPr>
      <w:tabs>
        <w:tab w:val="clear" w:pos="567"/>
        <w:tab w:val="num" w:pos="284"/>
      </w:tabs>
      <w:ind w:left="284" w:hanging="284"/>
    </w:pPr>
  </w:style>
  <w:style w:type="paragraph" w:customStyle="1" w:styleId="Heading0inTOC">
    <w:name w:val="Heading 0 (in TOC)"/>
    <w:basedOn w:val="Heading1"/>
    <w:next w:val="Normal"/>
    <w:rsid w:val="00CE4F74"/>
    <w:pPr>
      <w:keepLines w:val="0"/>
      <w:numPr>
        <w:numId w:val="0"/>
      </w:numPr>
      <w:adjustRightInd/>
      <w:snapToGrid/>
      <w:spacing w:before="0" w:after="120" w:line="240" w:lineRule="auto"/>
      <w:jc w:val="both"/>
    </w:pPr>
    <w:rPr>
      <w:rFonts w:ascii="Arial" w:hAnsi="Arial" w:cs="Times New Roman"/>
      <w:bCs w:val="0"/>
      <w:kern w:val="16"/>
      <w:sz w:val="28"/>
      <w:szCs w:val="24"/>
      <w:lang w:eastAsia="en-AU"/>
    </w:rPr>
  </w:style>
  <w:style w:type="character" w:styleId="PageNumber">
    <w:name w:val="page number"/>
    <w:rsid w:val="00CE4F74"/>
    <w:rPr>
      <w:sz w:val="20"/>
    </w:rPr>
  </w:style>
  <w:style w:type="paragraph" w:customStyle="1" w:styleId="TableBullet">
    <w:name w:val="Table Bullet"/>
    <w:basedOn w:val="Normal"/>
    <w:rsid w:val="00CE4F74"/>
    <w:pPr>
      <w:numPr>
        <w:numId w:val="3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4"/>
      <w:lang w:eastAsia="en-AU"/>
    </w:rPr>
  </w:style>
  <w:style w:type="paragraph" w:styleId="TOC4">
    <w:name w:val="toc 4"/>
    <w:basedOn w:val="Normal"/>
    <w:next w:val="Normal"/>
    <w:uiPriority w:val="39"/>
    <w:rsid w:val="00CE4F74"/>
    <w:pPr>
      <w:tabs>
        <w:tab w:val="left" w:pos="1247"/>
        <w:tab w:val="right" w:leader="dot" w:pos="9356"/>
      </w:tabs>
      <w:spacing w:before="0" w:line="240" w:lineRule="auto"/>
      <w:ind w:left="1247" w:hanging="907"/>
      <w:jc w:val="both"/>
    </w:pPr>
    <w:rPr>
      <w:rFonts w:eastAsia="Times New Roman"/>
      <w:kern w:val="16"/>
      <w:sz w:val="20"/>
      <w:szCs w:val="24"/>
      <w:lang w:eastAsia="en-AU"/>
    </w:rPr>
  </w:style>
  <w:style w:type="paragraph" w:styleId="TOC5">
    <w:name w:val="toc 5"/>
    <w:basedOn w:val="Normal"/>
    <w:next w:val="Normal"/>
    <w:uiPriority w:val="39"/>
    <w:rsid w:val="00CE4F74"/>
    <w:pPr>
      <w:spacing w:before="0" w:line="240" w:lineRule="auto"/>
      <w:ind w:left="454"/>
      <w:jc w:val="both"/>
    </w:pPr>
    <w:rPr>
      <w:rFonts w:eastAsia="Times New Roman"/>
      <w:kern w:val="16"/>
      <w:sz w:val="20"/>
      <w:szCs w:val="24"/>
      <w:lang w:eastAsia="en-AU"/>
    </w:rPr>
  </w:style>
  <w:style w:type="paragraph" w:styleId="TOC6">
    <w:name w:val="toc 6"/>
    <w:basedOn w:val="Normal"/>
    <w:next w:val="Normal"/>
    <w:uiPriority w:val="39"/>
    <w:rsid w:val="00CE4F74"/>
    <w:pPr>
      <w:spacing w:before="0" w:line="240" w:lineRule="auto"/>
      <w:ind w:left="567"/>
      <w:jc w:val="both"/>
    </w:pPr>
    <w:rPr>
      <w:rFonts w:eastAsia="Times New Roman"/>
      <w:kern w:val="16"/>
      <w:sz w:val="20"/>
      <w:szCs w:val="24"/>
      <w:lang w:eastAsia="en-AU"/>
    </w:rPr>
  </w:style>
  <w:style w:type="paragraph" w:styleId="TOC7">
    <w:name w:val="toc 7"/>
    <w:basedOn w:val="Normal"/>
    <w:next w:val="Normal"/>
    <w:uiPriority w:val="39"/>
    <w:rsid w:val="00CE4F74"/>
    <w:pPr>
      <w:spacing w:before="0" w:line="240" w:lineRule="auto"/>
      <w:ind w:left="680"/>
      <w:jc w:val="both"/>
    </w:pPr>
    <w:rPr>
      <w:rFonts w:eastAsia="Times New Roman"/>
      <w:kern w:val="16"/>
      <w:sz w:val="20"/>
      <w:szCs w:val="24"/>
      <w:lang w:eastAsia="en-AU"/>
    </w:rPr>
  </w:style>
  <w:style w:type="paragraph" w:styleId="TOC8">
    <w:name w:val="toc 8"/>
    <w:basedOn w:val="Normal"/>
    <w:next w:val="Normal"/>
    <w:uiPriority w:val="39"/>
    <w:rsid w:val="00CE4F74"/>
    <w:pPr>
      <w:spacing w:before="0" w:line="240" w:lineRule="auto"/>
      <w:ind w:left="907"/>
      <w:jc w:val="both"/>
    </w:pPr>
    <w:rPr>
      <w:rFonts w:eastAsia="Times New Roman"/>
      <w:kern w:val="16"/>
      <w:sz w:val="20"/>
      <w:szCs w:val="24"/>
      <w:lang w:eastAsia="en-AU"/>
    </w:rPr>
  </w:style>
  <w:style w:type="paragraph" w:styleId="TOC9">
    <w:name w:val="toc 9"/>
    <w:basedOn w:val="Normal"/>
    <w:next w:val="Normal"/>
    <w:uiPriority w:val="39"/>
    <w:rsid w:val="00CE4F74"/>
    <w:pPr>
      <w:spacing w:before="0" w:line="240" w:lineRule="auto"/>
      <w:ind w:left="1134"/>
      <w:jc w:val="both"/>
    </w:pPr>
    <w:rPr>
      <w:rFonts w:eastAsia="Times New Roman"/>
      <w:kern w:val="16"/>
      <w:sz w:val="20"/>
      <w:szCs w:val="24"/>
      <w:lang w:eastAsia="en-AU"/>
    </w:rPr>
  </w:style>
  <w:style w:type="paragraph" w:styleId="EndnoteText">
    <w:name w:val="endnote text"/>
    <w:basedOn w:val="Normal"/>
    <w:link w:val="EndnoteTextChar"/>
    <w:semiHidden/>
    <w:rsid w:val="00CE4F7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CE4F74"/>
    <w:rPr>
      <w:rFonts w:ascii="Cambria" w:eastAsia="Times New Roman" w:hAnsi="Cambria" w:cs="Times New Roman"/>
      <w:kern w:val="16"/>
      <w:sz w:val="20"/>
      <w:szCs w:val="20"/>
      <w:lang w:eastAsia="en-AU"/>
    </w:rPr>
  </w:style>
  <w:style w:type="character" w:styleId="EndnoteReference">
    <w:name w:val="endnote reference"/>
    <w:semiHidden/>
    <w:rsid w:val="00CE4F74"/>
    <w:rPr>
      <w:dstrike w:val="0"/>
      <w:vertAlign w:val="baseline"/>
    </w:rPr>
  </w:style>
  <w:style w:type="paragraph" w:styleId="FootnoteText">
    <w:name w:val="footnote text"/>
    <w:basedOn w:val="Normal"/>
    <w:link w:val="FootnoteTextChar"/>
    <w:semiHidden/>
    <w:rsid w:val="00640C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640CC5"/>
    <w:rPr>
      <w:rFonts w:ascii="Cambria" w:eastAsia="Times New Roman" w:hAnsi="Cambria" w:cs="Times New Roman"/>
      <w:kern w:val="16"/>
      <w:sz w:val="18"/>
      <w:szCs w:val="20"/>
      <w:lang w:eastAsia="en-AU"/>
    </w:rPr>
  </w:style>
  <w:style w:type="character" w:styleId="FootnoteReference">
    <w:name w:val="footnote reference"/>
    <w:semiHidden/>
    <w:rsid w:val="00CE4F74"/>
    <w:rPr>
      <w:vertAlign w:val="superscript"/>
    </w:rPr>
  </w:style>
  <w:style w:type="paragraph" w:customStyle="1" w:styleId="Abbreviations">
    <w:name w:val="Abbreviations"/>
    <w:basedOn w:val="Normal"/>
    <w:rsid w:val="00CE4F74"/>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Cs w:val="24"/>
      <w:lang w:eastAsia="en-AU"/>
    </w:rPr>
  </w:style>
  <w:style w:type="paragraph" w:styleId="TableofFigures">
    <w:name w:val="table of figures"/>
    <w:basedOn w:val="Normal"/>
    <w:next w:val="Normal"/>
    <w:uiPriority w:val="99"/>
    <w:rsid w:val="00CE4F74"/>
    <w:pPr>
      <w:spacing w:before="0" w:line="240" w:lineRule="auto"/>
      <w:ind w:left="1134" w:hanging="1134"/>
      <w:jc w:val="both"/>
    </w:pPr>
    <w:rPr>
      <w:rFonts w:eastAsia="Times New Roman" w:cs="Calibri"/>
      <w:kern w:val="16"/>
      <w:szCs w:val="20"/>
      <w:lang w:eastAsia="en-AU"/>
    </w:rPr>
  </w:style>
  <w:style w:type="paragraph" w:customStyle="1" w:styleId="Comment2">
    <w:name w:val="Comment 2"/>
    <w:basedOn w:val="Normal"/>
    <w:qFormat/>
    <w:rsid w:val="00CE4F7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jc w:val="both"/>
    </w:pPr>
    <w:rPr>
      <w:rFonts w:ascii="Calibri" w:eastAsia="Times New Roman" w:hAnsi="Calibri" w:cs="Arial"/>
      <w:kern w:val="16"/>
      <w:lang w:eastAsia="en-AU"/>
    </w:rPr>
  </w:style>
  <w:style w:type="paragraph" w:customStyle="1" w:styleId="Comment1">
    <w:name w:val="Comment 1"/>
    <w:basedOn w:val="Normal"/>
    <w:next w:val="Comment2"/>
    <w:qFormat/>
    <w:rsid w:val="00CE4F7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jc w:val="both"/>
    </w:pPr>
    <w:rPr>
      <w:rFonts w:ascii="Calibri" w:eastAsia="Times New Roman" w:hAnsi="Calibri" w:cs="Arial"/>
      <w:kern w:val="16"/>
      <w:szCs w:val="20"/>
      <w:lang w:eastAsia="en-AU"/>
    </w:rPr>
  </w:style>
  <w:style w:type="paragraph" w:customStyle="1" w:styleId="CommentDot">
    <w:name w:val="Comment Dot"/>
    <w:basedOn w:val="Comment2"/>
    <w:qFormat/>
    <w:rsid w:val="00CE4F74"/>
    <w:pPr>
      <w:numPr>
        <w:numId w:val="36"/>
      </w:numPr>
      <w:ind w:left="1134" w:firstLine="0"/>
    </w:pPr>
  </w:style>
  <w:style w:type="paragraph" w:customStyle="1" w:styleId="Instructions1">
    <w:name w:val="Instructions 1"/>
    <w:basedOn w:val="Normal"/>
    <w:qFormat/>
    <w:rsid w:val="00CE4F74"/>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jc w:val="both"/>
    </w:pPr>
    <w:rPr>
      <w:rFonts w:ascii="Calibri" w:eastAsia="Times New Roman" w:hAnsi="Calibri" w:cs="Calibri"/>
      <w:color w:val="FF0000"/>
      <w:kern w:val="16"/>
      <w:lang w:eastAsia="en-AU"/>
    </w:rPr>
  </w:style>
  <w:style w:type="paragraph" w:customStyle="1" w:styleId="Instructions2">
    <w:name w:val="Instructions 2"/>
    <w:basedOn w:val="Normal"/>
    <w:qFormat/>
    <w:rsid w:val="00CE4F74"/>
    <w:pPr>
      <w:numPr>
        <w:numId w:val="37"/>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jc w:val="both"/>
    </w:pPr>
    <w:rPr>
      <w:rFonts w:ascii="Calibri" w:eastAsia="Times New Roman" w:hAnsi="Calibri" w:cs="Calibri"/>
      <w:color w:val="FF0000"/>
      <w:kern w:val="16"/>
      <w:lang w:eastAsia="en-AU"/>
    </w:rPr>
  </w:style>
  <w:style w:type="character" w:styleId="CommentReference">
    <w:name w:val="annotation reference"/>
    <w:rsid w:val="00CE4F74"/>
    <w:rPr>
      <w:sz w:val="16"/>
      <w:szCs w:val="16"/>
    </w:rPr>
  </w:style>
  <w:style w:type="paragraph" w:styleId="CommentText">
    <w:name w:val="annotation text"/>
    <w:basedOn w:val="Normal"/>
    <w:link w:val="CommentTextChar"/>
    <w:rsid w:val="00CE4F7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ascii="Times New Roman" w:eastAsia="Times New Roman" w:hAnsi="Times New Roman"/>
      <w:kern w:val="16"/>
      <w:sz w:val="20"/>
      <w:szCs w:val="20"/>
    </w:rPr>
  </w:style>
  <w:style w:type="character" w:customStyle="1" w:styleId="CommentTextChar">
    <w:name w:val="Comment Text Char"/>
    <w:basedOn w:val="DefaultParagraphFont"/>
    <w:link w:val="CommentText"/>
    <w:rsid w:val="00CE4F74"/>
    <w:rPr>
      <w:rFonts w:ascii="Times New Roman" w:eastAsia="Times New Roman" w:hAnsi="Times New Roman" w:cs="Times New Roman"/>
      <w:kern w:val="16"/>
      <w:sz w:val="20"/>
      <w:szCs w:val="20"/>
    </w:rPr>
  </w:style>
  <w:style w:type="paragraph" w:styleId="CommentSubject">
    <w:name w:val="annotation subject"/>
    <w:basedOn w:val="CommentText"/>
    <w:next w:val="CommentText"/>
    <w:link w:val="CommentSubjectChar"/>
    <w:rsid w:val="00CE4F74"/>
    <w:rPr>
      <w:b/>
      <w:bCs/>
    </w:rPr>
  </w:style>
  <w:style w:type="character" w:customStyle="1" w:styleId="CommentSubjectChar">
    <w:name w:val="Comment Subject Char"/>
    <w:basedOn w:val="CommentTextChar"/>
    <w:link w:val="CommentSubject"/>
    <w:rsid w:val="00CE4F74"/>
    <w:rPr>
      <w:rFonts w:ascii="Times New Roman" w:eastAsia="Times New Roman" w:hAnsi="Times New Roman" w:cs="Times New Roman"/>
      <w:b/>
      <w:bCs/>
      <w:kern w:val="16"/>
      <w:sz w:val="20"/>
      <w:szCs w:val="20"/>
    </w:rPr>
  </w:style>
  <w:style w:type="paragraph" w:customStyle="1" w:styleId="Contentslist1">
    <w:name w:val="Contents list 1"/>
    <w:basedOn w:val="Normal"/>
    <w:qFormat/>
    <w:rsid w:val="00CE4F74"/>
    <w:pPr>
      <w:tabs>
        <w:tab w:val="right" w:leader="dot" w:pos="9356"/>
      </w:tabs>
      <w:spacing w:line="240" w:lineRule="auto"/>
      <w:jc w:val="both"/>
    </w:pPr>
    <w:rPr>
      <w:rFonts w:eastAsia="Times New Roman"/>
      <w:b/>
      <w:kern w:val="16"/>
      <w:sz w:val="20"/>
      <w:szCs w:val="24"/>
      <w:lang w:eastAsia="en-AU"/>
    </w:rPr>
  </w:style>
  <w:style w:type="paragraph" w:customStyle="1" w:styleId="Contentslist2">
    <w:name w:val="Contents list 2"/>
    <w:basedOn w:val="Contentslist1"/>
    <w:qFormat/>
    <w:rsid w:val="00CE4F74"/>
    <w:pPr>
      <w:spacing w:before="0" w:after="0"/>
    </w:pPr>
    <w:rPr>
      <w:b w:val="0"/>
    </w:rPr>
  </w:style>
  <w:style w:type="paragraph" w:styleId="NormalWeb">
    <w:name w:val="Normal (Web)"/>
    <w:basedOn w:val="Normal"/>
    <w:uiPriority w:val="99"/>
    <w:rsid w:val="00CE4F74"/>
    <w:pPr>
      <w:tabs>
        <w:tab w:val="left" w:pos="284"/>
      </w:tabs>
      <w:spacing w:before="0" w:line="240" w:lineRule="auto"/>
      <w:jc w:val="both"/>
    </w:pPr>
    <w:rPr>
      <w:rFonts w:eastAsia="Times New Roman"/>
      <w:szCs w:val="20"/>
    </w:rPr>
  </w:style>
  <w:style w:type="paragraph" w:styleId="Revision">
    <w:name w:val="Revision"/>
    <w:hidden/>
    <w:uiPriority w:val="99"/>
    <w:semiHidden/>
    <w:rsid w:val="00CE4F74"/>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8"/>
      </w:numPr>
    </w:pPr>
  </w:style>
  <w:style w:type="numbering" w:customStyle="1" w:styleId="Heading2Char">
    <w:name w:val="ListBullets"/>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eader" Target="header5.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footer" Target="footer2.xm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yperlink" Target="http://www.tga.gov.au" TargetMode="External"/><Relationship Id="rId10" Type="http://schemas.openxmlformats.org/officeDocument/2006/relationships/hyperlink" Target="http://www.tga.gov.au/hp/information-medicines-pi.htm" TargetMode="External"/><Relationship Id="rId19" Type="http://schemas.openxmlformats.org/officeDocument/2006/relationships/image" Target="media/image7.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hyperlink" Target="mailto:info@tga.gov.au" TargetMode="External"/><Relationship Id="rId30" Type="http://schemas.openxmlformats.org/officeDocument/2006/relationships/header" Target="header7.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46AF4-ECCC-4AE3-A1C8-0C3BB28F9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61</Pages>
  <Words>29133</Words>
  <Characters>166059</Characters>
  <Application>Microsoft Office Word</Application>
  <DocSecurity>0</DocSecurity>
  <Lines>1383</Lines>
  <Paragraphs>389</Paragraphs>
  <ScaleCrop>false</ScaleCrop>
  <HeadingPairs>
    <vt:vector size="2" baseType="variant">
      <vt:variant>
        <vt:lpstr>Title</vt:lpstr>
      </vt:variant>
      <vt:variant>
        <vt:i4>1</vt:i4>
      </vt:variant>
    </vt:vector>
  </HeadingPairs>
  <TitlesOfParts>
    <vt:vector size="1" baseType="lpstr">
      <vt:lpstr>Attachment 3. Extract from the Clinical Evaluation Report of Study A8081007</vt:lpstr>
    </vt:vector>
  </TitlesOfParts>
  <Company>Department of Health Therapeutic Goods Administration</Company>
  <LinksUpToDate>false</LinksUpToDate>
  <CharactersWithSpaces>194803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3. Extract from the Clinical Evaluation Report of Study A8081007</dc:title>
  <dc:subject>prescription medicine regulation</dc:subject>
  <dc:creator>Therapeutic Goods Administration</dc:creator>
  <cp:keywords>clinical, evaluation, report, medicine, assessment, regulation, australia, study, xalkkori, pfizer, crizotinib</cp:keywords>
  <cp:lastModifiedBy>dixonj</cp:lastModifiedBy>
  <cp:revision>21</cp:revision>
  <cp:lastPrinted>2010-12-20T22:59:00Z</cp:lastPrinted>
  <dcterms:created xsi:type="dcterms:W3CDTF">2014-03-02T23:22:00Z</dcterms:created>
  <dcterms:modified xsi:type="dcterms:W3CDTF">2014-04-11T00:26:00Z</dcterms:modified>
  <cp:category>external publication</cp:category>
</cp:coreProperties>
</file>