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9C24D" w14:textId="3611EF6C" w:rsidR="00FF3CD7" w:rsidRPr="001A3B88" w:rsidRDefault="001A3B88" w:rsidP="001A3B88">
      <w:pPr>
        <w:pStyle w:val="Heading1"/>
        <w:ind w:left="284"/>
        <w:rPr>
          <w:b w:val="0"/>
          <w:bCs w:val="0"/>
          <w:sz w:val="20"/>
          <w:szCs w:val="20"/>
        </w:rPr>
      </w:pPr>
      <w:r w:rsidRPr="001A3B88">
        <w:drawing>
          <wp:inline distT="0" distB="0" distL="0" distR="0" wp14:anchorId="691AD4CE" wp14:editId="759D02F8">
            <wp:extent cx="316542" cy="196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1836" cy="218921"/>
                    </a:xfrm>
                    <a:prstGeom prst="rect">
                      <a:avLst/>
                    </a:prstGeom>
                  </pic:spPr>
                </pic:pic>
              </a:graphicData>
            </a:graphic>
          </wp:inline>
        </w:drawing>
      </w:r>
      <w:r w:rsidR="00FF3CD7" w:rsidRPr="001A3B88">
        <w:rPr>
          <w:b w:val="0"/>
          <w:bCs w:val="0"/>
          <w:sz w:val="20"/>
          <w:szCs w:val="20"/>
        </w:rPr>
        <w:t xml:space="preserve">This medicinal product is subject to additional monitoring in Australia. This will allow quick identification of new safety information. Healthcare professionals are asked to report any suspected adverse events at </w:t>
      </w:r>
      <w:hyperlink r:id="rId9" w:history="1">
        <w:r w:rsidR="00FF3CD7" w:rsidRPr="001A3B88">
          <w:rPr>
            <w:rStyle w:val="Hyperlink"/>
            <w:b w:val="0"/>
            <w:bCs w:val="0"/>
            <w:sz w:val="20"/>
            <w:szCs w:val="20"/>
          </w:rPr>
          <w:t>www.tga.gov.au/reporting-problems</w:t>
        </w:r>
      </w:hyperlink>
      <w:r w:rsidR="00FF3CD7" w:rsidRPr="001A3B88">
        <w:rPr>
          <w:b w:val="0"/>
          <w:bCs w:val="0"/>
          <w:sz w:val="20"/>
          <w:szCs w:val="20"/>
        </w:rPr>
        <w:t>.</w:t>
      </w:r>
    </w:p>
    <w:p w14:paraId="354FE18F" w14:textId="77777777" w:rsidR="00FF3CD7" w:rsidRPr="003630CA" w:rsidRDefault="00FF3CD7" w:rsidP="00FF3CD7">
      <w:pPr>
        <w:rPr>
          <w:b/>
          <w:bCs/>
          <w:sz w:val="36"/>
          <w:szCs w:val="36"/>
        </w:rPr>
      </w:pPr>
      <w:r w:rsidRPr="003630CA">
        <w:rPr>
          <w:b/>
          <w:bCs/>
          <w:sz w:val="36"/>
          <w:szCs w:val="36"/>
        </w:rPr>
        <w:t xml:space="preserve">Australian Product Information – </w:t>
      </w:r>
      <w:proofErr w:type="spellStart"/>
      <w:r w:rsidRPr="003630CA">
        <w:rPr>
          <w:b/>
          <w:bCs/>
          <w:sz w:val="36"/>
          <w:szCs w:val="36"/>
        </w:rPr>
        <w:t>adakveo</w:t>
      </w:r>
      <w:proofErr w:type="spellEnd"/>
      <w:r w:rsidRPr="003630CA">
        <w:rPr>
          <w:b/>
          <w:bCs/>
          <w:sz w:val="36"/>
          <w:szCs w:val="36"/>
          <w:vertAlign w:val="superscript"/>
        </w:rPr>
        <w:t>®</w:t>
      </w:r>
      <w:r w:rsidRPr="003630CA">
        <w:rPr>
          <w:b/>
          <w:bCs/>
          <w:sz w:val="36"/>
          <w:szCs w:val="36"/>
        </w:rPr>
        <w:t xml:space="preserve"> (Crizanlizumab) concentrate for intravenous infusion</w:t>
      </w:r>
    </w:p>
    <w:p w14:paraId="548CFFC4" w14:textId="2E22CCEF" w:rsidR="00FF3CD7" w:rsidRPr="001A3B88" w:rsidRDefault="00FF3CD7" w:rsidP="001A3B88">
      <w:pPr>
        <w:pStyle w:val="ListParagraph"/>
        <w:numPr>
          <w:ilvl w:val="0"/>
          <w:numId w:val="37"/>
        </w:numPr>
        <w:rPr>
          <w:b/>
          <w:bCs/>
        </w:rPr>
      </w:pPr>
      <w:r w:rsidRPr="001A3B88">
        <w:rPr>
          <w:b/>
          <w:bCs/>
          <w:sz w:val="28"/>
          <w:szCs w:val="28"/>
        </w:rPr>
        <w:t>Name of the medicine</w:t>
      </w:r>
    </w:p>
    <w:p w14:paraId="403CF3B8" w14:textId="77777777" w:rsidR="00FF3CD7" w:rsidRPr="00FF3CD7" w:rsidRDefault="00FF3CD7" w:rsidP="00FF3CD7">
      <w:r w:rsidRPr="00FF3CD7">
        <w:t>Crizanlizumab.</w:t>
      </w:r>
    </w:p>
    <w:p w14:paraId="7D5EBACC" w14:textId="5A109E72" w:rsidR="00FF3CD7" w:rsidRPr="001A3B88" w:rsidRDefault="00FF3CD7" w:rsidP="001A3B88">
      <w:pPr>
        <w:pStyle w:val="ListParagraph"/>
        <w:numPr>
          <w:ilvl w:val="0"/>
          <w:numId w:val="37"/>
        </w:numPr>
        <w:rPr>
          <w:b/>
          <w:bCs/>
          <w:sz w:val="28"/>
          <w:szCs w:val="28"/>
        </w:rPr>
      </w:pPr>
      <w:r w:rsidRPr="001A3B88">
        <w:rPr>
          <w:b/>
          <w:bCs/>
          <w:sz w:val="28"/>
          <w:szCs w:val="28"/>
        </w:rPr>
        <w:t>Qualitative and quantitative composition</w:t>
      </w:r>
    </w:p>
    <w:p w14:paraId="363125F6" w14:textId="77777777" w:rsidR="00FF3CD7" w:rsidRPr="00FF3CD7" w:rsidRDefault="00FF3CD7" w:rsidP="00FF3CD7">
      <w:r w:rsidRPr="00FF3CD7">
        <w:t>Each 10 mL vial contains 100 mg of crizanlizumab.</w:t>
      </w:r>
    </w:p>
    <w:p w14:paraId="168A1FF8" w14:textId="77777777" w:rsidR="00FF3CD7" w:rsidRPr="00FF3CD7" w:rsidRDefault="00FF3CD7" w:rsidP="00FF3CD7">
      <w:r w:rsidRPr="00FF3CD7">
        <w:t>Crizanlizumab is a recombinant humanized IgG2 kappa anti-P-selectin monoclonal antibody produced in Chinese Hamster Ovary (CHO) cells.</w:t>
      </w:r>
    </w:p>
    <w:p w14:paraId="4BF91927" w14:textId="77777777" w:rsidR="00FF3CD7" w:rsidRPr="00FF3CD7" w:rsidRDefault="00FF3CD7" w:rsidP="00FF3CD7">
      <w:r w:rsidRPr="00FF3CD7">
        <w:t xml:space="preserve">Excipients with known </w:t>
      </w:r>
      <w:proofErr w:type="gramStart"/>
      <w:r w:rsidRPr="00FF3CD7">
        <w:t>effect:</w:t>
      </w:r>
      <w:proofErr w:type="gramEnd"/>
      <w:r w:rsidRPr="00FF3CD7">
        <w:t xml:space="preserve"> contains sugars as sucrose, 753 mg per 10 mL vial.</w:t>
      </w:r>
    </w:p>
    <w:p w14:paraId="2E46BF84" w14:textId="77777777" w:rsidR="00FF3CD7" w:rsidRPr="00FF3CD7" w:rsidRDefault="00FF3CD7" w:rsidP="00FF3CD7">
      <w:r w:rsidRPr="00FF3CD7">
        <w:rPr>
          <w:lang w:val="en"/>
        </w:rPr>
        <w:t>For the full list of excipients, see Section 6.1 List of excipients.</w:t>
      </w:r>
    </w:p>
    <w:p w14:paraId="6B2DF654" w14:textId="1D728DA0" w:rsidR="00FF3CD7" w:rsidRPr="001A3B88" w:rsidRDefault="001A3B88" w:rsidP="001A3B88">
      <w:pPr>
        <w:pStyle w:val="ListParagraph"/>
        <w:numPr>
          <w:ilvl w:val="0"/>
          <w:numId w:val="37"/>
        </w:numPr>
        <w:rPr>
          <w:b/>
          <w:bCs/>
          <w:sz w:val="28"/>
          <w:szCs w:val="28"/>
        </w:rPr>
      </w:pPr>
      <w:r w:rsidRPr="001A3B88">
        <w:rPr>
          <w:b/>
          <w:bCs/>
        </w:rPr>
        <w:t xml:space="preserve"> </w:t>
      </w:r>
      <w:r w:rsidR="00FF3CD7" w:rsidRPr="001A3B88">
        <w:rPr>
          <w:b/>
          <w:bCs/>
          <w:sz w:val="28"/>
          <w:szCs w:val="28"/>
        </w:rPr>
        <w:t>Pharmaceutical form</w:t>
      </w:r>
    </w:p>
    <w:p w14:paraId="5D4FEA60" w14:textId="77777777" w:rsidR="00FF3CD7" w:rsidRPr="00FF3CD7" w:rsidRDefault="00FF3CD7" w:rsidP="00FF3CD7">
      <w:r w:rsidRPr="00FF3CD7">
        <w:t xml:space="preserve">Concentrate for solution for infusion. </w:t>
      </w:r>
    </w:p>
    <w:p w14:paraId="5DDF5A70" w14:textId="0C83C202" w:rsidR="00FF3CD7" w:rsidRPr="001A3B88" w:rsidRDefault="00FF3CD7" w:rsidP="001A3B88">
      <w:pPr>
        <w:pStyle w:val="ListParagraph"/>
        <w:numPr>
          <w:ilvl w:val="0"/>
          <w:numId w:val="37"/>
        </w:numPr>
        <w:rPr>
          <w:b/>
          <w:bCs/>
          <w:sz w:val="28"/>
          <w:szCs w:val="28"/>
        </w:rPr>
      </w:pPr>
      <w:r w:rsidRPr="001A3B88">
        <w:rPr>
          <w:b/>
          <w:bCs/>
          <w:sz w:val="28"/>
          <w:szCs w:val="28"/>
        </w:rPr>
        <w:t>Clinical particulars</w:t>
      </w:r>
    </w:p>
    <w:p w14:paraId="5C9D544D" w14:textId="4E44F663" w:rsidR="00FF3CD7" w:rsidRPr="001A3B88" w:rsidRDefault="00FF3CD7" w:rsidP="001A3B88">
      <w:pPr>
        <w:pStyle w:val="ListParagraph"/>
        <w:numPr>
          <w:ilvl w:val="1"/>
          <w:numId w:val="37"/>
        </w:numPr>
        <w:rPr>
          <w:b/>
          <w:sz w:val="24"/>
          <w:szCs w:val="24"/>
        </w:rPr>
      </w:pPr>
      <w:r w:rsidRPr="001A3B88">
        <w:rPr>
          <w:b/>
          <w:sz w:val="24"/>
          <w:szCs w:val="24"/>
        </w:rPr>
        <w:t xml:space="preserve">Therapeutic indications </w:t>
      </w:r>
    </w:p>
    <w:p w14:paraId="1AB7F11B" w14:textId="77777777" w:rsidR="00FF3CD7" w:rsidRPr="00FF3CD7" w:rsidRDefault="00FF3CD7" w:rsidP="00FF3CD7">
      <w:r w:rsidRPr="00FF3CD7">
        <w:t xml:space="preserve">ADAKVEO is indicated for the prevention of recurrent </w:t>
      </w:r>
      <w:proofErr w:type="spellStart"/>
      <w:r w:rsidRPr="00FF3CD7">
        <w:t>vaso</w:t>
      </w:r>
      <w:proofErr w:type="spellEnd"/>
      <w:r w:rsidRPr="00FF3CD7">
        <w:t>-occlusive crises in patients aged 16 years and older with sickle cell disease.</w:t>
      </w:r>
    </w:p>
    <w:p w14:paraId="1DA95833" w14:textId="032D7D96" w:rsidR="00FF3CD7" w:rsidRPr="001A3B88" w:rsidRDefault="00FF3CD7" w:rsidP="001A3B88">
      <w:pPr>
        <w:pStyle w:val="ListParagraph"/>
        <w:numPr>
          <w:ilvl w:val="1"/>
          <w:numId w:val="37"/>
        </w:numPr>
        <w:rPr>
          <w:b/>
          <w:sz w:val="24"/>
          <w:szCs w:val="24"/>
        </w:rPr>
      </w:pPr>
      <w:r w:rsidRPr="001A3B88">
        <w:rPr>
          <w:b/>
          <w:sz w:val="24"/>
          <w:szCs w:val="24"/>
        </w:rPr>
        <w:t xml:space="preserve">Dose and method of administration </w:t>
      </w:r>
    </w:p>
    <w:p w14:paraId="04A969A2" w14:textId="77777777" w:rsidR="00FF3CD7" w:rsidRPr="00FF3CD7" w:rsidRDefault="00FF3CD7" w:rsidP="00FF3CD7">
      <w:pPr>
        <w:rPr>
          <w:b/>
          <w:bCs/>
        </w:rPr>
      </w:pPr>
      <w:r w:rsidRPr="00FF3CD7">
        <w:rPr>
          <w:b/>
          <w:bCs/>
        </w:rPr>
        <w:t>Patients aged 16 years and over</w:t>
      </w:r>
    </w:p>
    <w:p w14:paraId="72461BCE" w14:textId="77777777" w:rsidR="00FF3CD7" w:rsidRPr="00FF3CD7" w:rsidRDefault="00FF3CD7" w:rsidP="00FF3CD7">
      <w:r w:rsidRPr="00FF3CD7">
        <w:t xml:space="preserve">The recommended dose of ADAKVEO is 5 mg/kg administered over a period of 30 minutes by intravenous (IV) infusion at Week 0, Week 2, and every 4 weeks thereafter. </w:t>
      </w:r>
    </w:p>
    <w:p w14:paraId="06A59145" w14:textId="77777777" w:rsidR="00FF3CD7" w:rsidRPr="00FF3CD7" w:rsidRDefault="00FF3CD7" w:rsidP="00FF3CD7">
      <w:r w:rsidRPr="00FF3CD7">
        <w:t xml:space="preserve">ADAKVEO can be given alone or with hydroxycarbamide (hydroxyurea) (see section 5.1 Pharmacodynamic Properties, Clinical Trials). </w:t>
      </w:r>
    </w:p>
    <w:p w14:paraId="18C2B90B" w14:textId="77777777" w:rsidR="00FF3CD7" w:rsidRPr="00FF3CD7" w:rsidRDefault="00FF3CD7" w:rsidP="00FF3CD7">
      <w:pPr>
        <w:rPr>
          <w:b/>
          <w:bCs/>
        </w:rPr>
      </w:pPr>
      <w:r w:rsidRPr="00FF3CD7">
        <w:rPr>
          <w:b/>
          <w:bCs/>
        </w:rPr>
        <w:t>Paediatric use (below 16 years)</w:t>
      </w:r>
    </w:p>
    <w:p w14:paraId="01419E96" w14:textId="77777777" w:rsidR="00FF3CD7" w:rsidRPr="00FF3CD7" w:rsidRDefault="00FF3CD7" w:rsidP="00FF3CD7">
      <w:r w:rsidRPr="00FF3CD7">
        <w:t xml:space="preserve">The safety and efficacy of ADAKVEO in paediatric patients below the age of 16 years have not been established. </w:t>
      </w:r>
    </w:p>
    <w:p w14:paraId="4D6D8DD3" w14:textId="77777777" w:rsidR="00FF3CD7" w:rsidRPr="00FF3CD7" w:rsidRDefault="00FF3CD7" w:rsidP="00FF3CD7">
      <w:pPr>
        <w:rPr>
          <w:b/>
          <w:bCs/>
        </w:rPr>
      </w:pPr>
      <w:r w:rsidRPr="00FF3CD7">
        <w:rPr>
          <w:b/>
          <w:bCs/>
        </w:rPr>
        <w:t>Delayed or missed dose</w:t>
      </w:r>
    </w:p>
    <w:p w14:paraId="7EE6AD5E" w14:textId="77777777" w:rsidR="00FF3CD7" w:rsidRPr="00FF3CD7" w:rsidRDefault="00FF3CD7" w:rsidP="00FF3CD7">
      <w:r w:rsidRPr="00FF3CD7">
        <w:t>If a dose is missed, ADAKVEO should be administered as soon as possible.</w:t>
      </w:r>
    </w:p>
    <w:p w14:paraId="1E5D0CDE" w14:textId="77777777" w:rsidR="00D03C39" w:rsidRPr="00D03C39" w:rsidRDefault="00D03C39" w:rsidP="00D03C39">
      <w:pPr>
        <w:numPr>
          <w:ilvl w:val="0"/>
          <w:numId w:val="38"/>
        </w:numPr>
      </w:pPr>
      <w:r w:rsidRPr="00D03C39">
        <w:t>If ADAKVEO is administered within 2 weeks after the missed dose, dosing should be continued according to the patient's original schedule.</w:t>
      </w:r>
    </w:p>
    <w:p w14:paraId="72C37564" w14:textId="77777777" w:rsidR="00D03C39" w:rsidRPr="00D03C39" w:rsidRDefault="00D03C39" w:rsidP="00D03C39">
      <w:pPr>
        <w:numPr>
          <w:ilvl w:val="0"/>
          <w:numId w:val="38"/>
        </w:numPr>
      </w:pPr>
      <w:r w:rsidRPr="00D03C39">
        <w:lastRenderedPageBreak/>
        <w:t xml:space="preserve">If ADAKVEO is administered more than 2 weeks after the missed dose, dosing should be continued every 4 weeks thereafter. </w:t>
      </w:r>
    </w:p>
    <w:p w14:paraId="4F7B67E0" w14:textId="77777777" w:rsidR="00D03C39" w:rsidRPr="00D03C39" w:rsidRDefault="00D03C39" w:rsidP="00D03C39">
      <w:pPr>
        <w:rPr>
          <w:b/>
          <w:bCs/>
        </w:rPr>
      </w:pPr>
      <w:r w:rsidRPr="00D03C39">
        <w:rPr>
          <w:b/>
          <w:bCs/>
        </w:rPr>
        <w:t>Management recommendations for infusion-related reactions</w:t>
      </w:r>
    </w:p>
    <w:p w14:paraId="4C4CE19A" w14:textId="77777777" w:rsidR="00D03C39" w:rsidRPr="00D03C39" w:rsidRDefault="00D03C39" w:rsidP="00D03C39">
      <w:r w:rsidRPr="00D03C39">
        <w:t>Table 1 summarises recommendations for the management of infusion-related reactions (IRR) (see section 4.4 Special warnings and precautions, infusion related reactions).</w:t>
      </w:r>
    </w:p>
    <w:p w14:paraId="3C77B9FF" w14:textId="77777777" w:rsidR="00D03C39" w:rsidRPr="00D03C39" w:rsidRDefault="00D03C39" w:rsidP="00D03C39">
      <w:pPr>
        <w:rPr>
          <w:b/>
          <w:iCs/>
        </w:rPr>
      </w:pPr>
      <w:r w:rsidRPr="00D03C39">
        <w:rPr>
          <w:b/>
          <w:iCs/>
        </w:rPr>
        <w:t xml:space="preserve">Table </w:t>
      </w:r>
      <w:r w:rsidRPr="00D03C39">
        <w:rPr>
          <w:b/>
          <w:iCs/>
        </w:rPr>
        <w:fldChar w:fldCharType="begin"/>
      </w:r>
      <w:r w:rsidRPr="00D03C39">
        <w:rPr>
          <w:b/>
          <w:iCs/>
        </w:rPr>
        <w:instrText xml:space="preserve"> SEQ Table \* ARABIC </w:instrText>
      </w:r>
      <w:r w:rsidRPr="00D03C39">
        <w:rPr>
          <w:b/>
          <w:iCs/>
        </w:rPr>
        <w:fldChar w:fldCharType="separate"/>
      </w:r>
      <w:r w:rsidRPr="00D03C39">
        <w:rPr>
          <w:b/>
          <w:iCs/>
        </w:rPr>
        <w:t>1</w:t>
      </w:r>
      <w:r w:rsidRPr="00D03C39">
        <w:fldChar w:fldCharType="end"/>
      </w:r>
      <w:r w:rsidRPr="00D03C39">
        <w:rPr>
          <w:b/>
          <w:iCs/>
        </w:rPr>
        <w:t xml:space="preserve"> Recommendations for the management of infusion-related reactions</w:t>
      </w:r>
    </w:p>
    <w:tbl>
      <w:tblPr>
        <w:tblW w:w="9299" w:type="dxa"/>
        <w:tblLayout w:type="fixed"/>
        <w:tblLook w:val="0000" w:firstRow="0" w:lastRow="0" w:firstColumn="0" w:lastColumn="0" w:noHBand="0" w:noVBand="0"/>
      </w:tblPr>
      <w:tblGrid>
        <w:gridCol w:w="3168"/>
        <w:gridCol w:w="6131"/>
      </w:tblGrid>
      <w:tr w:rsidR="00D03C39" w:rsidRPr="00D03C39" w14:paraId="2E271060" w14:textId="77777777" w:rsidTr="00D03C39">
        <w:trPr>
          <w:tblHeader/>
        </w:trPr>
        <w:tc>
          <w:tcPr>
            <w:tcW w:w="3168" w:type="dxa"/>
            <w:tcBorders>
              <w:top w:val="single" w:sz="4" w:space="0" w:color="auto"/>
              <w:bottom w:val="single" w:sz="4" w:space="0" w:color="auto"/>
              <w:right w:val="single" w:sz="4" w:space="0" w:color="auto"/>
            </w:tcBorders>
            <w:shd w:val="clear" w:color="auto" w:fill="auto"/>
          </w:tcPr>
          <w:p w14:paraId="132BCF70" w14:textId="77777777" w:rsidR="00D03C39" w:rsidRPr="00D03C39" w:rsidRDefault="00D03C39" w:rsidP="00D03C39">
            <w:pPr>
              <w:rPr>
                <w:b/>
                <w:sz w:val="18"/>
                <w:szCs w:val="18"/>
                <w:lang w:val="en-US"/>
              </w:rPr>
            </w:pPr>
            <w:r w:rsidRPr="00D03C39">
              <w:rPr>
                <w:b/>
                <w:sz w:val="18"/>
                <w:szCs w:val="18"/>
                <w:lang w:val="en-US"/>
              </w:rPr>
              <w:t>Severity of Adverse Drug Reaction</w:t>
            </w:r>
          </w:p>
        </w:tc>
        <w:tc>
          <w:tcPr>
            <w:tcW w:w="6131" w:type="dxa"/>
            <w:tcBorders>
              <w:top w:val="single" w:sz="4" w:space="0" w:color="auto"/>
              <w:left w:val="single" w:sz="4" w:space="0" w:color="auto"/>
              <w:bottom w:val="single" w:sz="4" w:space="0" w:color="auto"/>
            </w:tcBorders>
            <w:shd w:val="clear" w:color="auto" w:fill="auto"/>
          </w:tcPr>
          <w:p w14:paraId="12C1C173" w14:textId="77777777" w:rsidR="00D03C39" w:rsidRPr="00D03C39" w:rsidRDefault="00D03C39" w:rsidP="00D03C39">
            <w:pPr>
              <w:rPr>
                <w:b/>
                <w:sz w:val="18"/>
                <w:szCs w:val="18"/>
                <w:lang w:val="en-US"/>
              </w:rPr>
            </w:pPr>
            <w:r w:rsidRPr="00D03C39">
              <w:rPr>
                <w:b/>
                <w:sz w:val="18"/>
                <w:szCs w:val="18"/>
                <w:lang w:val="en-US"/>
              </w:rPr>
              <w:t>Management recommendation</w:t>
            </w:r>
          </w:p>
        </w:tc>
      </w:tr>
      <w:tr w:rsidR="00D03C39" w:rsidRPr="00D03C39" w14:paraId="27A8748A" w14:textId="77777777" w:rsidTr="00D03C39">
        <w:trPr>
          <w:trHeight w:val="1789"/>
        </w:trPr>
        <w:tc>
          <w:tcPr>
            <w:tcW w:w="3168" w:type="dxa"/>
            <w:tcBorders>
              <w:top w:val="single" w:sz="4" w:space="0" w:color="auto"/>
              <w:bottom w:val="single" w:sz="4" w:space="0" w:color="auto"/>
              <w:right w:val="single" w:sz="4" w:space="0" w:color="auto"/>
            </w:tcBorders>
            <w:shd w:val="clear" w:color="auto" w:fill="auto"/>
          </w:tcPr>
          <w:p w14:paraId="2BAC042C" w14:textId="77777777" w:rsidR="00D03C39" w:rsidRPr="00D03C39" w:rsidRDefault="00D03C39" w:rsidP="00D03C39">
            <w:pPr>
              <w:rPr>
                <w:sz w:val="18"/>
                <w:szCs w:val="18"/>
                <w:lang w:val="en-US"/>
              </w:rPr>
            </w:pPr>
            <w:r w:rsidRPr="00D03C39">
              <w:rPr>
                <w:sz w:val="18"/>
                <w:szCs w:val="18"/>
                <w:lang w:val="en-US"/>
              </w:rPr>
              <w:t>Mild to Moderate IRR</w:t>
            </w:r>
          </w:p>
        </w:tc>
        <w:tc>
          <w:tcPr>
            <w:tcW w:w="6131" w:type="dxa"/>
            <w:tcBorders>
              <w:top w:val="single" w:sz="4" w:space="0" w:color="auto"/>
              <w:left w:val="single" w:sz="4" w:space="0" w:color="auto"/>
              <w:bottom w:val="single" w:sz="4" w:space="0" w:color="auto"/>
            </w:tcBorders>
            <w:shd w:val="clear" w:color="auto" w:fill="auto"/>
          </w:tcPr>
          <w:p w14:paraId="0128E8E6" w14:textId="77777777" w:rsidR="00D03C39" w:rsidRPr="00D03C39" w:rsidRDefault="00D03C39" w:rsidP="00D03C39">
            <w:pPr>
              <w:rPr>
                <w:sz w:val="18"/>
                <w:szCs w:val="18"/>
                <w:lang w:val="en-US"/>
              </w:rPr>
            </w:pPr>
            <w:r w:rsidRPr="00D03C39">
              <w:rPr>
                <w:sz w:val="18"/>
                <w:szCs w:val="18"/>
                <w:lang w:val="en-US"/>
              </w:rPr>
              <w:t>Temporarily interrupt the infusion or reduce the infusion rate</w:t>
            </w:r>
          </w:p>
          <w:p w14:paraId="197B7C06" w14:textId="77777777" w:rsidR="00D03C39" w:rsidRPr="00D03C39" w:rsidRDefault="00D03C39" w:rsidP="00D03C39">
            <w:pPr>
              <w:rPr>
                <w:sz w:val="18"/>
                <w:szCs w:val="18"/>
                <w:lang w:val="en-US"/>
              </w:rPr>
            </w:pPr>
            <w:r w:rsidRPr="00D03C39">
              <w:rPr>
                <w:sz w:val="18"/>
                <w:szCs w:val="18"/>
                <w:lang w:val="en-US"/>
              </w:rPr>
              <w:t xml:space="preserve">Initiate </w:t>
            </w:r>
            <w:proofErr w:type="gramStart"/>
            <w:r w:rsidRPr="00D03C39">
              <w:rPr>
                <w:sz w:val="18"/>
                <w:szCs w:val="18"/>
                <w:lang w:val="en-US"/>
              </w:rPr>
              <w:t>symptomatic  treatment</w:t>
            </w:r>
            <w:proofErr w:type="gramEnd"/>
            <w:r w:rsidRPr="00D03C39">
              <w:rPr>
                <w:sz w:val="18"/>
                <w:szCs w:val="18"/>
                <w:lang w:val="en-US"/>
              </w:rPr>
              <w:t>* (e.g. paracetamol/acetaminophen or nonsteroidal anti-inflammatory drug (NSAID) and/or antihistamine)</w:t>
            </w:r>
          </w:p>
          <w:p w14:paraId="3151BC10" w14:textId="77777777" w:rsidR="00D03C39" w:rsidRPr="00D03C39" w:rsidRDefault="00D03C39" w:rsidP="00D03C39">
            <w:pPr>
              <w:rPr>
                <w:sz w:val="18"/>
                <w:szCs w:val="18"/>
                <w:lang w:val="en-US"/>
              </w:rPr>
            </w:pPr>
            <w:r w:rsidRPr="00D03C39">
              <w:rPr>
                <w:sz w:val="18"/>
                <w:szCs w:val="18"/>
                <w:lang w:val="en-US"/>
              </w:rPr>
              <w:t>For subsequent infusions consider premedication and/or slower infusion rate</w:t>
            </w:r>
          </w:p>
        </w:tc>
      </w:tr>
      <w:tr w:rsidR="00D03C39" w:rsidRPr="00D03C39" w14:paraId="44AAF9BD" w14:textId="77777777" w:rsidTr="00D03C39">
        <w:tc>
          <w:tcPr>
            <w:tcW w:w="3168" w:type="dxa"/>
            <w:tcBorders>
              <w:top w:val="single" w:sz="4" w:space="0" w:color="auto"/>
              <w:bottom w:val="single" w:sz="4" w:space="0" w:color="auto"/>
              <w:right w:val="single" w:sz="4" w:space="0" w:color="auto"/>
            </w:tcBorders>
            <w:shd w:val="clear" w:color="auto" w:fill="auto"/>
          </w:tcPr>
          <w:p w14:paraId="048B8F3E" w14:textId="77777777" w:rsidR="00D03C39" w:rsidRPr="00D03C39" w:rsidRDefault="00D03C39" w:rsidP="00D03C39">
            <w:pPr>
              <w:rPr>
                <w:sz w:val="18"/>
                <w:szCs w:val="18"/>
                <w:lang w:val="en-US"/>
              </w:rPr>
            </w:pPr>
            <w:r w:rsidRPr="00D03C39">
              <w:rPr>
                <w:sz w:val="18"/>
                <w:szCs w:val="18"/>
                <w:lang w:val="en-US"/>
              </w:rPr>
              <w:t>Severe IRR</w:t>
            </w:r>
          </w:p>
        </w:tc>
        <w:tc>
          <w:tcPr>
            <w:tcW w:w="6131" w:type="dxa"/>
            <w:tcBorders>
              <w:top w:val="single" w:sz="4" w:space="0" w:color="auto"/>
              <w:left w:val="single" w:sz="4" w:space="0" w:color="auto"/>
              <w:bottom w:val="single" w:sz="4" w:space="0" w:color="auto"/>
            </w:tcBorders>
            <w:shd w:val="clear" w:color="auto" w:fill="auto"/>
          </w:tcPr>
          <w:p w14:paraId="7902E2B9" w14:textId="77777777" w:rsidR="00D03C39" w:rsidRPr="00D03C39" w:rsidRDefault="00D03C39" w:rsidP="00D03C39">
            <w:pPr>
              <w:rPr>
                <w:sz w:val="18"/>
                <w:szCs w:val="18"/>
                <w:lang w:val="en-US"/>
              </w:rPr>
            </w:pPr>
            <w:r w:rsidRPr="00D03C39">
              <w:rPr>
                <w:sz w:val="18"/>
                <w:szCs w:val="18"/>
                <w:lang w:val="en-US"/>
              </w:rPr>
              <w:t>Discontinue treatment with ADAKVEO</w:t>
            </w:r>
          </w:p>
          <w:p w14:paraId="7EC0C74E" w14:textId="77777777" w:rsidR="00D03C39" w:rsidRPr="00D03C39" w:rsidRDefault="00D03C39" w:rsidP="00D03C39">
            <w:pPr>
              <w:rPr>
                <w:sz w:val="18"/>
                <w:szCs w:val="18"/>
                <w:lang w:val="en-US"/>
              </w:rPr>
            </w:pPr>
            <w:r w:rsidRPr="00D03C39">
              <w:rPr>
                <w:sz w:val="18"/>
                <w:szCs w:val="18"/>
                <w:lang w:val="en-US"/>
              </w:rPr>
              <w:t>Institute appropriate therapy *</w:t>
            </w:r>
          </w:p>
        </w:tc>
      </w:tr>
      <w:tr w:rsidR="00D03C39" w:rsidRPr="00D03C39" w14:paraId="0327E0B9" w14:textId="77777777" w:rsidTr="00D03C39">
        <w:tc>
          <w:tcPr>
            <w:tcW w:w="9299" w:type="dxa"/>
            <w:gridSpan w:val="2"/>
            <w:tcBorders>
              <w:top w:val="single" w:sz="4" w:space="0" w:color="auto"/>
              <w:bottom w:val="single" w:sz="4" w:space="0" w:color="auto"/>
            </w:tcBorders>
            <w:shd w:val="clear" w:color="auto" w:fill="auto"/>
          </w:tcPr>
          <w:p w14:paraId="6E3BB1FB" w14:textId="77777777" w:rsidR="00D03C39" w:rsidRPr="00D03C39" w:rsidRDefault="00D03C39" w:rsidP="00D03C39">
            <w:pPr>
              <w:rPr>
                <w:i/>
                <w:sz w:val="18"/>
                <w:szCs w:val="18"/>
                <w:lang w:val="en-US"/>
              </w:rPr>
            </w:pPr>
            <w:r w:rsidRPr="00D03C39">
              <w:rPr>
                <w:i/>
                <w:sz w:val="18"/>
                <w:szCs w:val="18"/>
                <w:lang w:val="en-US"/>
              </w:rPr>
              <w:t xml:space="preserve">*Caution should be exercised with corticosteroids in patients with sickle cell disease unless clinically indicated </w:t>
            </w:r>
            <w:proofErr w:type="gramStart"/>
            <w:r w:rsidRPr="00D03C39">
              <w:rPr>
                <w:i/>
                <w:sz w:val="18"/>
                <w:szCs w:val="18"/>
                <w:lang w:val="en-US"/>
              </w:rPr>
              <w:t>( e.g.</w:t>
            </w:r>
            <w:proofErr w:type="gramEnd"/>
            <w:r w:rsidRPr="00D03C39">
              <w:rPr>
                <w:i/>
                <w:sz w:val="18"/>
                <w:szCs w:val="18"/>
                <w:lang w:val="en-US"/>
              </w:rPr>
              <w:t xml:space="preserve"> treatment of anaphylaxis)</w:t>
            </w:r>
          </w:p>
        </w:tc>
      </w:tr>
    </w:tbl>
    <w:p w14:paraId="17179306" w14:textId="77777777" w:rsidR="00D03C39" w:rsidRPr="00D03C39" w:rsidRDefault="00D03C39" w:rsidP="00D03C39">
      <w:pPr>
        <w:rPr>
          <w:b/>
          <w:bCs/>
        </w:rPr>
      </w:pPr>
      <w:r w:rsidRPr="00D03C39">
        <w:rPr>
          <w:b/>
          <w:bCs/>
        </w:rPr>
        <w:t>Method of Administration</w:t>
      </w:r>
    </w:p>
    <w:p w14:paraId="7E70054C" w14:textId="77777777" w:rsidR="00D03C39" w:rsidRPr="00D03C39" w:rsidRDefault="00D03C39" w:rsidP="00D03C39">
      <w:r w:rsidRPr="00D03C39">
        <w:t xml:space="preserve">ADAKVEO 10 mg/mL concentrate for solution for infusion vials are for single use in one patient only. Discard any residue. </w:t>
      </w:r>
    </w:p>
    <w:p w14:paraId="2A8836B0" w14:textId="77777777" w:rsidR="00D03C39" w:rsidRPr="00D03C39" w:rsidRDefault="00D03C39" w:rsidP="00D03C39">
      <w:r w:rsidRPr="00D03C39">
        <w:t xml:space="preserve">ADAKVEO should be administered by a healthcare professional. ADAKVEO should be diluted before administration with either sodium chloride 0.9% or dextrose </w:t>
      </w:r>
      <w:proofErr w:type="gramStart"/>
      <w:r w:rsidRPr="00D03C39">
        <w:t>5%, and</w:t>
      </w:r>
      <w:proofErr w:type="gramEnd"/>
      <w:r w:rsidRPr="00D03C39">
        <w:t xml:space="preserve"> must be dosed on the basis of body weight. ADAKVEO diluted solution must be administered through a sterile, non-pyrogenic 0.2 micron in-line filter by intravenous (IV) infusion over a period of 30 minutes. It must not be administered as IV push or bolus.</w:t>
      </w:r>
    </w:p>
    <w:p w14:paraId="46A6BE00" w14:textId="77777777" w:rsidR="00D03C39" w:rsidRPr="00D03C39" w:rsidRDefault="00D03C39" w:rsidP="00D03C39">
      <w:pPr>
        <w:rPr>
          <w:b/>
          <w:bCs/>
        </w:rPr>
      </w:pPr>
      <w:r w:rsidRPr="00D03C39">
        <w:rPr>
          <w:b/>
          <w:bCs/>
        </w:rPr>
        <w:t>Preparing the infusion</w:t>
      </w:r>
    </w:p>
    <w:p w14:paraId="05D3EB75" w14:textId="77777777" w:rsidR="00D03C39" w:rsidRPr="00D03C39" w:rsidRDefault="00D03C39" w:rsidP="00D03C39">
      <w:r w:rsidRPr="00D03C39">
        <w:t>The diluted solution for infusion should be prepared by a healthcare professional using aseptic techniques. The total dose and required volume of ADAKVEO depends on the patient’s body weight; 5 mg of crizanlizumab is administered per kg bodyweight.</w:t>
      </w:r>
    </w:p>
    <w:p w14:paraId="2DFC98BC" w14:textId="77777777" w:rsidR="00D03C39" w:rsidRPr="00D03C39" w:rsidRDefault="00D03C39" w:rsidP="00D03C39">
      <w:r w:rsidRPr="00D03C39">
        <w:t>The volume of ADAKVEO to be used for the preparation of the infusion is calculated according to the following equation:</w:t>
      </w:r>
    </w:p>
    <w:p w14:paraId="1DF862C2" w14:textId="77777777" w:rsidR="00D03C39" w:rsidRPr="00D03C39" w:rsidRDefault="00D03C39" w:rsidP="00D03C39">
      <w:pPr>
        <w:pageBreakBefore/>
        <w:rPr>
          <w:b/>
          <w:bCs/>
        </w:rPr>
      </w:pPr>
      <w:r w:rsidRPr="00D03C39">
        <w:rPr>
          <w:b/>
          <w:bCs/>
        </w:rPr>
        <w:lastRenderedPageBreak/>
        <w:t xml:space="preserve">Figure </w:t>
      </w:r>
      <w:r w:rsidRPr="00D03C39">
        <w:rPr>
          <w:b/>
          <w:bCs/>
        </w:rPr>
        <w:fldChar w:fldCharType="begin"/>
      </w:r>
      <w:r w:rsidRPr="00D03C39">
        <w:rPr>
          <w:b/>
          <w:bCs/>
        </w:rPr>
        <w:instrText>SEQ Figure \s 1 \* ARABIC  \* MERGEFORMAT</w:instrText>
      </w:r>
      <w:r w:rsidRPr="00D03C39">
        <w:rPr>
          <w:b/>
          <w:bCs/>
        </w:rPr>
        <w:fldChar w:fldCharType="separate"/>
      </w:r>
      <w:r w:rsidRPr="00D03C39">
        <w:rPr>
          <w:b/>
          <w:bCs/>
        </w:rPr>
        <w:t>1</w:t>
      </w:r>
      <w:r w:rsidRPr="00D03C39">
        <w:fldChar w:fldCharType="end"/>
      </w:r>
      <w:r w:rsidRPr="00D03C39">
        <w:rPr>
          <w:b/>
          <w:bCs/>
        </w:rPr>
        <w:tab/>
        <w:t>Volume of ADAKVEO needed for a single administration</w:t>
      </w:r>
    </w:p>
    <w:tbl>
      <w:tblPr>
        <w:tblW w:w="7563" w:type="dxa"/>
        <w:tblInd w:w="142" w:type="dxa"/>
        <w:tblLook w:val="04A0" w:firstRow="1" w:lastRow="0" w:firstColumn="1" w:lastColumn="0" w:noHBand="0" w:noVBand="1"/>
      </w:tblPr>
      <w:tblGrid>
        <w:gridCol w:w="1459"/>
        <w:gridCol w:w="125"/>
        <w:gridCol w:w="4198"/>
        <w:gridCol w:w="1781"/>
      </w:tblGrid>
      <w:tr w:rsidR="00D03C39" w:rsidRPr="00D03C39" w14:paraId="681EBF20" w14:textId="77777777" w:rsidTr="006336AE">
        <w:tc>
          <w:tcPr>
            <w:tcW w:w="1459" w:type="dxa"/>
            <w:shd w:val="clear" w:color="auto" w:fill="auto"/>
          </w:tcPr>
          <w:p w14:paraId="792C1959" w14:textId="77777777" w:rsidR="00D03C39" w:rsidRPr="00D03C39" w:rsidRDefault="00D03C39" w:rsidP="00D03C39">
            <w:pPr>
              <w:spacing w:before="0" w:after="0" w:line="240" w:lineRule="auto"/>
              <w:jc w:val="both"/>
              <w:rPr>
                <w:rFonts w:ascii="Calibri" w:eastAsia="MS Mincho" w:hAnsi="Calibri" w:cs="Calibri"/>
                <w:lang w:val="en-US" w:eastAsia="zh-CN"/>
              </w:rPr>
            </w:pPr>
          </w:p>
        </w:tc>
        <w:tc>
          <w:tcPr>
            <w:tcW w:w="4323" w:type="dxa"/>
            <w:gridSpan w:val="2"/>
            <w:shd w:val="clear" w:color="auto" w:fill="auto"/>
          </w:tcPr>
          <w:p w14:paraId="2BD571D4" w14:textId="77777777" w:rsidR="00D03C39" w:rsidRPr="00D03C39" w:rsidRDefault="00D03C39" w:rsidP="00D03C39">
            <w:pPr>
              <w:spacing w:before="0" w:after="0" w:line="240" w:lineRule="auto"/>
              <w:jc w:val="center"/>
              <w:rPr>
                <w:rFonts w:ascii="Calibri" w:eastAsia="MS Mincho" w:hAnsi="Calibri" w:cs="Calibri"/>
                <w:lang w:val="en-US" w:eastAsia="zh-CN"/>
              </w:rPr>
            </w:pPr>
            <w:r w:rsidRPr="00D03C39">
              <w:rPr>
                <w:rFonts w:ascii="Calibri" w:eastAsia="MS Mincho" w:hAnsi="Calibri" w:cs="Calibri"/>
                <w:lang w:val="en-US" w:eastAsia="zh-CN"/>
              </w:rPr>
              <w:t>Patient’s body weight (kg) x prescribed dose</w:t>
            </w:r>
          </w:p>
        </w:tc>
        <w:tc>
          <w:tcPr>
            <w:tcW w:w="1781" w:type="dxa"/>
            <w:shd w:val="clear" w:color="auto" w:fill="auto"/>
          </w:tcPr>
          <w:p w14:paraId="367CADA7" w14:textId="77777777" w:rsidR="00D03C39" w:rsidRPr="00D03C39" w:rsidRDefault="00D03C39" w:rsidP="00D03C39">
            <w:pPr>
              <w:spacing w:before="0" w:after="0" w:line="240" w:lineRule="auto"/>
              <w:jc w:val="both"/>
              <w:rPr>
                <w:rFonts w:ascii="Calibri" w:eastAsia="MS Mincho" w:hAnsi="Calibri" w:cs="Calibri"/>
                <w:lang w:val="en-US" w:eastAsia="zh-CN"/>
              </w:rPr>
            </w:pPr>
            <w:r w:rsidRPr="00D03C39">
              <w:rPr>
                <w:rFonts w:ascii="Calibri" w:eastAsia="MS Mincho" w:hAnsi="Calibri" w:cs="Calibri"/>
                <w:lang w:val="en-US" w:eastAsia="zh-CN"/>
              </w:rPr>
              <w:t>[5 mg/kg]</w:t>
            </w:r>
          </w:p>
        </w:tc>
      </w:tr>
      <w:tr w:rsidR="00D03C39" w:rsidRPr="00D03C39" w14:paraId="5535EA59" w14:textId="77777777" w:rsidTr="006336AE">
        <w:tc>
          <w:tcPr>
            <w:tcW w:w="1584" w:type="dxa"/>
            <w:gridSpan w:val="2"/>
            <w:shd w:val="clear" w:color="auto" w:fill="auto"/>
          </w:tcPr>
          <w:p w14:paraId="7E971832" w14:textId="77777777" w:rsidR="00D03C39" w:rsidRPr="00D03C39" w:rsidRDefault="00D03C39" w:rsidP="00D03C39">
            <w:pPr>
              <w:spacing w:before="0" w:after="0" w:line="240" w:lineRule="auto"/>
              <w:jc w:val="both"/>
              <w:rPr>
                <w:rFonts w:ascii="Calibri" w:eastAsia="MS Mincho" w:hAnsi="Calibri" w:cs="Calibri"/>
                <w:lang w:val="en-US" w:eastAsia="zh-CN"/>
              </w:rPr>
            </w:pPr>
            <w:r w:rsidRPr="00D03C39">
              <w:rPr>
                <w:rFonts w:ascii="Calibri" w:eastAsia="MS Mincho" w:hAnsi="Calibri" w:cs="Calibri"/>
                <w:lang w:val="en-US" w:eastAsia="zh-CN"/>
              </w:rPr>
              <w:t>Volume (mL) =</w:t>
            </w:r>
          </w:p>
        </w:tc>
        <w:tc>
          <w:tcPr>
            <w:tcW w:w="5979" w:type="dxa"/>
            <w:gridSpan w:val="2"/>
            <w:shd w:val="clear" w:color="auto" w:fill="auto"/>
          </w:tcPr>
          <w:p w14:paraId="058833BF" w14:textId="77777777" w:rsidR="00D03C39" w:rsidRPr="00D03C39" w:rsidRDefault="00D03C39" w:rsidP="00D03C39">
            <w:pPr>
              <w:spacing w:before="0" w:after="0" w:line="240" w:lineRule="auto"/>
              <w:jc w:val="both"/>
              <w:rPr>
                <w:rFonts w:ascii="Calibri" w:eastAsia="MS Mincho" w:hAnsi="Calibri" w:cs="Calibri"/>
                <w:sz w:val="16"/>
                <w:szCs w:val="16"/>
                <w:lang w:val="en-US" w:eastAsia="zh-CN"/>
              </w:rPr>
            </w:pPr>
            <w:r w:rsidRPr="00D03C39">
              <w:rPr>
                <w:rFonts w:ascii="Calibri" w:eastAsia="MS Mincho" w:hAnsi="Calibri" w:cs="Calibri"/>
                <w:sz w:val="16"/>
                <w:szCs w:val="16"/>
                <w:lang w:val="en-US" w:eastAsia="zh-CN"/>
              </w:rPr>
              <w:t>______________________________________________________</w:t>
            </w:r>
          </w:p>
        </w:tc>
      </w:tr>
      <w:tr w:rsidR="00D03C39" w:rsidRPr="00D03C39" w14:paraId="354C7205" w14:textId="77777777" w:rsidTr="006336AE">
        <w:tc>
          <w:tcPr>
            <w:tcW w:w="1459" w:type="dxa"/>
            <w:shd w:val="clear" w:color="auto" w:fill="auto"/>
          </w:tcPr>
          <w:p w14:paraId="106C2882" w14:textId="77777777" w:rsidR="00D03C39" w:rsidRPr="00D03C39" w:rsidRDefault="00D03C39" w:rsidP="00D03C39">
            <w:pPr>
              <w:spacing w:before="0" w:after="0" w:line="240" w:lineRule="auto"/>
              <w:jc w:val="both"/>
              <w:rPr>
                <w:rFonts w:ascii="Calibri" w:eastAsia="MS Mincho" w:hAnsi="Calibri" w:cs="Calibri"/>
                <w:lang w:val="en-US" w:eastAsia="zh-CN"/>
              </w:rPr>
            </w:pPr>
          </w:p>
        </w:tc>
        <w:tc>
          <w:tcPr>
            <w:tcW w:w="4323" w:type="dxa"/>
            <w:gridSpan w:val="2"/>
            <w:shd w:val="clear" w:color="auto" w:fill="auto"/>
          </w:tcPr>
          <w:p w14:paraId="205AC457" w14:textId="77777777" w:rsidR="00D03C39" w:rsidRPr="00D03C39" w:rsidRDefault="00D03C39" w:rsidP="00D03C39">
            <w:pPr>
              <w:spacing w:before="0" w:after="0" w:line="240" w:lineRule="auto"/>
              <w:jc w:val="center"/>
              <w:rPr>
                <w:rFonts w:ascii="Calibri" w:eastAsia="MS Mincho" w:hAnsi="Calibri" w:cs="Calibri"/>
                <w:lang w:val="en-US" w:eastAsia="zh-CN"/>
              </w:rPr>
            </w:pPr>
            <w:r w:rsidRPr="00D03C39">
              <w:rPr>
                <w:rFonts w:ascii="Calibri" w:eastAsia="MS Mincho" w:hAnsi="Calibri" w:cs="Calibri"/>
                <w:lang w:val="en-US" w:eastAsia="zh-CN"/>
              </w:rPr>
              <w:t>Concentration of ADAKVEO</w:t>
            </w:r>
          </w:p>
        </w:tc>
        <w:tc>
          <w:tcPr>
            <w:tcW w:w="1781" w:type="dxa"/>
            <w:shd w:val="clear" w:color="auto" w:fill="auto"/>
          </w:tcPr>
          <w:p w14:paraId="552B1186" w14:textId="77777777" w:rsidR="00D03C39" w:rsidRPr="00D03C39" w:rsidRDefault="00D03C39" w:rsidP="00D03C39">
            <w:pPr>
              <w:spacing w:before="0" w:after="0" w:line="240" w:lineRule="auto"/>
              <w:jc w:val="both"/>
              <w:rPr>
                <w:rFonts w:ascii="Calibri" w:eastAsia="MS Mincho" w:hAnsi="Calibri" w:cs="Calibri"/>
                <w:lang w:val="en-US" w:eastAsia="zh-CN"/>
              </w:rPr>
            </w:pPr>
            <w:r w:rsidRPr="00D03C39">
              <w:rPr>
                <w:rFonts w:ascii="Calibri" w:eastAsia="MS Mincho" w:hAnsi="Calibri" w:cs="Calibri"/>
                <w:lang w:val="en-US" w:eastAsia="zh-CN"/>
              </w:rPr>
              <w:t>[10 mg/mL]</w:t>
            </w:r>
          </w:p>
          <w:p w14:paraId="704C2C4D" w14:textId="77777777" w:rsidR="00D03C39" w:rsidRPr="00D03C39" w:rsidRDefault="00D03C39" w:rsidP="00D03C39">
            <w:pPr>
              <w:spacing w:before="0" w:after="0" w:line="240" w:lineRule="auto"/>
              <w:jc w:val="both"/>
              <w:rPr>
                <w:rFonts w:ascii="Calibri" w:eastAsia="MS Mincho" w:hAnsi="Calibri" w:cs="Calibri"/>
                <w:lang w:val="en-US" w:eastAsia="zh-CN"/>
              </w:rPr>
            </w:pPr>
          </w:p>
        </w:tc>
      </w:tr>
    </w:tbl>
    <w:p w14:paraId="780B788A" w14:textId="5AEB671E" w:rsidR="00D03C39" w:rsidRPr="00D03C39" w:rsidRDefault="00D03C39" w:rsidP="00D03C39">
      <w:pPr>
        <w:numPr>
          <w:ilvl w:val="0"/>
          <w:numId w:val="39"/>
        </w:numPr>
      </w:pPr>
      <w:r w:rsidRPr="00D03C39">
        <w:t>Obtain the number of vials of ADAKVEO required to deliver the prescribed dose and bring them to room temperature (for a maximum of 4 hours). One vial is needed for every 10 mL of ADAKVEO (see Table 2).</w:t>
      </w:r>
    </w:p>
    <w:p w14:paraId="1568FB60" w14:textId="77777777" w:rsidR="00D03C39" w:rsidRPr="00D03C39" w:rsidRDefault="00D03C39" w:rsidP="00D03C39">
      <w:pPr>
        <w:spacing w:before="0" w:after="200" w:line="276" w:lineRule="auto"/>
        <w:rPr>
          <w:rFonts w:ascii="Calibri" w:eastAsia="Calibri" w:hAnsi="Calibri" w:cs="Times New Roman"/>
          <w:b/>
        </w:rPr>
      </w:pPr>
      <w:bookmarkStart w:id="0" w:name="_Toc12434621"/>
      <w:r w:rsidRPr="00D03C39">
        <w:rPr>
          <w:rFonts w:ascii="Calibri" w:eastAsia="Calibri" w:hAnsi="Calibri" w:cs="Times New Roman"/>
          <w:b/>
        </w:rPr>
        <w:t xml:space="preserve">Table </w:t>
      </w:r>
      <w:r w:rsidRPr="00D03C39">
        <w:rPr>
          <w:rFonts w:ascii="Calibri" w:eastAsia="Calibri" w:hAnsi="Calibri" w:cs="Times New Roman"/>
          <w:b/>
        </w:rPr>
        <w:fldChar w:fldCharType="begin"/>
      </w:r>
      <w:r w:rsidRPr="00D03C39">
        <w:rPr>
          <w:rFonts w:ascii="Calibri" w:eastAsia="Calibri" w:hAnsi="Calibri" w:cs="Times New Roman"/>
          <w:b/>
        </w:rPr>
        <w:instrText>SEQ Table \s 1 \* ARABIC  \* MERGEFORMAT</w:instrText>
      </w:r>
      <w:r w:rsidRPr="00D03C39">
        <w:rPr>
          <w:rFonts w:ascii="Calibri" w:eastAsia="Calibri" w:hAnsi="Calibri" w:cs="Times New Roman"/>
          <w:b/>
        </w:rPr>
        <w:fldChar w:fldCharType="separate"/>
      </w:r>
      <w:r w:rsidRPr="00D03C39">
        <w:rPr>
          <w:rFonts w:ascii="Calibri" w:eastAsia="Calibri" w:hAnsi="Calibri" w:cs="Times New Roman"/>
          <w:b/>
          <w:noProof/>
        </w:rPr>
        <w:t>2</w:t>
      </w:r>
      <w:r w:rsidRPr="00D03C39">
        <w:rPr>
          <w:rFonts w:ascii="Calibri" w:eastAsia="Calibri" w:hAnsi="Calibri" w:cs="Times New Roman"/>
          <w:b/>
          <w:noProof/>
        </w:rPr>
        <w:fldChar w:fldCharType="end"/>
      </w:r>
      <w:r w:rsidRPr="00D03C39">
        <w:rPr>
          <w:rFonts w:ascii="Calibri" w:eastAsia="Calibri" w:hAnsi="Calibri" w:cs="Times New Roman"/>
          <w:b/>
        </w:rPr>
        <w:tab/>
        <w:t>Number of vials needed by body weight (kg)</w:t>
      </w:r>
      <w:bookmarkEnd w:id="0"/>
    </w:p>
    <w:tbl>
      <w:tblPr>
        <w:tblW w:w="0" w:type="auto"/>
        <w:tblLook w:val="04A0" w:firstRow="1" w:lastRow="0" w:firstColumn="1" w:lastColumn="0" w:noHBand="0" w:noVBand="1"/>
      </w:tblPr>
      <w:tblGrid>
        <w:gridCol w:w="2259"/>
        <w:gridCol w:w="2253"/>
        <w:gridCol w:w="2262"/>
        <w:gridCol w:w="2252"/>
      </w:tblGrid>
      <w:tr w:rsidR="00D03C39" w:rsidRPr="00D03C39" w14:paraId="4D5AE641" w14:textId="77777777" w:rsidTr="006336AE">
        <w:tc>
          <w:tcPr>
            <w:tcW w:w="2259" w:type="dxa"/>
            <w:tcBorders>
              <w:top w:val="single" w:sz="4" w:space="0" w:color="auto"/>
              <w:bottom w:val="single" w:sz="4" w:space="0" w:color="auto"/>
              <w:right w:val="single" w:sz="4" w:space="0" w:color="auto"/>
            </w:tcBorders>
            <w:shd w:val="clear" w:color="auto" w:fill="auto"/>
          </w:tcPr>
          <w:p w14:paraId="7780431A" w14:textId="77777777" w:rsidR="00D03C39" w:rsidRPr="00D03C39" w:rsidRDefault="00D03C39" w:rsidP="00D03C39">
            <w:pPr>
              <w:keepLines/>
              <w:tabs>
                <w:tab w:val="left" w:pos="284"/>
              </w:tabs>
              <w:spacing w:before="40" w:after="20" w:line="240" w:lineRule="auto"/>
              <w:rPr>
                <w:rFonts w:ascii="Arial" w:eastAsia="MS Mincho" w:hAnsi="Arial" w:cs="Arial"/>
                <w:b/>
                <w:bCs/>
                <w:sz w:val="18"/>
                <w:szCs w:val="18"/>
                <w:lang w:val="en-US" w:eastAsia="zh-CN"/>
              </w:rPr>
            </w:pPr>
            <w:r w:rsidRPr="00D03C39">
              <w:rPr>
                <w:rFonts w:ascii="Arial" w:eastAsia="MS Mincho" w:hAnsi="Arial" w:cs="Arial"/>
                <w:b/>
                <w:bCs/>
                <w:sz w:val="18"/>
                <w:szCs w:val="18"/>
                <w:lang w:val="en-US" w:eastAsia="zh-CN"/>
              </w:rPr>
              <w:t>Body weight (kg)</w:t>
            </w:r>
          </w:p>
        </w:tc>
        <w:tc>
          <w:tcPr>
            <w:tcW w:w="2253" w:type="dxa"/>
            <w:tcBorders>
              <w:top w:val="single" w:sz="4" w:space="0" w:color="auto"/>
              <w:left w:val="single" w:sz="4" w:space="0" w:color="auto"/>
              <w:bottom w:val="single" w:sz="4" w:space="0" w:color="auto"/>
              <w:right w:val="single" w:sz="4" w:space="0" w:color="auto"/>
            </w:tcBorders>
            <w:shd w:val="clear" w:color="auto" w:fill="auto"/>
          </w:tcPr>
          <w:p w14:paraId="0E9B2340" w14:textId="77777777" w:rsidR="00D03C39" w:rsidRPr="00D03C39" w:rsidRDefault="00D03C39" w:rsidP="00D03C39">
            <w:pPr>
              <w:keepLines/>
              <w:tabs>
                <w:tab w:val="left" w:pos="284"/>
              </w:tabs>
              <w:spacing w:before="40" w:after="20" w:line="240" w:lineRule="auto"/>
              <w:rPr>
                <w:rFonts w:ascii="Arial" w:eastAsia="MS Mincho" w:hAnsi="Arial" w:cs="Arial"/>
                <w:b/>
                <w:bCs/>
                <w:sz w:val="18"/>
                <w:szCs w:val="18"/>
                <w:lang w:val="en-US" w:eastAsia="zh-CN"/>
              </w:rPr>
            </w:pPr>
            <w:r w:rsidRPr="00D03C39">
              <w:rPr>
                <w:rFonts w:ascii="Arial" w:eastAsia="MS Mincho" w:hAnsi="Arial" w:cs="Arial"/>
                <w:b/>
                <w:bCs/>
                <w:sz w:val="18"/>
                <w:szCs w:val="18"/>
                <w:lang w:val="en-US" w:eastAsia="zh-CN"/>
              </w:rPr>
              <w:t>Dose (mg)</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70A409D1" w14:textId="77777777" w:rsidR="00D03C39" w:rsidRPr="00D03C39" w:rsidRDefault="00D03C39" w:rsidP="00D03C39">
            <w:pPr>
              <w:keepLines/>
              <w:tabs>
                <w:tab w:val="left" w:pos="284"/>
              </w:tabs>
              <w:spacing w:before="40" w:after="20" w:line="240" w:lineRule="auto"/>
              <w:rPr>
                <w:rFonts w:ascii="Arial" w:eastAsia="MS Mincho" w:hAnsi="Arial" w:cs="Arial"/>
                <w:b/>
                <w:bCs/>
                <w:sz w:val="18"/>
                <w:szCs w:val="18"/>
                <w:lang w:val="en-US" w:eastAsia="zh-CN"/>
              </w:rPr>
            </w:pPr>
            <w:r w:rsidRPr="00D03C39">
              <w:rPr>
                <w:rFonts w:ascii="Arial" w:eastAsia="MS Mincho" w:hAnsi="Arial" w:cs="Arial"/>
                <w:b/>
                <w:bCs/>
                <w:sz w:val="18"/>
                <w:szCs w:val="18"/>
                <w:lang w:val="en-US" w:eastAsia="zh-CN"/>
              </w:rPr>
              <w:t>Volume (mL)</w:t>
            </w:r>
          </w:p>
        </w:tc>
        <w:tc>
          <w:tcPr>
            <w:tcW w:w="2252" w:type="dxa"/>
            <w:tcBorders>
              <w:top w:val="single" w:sz="4" w:space="0" w:color="auto"/>
              <w:left w:val="single" w:sz="4" w:space="0" w:color="auto"/>
              <w:bottom w:val="single" w:sz="4" w:space="0" w:color="auto"/>
            </w:tcBorders>
            <w:shd w:val="clear" w:color="auto" w:fill="auto"/>
          </w:tcPr>
          <w:p w14:paraId="60198046" w14:textId="77777777" w:rsidR="00D03C39" w:rsidRPr="00D03C39" w:rsidRDefault="00D03C39" w:rsidP="00D03C39">
            <w:pPr>
              <w:keepLines/>
              <w:tabs>
                <w:tab w:val="left" w:pos="284"/>
              </w:tabs>
              <w:spacing w:before="40" w:after="20" w:line="240" w:lineRule="auto"/>
              <w:rPr>
                <w:rFonts w:ascii="Arial" w:eastAsia="MS Mincho" w:hAnsi="Arial" w:cs="Arial"/>
                <w:b/>
                <w:bCs/>
                <w:sz w:val="18"/>
                <w:szCs w:val="18"/>
                <w:lang w:val="en-US" w:eastAsia="zh-CN"/>
              </w:rPr>
            </w:pPr>
            <w:r w:rsidRPr="00D03C39">
              <w:rPr>
                <w:rFonts w:ascii="Arial" w:eastAsia="MS Mincho" w:hAnsi="Arial" w:cs="Arial"/>
                <w:b/>
                <w:bCs/>
                <w:sz w:val="18"/>
                <w:szCs w:val="18"/>
                <w:lang w:val="en-US" w:eastAsia="zh-CN"/>
              </w:rPr>
              <w:t>Vials (n)</w:t>
            </w:r>
          </w:p>
        </w:tc>
      </w:tr>
      <w:tr w:rsidR="00D03C39" w:rsidRPr="00D03C39" w14:paraId="1656312D" w14:textId="77777777" w:rsidTr="006336AE">
        <w:tc>
          <w:tcPr>
            <w:tcW w:w="2259" w:type="dxa"/>
            <w:tcBorders>
              <w:top w:val="single" w:sz="4" w:space="0" w:color="auto"/>
              <w:bottom w:val="single" w:sz="4" w:space="0" w:color="auto"/>
              <w:right w:val="single" w:sz="4" w:space="0" w:color="auto"/>
            </w:tcBorders>
            <w:shd w:val="clear" w:color="auto" w:fill="auto"/>
          </w:tcPr>
          <w:p w14:paraId="334029E0" w14:textId="77777777" w:rsidR="00D03C39" w:rsidRPr="00D03C39" w:rsidRDefault="00D03C39" w:rsidP="00D03C39">
            <w:pPr>
              <w:keepLines/>
              <w:tabs>
                <w:tab w:val="left" w:pos="284"/>
              </w:tabs>
              <w:spacing w:before="40" w:after="20" w:line="240" w:lineRule="auto"/>
              <w:rPr>
                <w:rFonts w:ascii="Arial" w:eastAsia="MS Mincho" w:hAnsi="Arial" w:cs="Arial"/>
                <w:sz w:val="18"/>
                <w:szCs w:val="18"/>
                <w:lang w:val="en-US" w:eastAsia="zh-CN"/>
              </w:rPr>
            </w:pPr>
            <w:r w:rsidRPr="00D03C39">
              <w:rPr>
                <w:rFonts w:ascii="Arial" w:eastAsia="MS Mincho" w:hAnsi="Arial" w:cs="Arial"/>
                <w:sz w:val="18"/>
                <w:szCs w:val="18"/>
                <w:lang w:val="en-US" w:eastAsia="zh-CN"/>
              </w:rPr>
              <w:t>40</w:t>
            </w:r>
          </w:p>
        </w:tc>
        <w:tc>
          <w:tcPr>
            <w:tcW w:w="2253" w:type="dxa"/>
            <w:tcBorders>
              <w:top w:val="single" w:sz="4" w:space="0" w:color="auto"/>
              <w:left w:val="single" w:sz="4" w:space="0" w:color="auto"/>
              <w:bottom w:val="single" w:sz="4" w:space="0" w:color="auto"/>
              <w:right w:val="single" w:sz="4" w:space="0" w:color="auto"/>
            </w:tcBorders>
            <w:shd w:val="clear" w:color="auto" w:fill="auto"/>
          </w:tcPr>
          <w:p w14:paraId="3F933D2F" w14:textId="77777777" w:rsidR="00D03C39" w:rsidRPr="00D03C39" w:rsidRDefault="00D03C39" w:rsidP="00D03C39">
            <w:pPr>
              <w:keepLines/>
              <w:tabs>
                <w:tab w:val="left" w:pos="284"/>
              </w:tabs>
              <w:spacing w:before="40" w:after="20" w:line="240" w:lineRule="auto"/>
              <w:rPr>
                <w:rFonts w:ascii="Arial" w:eastAsia="MS Mincho" w:hAnsi="Arial" w:cs="Arial"/>
                <w:sz w:val="18"/>
                <w:szCs w:val="18"/>
                <w:lang w:val="en-US" w:eastAsia="zh-CN"/>
              </w:rPr>
            </w:pPr>
            <w:r w:rsidRPr="00D03C39">
              <w:rPr>
                <w:rFonts w:ascii="Arial" w:eastAsia="MS Mincho" w:hAnsi="Arial" w:cs="Arial"/>
                <w:sz w:val="18"/>
                <w:szCs w:val="18"/>
                <w:lang w:val="en-US" w:eastAsia="zh-CN"/>
              </w:rPr>
              <w:t>200</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0E9F0081" w14:textId="77777777" w:rsidR="00D03C39" w:rsidRPr="00D03C39" w:rsidRDefault="00D03C39" w:rsidP="00D03C39">
            <w:pPr>
              <w:keepLines/>
              <w:tabs>
                <w:tab w:val="left" w:pos="284"/>
              </w:tabs>
              <w:spacing w:before="40" w:after="20" w:line="240" w:lineRule="auto"/>
              <w:rPr>
                <w:rFonts w:ascii="Arial" w:eastAsia="MS Mincho" w:hAnsi="Arial" w:cs="Arial"/>
                <w:sz w:val="18"/>
                <w:szCs w:val="18"/>
                <w:lang w:val="en-US" w:eastAsia="zh-CN"/>
              </w:rPr>
            </w:pPr>
            <w:r w:rsidRPr="00D03C39">
              <w:rPr>
                <w:rFonts w:ascii="Arial" w:eastAsia="MS Mincho" w:hAnsi="Arial" w:cs="Arial"/>
                <w:sz w:val="18"/>
                <w:szCs w:val="18"/>
                <w:lang w:val="en-US" w:eastAsia="zh-CN"/>
              </w:rPr>
              <w:t>20</w:t>
            </w:r>
          </w:p>
        </w:tc>
        <w:tc>
          <w:tcPr>
            <w:tcW w:w="2252" w:type="dxa"/>
            <w:tcBorders>
              <w:top w:val="single" w:sz="4" w:space="0" w:color="auto"/>
              <w:left w:val="single" w:sz="4" w:space="0" w:color="auto"/>
              <w:bottom w:val="single" w:sz="4" w:space="0" w:color="auto"/>
            </w:tcBorders>
            <w:shd w:val="clear" w:color="auto" w:fill="auto"/>
          </w:tcPr>
          <w:p w14:paraId="04E312D5" w14:textId="77777777" w:rsidR="00D03C39" w:rsidRPr="00D03C39" w:rsidRDefault="00D03C39" w:rsidP="00D03C39">
            <w:pPr>
              <w:keepLines/>
              <w:tabs>
                <w:tab w:val="left" w:pos="284"/>
              </w:tabs>
              <w:spacing w:before="40" w:after="20" w:line="240" w:lineRule="auto"/>
              <w:rPr>
                <w:rFonts w:ascii="Arial" w:eastAsia="MS Mincho" w:hAnsi="Arial" w:cs="Arial"/>
                <w:sz w:val="18"/>
                <w:szCs w:val="18"/>
                <w:lang w:val="en-US" w:eastAsia="zh-CN"/>
              </w:rPr>
            </w:pPr>
            <w:r w:rsidRPr="00D03C39">
              <w:rPr>
                <w:rFonts w:ascii="Arial" w:eastAsia="MS Mincho" w:hAnsi="Arial" w:cs="Arial"/>
                <w:sz w:val="18"/>
                <w:szCs w:val="18"/>
                <w:lang w:val="en-US" w:eastAsia="zh-CN"/>
              </w:rPr>
              <w:t xml:space="preserve">2 </w:t>
            </w:r>
          </w:p>
        </w:tc>
      </w:tr>
      <w:tr w:rsidR="00D03C39" w:rsidRPr="00D03C39" w14:paraId="15519E85" w14:textId="77777777" w:rsidTr="006336AE">
        <w:tc>
          <w:tcPr>
            <w:tcW w:w="2259" w:type="dxa"/>
            <w:tcBorders>
              <w:top w:val="single" w:sz="4" w:space="0" w:color="auto"/>
              <w:bottom w:val="single" w:sz="4" w:space="0" w:color="auto"/>
              <w:right w:val="single" w:sz="4" w:space="0" w:color="auto"/>
            </w:tcBorders>
            <w:shd w:val="clear" w:color="auto" w:fill="auto"/>
          </w:tcPr>
          <w:p w14:paraId="03A93CE1" w14:textId="77777777" w:rsidR="00D03C39" w:rsidRPr="00D03C39" w:rsidRDefault="00D03C39" w:rsidP="00D03C39">
            <w:pPr>
              <w:keepLines/>
              <w:tabs>
                <w:tab w:val="left" w:pos="284"/>
              </w:tabs>
              <w:spacing w:before="40" w:after="20" w:line="240" w:lineRule="auto"/>
              <w:rPr>
                <w:rFonts w:ascii="Arial" w:eastAsia="MS Mincho" w:hAnsi="Arial" w:cs="Arial"/>
                <w:sz w:val="18"/>
                <w:szCs w:val="18"/>
                <w:lang w:val="en-US" w:eastAsia="zh-CN"/>
              </w:rPr>
            </w:pPr>
            <w:r w:rsidRPr="00D03C39">
              <w:rPr>
                <w:rFonts w:ascii="Arial" w:eastAsia="MS Mincho" w:hAnsi="Arial" w:cs="Arial"/>
                <w:sz w:val="18"/>
                <w:szCs w:val="18"/>
                <w:lang w:val="en-US" w:eastAsia="zh-CN"/>
              </w:rPr>
              <w:t>60</w:t>
            </w:r>
          </w:p>
        </w:tc>
        <w:tc>
          <w:tcPr>
            <w:tcW w:w="2253" w:type="dxa"/>
            <w:tcBorders>
              <w:top w:val="single" w:sz="4" w:space="0" w:color="auto"/>
              <w:left w:val="single" w:sz="4" w:space="0" w:color="auto"/>
              <w:bottom w:val="single" w:sz="4" w:space="0" w:color="auto"/>
              <w:right w:val="single" w:sz="4" w:space="0" w:color="auto"/>
            </w:tcBorders>
            <w:shd w:val="clear" w:color="auto" w:fill="auto"/>
          </w:tcPr>
          <w:p w14:paraId="0E9139B1" w14:textId="77777777" w:rsidR="00D03C39" w:rsidRPr="00D03C39" w:rsidRDefault="00D03C39" w:rsidP="00D03C39">
            <w:pPr>
              <w:keepLines/>
              <w:tabs>
                <w:tab w:val="left" w:pos="284"/>
              </w:tabs>
              <w:spacing w:before="40" w:after="20" w:line="240" w:lineRule="auto"/>
              <w:rPr>
                <w:rFonts w:ascii="Arial" w:eastAsia="MS Mincho" w:hAnsi="Arial" w:cs="Arial"/>
                <w:sz w:val="18"/>
                <w:szCs w:val="18"/>
                <w:lang w:val="en-US" w:eastAsia="zh-CN"/>
              </w:rPr>
            </w:pPr>
            <w:r w:rsidRPr="00D03C39">
              <w:rPr>
                <w:rFonts w:ascii="Arial" w:eastAsia="MS Mincho" w:hAnsi="Arial" w:cs="Arial"/>
                <w:sz w:val="18"/>
                <w:szCs w:val="18"/>
                <w:lang w:val="en-US" w:eastAsia="zh-CN"/>
              </w:rPr>
              <w:t>300</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745EE662" w14:textId="77777777" w:rsidR="00D03C39" w:rsidRPr="00D03C39" w:rsidRDefault="00D03C39" w:rsidP="00D03C39">
            <w:pPr>
              <w:keepLines/>
              <w:tabs>
                <w:tab w:val="left" w:pos="284"/>
              </w:tabs>
              <w:spacing w:before="40" w:after="20" w:line="240" w:lineRule="auto"/>
              <w:rPr>
                <w:rFonts w:ascii="Arial" w:eastAsia="MS Mincho" w:hAnsi="Arial" w:cs="Arial"/>
                <w:sz w:val="18"/>
                <w:szCs w:val="18"/>
                <w:lang w:val="en-US" w:eastAsia="zh-CN"/>
              </w:rPr>
            </w:pPr>
            <w:r w:rsidRPr="00D03C39">
              <w:rPr>
                <w:rFonts w:ascii="Arial" w:eastAsia="MS Mincho" w:hAnsi="Arial" w:cs="Arial"/>
                <w:sz w:val="18"/>
                <w:szCs w:val="18"/>
                <w:lang w:val="en-US" w:eastAsia="zh-CN"/>
              </w:rPr>
              <w:t>30</w:t>
            </w:r>
          </w:p>
        </w:tc>
        <w:tc>
          <w:tcPr>
            <w:tcW w:w="2252" w:type="dxa"/>
            <w:tcBorders>
              <w:top w:val="single" w:sz="4" w:space="0" w:color="auto"/>
              <w:left w:val="single" w:sz="4" w:space="0" w:color="auto"/>
              <w:bottom w:val="single" w:sz="4" w:space="0" w:color="auto"/>
            </w:tcBorders>
            <w:shd w:val="clear" w:color="auto" w:fill="auto"/>
          </w:tcPr>
          <w:p w14:paraId="77B92872" w14:textId="77777777" w:rsidR="00D03C39" w:rsidRPr="00D03C39" w:rsidRDefault="00D03C39" w:rsidP="00D03C39">
            <w:pPr>
              <w:keepLines/>
              <w:tabs>
                <w:tab w:val="left" w:pos="284"/>
              </w:tabs>
              <w:spacing w:before="40" w:after="20" w:line="240" w:lineRule="auto"/>
              <w:rPr>
                <w:rFonts w:ascii="Arial" w:eastAsia="MS Mincho" w:hAnsi="Arial" w:cs="Arial"/>
                <w:sz w:val="18"/>
                <w:szCs w:val="18"/>
                <w:lang w:val="en-US" w:eastAsia="zh-CN"/>
              </w:rPr>
            </w:pPr>
            <w:r w:rsidRPr="00D03C39">
              <w:rPr>
                <w:rFonts w:ascii="Arial" w:eastAsia="MS Mincho" w:hAnsi="Arial" w:cs="Arial"/>
                <w:sz w:val="18"/>
                <w:szCs w:val="18"/>
                <w:lang w:val="en-US" w:eastAsia="zh-CN"/>
              </w:rPr>
              <w:t>3</w:t>
            </w:r>
          </w:p>
        </w:tc>
      </w:tr>
      <w:tr w:rsidR="00D03C39" w:rsidRPr="00D03C39" w14:paraId="1107B675" w14:textId="77777777" w:rsidTr="006336AE">
        <w:tc>
          <w:tcPr>
            <w:tcW w:w="2259" w:type="dxa"/>
            <w:tcBorders>
              <w:top w:val="single" w:sz="4" w:space="0" w:color="auto"/>
              <w:bottom w:val="single" w:sz="4" w:space="0" w:color="auto"/>
              <w:right w:val="single" w:sz="4" w:space="0" w:color="auto"/>
            </w:tcBorders>
            <w:shd w:val="clear" w:color="auto" w:fill="auto"/>
          </w:tcPr>
          <w:p w14:paraId="773B0697" w14:textId="77777777" w:rsidR="00D03C39" w:rsidRPr="00D03C39" w:rsidRDefault="00D03C39" w:rsidP="00D03C39">
            <w:pPr>
              <w:keepLines/>
              <w:tabs>
                <w:tab w:val="left" w:pos="284"/>
              </w:tabs>
              <w:spacing w:before="40" w:after="20" w:line="240" w:lineRule="auto"/>
              <w:rPr>
                <w:rFonts w:ascii="Arial" w:eastAsia="MS Mincho" w:hAnsi="Arial" w:cs="Arial"/>
                <w:sz w:val="18"/>
                <w:szCs w:val="18"/>
                <w:lang w:val="en-US" w:eastAsia="zh-CN"/>
              </w:rPr>
            </w:pPr>
            <w:r w:rsidRPr="00D03C39">
              <w:rPr>
                <w:rFonts w:ascii="Arial" w:eastAsia="MS Mincho" w:hAnsi="Arial" w:cs="Arial"/>
                <w:sz w:val="18"/>
                <w:szCs w:val="18"/>
                <w:lang w:val="en-US" w:eastAsia="zh-CN"/>
              </w:rPr>
              <w:t>80</w:t>
            </w:r>
          </w:p>
        </w:tc>
        <w:tc>
          <w:tcPr>
            <w:tcW w:w="2253" w:type="dxa"/>
            <w:tcBorders>
              <w:top w:val="single" w:sz="4" w:space="0" w:color="auto"/>
              <w:left w:val="single" w:sz="4" w:space="0" w:color="auto"/>
              <w:bottom w:val="single" w:sz="4" w:space="0" w:color="auto"/>
              <w:right w:val="single" w:sz="4" w:space="0" w:color="auto"/>
            </w:tcBorders>
            <w:shd w:val="clear" w:color="auto" w:fill="auto"/>
          </w:tcPr>
          <w:p w14:paraId="2E78CA7D" w14:textId="77777777" w:rsidR="00D03C39" w:rsidRPr="00D03C39" w:rsidRDefault="00D03C39" w:rsidP="00D03C39">
            <w:pPr>
              <w:keepLines/>
              <w:tabs>
                <w:tab w:val="left" w:pos="284"/>
              </w:tabs>
              <w:spacing w:before="40" w:after="20" w:line="240" w:lineRule="auto"/>
              <w:rPr>
                <w:rFonts w:ascii="Arial" w:eastAsia="MS Mincho" w:hAnsi="Arial" w:cs="Arial"/>
                <w:sz w:val="18"/>
                <w:szCs w:val="18"/>
                <w:lang w:val="en-US" w:eastAsia="zh-CN"/>
              </w:rPr>
            </w:pPr>
            <w:r w:rsidRPr="00D03C39">
              <w:rPr>
                <w:rFonts w:ascii="Arial" w:eastAsia="MS Mincho" w:hAnsi="Arial" w:cs="Arial"/>
                <w:sz w:val="18"/>
                <w:szCs w:val="18"/>
                <w:lang w:val="en-US" w:eastAsia="zh-CN"/>
              </w:rPr>
              <w:t>400</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6AFCEC28" w14:textId="77777777" w:rsidR="00D03C39" w:rsidRPr="00D03C39" w:rsidRDefault="00D03C39" w:rsidP="00D03C39">
            <w:pPr>
              <w:keepLines/>
              <w:tabs>
                <w:tab w:val="left" w:pos="284"/>
              </w:tabs>
              <w:spacing w:before="40" w:after="20" w:line="240" w:lineRule="auto"/>
              <w:rPr>
                <w:rFonts w:ascii="Arial" w:eastAsia="MS Mincho" w:hAnsi="Arial" w:cs="Arial"/>
                <w:sz w:val="18"/>
                <w:szCs w:val="18"/>
                <w:lang w:val="en-US" w:eastAsia="zh-CN"/>
              </w:rPr>
            </w:pPr>
            <w:r w:rsidRPr="00D03C39">
              <w:rPr>
                <w:rFonts w:ascii="Arial" w:eastAsia="MS Mincho" w:hAnsi="Arial" w:cs="Arial"/>
                <w:sz w:val="18"/>
                <w:szCs w:val="18"/>
                <w:lang w:val="en-US" w:eastAsia="zh-CN"/>
              </w:rPr>
              <w:t>40</w:t>
            </w:r>
          </w:p>
        </w:tc>
        <w:tc>
          <w:tcPr>
            <w:tcW w:w="2252" w:type="dxa"/>
            <w:tcBorders>
              <w:top w:val="single" w:sz="4" w:space="0" w:color="auto"/>
              <w:left w:val="single" w:sz="4" w:space="0" w:color="auto"/>
              <w:bottom w:val="single" w:sz="4" w:space="0" w:color="auto"/>
            </w:tcBorders>
            <w:shd w:val="clear" w:color="auto" w:fill="auto"/>
          </w:tcPr>
          <w:p w14:paraId="03FCB711" w14:textId="77777777" w:rsidR="00D03C39" w:rsidRPr="00D03C39" w:rsidRDefault="00D03C39" w:rsidP="00D03C39">
            <w:pPr>
              <w:keepLines/>
              <w:tabs>
                <w:tab w:val="left" w:pos="284"/>
              </w:tabs>
              <w:spacing w:before="40" w:after="20" w:line="240" w:lineRule="auto"/>
              <w:rPr>
                <w:rFonts w:ascii="Arial" w:eastAsia="MS Mincho" w:hAnsi="Arial" w:cs="Arial"/>
                <w:sz w:val="18"/>
                <w:szCs w:val="18"/>
                <w:lang w:val="en-US" w:eastAsia="zh-CN"/>
              </w:rPr>
            </w:pPr>
            <w:r w:rsidRPr="00D03C39">
              <w:rPr>
                <w:rFonts w:ascii="Arial" w:eastAsia="MS Mincho" w:hAnsi="Arial" w:cs="Arial"/>
                <w:sz w:val="18"/>
                <w:szCs w:val="18"/>
                <w:lang w:val="en-US" w:eastAsia="zh-CN"/>
              </w:rPr>
              <w:t>4</w:t>
            </w:r>
          </w:p>
        </w:tc>
      </w:tr>
      <w:tr w:rsidR="00D03C39" w:rsidRPr="00D03C39" w14:paraId="2B002CBE" w14:textId="77777777" w:rsidTr="006336AE">
        <w:tc>
          <w:tcPr>
            <w:tcW w:w="2259" w:type="dxa"/>
            <w:tcBorders>
              <w:top w:val="single" w:sz="4" w:space="0" w:color="auto"/>
              <w:bottom w:val="single" w:sz="4" w:space="0" w:color="auto"/>
              <w:right w:val="single" w:sz="4" w:space="0" w:color="auto"/>
            </w:tcBorders>
            <w:shd w:val="clear" w:color="auto" w:fill="auto"/>
          </w:tcPr>
          <w:p w14:paraId="6FEF7194" w14:textId="77777777" w:rsidR="00D03C39" w:rsidRPr="00D03C39" w:rsidRDefault="00D03C39" w:rsidP="00D03C39">
            <w:pPr>
              <w:keepLines/>
              <w:tabs>
                <w:tab w:val="left" w:pos="284"/>
              </w:tabs>
              <w:spacing w:before="40" w:after="20" w:line="240" w:lineRule="auto"/>
              <w:rPr>
                <w:rFonts w:ascii="Arial" w:eastAsia="MS Mincho" w:hAnsi="Arial" w:cs="Arial"/>
                <w:sz w:val="18"/>
                <w:szCs w:val="18"/>
                <w:lang w:val="en-US" w:eastAsia="zh-CN"/>
              </w:rPr>
            </w:pPr>
            <w:r w:rsidRPr="00D03C39">
              <w:rPr>
                <w:rFonts w:ascii="Arial" w:eastAsia="MS Mincho" w:hAnsi="Arial" w:cs="Arial"/>
                <w:sz w:val="18"/>
                <w:szCs w:val="18"/>
                <w:lang w:val="en-US" w:eastAsia="zh-CN"/>
              </w:rPr>
              <w:t>100</w:t>
            </w:r>
          </w:p>
        </w:tc>
        <w:tc>
          <w:tcPr>
            <w:tcW w:w="2253" w:type="dxa"/>
            <w:tcBorders>
              <w:top w:val="single" w:sz="4" w:space="0" w:color="auto"/>
              <w:left w:val="single" w:sz="4" w:space="0" w:color="auto"/>
              <w:bottom w:val="single" w:sz="4" w:space="0" w:color="auto"/>
              <w:right w:val="single" w:sz="4" w:space="0" w:color="auto"/>
            </w:tcBorders>
            <w:shd w:val="clear" w:color="auto" w:fill="auto"/>
          </w:tcPr>
          <w:p w14:paraId="4FE53B1E" w14:textId="77777777" w:rsidR="00D03C39" w:rsidRPr="00D03C39" w:rsidRDefault="00D03C39" w:rsidP="00D03C39">
            <w:pPr>
              <w:keepLines/>
              <w:tabs>
                <w:tab w:val="left" w:pos="284"/>
              </w:tabs>
              <w:spacing w:before="40" w:after="20" w:line="240" w:lineRule="auto"/>
              <w:rPr>
                <w:rFonts w:ascii="Arial" w:eastAsia="MS Mincho" w:hAnsi="Arial" w:cs="Arial"/>
                <w:sz w:val="18"/>
                <w:szCs w:val="18"/>
                <w:lang w:val="en-US" w:eastAsia="zh-CN"/>
              </w:rPr>
            </w:pPr>
            <w:r w:rsidRPr="00D03C39">
              <w:rPr>
                <w:rFonts w:ascii="Arial" w:eastAsia="MS Mincho" w:hAnsi="Arial" w:cs="Arial"/>
                <w:sz w:val="18"/>
                <w:szCs w:val="18"/>
                <w:lang w:val="en-US" w:eastAsia="zh-CN"/>
              </w:rPr>
              <w:t>500</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2819CD95" w14:textId="77777777" w:rsidR="00D03C39" w:rsidRPr="00D03C39" w:rsidRDefault="00D03C39" w:rsidP="00D03C39">
            <w:pPr>
              <w:keepLines/>
              <w:tabs>
                <w:tab w:val="left" w:pos="284"/>
              </w:tabs>
              <w:spacing w:before="40" w:after="20" w:line="240" w:lineRule="auto"/>
              <w:rPr>
                <w:rFonts w:ascii="Arial" w:eastAsia="MS Mincho" w:hAnsi="Arial" w:cs="Arial"/>
                <w:sz w:val="18"/>
                <w:szCs w:val="18"/>
                <w:lang w:val="en-US" w:eastAsia="zh-CN"/>
              </w:rPr>
            </w:pPr>
            <w:r w:rsidRPr="00D03C39">
              <w:rPr>
                <w:rFonts w:ascii="Arial" w:eastAsia="MS Mincho" w:hAnsi="Arial" w:cs="Arial"/>
                <w:sz w:val="18"/>
                <w:szCs w:val="18"/>
                <w:lang w:val="en-US" w:eastAsia="zh-CN"/>
              </w:rPr>
              <w:t>50</w:t>
            </w:r>
          </w:p>
        </w:tc>
        <w:tc>
          <w:tcPr>
            <w:tcW w:w="2252" w:type="dxa"/>
            <w:tcBorders>
              <w:top w:val="single" w:sz="4" w:space="0" w:color="auto"/>
              <w:left w:val="single" w:sz="4" w:space="0" w:color="auto"/>
              <w:bottom w:val="single" w:sz="4" w:space="0" w:color="auto"/>
            </w:tcBorders>
            <w:shd w:val="clear" w:color="auto" w:fill="auto"/>
          </w:tcPr>
          <w:p w14:paraId="00F0A540" w14:textId="77777777" w:rsidR="00D03C39" w:rsidRPr="00D03C39" w:rsidRDefault="00D03C39" w:rsidP="00D03C39">
            <w:pPr>
              <w:keepLines/>
              <w:tabs>
                <w:tab w:val="left" w:pos="284"/>
              </w:tabs>
              <w:spacing w:before="40" w:after="20" w:line="240" w:lineRule="auto"/>
              <w:rPr>
                <w:rFonts w:ascii="Arial" w:eastAsia="MS Mincho" w:hAnsi="Arial" w:cs="Arial"/>
                <w:sz w:val="18"/>
                <w:szCs w:val="18"/>
                <w:lang w:val="en-US" w:eastAsia="zh-CN"/>
              </w:rPr>
            </w:pPr>
            <w:r w:rsidRPr="00D03C39">
              <w:rPr>
                <w:rFonts w:ascii="Arial" w:eastAsia="MS Mincho" w:hAnsi="Arial" w:cs="Arial"/>
                <w:sz w:val="18"/>
                <w:szCs w:val="18"/>
                <w:lang w:val="en-US" w:eastAsia="zh-CN"/>
              </w:rPr>
              <w:t>5</w:t>
            </w:r>
          </w:p>
        </w:tc>
      </w:tr>
      <w:tr w:rsidR="00D03C39" w:rsidRPr="00D03C39" w14:paraId="0C5CDEFC" w14:textId="77777777" w:rsidTr="006336AE">
        <w:tc>
          <w:tcPr>
            <w:tcW w:w="2259" w:type="dxa"/>
            <w:tcBorders>
              <w:top w:val="single" w:sz="4" w:space="0" w:color="auto"/>
              <w:bottom w:val="single" w:sz="4" w:space="0" w:color="auto"/>
              <w:right w:val="single" w:sz="4" w:space="0" w:color="auto"/>
            </w:tcBorders>
            <w:shd w:val="clear" w:color="auto" w:fill="auto"/>
          </w:tcPr>
          <w:p w14:paraId="40C13A1C" w14:textId="77777777" w:rsidR="00D03C39" w:rsidRPr="00D03C39" w:rsidRDefault="00D03C39" w:rsidP="00D03C39">
            <w:pPr>
              <w:keepLines/>
              <w:tabs>
                <w:tab w:val="left" w:pos="284"/>
              </w:tabs>
              <w:spacing w:before="40" w:after="20" w:line="240" w:lineRule="auto"/>
              <w:rPr>
                <w:rFonts w:ascii="Arial" w:eastAsia="MS Mincho" w:hAnsi="Arial" w:cs="Arial"/>
                <w:sz w:val="18"/>
                <w:szCs w:val="18"/>
                <w:lang w:val="en-US" w:eastAsia="zh-CN"/>
              </w:rPr>
            </w:pPr>
            <w:r w:rsidRPr="00D03C39">
              <w:rPr>
                <w:rFonts w:ascii="Arial" w:eastAsia="MS Mincho" w:hAnsi="Arial" w:cs="Arial"/>
                <w:sz w:val="18"/>
                <w:szCs w:val="18"/>
                <w:lang w:val="en-US" w:eastAsia="zh-CN"/>
              </w:rPr>
              <w:t>120</w:t>
            </w:r>
          </w:p>
        </w:tc>
        <w:tc>
          <w:tcPr>
            <w:tcW w:w="2253" w:type="dxa"/>
            <w:tcBorders>
              <w:top w:val="single" w:sz="4" w:space="0" w:color="auto"/>
              <w:left w:val="single" w:sz="4" w:space="0" w:color="auto"/>
              <w:bottom w:val="single" w:sz="4" w:space="0" w:color="auto"/>
              <w:right w:val="single" w:sz="4" w:space="0" w:color="auto"/>
            </w:tcBorders>
            <w:shd w:val="clear" w:color="auto" w:fill="auto"/>
          </w:tcPr>
          <w:p w14:paraId="4FDF1548" w14:textId="77777777" w:rsidR="00D03C39" w:rsidRPr="00D03C39" w:rsidRDefault="00D03C39" w:rsidP="00D03C39">
            <w:pPr>
              <w:keepLines/>
              <w:tabs>
                <w:tab w:val="left" w:pos="284"/>
              </w:tabs>
              <w:spacing w:before="40" w:after="20" w:line="240" w:lineRule="auto"/>
              <w:rPr>
                <w:rFonts w:ascii="Arial" w:eastAsia="MS Mincho" w:hAnsi="Arial" w:cs="Arial"/>
                <w:sz w:val="18"/>
                <w:szCs w:val="18"/>
                <w:lang w:val="en-US" w:eastAsia="zh-CN"/>
              </w:rPr>
            </w:pPr>
            <w:r w:rsidRPr="00D03C39">
              <w:rPr>
                <w:rFonts w:ascii="Arial" w:eastAsia="MS Mincho" w:hAnsi="Arial" w:cs="Arial"/>
                <w:sz w:val="18"/>
                <w:szCs w:val="18"/>
                <w:lang w:val="en-US" w:eastAsia="zh-CN"/>
              </w:rPr>
              <w:t>600</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3C4049DE" w14:textId="77777777" w:rsidR="00D03C39" w:rsidRPr="00D03C39" w:rsidRDefault="00D03C39" w:rsidP="00D03C39">
            <w:pPr>
              <w:keepLines/>
              <w:tabs>
                <w:tab w:val="left" w:pos="284"/>
              </w:tabs>
              <w:spacing w:before="40" w:after="20" w:line="240" w:lineRule="auto"/>
              <w:rPr>
                <w:rFonts w:ascii="Arial" w:eastAsia="MS Mincho" w:hAnsi="Arial" w:cs="Arial"/>
                <w:sz w:val="18"/>
                <w:szCs w:val="18"/>
                <w:lang w:val="en-US" w:eastAsia="zh-CN"/>
              </w:rPr>
            </w:pPr>
            <w:r w:rsidRPr="00D03C39">
              <w:rPr>
                <w:rFonts w:ascii="Arial" w:eastAsia="MS Mincho" w:hAnsi="Arial" w:cs="Arial"/>
                <w:sz w:val="18"/>
                <w:szCs w:val="18"/>
                <w:lang w:val="en-US" w:eastAsia="zh-CN"/>
              </w:rPr>
              <w:t>60</w:t>
            </w:r>
          </w:p>
        </w:tc>
        <w:tc>
          <w:tcPr>
            <w:tcW w:w="2252" w:type="dxa"/>
            <w:tcBorders>
              <w:top w:val="single" w:sz="4" w:space="0" w:color="auto"/>
              <w:left w:val="single" w:sz="4" w:space="0" w:color="auto"/>
              <w:bottom w:val="single" w:sz="4" w:space="0" w:color="auto"/>
            </w:tcBorders>
            <w:shd w:val="clear" w:color="auto" w:fill="auto"/>
          </w:tcPr>
          <w:p w14:paraId="095E93E8" w14:textId="77777777" w:rsidR="00D03C39" w:rsidRPr="00D03C39" w:rsidRDefault="00D03C39" w:rsidP="00D03C39">
            <w:pPr>
              <w:keepLines/>
              <w:tabs>
                <w:tab w:val="left" w:pos="284"/>
              </w:tabs>
              <w:spacing w:before="40" w:after="20" w:line="240" w:lineRule="auto"/>
              <w:rPr>
                <w:rFonts w:ascii="Arial" w:eastAsia="MS Mincho" w:hAnsi="Arial" w:cs="Arial"/>
                <w:sz w:val="18"/>
                <w:szCs w:val="18"/>
                <w:lang w:val="en-US" w:eastAsia="zh-CN"/>
              </w:rPr>
            </w:pPr>
            <w:r w:rsidRPr="00D03C39">
              <w:rPr>
                <w:rFonts w:ascii="Arial" w:eastAsia="MS Mincho" w:hAnsi="Arial" w:cs="Arial"/>
                <w:sz w:val="18"/>
                <w:szCs w:val="18"/>
                <w:lang w:val="en-US" w:eastAsia="zh-CN"/>
              </w:rPr>
              <w:t>6</w:t>
            </w:r>
          </w:p>
        </w:tc>
      </w:tr>
    </w:tbl>
    <w:p w14:paraId="61E329C2" w14:textId="77777777" w:rsidR="00D03C39" w:rsidRPr="00D03C39" w:rsidRDefault="00D03C39" w:rsidP="00D03C39">
      <w:pPr>
        <w:spacing w:before="0" w:after="200" w:line="276" w:lineRule="auto"/>
        <w:rPr>
          <w:rFonts w:ascii="Calibri" w:eastAsia="Calibri" w:hAnsi="Calibri" w:cs="Times New Roman"/>
          <w:color w:val="000000"/>
        </w:rPr>
      </w:pPr>
    </w:p>
    <w:p w14:paraId="62C5EADD" w14:textId="77777777" w:rsidR="00D03C39" w:rsidRPr="00D03C39" w:rsidRDefault="00D03C39" w:rsidP="00D03C39">
      <w:pPr>
        <w:numPr>
          <w:ilvl w:val="0"/>
          <w:numId w:val="39"/>
        </w:numPr>
        <w:spacing w:before="0" w:after="200" w:line="276" w:lineRule="auto"/>
        <w:contextualSpacing/>
        <w:rPr>
          <w:rFonts w:asciiTheme="minorHAnsi" w:eastAsia="Calibri" w:hAnsiTheme="minorHAnsi" w:cs="Calibri"/>
        </w:rPr>
      </w:pPr>
      <w:r w:rsidRPr="00D03C39">
        <w:rPr>
          <w:rFonts w:asciiTheme="minorHAnsi" w:eastAsia="Calibri" w:hAnsiTheme="minorHAnsi" w:cs="Calibri"/>
        </w:rPr>
        <w:t>Visually inspect the vials.</w:t>
      </w:r>
    </w:p>
    <w:p w14:paraId="5DD015FF" w14:textId="77777777" w:rsidR="00D03C39" w:rsidRPr="00D03C39" w:rsidRDefault="00D03C39" w:rsidP="00D03C39">
      <w:pPr>
        <w:numPr>
          <w:ilvl w:val="0"/>
          <w:numId w:val="40"/>
        </w:numPr>
        <w:spacing w:before="0" w:after="200" w:line="276" w:lineRule="auto"/>
        <w:contextualSpacing/>
        <w:rPr>
          <w:rFonts w:asciiTheme="minorHAnsi" w:eastAsia="Calibri" w:hAnsiTheme="minorHAnsi" w:cs="Calibri"/>
        </w:rPr>
      </w:pPr>
      <w:r w:rsidRPr="00D03C39">
        <w:rPr>
          <w:rFonts w:asciiTheme="minorHAnsi" w:eastAsia="Calibri" w:hAnsiTheme="minorHAnsi" w:cs="Calibri"/>
        </w:rPr>
        <w:t>The solution in the vials should be clear to opalescent. Do not use if particles are present in the solution.</w:t>
      </w:r>
    </w:p>
    <w:p w14:paraId="12E8BF31" w14:textId="77777777" w:rsidR="00D03C39" w:rsidRPr="00D03C39" w:rsidRDefault="00D03C39" w:rsidP="00D03C39">
      <w:pPr>
        <w:numPr>
          <w:ilvl w:val="0"/>
          <w:numId w:val="40"/>
        </w:numPr>
        <w:spacing w:before="0" w:after="200" w:line="276" w:lineRule="auto"/>
        <w:contextualSpacing/>
        <w:rPr>
          <w:rFonts w:asciiTheme="minorHAnsi" w:eastAsia="Calibri" w:hAnsiTheme="minorHAnsi" w:cs="Calibri"/>
        </w:rPr>
      </w:pPr>
      <w:r w:rsidRPr="00D03C39">
        <w:rPr>
          <w:rFonts w:asciiTheme="minorHAnsi" w:eastAsia="Calibri" w:hAnsiTheme="minorHAnsi" w:cs="Calibri"/>
        </w:rPr>
        <w:t>The solution should be colourless or may have a slight brownish-yellow tint.</w:t>
      </w:r>
    </w:p>
    <w:p w14:paraId="05FB6F54" w14:textId="77777777" w:rsidR="00D03C39" w:rsidRPr="00D03C39" w:rsidRDefault="00D03C39" w:rsidP="00D03C39">
      <w:pPr>
        <w:numPr>
          <w:ilvl w:val="0"/>
          <w:numId w:val="39"/>
        </w:numPr>
        <w:spacing w:before="0" w:after="200" w:line="276" w:lineRule="auto"/>
        <w:contextualSpacing/>
        <w:rPr>
          <w:rFonts w:asciiTheme="minorHAnsi" w:eastAsia="Calibri" w:hAnsiTheme="minorHAnsi" w:cs="Calibri"/>
        </w:rPr>
      </w:pPr>
      <w:r w:rsidRPr="00D03C39">
        <w:rPr>
          <w:rFonts w:asciiTheme="minorHAnsi" w:eastAsia="Calibri" w:hAnsiTheme="minorHAnsi" w:cs="Calibri"/>
        </w:rPr>
        <w:t xml:space="preserve">Withdraw a volume equal to the required volume of </w:t>
      </w:r>
      <w:r w:rsidRPr="00D03C39">
        <w:rPr>
          <w:rFonts w:asciiTheme="minorHAnsi" w:eastAsia="Calibri" w:hAnsiTheme="minorHAnsi" w:cs="Calibri"/>
          <w:szCs w:val="24"/>
        </w:rPr>
        <w:t xml:space="preserve">ADAKVEO </w:t>
      </w:r>
      <w:r w:rsidRPr="00D03C39">
        <w:rPr>
          <w:rFonts w:asciiTheme="minorHAnsi" w:eastAsia="Calibri" w:hAnsiTheme="minorHAnsi" w:cs="Calibri"/>
        </w:rPr>
        <w:t xml:space="preserve">from a 100 mL infusion bag containing either sodium chloride 0.9% or dextrose 5% and discard. </w:t>
      </w:r>
    </w:p>
    <w:p w14:paraId="19EAA9A8" w14:textId="77777777" w:rsidR="00D03C39" w:rsidRPr="00D03C39" w:rsidRDefault="00D03C39" w:rsidP="00D03C39">
      <w:pPr>
        <w:numPr>
          <w:ilvl w:val="0"/>
          <w:numId w:val="41"/>
        </w:numPr>
        <w:spacing w:before="0" w:after="200" w:line="276" w:lineRule="auto"/>
        <w:contextualSpacing/>
        <w:rPr>
          <w:rFonts w:asciiTheme="minorHAnsi" w:eastAsia="Calibri" w:hAnsiTheme="minorHAnsi" w:cs="Calibri"/>
        </w:rPr>
      </w:pPr>
      <w:r w:rsidRPr="00D03C39">
        <w:rPr>
          <w:rFonts w:asciiTheme="minorHAnsi" w:eastAsia="Calibri" w:hAnsiTheme="minorHAnsi" w:cs="Calibri"/>
        </w:rPr>
        <w:t xml:space="preserve">No incompatibilities between the diluted ADAKVEO solution and infusion bags composed of polyvinylchloride (PVC), polyethylene (PE) and polypropylene (PP) have been observed. </w:t>
      </w:r>
    </w:p>
    <w:p w14:paraId="5A7B5817" w14:textId="77777777" w:rsidR="00D03C39" w:rsidRPr="00D03C39" w:rsidRDefault="00D03C39" w:rsidP="00D03C39">
      <w:pPr>
        <w:numPr>
          <w:ilvl w:val="0"/>
          <w:numId w:val="39"/>
        </w:numPr>
        <w:spacing w:before="0" w:after="200" w:line="276" w:lineRule="auto"/>
        <w:contextualSpacing/>
        <w:rPr>
          <w:rFonts w:asciiTheme="minorHAnsi" w:eastAsia="Calibri" w:hAnsiTheme="minorHAnsi" w:cs="Calibri"/>
        </w:rPr>
      </w:pPr>
      <w:r w:rsidRPr="00D03C39">
        <w:rPr>
          <w:rFonts w:asciiTheme="minorHAnsi" w:eastAsia="Calibri" w:hAnsiTheme="minorHAnsi" w:cs="Calibri"/>
        </w:rPr>
        <w:t xml:space="preserve">Withdraw the necessary volume of </w:t>
      </w:r>
      <w:r w:rsidRPr="00D03C39">
        <w:rPr>
          <w:rFonts w:asciiTheme="minorHAnsi" w:eastAsia="Calibri" w:hAnsiTheme="minorHAnsi" w:cs="Calibri"/>
          <w:szCs w:val="24"/>
        </w:rPr>
        <w:t xml:space="preserve">ADAKVEO </w:t>
      </w:r>
      <w:r w:rsidRPr="00D03C39">
        <w:rPr>
          <w:rFonts w:asciiTheme="minorHAnsi" w:eastAsia="Calibri" w:hAnsiTheme="minorHAnsi" w:cs="Calibri"/>
        </w:rPr>
        <w:t>from the vials and inject slowly into the previously prepared infusion bag.</w:t>
      </w:r>
    </w:p>
    <w:p w14:paraId="48EF3DD3" w14:textId="77777777" w:rsidR="00D03C39" w:rsidRPr="00D03C39" w:rsidRDefault="00D03C39" w:rsidP="00D03C39">
      <w:pPr>
        <w:numPr>
          <w:ilvl w:val="0"/>
          <w:numId w:val="41"/>
        </w:numPr>
        <w:spacing w:before="0" w:after="200" w:line="276" w:lineRule="auto"/>
        <w:contextualSpacing/>
        <w:rPr>
          <w:rFonts w:asciiTheme="minorHAnsi" w:eastAsia="Calibri" w:hAnsiTheme="minorHAnsi" w:cs="Calibri"/>
        </w:rPr>
      </w:pPr>
      <w:r w:rsidRPr="00D03C39">
        <w:rPr>
          <w:rFonts w:asciiTheme="minorHAnsi" w:eastAsia="Calibri" w:hAnsiTheme="minorHAnsi" w:cs="Calibri"/>
        </w:rPr>
        <w:t>The solution must not be mixed or co-administered with other drugs through the same intravenous line.</w:t>
      </w:r>
    </w:p>
    <w:p w14:paraId="1D23AED5" w14:textId="77777777" w:rsidR="00D03C39" w:rsidRPr="00D03C39" w:rsidRDefault="00D03C39" w:rsidP="00D03C39">
      <w:pPr>
        <w:numPr>
          <w:ilvl w:val="0"/>
          <w:numId w:val="41"/>
        </w:numPr>
        <w:spacing w:before="0" w:after="200" w:line="276" w:lineRule="auto"/>
        <w:contextualSpacing/>
        <w:rPr>
          <w:rFonts w:asciiTheme="minorHAnsi" w:eastAsia="Calibri" w:hAnsiTheme="minorHAnsi" w:cs="Calibri"/>
        </w:rPr>
      </w:pPr>
      <w:r w:rsidRPr="00D03C39">
        <w:rPr>
          <w:rFonts w:asciiTheme="minorHAnsi" w:eastAsia="Calibri" w:hAnsiTheme="minorHAnsi" w:cs="Calibri"/>
        </w:rPr>
        <w:t>Keep the volume of ADAKVEO added to the infusion bag in the range of 10 mL to 96 </w:t>
      </w:r>
      <w:proofErr w:type="spellStart"/>
      <w:r w:rsidRPr="00D03C39">
        <w:rPr>
          <w:rFonts w:asciiTheme="minorHAnsi" w:eastAsia="Calibri" w:hAnsiTheme="minorHAnsi" w:cs="Calibri"/>
        </w:rPr>
        <w:t>mL.</w:t>
      </w:r>
      <w:proofErr w:type="spellEnd"/>
    </w:p>
    <w:p w14:paraId="7CF6D96C" w14:textId="77777777" w:rsidR="00D03C39" w:rsidRPr="00D03C39" w:rsidRDefault="00D03C39" w:rsidP="00D03C39">
      <w:pPr>
        <w:numPr>
          <w:ilvl w:val="0"/>
          <w:numId w:val="39"/>
        </w:numPr>
        <w:spacing w:before="0" w:after="200" w:line="276" w:lineRule="auto"/>
        <w:contextualSpacing/>
        <w:rPr>
          <w:rFonts w:asciiTheme="minorHAnsi" w:eastAsia="Calibri" w:hAnsiTheme="minorHAnsi" w:cs="Calibri"/>
        </w:rPr>
      </w:pPr>
      <w:r w:rsidRPr="00D03C39">
        <w:rPr>
          <w:rFonts w:asciiTheme="minorHAnsi" w:eastAsia="Calibri" w:hAnsiTheme="minorHAnsi" w:cs="Calibri"/>
        </w:rPr>
        <w:t>Mix the diluted solution by gently inverting the infusion bag. DO NOT SHAKE.</w:t>
      </w:r>
    </w:p>
    <w:p w14:paraId="24FFFF58" w14:textId="77777777" w:rsidR="00D03C39" w:rsidRPr="00D03C39" w:rsidRDefault="00D03C39" w:rsidP="00D03C39">
      <w:pPr>
        <w:numPr>
          <w:ilvl w:val="0"/>
          <w:numId w:val="39"/>
        </w:numPr>
        <w:spacing w:before="0" w:after="200" w:line="276" w:lineRule="auto"/>
        <w:contextualSpacing/>
        <w:rPr>
          <w:rFonts w:asciiTheme="minorHAnsi" w:eastAsia="Calibri" w:hAnsiTheme="minorHAnsi" w:cs="Calibri"/>
        </w:rPr>
      </w:pPr>
      <w:r w:rsidRPr="00D03C39">
        <w:rPr>
          <w:rFonts w:asciiTheme="minorHAnsi" w:eastAsia="Calibri" w:hAnsiTheme="minorHAnsi" w:cs="Calibri"/>
        </w:rPr>
        <w:t>Discard any unused ADAKVEO.</w:t>
      </w:r>
    </w:p>
    <w:p w14:paraId="0BF3973B" w14:textId="77777777" w:rsidR="00D03C39" w:rsidRPr="00D03C39" w:rsidRDefault="00D03C39" w:rsidP="00D03C39">
      <w:pPr>
        <w:spacing w:before="0" w:after="200" w:line="276" w:lineRule="auto"/>
        <w:rPr>
          <w:rFonts w:asciiTheme="minorHAnsi" w:eastAsia="Calibri" w:hAnsiTheme="minorHAnsi" w:cs="Times New Roman"/>
        </w:rPr>
      </w:pPr>
      <w:r w:rsidRPr="00D03C39">
        <w:rPr>
          <w:rFonts w:asciiTheme="minorHAnsi" w:eastAsia="Calibri" w:hAnsiTheme="minorHAnsi" w:cs="Times New Roman"/>
        </w:rPr>
        <w:t xml:space="preserve">After administration of </w:t>
      </w:r>
      <w:r w:rsidRPr="00D03C39">
        <w:rPr>
          <w:rFonts w:asciiTheme="minorHAnsi" w:eastAsia="Calibri" w:hAnsiTheme="minorHAnsi" w:cs="Calibri"/>
        </w:rPr>
        <w:t>ADAKVEO</w:t>
      </w:r>
      <w:r w:rsidRPr="00D03C39">
        <w:rPr>
          <w:rFonts w:asciiTheme="minorHAnsi" w:eastAsia="Calibri" w:hAnsiTheme="minorHAnsi" w:cs="Times New Roman"/>
        </w:rPr>
        <w:t>, flush the line with at least 25 mL sodium chloride 0.9% or dextrose 5%.</w:t>
      </w:r>
    </w:p>
    <w:p w14:paraId="1AFD781F" w14:textId="77777777" w:rsidR="00D03C39" w:rsidRPr="00D03C39" w:rsidRDefault="00D03C39" w:rsidP="00D03C39">
      <w:pPr>
        <w:keepNext/>
        <w:keepLines/>
        <w:spacing w:before="200" w:after="0" w:line="276" w:lineRule="auto"/>
        <w:ind w:left="227"/>
        <w:outlineLvl w:val="2"/>
        <w:rPr>
          <w:rFonts w:eastAsia="Times New Roman" w:cs="Times New Roman"/>
          <w:b/>
          <w:bCs/>
        </w:rPr>
      </w:pPr>
      <w:r w:rsidRPr="00D03C39">
        <w:rPr>
          <w:rFonts w:eastAsia="Times New Roman" w:cs="Times New Roman"/>
          <w:b/>
          <w:bCs/>
        </w:rPr>
        <w:t xml:space="preserve">Storage of the diluted solution </w:t>
      </w:r>
    </w:p>
    <w:p w14:paraId="08F5EDE5" w14:textId="77777777" w:rsidR="00D03C39" w:rsidRPr="00D03C39" w:rsidRDefault="00D03C39" w:rsidP="00D03C39">
      <w:pPr>
        <w:spacing w:before="0" w:after="200" w:line="276" w:lineRule="auto"/>
        <w:rPr>
          <w:rFonts w:asciiTheme="minorHAnsi" w:eastAsia="Calibri" w:hAnsiTheme="minorHAnsi" w:cs="Times New Roman"/>
        </w:rPr>
      </w:pPr>
      <w:r w:rsidRPr="00D03C39">
        <w:rPr>
          <w:rFonts w:asciiTheme="minorHAnsi" w:eastAsia="Calibri" w:hAnsiTheme="minorHAnsi" w:cs="Times New Roman"/>
        </w:rPr>
        <w:t xml:space="preserve">The diluted solution for infusion should be administered as soon as possible. </w:t>
      </w:r>
    </w:p>
    <w:p w14:paraId="5DB4193F" w14:textId="77777777" w:rsidR="00D03C39" w:rsidRPr="00D03C39" w:rsidRDefault="00D03C39" w:rsidP="00D03C39">
      <w:pPr>
        <w:spacing w:before="0" w:after="200" w:line="276" w:lineRule="auto"/>
        <w:rPr>
          <w:rFonts w:asciiTheme="minorHAnsi" w:eastAsia="Calibri" w:hAnsiTheme="minorHAnsi" w:cs="Times New Roman"/>
        </w:rPr>
      </w:pPr>
      <w:r w:rsidRPr="00D03C39">
        <w:rPr>
          <w:rFonts w:asciiTheme="minorHAnsi" w:eastAsia="Calibri" w:hAnsiTheme="minorHAnsi" w:cs="Times New Roman"/>
        </w:rPr>
        <w:t>If not administered immediately, store the prepared solution either:</w:t>
      </w:r>
    </w:p>
    <w:p w14:paraId="6139626C" w14:textId="77777777" w:rsidR="00D03C39" w:rsidRPr="00D03C39" w:rsidRDefault="00D03C39" w:rsidP="00D03C39">
      <w:pPr>
        <w:numPr>
          <w:ilvl w:val="0"/>
          <w:numId w:val="42"/>
        </w:numPr>
        <w:spacing w:before="0" w:after="200" w:line="276" w:lineRule="auto"/>
        <w:contextualSpacing/>
        <w:rPr>
          <w:rFonts w:asciiTheme="minorHAnsi" w:eastAsia="Calibri" w:hAnsiTheme="minorHAnsi" w:cs="Calibri"/>
          <w:lang w:bidi="my-MM"/>
        </w:rPr>
      </w:pPr>
      <w:r w:rsidRPr="00D03C39">
        <w:rPr>
          <w:rFonts w:asciiTheme="minorHAnsi" w:eastAsia="Calibri" w:hAnsiTheme="minorHAnsi" w:cs="Calibri"/>
        </w:rPr>
        <w:t>At room temperature up to 25°C for no more than 4.5 hours from the start of the preparation to completion of the infusion.</w:t>
      </w:r>
    </w:p>
    <w:p w14:paraId="7181AF95" w14:textId="77777777" w:rsidR="00D03C39" w:rsidRPr="00D03C39" w:rsidRDefault="00D03C39" w:rsidP="00D03C39">
      <w:pPr>
        <w:numPr>
          <w:ilvl w:val="0"/>
          <w:numId w:val="42"/>
        </w:numPr>
        <w:spacing w:before="0" w:after="200" w:line="276" w:lineRule="auto"/>
        <w:contextualSpacing/>
        <w:rPr>
          <w:rFonts w:asciiTheme="minorHAnsi" w:eastAsia="Calibri" w:hAnsiTheme="minorHAnsi" w:cs="Calibri"/>
          <w:lang w:bidi="my-MM"/>
        </w:rPr>
      </w:pPr>
      <w:r w:rsidRPr="00D03C39">
        <w:rPr>
          <w:rFonts w:asciiTheme="minorHAnsi" w:eastAsia="Calibri" w:hAnsiTheme="minorHAnsi" w:cs="Calibri"/>
        </w:rPr>
        <w:lastRenderedPageBreak/>
        <w:t>Under refrigeration at 2°C to 8°C for no more than 24 hours from the start of the preparation to completion of the infusion. This includes the storage of the diluted solution at 2°C to 8°C and the time to warm up at room temperature</w:t>
      </w:r>
      <w:r w:rsidRPr="00D03C39">
        <w:rPr>
          <w:rFonts w:asciiTheme="minorHAnsi" w:eastAsia="Calibri" w:hAnsiTheme="minorHAnsi" w:cs="Calibri"/>
          <w:color w:val="3333FF"/>
        </w:rPr>
        <w:t>.</w:t>
      </w:r>
    </w:p>
    <w:p w14:paraId="5DC8CB22" w14:textId="65B04924" w:rsidR="00D03C39" w:rsidRPr="00D03C39" w:rsidRDefault="00D03C39" w:rsidP="00D03C39">
      <w:pPr>
        <w:pStyle w:val="ListParagraph"/>
        <w:numPr>
          <w:ilvl w:val="1"/>
          <w:numId w:val="37"/>
        </w:numPr>
        <w:spacing w:before="0" w:after="120" w:line="276" w:lineRule="auto"/>
        <w:outlineLvl w:val="1"/>
        <w:rPr>
          <w:rFonts w:eastAsia="Calibri" w:cs="Times New Roman"/>
          <w:b/>
          <w:smallCaps/>
          <w:sz w:val="24"/>
        </w:rPr>
      </w:pPr>
      <w:r w:rsidRPr="00D03C39">
        <w:rPr>
          <w:rFonts w:eastAsia="Calibri" w:cs="Times New Roman"/>
          <w:b/>
          <w:smallCaps/>
          <w:sz w:val="24"/>
        </w:rPr>
        <w:t>Contraindications</w:t>
      </w:r>
    </w:p>
    <w:p w14:paraId="7B25C531" w14:textId="77777777" w:rsidR="00D03C39" w:rsidRPr="00D03C39" w:rsidRDefault="00D03C39" w:rsidP="00D03C39">
      <w:pPr>
        <w:spacing w:before="0" w:after="200" w:line="276" w:lineRule="auto"/>
        <w:rPr>
          <w:rFonts w:asciiTheme="minorHAnsi" w:eastAsia="Calibri" w:hAnsiTheme="minorHAnsi" w:cs="Times New Roman"/>
        </w:rPr>
      </w:pPr>
      <w:r w:rsidRPr="00D03C39">
        <w:rPr>
          <w:rFonts w:asciiTheme="minorHAnsi" w:eastAsia="Arial Unicode MS" w:hAnsiTheme="minorHAnsi" w:cs="Times New Roman"/>
        </w:rPr>
        <w:t xml:space="preserve">ADAKVEO is contraindicated in patients with hypersensitivity to </w:t>
      </w:r>
      <w:r w:rsidRPr="00D03C39">
        <w:rPr>
          <w:rFonts w:asciiTheme="minorHAnsi" w:eastAsia="Calibri" w:hAnsiTheme="minorHAnsi" w:cs="Times New Roman"/>
        </w:rPr>
        <w:t>crizanlizumab</w:t>
      </w:r>
      <w:r w:rsidRPr="00D03C39">
        <w:rPr>
          <w:rFonts w:asciiTheme="minorHAnsi" w:eastAsia="Arial Unicode MS" w:hAnsiTheme="minorHAnsi" w:cs="Times New Roman"/>
        </w:rPr>
        <w:t xml:space="preserve"> or to any of the excipients</w:t>
      </w:r>
      <w:r w:rsidRPr="00D03C39">
        <w:rPr>
          <w:rFonts w:asciiTheme="minorHAnsi" w:eastAsia="Calibri" w:hAnsiTheme="minorHAnsi" w:cs="Times New Roman"/>
        </w:rPr>
        <w:t>.</w:t>
      </w:r>
    </w:p>
    <w:p w14:paraId="730AF3F1" w14:textId="343A49A4" w:rsidR="00D03C39" w:rsidRPr="00D03C39" w:rsidRDefault="00D03C39" w:rsidP="00D03C39">
      <w:pPr>
        <w:pStyle w:val="ListParagraph"/>
        <w:numPr>
          <w:ilvl w:val="1"/>
          <w:numId w:val="37"/>
        </w:numPr>
        <w:spacing w:before="0" w:after="120" w:line="276" w:lineRule="auto"/>
        <w:outlineLvl w:val="1"/>
        <w:rPr>
          <w:rFonts w:eastAsia="Calibri" w:cs="Times New Roman"/>
          <w:b/>
          <w:smallCaps/>
          <w:sz w:val="24"/>
        </w:rPr>
      </w:pPr>
      <w:r w:rsidRPr="00D03C39">
        <w:rPr>
          <w:rFonts w:eastAsia="Calibri" w:cs="Times New Roman"/>
          <w:b/>
          <w:smallCaps/>
          <w:sz w:val="24"/>
        </w:rPr>
        <w:t>Special warnings and precautions for use</w:t>
      </w:r>
    </w:p>
    <w:p w14:paraId="063D4A3B" w14:textId="77777777" w:rsidR="00D03C39" w:rsidRPr="00D03C39" w:rsidRDefault="00D03C39" w:rsidP="00D03C39">
      <w:pPr>
        <w:keepNext/>
        <w:keepLines/>
        <w:spacing w:before="0" w:after="120" w:line="276" w:lineRule="auto"/>
        <w:ind w:left="227"/>
        <w:outlineLvl w:val="2"/>
        <w:rPr>
          <w:rFonts w:eastAsia="Times New Roman" w:cs="Times New Roman"/>
          <w:b/>
          <w:bCs/>
        </w:rPr>
      </w:pPr>
      <w:r w:rsidRPr="00D03C39">
        <w:rPr>
          <w:rFonts w:eastAsia="Times New Roman" w:cs="Times New Roman"/>
          <w:b/>
          <w:bCs/>
        </w:rPr>
        <w:t>Infusion related reactions</w:t>
      </w:r>
    </w:p>
    <w:p w14:paraId="78557FA3" w14:textId="77777777" w:rsidR="00D03C39" w:rsidRPr="00D03C39" w:rsidRDefault="00D03C39" w:rsidP="00D03C39">
      <w:pPr>
        <w:spacing w:before="0" w:after="200" w:line="276" w:lineRule="auto"/>
        <w:rPr>
          <w:rFonts w:asciiTheme="minorHAnsi" w:eastAsia="Calibri" w:hAnsiTheme="minorHAnsi" w:cs="Times New Roman"/>
        </w:rPr>
      </w:pPr>
      <w:r w:rsidRPr="00D03C39">
        <w:rPr>
          <w:rFonts w:asciiTheme="minorHAnsi" w:eastAsia="Calibri" w:hAnsiTheme="minorHAnsi" w:cs="Times New Roman"/>
        </w:rPr>
        <w:t>In clinical studies, infusion-related reactions (defined as occurring during/within 24 hours) were observed in 3 (2.7%) patients treated with ADAKVEO</w:t>
      </w:r>
      <w:r w:rsidRPr="00D03C39">
        <w:rPr>
          <w:rFonts w:asciiTheme="minorHAnsi" w:eastAsia="Calibri" w:hAnsiTheme="minorHAnsi" w:cs="Times New Roman"/>
          <w:szCs w:val="24"/>
        </w:rPr>
        <w:t xml:space="preserve"> </w:t>
      </w:r>
      <w:r w:rsidRPr="00D03C39">
        <w:rPr>
          <w:rFonts w:asciiTheme="minorHAnsi" w:eastAsia="Calibri" w:hAnsiTheme="minorHAnsi" w:cs="Times New Roman"/>
        </w:rPr>
        <w:t xml:space="preserve">5 mg/kg (see section 4.8 Adverse effects (undesirable effects). </w:t>
      </w:r>
    </w:p>
    <w:p w14:paraId="030E97FD" w14:textId="77777777" w:rsidR="00D03C39" w:rsidRPr="00D03C39" w:rsidRDefault="00D03C39" w:rsidP="00D03C39">
      <w:pPr>
        <w:spacing w:before="0" w:after="200" w:line="276" w:lineRule="auto"/>
        <w:rPr>
          <w:rFonts w:asciiTheme="minorHAnsi" w:eastAsia="Calibri" w:hAnsiTheme="minorHAnsi" w:cs="Times New Roman"/>
          <w:color w:val="000000"/>
        </w:rPr>
      </w:pPr>
      <w:r w:rsidRPr="00D03C39">
        <w:rPr>
          <w:rFonts w:asciiTheme="minorHAnsi" w:eastAsia="Calibri" w:hAnsiTheme="minorHAnsi" w:cs="Times New Roman"/>
          <w:color w:val="000000"/>
        </w:rPr>
        <w:t xml:space="preserve">In the post-marketing setting, cases of infusion-related reactions including severe pain events were reported, with the majority occurring during the first and second infusions. Some patients also experienced subsequent complications such as acute chest syndrome and fat embolism, particularly those treated with steroids. </w:t>
      </w:r>
    </w:p>
    <w:p w14:paraId="61E97D7B" w14:textId="77777777" w:rsidR="00D03C39" w:rsidRPr="00D03C39" w:rsidRDefault="00D03C39" w:rsidP="00D03C39">
      <w:pPr>
        <w:spacing w:before="0" w:after="200" w:line="276" w:lineRule="auto"/>
        <w:rPr>
          <w:rFonts w:asciiTheme="minorHAnsi" w:eastAsia="Calibri" w:hAnsiTheme="minorHAnsi" w:cs="Calibri"/>
        </w:rPr>
      </w:pPr>
      <w:r w:rsidRPr="00D03C39">
        <w:rPr>
          <w:rFonts w:asciiTheme="minorHAnsi" w:eastAsia="Calibri" w:hAnsiTheme="minorHAnsi" w:cs="Times New Roman"/>
        </w:rPr>
        <w:t xml:space="preserve">Patients should be monitored </w:t>
      </w:r>
      <w:r w:rsidRPr="00D03C39">
        <w:rPr>
          <w:rFonts w:asciiTheme="minorHAnsi" w:eastAsia="Calibri" w:hAnsiTheme="minorHAnsi" w:cs="Calibri"/>
        </w:rPr>
        <w:t xml:space="preserve">for and advised of signs and symptoms of infusion-related reactions which may include pain in various locations, </w:t>
      </w:r>
      <w:r w:rsidRPr="00D03C39">
        <w:rPr>
          <w:rFonts w:asciiTheme="minorHAnsi" w:eastAsia="Calibri" w:hAnsiTheme="minorHAnsi" w:cs="Times New Roman"/>
        </w:rPr>
        <w:t>headache, fever, chills, nausea, vomiting, diarrhoea, fatigue, dizziness, pruritus, urticaria, sweating, shortness of breath or wheezing</w:t>
      </w:r>
      <w:r w:rsidRPr="00D03C39">
        <w:rPr>
          <w:rFonts w:asciiTheme="minorHAnsi" w:eastAsia="Calibri" w:hAnsiTheme="minorHAnsi" w:cs="Calibri"/>
        </w:rPr>
        <w:t xml:space="preserve">. </w:t>
      </w:r>
    </w:p>
    <w:p w14:paraId="557FB6D8" w14:textId="77777777" w:rsidR="00D03C39" w:rsidRPr="00D03C39" w:rsidRDefault="00D03C39" w:rsidP="00D03C39">
      <w:pPr>
        <w:spacing w:before="0" w:after="200" w:line="276" w:lineRule="auto"/>
        <w:rPr>
          <w:rFonts w:asciiTheme="minorHAnsi" w:eastAsia="Calibri" w:hAnsiTheme="minorHAnsi" w:cs="Calibri"/>
        </w:rPr>
      </w:pPr>
      <w:r w:rsidRPr="00D03C39">
        <w:rPr>
          <w:rFonts w:asciiTheme="minorHAnsi" w:eastAsia="Calibri" w:hAnsiTheme="minorHAnsi" w:cs="Calibri"/>
        </w:rPr>
        <w:t>In the event of severe reactions, ADAKVEO should be discontinued and appropriate therapy should be instituted (see section 4.2 Dose and method of administration).</w:t>
      </w:r>
    </w:p>
    <w:p w14:paraId="1F96612D" w14:textId="77777777" w:rsidR="00D03C39" w:rsidRPr="00D03C39" w:rsidRDefault="00D03C39" w:rsidP="00D03C39">
      <w:pPr>
        <w:spacing w:before="0" w:after="200" w:line="276" w:lineRule="auto"/>
        <w:rPr>
          <w:rFonts w:asciiTheme="minorHAnsi" w:eastAsia="Calibri" w:hAnsiTheme="minorHAnsi" w:cs="Times New Roman"/>
        </w:rPr>
      </w:pPr>
      <w:r w:rsidRPr="00D03C39">
        <w:rPr>
          <w:rFonts w:asciiTheme="minorHAnsi" w:eastAsia="Calibri" w:hAnsiTheme="minorHAnsi" w:cs="Times New Roman"/>
        </w:rPr>
        <w:t xml:space="preserve">For management recommendations of a mild or moderate infusion-related reaction (see section 4.2 </w:t>
      </w:r>
      <w:r w:rsidRPr="00D03C39">
        <w:rPr>
          <w:rFonts w:asciiTheme="minorHAnsi" w:eastAsia="Calibri" w:hAnsiTheme="minorHAnsi" w:cs="Calibri"/>
        </w:rPr>
        <w:t>Dose and method of administration)</w:t>
      </w:r>
      <w:r w:rsidRPr="00D03C39">
        <w:rPr>
          <w:rFonts w:asciiTheme="minorHAnsi" w:eastAsia="Calibri" w:hAnsiTheme="minorHAnsi" w:cs="Times New Roman"/>
        </w:rPr>
        <w:t xml:space="preserve">. </w:t>
      </w:r>
    </w:p>
    <w:p w14:paraId="671AB39E" w14:textId="77777777" w:rsidR="00D03C39" w:rsidRPr="00D03C39" w:rsidRDefault="00D03C39" w:rsidP="00D03C39">
      <w:pPr>
        <w:spacing w:before="0" w:after="200" w:line="276" w:lineRule="auto"/>
        <w:rPr>
          <w:rFonts w:asciiTheme="minorHAnsi" w:eastAsia="Calibri" w:hAnsiTheme="minorHAnsi" w:cs="Times New Roman"/>
        </w:rPr>
      </w:pPr>
      <w:r w:rsidRPr="00D03C39">
        <w:rPr>
          <w:rFonts w:asciiTheme="minorHAnsi" w:eastAsia="Calibri" w:hAnsiTheme="minorHAnsi" w:cs="Times New Roman"/>
        </w:rPr>
        <w:t>Caution should be exercised with corticosteroids in patients with sickle cell disease unless clinically indicated (e.g. treatment of anaphylaxis).</w:t>
      </w:r>
    </w:p>
    <w:p w14:paraId="06699E0D" w14:textId="77777777" w:rsidR="00D03C39" w:rsidRPr="00D03C39" w:rsidRDefault="00D03C39" w:rsidP="00D03C39">
      <w:pPr>
        <w:keepNext/>
        <w:keepLines/>
        <w:spacing w:before="0" w:after="120" w:line="276" w:lineRule="auto"/>
        <w:ind w:left="227"/>
        <w:outlineLvl w:val="2"/>
        <w:rPr>
          <w:rFonts w:eastAsia="Times New Roman" w:cs="Times New Roman"/>
          <w:b/>
          <w:bCs/>
        </w:rPr>
      </w:pPr>
      <w:r w:rsidRPr="00D03C39">
        <w:rPr>
          <w:rFonts w:eastAsia="Times New Roman" w:cs="Times New Roman"/>
          <w:b/>
          <w:bCs/>
        </w:rPr>
        <w:t>Paediatric use (below 16 years)</w:t>
      </w:r>
    </w:p>
    <w:p w14:paraId="1CE1108C" w14:textId="77777777" w:rsidR="00D03C39" w:rsidRPr="00D03C39" w:rsidRDefault="00D03C39" w:rsidP="00D03C39">
      <w:pPr>
        <w:spacing w:before="0" w:after="200" w:line="276" w:lineRule="auto"/>
        <w:rPr>
          <w:rFonts w:asciiTheme="minorHAnsi" w:eastAsia="Calibri" w:hAnsiTheme="minorHAnsi" w:cs="Times New Roman"/>
        </w:rPr>
      </w:pPr>
      <w:r w:rsidRPr="00D03C39">
        <w:rPr>
          <w:rFonts w:asciiTheme="minorHAnsi" w:eastAsia="Calibri" w:hAnsiTheme="minorHAnsi" w:cs="Times New Roman"/>
        </w:rPr>
        <w:t xml:space="preserve">The safety and efficacy </w:t>
      </w:r>
      <w:r w:rsidRPr="00D03C39">
        <w:rPr>
          <w:rFonts w:asciiTheme="minorHAnsi" w:eastAsia="Calibri" w:hAnsiTheme="minorHAnsi" w:cs="Times New Roman"/>
          <w:szCs w:val="24"/>
        </w:rPr>
        <w:t xml:space="preserve">of </w:t>
      </w:r>
      <w:r w:rsidRPr="00D03C39">
        <w:rPr>
          <w:rFonts w:asciiTheme="minorHAnsi" w:eastAsia="Calibri" w:hAnsiTheme="minorHAnsi" w:cs="Times New Roman"/>
        </w:rPr>
        <w:t xml:space="preserve">ADAKVEO in paediatric patients below the age of 16 years have not been established. </w:t>
      </w:r>
    </w:p>
    <w:p w14:paraId="01448AB4" w14:textId="77777777" w:rsidR="00D03C39" w:rsidRPr="00D03C39" w:rsidRDefault="00D03C39" w:rsidP="00D03C39">
      <w:pPr>
        <w:keepNext/>
        <w:keepLines/>
        <w:spacing w:before="0" w:after="120" w:line="276" w:lineRule="auto"/>
        <w:ind w:left="227"/>
        <w:outlineLvl w:val="2"/>
        <w:rPr>
          <w:rFonts w:eastAsia="Times New Roman" w:cs="Times New Roman"/>
          <w:bCs/>
        </w:rPr>
      </w:pPr>
      <w:r w:rsidRPr="00D03C39">
        <w:rPr>
          <w:rFonts w:eastAsia="Times New Roman" w:cs="Times New Roman"/>
          <w:b/>
          <w:bCs/>
        </w:rPr>
        <w:t>Use in hepatic impairment</w:t>
      </w:r>
    </w:p>
    <w:p w14:paraId="3D89C593" w14:textId="77777777" w:rsidR="00D03C39" w:rsidRPr="00D03C39" w:rsidRDefault="00D03C39" w:rsidP="00D03C39">
      <w:pPr>
        <w:spacing w:before="0" w:after="200" w:line="276" w:lineRule="auto"/>
        <w:rPr>
          <w:rFonts w:asciiTheme="minorHAnsi" w:eastAsia="Calibri" w:hAnsiTheme="minorHAnsi" w:cs="Times New Roman"/>
        </w:rPr>
      </w:pPr>
      <w:r w:rsidRPr="00D03C39">
        <w:rPr>
          <w:rFonts w:asciiTheme="minorHAnsi" w:eastAsia="Calibri" w:hAnsiTheme="minorHAnsi" w:cs="Times New Roman"/>
        </w:rPr>
        <w:t>No studies have been performed in patients with hepatic impairment (see section 5.2 Pharmacokinetic properties).</w:t>
      </w:r>
    </w:p>
    <w:p w14:paraId="696D7C5B" w14:textId="77777777" w:rsidR="00D03C39" w:rsidRPr="00D03C39" w:rsidRDefault="00D03C39" w:rsidP="00D03C39">
      <w:pPr>
        <w:keepNext/>
        <w:keepLines/>
        <w:spacing w:before="0" w:after="120" w:line="276" w:lineRule="auto"/>
        <w:ind w:left="227"/>
        <w:outlineLvl w:val="2"/>
        <w:rPr>
          <w:rFonts w:eastAsia="Times New Roman" w:cs="Times New Roman"/>
          <w:bCs/>
        </w:rPr>
      </w:pPr>
      <w:r w:rsidRPr="00D03C39">
        <w:rPr>
          <w:rFonts w:eastAsia="Times New Roman" w:cs="Times New Roman"/>
          <w:b/>
          <w:bCs/>
        </w:rPr>
        <w:t>Use in renal impairment</w:t>
      </w:r>
    </w:p>
    <w:p w14:paraId="2848A034" w14:textId="77777777" w:rsidR="00D03C39" w:rsidRPr="00D03C39" w:rsidRDefault="00D03C39" w:rsidP="00D03C39">
      <w:pPr>
        <w:spacing w:before="0" w:after="200" w:line="276" w:lineRule="auto"/>
        <w:rPr>
          <w:rFonts w:asciiTheme="minorHAnsi" w:eastAsia="Calibri" w:hAnsiTheme="minorHAnsi" w:cs="Times New Roman"/>
        </w:rPr>
      </w:pPr>
      <w:r w:rsidRPr="00D03C39">
        <w:rPr>
          <w:rFonts w:asciiTheme="minorHAnsi" w:eastAsia="Calibri" w:hAnsiTheme="minorHAnsi" w:cs="Times New Roman"/>
        </w:rPr>
        <w:t>No studies have been performed in patients with renal impairment (see section 5.2 Pharmacokinetic properties).</w:t>
      </w:r>
    </w:p>
    <w:p w14:paraId="72ABA83A" w14:textId="77777777" w:rsidR="00D03C39" w:rsidRPr="00D03C39" w:rsidRDefault="00D03C39" w:rsidP="00D03C39">
      <w:pPr>
        <w:rPr>
          <w:b/>
          <w:bCs/>
        </w:rPr>
      </w:pPr>
      <w:r w:rsidRPr="00D03C39">
        <w:rPr>
          <w:b/>
          <w:bCs/>
        </w:rPr>
        <w:t>Use in the elderly</w:t>
      </w:r>
    </w:p>
    <w:p w14:paraId="3E61A963" w14:textId="77777777" w:rsidR="00D03C39" w:rsidRPr="00D03C39" w:rsidRDefault="00D03C39" w:rsidP="00D03C39">
      <w:r w:rsidRPr="00D03C39">
        <w:lastRenderedPageBreak/>
        <w:t>No studies have been performed in patients 65 years of age or above.</w:t>
      </w:r>
    </w:p>
    <w:p w14:paraId="43AC1F98" w14:textId="77777777" w:rsidR="00D03C39" w:rsidRPr="00D03C39" w:rsidRDefault="00D03C39" w:rsidP="00D03C39">
      <w:pPr>
        <w:rPr>
          <w:b/>
          <w:bCs/>
        </w:rPr>
      </w:pPr>
      <w:r w:rsidRPr="00D03C39">
        <w:rPr>
          <w:b/>
          <w:bCs/>
        </w:rPr>
        <w:t>Effects on laboratory tests</w:t>
      </w:r>
    </w:p>
    <w:p w14:paraId="3D44E1E3" w14:textId="77777777" w:rsidR="00D03C39" w:rsidRPr="00D03C39" w:rsidRDefault="00D03C39" w:rsidP="00D03C39">
      <w:r w:rsidRPr="00D03C39">
        <w:t xml:space="preserve">Automated platelet counts: Interference with automated platelet counts (platelet clumping) has been observed in patients treated with ADAKVEO in clinical studies, </w:t>
      </w:r>
      <w:proofErr w:type="gramStart"/>
      <w:r w:rsidRPr="00D03C39">
        <w:t>in particular when</w:t>
      </w:r>
      <w:proofErr w:type="gramEnd"/>
      <w:r w:rsidRPr="00D03C39">
        <w:t xml:space="preserve"> tubes containing EDTA (ethylenediaminetetraacetic acid) were used. This may lead to unevaluable or falsely decreased platelet counts. There is no evidence that ADAKVEO causes a reduction in circulating platelets or has a pro-</w:t>
      </w:r>
      <w:proofErr w:type="spellStart"/>
      <w:r w:rsidRPr="00D03C39">
        <w:t>aggregant</w:t>
      </w:r>
      <w:proofErr w:type="spellEnd"/>
      <w:r w:rsidRPr="00D03C39">
        <w:t xml:space="preserve"> effect </w:t>
      </w:r>
      <w:r w:rsidRPr="00D03C39">
        <w:rPr>
          <w:i/>
        </w:rPr>
        <w:t>in vivo.</w:t>
      </w:r>
    </w:p>
    <w:p w14:paraId="169A88E0" w14:textId="77777777" w:rsidR="00D03C39" w:rsidRPr="00D03C39" w:rsidRDefault="00D03C39" w:rsidP="00D03C39">
      <w:r w:rsidRPr="00D03C39">
        <w:t>To mitigate the potential for laboratory test interference, it is recommended to run the test as soon as possible (within 4 hours of blood collection) or use citrate tubes. When needed, platelet counts can be estimated via a peripheral blood smear.</w:t>
      </w:r>
    </w:p>
    <w:p w14:paraId="4181B0D2" w14:textId="5DA671F5" w:rsidR="00D03C39" w:rsidRPr="00D03C39" w:rsidRDefault="00D03C39" w:rsidP="00D03C39">
      <w:pPr>
        <w:pStyle w:val="ListParagraph"/>
        <w:numPr>
          <w:ilvl w:val="1"/>
          <w:numId w:val="37"/>
        </w:numPr>
        <w:rPr>
          <w:b/>
        </w:rPr>
      </w:pPr>
      <w:r w:rsidRPr="00D03C39">
        <w:rPr>
          <w:b/>
        </w:rPr>
        <w:t>Interactions with other medicines and other forms of interactions</w:t>
      </w:r>
    </w:p>
    <w:p w14:paraId="27695204" w14:textId="77777777" w:rsidR="00D03C39" w:rsidRPr="00D03C39" w:rsidRDefault="00D03C39" w:rsidP="00D03C39">
      <w:r w:rsidRPr="00D03C39">
        <w:t xml:space="preserve">Interactions between crizanlizumab and other medicinal products have not been investigated in dedicated studies. </w:t>
      </w:r>
    </w:p>
    <w:p w14:paraId="0E7C223F" w14:textId="77777777" w:rsidR="00D03C39" w:rsidRPr="00D03C39" w:rsidRDefault="00D03C39" w:rsidP="00D03C39">
      <w:r w:rsidRPr="00D03C39">
        <w:t xml:space="preserve">Monoclonal antibodies are not metabolized by cytochrome P450 (CYP450) enzymes. Therefore, medicinal products that are substrates, </w:t>
      </w:r>
      <w:proofErr w:type="gramStart"/>
      <w:r w:rsidRPr="00D03C39">
        <w:t>inhibitors</w:t>
      </w:r>
      <w:proofErr w:type="gramEnd"/>
      <w:r w:rsidRPr="00D03C39">
        <w:t xml:space="preserve"> or inducers of CYP450 are not expected to affect the pharmacokinetics of crizanlizumab. In clinical studies, hydroxycarbamide (hydroxyurea) had no effect on crizanlizumab pharmacokinetics in patients.</w:t>
      </w:r>
    </w:p>
    <w:p w14:paraId="4B3A869B" w14:textId="77777777" w:rsidR="00D03C39" w:rsidRPr="00D03C39" w:rsidRDefault="00D03C39" w:rsidP="00D03C39">
      <w:r w:rsidRPr="00D03C39">
        <w:t>No effect on exposure of co-administered medicinal products is expected based on the metabolic pathways of monoclonal antibodies.</w:t>
      </w:r>
    </w:p>
    <w:p w14:paraId="1F4AB93C" w14:textId="09D401EE" w:rsidR="00D03C39" w:rsidRPr="00D03C39" w:rsidRDefault="00D03C39" w:rsidP="00D03C39">
      <w:pPr>
        <w:pStyle w:val="ListParagraph"/>
        <w:numPr>
          <w:ilvl w:val="1"/>
          <w:numId w:val="37"/>
        </w:numPr>
        <w:rPr>
          <w:b/>
        </w:rPr>
      </w:pPr>
      <w:r w:rsidRPr="00D03C39">
        <w:rPr>
          <w:b/>
        </w:rPr>
        <w:t xml:space="preserve">Fertility, </w:t>
      </w:r>
      <w:proofErr w:type="gramStart"/>
      <w:r w:rsidRPr="00D03C39">
        <w:rPr>
          <w:b/>
        </w:rPr>
        <w:t>pregnancy</w:t>
      </w:r>
      <w:proofErr w:type="gramEnd"/>
      <w:r w:rsidRPr="00D03C39">
        <w:rPr>
          <w:b/>
        </w:rPr>
        <w:t xml:space="preserve"> and lactation </w:t>
      </w:r>
    </w:p>
    <w:p w14:paraId="10B0ECDF" w14:textId="77777777" w:rsidR="00D03C39" w:rsidRPr="00D03C39" w:rsidRDefault="00D03C39" w:rsidP="00D03C39">
      <w:pPr>
        <w:rPr>
          <w:b/>
          <w:bCs/>
        </w:rPr>
      </w:pPr>
      <w:r w:rsidRPr="00D03C39">
        <w:rPr>
          <w:b/>
          <w:bCs/>
        </w:rPr>
        <w:t>Effects on fertility</w:t>
      </w:r>
    </w:p>
    <w:p w14:paraId="6E7BD1B8" w14:textId="77777777" w:rsidR="00D03C39" w:rsidRPr="00D03C39" w:rsidRDefault="00D03C39" w:rsidP="00D03C39">
      <w:r w:rsidRPr="00D03C39">
        <w:t>There are no data on the effect of ADAKVEO on human fertility.</w:t>
      </w:r>
      <w:r w:rsidRPr="00D03C39" w:rsidDel="005F060C">
        <w:t xml:space="preserve"> </w:t>
      </w:r>
    </w:p>
    <w:p w14:paraId="1F296E37" w14:textId="77777777" w:rsidR="00D03C39" w:rsidRPr="00D03C39" w:rsidRDefault="00D03C39" w:rsidP="00D03C39">
      <w:r w:rsidRPr="00D03C39">
        <w:t>In the 26-week repeat-dose toxicity study, cynomolgus monkeys were administered crizanlizumab once every 4 weeks at doses up to 50 mg/kg (at least 13.5 times the human clinical exposure based on AUC in patients with sickle cell disease at 5 mg/kg once every four weeks). There were no adverse effects of crizanlizumab on male and female reproductive organs (organ weights, macroscopic and microscopic evaluations), sperm evaluations (motility, counts, morphology) and female menstrual cycles (number and mean duration) suggesting no effect on fertility under crizanlizumab treatment.</w:t>
      </w:r>
    </w:p>
    <w:p w14:paraId="1375FCE4" w14:textId="77777777" w:rsidR="00D03C39" w:rsidRPr="00D03C39" w:rsidRDefault="00D03C39" w:rsidP="00D03C39">
      <w:pPr>
        <w:rPr>
          <w:b/>
          <w:bCs/>
        </w:rPr>
      </w:pPr>
      <w:r w:rsidRPr="00D03C39">
        <w:rPr>
          <w:b/>
          <w:bCs/>
        </w:rPr>
        <w:t>Use in pregnancy – Pregnancy Category B1</w:t>
      </w:r>
    </w:p>
    <w:p w14:paraId="30736031" w14:textId="77777777" w:rsidR="00D03C39" w:rsidRPr="00D03C39" w:rsidRDefault="00D03C39" w:rsidP="00D03C39">
      <w:r w:rsidRPr="00D03C39">
        <w:t xml:space="preserve">There are no adequate and well-controlled studies in pregnant women to inform a product-associated risk. Animal reproduction studies in cynomolgus monkeys have not shown a risk of increased </w:t>
      </w:r>
      <w:proofErr w:type="spellStart"/>
      <w:r w:rsidRPr="00D03C39">
        <w:t>fetal</w:t>
      </w:r>
      <w:proofErr w:type="spellEnd"/>
      <w:r w:rsidRPr="00D03C39">
        <w:t xml:space="preserve"> abnormalities. However, an increased incidence in </w:t>
      </w:r>
      <w:proofErr w:type="spellStart"/>
      <w:r w:rsidRPr="00D03C39">
        <w:t>fetal</w:t>
      </w:r>
      <w:proofErr w:type="spellEnd"/>
      <w:r w:rsidRPr="00D03C39">
        <w:t xml:space="preserve"> loss (abortions/still births) at doses approximately 2.8 times the exposure at the recommended clinical dose at 5 mg/kg/dose once every 4 weeks likely secondary to anti-drug antibody formation was observed (see Animal data). The potential risk to humans is unknown. As there is no adequate experience in pregnant women, ADAKVEO should only be used during pregnancy if the expected benefit to the patient justifies the potential risk to the </w:t>
      </w:r>
      <w:proofErr w:type="spellStart"/>
      <w:r w:rsidRPr="00D03C39">
        <w:t>fetus</w:t>
      </w:r>
      <w:proofErr w:type="spellEnd"/>
      <w:r w:rsidRPr="00D03C39">
        <w:t>.</w:t>
      </w:r>
    </w:p>
    <w:p w14:paraId="48CF438C" w14:textId="77777777" w:rsidR="00D03C39" w:rsidRPr="00D03C39" w:rsidRDefault="00D03C39" w:rsidP="00D03C39">
      <w:pPr>
        <w:rPr>
          <w:b/>
          <w:bCs/>
        </w:rPr>
      </w:pPr>
      <w:r w:rsidRPr="00D03C39">
        <w:rPr>
          <w:b/>
          <w:bCs/>
        </w:rPr>
        <w:t>Clinical considerations</w:t>
      </w:r>
      <w:bookmarkStart w:id="1" w:name="_nth_Clinical_consideration9057"/>
      <w:bookmarkEnd w:id="1"/>
      <w:r w:rsidRPr="00D03C39">
        <w:rPr>
          <w:b/>
          <w:bCs/>
        </w:rPr>
        <w:t xml:space="preserve"> - Disease-associated maternal and/or embryo/</w:t>
      </w:r>
      <w:proofErr w:type="spellStart"/>
      <w:r w:rsidRPr="00D03C39">
        <w:rPr>
          <w:b/>
          <w:bCs/>
        </w:rPr>
        <w:t>fetal</w:t>
      </w:r>
      <w:proofErr w:type="spellEnd"/>
      <w:r w:rsidRPr="00D03C39">
        <w:rPr>
          <w:b/>
          <w:bCs/>
        </w:rPr>
        <w:t xml:space="preserve"> risk</w:t>
      </w:r>
      <w:bookmarkStart w:id="2" w:name="_nth_Disease_associated_mat9081"/>
      <w:bookmarkEnd w:id="2"/>
    </w:p>
    <w:p w14:paraId="525F35BD" w14:textId="77777777" w:rsidR="00D03C39" w:rsidRPr="00D03C39" w:rsidRDefault="00D03C39" w:rsidP="00D03C39">
      <w:r w:rsidRPr="00D03C39">
        <w:t xml:space="preserve">Women with sickle cell disease have an increased risk of adverse pregnancy outcomes for the mother and the </w:t>
      </w:r>
      <w:proofErr w:type="spellStart"/>
      <w:r w:rsidRPr="00D03C39">
        <w:t>fetus</w:t>
      </w:r>
      <w:proofErr w:type="spellEnd"/>
      <w:r w:rsidRPr="00D03C39">
        <w:t xml:space="preserve">. Increased risks for intrauterine growth restriction, perinatal mortality and </w:t>
      </w:r>
      <w:r w:rsidRPr="00D03C39">
        <w:lastRenderedPageBreak/>
        <w:t xml:space="preserve">low birthweight have been reported. Women with sickle cell disease are at higher risk for pre-eclampsia, eclampsia, maternal mortality, stillbirth, preterm </w:t>
      </w:r>
      <w:proofErr w:type="gramStart"/>
      <w:r w:rsidRPr="00D03C39">
        <w:t>delivery</w:t>
      </w:r>
      <w:proofErr w:type="gramEnd"/>
      <w:r w:rsidRPr="00D03C39">
        <w:t xml:space="preserve"> and small-for-gestational-age infants.</w:t>
      </w:r>
    </w:p>
    <w:p w14:paraId="299D725F" w14:textId="77777777" w:rsidR="00D03C39" w:rsidRPr="00D03C39" w:rsidRDefault="00D03C39" w:rsidP="00D03C39">
      <w:pPr>
        <w:rPr>
          <w:b/>
          <w:bCs/>
        </w:rPr>
      </w:pPr>
      <w:r w:rsidRPr="00D03C39">
        <w:rPr>
          <w:b/>
          <w:bCs/>
        </w:rPr>
        <w:t>Animal Data</w:t>
      </w:r>
    </w:p>
    <w:p w14:paraId="183970C5" w14:textId="77777777" w:rsidR="00D03C39" w:rsidRPr="00D03C39" w:rsidRDefault="00D03C39" w:rsidP="00D03C39">
      <w:pPr>
        <w:rPr>
          <w:lang w:val="en-GB"/>
        </w:rPr>
      </w:pPr>
      <w:r w:rsidRPr="00D03C39">
        <w:rPr>
          <w:lang w:val="en-GB"/>
        </w:rPr>
        <w:t xml:space="preserve">In an enhanced pre- and postnatal development study in cynomolgus monkeys, pregnant animals received intravenous administration of crizanlizumab once every two weeks during the period of organogenesis at doses up to 50 mg/kg (approximately 16 times the </w:t>
      </w:r>
      <w:r w:rsidRPr="00D03C39">
        <w:t>human clinical exposure based on AUC in patients with sickle cell disease at 5 mg/kg/dose once every four weeks)</w:t>
      </w:r>
      <w:r w:rsidRPr="00D03C39">
        <w:rPr>
          <w:lang w:val="en-GB"/>
        </w:rPr>
        <w:t>. N</w:t>
      </w:r>
      <w:r w:rsidRPr="00D03C39">
        <w:t xml:space="preserve">o maternal toxicity was observed. There was an increase in </w:t>
      </w:r>
      <w:proofErr w:type="spellStart"/>
      <w:r w:rsidRPr="00D03C39">
        <w:t>fetal</w:t>
      </w:r>
      <w:proofErr w:type="spellEnd"/>
      <w:r w:rsidRPr="00D03C39">
        <w:t xml:space="preserve"> loss (abortions or still births) which was higher in the third trimester at crizanlizumab doses resulting in ≥ 2.8 times the exposure (based on AUC) in patients with sickle cell disease at 5 mg/kg/dose once every 4 weeks. These effects may be due to anti-drug antibody formation in affected animals. There were no effects on infant growth and development through 6</w:t>
      </w:r>
      <w:r w:rsidRPr="00D03C39">
        <w:noBreakHyphen/>
        <w:t>months postpartum that were attributable to crizanlizumab.</w:t>
      </w:r>
    </w:p>
    <w:p w14:paraId="6EA7E944" w14:textId="77777777" w:rsidR="00D03C39" w:rsidRPr="00D03C39" w:rsidRDefault="00D03C39" w:rsidP="00D03C39">
      <w:r w:rsidRPr="00D03C39">
        <w:t>Measurable crizanlizumab serum concentrations were observed in the infant monkeys at postnatal day 28, confirming that crizanlizumab, like other IgG antibodies, crosses the placental barrier.</w:t>
      </w:r>
    </w:p>
    <w:p w14:paraId="3AACBC48" w14:textId="77777777" w:rsidR="00D03C39" w:rsidRPr="00D03C39" w:rsidRDefault="00D03C39" w:rsidP="00D03C39">
      <w:pPr>
        <w:rPr>
          <w:b/>
          <w:bCs/>
        </w:rPr>
      </w:pPr>
      <w:r w:rsidRPr="00D03C39">
        <w:rPr>
          <w:b/>
          <w:bCs/>
        </w:rPr>
        <w:t xml:space="preserve">Use in lactation. </w:t>
      </w:r>
    </w:p>
    <w:p w14:paraId="0FBFE343" w14:textId="77777777" w:rsidR="00D03C39" w:rsidRPr="00D03C39" w:rsidRDefault="00D03C39" w:rsidP="00D03C39">
      <w:r w:rsidRPr="00D03C39">
        <w:t xml:space="preserve">It is not known if crizanlizumab is transferred into human milk after administration of ADAKVEO. There are no data on the effects of crizanlizumab on the breastfed child or on milk production. </w:t>
      </w:r>
    </w:p>
    <w:p w14:paraId="4F7E314B" w14:textId="77777777" w:rsidR="00D03C39" w:rsidRPr="00D03C39" w:rsidRDefault="00D03C39" w:rsidP="00D03C39">
      <w:r w:rsidRPr="00D03C39">
        <w:t>Because many medicinal products, including antibodies, can be transferred into human milk, a risk to the newborns/infants cannot be excluded.</w:t>
      </w:r>
    </w:p>
    <w:p w14:paraId="3735EDAD" w14:textId="77777777" w:rsidR="00D03C39" w:rsidRPr="00D03C39" w:rsidRDefault="00D03C39" w:rsidP="00D03C39">
      <w:r w:rsidRPr="00D03C39">
        <w:t>The developmental and health benefits of breastfeeding should be considered along with the mother’s clinical need for ADAKVEO and any potential adverse effects on the breastfed newborn/infant from ADAKVEO or from the underlying maternal condition.</w:t>
      </w:r>
    </w:p>
    <w:p w14:paraId="2AEBE11D" w14:textId="07B88695" w:rsidR="00D03C39" w:rsidRPr="00D03C39" w:rsidRDefault="00D03C39" w:rsidP="00D03C39">
      <w:pPr>
        <w:pStyle w:val="ListParagraph"/>
        <w:numPr>
          <w:ilvl w:val="1"/>
          <w:numId w:val="37"/>
        </w:numPr>
        <w:rPr>
          <w:b/>
        </w:rPr>
      </w:pPr>
      <w:r w:rsidRPr="00D03C39">
        <w:rPr>
          <w:b/>
        </w:rPr>
        <w:t xml:space="preserve"> </w:t>
      </w:r>
      <w:r w:rsidRPr="00D03C39">
        <w:rPr>
          <w:b/>
        </w:rPr>
        <w:t xml:space="preserve">Effects on ability to drive and use machines </w:t>
      </w:r>
    </w:p>
    <w:p w14:paraId="3627D227" w14:textId="77777777" w:rsidR="00D03C39" w:rsidRPr="00D03C39" w:rsidRDefault="00D03C39" w:rsidP="00D03C39">
      <w:r w:rsidRPr="00D03C39">
        <w:rPr>
          <w:lang w:val="en"/>
        </w:rPr>
        <w:t xml:space="preserve">The effects of this medicine on a person's ability to drive and use machines were not assessed as part of its registration. </w:t>
      </w:r>
    </w:p>
    <w:p w14:paraId="30B5F9FC" w14:textId="2F2D27F7" w:rsidR="00D03C39" w:rsidRPr="00D03C39" w:rsidRDefault="00D03C39" w:rsidP="00D03C39">
      <w:pPr>
        <w:pStyle w:val="ListParagraph"/>
        <w:numPr>
          <w:ilvl w:val="1"/>
          <w:numId w:val="37"/>
        </w:numPr>
        <w:rPr>
          <w:b/>
        </w:rPr>
      </w:pPr>
      <w:r w:rsidRPr="00D03C39">
        <w:rPr>
          <w:b/>
        </w:rPr>
        <w:t>Adverse effects (Undesirable effects)</w:t>
      </w:r>
    </w:p>
    <w:p w14:paraId="50440DE4" w14:textId="77777777" w:rsidR="00D03C39" w:rsidRPr="00D03C39" w:rsidRDefault="00D03C39" w:rsidP="00D03C39">
      <w:r w:rsidRPr="00D03C39">
        <w:t xml:space="preserve">The safety of ADAKVEO has been evaluated in 175 patients with sickle cell disease (any genotype including </w:t>
      </w:r>
      <w:proofErr w:type="spellStart"/>
      <w:r w:rsidRPr="00D03C39">
        <w:t>HbSS</w:t>
      </w:r>
      <w:proofErr w:type="spellEnd"/>
      <w:r w:rsidRPr="00D03C39">
        <w:t xml:space="preserve">, </w:t>
      </w:r>
      <w:proofErr w:type="spellStart"/>
      <w:r w:rsidRPr="00D03C39">
        <w:t>HbSC</w:t>
      </w:r>
      <w:proofErr w:type="spellEnd"/>
      <w:r w:rsidRPr="00D03C39">
        <w:t xml:space="preserve">, Hbbeta0-thalassemia, and </w:t>
      </w:r>
      <w:proofErr w:type="spellStart"/>
      <w:r w:rsidRPr="00D03C39">
        <w:t>Hbbeta</w:t>
      </w:r>
      <w:proofErr w:type="spellEnd"/>
      <w:r w:rsidRPr="00D03C39">
        <w:t>+-thalassemia) in two studies: the pivotal study, SUSTAIN, a 52-week, randomized, double-blind, placebo-controlled study (N=66 at 5 mg/kg and N=64 at 2.5 mg/kg), and a single arm, open label pharmacokinetics/pharmacodynamics and safety study (N=45 at 5 mg/kg). Among the 111 patients exposed to the recommended dose (5 mg/kg), the median (min-max) duration of exposure was 54 weeks (4 to 90 weeks). Seventy-five (75) of the 111 patients (68%) were treated in combination with hydroxycarbamide (hydroxyurea). Use of ADAKVEO in combination with hydroxycarbamide (hydroxyurea) did not result in any meaningful differences in safety profile.</w:t>
      </w:r>
    </w:p>
    <w:p w14:paraId="566A2A8B" w14:textId="77777777" w:rsidR="00D03C39" w:rsidRPr="00D03C39" w:rsidRDefault="00D03C39" w:rsidP="00D03C39">
      <w:r w:rsidRPr="00D03C39">
        <w:t xml:space="preserve">The most frequently reported adverse drug reactions (≥10% of patients) in the ADAKVEO 5 mg/kg group were arthralgia, nausea, back pain, </w:t>
      </w:r>
      <w:proofErr w:type="gramStart"/>
      <w:r w:rsidRPr="00D03C39">
        <w:t>pyrexia</w:t>
      </w:r>
      <w:proofErr w:type="gramEnd"/>
      <w:r w:rsidRPr="00D03C39">
        <w:t xml:space="preserve"> and abdominal pain. These adverse drug reactions, along with myalgia, musculoskeletal chest pain, and diarrhoea, may be signs and </w:t>
      </w:r>
      <w:r w:rsidRPr="00D03C39">
        <w:lastRenderedPageBreak/>
        <w:t xml:space="preserve">symptoms of an infusion related reaction when observed during/within 24 hours of an infusion. </w:t>
      </w:r>
      <w:proofErr w:type="gramStart"/>
      <w:r w:rsidRPr="00D03C39">
        <w:t>The majority of</w:t>
      </w:r>
      <w:proofErr w:type="gramEnd"/>
      <w:r w:rsidRPr="00D03C39">
        <w:t xml:space="preserve"> the adverse drug reactions were mild to moderate (grade 1 to 2). Severe adverse reactions were observed for pyrexia and arthralgia (1 case each [0.9%], both grade 3).</w:t>
      </w:r>
    </w:p>
    <w:p w14:paraId="41EEF80E" w14:textId="77777777" w:rsidR="00D03C39" w:rsidRPr="00D03C39" w:rsidRDefault="00D03C39" w:rsidP="00D03C39">
      <w:r w:rsidRPr="00D03C39">
        <w:t xml:space="preserve">No discontinuations due to adverse drug reactions were reported with ADAKVEO 5 mg/kg. </w:t>
      </w:r>
    </w:p>
    <w:p w14:paraId="07AEF799" w14:textId="77777777" w:rsidR="00D03C39" w:rsidRPr="00D03C39" w:rsidRDefault="00D03C39" w:rsidP="00D03C39">
      <w:pPr>
        <w:rPr>
          <w:b/>
          <w:bCs/>
        </w:rPr>
      </w:pPr>
      <w:r w:rsidRPr="00D03C39">
        <w:rPr>
          <w:b/>
          <w:bCs/>
        </w:rPr>
        <w:t>Tabulated summary of adverse drug reactions from clinical studies</w:t>
      </w:r>
      <w:bookmarkStart w:id="3" w:name="_nth_Tabulated_summary_of_a6742"/>
      <w:bookmarkEnd w:id="3"/>
    </w:p>
    <w:p w14:paraId="5E5D5922" w14:textId="77777777" w:rsidR="00D03C39" w:rsidRPr="00D03C39" w:rsidRDefault="00D03C39" w:rsidP="00D03C39">
      <w:r w:rsidRPr="00D03C39">
        <w:t>Adverse drug reactions from clinical studies (Table 3) are listed by MedDRA system organ class. Within each system organ class, the adverse drug reactions are ranked by frequency, with the most frequent reactions first. Within each frequency grouping, adverse drug reactions are presented in order of decreasing seriousness. In addition, the corresponding frequency category for each adverse drug reaction is based on the following convention (CIOMS III): very common (≥1/10); common (≥1/100 to &lt;1/10); uncommon (≥1/1,000 to &lt;1/100); rare (≥1/10,000 to &lt;1/1,000); very rare (&lt;1/10,000).</w:t>
      </w:r>
    </w:p>
    <w:p w14:paraId="3E31622A" w14:textId="77777777" w:rsidR="00D03C39" w:rsidRPr="00D03C39" w:rsidRDefault="00D03C39" w:rsidP="00D03C39">
      <w:pPr>
        <w:rPr>
          <w:b/>
        </w:rPr>
      </w:pPr>
      <w:r w:rsidRPr="00D03C39">
        <w:rPr>
          <w:b/>
        </w:rPr>
        <w:t xml:space="preserve">Table </w:t>
      </w:r>
      <w:r w:rsidRPr="00D03C39">
        <w:rPr>
          <w:b/>
        </w:rPr>
        <w:fldChar w:fldCharType="begin"/>
      </w:r>
      <w:r w:rsidRPr="00D03C39">
        <w:rPr>
          <w:b/>
        </w:rPr>
        <w:instrText>SEQ Table \* ARABIC</w:instrText>
      </w:r>
      <w:r w:rsidRPr="00D03C39">
        <w:rPr>
          <w:b/>
        </w:rPr>
        <w:fldChar w:fldCharType="separate"/>
      </w:r>
      <w:r w:rsidRPr="00D03C39">
        <w:rPr>
          <w:b/>
        </w:rPr>
        <w:t>3</w:t>
      </w:r>
      <w:r w:rsidRPr="00D03C39">
        <w:fldChar w:fldCharType="end"/>
      </w:r>
      <w:r w:rsidRPr="00D03C39">
        <w:rPr>
          <w:b/>
        </w:rPr>
        <w:t>: Percentage of patients with adverse drug reactions in clinical studies</w:t>
      </w:r>
      <w:bookmarkStart w:id="4" w:name="_hd6_Table_7_1_Percentage_o7395"/>
      <w:bookmarkEnd w:id="4"/>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992"/>
        <w:gridCol w:w="851"/>
        <w:gridCol w:w="141"/>
        <w:gridCol w:w="1418"/>
        <w:gridCol w:w="1843"/>
        <w:gridCol w:w="1559"/>
      </w:tblGrid>
      <w:tr w:rsidR="003630CA" w:rsidRPr="003630CA" w14:paraId="75AE2668" w14:textId="77777777" w:rsidTr="006336AE">
        <w:trPr>
          <w:tblHeader/>
          <w:jc w:val="center"/>
        </w:trPr>
        <w:tc>
          <w:tcPr>
            <w:tcW w:w="3119" w:type="dxa"/>
            <w:tcBorders>
              <w:left w:val="nil"/>
              <w:bottom w:val="single" w:sz="4" w:space="0" w:color="auto"/>
            </w:tcBorders>
          </w:tcPr>
          <w:p w14:paraId="3E4C6380" w14:textId="77777777" w:rsidR="003630CA" w:rsidRPr="003630CA" w:rsidRDefault="003630CA" w:rsidP="003630CA">
            <w:pPr>
              <w:keepNext/>
              <w:keepLines/>
              <w:tabs>
                <w:tab w:val="left" w:pos="284"/>
                <w:tab w:val="left" w:pos="8505"/>
              </w:tabs>
              <w:spacing w:before="40" w:after="20" w:line="240" w:lineRule="auto"/>
              <w:rPr>
                <w:rFonts w:ascii="Calibri" w:eastAsia="MS Mincho" w:hAnsi="Calibri" w:cs="Calibri"/>
                <w:b/>
                <w:bCs/>
                <w:sz w:val="20"/>
                <w:szCs w:val="20"/>
                <w:lang w:val="en-US" w:eastAsia="zh-CN"/>
              </w:rPr>
            </w:pPr>
            <w:r w:rsidRPr="003630CA">
              <w:rPr>
                <w:rFonts w:ascii="Calibri" w:eastAsia="MS Mincho" w:hAnsi="Calibri" w:cs="Calibri"/>
                <w:b/>
                <w:bCs/>
                <w:sz w:val="20"/>
                <w:szCs w:val="20"/>
                <w:lang w:val="en-US" w:eastAsia="zh-CN"/>
              </w:rPr>
              <w:t xml:space="preserve">Adverse Drug Reactions </w:t>
            </w:r>
          </w:p>
        </w:tc>
        <w:tc>
          <w:tcPr>
            <w:tcW w:w="1843" w:type="dxa"/>
            <w:gridSpan w:val="2"/>
            <w:tcBorders>
              <w:bottom w:val="single" w:sz="4" w:space="0" w:color="auto"/>
            </w:tcBorders>
          </w:tcPr>
          <w:p w14:paraId="13920B08" w14:textId="77777777" w:rsidR="003630CA" w:rsidRPr="003630CA" w:rsidRDefault="003630CA" w:rsidP="003630CA">
            <w:pPr>
              <w:keepNext/>
              <w:keepLines/>
              <w:tabs>
                <w:tab w:val="left" w:pos="284"/>
                <w:tab w:val="left" w:pos="8505"/>
              </w:tabs>
              <w:spacing w:before="40" w:after="20" w:line="240" w:lineRule="auto"/>
              <w:jc w:val="center"/>
              <w:rPr>
                <w:rFonts w:ascii="Calibri" w:eastAsia="MS Mincho" w:hAnsi="Calibri" w:cs="Calibri"/>
                <w:b/>
                <w:sz w:val="20"/>
                <w:szCs w:val="20"/>
                <w:lang w:val="en-US" w:eastAsia="zh-CN"/>
              </w:rPr>
            </w:pPr>
            <w:r w:rsidRPr="003630CA">
              <w:rPr>
                <w:rFonts w:ascii="Calibri" w:eastAsia="MS Mincho" w:hAnsi="Calibri" w:cs="Calibri"/>
                <w:b/>
                <w:sz w:val="20"/>
                <w:szCs w:val="20"/>
                <w:lang w:val="en-US" w:eastAsia="zh-CN"/>
              </w:rPr>
              <w:t>SUSTAIN</w:t>
            </w:r>
          </w:p>
          <w:p w14:paraId="64BDEA1A" w14:textId="77777777" w:rsidR="003630CA" w:rsidRPr="003630CA" w:rsidRDefault="003630CA" w:rsidP="003630CA">
            <w:pPr>
              <w:keepNext/>
              <w:keepLines/>
              <w:tabs>
                <w:tab w:val="left" w:pos="284"/>
                <w:tab w:val="left" w:pos="8505"/>
              </w:tabs>
              <w:spacing w:before="40" w:after="20" w:line="240" w:lineRule="auto"/>
              <w:jc w:val="center"/>
              <w:rPr>
                <w:rFonts w:ascii="Calibri" w:eastAsia="MS Mincho" w:hAnsi="Calibri" w:cs="Calibri"/>
                <w:b/>
                <w:sz w:val="20"/>
                <w:szCs w:val="20"/>
                <w:lang w:val="en-US" w:eastAsia="zh-CN"/>
              </w:rPr>
            </w:pPr>
            <w:r w:rsidRPr="003630CA">
              <w:rPr>
                <w:rFonts w:ascii="Calibri" w:eastAsia="MS Mincho" w:hAnsi="Calibri" w:cs="Calibri"/>
                <w:b/>
                <w:sz w:val="20"/>
                <w:szCs w:val="20"/>
                <w:lang w:val="en-US" w:eastAsia="zh-CN"/>
              </w:rPr>
              <w:t>ADAKVEO</w:t>
            </w:r>
            <w:r w:rsidRPr="003630CA" w:rsidDel="0009372E">
              <w:rPr>
                <w:rFonts w:ascii="Calibri" w:eastAsia="MS Mincho" w:hAnsi="Calibri" w:cs="Calibri"/>
                <w:b/>
                <w:sz w:val="20"/>
                <w:szCs w:val="20"/>
                <w:lang w:val="en-US" w:eastAsia="zh-CN"/>
              </w:rPr>
              <w:t xml:space="preserve"> </w:t>
            </w:r>
            <w:r w:rsidRPr="003630CA">
              <w:rPr>
                <w:rFonts w:ascii="Calibri" w:eastAsia="MS Mincho" w:hAnsi="Calibri" w:cs="Calibri"/>
                <w:b/>
                <w:sz w:val="20"/>
                <w:szCs w:val="20"/>
                <w:lang w:val="en-US" w:eastAsia="zh-CN"/>
              </w:rPr>
              <w:t>5 mg/kg</w:t>
            </w:r>
          </w:p>
          <w:p w14:paraId="64CACA20" w14:textId="77777777" w:rsidR="003630CA" w:rsidRPr="003630CA" w:rsidRDefault="003630CA" w:rsidP="003630CA">
            <w:pPr>
              <w:keepNext/>
              <w:keepLines/>
              <w:tabs>
                <w:tab w:val="left" w:pos="284"/>
                <w:tab w:val="left" w:pos="8505"/>
              </w:tabs>
              <w:spacing w:before="40" w:after="20" w:line="240" w:lineRule="auto"/>
              <w:jc w:val="center"/>
              <w:rPr>
                <w:rFonts w:ascii="Calibri" w:eastAsia="MS Mincho" w:hAnsi="Calibri" w:cs="Calibri"/>
                <w:b/>
                <w:sz w:val="20"/>
                <w:szCs w:val="20"/>
                <w:lang w:val="en-US" w:eastAsia="zh-CN"/>
              </w:rPr>
            </w:pPr>
            <w:r w:rsidRPr="003630CA">
              <w:rPr>
                <w:rFonts w:ascii="Calibri" w:eastAsia="MS Mincho" w:hAnsi="Calibri" w:cs="Calibri"/>
                <w:b/>
                <w:sz w:val="20"/>
                <w:szCs w:val="20"/>
                <w:lang w:val="en-US" w:eastAsia="zh-CN"/>
              </w:rPr>
              <w:t>N=66</w:t>
            </w:r>
          </w:p>
          <w:p w14:paraId="52B90FEE" w14:textId="77777777" w:rsidR="003630CA" w:rsidRPr="003630CA" w:rsidRDefault="003630CA" w:rsidP="003630CA">
            <w:pPr>
              <w:keepNext/>
              <w:keepLines/>
              <w:tabs>
                <w:tab w:val="left" w:pos="284"/>
                <w:tab w:val="left" w:pos="8505"/>
              </w:tabs>
              <w:spacing w:before="40" w:after="20" w:line="240" w:lineRule="auto"/>
              <w:jc w:val="center"/>
              <w:rPr>
                <w:rFonts w:ascii="Calibri" w:eastAsia="MS Mincho" w:hAnsi="Calibri" w:cs="Calibri"/>
                <w:b/>
                <w:sz w:val="20"/>
                <w:szCs w:val="20"/>
                <w:lang w:val="en-US" w:eastAsia="zh-CN"/>
              </w:rPr>
            </w:pPr>
            <w:proofErr w:type="gramStart"/>
            <w:r w:rsidRPr="003630CA">
              <w:rPr>
                <w:rFonts w:ascii="Calibri" w:eastAsia="MS Mincho" w:hAnsi="Calibri" w:cs="Calibri"/>
                <w:b/>
                <w:sz w:val="20"/>
                <w:szCs w:val="20"/>
                <w:lang w:val="en-US" w:eastAsia="zh-CN"/>
              </w:rPr>
              <w:t>n(</w:t>
            </w:r>
            <w:proofErr w:type="gramEnd"/>
            <w:r w:rsidRPr="003630CA">
              <w:rPr>
                <w:rFonts w:ascii="Calibri" w:eastAsia="MS Mincho" w:hAnsi="Calibri" w:cs="Calibri"/>
                <w:b/>
                <w:sz w:val="20"/>
                <w:szCs w:val="20"/>
                <w:lang w:val="en-US" w:eastAsia="zh-CN"/>
              </w:rPr>
              <w:t>%)</w:t>
            </w:r>
          </w:p>
        </w:tc>
        <w:tc>
          <w:tcPr>
            <w:tcW w:w="1559" w:type="dxa"/>
            <w:gridSpan w:val="2"/>
            <w:tcBorders>
              <w:bottom w:val="single" w:sz="4" w:space="0" w:color="auto"/>
            </w:tcBorders>
          </w:tcPr>
          <w:p w14:paraId="20A5034A" w14:textId="77777777" w:rsidR="003630CA" w:rsidRPr="003630CA" w:rsidRDefault="003630CA" w:rsidP="003630CA">
            <w:pPr>
              <w:keepNext/>
              <w:keepLines/>
              <w:tabs>
                <w:tab w:val="left" w:pos="284"/>
                <w:tab w:val="left" w:pos="8505"/>
              </w:tabs>
              <w:spacing w:before="40" w:after="20" w:line="240" w:lineRule="auto"/>
              <w:jc w:val="center"/>
              <w:rPr>
                <w:rFonts w:ascii="Calibri" w:eastAsia="MS Mincho" w:hAnsi="Calibri" w:cs="Calibri"/>
                <w:b/>
                <w:sz w:val="20"/>
                <w:szCs w:val="20"/>
                <w:lang w:val="en-US" w:eastAsia="zh-CN"/>
              </w:rPr>
            </w:pPr>
            <w:r w:rsidRPr="003630CA">
              <w:rPr>
                <w:rFonts w:ascii="Calibri" w:eastAsia="MS Mincho" w:hAnsi="Calibri" w:cs="Calibri"/>
                <w:b/>
                <w:sz w:val="20"/>
                <w:szCs w:val="20"/>
                <w:lang w:val="en-US" w:eastAsia="zh-CN"/>
              </w:rPr>
              <w:t>SUSTAIN</w:t>
            </w:r>
          </w:p>
          <w:p w14:paraId="757C01F3" w14:textId="77777777" w:rsidR="003630CA" w:rsidRPr="003630CA" w:rsidRDefault="003630CA" w:rsidP="003630CA">
            <w:pPr>
              <w:keepNext/>
              <w:keepLines/>
              <w:tabs>
                <w:tab w:val="left" w:pos="284"/>
                <w:tab w:val="left" w:pos="8505"/>
              </w:tabs>
              <w:spacing w:before="40" w:after="20" w:line="240" w:lineRule="auto"/>
              <w:jc w:val="center"/>
              <w:rPr>
                <w:rFonts w:ascii="Calibri" w:eastAsia="MS Mincho" w:hAnsi="Calibri" w:cs="Calibri"/>
                <w:b/>
                <w:sz w:val="20"/>
                <w:szCs w:val="20"/>
                <w:lang w:val="en-US" w:eastAsia="zh-CN"/>
              </w:rPr>
            </w:pPr>
            <w:r w:rsidRPr="003630CA">
              <w:rPr>
                <w:rFonts w:ascii="Calibri" w:eastAsia="MS Mincho" w:hAnsi="Calibri" w:cs="Calibri"/>
                <w:b/>
                <w:sz w:val="20"/>
                <w:szCs w:val="20"/>
                <w:lang w:val="en-US" w:eastAsia="zh-CN"/>
              </w:rPr>
              <w:t>Placebo</w:t>
            </w:r>
          </w:p>
          <w:p w14:paraId="3163BFD7" w14:textId="77777777" w:rsidR="003630CA" w:rsidRPr="003630CA" w:rsidRDefault="003630CA" w:rsidP="003630CA">
            <w:pPr>
              <w:keepNext/>
              <w:keepLines/>
              <w:tabs>
                <w:tab w:val="left" w:pos="284"/>
                <w:tab w:val="left" w:pos="8505"/>
              </w:tabs>
              <w:spacing w:before="40" w:after="20" w:line="240" w:lineRule="auto"/>
              <w:jc w:val="center"/>
              <w:rPr>
                <w:rFonts w:ascii="Calibri" w:eastAsia="MS Mincho" w:hAnsi="Calibri" w:cs="Calibri"/>
                <w:b/>
                <w:sz w:val="20"/>
                <w:szCs w:val="20"/>
                <w:lang w:val="en-US" w:eastAsia="zh-CN"/>
              </w:rPr>
            </w:pPr>
            <w:r w:rsidRPr="003630CA">
              <w:rPr>
                <w:rFonts w:ascii="Calibri" w:eastAsia="MS Mincho" w:hAnsi="Calibri" w:cs="Calibri"/>
                <w:b/>
                <w:sz w:val="20"/>
                <w:szCs w:val="20"/>
                <w:lang w:val="en-US" w:eastAsia="zh-CN"/>
              </w:rPr>
              <w:t>N=62</w:t>
            </w:r>
            <w:r w:rsidRPr="003630CA">
              <w:rPr>
                <w:rFonts w:ascii="Calibri" w:eastAsia="MS Mincho" w:hAnsi="Calibri" w:cs="Calibri"/>
                <w:b/>
                <w:sz w:val="20"/>
                <w:szCs w:val="20"/>
                <w:lang w:val="en-US" w:eastAsia="zh-CN"/>
              </w:rPr>
              <w:br/>
            </w:r>
            <w:proofErr w:type="gramStart"/>
            <w:r w:rsidRPr="003630CA">
              <w:rPr>
                <w:rFonts w:ascii="Calibri" w:eastAsia="MS Mincho" w:hAnsi="Calibri" w:cs="Calibri"/>
                <w:b/>
                <w:sz w:val="20"/>
                <w:szCs w:val="20"/>
                <w:lang w:val="en-US" w:eastAsia="zh-CN"/>
              </w:rPr>
              <w:t>n(</w:t>
            </w:r>
            <w:proofErr w:type="gramEnd"/>
            <w:r w:rsidRPr="003630CA">
              <w:rPr>
                <w:rFonts w:ascii="Calibri" w:eastAsia="MS Mincho" w:hAnsi="Calibri" w:cs="Calibri"/>
                <w:b/>
                <w:sz w:val="20"/>
                <w:szCs w:val="20"/>
                <w:lang w:val="en-US" w:eastAsia="zh-CN"/>
              </w:rPr>
              <w:t>%)</w:t>
            </w:r>
          </w:p>
        </w:tc>
        <w:tc>
          <w:tcPr>
            <w:tcW w:w="1843" w:type="dxa"/>
            <w:tcBorders>
              <w:bottom w:val="single" w:sz="4" w:space="0" w:color="auto"/>
            </w:tcBorders>
          </w:tcPr>
          <w:p w14:paraId="5AC3589F" w14:textId="77777777" w:rsidR="003630CA" w:rsidRPr="003630CA" w:rsidRDefault="003630CA" w:rsidP="003630CA">
            <w:pPr>
              <w:keepNext/>
              <w:keepLines/>
              <w:tabs>
                <w:tab w:val="left" w:pos="284"/>
                <w:tab w:val="left" w:pos="8505"/>
              </w:tabs>
              <w:spacing w:before="40" w:after="20" w:line="240" w:lineRule="auto"/>
              <w:jc w:val="center"/>
              <w:rPr>
                <w:rFonts w:ascii="Calibri" w:eastAsia="MS Mincho" w:hAnsi="Calibri" w:cs="Calibri"/>
                <w:b/>
                <w:sz w:val="20"/>
                <w:szCs w:val="20"/>
                <w:lang w:val="en-US" w:eastAsia="zh-CN"/>
              </w:rPr>
            </w:pPr>
            <w:r w:rsidRPr="003630CA">
              <w:rPr>
                <w:rFonts w:ascii="Calibri" w:eastAsia="MS Mincho" w:hAnsi="Calibri" w:cs="Calibri"/>
                <w:b/>
                <w:sz w:val="20"/>
                <w:szCs w:val="20"/>
                <w:lang w:val="en-US" w:eastAsia="zh-CN"/>
              </w:rPr>
              <w:t>Safety pool</w:t>
            </w:r>
          </w:p>
          <w:p w14:paraId="132BAA79" w14:textId="77777777" w:rsidR="003630CA" w:rsidRPr="003630CA" w:rsidRDefault="003630CA" w:rsidP="003630CA">
            <w:pPr>
              <w:keepNext/>
              <w:keepLines/>
              <w:tabs>
                <w:tab w:val="left" w:pos="284"/>
                <w:tab w:val="left" w:pos="8505"/>
              </w:tabs>
              <w:spacing w:before="40" w:after="20" w:line="240" w:lineRule="auto"/>
              <w:jc w:val="center"/>
              <w:rPr>
                <w:rFonts w:ascii="Calibri" w:eastAsia="MS Mincho" w:hAnsi="Calibri" w:cs="Calibri"/>
                <w:b/>
                <w:sz w:val="20"/>
                <w:szCs w:val="20"/>
                <w:lang w:val="en-US" w:eastAsia="zh-CN"/>
              </w:rPr>
            </w:pPr>
            <w:r w:rsidRPr="003630CA">
              <w:rPr>
                <w:rFonts w:ascii="Calibri" w:eastAsia="MS Mincho" w:hAnsi="Calibri" w:cs="Calibri"/>
                <w:b/>
                <w:sz w:val="20"/>
                <w:szCs w:val="20"/>
                <w:lang w:val="en-US" w:eastAsia="zh-CN"/>
              </w:rPr>
              <w:t>ADAKVEO 5 mg/kg</w:t>
            </w:r>
          </w:p>
          <w:p w14:paraId="0D37AE37" w14:textId="77777777" w:rsidR="003630CA" w:rsidRPr="003630CA" w:rsidRDefault="003630CA" w:rsidP="003630CA">
            <w:pPr>
              <w:keepNext/>
              <w:keepLines/>
              <w:tabs>
                <w:tab w:val="left" w:pos="284"/>
                <w:tab w:val="left" w:pos="8505"/>
              </w:tabs>
              <w:spacing w:before="40" w:after="20" w:line="240" w:lineRule="auto"/>
              <w:jc w:val="center"/>
              <w:rPr>
                <w:rFonts w:ascii="Calibri" w:eastAsia="MS Mincho" w:hAnsi="Calibri" w:cs="Calibri"/>
                <w:b/>
                <w:sz w:val="20"/>
                <w:szCs w:val="20"/>
                <w:lang w:val="en-US" w:eastAsia="zh-CN"/>
              </w:rPr>
            </w:pPr>
            <w:r w:rsidRPr="003630CA">
              <w:rPr>
                <w:rFonts w:ascii="Calibri" w:eastAsia="MS Mincho" w:hAnsi="Calibri" w:cs="Calibri"/>
                <w:b/>
                <w:sz w:val="20"/>
                <w:szCs w:val="20"/>
                <w:lang w:val="en-US" w:eastAsia="zh-CN"/>
              </w:rPr>
              <w:t>N=111</w:t>
            </w:r>
          </w:p>
          <w:p w14:paraId="2C2327AF" w14:textId="77777777" w:rsidR="003630CA" w:rsidRPr="003630CA" w:rsidRDefault="003630CA" w:rsidP="003630CA">
            <w:pPr>
              <w:keepNext/>
              <w:keepLines/>
              <w:tabs>
                <w:tab w:val="left" w:pos="284"/>
                <w:tab w:val="left" w:pos="8505"/>
              </w:tabs>
              <w:spacing w:before="40" w:after="20" w:line="240" w:lineRule="auto"/>
              <w:jc w:val="center"/>
              <w:rPr>
                <w:rFonts w:ascii="Calibri" w:eastAsia="MS Mincho" w:hAnsi="Calibri" w:cs="Calibri"/>
                <w:b/>
                <w:sz w:val="20"/>
                <w:szCs w:val="20"/>
                <w:lang w:val="en-US" w:eastAsia="zh-CN"/>
              </w:rPr>
            </w:pPr>
            <w:proofErr w:type="gramStart"/>
            <w:r w:rsidRPr="003630CA">
              <w:rPr>
                <w:rFonts w:ascii="Calibri" w:eastAsia="MS Mincho" w:hAnsi="Calibri" w:cs="Calibri"/>
                <w:b/>
                <w:sz w:val="20"/>
                <w:szCs w:val="20"/>
                <w:lang w:val="en-US" w:eastAsia="zh-CN"/>
              </w:rPr>
              <w:t>n(</w:t>
            </w:r>
            <w:proofErr w:type="gramEnd"/>
            <w:r w:rsidRPr="003630CA">
              <w:rPr>
                <w:rFonts w:ascii="Calibri" w:eastAsia="MS Mincho" w:hAnsi="Calibri" w:cs="Calibri"/>
                <w:b/>
                <w:sz w:val="20"/>
                <w:szCs w:val="20"/>
                <w:lang w:val="en-US" w:eastAsia="zh-CN"/>
              </w:rPr>
              <w:t>%)</w:t>
            </w:r>
          </w:p>
        </w:tc>
        <w:tc>
          <w:tcPr>
            <w:tcW w:w="1559" w:type="dxa"/>
            <w:tcBorders>
              <w:bottom w:val="single" w:sz="4" w:space="0" w:color="auto"/>
              <w:right w:val="nil"/>
            </w:tcBorders>
          </w:tcPr>
          <w:p w14:paraId="5BB624C9" w14:textId="77777777" w:rsidR="003630CA" w:rsidRPr="003630CA" w:rsidRDefault="003630CA" w:rsidP="003630CA">
            <w:pPr>
              <w:keepNext/>
              <w:keepLines/>
              <w:tabs>
                <w:tab w:val="left" w:pos="284"/>
                <w:tab w:val="left" w:pos="8505"/>
              </w:tabs>
              <w:spacing w:before="40" w:after="20" w:line="240" w:lineRule="auto"/>
              <w:rPr>
                <w:rFonts w:ascii="Calibri" w:eastAsia="MS Mincho" w:hAnsi="Calibri" w:cs="Calibri"/>
                <w:b/>
                <w:sz w:val="20"/>
                <w:szCs w:val="20"/>
                <w:lang w:val="en-US" w:eastAsia="zh-CN"/>
              </w:rPr>
            </w:pPr>
            <w:r w:rsidRPr="003630CA">
              <w:rPr>
                <w:rFonts w:ascii="Calibri" w:eastAsia="MS Mincho" w:hAnsi="Calibri" w:cs="Calibri"/>
                <w:b/>
                <w:sz w:val="20"/>
                <w:szCs w:val="20"/>
                <w:lang w:val="en-US" w:eastAsia="zh-CN"/>
              </w:rPr>
              <w:t>Frequency*</w:t>
            </w:r>
            <w:r w:rsidRPr="003630CA">
              <w:rPr>
                <w:rFonts w:ascii="Calibri" w:eastAsia="MS Mincho" w:hAnsi="Calibri" w:cs="Calibri"/>
                <w:b/>
                <w:sz w:val="20"/>
                <w:szCs w:val="20"/>
                <w:lang w:val="en-US" w:eastAsia="zh-CN"/>
              </w:rPr>
              <w:br/>
              <w:t>category</w:t>
            </w:r>
          </w:p>
        </w:tc>
      </w:tr>
      <w:tr w:rsidR="003630CA" w:rsidRPr="003630CA" w14:paraId="02EA1E67" w14:textId="77777777" w:rsidTr="006336AE">
        <w:trPr>
          <w:jc w:val="center"/>
        </w:trPr>
        <w:tc>
          <w:tcPr>
            <w:tcW w:w="9923" w:type="dxa"/>
            <w:gridSpan w:val="7"/>
            <w:tcBorders>
              <w:left w:val="nil"/>
              <w:bottom w:val="single" w:sz="4" w:space="0" w:color="auto"/>
              <w:right w:val="nil"/>
            </w:tcBorders>
          </w:tcPr>
          <w:p w14:paraId="3504597F" w14:textId="77777777" w:rsidR="003630CA" w:rsidRPr="003630CA" w:rsidRDefault="003630CA" w:rsidP="003630CA">
            <w:pPr>
              <w:keepNext/>
              <w:keepLines/>
              <w:tabs>
                <w:tab w:val="left" w:pos="284"/>
                <w:tab w:val="left" w:pos="8505"/>
              </w:tabs>
              <w:spacing w:before="40" w:after="20" w:line="240" w:lineRule="auto"/>
              <w:rPr>
                <w:rFonts w:ascii="Calibri" w:eastAsia="MS Mincho" w:hAnsi="Calibri" w:cs="Calibri"/>
                <w:b/>
                <w:sz w:val="20"/>
                <w:szCs w:val="20"/>
                <w:lang w:val="en-US" w:eastAsia="zh-CN"/>
              </w:rPr>
            </w:pPr>
            <w:r w:rsidRPr="003630CA">
              <w:rPr>
                <w:rFonts w:ascii="Calibri" w:eastAsia="MS Mincho" w:hAnsi="Calibri" w:cs="Calibri"/>
                <w:b/>
                <w:sz w:val="20"/>
                <w:szCs w:val="20"/>
                <w:lang w:val="en-US" w:eastAsia="zh-CN"/>
              </w:rPr>
              <w:t xml:space="preserve">Respiratory, </w:t>
            </w:r>
            <w:proofErr w:type="gramStart"/>
            <w:r w:rsidRPr="003630CA">
              <w:rPr>
                <w:rFonts w:ascii="Calibri" w:eastAsia="MS Mincho" w:hAnsi="Calibri" w:cs="Calibri"/>
                <w:b/>
                <w:sz w:val="20"/>
                <w:szCs w:val="20"/>
                <w:lang w:val="en-US" w:eastAsia="zh-CN"/>
              </w:rPr>
              <w:t>thoracic</w:t>
            </w:r>
            <w:proofErr w:type="gramEnd"/>
            <w:r w:rsidRPr="003630CA">
              <w:rPr>
                <w:rFonts w:ascii="Calibri" w:eastAsia="MS Mincho" w:hAnsi="Calibri" w:cs="Calibri"/>
                <w:b/>
                <w:sz w:val="20"/>
                <w:szCs w:val="20"/>
                <w:lang w:val="en-US" w:eastAsia="zh-CN"/>
              </w:rPr>
              <w:t xml:space="preserve"> and mediastinal disorders</w:t>
            </w:r>
          </w:p>
        </w:tc>
      </w:tr>
      <w:tr w:rsidR="003630CA" w:rsidRPr="003630CA" w14:paraId="4B2D823F" w14:textId="77777777" w:rsidTr="006336AE">
        <w:trPr>
          <w:jc w:val="center"/>
        </w:trPr>
        <w:tc>
          <w:tcPr>
            <w:tcW w:w="3119" w:type="dxa"/>
            <w:tcBorders>
              <w:top w:val="single" w:sz="4" w:space="0" w:color="auto"/>
              <w:left w:val="nil"/>
            </w:tcBorders>
            <w:vAlign w:val="center"/>
          </w:tcPr>
          <w:p w14:paraId="6A9D10E9" w14:textId="77777777" w:rsidR="003630CA" w:rsidRPr="003630CA" w:rsidRDefault="003630CA" w:rsidP="003630CA">
            <w:pPr>
              <w:keepNext/>
              <w:keepLines/>
              <w:tabs>
                <w:tab w:val="left" w:pos="284"/>
                <w:tab w:val="left" w:pos="8505"/>
              </w:tabs>
              <w:spacing w:before="40" w:after="20" w:line="240" w:lineRule="auto"/>
              <w:rPr>
                <w:rFonts w:ascii="Calibri" w:eastAsia="MS Mincho" w:hAnsi="Calibri" w:cs="Calibri"/>
                <w:b/>
                <w:bCs/>
                <w:sz w:val="20"/>
                <w:szCs w:val="20"/>
                <w:lang w:val="en-US" w:eastAsia="zh-CN"/>
              </w:rPr>
            </w:pPr>
            <w:r w:rsidRPr="003630CA">
              <w:rPr>
                <w:rFonts w:ascii="Calibri" w:eastAsia="MS Mincho" w:hAnsi="Calibri" w:cs="Calibri"/>
                <w:sz w:val="20"/>
                <w:szCs w:val="20"/>
                <w:lang w:val="en-US" w:eastAsia="zh-CN"/>
              </w:rPr>
              <w:t>Oropharyngeal pain</w:t>
            </w:r>
          </w:p>
        </w:tc>
        <w:tc>
          <w:tcPr>
            <w:tcW w:w="1843" w:type="dxa"/>
            <w:gridSpan w:val="2"/>
            <w:tcBorders>
              <w:top w:val="single" w:sz="4" w:space="0" w:color="auto"/>
            </w:tcBorders>
            <w:vAlign w:val="center"/>
          </w:tcPr>
          <w:p w14:paraId="269E9D08" w14:textId="77777777" w:rsidR="003630CA" w:rsidRPr="003630CA" w:rsidRDefault="003630CA" w:rsidP="003630CA">
            <w:pPr>
              <w:keepNext/>
              <w:keepLines/>
              <w:tabs>
                <w:tab w:val="left" w:pos="284"/>
                <w:tab w:val="left" w:pos="8505"/>
              </w:tabs>
              <w:spacing w:before="40" w:after="20" w:line="240" w:lineRule="auto"/>
              <w:jc w:val="center"/>
              <w:rPr>
                <w:rFonts w:ascii="Calibri" w:eastAsia="MS Mincho" w:hAnsi="Calibri" w:cs="Calibri"/>
                <w:b/>
                <w:sz w:val="20"/>
                <w:szCs w:val="20"/>
                <w:lang w:val="en-US" w:eastAsia="zh-CN"/>
              </w:rPr>
            </w:pPr>
            <w:r w:rsidRPr="003630CA">
              <w:rPr>
                <w:rFonts w:ascii="Calibri" w:eastAsia="MS Mincho" w:hAnsi="Calibri" w:cs="Calibri"/>
                <w:sz w:val="20"/>
                <w:szCs w:val="20"/>
                <w:lang w:val="en-US" w:eastAsia="zh-CN"/>
              </w:rPr>
              <w:t>4 (6.1)</w:t>
            </w:r>
          </w:p>
        </w:tc>
        <w:tc>
          <w:tcPr>
            <w:tcW w:w="1559" w:type="dxa"/>
            <w:gridSpan w:val="2"/>
            <w:tcBorders>
              <w:top w:val="single" w:sz="4" w:space="0" w:color="auto"/>
            </w:tcBorders>
            <w:vAlign w:val="center"/>
          </w:tcPr>
          <w:p w14:paraId="2DFAF2FB" w14:textId="77777777" w:rsidR="003630CA" w:rsidRPr="003630CA" w:rsidRDefault="003630CA" w:rsidP="003630CA">
            <w:pPr>
              <w:keepNext/>
              <w:keepLines/>
              <w:tabs>
                <w:tab w:val="left" w:pos="284"/>
                <w:tab w:val="left" w:pos="8505"/>
              </w:tabs>
              <w:spacing w:before="40" w:after="20" w:line="240" w:lineRule="auto"/>
              <w:jc w:val="center"/>
              <w:rPr>
                <w:rFonts w:ascii="Calibri" w:eastAsia="MS Mincho" w:hAnsi="Calibri" w:cs="Calibri"/>
                <w:b/>
                <w:sz w:val="20"/>
                <w:szCs w:val="20"/>
                <w:lang w:val="en-US" w:eastAsia="zh-CN"/>
              </w:rPr>
            </w:pPr>
            <w:r w:rsidRPr="003630CA">
              <w:rPr>
                <w:rFonts w:ascii="Calibri" w:eastAsia="MS Mincho" w:hAnsi="Calibri" w:cs="Calibri"/>
                <w:sz w:val="20"/>
                <w:szCs w:val="20"/>
                <w:lang w:val="en-US" w:eastAsia="zh-CN"/>
              </w:rPr>
              <w:t>1 (1.6)</w:t>
            </w:r>
          </w:p>
        </w:tc>
        <w:tc>
          <w:tcPr>
            <w:tcW w:w="1843" w:type="dxa"/>
            <w:tcBorders>
              <w:top w:val="single" w:sz="4" w:space="0" w:color="auto"/>
            </w:tcBorders>
          </w:tcPr>
          <w:p w14:paraId="0F484E12" w14:textId="77777777" w:rsidR="003630CA" w:rsidRPr="003630CA" w:rsidRDefault="003630CA" w:rsidP="003630CA">
            <w:pPr>
              <w:keepNext/>
              <w:keepLines/>
              <w:tabs>
                <w:tab w:val="left" w:pos="284"/>
                <w:tab w:val="left" w:pos="8505"/>
              </w:tabs>
              <w:spacing w:before="40" w:after="20" w:line="240" w:lineRule="auto"/>
              <w:jc w:val="center"/>
              <w:rPr>
                <w:rFonts w:ascii="Calibri" w:eastAsia="MS Mincho" w:hAnsi="Calibri" w:cs="Calibri"/>
                <w:b/>
                <w:sz w:val="20"/>
                <w:szCs w:val="20"/>
                <w:lang w:val="en-US" w:eastAsia="zh-CN"/>
              </w:rPr>
            </w:pPr>
            <w:r w:rsidRPr="003630CA">
              <w:rPr>
                <w:rFonts w:ascii="Calibri" w:eastAsia="MS Mincho" w:hAnsi="Calibri" w:cs="Calibri"/>
                <w:sz w:val="20"/>
                <w:szCs w:val="20"/>
                <w:lang w:val="en-US" w:eastAsia="zh-CN"/>
              </w:rPr>
              <w:t>5 (4.5)</w:t>
            </w:r>
          </w:p>
        </w:tc>
        <w:tc>
          <w:tcPr>
            <w:tcW w:w="1559" w:type="dxa"/>
            <w:tcBorders>
              <w:top w:val="single" w:sz="4" w:space="0" w:color="auto"/>
              <w:right w:val="nil"/>
            </w:tcBorders>
            <w:vAlign w:val="center"/>
          </w:tcPr>
          <w:p w14:paraId="63E7B592" w14:textId="77777777" w:rsidR="003630CA" w:rsidRPr="003630CA" w:rsidRDefault="003630CA" w:rsidP="003630CA">
            <w:pPr>
              <w:keepNext/>
              <w:keepLines/>
              <w:tabs>
                <w:tab w:val="left" w:pos="284"/>
                <w:tab w:val="left" w:pos="8505"/>
              </w:tabs>
              <w:spacing w:before="40" w:after="20" w:line="240" w:lineRule="auto"/>
              <w:rPr>
                <w:rFonts w:ascii="Calibri" w:eastAsia="MS Mincho" w:hAnsi="Calibri" w:cs="Calibri"/>
                <w:b/>
                <w:sz w:val="20"/>
                <w:szCs w:val="20"/>
                <w:lang w:val="en-US" w:eastAsia="zh-CN"/>
              </w:rPr>
            </w:pPr>
            <w:r w:rsidRPr="003630CA">
              <w:rPr>
                <w:rFonts w:ascii="Calibri" w:eastAsia="MS Mincho" w:hAnsi="Calibri" w:cs="Calibri"/>
                <w:sz w:val="20"/>
                <w:szCs w:val="20"/>
                <w:lang w:val="en-US" w:eastAsia="zh-CN"/>
              </w:rPr>
              <w:t>common</w:t>
            </w:r>
          </w:p>
        </w:tc>
      </w:tr>
      <w:tr w:rsidR="003630CA" w:rsidRPr="003630CA" w14:paraId="6040163D" w14:textId="77777777" w:rsidTr="006336AE">
        <w:trPr>
          <w:gridAfter w:val="5"/>
          <w:wAfter w:w="5812" w:type="dxa"/>
          <w:jc w:val="center"/>
        </w:trPr>
        <w:tc>
          <w:tcPr>
            <w:tcW w:w="4111" w:type="dxa"/>
            <w:gridSpan w:val="2"/>
            <w:tcBorders>
              <w:left w:val="nil"/>
              <w:right w:val="nil"/>
            </w:tcBorders>
          </w:tcPr>
          <w:p w14:paraId="2BEA8D6B" w14:textId="77777777" w:rsidR="003630CA" w:rsidRPr="003630CA" w:rsidRDefault="003630CA" w:rsidP="003630CA">
            <w:pPr>
              <w:keepNext/>
              <w:keepLines/>
              <w:tabs>
                <w:tab w:val="left" w:pos="284"/>
                <w:tab w:val="left" w:pos="8505"/>
              </w:tabs>
              <w:spacing w:before="40" w:after="20" w:line="240" w:lineRule="auto"/>
              <w:rPr>
                <w:rFonts w:ascii="Calibri" w:eastAsia="MS Mincho" w:hAnsi="Calibri" w:cs="Calibri"/>
                <w:b/>
                <w:bCs/>
                <w:sz w:val="20"/>
                <w:szCs w:val="20"/>
                <w:lang w:val="en-US" w:eastAsia="zh-CN"/>
              </w:rPr>
            </w:pPr>
            <w:r w:rsidRPr="003630CA">
              <w:rPr>
                <w:rFonts w:ascii="Calibri" w:eastAsia="MS Mincho" w:hAnsi="Calibri" w:cs="Calibri"/>
                <w:b/>
                <w:bCs/>
                <w:sz w:val="20"/>
                <w:szCs w:val="20"/>
                <w:lang w:val="en-US" w:eastAsia="zh-CN"/>
              </w:rPr>
              <w:t>Gastrointestinal disorders</w:t>
            </w:r>
          </w:p>
        </w:tc>
      </w:tr>
      <w:tr w:rsidR="003630CA" w:rsidRPr="003630CA" w14:paraId="7D3CD1D1" w14:textId="77777777" w:rsidTr="006336AE">
        <w:trPr>
          <w:jc w:val="center"/>
        </w:trPr>
        <w:tc>
          <w:tcPr>
            <w:tcW w:w="3119" w:type="dxa"/>
            <w:tcBorders>
              <w:left w:val="nil"/>
            </w:tcBorders>
            <w:vAlign w:val="center"/>
          </w:tcPr>
          <w:p w14:paraId="15A2103C" w14:textId="77777777" w:rsidR="003630CA" w:rsidRPr="003630CA" w:rsidRDefault="003630CA" w:rsidP="003630CA">
            <w:pPr>
              <w:keepNext/>
              <w:keepLines/>
              <w:tabs>
                <w:tab w:val="left" w:pos="284"/>
                <w:tab w:val="left" w:pos="8505"/>
              </w:tabs>
              <w:spacing w:before="40" w:after="20" w:line="240" w:lineRule="auto"/>
              <w:rPr>
                <w:rFonts w:ascii="Calibri" w:eastAsia="MS Mincho" w:hAnsi="Calibri" w:cs="Calibri"/>
                <w:sz w:val="20"/>
                <w:szCs w:val="20"/>
                <w:highlight w:val="lightGray"/>
                <w:lang w:val="en-US" w:eastAsia="zh-CN"/>
              </w:rPr>
            </w:pPr>
            <w:r w:rsidRPr="003630CA">
              <w:rPr>
                <w:rFonts w:ascii="Calibri" w:eastAsia="MS Mincho" w:hAnsi="Calibri" w:cs="Calibri"/>
                <w:sz w:val="20"/>
                <w:szCs w:val="20"/>
                <w:lang w:val="en-US" w:eastAsia="zh-CN"/>
              </w:rPr>
              <w:t>Nausea</w:t>
            </w:r>
          </w:p>
        </w:tc>
        <w:tc>
          <w:tcPr>
            <w:tcW w:w="1843" w:type="dxa"/>
            <w:gridSpan w:val="2"/>
            <w:vAlign w:val="center"/>
          </w:tcPr>
          <w:p w14:paraId="05557AC2" w14:textId="77777777" w:rsidR="003630CA" w:rsidRPr="003630CA" w:rsidRDefault="003630CA" w:rsidP="003630CA">
            <w:pPr>
              <w:keepNext/>
              <w:keepLines/>
              <w:tabs>
                <w:tab w:val="left" w:pos="284"/>
                <w:tab w:val="left" w:pos="8505"/>
              </w:tabs>
              <w:spacing w:before="40" w:after="20" w:line="240" w:lineRule="auto"/>
              <w:jc w:val="center"/>
              <w:rPr>
                <w:rFonts w:ascii="Calibri" w:eastAsia="MS Mincho" w:hAnsi="Calibri" w:cs="Calibri"/>
                <w:sz w:val="20"/>
                <w:szCs w:val="20"/>
                <w:highlight w:val="lightGray"/>
                <w:lang w:val="en-US" w:eastAsia="zh-CN"/>
              </w:rPr>
            </w:pPr>
            <w:r w:rsidRPr="003630CA">
              <w:rPr>
                <w:rFonts w:ascii="Calibri" w:eastAsia="MS Mincho" w:hAnsi="Calibri" w:cs="Calibri"/>
                <w:sz w:val="20"/>
                <w:szCs w:val="20"/>
                <w:lang w:val="en-US" w:eastAsia="zh-CN"/>
              </w:rPr>
              <w:t>12 (18.2)</w:t>
            </w:r>
          </w:p>
        </w:tc>
        <w:tc>
          <w:tcPr>
            <w:tcW w:w="1559" w:type="dxa"/>
            <w:gridSpan w:val="2"/>
            <w:vAlign w:val="center"/>
          </w:tcPr>
          <w:p w14:paraId="3B53175A" w14:textId="77777777" w:rsidR="003630CA" w:rsidRPr="003630CA" w:rsidRDefault="003630CA" w:rsidP="003630CA">
            <w:pPr>
              <w:keepNext/>
              <w:keepLines/>
              <w:tabs>
                <w:tab w:val="left" w:pos="284"/>
                <w:tab w:val="left" w:pos="8505"/>
              </w:tabs>
              <w:spacing w:before="40" w:after="20" w:line="240" w:lineRule="auto"/>
              <w:jc w:val="center"/>
              <w:rPr>
                <w:rFonts w:ascii="Calibri" w:eastAsia="MS Mincho" w:hAnsi="Calibri" w:cs="Calibri"/>
                <w:sz w:val="20"/>
                <w:szCs w:val="20"/>
                <w:highlight w:val="lightGray"/>
                <w:lang w:val="en-US" w:eastAsia="zh-CN"/>
              </w:rPr>
            </w:pPr>
            <w:r w:rsidRPr="003630CA">
              <w:rPr>
                <w:rFonts w:ascii="Calibri" w:eastAsia="MS Mincho" w:hAnsi="Calibri" w:cs="Calibri"/>
                <w:sz w:val="20"/>
                <w:szCs w:val="20"/>
                <w:lang w:val="en-US" w:eastAsia="zh-CN"/>
              </w:rPr>
              <w:t>7 (11.3)</w:t>
            </w:r>
          </w:p>
        </w:tc>
        <w:tc>
          <w:tcPr>
            <w:tcW w:w="1843" w:type="dxa"/>
          </w:tcPr>
          <w:p w14:paraId="7DB3BE58" w14:textId="77777777" w:rsidR="003630CA" w:rsidRPr="003630CA" w:rsidRDefault="003630CA" w:rsidP="003630CA">
            <w:pPr>
              <w:keepNext/>
              <w:keepLines/>
              <w:tabs>
                <w:tab w:val="left" w:pos="284"/>
                <w:tab w:val="left" w:pos="8505"/>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18 (16.2)</w:t>
            </w:r>
          </w:p>
        </w:tc>
        <w:tc>
          <w:tcPr>
            <w:tcW w:w="1559" w:type="dxa"/>
            <w:tcBorders>
              <w:right w:val="nil"/>
            </w:tcBorders>
            <w:vAlign w:val="center"/>
          </w:tcPr>
          <w:p w14:paraId="739A3053" w14:textId="77777777" w:rsidR="003630CA" w:rsidRPr="003630CA" w:rsidRDefault="003630CA" w:rsidP="003630CA">
            <w:pPr>
              <w:keepNext/>
              <w:keepLines/>
              <w:tabs>
                <w:tab w:val="left" w:pos="284"/>
                <w:tab w:val="left" w:pos="8505"/>
              </w:tabs>
              <w:spacing w:before="40" w:after="20" w:line="240" w:lineRule="auto"/>
              <w:rPr>
                <w:rFonts w:ascii="Calibri" w:eastAsia="MS Mincho" w:hAnsi="Calibri" w:cs="Calibri"/>
                <w:sz w:val="20"/>
                <w:szCs w:val="20"/>
                <w:highlight w:val="lightGray"/>
                <w:lang w:val="en-US" w:eastAsia="zh-CN"/>
              </w:rPr>
            </w:pPr>
            <w:r w:rsidRPr="003630CA">
              <w:rPr>
                <w:rFonts w:ascii="Calibri" w:eastAsia="MS Mincho" w:hAnsi="Calibri" w:cs="Calibri"/>
                <w:sz w:val="20"/>
                <w:szCs w:val="20"/>
                <w:lang w:val="en-US" w:eastAsia="zh-CN"/>
              </w:rPr>
              <w:t>very common</w:t>
            </w:r>
          </w:p>
        </w:tc>
      </w:tr>
      <w:tr w:rsidR="003630CA" w:rsidRPr="003630CA" w14:paraId="79A63D4F" w14:textId="77777777" w:rsidTr="006336AE">
        <w:trPr>
          <w:jc w:val="center"/>
        </w:trPr>
        <w:tc>
          <w:tcPr>
            <w:tcW w:w="3119" w:type="dxa"/>
            <w:tcBorders>
              <w:left w:val="nil"/>
            </w:tcBorders>
            <w:vAlign w:val="center"/>
          </w:tcPr>
          <w:p w14:paraId="214A2DE6" w14:textId="77777777" w:rsidR="003630CA" w:rsidRPr="003630CA" w:rsidRDefault="003630CA" w:rsidP="003630CA">
            <w:pPr>
              <w:keepLines/>
              <w:tabs>
                <w:tab w:val="left" w:pos="284"/>
                <w:tab w:val="left" w:pos="8505"/>
              </w:tabs>
              <w:spacing w:before="40" w:after="20" w:line="240" w:lineRule="auto"/>
              <w:ind w:left="284" w:hanging="284"/>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Abdominal pain**</w:t>
            </w:r>
          </w:p>
        </w:tc>
        <w:tc>
          <w:tcPr>
            <w:tcW w:w="1843" w:type="dxa"/>
            <w:gridSpan w:val="2"/>
            <w:vAlign w:val="center"/>
          </w:tcPr>
          <w:p w14:paraId="35CF847B"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8 (12.1)</w:t>
            </w:r>
          </w:p>
        </w:tc>
        <w:tc>
          <w:tcPr>
            <w:tcW w:w="1559" w:type="dxa"/>
            <w:gridSpan w:val="2"/>
            <w:vAlign w:val="center"/>
          </w:tcPr>
          <w:p w14:paraId="751A37CD"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3 (4.8)</w:t>
            </w:r>
          </w:p>
        </w:tc>
        <w:tc>
          <w:tcPr>
            <w:tcW w:w="1843" w:type="dxa"/>
          </w:tcPr>
          <w:p w14:paraId="09DB9A81"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12 (10.8)</w:t>
            </w:r>
          </w:p>
        </w:tc>
        <w:tc>
          <w:tcPr>
            <w:tcW w:w="1559" w:type="dxa"/>
            <w:tcBorders>
              <w:right w:val="nil"/>
            </w:tcBorders>
            <w:vAlign w:val="center"/>
          </w:tcPr>
          <w:p w14:paraId="48C2F10C" w14:textId="77777777" w:rsidR="003630CA" w:rsidRPr="003630CA" w:rsidRDefault="003630CA" w:rsidP="003630CA">
            <w:pPr>
              <w:keepLines/>
              <w:tabs>
                <w:tab w:val="left" w:pos="284"/>
                <w:tab w:val="left" w:pos="8505"/>
              </w:tabs>
              <w:spacing w:before="40" w:after="20" w:line="240" w:lineRule="auto"/>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very common</w:t>
            </w:r>
          </w:p>
        </w:tc>
      </w:tr>
      <w:tr w:rsidR="003630CA" w:rsidRPr="003630CA" w14:paraId="4604F4A6" w14:textId="77777777" w:rsidTr="006336AE">
        <w:trPr>
          <w:jc w:val="center"/>
        </w:trPr>
        <w:tc>
          <w:tcPr>
            <w:tcW w:w="3119" w:type="dxa"/>
            <w:tcBorders>
              <w:left w:val="nil"/>
            </w:tcBorders>
            <w:vAlign w:val="center"/>
          </w:tcPr>
          <w:p w14:paraId="798B0BBD" w14:textId="77777777" w:rsidR="003630CA" w:rsidRPr="003630CA" w:rsidRDefault="003630CA" w:rsidP="003630CA">
            <w:pPr>
              <w:keepNext/>
              <w:keepLines/>
              <w:tabs>
                <w:tab w:val="left" w:pos="284"/>
                <w:tab w:val="left" w:pos="8505"/>
              </w:tabs>
              <w:spacing w:before="40" w:after="20" w:line="240" w:lineRule="auto"/>
              <w:rPr>
                <w:rFonts w:ascii="Calibri" w:eastAsia="MS Mincho" w:hAnsi="Calibri" w:cs="Calibri"/>
                <w:sz w:val="20"/>
                <w:szCs w:val="20"/>
                <w:highlight w:val="lightGray"/>
                <w:lang w:val="en-US" w:eastAsia="zh-CN"/>
              </w:rPr>
            </w:pPr>
            <w:proofErr w:type="spellStart"/>
            <w:r w:rsidRPr="003630CA">
              <w:rPr>
                <w:rFonts w:ascii="Calibri" w:eastAsia="MS Mincho" w:hAnsi="Calibri" w:cs="Calibri"/>
                <w:sz w:val="20"/>
                <w:szCs w:val="20"/>
                <w:lang w:val="en-US" w:eastAsia="zh-CN"/>
              </w:rPr>
              <w:t>Diarrhoea</w:t>
            </w:r>
            <w:proofErr w:type="spellEnd"/>
          </w:p>
        </w:tc>
        <w:tc>
          <w:tcPr>
            <w:tcW w:w="1843" w:type="dxa"/>
            <w:gridSpan w:val="2"/>
            <w:vAlign w:val="center"/>
          </w:tcPr>
          <w:p w14:paraId="664E3E3B" w14:textId="77777777" w:rsidR="003630CA" w:rsidRPr="003630CA" w:rsidRDefault="003630CA" w:rsidP="003630CA">
            <w:pPr>
              <w:keepNext/>
              <w:keepLines/>
              <w:tabs>
                <w:tab w:val="left" w:pos="284"/>
                <w:tab w:val="left" w:pos="8505"/>
              </w:tabs>
              <w:spacing w:before="40" w:after="20" w:line="240" w:lineRule="auto"/>
              <w:jc w:val="center"/>
              <w:rPr>
                <w:rFonts w:ascii="Calibri" w:eastAsia="MS Mincho" w:hAnsi="Calibri" w:cs="Calibri"/>
                <w:sz w:val="20"/>
                <w:szCs w:val="20"/>
                <w:highlight w:val="lightGray"/>
                <w:lang w:val="en-US" w:eastAsia="zh-CN"/>
              </w:rPr>
            </w:pPr>
            <w:r w:rsidRPr="003630CA">
              <w:rPr>
                <w:rFonts w:ascii="Calibri" w:eastAsia="MS Mincho" w:hAnsi="Calibri" w:cs="Calibri"/>
                <w:sz w:val="20"/>
                <w:szCs w:val="20"/>
                <w:lang w:val="en-US" w:eastAsia="zh-CN"/>
              </w:rPr>
              <w:t>7 (10.6)</w:t>
            </w:r>
          </w:p>
        </w:tc>
        <w:tc>
          <w:tcPr>
            <w:tcW w:w="1559" w:type="dxa"/>
            <w:gridSpan w:val="2"/>
            <w:vAlign w:val="center"/>
          </w:tcPr>
          <w:p w14:paraId="62B63EEA" w14:textId="77777777" w:rsidR="003630CA" w:rsidRPr="003630CA" w:rsidRDefault="003630CA" w:rsidP="003630CA">
            <w:pPr>
              <w:keepNext/>
              <w:keepLines/>
              <w:tabs>
                <w:tab w:val="left" w:pos="284"/>
                <w:tab w:val="left" w:pos="8505"/>
              </w:tabs>
              <w:spacing w:before="40" w:after="20" w:line="240" w:lineRule="auto"/>
              <w:jc w:val="center"/>
              <w:rPr>
                <w:rFonts w:ascii="Calibri" w:eastAsia="MS Mincho" w:hAnsi="Calibri" w:cs="Calibri"/>
                <w:sz w:val="20"/>
                <w:szCs w:val="20"/>
                <w:highlight w:val="lightGray"/>
                <w:lang w:val="en-US" w:eastAsia="zh-CN"/>
              </w:rPr>
            </w:pPr>
            <w:r w:rsidRPr="003630CA">
              <w:rPr>
                <w:rFonts w:ascii="Calibri" w:eastAsia="MS Mincho" w:hAnsi="Calibri" w:cs="Calibri"/>
                <w:sz w:val="20"/>
                <w:szCs w:val="20"/>
                <w:lang w:val="en-US" w:eastAsia="zh-CN"/>
              </w:rPr>
              <w:t>2 (3.2)</w:t>
            </w:r>
          </w:p>
        </w:tc>
        <w:tc>
          <w:tcPr>
            <w:tcW w:w="1843" w:type="dxa"/>
          </w:tcPr>
          <w:p w14:paraId="04987CEA" w14:textId="77777777" w:rsidR="003630CA" w:rsidRPr="003630CA" w:rsidRDefault="003630CA" w:rsidP="003630CA">
            <w:pPr>
              <w:keepNext/>
              <w:keepLines/>
              <w:tabs>
                <w:tab w:val="left" w:pos="284"/>
                <w:tab w:val="left" w:pos="8505"/>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10 (9.0)</w:t>
            </w:r>
          </w:p>
        </w:tc>
        <w:tc>
          <w:tcPr>
            <w:tcW w:w="1559" w:type="dxa"/>
            <w:tcBorders>
              <w:right w:val="nil"/>
            </w:tcBorders>
            <w:vAlign w:val="center"/>
          </w:tcPr>
          <w:p w14:paraId="68FCD1AE" w14:textId="77777777" w:rsidR="003630CA" w:rsidRPr="003630CA" w:rsidRDefault="003630CA" w:rsidP="003630CA">
            <w:pPr>
              <w:keepNext/>
              <w:keepLines/>
              <w:tabs>
                <w:tab w:val="left" w:pos="284"/>
                <w:tab w:val="left" w:pos="8505"/>
              </w:tabs>
              <w:spacing w:before="40" w:after="20" w:line="240" w:lineRule="auto"/>
              <w:rPr>
                <w:rFonts w:ascii="Calibri" w:eastAsia="MS Mincho" w:hAnsi="Calibri" w:cs="Calibri"/>
                <w:sz w:val="20"/>
                <w:szCs w:val="20"/>
                <w:highlight w:val="lightGray"/>
                <w:lang w:val="en-US" w:eastAsia="zh-CN"/>
              </w:rPr>
            </w:pPr>
            <w:r w:rsidRPr="003630CA">
              <w:rPr>
                <w:rFonts w:ascii="Calibri" w:eastAsia="MS Mincho" w:hAnsi="Calibri" w:cs="Calibri"/>
                <w:sz w:val="20"/>
                <w:szCs w:val="20"/>
                <w:lang w:val="en-US" w:eastAsia="zh-CN"/>
              </w:rPr>
              <w:t>common</w:t>
            </w:r>
          </w:p>
        </w:tc>
      </w:tr>
      <w:tr w:rsidR="003630CA" w:rsidRPr="003630CA" w14:paraId="45FE5A6C" w14:textId="77777777" w:rsidTr="006336AE">
        <w:trPr>
          <w:jc w:val="center"/>
        </w:trPr>
        <w:tc>
          <w:tcPr>
            <w:tcW w:w="3119" w:type="dxa"/>
            <w:tcBorders>
              <w:left w:val="nil"/>
              <w:bottom w:val="single" w:sz="4" w:space="0" w:color="auto"/>
            </w:tcBorders>
            <w:vAlign w:val="center"/>
          </w:tcPr>
          <w:p w14:paraId="472A687C" w14:textId="77777777" w:rsidR="003630CA" w:rsidRPr="003630CA" w:rsidRDefault="003630CA" w:rsidP="003630CA">
            <w:pPr>
              <w:keepLines/>
              <w:tabs>
                <w:tab w:val="left" w:pos="284"/>
                <w:tab w:val="left" w:pos="8505"/>
              </w:tabs>
              <w:spacing w:before="40" w:after="20" w:line="240" w:lineRule="auto"/>
              <w:rPr>
                <w:rFonts w:ascii="Calibri" w:eastAsia="MS Mincho" w:hAnsi="Calibri" w:cs="Calibri"/>
                <w:sz w:val="20"/>
                <w:szCs w:val="20"/>
                <w:highlight w:val="lightGray"/>
                <w:lang w:val="en-US" w:eastAsia="zh-CN"/>
              </w:rPr>
            </w:pPr>
            <w:r w:rsidRPr="003630CA">
              <w:rPr>
                <w:rFonts w:ascii="Calibri" w:eastAsia="MS Mincho" w:hAnsi="Calibri" w:cs="Calibri"/>
                <w:sz w:val="20"/>
                <w:szCs w:val="20"/>
                <w:lang w:val="en-US" w:eastAsia="zh-CN"/>
              </w:rPr>
              <w:t>Vomiting</w:t>
            </w:r>
          </w:p>
        </w:tc>
        <w:tc>
          <w:tcPr>
            <w:tcW w:w="1843" w:type="dxa"/>
            <w:gridSpan w:val="2"/>
            <w:tcBorders>
              <w:bottom w:val="single" w:sz="4" w:space="0" w:color="auto"/>
            </w:tcBorders>
            <w:vAlign w:val="center"/>
          </w:tcPr>
          <w:p w14:paraId="40F73144"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highlight w:val="lightGray"/>
                <w:lang w:val="en-US" w:eastAsia="zh-CN"/>
              </w:rPr>
            </w:pPr>
            <w:r w:rsidRPr="003630CA">
              <w:rPr>
                <w:rFonts w:ascii="Calibri" w:eastAsia="MS Mincho" w:hAnsi="Calibri" w:cs="Calibri"/>
                <w:sz w:val="20"/>
                <w:szCs w:val="20"/>
                <w:lang w:val="en-US" w:eastAsia="zh-CN"/>
              </w:rPr>
              <w:t>5 (7.6)</w:t>
            </w:r>
          </w:p>
        </w:tc>
        <w:tc>
          <w:tcPr>
            <w:tcW w:w="1559" w:type="dxa"/>
            <w:gridSpan w:val="2"/>
            <w:tcBorders>
              <w:bottom w:val="single" w:sz="4" w:space="0" w:color="auto"/>
            </w:tcBorders>
            <w:vAlign w:val="center"/>
          </w:tcPr>
          <w:p w14:paraId="6629DDD6"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highlight w:val="lightGray"/>
                <w:lang w:val="en-US" w:eastAsia="zh-CN"/>
              </w:rPr>
            </w:pPr>
            <w:r w:rsidRPr="003630CA">
              <w:rPr>
                <w:rFonts w:ascii="Calibri" w:eastAsia="MS Mincho" w:hAnsi="Calibri" w:cs="Calibri"/>
                <w:sz w:val="20"/>
                <w:szCs w:val="20"/>
                <w:lang w:val="en-US" w:eastAsia="zh-CN"/>
              </w:rPr>
              <w:t>3 (4.8)</w:t>
            </w:r>
          </w:p>
        </w:tc>
        <w:tc>
          <w:tcPr>
            <w:tcW w:w="1843" w:type="dxa"/>
            <w:tcBorders>
              <w:bottom w:val="single" w:sz="4" w:space="0" w:color="auto"/>
            </w:tcBorders>
          </w:tcPr>
          <w:p w14:paraId="6F30364D"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7 (6.3)</w:t>
            </w:r>
          </w:p>
        </w:tc>
        <w:tc>
          <w:tcPr>
            <w:tcW w:w="1559" w:type="dxa"/>
            <w:tcBorders>
              <w:bottom w:val="single" w:sz="4" w:space="0" w:color="auto"/>
              <w:right w:val="nil"/>
            </w:tcBorders>
            <w:vAlign w:val="center"/>
          </w:tcPr>
          <w:p w14:paraId="27A026D4" w14:textId="77777777" w:rsidR="003630CA" w:rsidRPr="003630CA" w:rsidRDefault="003630CA" w:rsidP="003630CA">
            <w:pPr>
              <w:keepLines/>
              <w:tabs>
                <w:tab w:val="left" w:pos="284"/>
                <w:tab w:val="left" w:pos="8505"/>
              </w:tabs>
              <w:spacing w:before="40" w:after="20" w:line="240" w:lineRule="auto"/>
              <w:rPr>
                <w:rFonts w:ascii="Calibri" w:eastAsia="MS Mincho" w:hAnsi="Calibri" w:cs="Calibri"/>
                <w:sz w:val="20"/>
                <w:szCs w:val="20"/>
                <w:highlight w:val="lightGray"/>
                <w:lang w:val="en-US" w:eastAsia="zh-CN"/>
              </w:rPr>
            </w:pPr>
            <w:r w:rsidRPr="003630CA">
              <w:rPr>
                <w:rFonts w:ascii="Calibri" w:eastAsia="MS Mincho" w:hAnsi="Calibri" w:cs="Calibri"/>
                <w:sz w:val="20"/>
                <w:szCs w:val="20"/>
                <w:lang w:val="en-US" w:eastAsia="zh-CN"/>
              </w:rPr>
              <w:t>common</w:t>
            </w:r>
          </w:p>
        </w:tc>
      </w:tr>
      <w:tr w:rsidR="003630CA" w:rsidRPr="003630CA" w14:paraId="27B0F2B9" w14:textId="77777777" w:rsidTr="006336AE">
        <w:trPr>
          <w:jc w:val="center"/>
        </w:trPr>
        <w:tc>
          <w:tcPr>
            <w:tcW w:w="9923" w:type="dxa"/>
            <w:gridSpan w:val="7"/>
            <w:tcBorders>
              <w:left w:val="nil"/>
              <w:right w:val="nil"/>
            </w:tcBorders>
            <w:vAlign w:val="center"/>
          </w:tcPr>
          <w:p w14:paraId="49DFBF0B" w14:textId="77777777" w:rsidR="003630CA" w:rsidRPr="003630CA" w:rsidRDefault="003630CA" w:rsidP="003630CA">
            <w:pPr>
              <w:keepLines/>
              <w:tabs>
                <w:tab w:val="left" w:pos="284"/>
                <w:tab w:val="left" w:pos="8505"/>
              </w:tabs>
              <w:spacing w:before="40" w:after="20" w:line="240" w:lineRule="auto"/>
              <w:rPr>
                <w:rFonts w:ascii="Calibri" w:eastAsia="MS Mincho" w:hAnsi="Calibri" w:cs="Calibri"/>
                <w:sz w:val="20"/>
                <w:szCs w:val="20"/>
                <w:lang w:val="en-US" w:eastAsia="zh-CN"/>
              </w:rPr>
            </w:pPr>
            <w:r w:rsidRPr="003630CA">
              <w:rPr>
                <w:rFonts w:ascii="Calibri" w:eastAsia="MS Mincho" w:hAnsi="Calibri" w:cs="Calibri"/>
                <w:b/>
                <w:bCs/>
                <w:sz w:val="20"/>
                <w:szCs w:val="20"/>
                <w:lang w:val="en-US" w:eastAsia="zh-CN"/>
              </w:rPr>
              <w:t>Skin and subcutaneous tissue disorders</w:t>
            </w:r>
          </w:p>
        </w:tc>
      </w:tr>
      <w:tr w:rsidR="003630CA" w:rsidRPr="003630CA" w14:paraId="12C42FE4" w14:textId="77777777" w:rsidTr="006336AE">
        <w:trPr>
          <w:jc w:val="center"/>
        </w:trPr>
        <w:tc>
          <w:tcPr>
            <w:tcW w:w="3119" w:type="dxa"/>
            <w:tcBorders>
              <w:left w:val="nil"/>
              <w:bottom w:val="single" w:sz="4" w:space="0" w:color="auto"/>
            </w:tcBorders>
            <w:vAlign w:val="center"/>
          </w:tcPr>
          <w:p w14:paraId="4A5C61FF" w14:textId="77777777" w:rsidR="003630CA" w:rsidRPr="003630CA" w:rsidRDefault="003630CA" w:rsidP="003630CA">
            <w:pPr>
              <w:keepLines/>
              <w:tabs>
                <w:tab w:val="left" w:pos="284"/>
                <w:tab w:val="left" w:pos="8505"/>
              </w:tabs>
              <w:spacing w:before="40" w:after="20" w:line="240" w:lineRule="auto"/>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Pruritus</w:t>
            </w:r>
            <w:r w:rsidRPr="003630CA">
              <w:rPr>
                <w:rFonts w:ascii="Calibri" w:eastAsia="MS Mincho" w:hAnsi="Calibri" w:cs="Calibri"/>
                <w:sz w:val="20"/>
                <w:szCs w:val="20"/>
                <w:vertAlign w:val="superscript"/>
                <w:lang w:val="en-US" w:eastAsia="zh-CN"/>
              </w:rPr>
              <w:t>**</w:t>
            </w:r>
          </w:p>
        </w:tc>
        <w:tc>
          <w:tcPr>
            <w:tcW w:w="1843" w:type="dxa"/>
            <w:gridSpan w:val="2"/>
            <w:tcBorders>
              <w:bottom w:val="single" w:sz="4" w:space="0" w:color="auto"/>
            </w:tcBorders>
            <w:vAlign w:val="center"/>
          </w:tcPr>
          <w:p w14:paraId="552855B8"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5 (7.6)</w:t>
            </w:r>
          </w:p>
        </w:tc>
        <w:tc>
          <w:tcPr>
            <w:tcW w:w="1559" w:type="dxa"/>
            <w:gridSpan w:val="2"/>
            <w:tcBorders>
              <w:bottom w:val="single" w:sz="4" w:space="0" w:color="auto"/>
            </w:tcBorders>
            <w:vAlign w:val="center"/>
          </w:tcPr>
          <w:p w14:paraId="076D44C5"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 xml:space="preserve">4 </w:t>
            </w:r>
            <w:proofErr w:type="gramStart"/>
            <w:r w:rsidRPr="003630CA">
              <w:rPr>
                <w:rFonts w:ascii="Calibri" w:eastAsia="MS Mincho" w:hAnsi="Calibri" w:cs="Calibri"/>
                <w:sz w:val="20"/>
                <w:szCs w:val="20"/>
                <w:lang w:val="en-US" w:eastAsia="zh-CN"/>
              </w:rPr>
              <w:t>( 6.5</w:t>
            </w:r>
            <w:proofErr w:type="gramEnd"/>
            <w:r w:rsidRPr="003630CA">
              <w:rPr>
                <w:rFonts w:ascii="Calibri" w:eastAsia="MS Mincho" w:hAnsi="Calibri" w:cs="Calibri"/>
                <w:sz w:val="20"/>
                <w:szCs w:val="20"/>
                <w:lang w:val="en-US" w:eastAsia="zh-CN"/>
              </w:rPr>
              <w:t>)</w:t>
            </w:r>
          </w:p>
        </w:tc>
        <w:tc>
          <w:tcPr>
            <w:tcW w:w="1843" w:type="dxa"/>
            <w:tcBorders>
              <w:bottom w:val="single" w:sz="4" w:space="0" w:color="auto"/>
            </w:tcBorders>
          </w:tcPr>
          <w:p w14:paraId="05F3F3A4"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8 (7.2)</w:t>
            </w:r>
          </w:p>
        </w:tc>
        <w:tc>
          <w:tcPr>
            <w:tcW w:w="1559" w:type="dxa"/>
            <w:tcBorders>
              <w:bottom w:val="single" w:sz="4" w:space="0" w:color="auto"/>
              <w:right w:val="nil"/>
            </w:tcBorders>
            <w:vAlign w:val="center"/>
          </w:tcPr>
          <w:p w14:paraId="7AD68549" w14:textId="77777777" w:rsidR="003630CA" w:rsidRPr="003630CA" w:rsidRDefault="003630CA" w:rsidP="003630CA">
            <w:pPr>
              <w:keepLines/>
              <w:tabs>
                <w:tab w:val="left" w:pos="284"/>
                <w:tab w:val="left" w:pos="8505"/>
              </w:tabs>
              <w:spacing w:before="40" w:after="20" w:line="240" w:lineRule="auto"/>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common</w:t>
            </w:r>
          </w:p>
        </w:tc>
      </w:tr>
      <w:tr w:rsidR="003630CA" w:rsidRPr="003630CA" w14:paraId="17052A06" w14:textId="77777777" w:rsidTr="006336AE">
        <w:trPr>
          <w:jc w:val="center"/>
        </w:trPr>
        <w:tc>
          <w:tcPr>
            <w:tcW w:w="9923" w:type="dxa"/>
            <w:gridSpan w:val="7"/>
            <w:tcBorders>
              <w:left w:val="nil"/>
              <w:right w:val="nil"/>
            </w:tcBorders>
          </w:tcPr>
          <w:p w14:paraId="0B6E06BD" w14:textId="77777777" w:rsidR="003630CA" w:rsidRPr="003630CA" w:rsidRDefault="003630CA" w:rsidP="003630CA">
            <w:pPr>
              <w:keepLines/>
              <w:tabs>
                <w:tab w:val="left" w:pos="284"/>
                <w:tab w:val="left" w:pos="8505"/>
              </w:tabs>
              <w:spacing w:before="40" w:after="20" w:line="240" w:lineRule="auto"/>
              <w:rPr>
                <w:rFonts w:ascii="Calibri" w:eastAsia="MS Mincho" w:hAnsi="Calibri" w:cs="Calibri"/>
                <w:sz w:val="20"/>
                <w:szCs w:val="20"/>
                <w:lang w:val="en-US" w:eastAsia="zh-CN"/>
              </w:rPr>
            </w:pPr>
            <w:r w:rsidRPr="003630CA">
              <w:rPr>
                <w:rFonts w:ascii="Calibri" w:eastAsia="MS Mincho" w:hAnsi="Calibri" w:cs="Calibri"/>
                <w:b/>
                <w:bCs/>
                <w:sz w:val="20"/>
                <w:szCs w:val="20"/>
                <w:lang w:val="en-US" w:eastAsia="zh-CN"/>
              </w:rPr>
              <w:t>Musculoskeletal and connective tissue disorders</w:t>
            </w:r>
          </w:p>
        </w:tc>
      </w:tr>
      <w:tr w:rsidR="003630CA" w:rsidRPr="003630CA" w14:paraId="37EF3AD0" w14:textId="77777777" w:rsidTr="006336AE">
        <w:trPr>
          <w:jc w:val="center"/>
        </w:trPr>
        <w:tc>
          <w:tcPr>
            <w:tcW w:w="3119" w:type="dxa"/>
            <w:tcBorders>
              <w:left w:val="nil"/>
            </w:tcBorders>
            <w:vAlign w:val="center"/>
          </w:tcPr>
          <w:p w14:paraId="3C29E5D9" w14:textId="77777777" w:rsidR="003630CA" w:rsidRPr="003630CA" w:rsidRDefault="003630CA" w:rsidP="003630CA">
            <w:pPr>
              <w:keepLines/>
              <w:tabs>
                <w:tab w:val="left" w:pos="284"/>
                <w:tab w:val="left" w:pos="8505"/>
              </w:tabs>
              <w:spacing w:before="40" w:after="20" w:line="240" w:lineRule="auto"/>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Back pain</w:t>
            </w:r>
          </w:p>
        </w:tc>
        <w:tc>
          <w:tcPr>
            <w:tcW w:w="1843" w:type="dxa"/>
            <w:gridSpan w:val="2"/>
            <w:vAlign w:val="center"/>
          </w:tcPr>
          <w:p w14:paraId="2E637C1E"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10 (15.2)</w:t>
            </w:r>
          </w:p>
        </w:tc>
        <w:tc>
          <w:tcPr>
            <w:tcW w:w="1559" w:type="dxa"/>
            <w:gridSpan w:val="2"/>
            <w:vAlign w:val="center"/>
          </w:tcPr>
          <w:p w14:paraId="399D4CE9"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7 (11.3)</w:t>
            </w:r>
          </w:p>
        </w:tc>
        <w:tc>
          <w:tcPr>
            <w:tcW w:w="1843" w:type="dxa"/>
          </w:tcPr>
          <w:p w14:paraId="629C6175"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16 (14.4)</w:t>
            </w:r>
          </w:p>
        </w:tc>
        <w:tc>
          <w:tcPr>
            <w:tcW w:w="1559" w:type="dxa"/>
            <w:tcBorders>
              <w:right w:val="nil"/>
            </w:tcBorders>
            <w:vAlign w:val="center"/>
          </w:tcPr>
          <w:p w14:paraId="2453A50A" w14:textId="77777777" w:rsidR="003630CA" w:rsidRPr="003630CA" w:rsidRDefault="003630CA" w:rsidP="003630CA">
            <w:pPr>
              <w:keepLines/>
              <w:tabs>
                <w:tab w:val="left" w:pos="284"/>
                <w:tab w:val="left" w:pos="8505"/>
              </w:tabs>
              <w:spacing w:before="40" w:after="20" w:line="240" w:lineRule="auto"/>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very common</w:t>
            </w:r>
          </w:p>
        </w:tc>
      </w:tr>
      <w:tr w:rsidR="003630CA" w:rsidRPr="003630CA" w14:paraId="2F9FBDC8" w14:textId="77777777" w:rsidTr="006336AE">
        <w:trPr>
          <w:jc w:val="center"/>
        </w:trPr>
        <w:tc>
          <w:tcPr>
            <w:tcW w:w="3119" w:type="dxa"/>
            <w:tcBorders>
              <w:left w:val="nil"/>
            </w:tcBorders>
            <w:vAlign w:val="center"/>
          </w:tcPr>
          <w:p w14:paraId="6FB010A8" w14:textId="77777777" w:rsidR="003630CA" w:rsidRPr="003630CA" w:rsidRDefault="003630CA" w:rsidP="003630CA">
            <w:pPr>
              <w:keepLines/>
              <w:tabs>
                <w:tab w:val="left" w:pos="284"/>
                <w:tab w:val="left" w:pos="8505"/>
              </w:tabs>
              <w:spacing w:before="40" w:after="20" w:line="240" w:lineRule="auto"/>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Arthralgia</w:t>
            </w:r>
          </w:p>
        </w:tc>
        <w:tc>
          <w:tcPr>
            <w:tcW w:w="1843" w:type="dxa"/>
            <w:gridSpan w:val="2"/>
            <w:vAlign w:val="center"/>
          </w:tcPr>
          <w:p w14:paraId="507BE7BA"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12 (18.2)</w:t>
            </w:r>
          </w:p>
        </w:tc>
        <w:tc>
          <w:tcPr>
            <w:tcW w:w="1559" w:type="dxa"/>
            <w:gridSpan w:val="2"/>
            <w:vAlign w:val="center"/>
          </w:tcPr>
          <w:p w14:paraId="3C75BD96"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5 (8.1)</w:t>
            </w:r>
          </w:p>
        </w:tc>
        <w:tc>
          <w:tcPr>
            <w:tcW w:w="1843" w:type="dxa"/>
          </w:tcPr>
          <w:p w14:paraId="0BF6F65E"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19 (17.1)</w:t>
            </w:r>
          </w:p>
        </w:tc>
        <w:tc>
          <w:tcPr>
            <w:tcW w:w="1559" w:type="dxa"/>
            <w:tcBorders>
              <w:right w:val="nil"/>
            </w:tcBorders>
            <w:vAlign w:val="center"/>
          </w:tcPr>
          <w:p w14:paraId="1C562395" w14:textId="77777777" w:rsidR="003630CA" w:rsidRPr="003630CA" w:rsidRDefault="003630CA" w:rsidP="003630CA">
            <w:pPr>
              <w:keepLines/>
              <w:tabs>
                <w:tab w:val="left" w:pos="284"/>
                <w:tab w:val="left" w:pos="8505"/>
              </w:tabs>
              <w:spacing w:before="40" w:after="20" w:line="240" w:lineRule="auto"/>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very common</w:t>
            </w:r>
          </w:p>
        </w:tc>
      </w:tr>
      <w:tr w:rsidR="003630CA" w:rsidRPr="003630CA" w14:paraId="5DED53AF" w14:textId="77777777" w:rsidTr="006336AE">
        <w:trPr>
          <w:jc w:val="center"/>
        </w:trPr>
        <w:tc>
          <w:tcPr>
            <w:tcW w:w="3119" w:type="dxa"/>
            <w:tcBorders>
              <w:left w:val="nil"/>
            </w:tcBorders>
            <w:vAlign w:val="center"/>
          </w:tcPr>
          <w:p w14:paraId="1E407368" w14:textId="77777777" w:rsidR="003630CA" w:rsidRPr="003630CA" w:rsidRDefault="003630CA" w:rsidP="003630CA">
            <w:pPr>
              <w:keepLines/>
              <w:tabs>
                <w:tab w:val="left" w:pos="284"/>
                <w:tab w:val="left" w:pos="8505"/>
              </w:tabs>
              <w:spacing w:before="40" w:after="20" w:line="240" w:lineRule="auto"/>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Musculoskeletal chest pain</w:t>
            </w:r>
          </w:p>
        </w:tc>
        <w:tc>
          <w:tcPr>
            <w:tcW w:w="1843" w:type="dxa"/>
            <w:gridSpan w:val="2"/>
            <w:vAlign w:val="center"/>
          </w:tcPr>
          <w:p w14:paraId="299816C7"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5 (7.6)</w:t>
            </w:r>
          </w:p>
        </w:tc>
        <w:tc>
          <w:tcPr>
            <w:tcW w:w="1559" w:type="dxa"/>
            <w:gridSpan w:val="2"/>
            <w:vAlign w:val="center"/>
          </w:tcPr>
          <w:p w14:paraId="4AAE9A66"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0 (0.0)</w:t>
            </w:r>
          </w:p>
        </w:tc>
        <w:tc>
          <w:tcPr>
            <w:tcW w:w="1843" w:type="dxa"/>
            <w:vAlign w:val="center"/>
          </w:tcPr>
          <w:p w14:paraId="2766072F"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5 (4.5)</w:t>
            </w:r>
          </w:p>
        </w:tc>
        <w:tc>
          <w:tcPr>
            <w:tcW w:w="1559" w:type="dxa"/>
            <w:tcBorders>
              <w:right w:val="nil"/>
            </w:tcBorders>
            <w:vAlign w:val="center"/>
          </w:tcPr>
          <w:p w14:paraId="102E5E88" w14:textId="77777777" w:rsidR="003630CA" w:rsidRPr="003630CA" w:rsidRDefault="003630CA" w:rsidP="003630CA">
            <w:pPr>
              <w:keepLines/>
              <w:tabs>
                <w:tab w:val="left" w:pos="284"/>
                <w:tab w:val="left" w:pos="8505"/>
              </w:tabs>
              <w:spacing w:before="40" w:after="20" w:line="240" w:lineRule="auto"/>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common</w:t>
            </w:r>
          </w:p>
        </w:tc>
      </w:tr>
      <w:tr w:rsidR="003630CA" w:rsidRPr="003630CA" w14:paraId="6B13DB70" w14:textId="77777777" w:rsidTr="006336AE">
        <w:trPr>
          <w:jc w:val="center"/>
        </w:trPr>
        <w:tc>
          <w:tcPr>
            <w:tcW w:w="3119" w:type="dxa"/>
            <w:tcBorders>
              <w:left w:val="nil"/>
            </w:tcBorders>
            <w:vAlign w:val="center"/>
          </w:tcPr>
          <w:p w14:paraId="74B036F7" w14:textId="77777777" w:rsidR="003630CA" w:rsidRPr="003630CA" w:rsidRDefault="003630CA" w:rsidP="003630CA">
            <w:pPr>
              <w:keepLines/>
              <w:tabs>
                <w:tab w:val="left" w:pos="284"/>
                <w:tab w:val="left" w:pos="8505"/>
              </w:tabs>
              <w:spacing w:before="40" w:after="20" w:line="240" w:lineRule="auto"/>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Myalgia</w:t>
            </w:r>
          </w:p>
        </w:tc>
        <w:tc>
          <w:tcPr>
            <w:tcW w:w="1843" w:type="dxa"/>
            <w:gridSpan w:val="2"/>
            <w:vAlign w:val="center"/>
          </w:tcPr>
          <w:p w14:paraId="27398C21"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5 (7.6)</w:t>
            </w:r>
          </w:p>
        </w:tc>
        <w:tc>
          <w:tcPr>
            <w:tcW w:w="1559" w:type="dxa"/>
            <w:gridSpan w:val="2"/>
            <w:vAlign w:val="center"/>
          </w:tcPr>
          <w:p w14:paraId="65C1A521"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0 (0.0)</w:t>
            </w:r>
          </w:p>
        </w:tc>
        <w:tc>
          <w:tcPr>
            <w:tcW w:w="1843" w:type="dxa"/>
          </w:tcPr>
          <w:p w14:paraId="50E8C658"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6 (5.4)</w:t>
            </w:r>
          </w:p>
        </w:tc>
        <w:tc>
          <w:tcPr>
            <w:tcW w:w="1559" w:type="dxa"/>
            <w:tcBorders>
              <w:right w:val="nil"/>
            </w:tcBorders>
            <w:vAlign w:val="center"/>
          </w:tcPr>
          <w:p w14:paraId="0D0DF244" w14:textId="77777777" w:rsidR="003630CA" w:rsidRPr="003630CA" w:rsidRDefault="003630CA" w:rsidP="003630CA">
            <w:pPr>
              <w:keepLines/>
              <w:tabs>
                <w:tab w:val="left" w:pos="284"/>
                <w:tab w:val="left" w:pos="8505"/>
              </w:tabs>
              <w:spacing w:before="40" w:after="20" w:line="240" w:lineRule="auto"/>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common</w:t>
            </w:r>
          </w:p>
        </w:tc>
      </w:tr>
      <w:tr w:rsidR="003630CA" w:rsidRPr="003630CA" w14:paraId="009A9BB8" w14:textId="77777777" w:rsidTr="006336AE">
        <w:trPr>
          <w:gridAfter w:val="3"/>
          <w:wAfter w:w="4820" w:type="dxa"/>
          <w:jc w:val="center"/>
        </w:trPr>
        <w:tc>
          <w:tcPr>
            <w:tcW w:w="5103" w:type="dxa"/>
            <w:gridSpan w:val="4"/>
            <w:tcBorders>
              <w:left w:val="nil"/>
              <w:right w:val="nil"/>
            </w:tcBorders>
          </w:tcPr>
          <w:p w14:paraId="73D6557D" w14:textId="77777777" w:rsidR="003630CA" w:rsidRPr="003630CA" w:rsidRDefault="003630CA" w:rsidP="003630CA">
            <w:pPr>
              <w:keepLines/>
              <w:tabs>
                <w:tab w:val="left" w:pos="284"/>
                <w:tab w:val="left" w:pos="8505"/>
              </w:tabs>
              <w:spacing w:before="40" w:after="20" w:line="240" w:lineRule="auto"/>
              <w:jc w:val="both"/>
              <w:rPr>
                <w:rFonts w:ascii="Calibri" w:eastAsia="MS Mincho" w:hAnsi="Calibri" w:cs="Calibri"/>
                <w:b/>
                <w:bCs/>
                <w:sz w:val="20"/>
                <w:szCs w:val="20"/>
                <w:lang w:val="en-US" w:eastAsia="zh-CN"/>
              </w:rPr>
            </w:pPr>
            <w:r w:rsidRPr="003630CA">
              <w:rPr>
                <w:rFonts w:ascii="Calibri" w:eastAsia="MS Mincho" w:hAnsi="Calibri" w:cs="Calibri"/>
                <w:b/>
                <w:bCs/>
                <w:sz w:val="20"/>
                <w:szCs w:val="20"/>
                <w:lang w:val="en-US" w:eastAsia="zh-CN"/>
              </w:rPr>
              <w:t>General disorders and administration site conditions</w:t>
            </w:r>
          </w:p>
        </w:tc>
      </w:tr>
      <w:tr w:rsidR="003630CA" w:rsidRPr="003630CA" w14:paraId="4FC613A7" w14:textId="77777777" w:rsidTr="006336AE">
        <w:trPr>
          <w:jc w:val="center"/>
        </w:trPr>
        <w:tc>
          <w:tcPr>
            <w:tcW w:w="3119" w:type="dxa"/>
            <w:tcBorders>
              <w:left w:val="nil"/>
            </w:tcBorders>
            <w:vAlign w:val="center"/>
          </w:tcPr>
          <w:p w14:paraId="46548655" w14:textId="77777777" w:rsidR="003630CA" w:rsidRPr="003630CA" w:rsidRDefault="003630CA" w:rsidP="003630CA">
            <w:pPr>
              <w:keepLines/>
              <w:tabs>
                <w:tab w:val="left" w:pos="284"/>
                <w:tab w:val="left" w:pos="8505"/>
              </w:tabs>
              <w:spacing w:before="40" w:after="20" w:line="240" w:lineRule="auto"/>
              <w:rPr>
                <w:rFonts w:ascii="Calibri" w:eastAsia="MS Mincho" w:hAnsi="Calibri" w:cs="Calibri"/>
                <w:sz w:val="20"/>
                <w:szCs w:val="20"/>
                <w:highlight w:val="lightGray"/>
                <w:lang w:val="en-US" w:eastAsia="zh-CN"/>
              </w:rPr>
            </w:pPr>
            <w:r w:rsidRPr="003630CA">
              <w:rPr>
                <w:rFonts w:ascii="Calibri" w:eastAsia="MS Mincho" w:hAnsi="Calibri" w:cs="Calibri"/>
                <w:sz w:val="20"/>
                <w:szCs w:val="20"/>
                <w:lang w:val="en-US" w:eastAsia="zh-CN"/>
              </w:rPr>
              <w:t>Pyrexia</w:t>
            </w:r>
          </w:p>
        </w:tc>
        <w:tc>
          <w:tcPr>
            <w:tcW w:w="1843" w:type="dxa"/>
            <w:gridSpan w:val="2"/>
            <w:vAlign w:val="center"/>
          </w:tcPr>
          <w:p w14:paraId="33B25654"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highlight w:val="lightGray"/>
                <w:lang w:val="en-US" w:eastAsia="zh-CN"/>
              </w:rPr>
            </w:pPr>
            <w:r w:rsidRPr="003630CA">
              <w:rPr>
                <w:rFonts w:ascii="Calibri" w:eastAsia="MS Mincho" w:hAnsi="Calibri" w:cs="Calibri"/>
                <w:sz w:val="20"/>
                <w:szCs w:val="20"/>
                <w:lang w:val="en-US" w:eastAsia="zh-CN"/>
              </w:rPr>
              <w:t>7 (10.6)</w:t>
            </w:r>
          </w:p>
        </w:tc>
        <w:tc>
          <w:tcPr>
            <w:tcW w:w="1559" w:type="dxa"/>
            <w:gridSpan w:val="2"/>
            <w:vAlign w:val="center"/>
          </w:tcPr>
          <w:p w14:paraId="5BA6A596"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highlight w:val="lightGray"/>
                <w:lang w:val="en-US" w:eastAsia="zh-CN"/>
              </w:rPr>
            </w:pPr>
            <w:r w:rsidRPr="003630CA">
              <w:rPr>
                <w:rFonts w:ascii="Calibri" w:eastAsia="MS Mincho" w:hAnsi="Calibri" w:cs="Calibri"/>
                <w:sz w:val="20"/>
                <w:szCs w:val="20"/>
                <w:lang w:val="en-US" w:eastAsia="zh-CN"/>
              </w:rPr>
              <w:t>4 (6.5)</w:t>
            </w:r>
          </w:p>
        </w:tc>
        <w:tc>
          <w:tcPr>
            <w:tcW w:w="1843" w:type="dxa"/>
          </w:tcPr>
          <w:p w14:paraId="232B59DD"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16 (14.4)</w:t>
            </w:r>
          </w:p>
        </w:tc>
        <w:tc>
          <w:tcPr>
            <w:tcW w:w="1559" w:type="dxa"/>
            <w:tcBorders>
              <w:right w:val="nil"/>
            </w:tcBorders>
            <w:vAlign w:val="center"/>
          </w:tcPr>
          <w:p w14:paraId="51233C1D" w14:textId="77777777" w:rsidR="003630CA" w:rsidRPr="003630CA" w:rsidRDefault="003630CA" w:rsidP="003630CA">
            <w:pPr>
              <w:keepLines/>
              <w:tabs>
                <w:tab w:val="left" w:pos="284"/>
                <w:tab w:val="left" w:pos="8505"/>
              </w:tabs>
              <w:spacing w:before="40" w:after="20" w:line="240" w:lineRule="auto"/>
              <w:rPr>
                <w:rFonts w:ascii="Calibri" w:eastAsia="MS Mincho" w:hAnsi="Calibri" w:cs="Calibri"/>
                <w:sz w:val="20"/>
                <w:szCs w:val="20"/>
                <w:highlight w:val="lightGray"/>
                <w:lang w:val="en-US" w:eastAsia="zh-CN"/>
              </w:rPr>
            </w:pPr>
            <w:r w:rsidRPr="003630CA">
              <w:rPr>
                <w:rFonts w:ascii="Calibri" w:eastAsia="MS Mincho" w:hAnsi="Calibri" w:cs="Calibri"/>
                <w:sz w:val="20"/>
                <w:szCs w:val="20"/>
                <w:lang w:val="en-US" w:eastAsia="zh-CN"/>
              </w:rPr>
              <w:t>very common</w:t>
            </w:r>
          </w:p>
        </w:tc>
      </w:tr>
      <w:tr w:rsidR="003630CA" w:rsidRPr="003630CA" w14:paraId="0B085BB1" w14:textId="77777777" w:rsidTr="006336AE">
        <w:trPr>
          <w:jc w:val="center"/>
        </w:trPr>
        <w:tc>
          <w:tcPr>
            <w:tcW w:w="3119" w:type="dxa"/>
            <w:tcBorders>
              <w:left w:val="nil"/>
            </w:tcBorders>
            <w:vAlign w:val="center"/>
          </w:tcPr>
          <w:p w14:paraId="7CECD5D1" w14:textId="77777777" w:rsidR="003630CA" w:rsidRPr="003630CA" w:rsidRDefault="003630CA" w:rsidP="003630CA">
            <w:pPr>
              <w:keepLines/>
              <w:tabs>
                <w:tab w:val="left" w:pos="284"/>
                <w:tab w:val="left" w:pos="8505"/>
              </w:tabs>
              <w:spacing w:before="40" w:after="20" w:line="240" w:lineRule="auto"/>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Infusion site reaction**</w:t>
            </w:r>
          </w:p>
        </w:tc>
        <w:tc>
          <w:tcPr>
            <w:tcW w:w="1843" w:type="dxa"/>
            <w:gridSpan w:val="2"/>
            <w:vAlign w:val="center"/>
          </w:tcPr>
          <w:p w14:paraId="24D39F33"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1 (1.5)</w:t>
            </w:r>
          </w:p>
        </w:tc>
        <w:tc>
          <w:tcPr>
            <w:tcW w:w="1559" w:type="dxa"/>
            <w:gridSpan w:val="2"/>
            <w:vAlign w:val="center"/>
          </w:tcPr>
          <w:p w14:paraId="658F2D22"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1 (1.6)</w:t>
            </w:r>
          </w:p>
        </w:tc>
        <w:tc>
          <w:tcPr>
            <w:tcW w:w="1843" w:type="dxa"/>
          </w:tcPr>
          <w:p w14:paraId="40C367BD"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3 (2.7)</w:t>
            </w:r>
          </w:p>
        </w:tc>
        <w:tc>
          <w:tcPr>
            <w:tcW w:w="1559" w:type="dxa"/>
            <w:tcBorders>
              <w:right w:val="nil"/>
            </w:tcBorders>
            <w:vAlign w:val="center"/>
          </w:tcPr>
          <w:p w14:paraId="236F9734" w14:textId="77777777" w:rsidR="003630CA" w:rsidRPr="003630CA" w:rsidRDefault="003630CA" w:rsidP="003630CA">
            <w:pPr>
              <w:keepLines/>
              <w:tabs>
                <w:tab w:val="left" w:pos="284"/>
                <w:tab w:val="left" w:pos="8505"/>
              </w:tabs>
              <w:spacing w:before="40" w:after="20" w:line="240" w:lineRule="auto"/>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common</w:t>
            </w:r>
          </w:p>
        </w:tc>
      </w:tr>
      <w:tr w:rsidR="003630CA" w:rsidRPr="003630CA" w14:paraId="0705F04B" w14:textId="77777777" w:rsidTr="006336AE">
        <w:trPr>
          <w:gridAfter w:val="4"/>
          <w:wAfter w:w="4961" w:type="dxa"/>
          <w:jc w:val="center"/>
        </w:trPr>
        <w:tc>
          <w:tcPr>
            <w:tcW w:w="4962" w:type="dxa"/>
            <w:gridSpan w:val="3"/>
            <w:tcBorders>
              <w:left w:val="nil"/>
              <w:right w:val="nil"/>
            </w:tcBorders>
          </w:tcPr>
          <w:p w14:paraId="5AB258CF" w14:textId="77777777" w:rsidR="003630CA" w:rsidRPr="003630CA" w:rsidRDefault="003630CA" w:rsidP="003630CA">
            <w:pPr>
              <w:keepLines/>
              <w:tabs>
                <w:tab w:val="left" w:pos="284"/>
                <w:tab w:val="left" w:pos="8505"/>
              </w:tabs>
              <w:spacing w:before="40" w:after="20" w:line="240" w:lineRule="auto"/>
              <w:rPr>
                <w:rFonts w:ascii="Calibri" w:eastAsia="MS Mincho" w:hAnsi="Calibri" w:cs="Calibri"/>
                <w:b/>
                <w:bCs/>
                <w:sz w:val="20"/>
                <w:szCs w:val="20"/>
                <w:lang w:val="en-US" w:eastAsia="zh-CN"/>
              </w:rPr>
            </w:pPr>
            <w:r w:rsidRPr="003630CA">
              <w:rPr>
                <w:rFonts w:ascii="Calibri" w:eastAsia="MS Mincho" w:hAnsi="Calibri" w:cs="Calibri"/>
                <w:b/>
                <w:bCs/>
                <w:sz w:val="20"/>
                <w:szCs w:val="20"/>
                <w:lang w:val="en-US" w:eastAsia="zh-CN"/>
              </w:rPr>
              <w:t>Injury, poisoning and procedural complications</w:t>
            </w:r>
          </w:p>
        </w:tc>
      </w:tr>
      <w:tr w:rsidR="003630CA" w:rsidRPr="003630CA" w14:paraId="3EE6862A" w14:textId="77777777" w:rsidTr="006336AE">
        <w:trPr>
          <w:jc w:val="center"/>
        </w:trPr>
        <w:tc>
          <w:tcPr>
            <w:tcW w:w="3119" w:type="dxa"/>
            <w:tcBorders>
              <w:left w:val="nil"/>
            </w:tcBorders>
            <w:vAlign w:val="center"/>
          </w:tcPr>
          <w:p w14:paraId="09E020BA" w14:textId="77777777" w:rsidR="003630CA" w:rsidRPr="003630CA" w:rsidRDefault="003630CA" w:rsidP="003630CA">
            <w:pPr>
              <w:keepLines/>
              <w:tabs>
                <w:tab w:val="left" w:pos="284"/>
                <w:tab w:val="left" w:pos="8505"/>
              </w:tabs>
              <w:spacing w:before="40" w:after="20" w:line="240" w:lineRule="auto"/>
              <w:rPr>
                <w:rFonts w:ascii="Calibri" w:eastAsia="MS Mincho" w:hAnsi="Calibri" w:cs="Calibri"/>
                <w:sz w:val="20"/>
                <w:szCs w:val="20"/>
                <w:highlight w:val="lightGray"/>
                <w:lang w:val="en-US" w:eastAsia="zh-CN"/>
              </w:rPr>
            </w:pPr>
            <w:r w:rsidRPr="003630CA">
              <w:rPr>
                <w:rFonts w:ascii="Calibri" w:eastAsia="MS Mincho" w:hAnsi="Calibri" w:cs="Calibri"/>
                <w:sz w:val="20"/>
                <w:szCs w:val="20"/>
                <w:lang w:val="en-US" w:eastAsia="zh-CN"/>
              </w:rPr>
              <w:t>Infusion-related reaction</w:t>
            </w:r>
          </w:p>
        </w:tc>
        <w:tc>
          <w:tcPr>
            <w:tcW w:w="1843" w:type="dxa"/>
            <w:gridSpan w:val="2"/>
            <w:vAlign w:val="center"/>
          </w:tcPr>
          <w:p w14:paraId="76542AE0"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highlight w:val="lightGray"/>
                <w:lang w:val="en-US" w:eastAsia="zh-CN"/>
              </w:rPr>
            </w:pPr>
            <w:r w:rsidRPr="003630CA">
              <w:rPr>
                <w:rFonts w:ascii="Calibri" w:eastAsia="MS Mincho" w:hAnsi="Calibri" w:cs="Calibri"/>
                <w:sz w:val="20"/>
                <w:szCs w:val="20"/>
                <w:lang w:val="en-US" w:eastAsia="zh-CN"/>
              </w:rPr>
              <w:t xml:space="preserve">2 (3.0) </w:t>
            </w:r>
          </w:p>
        </w:tc>
        <w:tc>
          <w:tcPr>
            <w:tcW w:w="1559" w:type="dxa"/>
            <w:gridSpan w:val="2"/>
            <w:vAlign w:val="center"/>
          </w:tcPr>
          <w:p w14:paraId="15FDD321"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highlight w:val="lightGray"/>
                <w:lang w:val="en-US" w:eastAsia="zh-CN"/>
              </w:rPr>
            </w:pPr>
            <w:r w:rsidRPr="003630CA">
              <w:rPr>
                <w:rFonts w:ascii="Calibri" w:eastAsia="MS Mincho" w:hAnsi="Calibri" w:cs="Calibri"/>
                <w:sz w:val="20"/>
                <w:szCs w:val="20"/>
                <w:lang w:val="en-US" w:eastAsia="zh-CN"/>
              </w:rPr>
              <w:t>0 (0.0)</w:t>
            </w:r>
          </w:p>
        </w:tc>
        <w:tc>
          <w:tcPr>
            <w:tcW w:w="1843" w:type="dxa"/>
          </w:tcPr>
          <w:p w14:paraId="4599674A" w14:textId="77777777" w:rsidR="003630CA" w:rsidRPr="003630CA" w:rsidRDefault="003630CA" w:rsidP="003630CA">
            <w:pPr>
              <w:keepLines/>
              <w:tabs>
                <w:tab w:val="left" w:pos="284"/>
                <w:tab w:val="left" w:pos="8505"/>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3 (2.7)</w:t>
            </w:r>
          </w:p>
        </w:tc>
        <w:tc>
          <w:tcPr>
            <w:tcW w:w="1559" w:type="dxa"/>
            <w:tcBorders>
              <w:right w:val="nil"/>
            </w:tcBorders>
            <w:vAlign w:val="center"/>
          </w:tcPr>
          <w:p w14:paraId="291C549B" w14:textId="77777777" w:rsidR="003630CA" w:rsidRPr="003630CA" w:rsidRDefault="003630CA" w:rsidP="003630CA">
            <w:pPr>
              <w:keepLines/>
              <w:tabs>
                <w:tab w:val="left" w:pos="284"/>
                <w:tab w:val="left" w:pos="8505"/>
              </w:tabs>
              <w:spacing w:before="40" w:after="20" w:line="240" w:lineRule="auto"/>
              <w:rPr>
                <w:rFonts w:ascii="Calibri" w:eastAsia="MS Mincho" w:hAnsi="Calibri" w:cs="Calibri"/>
                <w:sz w:val="20"/>
                <w:szCs w:val="20"/>
                <w:highlight w:val="lightGray"/>
                <w:lang w:val="en-US" w:eastAsia="zh-CN"/>
              </w:rPr>
            </w:pPr>
            <w:r w:rsidRPr="003630CA">
              <w:rPr>
                <w:rFonts w:ascii="Calibri" w:eastAsia="MS Mincho" w:hAnsi="Calibri" w:cs="Calibri"/>
                <w:sz w:val="20"/>
                <w:szCs w:val="20"/>
                <w:lang w:val="en-US" w:eastAsia="zh-CN"/>
              </w:rPr>
              <w:t>common</w:t>
            </w:r>
          </w:p>
        </w:tc>
      </w:tr>
      <w:tr w:rsidR="003630CA" w:rsidRPr="003630CA" w14:paraId="1C409EE4" w14:textId="77777777" w:rsidTr="006336AE">
        <w:trPr>
          <w:jc w:val="center"/>
        </w:trPr>
        <w:tc>
          <w:tcPr>
            <w:tcW w:w="9923" w:type="dxa"/>
            <w:gridSpan w:val="7"/>
            <w:tcBorders>
              <w:left w:val="nil"/>
              <w:bottom w:val="single" w:sz="4" w:space="0" w:color="auto"/>
              <w:right w:val="nil"/>
            </w:tcBorders>
            <w:vAlign w:val="center"/>
          </w:tcPr>
          <w:p w14:paraId="2CB5DA84" w14:textId="77777777" w:rsidR="003630CA" w:rsidRPr="003630CA" w:rsidRDefault="003630CA" w:rsidP="003630CA">
            <w:pPr>
              <w:keepLines/>
              <w:tabs>
                <w:tab w:val="left" w:pos="284"/>
              </w:tabs>
              <w:spacing w:before="40" w:after="20" w:line="240" w:lineRule="auto"/>
              <w:rPr>
                <w:rFonts w:ascii="Calibri" w:eastAsia="MS Mincho" w:hAnsi="Calibri" w:cs="Calibri"/>
                <w:i/>
                <w:sz w:val="20"/>
                <w:szCs w:val="20"/>
                <w:lang w:val="en-US" w:eastAsia="zh-CN"/>
              </w:rPr>
            </w:pPr>
            <w:r w:rsidRPr="003630CA">
              <w:rPr>
                <w:rFonts w:ascii="Calibri" w:eastAsia="MS Mincho" w:hAnsi="Calibri" w:cs="Calibri"/>
                <w:i/>
                <w:sz w:val="20"/>
                <w:szCs w:val="20"/>
                <w:lang w:val="en-US" w:eastAsia="zh-CN"/>
              </w:rPr>
              <w:t>*Frequency from safety pool (SUSTAIN + A2202) at 5 mg/kg</w:t>
            </w:r>
          </w:p>
          <w:p w14:paraId="578CCAF3" w14:textId="77777777" w:rsidR="003630CA" w:rsidRPr="003630CA" w:rsidRDefault="003630CA" w:rsidP="003630CA">
            <w:pPr>
              <w:keepLines/>
              <w:tabs>
                <w:tab w:val="left" w:pos="284"/>
              </w:tabs>
              <w:spacing w:before="0" w:after="20" w:line="240" w:lineRule="auto"/>
              <w:rPr>
                <w:rFonts w:ascii="Calibri" w:eastAsia="MS Mincho" w:hAnsi="Calibri" w:cs="Calibri"/>
                <w:i/>
                <w:sz w:val="20"/>
                <w:szCs w:val="20"/>
                <w:lang w:val="en-US" w:eastAsia="zh-CN"/>
              </w:rPr>
            </w:pPr>
            <w:r w:rsidRPr="003630CA">
              <w:rPr>
                <w:rFonts w:ascii="Calibri" w:eastAsia="MS Mincho" w:hAnsi="Calibri" w:cs="Calibri"/>
                <w:i/>
                <w:sz w:val="20"/>
                <w:szCs w:val="20"/>
                <w:lang w:val="en-US" w:eastAsia="zh-CN"/>
              </w:rPr>
              <w:t>**The following groupings (in bold) contain the following MedDRA preferred terms</w:t>
            </w:r>
          </w:p>
          <w:p w14:paraId="4F52B3AE" w14:textId="77777777" w:rsidR="003630CA" w:rsidRPr="003630CA" w:rsidRDefault="003630CA" w:rsidP="003630CA">
            <w:pPr>
              <w:keepLines/>
              <w:tabs>
                <w:tab w:val="left" w:pos="284"/>
              </w:tabs>
              <w:spacing w:before="0" w:after="20" w:line="240" w:lineRule="auto"/>
              <w:rPr>
                <w:rFonts w:ascii="Calibri" w:eastAsia="MS Mincho" w:hAnsi="Calibri" w:cs="Calibri"/>
                <w:i/>
                <w:sz w:val="20"/>
                <w:szCs w:val="20"/>
                <w:lang w:val="en-US" w:eastAsia="zh-CN"/>
              </w:rPr>
            </w:pPr>
            <w:r w:rsidRPr="003630CA">
              <w:rPr>
                <w:rFonts w:ascii="Calibri" w:eastAsia="MS Mincho" w:hAnsi="Calibri" w:cs="Calibri"/>
                <w:b/>
                <w:bCs/>
                <w:i/>
                <w:sz w:val="20"/>
                <w:szCs w:val="20"/>
                <w:lang w:val="en-US" w:eastAsia="zh-CN"/>
              </w:rPr>
              <w:t>Abdominal pain</w:t>
            </w:r>
            <w:r w:rsidRPr="003630CA">
              <w:rPr>
                <w:rFonts w:ascii="Calibri" w:eastAsia="MS Mincho" w:hAnsi="Calibri" w:cs="Calibri"/>
                <w:i/>
                <w:sz w:val="20"/>
                <w:szCs w:val="20"/>
                <w:lang w:val="en-US" w:eastAsia="zh-CN"/>
              </w:rPr>
              <w:t>: abdominal pain, abdominal pain upper, abdominal pain lower, abdominal discomfort and abdominal tenderness</w:t>
            </w:r>
          </w:p>
          <w:p w14:paraId="32C3E72A" w14:textId="77777777" w:rsidR="003630CA" w:rsidRPr="003630CA" w:rsidRDefault="003630CA" w:rsidP="003630CA">
            <w:pPr>
              <w:keepLines/>
              <w:tabs>
                <w:tab w:val="left" w:pos="284"/>
              </w:tabs>
              <w:spacing w:before="0" w:after="20" w:line="240" w:lineRule="auto"/>
              <w:rPr>
                <w:rFonts w:ascii="Calibri" w:eastAsia="MS Mincho" w:hAnsi="Calibri" w:cs="Calibri"/>
                <w:i/>
                <w:sz w:val="20"/>
                <w:szCs w:val="20"/>
                <w:lang w:val="en-US" w:eastAsia="zh-CN"/>
              </w:rPr>
            </w:pPr>
            <w:r w:rsidRPr="003630CA">
              <w:rPr>
                <w:rFonts w:ascii="Calibri" w:eastAsia="MS Mincho" w:hAnsi="Calibri" w:cs="Calibri"/>
                <w:b/>
                <w:i/>
                <w:sz w:val="20"/>
                <w:szCs w:val="20"/>
                <w:lang w:val="en-US" w:eastAsia="zh-CN"/>
              </w:rPr>
              <w:t>Pruritus</w:t>
            </w:r>
            <w:r w:rsidRPr="003630CA">
              <w:rPr>
                <w:rFonts w:ascii="Calibri" w:eastAsia="MS Mincho" w:hAnsi="Calibri" w:cs="Calibri"/>
                <w:i/>
                <w:sz w:val="20"/>
                <w:szCs w:val="20"/>
                <w:lang w:val="en-US" w:eastAsia="zh-CN"/>
              </w:rPr>
              <w:t>: pruritus and vulvovaginal pruritus</w:t>
            </w:r>
          </w:p>
          <w:p w14:paraId="2087FEA4" w14:textId="77777777" w:rsidR="003630CA" w:rsidRPr="003630CA" w:rsidRDefault="003630CA" w:rsidP="003630CA">
            <w:pPr>
              <w:keepLines/>
              <w:tabs>
                <w:tab w:val="left" w:pos="284"/>
              </w:tabs>
              <w:spacing w:before="0" w:after="20" w:line="240" w:lineRule="auto"/>
              <w:rPr>
                <w:rFonts w:ascii="Calibri" w:eastAsia="MS Mincho" w:hAnsi="Calibri" w:cs="Calibri"/>
                <w:i/>
                <w:sz w:val="20"/>
                <w:szCs w:val="20"/>
                <w:vertAlign w:val="superscript"/>
                <w:lang w:val="en-US" w:eastAsia="zh-CN"/>
              </w:rPr>
            </w:pPr>
            <w:r w:rsidRPr="003630CA">
              <w:rPr>
                <w:rFonts w:ascii="Calibri" w:eastAsia="MS Mincho" w:hAnsi="Calibri" w:cs="Calibri"/>
                <w:b/>
                <w:bCs/>
                <w:i/>
                <w:sz w:val="20"/>
                <w:szCs w:val="20"/>
                <w:lang w:val="en-US" w:eastAsia="zh-CN"/>
              </w:rPr>
              <w:t>Infusion site reaction</w:t>
            </w:r>
            <w:r w:rsidRPr="003630CA">
              <w:rPr>
                <w:rFonts w:ascii="Calibri" w:eastAsia="MS Mincho" w:hAnsi="Calibri" w:cs="Calibri"/>
                <w:i/>
                <w:sz w:val="20"/>
                <w:szCs w:val="20"/>
                <w:lang w:val="en-US" w:eastAsia="zh-CN"/>
              </w:rPr>
              <w:t>: Infusion site extravasation, infusion site pain and infusion site swelling</w:t>
            </w:r>
          </w:p>
        </w:tc>
      </w:tr>
    </w:tbl>
    <w:p w14:paraId="1FF01D07" w14:textId="77777777" w:rsidR="003630CA" w:rsidRPr="003630CA" w:rsidRDefault="003630CA" w:rsidP="003630CA">
      <w:pPr>
        <w:rPr>
          <w:b/>
          <w:bCs/>
        </w:rPr>
      </w:pPr>
      <w:r w:rsidRPr="003630CA">
        <w:rPr>
          <w:b/>
          <w:bCs/>
        </w:rPr>
        <w:lastRenderedPageBreak/>
        <w:t>Post-marketing experience</w:t>
      </w:r>
    </w:p>
    <w:p w14:paraId="5996669D" w14:textId="77777777" w:rsidR="003630CA" w:rsidRPr="003630CA" w:rsidRDefault="003630CA" w:rsidP="003630CA">
      <w:r w:rsidRPr="003630CA">
        <w:t>The following adverse drug reactions have been derived from post-marketing experience with ADAKVEO via spontaneous case reports and literature cases. Because these reactions are reported voluntarily from a population of uncertain size, it is not possible to reliably estimate their frequency which is therefore categorized as not known.</w:t>
      </w:r>
    </w:p>
    <w:p w14:paraId="79EB8367" w14:textId="77777777" w:rsidR="003630CA" w:rsidRPr="003630CA" w:rsidRDefault="003630CA" w:rsidP="003630CA">
      <w:r w:rsidRPr="003630CA">
        <w:rPr>
          <w:b/>
        </w:rPr>
        <w:t xml:space="preserve">General disorders and administration site conditions: </w:t>
      </w:r>
      <w:r w:rsidRPr="003630CA">
        <w:t>Pain (</w:t>
      </w:r>
      <w:r w:rsidRPr="003630CA">
        <w:rPr>
          <w:i/>
          <w:iCs/>
        </w:rPr>
        <w:t>pain in various locations occurring during/within 24 hours of the infusion (e.g. potential IRR) (see section 4.4 Special warnings and precautions).</w:t>
      </w:r>
    </w:p>
    <w:p w14:paraId="5B1CF59C" w14:textId="77777777" w:rsidR="003630CA" w:rsidRPr="003630CA" w:rsidRDefault="003630CA" w:rsidP="003630CA">
      <w:pPr>
        <w:rPr>
          <w:b/>
        </w:rPr>
      </w:pPr>
      <w:r w:rsidRPr="003630CA">
        <w:rPr>
          <w:b/>
        </w:rPr>
        <w:t>Description of Selected Adverse Reactions</w:t>
      </w:r>
    </w:p>
    <w:p w14:paraId="010750CB" w14:textId="77777777" w:rsidR="003630CA" w:rsidRPr="003630CA" w:rsidRDefault="003630CA" w:rsidP="003630CA">
      <w:pPr>
        <w:rPr>
          <w:b/>
          <w:bCs/>
        </w:rPr>
      </w:pPr>
      <w:r w:rsidRPr="003630CA">
        <w:rPr>
          <w:b/>
          <w:bCs/>
        </w:rPr>
        <w:t>Immunogenicity</w:t>
      </w:r>
    </w:p>
    <w:p w14:paraId="10B33D89" w14:textId="77777777" w:rsidR="003630CA" w:rsidRPr="003630CA" w:rsidRDefault="003630CA" w:rsidP="003630CA">
      <w:r w:rsidRPr="003630CA">
        <w:t xml:space="preserve">In clinical studies, treatment-induced anti-crizanlizumab antibodies were transiently detected in 1 patient among the 111 patients (0.9%) who received ADAKVEO 5mg/kg. </w:t>
      </w:r>
    </w:p>
    <w:p w14:paraId="474C76AE" w14:textId="77777777" w:rsidR="003630CA" w:rsidRPr="003630CA" w:rsidRDefault="003630CA" w:rsidP="003630CA">
      <w:r w:rsidRPr="003630CA">
        <w:t>There was no evidence of altered pharmacokinetics or safety profile with anti-crizanlizumab-antibody development.</w:t>
      </w:r>
    </w:p>
    <w:p w14:paraId="5B71C23F" w14:textId="77777777" w:rsidR="003630CA" w:rsidRPr="003630CA" w:rsidRDefault="003630CA" w:rsidP="003630CA">
      <w:pPr>
        <w:rPr>
          <w:b/>
          <w:bCs/>
        </w:rPr>
      </w:pPr>
      <w:r w:rsidRPr="003630CA">
        <w:rPr>
          <w:b/>
          <w:bCs/>
        </w:rPr>
        <w:t>Reporting suspected adverse effects</w:t>
      </w:r>
    </w:p>
    <w:p w14:paraId="3635C28E" w14:textId="77777777" w:rsidR="003630CA" w:rsidRPr="003630CA" w:rsidRDefault="003630CA" w:rsidP="003630CA">
      <w:r w:rsidRPr="003630CA">
        <w:rPr>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0" w:history="1">
        <w:r w:rsidRPr="003630CA">
          <w:rPr>
            <w:rStyle w:val="Hyperlink"/>
            <w:lang w:val="en"/>
          </w:rPr>
          <w:t>www.tga.gov.au/reporting-problems</w:t>
        </w:r>
      </w:hyperlink>
      <w:r w:rsidRPr="003630CA">
        <w:rPr>
          <w:lang w:val="en"/>
        </w:rPr>
        <w:t>.</w:t>
      </w:r>
    </w:p>
    <w:p w14:paraId="477588FE" w14:textId="77777777" w:rsidR="003630CA" w:rsidRPr="003630CA" w:rsidRDefault="003630CA" w:rsidP="003630CA">
      <w:pPr>
        <w:rPr>
          <w:b/>
        </w:rPr>
      </w:pPr>
      <w:r w:rsidRPr="003630CA">
        <w:rPr>
          <w:b/>
        </w:rPr>
        <w:t>Overdose</w:t>
      </w:r>
    </w:p>
    <w:p w14:paraId="03155616" w14:textId="77777777" w:rsidR="003630CA" w:rsidRPr="003630CA" w:rsidRDefault="003630CA" w:rsidP="003630CA">
      <w:r w:rsidRPr="003630CA">
        <w:t>No cases of overdose have been reported in clinical studies.</w:t>
      </w:r>
    </w:p>
    <w:p w14:paraId="64944D5A" w14:textId="77777777" w:rsidR="003630CA" w:rsidRPr="003630CA" w:rsidRDefault="003630CA" w:rsidP="003630CA">
      <w:r w:rsidRPr="003630CA">
        <w:t>General supportive measures and symptomatic treatment should be initiated in cases of suspected overdose.</w:t>
      </w:r>
    </w:p>
    <w:p w14:paraId="28685ADA" w14:textId="77777777" w:rsidR="003630CA" w:rsidRPr="003630CA" w:rsidRDefault="003630CA" w:rsidP="003630CA">
      <w:r w:rsidRPr="003630CA">
        <w:rPr>
          <w:lang w:val="en"/>
        </w:rPr>
        <w:t>For information on the management of overdose, contact the Poisons Information Centre on 13 11 26 (Australia).</w:t>
      </w:r>
    </w:p>
    <w:p w14:paraId="269ED919" w14:textId="3FA0716D" w:rsidR="003630CA" w:rsidRPr="003630CA" w:rsidRDefault="003630CA" w:rsidP="003630CA">
      <w:pPr>
        <w:pStyle w:val="ListParagraph"/>
        <w:numPr>
          <w:ilvl w:val="0"/>
          <w:numId w:val="37"/>
        </w:numPr>
        <w:rPr>
          <w:b/>
          <w:bCs/>
          <w:sz w:val="28"/>
          <w:szCs w:val="28"/>
          <w:lang w:val="en-US"/>
        </w:rPr>
      </w:pPr>
      <w:r w:rsidRPr="003630CA">
        <w:rPr>
          <w:b/>
          <w:bCs/>
          <w:sz w:val="28"/>
          <w:szCs w:val="28"/>
          <w:lang w:val="en-US"/>
        </w:rPr>
        <w:t>Pharmacological properties</w:t>
      </w:r>
    </w:p>
    <w:p w14:paraId="36FB4AB5" w14:textId="251EC97B" w:rsidR="003630CA" w:rsidRPr="003630CA" w:rsidRDefault="003630CA" w:rsidP="003630CA">
      <w:pPr>
        <w:rPr>
          <w:b/>
          <w:lang w:val="en-US"/>
        </w:rPr>
      </w:pPr>
      <w:r>
        <w:rPr>
          <w:b/>
          <w:lang w:val="en-US"/>
        </w:rPr>
        <w:t xml:space="preserve">5.1 </w:t>
      </w:r>
      <w:r w:rsidRPr="003630CA">
        <w:rPr>
          <w:b/>
          <w:lang w:val="en-US"/>
        </w:rPr>
        <w:t xml:space="preserve">Pharmacodynamic properties </w:t>
      </w:r>
    </w:p>
    <w:p w14:paraId="616DC530" w14:textId="77777777" w:rsidR="003630CA" w:rsidRPr="003630CA" w:rsidRDefault="003630CA" w:rsidP="003630CA">
      <w:pPr>
        <w:rPr>
          <w:b/>
          <w:bCs/>
        </w:rPr>
      </w:pPr>
      <w:r w:rsidRPr="003630CA">
        <w:rPr>
          <w:b/>
          <w:bCs/>
        </w:rPr>
        <w:t>Mechanism of action</w:t>
      </w:r>
    </w:p>
    <w:p w14:paraId="4B32AE8F" w14:textId="77777777" w:rsidR="003630CA" w:rsidRPr="003630CA" w:rsidRDefault="003630CA" w:rsidP="003630CA">
      <w:r w:rsidRPr="003630CA">
        <w:t xml:space="preserve">Crizanlizumab is a selective IgG2 kappa humanised monoclonal antibody </w:t>
      </w:r>
      <w:r w:rsidRPr="003630CA">
        <w:rPr>
          <w:bCs/>
        </w:rPr>
        <w:t>(</w:t>
      </w:r>
      <w:proofErr w:type="spellStart"/>
      <w:r w:rsidRPr="003630CA">
        <w:rPr>
          <w:bCs/>
        </w:rPr>
        <w:t>mAb</w:t>
      </w:r>
      <w:proofErr w:type="spellEnd"/>
      <w:r w:rsidRPr="003630CA">
        <w:rPr>
          <w:bCs/>
        </w:rPr>
        <w:t>)</w:t>
      </w:r>
      <w:r w:rsidRPr="003630CA">
        <w:t xml:space="preserve"> that binds to P-selectin with high affinity and blocks the interaction with its ligands including P-selectin glycoprotein ligand 1 (PSGL-1). Crizanlizumab can also dissociate preformed P-selectin/PSGL-1 complex. P-selectin is an adhesion molecule expressed on activated endothelial cells and platelets. It plays an essential role in the initial recruitment of leukocytes and the aggregation of platelets to the site of vascular injury during inflammation.</w:t>
      </w:r>
    </w:p>
    <w:p w14:paraId="725F81E8" w14:textId="77777777" w:rsidR="003630CA" w:rsidRPr="003630CA" w:rsidRDefault="003630CA" w:rsidP="003630CA">
      <w:r w:rsidRPr="003630CA">
        <w:t xml:space="preserve">In the chronic pro-inflammatory state associated with sickle cell disease, P-selectin is over-expressed and circulating blood cells and the endothelium are activated and become </w:t>
      </w:r>
      <w:proofErr w:type="spellStart"/>
      <w:r w:rsidRPr="003630CA">
        <w:t>hyperadhesive</w:t>
      </w:r>
      <w:proofErr w:type="spellEnd"/>
      <w:r w:rsidRPr="003630CA">
        <w:t xml:space="preserve">. P-selectin mediated multi-cellular adhesion is a key factor in the pathogenesis of </w:t>
      </w:r>
      <w:proofErr w:type="spellStart"/>
      <w:r w:rsidRPr="003630CA">
        <w:t>vaso</w:t>
      </w:r>
      <w:proofErr w:type="spellEnd"/>
      <w:r w:rsidRPr="003630CA">
        <w:t xml:space="preserve">-occlusion and </w:t>
      </w:r>
      <w:proofErr w:type="spellStart"/>
      <w:r w:rsidRPr="003630CA">
        <w:t>vaso</w:t>
      </w:r>
      <w:proofErr w:type="spellEnd"/>
      <w:r w:rsidRPr="003630CA">
        <w:t>-occlusive crises. Elevated levels of P-selectin are found in patients with sickle cell disease.</w:t>
      </w:r>
    </w:p>
    <w:p w14:paraId="550798F1" w14:textId="77777777" w:rsidR="003630CA" w:rsidRPr="003630CA" w:rsidRDefault="003630CA" w:rsidP="003630CA">
      <w:r w:rsidRPr="003630CA">
        <w:lastRenderedPageBreak/>
        <w:t xml:space="preserve">Binding P-selectin on the surface of the activated endothelium and platelets has been shown to effectively block interactions between endothelial cells, platelets, red blood cells, and leukocytes, thereby preventing </w:t>
      </w:r>
      <w:proofErr w:type="spellStart"/>
      <w:r w:rsidRPr="003630CA">
        <w:t>vaso</w:t>
      </w:r>
      <w:proofErr w:type="spellEnd"/>
      <w:r w:rsidRPr="003630CA">
        <w:t>-occlusion.</w:t>
      </w:r>
    </w:p>
    <w:p w14:paraId="1F83328A" w14:textId="77777777" w:rsidR="003630CA" w:rsidRPr="003630CA" w:rsidRDefault="003630CA" w:rsidP="003630CA">
      <w:pPr>
        <w:rPr>
          <w:b/>
          <w:bCs/>
        </w:rPr>
      </w:pPr>
      <w:r w:rsidRPr="003630CA">
        <w:rPr>
          <w:b/>
          <w:bCs/>
        </w:rPr>
        <w:t>Pharmacodynamics</w:t>
      </w:r>
    </w:p>
    <w:p w14:paraId="07369B92" w14:textId="77777777" w:rsidR="003630CA" w:rsidRPr="003630CA" w:rsidRDefault="003630CA" w:rsidP="003630CA">
      <w:r w:rsidRPr="003630CA">
        <w:t xml:space="preserve">Throughout clinical studies, treatment with ADAKVEO resulted in a dose-dependent, </w:t>
      </w:r>
      <w:proofErr w:type="gramStart"/>
      <w:r w:rsidRPr="003630CA">
        <w:t>immediate</w:t>
      </w:r>
      <w:proofErr w:type="gramEnd"/>
      <w:r w:rsidRPr="003630CA">
        <w:t xml:space="preserve"> and sustained P-selectin inhibition (as measured </w:t>
      </w:r>
      <w:r w:rsidRPr="003630CA">
        <w:rPr>
          <w:i/>
        </w:rPr>
        <w:t>ex-vivo</w:t>
      </w:r>
      <w:r w:rsidRPr="003630CA">
        <w:t>) in patients with sickle cell disease.</w:t>
      </w:r>
    </w:p>
    <w:p w14:paraId="54FAF5CC" w14:textId="77777777" w:rsidR="003630CA" w:rsidRPr="003630CA" w:rsidRDefault="003630CA" w:rsidP="003630CA">
      <w:pPr>
        <w:rPr>
          <w:b/>
          <w:bCs/>
          <w:lang w:val="en-US"/>
        </w:rPr>
      </w:pPr>
      <w:r w:rsidRPr="003630CA">
        <w:rPr>
          <w:b/>
          <w:bCs/>
        </w:rPr>
        <w:t>Clinical</w:t>
      </w:r>
      <w:r w:rsidRPr="003630CA">
        <w:rPr>
          <w:b/>
          <w:bCs/>
          <w:lang w:val="en-US"/>
        </w:rPr>
        <w:t xml:space="preserve"> trials</w:t>
      </w:r>
    </w:p>
    <w:p w14:paraId="3AB47112" w14:textId="77777777" w:rsidR="003630CA" w:rsidRPr="003630CA" w:rsidRDefault="003630CA" w:rsidP="003630CA">
      <w:r w:rsidRPr="003630CA">
        <w:t xml:space="preserve">The efficacy of ADAKVEO, with or without hydroxycarbamide (hydroxyurea), was evaluated in the pivotal study SUSTAIN, a 52-week, randomized, placebo-controlled, double-blind,  multicentre clinical study in sickle cell disease patients with a history of </w:t>
      </w:r>
      <w:proofErr w:type="spellStart"/>
      <w:r w:rsidRPr="003630CA">
        <w:t>vaso</w:t>
      </w:r>
      <w:proofErr w:type="spellEnd"/>
      <w:r w:rsidRPr="003630CA">
        <w:t>-occlusive crises (VOCs).</w:t>
      </w:r>
    </w:p>
    <w:p w14:paraId="376290D6" w14:textId="77777777" w:rsidR="003630CA" w:rsidRPr="003630CA" w:rsidRDefault="003630CA" w:rsidP="003630CA">
      <w:r w:rsidRPr="003630CA">
        <w:t xml:space="preserve">In this study, VOCs were defined as those leading to a healthcare visit, which captured all acute episodes of pain with no other cause than a </w:t>
      </w:r>
      <w:proofErr w:type="spellStart"/>
      <w:r w:rsidRPr="003630CA">
        <w:t>vaso</w:t>
      </w:r>
      <w:proofErr w:type="spellEnd"/>
      <w:r w:rsidRPr="003630CA">
        <w:t>-occlusive event that required a medical facility visit and treatment with oral or parenteral opioids or parenteral non-steroidal anti-inflammatory drugs (NSAIDs). Acute chest syndrome, hepatic sequestration, splenic sequestration, and priapism (requiring a visit to a medical facility) were also considered VOCs.</w:t>
      </w:r>
    </w:p>
    <w:p w14:paraId="5B5B3EA7" w14:textId="77777777" w:rsidR="003630CA" w:rsidRPr="003630CA" w:rsidRDefault="003630CA" w:rsidP="003630CA">
      <w:r w:rsidRPr="003630CA">
        <w:t xml:space="preserve">A total of 198 sickle cell disease patients aged 16 to 63 years (inclusive), with any sickle cell disease genotype (including </w:t>
      </w:r>
      <w:proofErr w:type="spellStart"/>
      <w:r w:rsidRPr="003630CA">
        <w:t>HbSS</w:t>
      </w:r>
      <w:proofErr w:type="spellEnd"/>
      <w:r w:rsidRPr="003630CA">
        <w:t xml:space="preserve">, </w:t>
      </w:r>
      <w:proofErr w:type="spellStart"/>
      <w:r w:rsidRPr="003630CA">
        <w:t>HbSC</w:t>
      </w:r>
      <w:proofErr w:type="spellEnd"/>
      <w:r w:rsidRPr="003630CA">
        <w:t xml:space="preserve">, HbSbeta0-thalassemia, </w:t>
      </w:r>
      <w:proofErr w:type="spellStart"/>
      <w:r w:rsidRPr="003630CA">
        <w:t>HbSbeta</w:t>
      </w:r>
      <w:proofErr w:type="spellEnd"/>
      <w:r w:rsidRPr="003630CA">
        <w:t xml:space="preserve">+-thalassemia, and others) and a history of between 2 and 10 VOCs in the previous 12 months, were randomized 1:1:1 to ADAKVEO 5 mg/kg, ADAKVEO 2.5 mg/kg, or placebo. </w:t>
      </w:r>
      <w:proofErr w:type="gramStart"/>
      <w:r w:rsidRPr="003630CA">
        <w:t>The majority of</w:t>
      </w:r>
      <w:proofErr w:type="gramEnd"/>
      <w:r w:rsidRPr="003630CA">
        <w:t xml:space="preserve"> patients were Black or African American (91.9%). Patients received ADAKVEO with or without hydroxycarbamide (hydroxyurea). Randomization was stratified by patients already receiving hydroxycarbamide (hydroxyurea) (Y/N) and by number of VOCs in the previous 12 months (2 to 4, 5 to 10). Among the patients that received the recommended dose (5 mg/kg), forty-two (64%) patients were treated with ADAKVEO in combination with hydroxycarbamide (hydroxyurea). Patients </w:t>
      </w:r>
      <w:proofErr w:type="gramStart"/>
      <w:r w:rsidRPr="003630CA">
        <w:t>were allowed to</w:t>
      </w:r>
      <w:proofErr w:type="gramEnd"/>
      <w:r w:rsidRPr="003630CA">
        <w:t xml:space="preserve"> take pain medications (i.e. paracetamol, NSAIDs and opioids) and to receive occasional transfusions on an as needed basis. </w:t>
      </w:r>
    </w:p>
    <w:p w14:paraId="567F6F7F" w14:textId="77777777" w:rsidR="003630CA" w:rsidRPr="003630CA" w:rsidRDefault="003630CA" w:rsidP="003630CA">
      <w:r w:rsidRPr="003630CA">
        <w:t xml:space="preserve">Patients with sickle cell disease who received ADAKVEO 5 mg/kg had a lower median annual rate of VOC compared to patients who received placebo (1.63 vs. 2.98; Hodges-Lehmann, median absolute difference of -1.01 compared with placebo, 95% CI [-2.00, 0.00]) which was statistically significant (p = 0.010).  The VOCs occurring during the study were assessed by an independent review committee. </w:t>
      </w:r>
    </w:p>
    <w:p w14:paraId="71E54B60" w14:textId="77777777" w:rsidR="003630CA" w:rsidRPr="003630CA" w:rsidRDefault="003630CA" w:rsidP="003630CA">
      <w:r w:rsidRPr="003630CA">
        <w:t xml:space="preserve">Main efficacy outcomes of the pivotal SUSTAIN study are summarized in Tables 4. </w:t>
      </w:r>
    </w:p>
    <w:p w14:paraId="0489A5D4" w14:textId="77777777" w:rsidR="003630CA" w:rsidRPr="003630CA" w:rsidRDefault="003630CA" w:rsidP="003630CA">
      <w:pPr>
        <w:rPr>
          <w:b/>
        </w:rPr>
      </w:pPr>
      <w:bookmarkStart w:id="5" w:name="_Toc12434617"/>
      <w:r w:rsidRPr="003630CA">
        <w:rPr>
          <w:b/>
        </w:rPr>
        <w:t xml:space="preserve">Table </w:t>
      </w:r>
      <w:r w:rsidRPr="003630CA">
        <w:rPr>
          <w:b/>
        </w:rPr>
        <w:fldChar w:fldCharType="begin"/>
      </w:r>
      <w:r w:rsidRPr="003630CA">
        <w:rPr>
          <w:b/>
        </w:rPr>
        <w:instrText>SEQ Table \* ARABIC</w:instrText>
      </w:r>
      <w:r w:rsidRPr="003630CA">
        <w:rPr>
          <w:b/>
        </w:rPr>
        <w:fldChar w:fldCharType="separate"/>
      </w:r>
      <w:r w:rsidRPr="003630CA">
        <w:rPr>
          <w:b/>
        </w:rPr>
        <w:t>4</w:t>
      </w:r>
      <w:r w:rsidRPr="003630CA">
        <w:fldChar w:fldCharType="end"/>
      </w:r>
      <w:r w:rsidRPr="003630CA">
        <w:rPr>
          <w:b/>
        </w:rPr>
        <w:tab/>
        <w:t>Results from SUSTAIN clinical study in sickle cell disease</w:t>
      </w:r>
      <w:bookmarkStart w:id="6" w:name="_hd6_Table_12_1_Results_fro16811"/>
      <w:bookmarkEnd w:id="5"/>
      <w:bookmarkEnd w:id="6"/>
    </w:p>
    <w:tbl>
      <w:tblPr>
        <w:tblW w:w="7088" w:type="dxa"/>
        <w:tblBorders>
          <w:top w:val="single" w:sz="4" w:space="0" w:color="auto"/>
          <w:bottom w:val="single" w:sz="4" w:space="0" w:color="auto"/>
        </w:tblBorders>
        <w:tblLayout w:type="fixed"/>
        <w:tblLook w:val="0000" w:firstRow="0" w:lastRow="0" w:firstColumn="0" w:lastColumn="0" w:noHBand="0" w:noVBand="0"/>
      </w:tblPr>
      <w:tblGrid>
        <w:gridCol w:w="2835"/>
        <w:gridCol w:w="2126"/>
        <w:gridCol w:w="2127"/>
      </w:tblGrid>
      <w:tr w:rsidR="003630CA" w:rsidRPr="003630CA" w14:paraId="43F3894C" w14:textId="77777777" w:rsidTr="006336AE">
        <w:trPr>
          <w:tblHeader/>
        </w:trPr>
        <w:tc>
          <w:tcPr>
            <w:tcW w:w="2835" w:type="dxa"/>
            <w:tcBorders>
              <w:top w:val="single" w:sz="4" w:space="0" w:color="auto"/>
              <w:bottom w:val="single" w:sz="4" w:space="0" w:color="auto"/>
              <w:right w:val="single" w:sz="4" w:space="0" w:color="auto"/>
            </w:tcBorders>
            <w:shd w:val="clear" w:color="auto" w:fill="auto"/>
          </w:tcPr>
          <w:p w14:paraId="6C39DE33" w14:textId="77777777" w:rsidR="003630CA" w:rsidRPr="003630CA" w:rsidRDefault="003630CA" w:rsidP="003630CA">
            <w:pPr>
              <w:keepLines/>
              <w:tabs>
                <w:tab w:val="left" w:pos="284"/>
              </w:tabs>
              <w:spacing w:before="40" w:after="20" w:line="240" w:lineRule="auto"/>
              <w:rPr>
                <w:rFonts w:ascii="Calibri" w:eastAsia="MS Mincho" w:hAnsi="Calibri" w:cs="Calibri"/>
                <w:b/>
                <w:sz w:val="20"/>
                <w:szCs w:val="20"/>
                <w:lang w:val="en-US" w:eastAsia="zh-CN"/>
              </w:rPr>
            </w:pPr>
            <w:r w:rsidRPr="003630CA">
              <w:rPr>
                <w:rFonts w:ascii="Calibri" w:eastAsia="MS Mincho" w:hAnsi="Calibri" w:cs="Calibri"/>
                <w:b/>
                <w:sz w:val="20"/>
                <w:szCs w:val="20"/>
                <w:lang w:val="en-US" w:eastAsia="zh-CN"/>
              </w:rPr>
              <w:t>Event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30E3E98" w14:textId="77777777" w:rsidR="003630CA" w:rsidRPr="003630CA" w:rsidRDefault="003630CA" w:rsidP="003630CA">
            <w:pPr>
              <w:keepLines/>
              <w:tabs>
                <w:tab w:val="left" w:pos="284"/>
              </w:tabs>
              <w:spacing w:before="40" w:after="20" w:line="240" w:lineRule="auto"/>
              <w:jc w:val="center"/>
              <w:rPr>
                <w:rFonts w:ascii="Calibri" w:eastAsia="MS Mincho" w:hAnsi="Calibri" w:cs="Calibri"/>
                <w:b/>
                <w:sz w:val="20"/>
                <w:szCs w:val="20"/>
                <w:highlight w:val="lightGray"/>
                <w:lang w:val="en-US" w:eastAsia="zh-CN"/>
              </w:rPr>
            </w:pPr>
            <w:r w:rsidRPr="003630CA">
              <w:rPr>
                <w:rFonts w:ascii="Calibri" w:eastAsia="MS Mincho" w:hAnsi="Calibri" w:cs="Calibri"/>
                <w:b/>
                <w:bCs/>
                <w:sz w:val="20"/>
                <w:szCs w:val="20"/>
                <w:lang w:val="en-US" w:eastAsia="zh-CN"/>
              </w:rPr>
              <w:t xml:space="preserve">Hodges-Lehmann median difference </w:t>
            </w:r>
            <w:r w:rsidRPr="003630CA">
              <w:rPr>
                <w:rFonts w:ascii="Calibri" w:eastAsia="MS Mincho" w:hAnsi="Calibri" w:cs="Calibri"/>
                <w:b/>
                <w:sz w:val="20"/>
                <w:szCs w:val="20"/>
                <w:lang w:val="en-US" w:eastAsia="zh-CN"/>
              </w:rPr>
              <w:br/>
            </w:r>
            <w:r w:rsidRPr="003630CA">
              <w:rPr>
                <w:rFonts w:ascii="Calibri" w:eastAsia="MS Mincho" w:hAnsi="Calibri" w:cs="Calibri"/>
                <w:bCs/>
                <w:sz w:val="20"/>
                <w:szCs w:val="20"/>
                <w:lang w:val="en-US" w:eastAsia="zh-CN"/>
              </w:rPr>
              <w:t>(95% CI)</w:t>
            </w:r>
          </w:p>
        </w:tc>
        <w:tc>
          <w:tcPr>
            <w:tcW w:w="2127" w:type="dxa"/>
            <w:tcBorders>
              <w:top w:val="single" w:sz="4" w:space="0" w:color="auto"/>
              <w:left w:val="single" w:sz="4" w:space="0" w:color="auto"/>
              <w:bottom w:val="single" w:sz="4" w:space="0" w:color="auto"/>
            </w:tcBorders>
          </w:tcPr>
          <w:p w14:paraId="54840EA1" w14:textId="77777777" w:rsidR="003630CA" w:rsidRPr="003630CA" w:rsidRDefault="003630CA" w:rsidP="003630CA">
            <w:pPr>
              <w:keepLines/>
              <w:tabs>
                <w:tab w:val="left" w:pos="284"/>
              </w:tabs>
              <w:spacing w:before="40" w:after="20" w:line="240" w:lineRule="auto"/>
              <w:jc w:val="center"/>
              <w:rPr>
                <w:rFonts w:ascii="Calibri" w:eastAsia="MS Mincho" w:hAnsi="Calibri" w:cs="Calibri"/>
                <w:b/>
                <w:sz w:val="20"/>
                <w:szCs w:val="20"/>
                <w:lang w:val="en-US" w:eastAsia="zh-CN"/>
              </w:rPr>
            </w:pPr>
            <w:r w:rsidRPr="003630CA">
              <w:rPr>
                <w:rFonts w:ascii="Calibri" w:eastAsia="MS Mincho" w:hAnsi="Calibri" w:cs="Calibri"/>
                <w:b/>
                <w:sz w:val="20"/>
                <w:szCs w:val="20"/>
                <w:lang w:val="en-US" w:eastAsia="zh-CN"/>
              </w:rPr>
              <w:t>p-value</w:t>
            </w:r>
          </w:p>
          <w:p w14:paraId="69322648" w14:textId="77777777" w:rsidR="003630CA" w:rsidRPr="003630CA" w:rsidRDefault="003630CA" w:rsidP="003630CA">
            <w:pPr>
              <w:keepLines/>
              <w:tabs>
                <w:tab w:val="left" w:pos="284"/>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(Wilcoxon Rank Sum)</w:t>
            </w:r>
          </w:p>
        </w:tc>
      </w:tr>
      <w:tr w:rsidR="003630CA" w:rsidRPr="003630CA" w14:paraId="41B79CB7" w14:textId="77777777" w:rsidTr="006336AE">
        <w:trPr>
          <w:tblHeader/>
        </w:trPr>
        <w:tc>
          <w:tcPr>
            <w:tcW w:w="2835" w:type="dxa"/>
            <w:tcBorders>
              <w:top w:val="single" w:sz="4" w:space="0" w:color="auto"/>
              <w:bottom w:val="nil"/>
              <w:right w:val="single" w:sz="4" w:space="0" w:color="auto"/>
            </w:tcBorders>
            <w:shd w:val="clear" w:color="auto" w:fill="auto"/>
          </w:tcPr>
          <w:p w14:paraId="70E70D16" w14:textId="77777777" w:rsidR="003630CA" w:rsidRPr="003630CA" w:rsidRDefault="003630CA" w:rsidP="003630CA">
            <w:pPr>
              <w:keepLines/>
              <w:tabs>
                <w:tab w:val="left" w:pos="284"/>
              </w:tabs>
              <w:spacing w:before="40" w:after="20" w:line="240" w:lineRule="auto"/>
              <w:rPr>
                <w:rFonts w:ascii="Calibri" w:eastAsia="MS Mincho" w:hAnsi="Calibri" w:cs="Calibri"/>
                <w:b/>
                <w:sz w:val="20"/>
                <w:szCs w:val="20"/>
                <w:lang w:val="en-US" w:eastAsia="zh-CN"/>
              </w:rPr>
            </w:pPr>
            <w:r w:rsidRPr="003630CA">
              <w:rPr>
                <w:rFonts w:ascii="Calibri" w:eastAsia="MS Mincho" w:hAnsi="Calibri" w:cs="Calibri"/>
                <w:b/>
                <w:sz w:val="20"/>
                <w:szCs w:val="20"/>
                <w:lang w:val="en-US" w:eastAsia="zh-CN"/>
              </w:rPr>
              <w:t>Primary endpoint</w:t>
            </w:r>
          </w:p>
        </w:tc>
        <w:tc>
          <w:tcPr>
            <w:tcW w:w="2126" w:type="dxa"/>
            <w:tcBorders>
              <w:top w:val="single" w:sz="4" w:space="0" w:color="auto"/>
              <w:left w:val="single" w:sz="4" w:space="0" w:color="auto"/>
              <w:bottom w:val="nil"/>
              <w:right w:val="single" w:sz="4" w:space="0" w:color="auto"/>
            </w:tcBorders>
            <w:shd w:val="clear" w:color="auto" w:fill="FFFFFF"/>
          </w:tcPr>
          <w:p w14:paraId="6AEDF515" w14:textId="77777777" w:rsidR="003630CA" w:rsidRPr="003630CA" w:rsidRDefault="003630CA" w:rsidP="003630CA">
            <w:pPr>
              <w:keepLines/>
              <w:tabs>
                <w:tab w:val="left" w:pos="284"/>
              </w:tabs>
              <w:spacing w:before="40" w:after="20" w:line="240" w:lineRule="auto"/>
              <w:jc w:val="center"/>
              <w:rPr>
                <w:rFonts w:ascii="Calibri" w:eastAsia="MS Mincho" w:hAnsi="Calibri" w:cs="Calibri"/>
                <w:b/>
                <w:bCs/>
                <w:sz w:val="20"/>
                <w:szCs w:val="20"/>
                <w:lang w:val="en-US" w:eastAsia="zh-CN"/>
              </w:rPr>
            </w:pPr>
          </w:p>
        </w:tc>
        <w:tc>
          <w:tcPr>
            <w:tcW w:w="2127" w:type="dxa"/>
            <w:tcBorders>
              <w:top w:val="single" w:sz="4" w:space="0" w:color="auto"/>
              <w:left w:val="single" w:sz="4" w:space="0" w:color="auto"/>
              <w:bottom w:val="nil"/>
            </w:tcBorders>
          </w:tcPr>
          <w:p w14:paraId="45E01CA4" w14:textId="77777777" w:rsidR="003630CA" w:rsidRPr="003630CA" w:rsidRDefault="003630CA" w:rsidP="003630CA">
            <w:pPr>
              <w:keepLines/>
              <w:tabs>
                <w:tab w:val="left" w:pos="284"/>
              </w:tabs>
              <w:spacing w:before="40" w:after="20" w:line="240" w:lineRule="auto"/>
              <w:jc w:val="center"/>
              <w:rPr>
                <w:rFonts w:ascii="Calibri" w:eastAsia="MS Mincho" w:hAnsi="Calibri" w:cs="Calibri"/>
                <w:b/>
                <w:sz w:val="20"/>
                <w:szCs w:val="20"/>
                <w:lang w:val="en-US" w:eastAsia="zh-CN"/>
              </w:rPr>
            </w:pPr>
          </w:p>
        </w:tc>
      </w:tr>
      <w:tr w:rsidR="003630CA" w:rsidRPr="003630CA" w14:paraId="6C4D10F2" w14:textId="77777777" w:rsidTr="006336AE">
        <w:tc>
          <w:tcPr>
            <w:tcW w:w="2835" w:type="dxa"/>
            <w:tcBorders>
              <w:top w:val="nil"/>
              <w:bottom w:val="single" w:sz="4" w:space="0" w:color="auto"/>
              <w:right w:val="single" w:sz="4" w:space="0" w:color="auto"/>
            </w:tcBorders>
            <w:shd w:val="clear" w:color="auto" w:fill="auto"/>
          </w:tcPr>
          <w:p w14:paraId="3C03E9DA" w14:textId="77777777" w:rsidR="003630CA" w:rsidRPr="003630CA" w:rsidRDefault="003630CA" w:rsidP="003630CA">
            <w:pPr>
              <w:keepLines/>
              <w:tabs>
                <w:tab w:val="left" w:pos="284"/>
              </w:tabs>
              <w:spacing w:before="40" w:after="20" w:line="240" w:lineRule="auto"/>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 xml:space="preserve">Annual rate of VOC </w:t>
            </w:r>
          </w:p>
        </w:tc>
        <w:tc>
          <w:tcPr>
            <w:tcW w:w="2126" w:type="dxa"/>
            <w:tcBorders>
              <w:top w:val="nil"/>
              <w:left w:val="single" w:sz="4" w:space="0" w:color="auto"/>
              <w:bottom w:val="single" w:sz="4" w:space="0" w:color="auto"/>
              <w:right w:val="single" w:sz="4" w:space="0" w:color="auto"/>
            </w:tcBorders>
            <w:shd w:val="clear" w:color="auto" w:fill="FFFFFF"/>
          </w:tcPr>
          <w:p w14:paraId="7D2F3412" w14:textId="77777777" w:rsidR="003630CA" w:rsidRPr="003630CA" w:rsidRDefault="003630CA" w:rsidP="003630CA">
            <w:pPr>
              <w:keepLines/>
              <w:tabs>
                <w:tab w:val="left" w:pos="284"/>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-1.01</w:t>
            </w:r>
          </w:p>
          <w:p w14:paraId="16ED9B9D" w14:textId="77777777" w:rsidR="003630CA" w:rsidRPr="003630CA" w:rsidRDefault="003630CA" w:rsidP="003630CA">
            <w:pPr>
              <w:keepLines/>
              <w:tabs>
                <w:tab w:val="left" w:pos="284"/>
              </w:tabs>
              <w:spacing w:before="40" w:after="20" w:line="240" w:lineRule="auto"/>
              <w:jc w:val="center"/>
              <w:rPr>
                <w:rFonts w:ascii="Calibri" w:eastAsia="MS Mincho" w:hAnsi="Calibri" w:cs="Calibri"/>
                <w:sz w:val="20"/>
                <w:szCs w:val="20"/>
                <w:highlight w:val="lightGray"/>
                <w:lang w:val="en-US" w:eastAsia="zh-CN"/>
              </w:rPr>
            </w:pPr>
            <w:r w:rsidRPr="003630CA">
              <w:rPr>
                <w:rFonts w:ascii="Calibri" w:eastAsia="MS Mincho" w:hAnsi="Calibri" w:cs="Calibri"/>
                <w:sz w:val="20"/>
                <w:szCs w:val="20"/>
                <w:lang w:val="en-US" w:eastAsia="zh-CN"/>
              </w:rPr>
              <w:t>(-2.00, 0.00)</w:t>
            </w:r>
          </w:p>
        </w:tc>
        <w:tc>
          <w:tcPr>
            <w:tcW w:w="2127" w:type="dxa"/>
            <w:tcBorders>
              <w:top w:val="nil"/>
              <w:left w:val="single" w:sz="4" w:space="0" w:color="auto"/>
              <w:bottom w:val="single" w:sz="4" w:space="0" w:color="auto"/>
            </w:tcBorders>
          </w:tcPr>
          <w:p w14:paraId="3477A04A" w14:textId="77777777" w:rsidR="003630CA" w:rsidRPr="003630CA" w:rsidRDefault="003630CA" w:rsidP="003630CA">
            <w:pPr>
              <w:keepLines/>
              <w:tabs>
                <w:tab w:val="left" w:pos="284"/>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0.010</w:t>
            </w:r>
          </w:p>
        </w:tc>
      </w:tr>
      <w:tr w:rsidR="003630CA" w:rsidRPr="003630CA" w14:paraId="5AC254BB" w14:textId="77777777" w:rsidTr="006336AE">
        <w:tc>
          <w:tcPr>
            <w:tcW w:w="2835" w:type="dxa"/>
            <w:tcBorders>
              <w:top w:val="single" w:sz="4" w:space="0" w:color="auto"/>
              <w:bottom w:val="nil"/>
              <w:right w:val="single" w:sz="4" w:space="0" w:color="auto"/>
            </w:tcBorders>
            <w:shd w:val="clear" w:color="auto" w:fill="auto"/>
          </w:tcPr>
          <w:p w14:paraId="638FFA7D" w14:textId="77777777" w:rsidR="003630CA" w:rsidRPr="003630CA" w:rsidRDefault="003630CA" w:rsidP="003630CA">
            <w:pPr>
              <w:keepLines/>
              <w:tabs>
                <w:tab w:val="left" w:pos="284"/>
              </w:tabs>
              <w:spacing w:before="40" w:after="20" w:line="240" w:lineRule="auto"/>
              <w:rPr>
                <w:rFonts w:ascii="Calibri" w:eastAsia="MS Mincho" w:hAnsi="Calibri" w:cs="Calibri"/>
                <w:b/>
                <w:sz w:val="20"/>
                <w:szCs w:val="20"/>
                <w:lang w:val="en-US" w:eastAsia="zh-CN"/>
              </w:rPr>
            </w:pPr>
            <w:r w:rsidRPr="003630CA">
              <w:rPr>
                <w:rFonts w:ascii="Calibri" w:eastAsia="MS Mincho" w:hAnsi="Calibri" w:cs="Calibri"/>
                <w:b/>
                <w:sz w:val="20"/>
                <w:szCs w:val="20"/>
                <w:lang w:val="en-US" w:eastAsia="zh-CN"/>
              </w:rPr>
              <w:t>Secondary endpoints</w:t>
            </w:r>
          </w:p>
        </w:tc>
        <w:tc>
          <w:tcPr>
            <w:tcW w:w="2126" w:type="dxa"/>
            <w:tcBorders>
              <w:top w:val="single" w:sz="4" w:space="0" w:color="auto"/>
              <w:left w:val="single" w:sz="4" w:space="0" w:color="auto"/>
              <w:bottom w:val="nil"/>
              <w:right w:val="single" w:sz="4" w:space="0" w:color="auto"/>
            </w:tcBorders>
            <w:shd w:val="clear" w:color="auto" w:fill="FFFFFF"/>
          </w:tcPr>
          <w:p w14:paraId="258980E0" w14:textId="77777777" w:rsidR="003630CA" w:rsidRPr="003630CA" w:rsidRDefault="003630CA" w:rsidP="003630CA">
            <w:pPr>
              <w:keepLines/>
              <w:tabs>
                <w:tab w:val="left" w:pos="284"/>
              </w:tabs>
              <w:spacing w:before="40" w:after="20" w:line="240" w:lineRule="auto"/>
              <w:jc w:val="center"/>
              <w:rPr>
                <w:rFonts w:ascii="Calibri" w:eastAsia="MS Mincho" w:hAnsi="Calibri" w:cs="Calibri"/>
                <w:sz w:val="20"/>
                <w:szCs w:val="20"/>
                <w:highlight w:val="lightGray"/>
                <w:lang w:val="en-US" w:eastAsia="zh-CN"/>
              </w:rPr>
            </w:pPr>
          </w:p>
        </w:tc>
        <w:tc>
          <w:tcPr>
            <w:tcW w:w="2127" w:type="dxa"/>
            <w:tcBorders>
              <w:top w:val="single" w:sz="4" w:space="0" w:color="auto"/>
              <w:left w:val="single" w:sz="4" w:space="0" w:color="auto"/>
              <w:bottom w:val="nil"/>
            </w:tcBorders>
          </w:tcPr>
          <w:p w14:paraId="2721E7B2" w14:textId="77777777" w:rsidR="003630CA" w:rsidRPr="003630CA" w:rsidDel="005C3656" w:rsidRDefault="003630CA" w:rsidP="003630CA">
            <w:pPr>
              <w:keepLines/>
              <w:tabs>
                <w:tab w:val="left" w:pos="284"/>
              </w:tabs>
              <w:spacing w:before="40" w:after="20" w:line="240" w:lineRule="auto"/>
              <w:jc w:val="center"/>
              <w:rPr>
                <w:rFonts w:ascii="Calibri" w:eastAsia="MS Mincho" w:hAnsi="Calibri" w:cs="Calibri"/>
                <w:sz w:val="20"/>
                <w:szCs w:val="20"/>
                <w:lang w:val="en-US" w:eastAsia="zh-CN"/>
              </w:rPr>
            </w:pPr>
          </w:p>
        </w:tc>
      </w:tr>
      <w:tr w:rsidR="003630CA" w:rsidRPr="003630CA" w14:paraId="6A4CB31E" w14:textId="77777777" w:rsidTr="006336AE">
        <w:tc>
          <w:tcPr>
            <w:tcW w:w="2835" w:type="dxa"/>
            <w:tcBorders>
              <w:top w:val="nil"/>
              <w:bottom w:val="single" w:sz="4" w:space="0" w:color="auto"/>
              <w:right w:val="single" w:sz="4" w:space="0" w:color="auto"/>
            </w:tcBorders>
            <w:shd w:val="clear" w:color="auto" w:fill="auto"/>
          </w:tcPr>
          <w:p w14:paraId="6C396532" w14:textId="77777777" w:rsidR="003630CA" w:rsidRPr="003630CA" w:rsidRDefault="003630CA" w:rsidP="003630CA">
            <w:pPr>
              <w:keepLines/>
              <w:tabs>
                <w:tab w:val="left" w:pos="284"/>
              </w:tabs>
              <w:spacing w:before="40" w:after="20" w:line="240" w:lineRule="auto"/>
              <w:rPr>
                <w:rFonts w:ascii="Calibri" w:eastAsia="Times New Roman" w:hAnsi="Calibri" w:cs="Calibri"/>
                <w:sz w:val="20"/>
                <w:szCs w:val="20"/>
                <w:lang w:val="en-US"/>
              </w:rPr>
            </w:pPr>
            <w:r w:rsidRPr="003630CA">
              <w:rPr>
                <w:rFonts w:ascii="Calibri" w:eastAsia="Times New Roman" w:hAnsi="Calibri" w:cs="Calibri"/>
                <w:sz w:val="20"/>
                <w:szCs w:val="20"/>
                <w:lang w:val="en-US"/>
              </w:rPr>
              <w:t xml:space="preserve">Annual rate of days hospitalized </w:t>
            </w:r>
          </w:p>
        </w:tc>
        <w:tc>
          <w:tcPr>
            <w:tcW w:w="2126" w:type="dxa"/>
            <w:tcBorders>
              <w:top w:val="nil"/>
              <w:left w:val="single" w:sz="4" w:space="0" w:color="auto"/>
              <w:bottom w:val="single" w:sz="4" w:space="0" w:color="auto"/>
              <w:right w:val="single" w:sz="4" w:space="0" w:color="auto"/>
            </w:tcBorders>
            <w:shd w:val="clear" w:color="auto" w:fill="FFFFFF"/>
          </w:tcPr>
          <w:p w14:paraId="70EC1224" w14:textId="77777777" w:rsidR="003630CA" w:rsidRPr="003630CA" w:rsidRDefault="003630CA" w:rsidP="003630CA">
            <w:pPr>
              <w:keepLines/>
              <w:tabs>
                <w:tab w:val="left" w:pos="284"/>
              </w:tabs>
              <w:spacing w:before="40" w:after="20" w:line="240" w:lineRule="auto"/>
              <w:jc w:val="center"/>
              <w:rPr>
                <w:rFonts w:ascii="Calibri" w:eastAsia="MS Mincho" w:hAnsi="Calibri" w:cs="Calibri"/>
                <w:sz w:val="20"/>
                <w:szCs w:val="20"/>
                <w:lang w:val="en-US" w:eastAsia="zh-CN"/>
              </w:rPr>
            </w:pPr>
            <w:r w:rsidRPr="003630CA">
              <w:rPr>
                <w:rFonts w:ascii="Calibri" w:eastAsia="MS Mincho" w:hAnsi="Calibri" w:cs="Calibri"/>
                <w:sz w:val="20"/>
                <w:szCs w:val="20"/>
                <w:lang w:val="en-US" w:eastAsia="zh-CN"/>
              </w:rPr>
              <w:t>0.00</w:t>
            </w:r>
          </w:p>
          <w:p w14:paraId="2B80ED55" w14:textId="77777777" w:rsidR="003630CA" w:rsidRPr="003630CA" w:rsidRDefault="003630CA" w:rsidP="003630CA">
            <w:pPr>
              <w:keepLines/>
              <w:tabs>
                <w:tab w:val="left" w:pos="284"/>
              </w:tabs>
              <w:spacing w:before="40" w:after="20" w:line="240" w:lineRule="auto"/>
              <w:jc w:val="center"/>
              <w:rPr>
                <w:rFonts w:ascii="Calibri" w:eastAsia="Times New Roman" w:hAnsi="Calibri" w:cs="Calibri"/>
                <w:sz w:val="20"/>
                <w:szCs w:val="20"/>
                <w:lang w:val="en-US"/>
              </w:rPr>
            </w:pPr>
            <w:r w:rsidRPr="003630CA">
              <w:rPr>
                <w:rFonts w:ascii="Calibri" w:eastAsia="MS Mincho" w:hAnsi="Calibri" w:cs="Calibri"/>
                <w:sz w:val="20"/>
                <w:szCs w:val="20"/>
                <w:lang w:val="en-US" w:eastAsia="zh-CN"/>
              </w:rPr>
              <w:t>(-4.36, 0.00)</w:t>
            </w:r>
          </w:p>
        </w:tc>
        <w:tc>
          <w:tcPr>
            <w:tcW w:w="2127" w:type="dxa"/>
            <w:tcBorders>
              <w:top w:val="nil"/>
              <w:left w:val="single" w:sz="4" w:space="0" w:color="auto"/>
              <w:bottom w:val="single" w:sz="4" w:space="0" w:color="auto"/>
            </w:tcBorders>
          </w:tcPr>
          <w:p w14:paraId="0C1DB245" w14:textId="77777777" w:rsidR="003630CA" w:rsidRPr="003630CA" w:rsidRDefault="003630CA" w:rsidP="003630CA">
            <w:pPr>
              <w:keepLines/>
              <w:tabs>
                <w:tab w:val="left" w:pos="284"/>
              </w:tabs>
              <w:spacing w:before="40" w:after="20" w:line="240" w:lineRule="auto"/>
              <w:jc w:val="center"/>
              <w:rPr>
                <w:rFonts w:ascii="Calibri" w:eastAsia="Times New Roman" w:hAnsi="Calibri" w:cs="Calibri"/>
                <w:sz w:val="20"/>
                <w:szCs w:val="20"/>
                <w:lang w:val="en-US"/>
              </w:rPr>
            </w:pPr>
            <w:r w:rsidRPr="003630CA">
              <w:rPr>
                <w:rFonts w:ascii="Calibri" w:eastAsia="Times New Roman" w:hAnsi="Calibri" w:cs="Calibri"/>
                <w:sz w:val="20"/>
                <w:szCs w:val="20"/>
                <w:lang w:val="en-US"/>
              </w:rPr>
              <w:t>0.450</w:t>
            </w:r>
          </w:p>
        </w:tc>
      </w:tr>
    </w:tbl>
    <w:p w14:paraId="08B9E8A2" w14:textId="77777777" w:rsidR="003630CA" w:rsidRPr="003630CA" w:rsidRDefault="003630CA" w:rsidP="003630CA">
      <w:r w:rsidRPr="003630CA">
        <w:lastRenderedPageBreak/>
        <w:t>In the ADAKVEO 5 mg/kg group, clinically significant reductions in the annual rate of VOC were observed in subgroups given hydroxycarbamide (hydroxyurea)/ no hydroxycarbamide (hydroxyurea): HL median difference from -1 VOC compared to placebo per year for both subgroups. Clinically significant reductions were also observed in subgroups by, genotype (</w:t>
      </w:r>
      <w:proofErr w:type="spellStart"/>
      <w:r w:rsidRPr="003630CA">
        <w:t>HbSS</w:t>
      </w:r>
      <w:proofErr w:type="spellEnd"/>
      <w:r w:rsidRPr="003630CA">
        <w:t xml:space="preserve"> and non- </w:t>
      </w:r>
      <w:proofErr w:type="spellStart"/>
      <w:r w:rsidRPr="003630CA">
        <w:t>HbSS</w:t>
      </w:r>
      <w:proofErr w:type="spellEnd"/>
      <w:r w:rsidRPr="003630CA">
        <w:t>) and in patients having fewer (2 - 4 events) or more (5 – 10) VOC events in the preceding year.</w:t>
      </w:r>
      <w:bookmarkStart w:id="7" w:name="_hd6_Table_12_2_Annual_Rate17810"/>
      <w:bookmarkEnd w:id="7"/>
    </w:p>
    <w:p w14:paraId="5F1E44CC" w14:textId="77777777" w:rsidR="003630CA" w:rsidRPr="003630CA" w:rsidRDefault="003630CA" w:rsidP="003630CA">
      <w:r w:rsidRPr="003630CA">
        <w:t>A greater than two-fold increase in the proportion of patients with no VOC was observed in the ADAKVEO 5 mg/kg group compared to placebo (36% vs 17%; odds ratio (95% CI): 2.85 (1.24, 6.56)). A similar difference was also observed across important subgroups (hydroxycarbamide (hydroxyurea) use, genotype).</w:t>
      </w:r>
    </w:p>
    <w:p w14:paraId="27423DEC" w14:textId="77777777" w:rsidR="003630CA" w:rsidRPr="003630CA" w:rsidRDefault="003630CA" w:rsidP="003630CA">
      <w:r w:rsidRPr="003630CA">
        <w:t xml:space="preserve">Treatment with ADAKVEO 5 mg/kg was also associated with a three-fold longer Kaplan-Meier estimated median time to first VOC compared with placebo (4.07 vs 1.38 months) </w:t>
      </w:r>
      <w:bookmarkStart w:id="8" w:name="_Toc499550970"/>
      <w:r w:rsidRPr="003630CA">
        <w:t>and a two-fold longer median time from randomization to second VOC compared to placebo (10.32 vs 5.09 months).</w:t>
      </w:r>
    </w:p>
    <w:p w14:paraId="334E4B38" w14:textId="0888C5FD" w:rsidR="003630CA" w:rsidRPr="003630CA" w:rsidRDefault="003630CA" w:rsidP="003630CA">
      <w:pPr>
        <w:rPr>
          <w:b/>
          <w:lang w:val="en-US"/>
        </w:rPr>
      </w:pPr>
      <w:bookmarkStart w:id="9" w:name="_hd6_Table_12_3_Median_time18838"/>
      <w:bookmarkStart w:id="10" w:name="_hd7_Figure_12_1_Kaplan_Mei19386"/>
      <w:bookmarkStart w:id="11" w:name="_hd7_Figure_12_2_Kaplan_Mei19689"/>
      <w:bookmarkEnd w:id="8"/>
      <w:bookmarkEnd w:id="9"/>
      <w:bookmarkEnd w:id="10"/>
      <w:bookmarkEnd w:id="11"/>
      <w:r>
        <w:rPr>
          <w:b/>
          <w:lang w:val="en-US"/>
        </w:rPr>
        <w:t xml:space="preserve">5.2 </w:t>
      </w:r>
      <w:r w:rsidRPr="003630CA">
        <w:rPr>
          <w:b/>
          <w:lang w:val="en-US"/>
        </w:rPr>
        <w:t xml:space="preserve">Pharmacokinetic properties </w:t>
      </w:r>
    </w:p>
    <w:p w14:paraId="5DA87DEE" w14:textId="77777777" w:rsidR="003630CA" w:rsidRPr="003630CA" w:rsidRDefault="003630CA" w:rsidP="003630CA">
      <w:pPr>
        <w:rPr>
          <w:bCs/>
        </w:rPr>
      </w:pPr>
      <w:r w:rsidRPr="003630CA">
        <w:rPr>
          <w:b/>
          <w:bCs/>
        </w:rPr>
        <w:t>Absorption</w:t>
      </w:r>
    </w:p>
    <w:p w14:paraId="23F40474" w14:textId="77777777" w:rsidR="003630CA" w:rsidRPr="003630CA" w:rsidRDefault="003630CA" w:rsidP="003630CA">
      <w:r w:rsidRPr="003630CA">
        <w:t>Crizanlizumab is administered intravenously. The median time to reach maximum serum concentration of crizanlizumab (</w:t>
      </w:r>
      <w:proofErr w:type="spellStart"/>
      <w:r w:rsidRPr="003630CA">
        <w:t>Tmax</w:t>
      </w:r>
      <w:proofErr w:type="spellEnd"/>
      <w:r w:rsidRPr="003630CA">
        <w:t>) was 1.63 hours at steady state following an intravenous administration of 5 mg/kg over a period of 30 minutes in sickle cell disease patients.</w:t>
      </w:r>
    </w:p>
    <w:p w14:paraId="635BACAE" w14:textId="77777777" w:rsidR="003630CA" w:rsidRPr="003630CA" w:rsidRDefault="003630CA" w:rsidP="003630CA">
      <w:pPr>
        <w:rPr>
          <w:bCs/>
        </w:rPr>
      </w:pPr>
      <w:r w:rsidRPr="003630CA">
        <w:rPr>
          <w:b/>
          <w:bCs/>
        </w:rPr>
        <w:t>Distribution</w:t>
      </w:r>
    </w:p>
    <w:p w14:paraId="4EFC878C" w14:textId="77777777" w:rsidR="003630CA" w:rsidRPr="003630CA" w:rsidRDefault="003630CA" w:rsidP="003630CA">
      <w:r w:rsidRPr="003630CA">
        <w:t>Since crizanlizumab is a humanized monoclonal antibody, its distribution is typical of endogenous human antibodies within the vascular and extracellular spaces. The volume of distribution (</w:t>
      </w:r>
      <w:proofErr w:type="spellStart"/>
      <w:r w:rsidRPr="003630CA">
        <w:t>Vz</w:t>
      </w:r>
      <w:proofErr w:type="spellEnd"/>
      <w:r w:rsidRPr="003630CA">
        <w:t>) was 4.26 L after a single 5 mg/kg intravenous infusion of crizanlizumab in healthy volunteers.</w:t>
      </w:r>
    </w:p>
    <w:p w14:paraId="48E8D4C2" w14:textId="77777777" w:rsidR="003630CA" w:rsidRPr="003630CA" w:rsidRDefault="003630CA" w:rsidP="003630CA">
      <w:pPr>
        <w:rPr>
          <w:bCs/>
        </w:rPr>
      </w:pPr>
      <w:r w:rsidRPr="003630CA">
        <w:rPr>
          <w:b/>
          <w:bCs/>
        </w:rPr>
        <w:t>Biotransformation/Metabolism</w:t>
      </w:r>
    </w:p>
    <w:p w14:paraId="2736FA95" w14:textId="77777777" w:rsidR="003630CA" w:rsidRPr="003630CA" w:rsidRDefault="003630CA" w:rsidP="003630CA">
      <w:r w:rsidRPr="003630CA">
        <w:t>Antibodies are primarily eliminated via proteolysis by lysosomal enzymes in the liver to small peptides and amino acids.</w:t>
      </w:r>
    </w:p>
    <w:p w14:paraId="0337F362" w14:textId="77777777" w:rsidR="003630CA" w:rsidRPr="003630CA" w:rsidRDefault="003630CA" w:rsidP="003630CA">
      <w:pPr>
        <w:rPr>
          <w:bCs/>
        </w:rPr>
      </w:pPr>
      <w:r w:rsidRPr="003630CA">
        <w:rPr>
          <w:b/>
          <w:bCs/>
        </w:rPr>
        <w:t>Excretion</w:t>
      </w:r>
    </w:p>
    <w:p w14:paraId="1480B47F" w14:textId="77777777" w:rsidR="003630CA" w:rsidRPr="003630CA" w:rsidRDefault="003630CA" w:rsidP="003630CA">
      <w:r w:rsidRPr="003630CA">
        <w:t xml:space="preserve">In healthy volunteers, the mean terminal elimination half-life (T1/2) was 10.6 days and the mean clearance was 11.7 mL/hr at crizanlizumab dose level 5 mg/kg. In patients with sickle cell disease, the mean elimination T1/2 during dosing interval was 7.6 days. There was no indication of accelerated clearance or time-dependent change in the pharmacokinetic properties of crizanlizumab following repeated administration. </w:t>
      </w:r>
    </w:p>
    <w:p w14:paraId="289920F7" w14:textId="77777777" w:rsidR="003630CA" w:rsidRPr="003630CA" w:rsidRDefault="003630CA" w:rsidP="003630CA">
      <w:pPr>
        <w:rPr>
          <w:b/>
          <w:bCs/>
        </w:rPr>
      </w:pPr>
      <w:r w:rsidRPr="003630CA">
        <w:rPr>
          <w:b/>
          <w:bCs/>
        </w:rPr>
        <w:t>Linearity/non-linearity</w:t>
      </w:r>
      <w:bookmarkStart w:id="12" w:name="_nth_Non_linearity__FIR_A2114175"/>
      <w:bookmarkEnd w:id="12"/>
    </w:p>
    <w:p w14:paraId="15927063" w14:textId="77777777" w:rsidR="003630CA" w:rsidRPr="003630CA" w:rsidRDefault="003630CA" w:rsidP="003630CA">
      <w:r w:rsidRPr="003630CA">
        <w:t xml:space="preserve">The exposure to crizanlizumab (mean </w:t>
      </w:r>
      <w:proofErr w:type="spellStart"/>
      <w:r w:rsidRPr="003630CA">
        <w:t>Cmax</w:t>
      </w:r>
      <w:proofErr w:type="spellEnd"/>
      <w:r w:rsidRPr="003630CA">
        <w:t xml:space="preserve">, </w:t>
      </w:r>
      <w:proofErr w:type="spellStart"/>
      <w:r w:rsidRPr="003630CA">
        <w:t>AUClast</w:t>
      </w:r>
      <w:proofErr w:type="spellEnd"/>
      <w:r w:rsidRPr="003630CA">
        <w:t xml:space="preserve">, or AUCinf) increased in non-linear manner over the dose range of 0.2 to 8 mg/kg in healthy volunteers. </w:t>
      </w:r>
    </w:p>
    <w:p w14:paraId="2DEE3279" w14:textId="77777777" w:rsidR="003630CA" w:rsidRPr="003630CA" w:rsidRDefault="003630CA" w:rsidP="003630CA">
      <w:pPr>
        <w:rPr>
          <w:b/>
          <w:bCs/>
        </w:rPr>
      </w:pPr>
      <w:r w:rsidRPr="003630CA">
        <w:rPr>
          <w:b/>
          <w:bCs/>
        </w:rPr>
        <w:t xml:space="preserve">Special populations </w:t>
      </w:r>
    </w:p>
    <w:p w14:paraId="261321C0" w14:textId="77777777" w:rsidR="003630CA" w:rsidRPr="003630CA" w:rsidRDefault="003630CA" w:rsidP="003630CA">
      <w:pPr>
        <w:rPr>
          <w:u w:val="single"/>
        </w:rPr>
      </w:pPr>
      <w:r w:rsidRPr="003630CA">
        <w:rPr>
          <w:u w:val="single"/>
        </w:rPr>
        <w:t>Renal/hepatic impairment</w:t>
      </w:r>
    </w:p>
    <w:p w14:paraId="47029BC4" w14:textId="77777777" w:rsidR="003630CA" w:rsidRPr="003630CA" w:rsidRDefault="003630CA" w:rsidP="003630CA">
      <w:r w:rsidRPr="003630CA">
        <w:lastRenderedPageBreak/>
        <w:t>No dedicated studies have been performed to investigate the pharmacokinetics of crizanlizumab in patients with renal or hepatic impairment, since the kidneys and the liver are not a major organ for monoclonal antibody metabolism or excretion.</w:t>
      </w:r>
    </w:p>
    <w:p w14:paraId="4A1E7FF3" w14:textId="77777777" w:rsidR="003630CA" w:rsidRPr="003630CA" w:rsidRDefault="003630CA" w:rsidP="003630CA">
      <w:pPr>
        <w:rPr>
          <w:u w:val="single"/>
        </w:rPr>
      </w:pPr>
      <w:r w:rsidRPr="003630CA">
        <w:rPr>
          <w:u w:val="single"/>
        </w:rPr>
        <w:t>Paediatric patients below 16 years</w:t>
      </w:r>
      <w:bookmarkStart w:id="13" w:name="_nth_Pediatric_patients__be14752"/>
      <w:bookmarkEnd w:id="13"/>
    </w:p>
    <w:p w14:paraId="0F1F6DA3" w14:textId="77777777" w:rsidR="003630CA" w:rsidRPr="003630CA" w:rsidRDefault="003630CA" w:rsidP="003630CA">
      <w:r w:rsidRPr="003630CA">
        <w:t>Pharmacokinetics in paediatric patients below the age of 16 years have not been investigated.</w:t>
      </w:r>
    </w:p>
    <w:p w14:paraId="43BDD052" w14:textId="3D10D01B" w:rsidR="003630CA" w:rsidRPr="003630CA" w:rsidRDefault="003630CA" w:rsidP="003630CA">
      <w:pPr>
        <w:rPr>
          <w:b/>
          <w:lang w:val="en-US"/>
        </w:rPr>
      </w:pPr>
      <w:r>
        <w:rPr>
          <w:b/>
          <w:lang w:val="en-US"/>
        </w:rPr>
        <w:t xml:space="preserve">5.3 </w:t>
      </w:r>
      <w:r w:rsidRPr="003630CA">
        <w:rPr>
          <w:b/>
          <w:lang w:val="en-US"/>
        </w:rPr>
        <w:t>Preclinical safety data</w:t>
      </w:r>
    </w:p>
    <w:p w14:paraId="63EDA5EA" w14:textId="77777777" w:rsidR="003630CA" w:rsidRPr="003630CA" w:rsidRDefault="003630CA" w:rsidP="003630CA">
      <w:pPr>
        <w:rPr>
          <w:lang w:val="en-GB"/>
        </w:rPr>
      </w:pPr>
      <w:r w:rsidRPr="003630CA">
        <w:t xml:space="preserve">Non-clinical data revealed no hazard for humans based on </w:t>
      </w:r>
      <w:r w:rsidRPr="003630CA">
        <w:rPr>
          <w:lang w:val="en-GB"/>
        </w:rPr>
        <w:t>tissue cross-reactivity testing, safety pharmacology and repeated dose studies.</w:t>
      </w:r>
    </w:p>
    <w:p w14:paraId="2F02F0D4" w14:textId="77777777" w:rsidR="003630CA" w:rsidRPr="003630CA" w:rsidRDefault="003630CA" w:rsidP="003630CA">
      <w:pPr>
        <w:rPr>
          <w:b/>
          <w:bCs/>
          <w:lang w:val="en-US"/>
        </w:rPr>
      </w:pPr>
      <w:r w:rsidRPr="003630CA">
        <w:rPr>
          <w:b/>
          <w:bCs/>
        </w:rPr>
        <w:t>Genotoxicity</w:t>
      </w:r>
    </w:p>
    <w:p w14:paraId="1EDDC14C" w14:textId="77777777" w:rsidR="003630CA" w:rsidRPr="003630CA" w:rsidRDefault="003630CA" w:rsidP="003630CA">
      <w:pPr>
        <w:rPr>
          <w:lang w:val="en-US"/>
        </w:rPr>
      </w:pPr>
      <w:r w:rsidRPr="003630CA">
        <w:t>Formal genotoxicity studies have not been conducted with crizanlizumab. As a large protein molecule, crizanlizumab is not expected to interact directly with DNA or other chromosomal material.</w:t>
      </w:r>
    </w:p>
    <w:p w14:paraId="3C4D30A4" w14:textId="77777777" w:rsidR="003630CA" w:rsidRPr="003630CA" w:rsidRDefault="003630CA" w:rsidP="003630CA">
      <w:pPr>
        <w:rPr>
          <w:b/>
          <w:bCs/>
          <w:lang w:val="en-US"/>
        </w:rPr>
      </w:pPr>
      <w:proofErr w:type="spellStart"/>
      <w:r w:rsidRPr="003630CA">
        <w:rPr>
          <w:b/>
          <w:bCs/>
        </w:rPr>
        <w:t>Carcin</w:t>
      </w:r>
      <w:r w:rsidRPr="003630CA">
        <w:rPr>
          <w:b/>
          <w:bCs/>
          <w:lang w:val="en-US"/>
        </w:rPr>
        <w:t>ogenicity</w:t>
      </w:r>
      <w:proofErr w:type="spellEnd"/>
      <w:r w:rsidRPr="003630CA">
        <w:rPr>
          <w:b/>
          <w:bCs/>
          <w:lang w:val="en-US"/>
        </w:rPr>
        <w:t xml:space="preserve"> </w:t>
      </w:r>
    </w:p>
    <w:p w14:paraId="784FC79C" w14:textId="77777777" w:rsidR="003630CA" w:rsidRPr="003630CA" w:rsidRDefault="003630CA" w:rsidP="003630CA">
      <w:pPr>
        <w:rPr>
          <w:lang w:val="en-US"/>
        </w:rPr>
      </w:pPr>
      <w:r w:rsidRPr="003630CA">
        <w:t>Formal carcinogenicity studies have not been conducted with crizanlizumab.</w:t>
      </w:r>
    </w:p>
    <w:p w14:paraId="27A9A92E" w14:textId="77777777" w:rsidR="003630CA" w:rsidRPr="003630CA" w:rsidRDefault="003630CA" w:rsidP="003630CA">
      <w:pPr>
        <w:rPr>
          <w:b/>
          <w:bCs/>
        </w:rPr>
      </w:pPr>
      <w:bookmarkStart w:id="14" w:name="_nth_Safety_pharmacology_an20957"/>
      <w:bookmarkEnd w:id="14"/>
      <w:r w:rsidRPr="003630CA">
        <w:rPr>
          <w:b/>
          <w:bCs/>
        </w:rPr>
        <w:t xml:space="preserve">Animal toxicology and/or pharmacology </w:t>
      </w:r>
    </w:p>
    <w:p w14:paraId="32CC06C7" w14:textId="77777777" w:rsidR="003630CA" w:rsidRPr="003630CA" w:rsidRDefault="003630CA" w:rsidP="003630CA">
      <w:r w:rsidRPr="003630CA">
        <w:t>In the 26-week repeat-dose toxicity study, administration of crizanlizumab in cynomolgus monkeys at dose levels up to 50 mg/kg/dose once every 4 weeks (</w:t>
      </w:r>
      <w:r w:rsidRPr="003630CA">
        <w:rPr>
          <w:lang w:val="en-GB"/>
        </w:rPr>
        <w:t xml:space="preserve">at least 13.5 </w:t>
      </w:r>
      <w:r w:rsidRPr="003630CA">
        <w:t>times the human clinical exposure based on AUC in patients with sickle cell disease at 5 mg/kg once every four weeks) resulted in minimal to moderate inflammation of the vessels in multiple tissues in 2 of 10 animals.</w:t>
      </w:r>
    </w:p>
    <w:p w14:paraId="325065E8" w14:textId="490C6264" w:rsidR="003630CA" w:rsidRPr="003630CA" w:rsidRDefault="003630CA" w:rsidP="003630CA">
      <w:pPr>
        <w:rPr>
          <w:b/>
          <w:bCs/>
          <w:sz w:val="28"/>
          <w:szCs w:val="28"/>
          <w:lang w:val="en-US"/>
        </w:rPr>
      </w:pPr>
      <w:r>
        <w:rPr>
          <w:b/>
          <w:bCs/>
          <w:sz w:val="28"/>
          <w:szCs w:val="28"/>
          <w:lang w:val="en-US"/>
        </w:rPr>
        <w:t xml:space="preserve">6.  </w:t>
      </w:r>
      <w:r w:rsidRPr="003630CA">
        <w:rPr>
          <w:b/>
          <w:bCs/>
          <w:sz w:val="28"/>
          <w:szCs w:val="28"/>
          <w:lang w:val="en-US"/>
        </w:rPr>
        <w:t>Pharmaceutical particulars</w:t>
      </w:r>
    </w:p>
    <w:p w14:paraId="51624800" w14:textId="170C5598" w:rsidR="003630CA" w:rsidRPr="003630CA" w:rsidRDefault="003630CA" w:rsidP="003630CA">
      <w:pPr>
        <w:rPr>
          <w:b/>
          <w:lang w:val="en-US"/>
        </w:rPr>
      </w:pPr>
      <w:r>
        <w:rPr>
          <w:b/>
          <w:lang w:val="en-US"/>
        </w:rPr>
        <w:t xml:space="preserve">6.1 </w:t>
      </w:r>
      <w:r w:rsidRPr="003630CA">
        <w:rPr>
          <w:b/>
          <w:lang w:val="en-US"/>
        </w:rPr>
        <w:t xml:space="preserve">List of excipients </w:t>
      </w:r>
    </w:p>
    <w:p w14:paraId="42711638" w14:textId="77777777" w:rsidR="003630CA" w:rsidRPr="003630CA" w:rsidRDefault="003630CA" w:rsidP="003630CA">
      <w:pPr>
        <w:rPr>
          <w:lang w:val="en-US"/>
        </w:rPr>
      </w:pPr>
      <w:r w:rsidRPr="003630CA">
        <w:t>Sucrose, sodium citrate, citric acid, polysorbate 80, water for injection.</w:t>
      </w:r>
    </w:p>
    <w:p w14:paraId="076E439B" w14:textId="10B6CF9C" w:rsidR="003630CA" w:rsidRPr="003630CA" w:rsidRDefault="003630CA" w:rsidP="003630CA">
      <w:pPr>
        <w:rPr>
          <w:b/>
          <w:lang w:val="en-US"/>
        </w:rPr>
      </w:pPr>
      <w:r>
        <w:rPr>
          <w:b/>
          <w:lang w:val="en-US"/>
        </w:rPr>
        <w:t xml:space="preserve">6.2 </w:t>
      </w:r>
      <w:r w:rsidRPr="003630CA">
        <w:rPr>
          <w:b/>
          <w:lang w:val="en-US"/>
        </w:rPr>
        <w:t xml:space="preserve">Incompatibilities </w:t>
      </w:r>
    </w:p>
    <w:p w14:paraId="2C243BF2" w14:textId="77777777" w:rsidR="003630CA" w:rsidRPr="003630CA" w:rsidRDefault="003630CA" w:rsidP="003630CA">
      <w:pPr>
        <w:rPr>
          <w:lang w:val="en"/>
        </w:rPr>
      </w:pPr>
      <w:r w:rsidRPr="003630CA">
        <w:t>ADAKVEO must not be mixed with other medicinal products.</w:t>
      </w:r>
    </w:p>
    <w:p w14:paraId="051C73F5" w14:textId="77777777" w:rsidR="003630CA" w:rsidRPr="003630CA" w:rsidRDefault="003630CA" w:rsidP="003630CA">
      <w:pPr>
        <w:rPr>
          <w:lang w:val="en"/>
        </w:rPr>
      </w:pPr>
      <w:r w:rsidRPr="003630CA">
        <w:t xml:space="preserve">No incompatibilities have been observed between ADAKVEO and infusion sets composed of polyvinylchloride (PVC), polyethylene (PE-lined PVC), polyurethane, and in-line filter membranes composed of </w:t>
      </w:r>
      <w:proofErr w:type="spellStart"/>
      <w:r w:rsidRPr="003630CA">
        <w:t>polyethersulfone</w:t>
      </w:r>
      <w:proofErr w:type="spellEnd"/>
      <w:r w:rsidRPr="003630CA">
        <w:t xml:space="preserve"> (PES), polyamide (PA), </w:t>
      </w:r>
      <w:proofErr w:type="spellStart"/>
      <w:r w:rsidRPr="003630CA">
        <w:t>polysulphone</w:t>
      </w:r>
      <w:proofErr w:type="spellEnd"/>
      <w:r w:rsidRPr="003630CA">
        <w:t xml:space="preserve"> (PSU). </w:t>
      </w:r>
    </w:p>
    <w:p w14:paraId="2F992498" w14:textId="1D106065" w:rsidR="003630CA" w:rsidRPr="003630CA" w:rsidRDefault="003630CA" w:rsidP="003630CA">
      <w:pPr>
        <w:rPr>
          <w:b/>
          <w:lang w:val="en-US"/>
        </w:rPr>
      </w:pPr>
      <w:r>
        <w:rPr>
          <w:b/>
          <w:lang w:val="en-US"/>
        </w:rPr>
        <w:t xml:space="preserve">6.3 </w:t>
      </w:r>
      <w:r w:rsidRPr="003630CA">
        <w:rPr>
          <w:b/>
          <w:lang w:val="en-US"/>
        </w:rPr>
        <w:t xml:space="preserve">Shelf life </w:t>
      </w:r>
    </w:p>
    <w:p w14:paraId="211DA39A" w14:textId="77777777" w:rsidR="003630CA" w:rsidRPr="003630CA" w:rsidRDefault="003630CA" w:rsidP="003630CA">
      <w:pPr>
        <w:rPr>
          <w:lang w:val="en-US"/>
        </w:rPr>
      </w:pPr>
      <w:r w:rsidRPr="003630CA">
        <w:rPr>
          <w:lang w:val="en"/>
        </w:rPr>
        <w:t xml:space="preserve">In Australia, information on the shelf life can be found on the public summary of the Australian Register of Therapeutic Goods (ARTG). The expiry date can be found on the packaging. </w:t>
      </w:r>
    </w:p>
    <w:p w14:paraId="091A1042" w14:textId="62B8D7FD" w:rsidR="003630CA" w:rsidRPr="003630CA" w:rsidRDefault="003630CA" w:rsidP="003630CA">
      <w:pPr>
        <w:rPr>
          <w:b/>
          <w:lang w:val="en-US"/>
        </w:rPr>
      </w:pPr>
      <w:r>
        <w:rPr>
          <w:b/>
          <w:lang w:val="en-US"/>
        </w:rPr>
        <w:t xml:space="preserve">6.4 </w:t>
      </w:r>
      <w:r w:rsidRPr="003630CA">
        <w:rPr>
          <w:b/>
          <w:lang w:val="en-US"/>
        </w:rPr>
        <w:t xml:space="preserve">Special precautions for storage </w:t>
      </w:r>
    </w:p>
    <w:p w14:paraId="47EE6820" w14:textId="77777777" w:rsidR="003630CA" w:rsidRPr="003630CA" w:rsidRDefault="003630CA" w:rsidP="003630CA">
      <w:pPr>
        <w:numPr>
          <w:ilvl w:val="0"/>
          <w:numId w:val="43"/>
        </w:numPr>
      </w:pPr>
      <w:r w:rsidRPr="003630CA">
        <w:t>Store refrigerated at 2°C to 8°C in the original carton to protect from light until time of use.</w:t>
      </w:r>
    </w:p>
    <w:p w14:paraId="201D7DA7" w14:textId="77777777" w:rsidR="003630CA" w:rsidRPr="003630CA" w:rsidRDefault="003630CA" w:rsidP="003630CA">
      <w:pPr>
        <w:numPr>
          <w:ilvl w:val="0"/>
          <w:numId w:val="43"/>
        </w:numPr>
        <w:rPr>
          <w:lang w:val="en-US"/>
        </w:rPr>
      </w:pPr>
      <w:r w:rsidRPr="003630CA">
        <w:t>Do not freeze.</w:t>
      </w:r>
    </w:p>
    <w:p w14:paraId="266A23F8" w14:textId="2D1D148F" w:rsidR="003630CA" w:rsidRPr="003630CA" w:rsidRDefault="003630CA" w:rsidP="003630CA">
      <w:pPr>
        <w:rPr>
          <w:b/>
          <w:lang w:val="en-US"/>
        </w:rPr>
      </w:pPr>
      <w:r>
        <w:rPr>
          <w:b/>
          <w:lang w:val="en-US"/>
        </w:rPr>
        <w:lastRenderedPageBreak/>
        <w:t xml:space="preserve">6.5 </w:t>
      </w:r>
      <w:r w:rsidRPr="003630CA">
        <w:rPr>
          <w:b/>
          <w:lang w:val="en-US"/>
        </w:rPr>
        <w:t xml:space="preserve">Nature and contents of container </w:t>
      </w:r>
    </w:p>
    <w:p w14:paraId="50F2B2B1" w14:textId="77777777" w:rsidR="003630CA" w:rsidRPr="003630CA" w:rsidRDefault="003630CA" w:rsidP="003630CA">
      <w:pPr>
        <w:rPr>
          <w:lang w:val="en-US"/>
        </w:rPr>
      </w:pPr>
      <w:r w:rsidRPr="003630CA">
        <w:t xml:space="preserve">Colourless 10 mL glass vial with a </w:t>
      </w:r>
      <w:proofErr w:type="spellStart"/>
      <w:r w:rsidRPr="003630CA">
        <w:t>chlorobutyl</w:t>
      </w:r>
      <w:proofErr w:type="spellEnd"/>
      <w:r w:rsidRPr="003630CA">
        <w:t xml:space="preserve"> rubber stopper and an aluminium cap with a plastic flip-off disk. </w:t>
      </w:r>
    </w:p>
    <w:p w14:paraId="09BE02BA" w14:textId="27C15C64" w:rsidR="003630CA" w:rsidRPr="003630CA" w:rsidRDefault="003630CA" w:rsidP="003630CA">
      <w:pPr>
        <w:rPr>
          <w:b/>
          <w:lang w:val="en-US"/>
        </w:rPr>
      </w:pPr>
      <w:r>
        <w:rPr>
          <w:b/>
          <w:lang w:val="en-US"/>
        </w:rPr>
        <w:t xml:space="preserve">6.6 </w:t>
      </w:r>
      <w:r w:rsidRPr="003630CA">
        <w:rPr>
          <w:b/>
          <w:lang w:val="en-US"/>
        </w:rPr>
        <w:t xml:space="preserve">Special precautions for disposal </w:t>
      </w:r>
    </w:p>
    <w:p w14:paraId="597B458D" w14:textId="77777777" w:rsidR="003630CA" w:rsidRPr="003630CA" w:rsidRDefault="003630CA" w:rsidP="003630CA">
      <w:pPr>
        <w:rPr>
          <w:lang w:val="en-US"/>
        </w:rPr>
      </w:pPr>
      <w:r w:rsidRPr="003630CA">
        <w:rPr>
          <w:lang w:val="en"/>
        </w:rPr>
        <w:t xml:space="preserve">In Australia, any unused medicine or waste material should be disposed of in accordance with local requirements. </w:t>
      </w:r>
    </w:p>
    <w:p w14:paraId="692823F6" w14:textId="73772819" w:rsidR="003630CA" w:rsidRPr="003630CA" w:rsidRDefault="003630CA" w:rsidP="003630CA">
      <w:pPr>
        <w:rPr>
          <w:b/>
          <w:lang w:val="en-US"/>
        </w:rPr>
      </w:pPr>
      <w:r>
        <w:rPr>
          <w:b/>
          <w:lang w:val="en-US"/>
        </w:rPr>
        <w:t xml:space="preserve">6.7 </w:t>
      </w:r>
      <w:r w:rsidRPr="003630CA">
        <w:rPr>
          <w:b/>
          <w:lang w:val="en-US"/>
        </w:rPr>
        <w:t>Physicochemical properties</w:t>
      </w:r>
    </w:p>
    <w:p w14:paraId="43F88A3B" w14:textId="77777777" w:rsidR="003630CA" w:rsidRPr="003630CA" w:rsidRDefault="003630CA" w:rsidP="003630CA">
      <w:pPr>
        <w:rPr>
          <w:b/>
          <w:bCs/>
          <w:lang w:val="en-US"/>
        </w:rPr>
      </w:pPr>
      <w:r w:rsidRPr="003630CA">
        <w:rPr>
          <w:b/>
          <w:bCs/>
          <w:lang w:val="en-US"/>
        </w:rPr>
        <w:t>Chemical structure</w:t>
      </w:r>
    </w:p>
    <w:p w14:paraId="30DBC88F" w14:textId="77777777" w:rsidR="003630CA" w:rsidRPr="003630CA" w:rsidRDefault="003630CA" w:rsidP="003630CA">
      <w:pPr>
        <w:rPr>
          <w:lang w:val="en-US"/>
        </w:rPr>
      </w:pPr>
      <w:r w:rsidRPr="003630CA">
        <w:t>Crizanlizumab is a high-affinity humanized anti-human-P-selectin monoclonal antibody that belongs to the IgG2a/</w:t>
      </w:r>
      <w:r w:rsidRPr="003630CA">
        <w:rPr>
          <w:rFonts w:hint="eastAsia"/>
        </w:rPr>
        <w:t>κ</w:t>
      </w:r>
      <w:r w:rsidRPr="003630CA">
        <w:t xml:space="preserve"> isotype subclass. It is expressed in a Chinese hamster ovary (CHO) cell line (CHO-C8TD) and consists of two heavy chains and two light chains. Both heavy chains of crizanlizumab contain oligosaccharide chains linked to the protein backbone at Asn298.</w:t>
      </w:r>
    </w:p>
    <w:p w14:paraId="7AA9E898" w14:textId="77777777" w:rsidR="003630CA" w:rsidRPr="003630CA" w:rsidRDefault="003630CA" w:rsidP="003630CA">
      <w:pPr>
        <w:rPr>
          <w:b/>
          <w:bCs/>
          <w:lang w:val="en-US"/>
        </w:rPr>
      </w:pPr>
      <w:r w:rsidRPr="003630CA">
        <w:rPr>
          <w:b/>
          <w:bCs/>
          <w:lang w:val="en-US"/>
        </w:rPr>
        <w:t>CAS number</w:t>
      </w:r>
    </w:p>
    <w:p w14:paraId="634CF678" w14:textId="77777777" w:rsidR="003630CA" w:rsidRPr="003630CA" w:rsidRDefault="003630CA" w:rsidP="003630CA">
      <w:pPr>
        <w:rPr>
          <w:lang w:val="en-US"/>
        </w:rPr>
      </w:pPr>
      <w:r w:rsidRPr="003630CA">
        <w:rPr>
          <w:lang w:val="en-US"/>
        </w:rPr>
        <w:t>1690318-25-2</w:t>
      </w:r>
    </w:p>
    <w:p w14:paraId="1A983F20" w14:textId="1EE8426F" w:rsidR="003630CA" w:rsidRPr="003630CA" w:rsidRDefault="003630CA" w:rsidP="003630CA">
      <w:pPr>
        <w:pStyle w:val="ListParagraph"/>
        <w:numPr>
          <w:ilvl w:val="0"/>
          <w:numId w:val="39"/>
        </w:numPr>
        <w:rPr>
          <w:b/>
          <w:bCs/>
          <w:sz w:val="28"/>
          <w:szCs w:val="28"/>
          <w:lang w:val="en-US"/>
        </w:rPr>
      </w:pPr>
      <w:r w:rsidRPr="003630CA">
        <w:rPr>
          <w:b/>
          <w:bCs/>
          <w:sz w:val="28"/>
          <w:szCs w:val="28"/>
          <w:lang w:val="en-US"/>
        </w:rPr>
        <w:t>Medicine schedule (Poisons Standard)</w:t>
      </w:r>
    </w:p>
    <w:p w14:paraId="5DBA66D2" w14:textId="77777777" w:rsidR="003630CA" w:rsidRPr="003630CA" w:rsidRDefault="003630CA" w:rsidP="003630CA">
      <w:pPr>
        <w:rPr>
          <w:lang w:val="en-US"/>
        </w:rPr>
      </w:pPr>
      <w:r w:rsidRPr="003630CA">
        <w:rPr>
          <w:lang w:val="en-US"/>
        </w:rPr>
        <w:t>Prescriptions Only Medicine (S4)</w:t>
      </w:r>
    </w:p>
    <w:p w14:paraId="530768F8" w14:textId="105621CD" w:rsidR="003630CA" w:rsidRPr="003630CA" w:rsidRDefault="003630CA" w:rsidP="003630CA">
      <w:pPr>
        <w:pStyle w:val="ListParagraph"/>
        <w:numPr>
          <w:ilvl w:val="0"/>
          <w:numId w:val="39"/>
        </w:numPr>
        <w:rPr>
          <w:b/>
          <w:bCs/>
          <w:sz w:val="28"/>
          <w:szCs w:val="28"/>
          <w:lang w:val="en-US"/>
        </w:rPr>
      </w:pPr>
      <w:r w:rsidRPr="003630CA">
        <w:rPr>
          <w:b/>
          <w:bCs/>
          <w:sz w:val="28"/>
          <w:szCs w:val="28"/>
          <w:lang w:val="en-US"/>
        </w:rPr>
        <w:t xml:space="preserve">Sponsor </w:t>
      </w:r>
    </w:p>
    <w:p w14:paraId="5E52D466" w14:textId="77777777" w:rsidR="003630CA" w:rsidRPr="003630CA" w:rsidRDefault="003630CA" w:rsidP="003630CA">
      <w:pPr>
        <w:rPr>
          <w:lang w:val="en-US"/>
        </w:rPr>
      </w:pPr>
      <w:r w:rsidRPr="003630CA">
        <w:rPr>
          <w:lang w:val="en-US"/>
        </w:rPr>
        <w:t>Novartis Pharmaceuticals Australia Pty Limited</w:t>
      </w:r>
    </w:p>
    <w:p w14:paraId="2AAB32E2" w14:textId="77777777" w:rsidR="003630CA" w:rsidRPr="003630CA" w:rsidRDefault="003630CA" w:rsidP="003630CA">
      <w:pPr>
        <w:rPr>
          <w:lang w:val="en-US"/>
        </w:rPr>
      </w:pPr>
      <w:r w:rsidRPr="003630CA">
        <w:rPr>
          <w:lang w:val="en-US"/>
        </w:rPr>
        <w:t>ABN 18 004 244 160</w:t>
      </w:r>
    </w:p>
    <w:p w14:paraId="04CBDC2D" w14:textId="77777777" w:rsidR="003630CA" w:rsidRPr="003630CA" w:rsidRDefault="003630CA" w:rsidP="003630CA">
      <w:pPr>
        <w:rPr>
          <w:lang w:val="en-US"/>
        </w:rPr>
      </w:pPr>
      <w:r w:rsidRPr="003630CA">
        <w:rPr>
          <w:lang w:val="en-US"/>
        </w:rPr>
        <w:t>54 Waterloo Road</w:t>
      </w:r>
    </w:p>
    <w:p w14:paraId="1BCA562F" w14:textId="77777777" w:rsidR="003630CA" w:rsidRPr="003630CA" w:rsidRDefault="003630CA" w:rsidP="003630CA">
      <w:pPr>
        <w:rPr>
          <w:lang w:val="en-US"/>
        </w:rPr>
      </w:pPr>
      <w:r w:rsidRPr="003630CA">
        <w:rPr>
          <w:lang w:val="en-US"/>
        </w:rPr>
        <w:t>Macquarie Park NSW 2113</w:t>
      </w:r>
    </w:p>
    <w:p w14:paraId="3C590684" w14:textId="77777777" w:rsidR="003630CA" w:rsidRPr="003630CA" w:rsidRDefault="003630CA" w:rsidP="003630CA">
      <w:r w:rsidRPr="003630CA">
        <w:t>Telephone 1 800 671 203</w:t>
      </w:r>
    </w:p>
    <w:p w14:paraId="3E5BCDB2" w14:textId="77777777" w:rsidR="003630CA" w:rsidRPr="003630CA" w:rsidRDefault="003630CA" w:rsidP="003630CA">
      <w:r w:rsidRPr="003630CA">
        <w:t xml:space="preserve">Web site: </w:t>
      </w:r>
      <w:hyperlink r:id="rId11" w:history="1">
        <w:r w:rsidRPr="003630CA">
          <w:rPr>
            <w:rStyle w:val="Hyperlink"/>
          </w:rPr>
          <w:t>www.novartis.com.au</w:t>
        </w:r>
      </w:hyperlink>
    </w:p>
    <w:p w14:paraId="62EEF40A" w14:textId="77777777" w:rsidR="003630CA" w:rsidRPr="003630CA" w:rsidRDefault="003630CA" w:rsidP="003630CA">
      <w:pPr>
        <w:rPr>
          <w:lang w:val="en-US"/>
        </w:rPr>
      </w:pPr>
      <w:r w:rsidRPr="003630CA">
        <w:rPr>
          <w:lang w:val="en-US"/>
        </w:rPr>
        <w:t>® = Registered Trademark</w:t>
      </w:r>
    </w:p>
    <w:p w14:paraId="0414FD53" w14:textId="77777777" w:rsidR="003630CA" w:rsidRPr="003630CA" w:rsidRDefault="003630CA" w:rsidP="003630CA">
      <w:pPr>
        <w:rPr>
          <w:lang w:val="en-US"/>
        </w:rPr>
      </w:pPr>
    </w:p>
    <w:p w14:paraId="34471CE3" w14:textId="623AE536" w:rsidR="003630CA" w:rsidRPr="003630CA" w:rsidRDefault="003630CA" w:rsidP="003630CA">
      <w:pPr>
        <w:pStyle w:val="ListParagraph"/>
        <w:numPr>
          <w:ilvl w:val="0"/>
          <w:numId w:val="39"/>
        </w:numPr>
        <w:rPr>
          <w:b/>
          <w:bCs/>
          <w:sz w:val="28"/>
          <w:szCs w:val="28"/>
          <w:lang w:val="en-US"/>
        </w:rPr>
      </w:pPr>
      <w:r w:rsidRPr="003630CA">
        <w:rPr>
          <w:b/>
          <w:bCs/>
          <w:sz w:val="28"/>
          <w:szCs w:val="28"/>
          <w:lang w:val="en-US"/>
        </w:rPr>
        <w:t xml:space="preserve">Date of first approval  </w:t>
      </w:r>
    </w:p>
    <w:p w14:paraId="272C1219" w14:textId="77777777" w:rsidR="003630CA" w:rsidRPr="003630CA" w:rsidRDefault="003630CA" w:rsidP="003630CA">
      <w:pPr>
        <w:rPr>
          <w:lang w:val="en-US"/>
        </w:rPr>
      </w:pPr>
      <w:r w:rsidRPr="003630CA">
        <w:rPr>
          <w:lang w:val="en-US"/>
        </w:rPr>
        <w:t>8 April 2021</w:t>
      </w:r>
    </w:p>
    <w:p w14:paraId="60BF168E" w14:textId="35DA4568" w:rsidR="003630CA" w:rsidRPr="003630CA" w:rsidRDefault="003630CA" w:rsidP="003630CA">
      <w:pPr>
        <w:pStyle w:val="ListParagraph"/>
        <w:numPr>
          <w:ilvl w:val="0"/>
          <w:numId w:val="39"/>
        </w:numPr>
        <w:rPr>
          <w:b/>
          <w:bCs/>
          <w:sz w:val="28"/>
          <w:szCs w:val="28"/>
          <w:lang w:val="en-US"/>
        </w:rPr>
      </w:pPr>
      <w:r w:rsidRPr="003630CA">
        <w:rPr>
          <w:b/>
          <w:bCs/>
          <w:sz w:val="28"/>
          <w:szCs w:val="28"/>
          <w:lang w:val="en-US"/>
        </w:rPr>
        <w:t xml:space="preserve">Date of revision </w:t>
      </w:r>
    </w:p>
    <w:p w14:paraId="1DD13EBF" w14:textId="77777777" w:rsidR="003630CA" w:rsidRPr="003630CA" w:rsidRDefault="003630CA" w:rsidP="003630CA">
      <w:pPr>
        <w:rPr>
          <w:lang w:val="en-US"/>
        </w:rPr>
      </w:pPr>
      <w:r w:rsidRPr="003630CA">
        <w:rPr>
          <w:lang w:val="en-US"/>
        </w:rPr>
        <w:t>NA</w:t>
      </w:r>
    </w:p>
    <w:p w14:paraId="7F60F435" w14:textId="77777777" w:rsidR="003630CA" w:rsidRPr="003630CA" w:rsidRDefault="003630CA" w:rsidP="003630CA">
      <w:pPr>
        <w:rPr>
          <w:lang w:val="en-US"/>
        </w:rPr>
      </w:pPr>
      <w:r w:rsidRPr="003630CA">
        <mc:AlternateContent>
          <mc:Choice Requires="wps">
            <w:drawing>
              <wp:anchor distT="0" distB="0" distL="114300" distR="114300" simplePos="0" relativeHeight="251659264" behindDoc="0" locked="0" layoutInCell="1" allowOverlap="1" wp14:anchorId="3141F590" wp14:editId="4A7659CC">
                <wp:simplePos x="0" y="0"/>
                <wp:positionH relativeFrom="margin">
                  <wp:align>left</wp:align>
                </wp:positionH>
                <wp:positionV relativeFrom="paragraph">
                  <wp:posOffset>182245</wp:posOffset>
                </wp:positionV>
                <wp:extent cx="6338455" cy="6927"/>
                <wp:effectExtent l="0" t="0" r="24765" b="31750"/>
                <wp:wrapNone/>
                <wp:docPr id="1374" name="Straight Connector 1374"/>
                <wp:cNvGraphicFramePr/>
                <a:graphic xmlns:a="http://schemas.openxmlformats.org/drawingml/2006/main">
                  <a:graphicData uri="http://schemas.microsoft.com/office/word/2010/wordprocessingShape">
                    <wps:wsp>
                      <wps:cNvCnPr/>
                      <wps:spPr>
                        <a:xfrm>
                          <a:off x="0" y="0"/>
                          <a:ext cx="6338455" cy="69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E9E010" id="Straight Connector 1374"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14.35pt" to="499.1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" strokecolor="#002c47 [3213]">
                <w10:wrap anchorx="margin"/>
              </v:line>
            </w:pict>
          </mc:Fallback>
        </mc:AlternateContent>
      </w:r>
    </w:p>
    <w:p w14:paraId="458598C1" w14:textId="77777777" w:rsidR="003630CA" w:rsidRPr="003630CA" w:rsidRDefault="003630CA" w:rsidP="003630CA">
      <w:r w:rsidRPr="003630CA">
        <w:rPr>
          <w:lang w:val="en-US"/>
        </w:rPr>
        <w:t>Internal document code: ada060421i based on CDS 8 January 2021</w:t>
      </w:r>
    </w:p>
    <w:p w14:paraId="52271EBD" w14:textId="6C464530" w:rsidR="00FF3CD7" w:rsidRDefault="00FF3CD7" w:rsidP="00E4411A"/>
    <w:sectPr w:rsidR="00FF3CD7" w:rsidSect="001A3B88">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842" w:right="1418" w:bottom="1361" w:left="1418" w:header="28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AFC20" w14:textId="77777777" w:rsidR="00FF3CD7" w:rsidRDefault="00FF3CD7" w:rsidP="00C40A36">
      <w:r>
        <w:separator/>
      </w:r>
    </w:p>
  </w:endnote>
  <w:endnote w:type="continuationSeparator" w:id="0">
    <w:p w14:paraId="0B945E2E" w14:textId="77777777" w:rsidR="00FF3CD7" w:rsidRDefault="00FF3CD7"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216B6" w14:textId="77777777" w:rsidR="001A3B88" w:rsidRDefault="001A3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010726"/>
      <w:docPartObj>
        <w:docPartGallery w:val="Page Numbers (Bottom of Page)"/>
        <w:docPartUnique/>
      </w:docPartObj>
    </w:sdtPr>
    <w:sdtEndPr/>
    <w:sdtContent>
      <w:sdt>
        <w:sdtPr>
          <w:id w:val="-1897117813"/>
          <w:docPartObj>
            <w:docPartGallery w:val="Page Numbers (Top of Page)"/>
            <w:docPartUnique/>
          </w:docPartObj>
        </w:sdtPr>
        <w:sdtEndPr/>
        <w:sdtContent>
          <w:p w14:paraId="1C4FCCFE" w14:textId="77777777" w:rsidR="00161489" w:rsidRDefault="00161489" w:rsidP="00161489">
            <w:pPr>
              <w:pStyle w:val="Footer"/>
              <w:pBdr>
                <w:top w:val="single" w:sz="4" w:space="1" w:color="auto"/>
              </w:pBd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11E8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11E87">
              <w:rPr>
                <w:b/>
                <w:bCs/>
                <w:noProof/>
              </w:rPr>
              <w:t>1</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748873"/>
      <w:docPartObj>
        <w:docPartGallery w:val="Page Numbers (Bottom of Page)"/>
        <w:docPartUnique/>
      </w:docPartObj>
    </w:sdtPr>
    <w:sdtEndPr/>
    <w:sdtContent>
      <w:sdt>
        <w:sdtPr>
          <w:id w:val="-1769616900"/>
          <w:docPartObj>
            <w:docPartGallery w:val="Page Numbers (Top of Page)"/>
            <w:docPartUnique/>
          </w:docPartObj>
        </w:sdtPr>
        <w:sdtEndPr/>
        <w:sdtContent>
          <w:p w14:paraId="5F060C74" w14:textId="77777777" w:rsidR="00161489" w:rsidRDefault="00161489" w:rsidP="001614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07857" w14:textId="77777777" w:rsidR="00FF3CD7" w:rsidRDefault="00FF3CD7" w:rsidP="00C40A36">
      <w:r>
        <w:separator/>
      </w:r>
    </w:p>
  </w:footnote>
  <w:footnote w:type="continuationSeparator" w:id="0">
    <w:p w14:paraId="2665116F" w14:textId="77777777" w:rsidR="00FF3CD7" w:rsidRDefault="00FF3CD7"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9B547" w14:textId="77777777" w:rsidR="001A3B88" w:rsidRDefault="001A3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8897"/>
    </w:tblGrid>
    <w:tr w:rsidR="00FF3CD7" w:rsidRPr="000B2145" w14:paraId="05E48288" w14:textId="77777777" w:rsidTr="001A3B88">
      <w:trPr>
        <w:trHeight w:val="558"/>
      </w:trPr>
      <w:tc>
        <w:tcPr>
          <w:tcW w:w="8897" w:type="dxa"/>
          <w:shd w:val="clear" w:color="auto" w:fill="E4F2E0"/>
        </w:tcPr>
        <w:p w14:paraId="3BA3619C" w14:textId="77777777" w:rsidR="00FF3CD7" w:rsidRPr="000E4791" w:rsidRDefault="00FF3CD7" w:rsidP="00FF3CD7">
          <w:pPr>
            <w:pStyle w:val="Footer"/>
            <w:rPr>
              <w:b/>
              <w:sz w:val="18"/>
              <w:szCs w:val="18"/>
            </w:rPr>
          </w:pPr>
          <w:bookmarkStart w:id="15" w:name="_Hlk80611440"/>
          <w:r w:rsidRPr="000E4791">
            <w:rPr>
              <w:b/>
              <w:sz w:val="18"/>
              <w:szCs w:val="18"/>
            </w:rPr>
            <w:t>Attachment 1:</w:t>
          </w:r>
          <w:r w:rsidRPr="000E4791">
            <w:rPr>
              <w:b/>
            </w:rPr>
            <w:t xml:space="preserve"> </w:t>
          </w:r>
          <w:proofErr w:type="spellStart"/>
          <w:r w:rsidRPr="000E4791">
            <w:rPr>
              <w:b/>
            </w:rPr>
            <w:t>AusPAR</w:t>
          </w:r>
          <w:proofErr w:type="spellEnd"/>
          <w:r w:rsidRPr="000E4791">
            <w:rPr>
              <w:b/>
            </w:rPr>
            <w:t xml:space="preserve"> - </w:t>
          </w:r>
          <w:proofErr w:type="spellStart"/>
          <w:r w:rsidRPr="000E4791">
            <w:rPr>
              <w:b/>
            </w:rPr>
            <w:t>Adakveo</w:t>
          </w:r>
          <w:proofErr w:type="spellEnd"/>
          <w:r w:rsidRPr="000E4791">
            <w:rPr>
              <w:b/>
            </w:rPr>
            <w:t xml:space="preserve"> - crizanlizumab - Novartis Pharmaceuticals Australia Pty Ltd - PM-2019-05705-1-6 FINAL 16 July 2021.</w:t>
          </w:r>
          <w:r w:rsidRPr="000E4791">
            <w:rPr>
              <w:b/>
              <w:sz w:val="18"/>
              <w:szCs w:val="18"/>
            </w:rPr>
            <w:t xml:space="preserve"> This is the Product Information that was approved with the submission described in this </w:t>
          </w:r>
          <w:proofErr w:type="spellStart"/>
          <w:r w:rsidRPr="000E4791">
            <w:rPr>
              <w:b/>
              <w:sz w:val="18"/>
              <w:szCs w:val="18"/>
            </w:rPr>
            <w:t>AusPAR</w:t>
          </w:r>
          <w:proofErr w:type="spellEnd"/>
          <w:r w:rsidRPr="000E4791">
            <w:rPr>
              <w:b/>
              <w:sz w:val="18"/>
              <w:szCs w:val="18"/>
            </w:rPr>
            <w:t>.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5"/>
  </w:tbl>
  <w:p w14:paraId="361BB024" w14:textId="77777777" w:rsidR="00FF3CD7" w:rsidRDefault="00FF3CD7" w:rsidP="00FF3CD7">
    <w:pPr>
      <w:pStyle w:val="Headernoline"/>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06ED9" w14:textId="77777777" w:rsidR="001A3B88" w:rsidRDefault="001A3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33.8pt;height:21.3pt;visibility:visible;mso-wrap-style:square" o:bullet="t">
        <v:imagedata r:id="rId1" o:title=""/>
      </v:shape>
    </w:pict>
  </w:numPicBullet>
  <w:abstractNum w:abstractNumId="0" w15:restartNumberingAfterBreak="0">
    <w:nsid w:val="FFFFFF7C"/>
    <w:multiLevelType w:val="singleLevel"/>
    <w:tmpl w:val="C1E01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DEDC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ACB9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FA0C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8C2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566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15:restartNumberingAfterBreak="0">
    <w:nsid w:val="FFFFFF88"/>
    <w:multiLevelType w:val="singleLevel"/>
    <w:tmpl w:val="8C7C0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C4ED6"/>
    <w:multiLevelType w:val="multilevel"/>
    <w:tmpl w:val="8D58F048"/>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EA46848"/>
    <w:multiLevelType w:val="hybridMultilevel"/>
    <w:tmpl w:val="D7CAED6A"/>
    <w:lvl w:ilvl="0" w:tplc="7F0C6FF8">
      <w:start w:val="1"/>
      <w:numFmt w:val="bullet"/>
      <w:lvlText w:val=""/>
      <w:lvlPicBulletId w:val="0"/>
      <w:lvlJc w:val="left"/>
      <w:pPr>
        <w:tabs>
          <w:tab w:val="num" w:pos="720"/>
        </w:tabs>
        <w:ind w:left="720" w:hanging="360"/>
      </w:pPr>
      <w:rPr>
        <w:rFonts w:ascii="Symbol" w:hAnsi="Symbol" w:hint="default"/>
      </w:rPr>
    </w:lvl>
    <w:lvl w:ilvl="1" w:tplc="E2DEDF64" w:tentative="1">
      <w:start w:val="1"/>
      <w:numFmt w:val="bullet"/>
      <w:lvlText w:val=""/>
      <w:lvlJc w:val="left"/>
      <w:pPr>
        <w:tabs>
          <w:tab w:val="num" w:pos="1440"/>
        </w:tabs>
        <w:ind w:left="1440" w:hanging="360"/>
      </w:pPr>
      <w:rPr>
        <w:rFonts w:ascii="Symbol" w:hAnsi="Symbol" w:hint="default"/>
      </w:rPr>
    </w:lvl>
    <w:lvl w:ilvl="2" w:tplc="BE625508" w:tentative="1">
      <w:start w:val="1"/>
      <w:numFmt w:val="bullet"/>
      <w:lvlText w:val=""/>
      <w:lvlJc w:val="left"/>
      <w:pPr>
        <w:tabs>
          <w:tab w:val="num" w:pos="2160"/>
        </w:tabs>
        <w:ind w:left="2160" w:hanging="360"/>
      </w:pPr>
      <w:rPr>
        <w:rFonts w:ascii="Symbol" w:hAnsi="Symbol" w:hint="default"/>
      </w:rPr>
    </w:lvl>
    <w:lvl w:ilvl="3" w:tplc="9A3C6DF2" w:tentative="1">
      <w:start w:val="1"/>
      <w:numFmt w:val="bullet"/>
      <w:lvlText w:val=""/>
      <w:lvlJc w:val="left"/>
      <w:pPr>
        <w:tabs>
          <w:tab w:val="num" w:pos="2880"/>
        </w:tabs>
        <w:ind w:left="2880" w:hanging="360"/>
      </w:pPr>
      <w:rPr>
        <w:rFonts w:ascii="Symbol" w:hAnsi="Symbol" w:hint="default"/>
      </w:rPr>
    </w:lvl>
    <w:lvl w:ilvl="4" w:tplc="7C344F90" w:tentative="1">
      <w:start w:val="1"/>
      <w:numFmt w:val="bullet"/>
      <w:lvlText w:val=""/>
      <w:lvlJc w:val="left"/>
      <w:pPr>
        <w:tabs>
          <w:tab w:val="num" w:pos="3600"/>
        </w:tabs>
        <w:ind w:left="3600" w:hanging="360"/>
      </w:pPr>
      <w:rPr>
        <w:rFonts w:ascii="Symbol" w:hAnsi="Symbol" w:hint="default"/>
      </w:rPr>
    </w:lvl>
    <w:lvl w:ilvl="5" w:tplc="B24C7AB8" w:tentative="1">
      <w:start w:val="1"/>
      <w:numFmt w:val="bullet"/>
      <w:lvlText w:val=""/>
      <w:lvlJc w:val="left"/>
      <w:pPr>
        <w:tabs>
          <w:tab w:val="num" w:pos="4320"/>
        </w:tabs>
        <w:ind w:left="4320" w:hanging="360"/>
      </w:pPr>
      <w:rPr>
        <w:rFonts w:ascii="Symbol" w:hAnsi="Symbol" w:hint="default"/>
      </w:rPr>
    </w:lvl>
    <w:lvl w:ilvl="6" w:tplc="79ECD508" w:tentative="1">
      <w:start w:val="1"/>
      <w:numFmt w:val="bullet"/>
      <w:lvlText w:val=""/>
      <w:lvlJc w:val="left"/>
      <w:pPr>
        <w:tabs>
          <w:tab w:val="num" w:pos="5040"/>
        </w:tabs>
        <w:ind w:left="5040" w:hanging="360"/>
      </w:pPr>
      <w:rPr>
        <w:rFonts w:ascii="Symbol" w:hAnsi="Symbol" w:hint="default"/>
      </w:rPr>
    </w:lvl>
    <w:lvl w:ilvl="7" w:tplc="0B1EDB92" w:tentative="1">
      <w:start w:val="1"/>
      <w:numFmt w:val="bullet"/>
      <w:lvlText w:val=""/>
      <w:lvlJc w:val="left"/>
      <w:pPr>
        <w:tabs>
          <w:tab w:val="num" w:pos="5760"/>
        </w:tabs>
        <w:ind w:left="5760" w:hanging="360"/>
      </w:pPr>
      <w:rPr>
        <w:rFonts w:ascii="Symbol" w:hAnsi="Symbol" w:hint="default"/>
      </w:rPr>
    </w:lvl>
    <w:lvl w:ilvl="8" w:tplc="EB62C26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3" w15:restartNumberingAfterBreak="0">
    <w:nsid w:val="168F13E9"/>
    <w:multiLevelType w:val="multilevel"/>
    <w:tmpl w:val="D1D689A0"/>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25EA4CF5"/>
    <w:multiLevelType w:val="hybridMultilevel"/>
    <w:tmpl w:val="1C16F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5A4B5B"/>
    <w:multiLevelType w:val="hybridMultilevel"/>
    <w:tmpl w:val="2B220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686EAB"/>
    <w:multiLevelType w:val="hybridMultilevel"/>
    <w:tmpl w:val="B95ED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F736D1"/>
    <w:multiLevelType w:val="hybridMultilevel"/>
    <w:tmpl w:val="EF5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07E9C"/>
    <w:multiLevelType w:val="hybridMultilevel"/>
    <w:tmpl w:val="16DC5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BA1E77"/>
    <w:multiLevelType w:val="hybridMultilevel"/>
    <w:tmpl w:val="C2BAF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5833A3"/>
    <w:multiLevelType w:val="hybridMultilevel"/>
    <w:tmpl w:val="5A3644AC"/>
    <w:lvl w:ilvl="0" w:tplc="539E3452">
      <w:start w:val="1"/>
      <w:numFmt w:val="bullet"/>
      <w:pStyle w:val="ListBullet3"/>
      <w:lvlText w:val="▪"/>
      <w:lvlJc w:val="left"/>
      <w:pPr>
        <w:ind w:left="1571" w:hanging="360"/>
      </w:pPr>
      <w:rPr>
        <w:rFonts w:ascii="Arial"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1" w15:restartNumberingAfterBreak="0">
    <w:nsid w:val="53982D0B"/>
    <w:multiLevelType w:val="hybridMultilevel"/>
    <w:tmpl w:val="55C4B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BF6095"/>
    <w:multiLevelType w:val="hybridMultilevel"/>
    <w:tmpl w:val="59BC00BE"/>
    <w:lvl w:ilvl="0" w:tplc="151E7E3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176425"/>
    <w:multiLevelType w:val="hybridMultilevel"/>
    <w:tmpl w:val="2D28CD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F247F05"/>
    <w:multiLevelType w:val="hybridMultilevel"/>
    <w:tmpl w:val="82EC1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521569"/>
    <w:multiLevelType w:val="hybridMultilevel"/>
    <w:tmpl w:val="0F3CF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704350C"/>
    <w:multiLevelType w:val="hybridMultilevel"/>
    <w:tmpl w:val="B89492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9B30D02"/>
    <w:multiLevelType w:val="hybridMultilevel"/>
    <w:tmpl w:val="714270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AD21CD9"/>
    <w:multiLevelType w:val="hybridMultilevel"/>
    <w:tmpl w:val="D20CB884"/>
    <w:lvl w:ilvl="0" w:tplc="FC26E8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DF3D10"/>
    <w:multiLevelType w:val="hybridMultilevel"/>
    <w:tmpl w:val="B4C6C66A"/>
    <w:lvl w:ilvl="0" w:tplc="4C7EF7BE">
      <w:start w:val="1"/>
      <w:numFmt w:val="bullet"/>
      <w:lvlText w:val=""/>
      <w:lvlPicBulletId w:val="0"/>
      <w:lvlJc w:val="left"/>
      <w:pPr>
        <w:tabs>
          <w:tab w:val="num" w:pos="644"/>
        </w:tabs>
        <w:ind w:left="644" w:hanging="360"/>
      </w:pPr>
      <w:rPr>
        <w:rFonts w:ascii="Symbol" w:hAnsi="Symbol" w:hint="default"/>
      </w:rPr>
    </w:lvl>
    <w:lvl w:ilvl="1" w:tplc="CE762EC2" w:tentative="1">
      <w:start w:val="1"/>
      <w:numFmt w:val="bullet"/>
      <w:lvlText w:val=""/>
      <w:lvlJc w:val="left"/>
      <w:pPr>
        <w:tabs>
          <w:tab w:val="num" w:pos="1364"/>
        </w:tabs>
        <w:ind w:left="1364" w:hanging="360"/>
      </w:pPr>
      <w:rPr>
        <w:rFonts w:ascii="Symbol" w:hAnsi="Symbol" w:hint="default"/>
      </w:rPr>
    </w:lvl>
    <w:lvl w:ilvl="2" w:tplc="4F2C99E2" w:tentative="1">
      <w:start w:val="1"/>
      <w:numFmt w:val="bullet"/>
      <w:lvlText w:val=""/>
      <w:lvlJc w:val="left"/>
      <w:pPr>
        <w:tabs>
          <w:tab w:val="num" w:pos="2084"/>
        </w:tabs>
        <w:ind w:left="2084" w:hanging="360"/>
      </w:pPr>
      <w:rPr>
        <w:rFonts w:ascii="Symbol" w:hAnsi="Symbol" w:hint="default"/>
      </w:rPr>
    </w:lvl>
    <w:lvl w:ilvl="3" w:tplc="E784416C" w:tentative="1">
      <w:start w:val="1"/>
      <w:numFmt w:val="bullet"/>
      <w:lvlText w:val=""/>
      <w:lvlJc w:val="left"/>
      <w:pPr>
        <w:tabs>
          <w:tab w:val="num" w:pos="2804"/>
        </w:tabs>
        <w:ind w:left="2804" w:hanging="360"/>
      </w:pPr>
      <w:rPr>
        <w:rFonts w:ascii="Symbol" w:hAnsi="Symbol" w:hint="default"/>
      </w:rPr>
    </w:lvl>
    <w:lvl w:ilvl="4" w:tplc="4C142F0E" w:tentative="1">
      <w:start w:val="1"/>
      <w:numFmt w:val="bullet"/>
      <w:lvlText w:val=""/>
      <w:lvlJc w:val="left"/>
      <w:pPr>
        <w:tabs>
          <w:tab w:val="num" w:pos="3524"/>
        </w:tabs>
        <w:ind w:left="3524" w:hanging="360"/>
      </w:pPr>
      <w:rPr>
        <w:rFonts w:ascii="Symbol" w:hAnsi="Symbol" w:hint="default"/>
      </w:rPr>
    </w:lvl>
    <w:lvl w:ilvl="5" w:tplc="7BEC9152" w:tentative="1">
      <w:start w:val="1"/>
      <w:numFmt w:val="bullet"/>
      <w:lvlText w:val=""/>
      <w:lvlJc w:val="left"/>
      <w:pPr>
        <w:tabs>
          <w:tab w:val="num" w:pos="4244"/>
        </w:tabs>
        <w:ind w:left="4244" w:hanging="360"/>
      </w:pPr>
      <w:rPr>
        <w:rFonts w:ascii="Symbol" w:hAnsi="Symbol" w:hint="default"/>
      </w:rPr>
    </w:lvl>
    <w:lvl w:ilvl="6" w:tplc="60309318" w:tentative="1">
      <w:start w:val="1"/>
      <w:numFmt w:val="bullet"/>
      <w:lvlText w:val=""/>
      <w:lvlJc w:val="left"/>
      <w:pPr>
        <w:tabs>
          <w:tab w:val="num" w:pos="4964"/>
        </w:tabs>
        <w:ind w:left="4964" w:hanging="360"/>
      </w:pPr>
      <w:rPr>
        <w:rFonts w:ascii="Symbol" w:hAnsi="Symbol" w:hint="default"/>
      </w:rPr>
    </w:lvl>
    <w:lvl w:ilvl="7" w:tplc="84AC592C" w:tentative="1">
      <w:start w:val="1"/>
      <w:numFmt w:val="bullet"/>
      <w:lvlText w:val=""/>
      <w:lvlJc w:val="left"/>
      <w:pPr>
        <w:tabs>
          <w:tab w:val="num" w:pos="5684"/>
        </w:tabs>
        <w:ind w:left="5684" w:hanging="360"/>
      </w:pPr>
      <w:rPr>
        <w:rFonts w:ascii="Symbol" w:hAnsi="Symbol" w:hint="default"/>
      </w:rPr>
    </w:lvl>
    <w:lvl w:ilvl="8" w:tplc="4C76D9C8" w:tentative="1">
      <w:start w:val="1"/>
      <w:numFmt w:val="bullet"/>
      <w:lvlText w:val=""/>
      <w:lvlJc w:val="left"/>
      <w:pPr>
        <w:tabs>
          <w:tab w:val="num" w:pos="6404"/>
        </w:tabs>
        <w:ind w:left="6404" w:hanging="360"/>
      </w:pPr>
      <w:rPr>
        <w:rFonts w:ascii="Symbol" w:hAnsi="Symbol" w:hint="default"/>
      </w:rPr>
    </w:lvl>
  </w:abstractNum>
  <w:num w:numId="1">
    <w:abstractNumId w:val="9"/>
  </w:num>
  <w:num w:numId="2">
    <w:abstractNumId w:val="7"/>
  </w:num>
  <w:num w:numId="3">
    <w:abstractNumId w:val="13"/>
  </w:num>
  <w:num w:numId="4">
    <w:abstractNumId w:val="13"/>
  </w:num>
  <w:num w:numId="5">
    <w:abstractNumId w:val="6"/>
  </w:num>
  <w:num w:numId="6">
    <w:abstractNumId w:val="13"/>
  </w:num>
  <w:num w:numId="7">
    <w:abstractNumId w:val="13"/>
  </w:num>
  <w:num w:numId="8">
    <w:abstractNumId w:val="12"/>
  </w:num>
  <w:num w:numId="9">
    <w:abstractNumId w:val="12"/>
  </w:num>
  <w:num w:numId="10">
    <w:abstractNumId w:val="12"/>
  </w:num>
  <w:num w:numId="11">
    <w:abstractNumId w:val="12"/>
  </w:num>
  <w:num w:numId="12">
    <w:abstractNumId w:val="13"/>
  </w:num>
  <w:num w:numId="13">
    <w:abstractNumId w:val="13"/>
  </w:num>
  <w:num w:numId="14">
    <w:abstractNumId w:val="13"/>
  </w:num>
  <w:num w:numId="15">
    <w:abstractNumId w:val="22"/>
  </w:num>
  <w:num w:numId="16">
    <w:abstractNumId w:val="22"/>
  </w:num>
  <w:num w:numId="17">
    <w:abstractNumId w:val="24"/>
  </w:num>
  <w:num w:numId="18">
    <w:abstractNumId w:val="26"/>
  </w:num>
  <w:num w:numId="19">
    <w:abstractNumId w:val="28"/>
  </w:num>
  <w:num w:numId="20">
    <w:abstractNumId w:val="19"/>
  </w:num>
  <w:num w:numId="21">
    <w:abstractNumId w:val="14"/>
  </w:num>
  <w:num w:numId="22">
    <w:abstractNumId w:val="16"/>
  </w:num>
  <w:num w:numId="23">
    <w:abstractNumId w:val="21"/>
  </w:num>
  <w:num w:numId="24">
    <w:abstractNumId w:val="13"/>
  </w:num>
  <w:num w:numId="25">
    <w:abstractNumId w:val="13"/>
  </w:num>
  <w:num w:numId="26">
    <w:abstractNumId w:val="13"/>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0"/>
  </w:num>
  <w:num w:numId="35">
    <w:abstractNumId w:val="11"/>
  </w:num>
  <w:num w:numId="36">
    <w:abstractNumId w:val="29"/>
  </w:num>
  <w:num w:numId="37">
    <w:abstractNumId w:val="10"/>
  </w:num>
  <w:num w:numId="38">
    <w:abstractNumId w:val="15"/>
  </w:num>
  <w:num w:numId="39">
    <w:abstractNumId w:val="25"/>
  </w:num>
  <w:num w:numId="40">
    <w:abstractNumId w:val="27"/>
  </w:num>
  <w:num w:numId="41">
    <w:abstractNumId w:val="23"/>
  </w:num>
  <w:num w:numId="42">
    <w:abstractNumId w:val="18"/>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851"/>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D7"/>
    <w:rsid w:val="00002031"/>
    <w:rsid w:val="00004734"/>
    <w:rsid w:val="00006B22"/>
    <w:rsid w:val="0001276A"/>
    <w:rsid w:val="00016C59"/>
    <w:rsid w:val="000239C6"/>
    <w:rsid w:val="000246AE"/>
    <w:rsid w:val="00025C67"/>
    <w:rsid w:val="000336B5"/>
    <w:rsid w:val="00034904"/>
    <w:rsid w:val="0005559E"/>
    <w:rsid w:val="00055B86"/>
    <w:rsid w:val="000570A5"/>
    <w:rsid w:val="00064C94"/>
    <w:rsid w:val="00065657"/>
    <w:rsid w:val="0007394C"/>
    <w:rsid w:val="00077775"/>
    <w:rsid w:val="00082A10"/>
    <w:rsid w:val="000872AA"/>
    <w:rsid w:val="00090471"/>
    <w:rsid w:val="000A1474"/>
    <w:rsid w:val="000A1F98"/>
    <w:rsid w:val="000A20BF"/>
    <w:rsid w:val="000A4A74"/>
    <w:rsid w:val="000B1EBF"/>
    <w:rsid w:val="000B3532"/>
    <w:rsid w:val="000B3A75"/>
    <w:rsid w:val="000B543C"/>
    <w:rsid w:val="000B7084"/>
    <w:rsid w:val="000C4728"/>
    <w:rsid w:val="000D283A"/>
    <w:rsid w:val="000D391B"/>
    <w:rsid w:val="000D3D6D"/>
    <w:rsid w:val="000D4FC7"/>
    <w:rsid w:val="000D579F"/>
    <w:rsid w:val="000D68D1"/>
    <w:rsid w:val="000E2AE8"/>
    <w:rsid w:val="000F16BC"/>
    <w:rsid w:val="000F28BA"/>
    <w:rsid w:val="000F4869"/>
    <w:rsid w:val="000F5B42"/>
    <w:rsid w:val="000F6E6F"/>
    <w:rsid w:val="001003F2"/>
    <w:rsid w:val="0010601F"/>
    <w:rsid w:val="0010704F"/>
    <w:rsid w:val="00110EA5"/>
    <w:rsid w:val="0011266E"/>
    <w:rsid w:val="00115240"/>
    <w:rsid w:val="00125318"/>
    <w:rsid w:val="00126A14"/>
    <w:rsid w:val="001305A2"/>
    <w:rsid w:val="00131476"/>
    <w:rsid w:val="00133238"/>
    <w:rsid w:val="00133E11"/>
    <w:rsid w:val="0014197B"/>
    <w:rsid w:val="00141B46"/>
    <w:rsid w:val="001434DF"/>
    <w:rsid w:val="001447CD"/>
    <w:rsid w:val="00144C49"/>
    <w:rsid w:val="0014503C"/>
    <w:rsid w:val="001467B9"/>
    <w:rsid w:val="001516B1"/>
    <w:rsid w:val="0015177A"/>
    <w:rsid w:val="00156316"/>
    <w:rsid w:val="00156653"/>
    <w:rsid w:val="00160FA8"/>
    <w:rsid w:val="00161489"/>
    <w:rsid w:val="00163E7C"/>
    <w:rsid w:val="00165389"/>
    <w:rsid w:val="0016554A"/>
    <w:rsid w:val="00175BDB"/>
    <w:rsid w:val="0017693F"/>
    <w:rsid w:val="0018110E"/>
    <w:rsid w:val="00181684"/>
    <w:rsid w:val="001843C6"/>
    <w:rsid w:val="001850E0"/>
    <w:rsid w:val="001867C1"/>
    <w:rsid w:val="001A1B90"/>
    <w:rsid w:val="001A3B88"/>
    <w:rsid w:val="001A525F"/>
    <w:rsid w:val="001B05F9"/>
    <w:rsid w:val="001B07F8"/>
    <w:rsid w:val="001B09F9"/>
    <w:rsid w:val="001B63A4"/>
    <w:rsid w:val="001B6448"/>
    <w:rsid w:val="001C4FEB"/>
    <w:rsid w:val="001D0748"/>
    <w:rsid w:val="001D1664"/>
    <w:rsid w:val="001E07CF"/>
    <w:rsid w:val="001E104C"/>
    <w:rsid w:val="001E425B"/>
    <w:rsid w:val="001E4AC7"/>
    <w:rsid w:val="001E59F1"/>
    <w:rsid w:val="001E7CA3"/>
    <w:rsid w:val="001F49EB"/>
    <w:rsid w:val="001F6CBA"/>
    <w:rsid w:val="00201D4E"/>
    <w:rsid w:val="0020571C"/>
    <w:rsid w:val="0021402A"/>
    <w:rsid w:val="002152BD"/>
    <w:rsid w:val="00217D05"/>
    <w:rsid w:val="00220B8A"/>
    <w:rsid w:val="0022530A"/>
    <w:rsid w:val="002257F3"/>
    <w:rsid w:val="0022716B"/>
    <w:rsid w:val="00227CF4"/>
    <w:rsid w:val="0023048E"/>
    <w:rsid w:val="00232D87"/>
    <w:rsid w:val="00233456"/>
    <w:rsid w:val="002339A5"/>
    <w:rsid w:val="002346E6"/>
    <w:rsid w:val="0024231E"/>
    <w:rsid w:val="00242725"/>
    <w:rsid w:val="00245DCE"/>
    <w:rsid w:val="002461C0"/>
    <w:rsid w:val="0024739A"/>
    <w:rsid w:val="002501BF"/>
    <w:rsid w:val="00251F86"/>
    <w:rsid w:val="00257848"/>
    <w:rsid w:val="00257AA5"/>
    <w:rsid w:val="0027084A"/>
    <w:rsid w:val="00274112"/>
    <w:rsid w:val="00286434"/>
    <w:rsid w:val="00286C59"/>
    <w:rsid w:val="002942D1"/>
    <w:rsid w:val="002A0556"/>
    <w:rsid w:val="002B1218"/>
    <w:rsid w:val="002B1638"/>
    <w:rsid w:val="002B6AE5"/>
    <w:rsid w:val="002B7FE9"/>
    <w:rsid w:val="002C2A01"/>
    <w:rsid w:val="002D371E"/>
    <w:rsid w:val="002D3D18"/>
    <w:rsid w:val="002D676D"/>
    <w:rsid w:val="002D7BA2"/>
    <w:rsid w:val="002E4C9A"/>
    <w:rsid w:val="002F11F8"/>
    <w:rsid w:val="002F2FC3"/>
    <w:rsid w:val="002F32B3"/>
    <w:rsid w:val="002F3F56"/>
    <w:rsid w:val="002F44B5"/>
    <w:rsid w:val="002F61FC"/>
    <w:rsid w:val="003002A9"/>
    <w:rsid w:val="00300C37"/>
    <w:rsid w:val="00302933"/>
    <w:rsid w:val="0030787D"/>
    <w:rsid w:val="00311446"/>
    <w:rsid w:val="00311AC0"/>
    <w:rsid w:val="003127F5"/>
    <w:rsid w:val="003246C8"/>
    <w:rsid w:val="0033260A"/>
    <w:rsid w:val="003507A6"/>
    <w:rsid w:val="003521E8"/>
    <w:rsid w:val="0035403E"/>
    <w:rsid w:val="0036150F"/>
    <w:rsid w:val="003630CA"/>
    <w:rsid w:val="003664BF"/>
    <w:rsid w:val="00366CA7"/>
    <w:rsid w:val="00367882"/>
    <w:rsid w:val="00372416"/>
    <w:rsid w:val="003728F3"/>
    <w:rsid w:val="00373880"/>
    <w:rsid w:val="003779FA"/>
    <w:rsid w:val="00390900"/>
    <w:rsid w:val="003A52B2"/>
    <w:rsid w:val="003B7E39"/>
    <w:rsid w:val="003C19A8"/>
    <w:rsid w:val="003C33BE"/>
    <w:rsid w:val="003C58DC"/>
    <w:rsid w:val="003D1170"/>
    <w:rsid w:val="003D6C66"/>
    <w:rsid w:val="003E1985"/>
    <w:rsid w:val="003E3208"/>
    <w:rsid w:val="003E4C13"/>
    <w:rsid w:val="003E74D1"/>
    <w:rsid w:val="003F0B04"/>
    <w:rsid w:val="003F129A"/>
    <w:rsid w:val="003F1B0F"/>
    <w:rsid w:val="003F612D"/>
    <w:rsid w:val="0040134E"/>
    <w:rsid w:val="004024D7"/>
    <w:rsid w:val="0040373F"/>
    <w:rsid w:val="0040377F"/>
    <w:rsid w:val="00410EAC"/>
    <w:rsid w:val="00411777"/>
    <w:rsid w:val="00411E88"/>
    <w:rsid w:val="00415D8D"/>
    <w:rsid w:val="004169B7"/>
    <w:rsid w:val="00416EAC"/>
    <w:rsid w:val="00417BBA"/>
    <w:rsid w:val="004267E8"/>
    <w:rsid w:val="004269D1"/>
    <w:rsid w:val="004360FB"/>
    <w:rsid w:val="00440A2D"/>
    <w:rsid w:val="00440DAF"/>
    <w:rsid w:val="004564A7"/>
    <w:rsid w:val="004617BF"/>
    <w:rsid w:val="004662EA"/>
    <w:rsid w:val="00481784"/>
    <w:rsid w:val="00491760"/>
    <w:rsid w:val="004923FF"/>
    <w:rsid w:val="00494E60"/>
    <w:rsid w:val="004A38EE"/>
    <w:rsid w:val="004A4795"/>
    <w:rsid w:val="004B23A0"/>
    <w:rsid w:val="004B7B76"/>
    <w:rsid w:val="004C08EC"/>
    <w:rsid w:val="004C2568"/>
    <w:rsid w:val="004C2BF6"/>
    <w:rsid w:val="004C51FB"/>
    <w:rsid w:val="004E3641"/>
    <w:rsid w:val="004F0F38"/>
    <w:rsid w:val="004F2D9F"/>
    <w:rsid w:val="004F3E7C"/>
    <w:rsid w:val="004F3F5C"/>
    <w:rsid w:val="00501921"/>
    <w:rsid w:val="005076E8"/>
    <w:rsid w:val="00515DA6"/>
    <w:rsid w:val="005200EB"/>
    <w:rsid w:val="00521AE6"/>
    <w:rsid w:val="00530354"/>
    <w:rsid w:val="00536E30"/>
    <w:rsid w:val="005434C6"/>
    <w:rsid w:val="00543B39"/>
    <w:rsid w:val="0054427D"/>
    <w:rsid w:val="00545F70"/>
    <w:rsid w:val="00545F7B"/>
    <w:rsid w:val="00550096"/>
    <w:rsid w:val="00554BA0"/>
    <w:rsid w:val="00557FF9"/>
    <w:rsid w:val="005614D2"/>
    <w:rsid w:val="0057001C"/>
    <w:rsid w:val="00571115"/>
    <w:rsid w:val="00576378"/>
    <w:rsid w:val="00577E38"/>
    <w:rsid w:val="00585140"/>
    <w:rsid w:val="00585322"/>
    <w:rsid w:val="00593AD1"/>
    <w:rsid w:val="0059775C"/>
    <w:rsid w:val="005A1131"/>
    <w:rsid w:val="005A449F"/>
    <w:rsid w:val="005A7FAD"/>
    <w:rsid w:val="005C5570"/>
    <w:rsid w:val="005C79A4"/>
    <w:rsid w:val="005D5442"/>
    <w:rsid w:val="006065C2"/>
    <w:rsid w:val="00613396"/>
    <w:rsid w:val="0063073C"/>
    <w:rsid w:val="00635ECF"/>
    <w:rsid w:val="00640FC3"/>
    <w:rsid w:val="00642020"/>
    <w:rsid w:val="0065337B"/>
    <w:rsid w:val="0065419D"/>
    <w:rsid w:val="006604D8"/>
    <w:rsid w:val="006615AE"/>
    <w:rsid w:val="00662F53"/>
    <w:rsid w:val="00664A5B"/>
    <w:rsid w:val="00667942"/>
    <w:rsid w:val="00674474"/>
    <w:rsid w:val="00677790"/>
    <w:rsid w:val="00680C08"/>
    <w:rsid w:val="0068284F"/>
    <w:rsid w:val="006842BE"/>
    <w:rsid w:val="0068741A"/>
    <w:rsid w:val="006931B1"/>
    <w:rsid w:val="006A01D9"/>
    <w:rsid w:val="006A15C0"/>
    <w:rsid w:val="006A399C"/>
    <w:rsid w:val="006A7B7F"/>
    <w:rsid w:val="006C1F3B"/>
    <w:rsid w:val="006C3E2A"/>
    <w:rsid w:val="006C642F"/>
    <w:rsid w:val="006D03E5"/>
    <w:rsid w:val="006D3540"/>
    <w:rsid w:val="006D4FC3"/>
    <w:rsid w:val="006D5D3E"/>
    <w:rsid w:val="006D7E9D"/>
    <w:rsid w:val="006E08B3"/>
    <w:rsid w:val="006E1980"/>
    <w:rsid w:val="006E73F3"/>
    <w:rsid w:val="006F02AC"/>
    <w:rsid w:val="006F13B5"/>
    <w:rsid w:val="006F572E"/>
    <w:rsid w:val="007046D6"/>
    <w:rsid w:val="00705DB0"/>
    <w:rsid w:val="00706AFE"/>
    <w:rsid w:val="00710B19"/>
    <w:rsid w:val="00712EE4"/>
    <w:rsid w:val="00714FB5"/>
    <w:rsid w:val="00715E43"/>
    <w:rsid w:val="007302FA"/>
    <w:rsid w:val="0073664D"/>
    <w:rsid w:val="0074253D"/>
    <w:rsid w:val="00743CBF"/>
    <w:rsid w:val="0074429B"/>
    <w:rsid w:val="00745D5F"/>
    <w:rsid w:val="00746136"/>
    <w:rsid w:val="007477F8"/>
    <w:rsid w:val="00751D4C"/>
    <w:rsid w:val="00753301"/>
    <w:rsid w:val="007549FB"/>
    <w:rsid w:val="007565AE"/>
    <w:rsid w:val="007615BC"/>
    <w:rsid w:val="00762F05"/>
    <w:rsid w:val="007652FF"/>
    <w:rsid w:val="00770C88"/>
    <w:rsid w:val="00771329"/>
    <w:rsid w:val="00772CEF"/>
    <w:rsid w:val="00773EF7"/>
    <w:rsid w:val="00774E1D"/>
    <w:rsid w:val="0077675A"/>
    <w:rsid w:val="007770A4"/>
    <w:rsid w:val="00780355"/>
    <w:rsid w:val="00781735"/>
    <w:rsid w:val="00785721"/>
    <w:rsid w:val="00791678"/>
    <w:rsid w:val="007919EA"/>
    <w:rsid w:val="00792F09"/>
    <w:rsid w:val="00793A59"/>
    <w:rsid w:val="007A2162"/>
    <w:rsid w:val="007B7865"/>
    <w:rsid w:val="007C0F3D"/>
    <w:rsid w:val="007C1AF7"/>
    <w:rsid w:val="007C44CB"/>
    <w:rsid w:val="007C4790"/>
    <w:rsid w:val="007D118C"/>
    <w:rsid w:val="007E1D03"/>
    <w:rsid w:val="007E39A9"/>
    <w:rsid w:val="007E462A"/>
    <w:rsid w:val="007E78FC"/>
    <w:rsid w:val="007F34F8"/>
    <w:rsid w:val="008100B6"/>
    <w:rsid w:val="00814CE3"/>
    <w:rsid w:val="00821776"/>
    <w:rsid w:val="00826007"/>
    <w:rsid w:val="00827F41"/>
    <w:rsid w:val="008321F5"/>
    <w:rsid w:val="00832369"/>
    <w:rsid w:val="00832C11"/>
    <w:rsid w:val="00833FE8"/>
    <w:rsid w:val="00834660"/>
    <w:rsid w:val="00834D93"/>
    <w:rsid w:val="00834E8D"/>
    <w:rsid w:val="0083644E"/>
    <w:rsid w:val="00836BC2"/>
    <w:rsid w:val="00842585"/>
    <w:rsid w:val="0084642D"/>
    <w:rsid w:val="00846C99"/>
    <w:rsid w:val="00856296"/>
    <w:rsid w:val="0085641B"/>
    <w:rsid w:val="00857136"/>
    <w:rsid w:val="00863B1D"/>
    <w:rsid w:val="00877066"/>
    <w:rsid w:val="00881E2B"/>
    <w:rsid w:val="00885930"/>
    <w:rsid w:val="008872A9"/>
    <w:rsid w:val="00887365"/>
    <w:rsid w:val="00887D37"/>
    <w:rsid w:val="00890E8F"/>
    <w:rsid w:val="00895A07"/>
    <w:rsid w:val="00896018"/>
    <w:rsid w:val="008A2B9D"/>
    <w:rsid w:val="008A5E0B"/>
    <w:rsid w:val="008A628A"/>
    <w:rsid w:val="008A6D59"/>
    <w:rsid w:val="008A7F9B"/>
    <w:rsid w:val="008B3E49"/>
    <w:rsid w:val="008B4B03"/>
    <w:rsid w:val="008B596F"/>
    <w:rsid w:val="008C159F"/>
    <w:rsid w:val="008C1623"/>
    <w:rsid w:val="008C1BE2"/>
    <w:rsid w:val="008C3A45"/>
    <w:rsid w:val="008C4E34"/>
    <w:rsid w:val="008C51A9"/>
    <w:rsid w:val="008C6267"/>
    <w:rsid w:val="008D2816"/>
    <w:rsid w:val="008D50AE"/>
    <w:rsid w:val="008D687D"/>
    <w:rsid w:val="008D6F95"/>
    <w:rsid w:val="008E6F53"/>
    <w:rsid w:val="008E7524"/>
    <w:rsid w:val="008F1CCC"/>
    <w:rsid w:val="008F2967"/>
    <w:rsid w:val="008F580A"/>
    <w:rsid w:val="009177CC"/>
    <w:rsid w:val="00920330"/>
    <w:rsid w:val="009219D7"/>
    <w:rsid w:val="00922D53"/>
    <w:rsid w:val="00923B70"/>
    <w:rsid w:val="0092424D"/>
    <w:rsid w:val="0092600B"/>
    <w:rsid w:val="00930237"/>
    <w:rsid w:val="00940103"/>
    <w:rsid w:val="009453CE"/>
    <w:rsid w:val="009522A9"/>
    <w:rsid w:val="009527F4"/>
    <w:rsid w:val="00956D21"/>
    <w:rsid w:val="00963C08"/>
    <w:rsid w:val="009749DF"/>
    <w:rsid w:val="0098068F"/>
    <w:rsid w:val="00982678"/>
    <w:rsid w:val="00983655"/>
    <w:rsid w:val="00997E98"/>
    <w:rsid w:val="009A1D75"/>
    <w:rsid w:val="009A4CED"/>
    <w:rsid w:val="009A6616"/>
    <w:rsid w:val="009A6CAF"/>
    <w:rsid w:val="009B15E8"/>
    <w:rsid w:val="009B1D12"/>
    <w:rsid w:val="009B3399"/>
    <w:rsid w:val="009B416B"/>
    <w:rsid w:val="009B5930"/>
    <w:rsid w:val="009B6EC1"/>
    <w:rsid w:val="009C24B7"/>
    <w:rsid w:val="009C2A54"/>
    <w:rsid w:val="009C4BD5"/>
    <w:rsid w:val="009C65A4"/>
    <w:rsid w:val="009D145F"/>
    <w:rsid w:val="009D170D"/>
    <w:rsid w:val="009D54C0"/>
    <w:rsid w:val="009D7B77"/>
    <w:rsid w:val="009E0BB0"/>
    <w:rsid w:val="009E0F17"/>
    <w:rsid w:val="009E16D0"/>
    <w:rsid w:val="009E3FBB"/>
    <w:rsid w:val="009E43EE"/>
    <w:rsid w:val="009F5F9B"/>
    <w:rsid w:val="009F7867"/>
    <w:rsid w:val="00A04B48"/>
    <w:rsid w:val="00A056A0"/>
    <w:rsid w:val="00A111DD"/>
    <w:rsid w:val="00A1470B"/>
    <w:rsid w:val="00A14DF7"/>
    <w:rsid w:val="00A169DA"/>
    <w:rsid w:val="00A23851"/>
    <w:rsid w:val="00A26D59"/>
    <w:rsid w:val="00A27E43"/>
    <w:rsid w:val="00A3246D"/>
    <w:rsid w:val="00A35E34"/>
    <w:rsid w:val="00A36FA7"/>
    <w:rsid w:val="00A4383E"/>
    <w:rsid w:val="00A475B7"/>
    <w:rsid w:val="00A47AF7"/>
    <w:rsid w:val="00A47C3E"/>
    <w:rsid w:val="00A50226"/>
    <w:rsid w:val="00A57BE7"/>
    <w:rsid w:val="00A606D5"/>
    <w:rsid w:val="00A60BAD"/>
    <w:rsid w:val="00A61B30"/>
    <w:rsid w:val="00A61D1D"/>
    <w:rsid w:val="00A63407"/>
    <w:rsid w:val="00A73A8D"/>
    <w:rsid w:val="00A75755"/>
    <w:rsid w:val="00A77137"/>
    <w:rsid w:val="00A77BD3"/>
    <w:rsid w:val="00A87E87"/>
    <w:rsid w:val="00A95096"/>
    <w:rsid w:val="00AA0718"/>
    <w:rsid w:val="00AA49A2"/>
    <w:rsid w:val="00AA77AF"/>
    <w:rsid w:val="00AB5E44"/>
    <w:rsid w:val="00AC1D58"/>
    <w:rsid w:val="00AC2B40"/>
    <w:rsid w:val="00AC2BB2"/>
    <w:rsid w:val="00AC2C3C"/>
    <w:rsid w:val="00AC37AF"/>
    <w:rsid w:val="00AC49E1"/>
    <w:rsid w:val="00AC5EFA"/>
    <w:rsid w:val="00AD38E1"/>
    <w:rsid w:val="00AE1619"/>
    <w:rsid w:val="00AE32A9"/>
    <w:rsid w:val="00AE32F3"/>
    <w:rsid w:val="00AE65EB"/>
    <w:rsid w:val="00AF1D94"/>
    <w:rsid w:val="00AF4FB1"/>
    <w:rsid w:val="00AF60C5"/>
    <w:rsid w:val="00B009C6"/>
    <w:rsid w:val="00B01548"/>
    <w:rsid w:val="00B067F8"/>
    <w:rsid w:val="00B132DE"/>
    <w:rsid w:val="00B13F56"/>
    <w:rsid w:val="00B14C99"/>
    <w:rsid w:val="00B15E5C"/>
    <w:rsid w:val="00B17E8D"/>
    <w:rsid w:val="00B21D29"/>
    <w:rsid w:val="00B25034"/>
    <w:rsid w:val="00B27FCE"/>
    <w:rsid w:val="00B33863"/>
    <w:rsid w:val="00B34026"/>
    <w:rsid w:val="00B37812"/>
    <w:rsid w:val="00B37898"/>
    <w:rsid w:val="00B37D17"/>
    <w:rsid w:val="00B4175E"/>
    <w:rsid w:val="00B43E03"/>
    <w:rsid w:val="00B54C25"/>
    <w:rsid w:val="00B56277"/>
    <w:rsid w:val="00B73D47"/>
    <w:rsid w:val="00B76B91"/>
    <w:rsid w:val="00B8519C"/>
    <w:rsid w:val="00B85B79"/>
    <w:rsid w:val="00B93853"/>
    <w:rsid w:val="00B96878"/>
    <w:rsid w:val="00BA5BB9"/>
    <w:rsid w:val="00BB7F63"/>
    <w:rsid w:val="00BC4DA2"/>
    <w:rsid w:val="00BC622A"/>
    <w:rsid w:val="00BD0659"/>
    <w:rsid w:val="00BD2959"/>
    <w:rsid w:val="00BD41D3"/>
    <w:rsid w:val="00BD6C0C"/>
    <w:rsid w:val="00BE0A78"/>
    <w:rsid w:val="00BE673D"/>
    <w:rsid w:val="00BE79F0"/>
    <w:rsid w:val="00BF046D"/>
    <w:rsid w:val="00BF5D04"/>
    <w:rsid w:val="00C06A51"/>
    <w:rsid w:val="00C11E87"/>
    <w:rsid w:val="00C13563"/>
    <w:rsid w:val="00C16F1C"/>
    <w:rsid w:val="00C17FD8"/>
    <w:rsid w:val="00C20595"/>
    <w:rsid w:val="00C34A54"/>
    <w:rsid w:val="00C36EC5"/>
    <w:rsid w:val="00C37AD0"/>
    <w:rsid w:val="00C404A6"/>
    <w:rsid w:val="00C40A36"/>
    <w:rsid w:val="00C44419"/>
    <w:rsid w:val="00C45E7B"/>
    <w:rsid w:val="00C471B1"/>
    <w:rsid w:val="00C53564"/>
    <w:rsid w:val="00C53D7B"/>
    <w:rsid w:val="00C54E0F"/>
    <w:rsid w:val="00C61587"/>
    <w:rsid w:val="00C627C3"/>
    <w:rsid w:val="00C6316B"/>
    <w:rsid w:val="00C634A9"/>
    <w:rsid w:val="00C661EE"/>
    <w:rsid w:val="00C72261"/>
    <w:rsid w:val="00C772FF"/>
    <w:rsid w:val="00C801AF"/>
    <w:rsid w:val="00C80256"/>
    <w:rsid w:val="00C8061B"/>
    <w:rsid w:val="00C83154"/>
    <w:rsid w:val="00C912E5"/>
    <w:rsid w:val="00C9150D"/>
    <w:rsid w:val="00C92F9C"/>
    <w:rsid w:val="00C964DE"/>
    <w:rsid w:val="00C96F84"/>
    <w:rsid w:val="00CA3BC1"/>
    <w:rsid w:val="00CA4F54"/>
    <w:rsid w:val="00CB1FC2"/>
    <w:rsid w:val="00CB62DB"/>
    <w:rsid w:val="00CB6BC0"/>
    <w:rsid w:val="00CC1B7C"/>
    <w:rsid w:val="00CC25EB"/>
    <w:rsid w:val="00CC5A2E"/>
    <w:rsid w:val="00CC727F"/>
    <w:rsid w:val="00CE460C"/>
    <w:rsid w:val="00CE5BB0"/>
    <w:rsid w:val="00CE62C3"/>
    <w:rsid w:val="00CF15C3"/>
    <w:rsid w:val="00CF2B6F"/>
    <w:rsid w:val="00CF7F5A"/>
    <w:rsid w:val="00D017ED"/>
    <w:rsid w:val="00D02479"/>
    <w:rsid w:val="00D03C39"/>
    <w:rsid w:val="00D04F1E"/>
    <w:rsid w:val="00D0673D"/>
    <w:rsid w:val="00D1358D"/>
    <w:rsid w:val="00D153B1"/>
    <w:rsid w:val="00D224FE"/>
    <w:rsid w:val="00D242AC"/>
    <w:rsid w:val="00D329DB"/>
    <w:rsid w:val="00D41E18"/>
    <w:rsid w:val="00D44CFD"/>
    <w:rsid w:val="00D46335"/>
    <w:rsid w:val="00D53B8F"/>
    <w:rsid w:val="00D54785"/>
    <w:rsid w:val="00D54C36"/>
    <w:rsid w:val="00D6493E"/>
    <w:rsid w:val="00D73E47"/>
    <w:rsid w:val="00D742B0"/>
    <w:rsid w:val="00D85F12"/>
    <w:rsid w:val="00D86B2C"/>
    <w:rsid w:val="00D92D8D"/>
    <w:rsid w:val="00DA1124"/>
    <w:rsid w:val="00DA1AFE"/>
    <w:rsid w:val="00DA2A4A"/>
    <w:rsid w:val="00DA720C"/>
    <w:rsid w:val="00DA747D"/>
    <w:rsid w:val="00DB3186"/>
    <w:rsid w:val="00DC133D"/>
    <w:rsid w:val="00DC64B4"/>
    <w:rsid w:val="00DC6B47"/>
    <w:rsid w:val="00DC6F0A"/>
    <w:rsid w:val="00DD05EF"/>
    <w:rsid w:val="00DD1285"/>
    <w:rsid w:val="00DD2605"/>
    <w:rsid w:val="00DD75A3"/>
    <w:rsid w:val="00DE02AE"/>
    <w:rsid w:val="00DE12A0"/>
    <w:rsid w:val="00DE1760"/>
    <w:rsid w:val="00DE6A0C"/>
    <w:rsid w:val="00DF1D7F"/>
    <w:rsid w:val="00DF6680"/>
    <w:rsid w:val="00E02FB4"/>
    <w:rsid w:val="00E1743A"/>
    <w:rsid w:val="00E20571"/>
    <w:rsid w:val="00E21651"/>
    <w:rsid w:val="00E233DD"/>
    <w:rsid w:val="00E235F7"/>
    <w:rsid w:val="00E239D4"/>
    <w:rsid w:val="00E40B22"/>
    <w:rsid w:val="00E40F33"/>
    <w:rsid w:val="00E4411A"/>
    <w:rsid w:val="00E4588F"/>
    <w:rsid w:val="00E45EA5"/>
    <w:rsid w:val="00E46DA3"/>
    <w:rsid w:val="00E47673"/>
    <w:rsid w:val="00E52D58"/>
    <w:rsid w:val="00E53B10"/>
    <w:rsid w:val="00E912A2"/>
    <w:rsid w:val="00E955F5"/>
    <w:rsid w:val="00EA18AA"/>
    <w:rsid w:val="00EA406B"/>
    <w:rsid w:val="00EA7BFB"/>
    <w:rsid w:val="00EB0084"/>
    <w:rsid w:val="00EB0798"/>
    <w:rsid w:val="00EB0A24"/>
    <w:rsid w:val="00EB4071"/>
    <w:rsid w:val="00EB40AD"/>
    <w:rsid w:val="00EB586E"/>
    <w:rsid w:val="00EB5FC8"/>
    <w:rsid w:val="00EC5C76"/>
    <w:rsid w:val="00ED2502"/>
    <w:rsid w:val="00ED5A41"/>
    <w:rsid w:val="00EE0EEA"/>
    <w:rsid w:val="00EE3694"/>
    <w:rsid w:val="00EF0773"/>
    <w:rsid w:val="00EF1770"/>
    <w:rsid w:val="00EF3598"/>
    <w:rsid w:val="00EF578B"/>
    <w:rsid w:val="00F033EC"/>
    <w:rsid w:val="00F04624"/>
    <w:rsid w:val="00F04F68"/>
    <w:rsid w:val="00F06EE0"/>
    <w:rsid w:val="00F12670"/>
    <w:rsid w:val="00F12D55"/>
    <w:rsid w:val="00F14B27"/>
    <w:rsid w:val="00F20808"/>
    <w:rsid w:val="00F3148D"/>
    <w:rsid w:val="00F35298"/>
    <w:rsid w:val="00F35E35"/>
    <w:rsid w:val="00F47E37"/>
    <w:rsid w:val="00F565FA"/>
    <w:rsid w:val="00F640B6"/>
    <w:rsid w:val="00F643F4"/>
    <w:rsid w:val="00F712AC"/>
    <w:rsid w:val="00F73214"/>
    <w:rsid w:val="00F737B6"/>
    <w:rsid w:val="00F80E40"/>
    <w:rsid w:val="00F87A4D"/>
    <w:rsid w:val="00F91A5D"/>
    <w:rsid w:val="00F93D68"/>
    <w:rsid w:val="00FA0A98"/>
    <w:rsid w:val="00FA5B82"/>
    <w:rsid w:val="00FA639E"/>
    <w:rsid w:val="00FC25E4"/>
    <w:rsid w:val="00FC2B32"/>
    <w:rsid w:val="00FC4EF7"/>
    <w:rsid w:val="00FC6D35"/>
    <w:rsid w:val="00FD4FA3"/>
    <w:rsid w:val="00FE1DEE"/>
    <w:rsid w:val="00FE25DF"/>
    <w:rsid w:val="00FF2126"/>
    <w:rsid w:val="00FF3CD7"/>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4B53BA"/>
  <w15:docId w15:val="{856982C2-A31A-47C6-904D-1F33CDC4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mbria"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lsdException w:name="index heading" w:semiHidden="1" w:unhideWhenUsed="1"/>
    <w:lsdException w:name="caption" w:semiHidden="1"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D118C"/>
    <w:pPr>
      <w:spacing w:before="180" w:after="180" w:line="240" w:lineRule="atLeast"/>
    </w:pPr>
    <w:rPr>
      <w:rFonts w:ascii="Cambria" w:hAnsi="Cambria"/>
    </w:rPr>
  </w:style>
  <w:style w:type="paragraph" w:styleId="Heading1">
    <w:name w:val="heading 1"/>
    <w:basedOn w:val="Normal"/>
    <w:next w:val="Normal"/>
    <w:link w:val="Heading1Char"/>
    <w:qFormat/>
    <w:rsid w:val="00055B86"/>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A95096"/>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2F2FC3"/>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2F2FC3"/>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2F2FC3"/>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2F2FC3"/>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2F2FC3"/>
    <w:pPr>
      <w:keepNext/>
      <w:keepLines/>
      <w:spacing w:before="240" w:after="60" w:line="180" w:lineRule="atLeast"/>
      <w:outlineLvl w:val="6"/>
    </w:pPr>
    <w:rPr>
      <w:rFonts w:eastAsia="Times New Roman"/>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5B86"/>
    <w:rPr>
      <w:rFonts w:ascii="Arial" w:eastAsia="Times New Roman" w:hAnsi="Arial"/>
      <w:b/>
      <w:bCs/>
      <w:sz w:val="48"/>
      <w:szCs w:val="48"/>
    </w:rPr>
  </w:style>
  <w:style w:type="character" w:customStyle="1" w:styleId="Heading2Char">
    <w:name w:val="Heading 2 Char"/>
    <w:basedOn w:val="DefaultParagraphFont"/>
    <w:link w:val="Heading2"/>
    <w:rsid w:val="00A95096"/>
    <w:rPr>
      <w:rFonts w:ascii="Arial" w:eastAsia="Times New Roman" w:hAnsi="Arial"/>
      <w:b/>
      <w:bCs/>
      <w:sz w:val="38"/>
      <w:szCs w:val="38"/>
    </w:rPr>
  </w:style>
  <w:style w:type="character" w:customStyle="1" w:styleId="Heading3Char">
    <w:name w:val="Heading 3 Char"/>
    <w:basedOn w:val="DefaultParagraphFont"/>
    <w:link w:val="Heading3"/>
    <w:rsid w:val="002F2FC3"/>
    <w:rPr>
      <w:rFonts w:ascii="Arial" w:eastAsia="Times New Roman" w:hAnsi="Arial"/>
      <w:b/>
      <w:bCs/>
      <w:sz w:val="32"/>
      <w:szCs w:val="32"/>
    </w:r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description">
    <w:name w:val="Figure description"/>
    <w:basedOn w:val="Normal"/>
    <w:next w:val="Normal"/>
    <w:rsid w:val="00A95096"/>
    <w:pPr>
      <w:spacing w:after="240" w:line="180" w:lineRule="atLeast"/>
    </w:pPr>
    <w:rPr>
      <w:sz w:val="18"/>
    </w:rPr>
  </w:style>
  <w:style w:type="paragraph" w:customStyle="1" w:styleId="Figuretitle">
    <w:name w:val="Figure title"/>
    <w:basedOn w:val="Normal"/>
    <w:next w:val="Normal"/>
    <w:rsid w:val="00F643F4"/>
    <w:pPr>
      <w:outlineLvl w:val="4"/>
    </w:pPr>
    <w:rPr>
      <w:b/>
    </w:rPr>
  </w:style>
  <w:style w:type="character" w:customStyle="1" w:styleId="Heading4Char">
    <w:name w:val="Heading 4 Char"/>
    <w:basedOn w:val="DefaultParagraphFont"/>
    <w:link w:val="Heading4"/>
    <w:rsid w:val="002F2FC3"/>
    <w:rPr>
      <w:rFonts w:ascii="Arial" w:hAnsi="Arial"/>
      <w:b/>
      <w:bCs/>
      <w:sz w:val="26"/>
      <w:szCs w:val="26"/>
    </w:rPr>
  </w:style>
  <w:style w:type="character" w:styleId="FollowedHyperlink">
    <w:name w:val="FollowedHyperlink"/>
    <w:basedOn w:val="DefaultParagraphFont"/>
    <w:semiHidden/>
    <w:unhideWhenUsed/>
    <w:rsid w:val="006A399C"/>
    <w:rPr>
      <w:color w:val="800080"/>
      <w:u w:val="single"/>
    </w:rPr>
  </w:style>
  <w:style w:type="paragraph" w:styleId="Footer">
    <w:name w:val="footer"/>
    <w:basedOn w:val="Normal"/>
    <w:link w:val="FooterChar"/>
    <w:rsid w:val="009527F4"/>
    <w:pPr>
      <w:tabs>
        <w:tab w:val="center" w:pos="4513"/>
        <w:tab w:val="right" w:pos="9026"/>
      </w:tabs>
      <w:spacing w:line="240" w:lineRule="auto"/>
    </w:pPr>
    <w:rPr>
      <w:sz w:val="17"/>
    </w:rPr>
  </w:style>
  <w:style w:type="character" w:customStyle="1" w:styleId="FooterChar">
    <w:name w:val="Footer Char"/>
    <w:basedOn w:val="DefaultParagraphFont"/>
    <w:link w:val="Footer"/>
    <w:rsid w:val="009527F4"/>
    <w:rPr>
      <w:rFonts w:ascii="Cambria" w:hAnsi="Cambria"/>
      <w:sz w:val="17"/>
    </w:rPr>
  </w:style>
  <w:style w:type="paragraph" w:styleId="Header">
    <w:name w:val="header"/>
    <w:basedOn w:val="Normal"/>
    <w:link w:val="HeaderChar"/>
    <w:uiPriority w:val="99"/>
    <w:rsid w:val="009527F4"/>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9527F4"/>
    <w:rPr>
      <w:rFonts w:ascii="Cambria" w:hAnsi="Cambria"/>
      <w:sz w:val="17"/>
    </w:rPr>
  </w:style>
  <w:style w:type="paragraph" w:customStyle="1" w:styleId="Headernoline">
    <w:name w:val="Header no line"/>
    <w:basedOn w:val="Header"/>
    <w:rsid w:val="009527F4"/>
    <w:pPr>
      <w:pBdr>
        <w:bottom w:val="none" w:sz="0" w:space="0" w:color="auto"/>
      </w:pBdr>
      <w:spacing w:line="240" w:lineRule="atLeast"/>
    </w:pPr>
  </w:style>
  <w:style w:type="character" w:customStyle="1" w:styleId="Heading5Char">
    <w:name w:val="Heading 5 Char"/>
    <w:basedOn w:val="DefaultParagraphFont"/>
    <w:link w:val="Heading5"/>
    <w:uiPriority w:val="9"/>
    <w:rsid w:val="002F2FC3"/>
    <w:rPr>
      <w:rFonts w:ascii="Cambria" w:eastAsia="Times New Roman" w:hAnsi="Cambria"/>
      <w:b/>
      <w:bCs/>
      <w:color w:val="001523"/>
      <w:sz w:val="26"/>
      <w:szCs w:val="26"/>
    </w:rPr>
  </w:style>
  <w:style w:type="character" w:customStyle="1" w:styleId="Heading6Char">
    <w:name w:val="Heading 6 Char"/>
    <w:basedOn w:val="DefaultParagraphFont"/>
    <w:link w:val="Heading6"/>
    <w:uiPriority w:val="9"/>
    <w:rsid w:val="002F2FC3"/>
    <w:rPr>
      <w:rFonts w:ascii="Cambria" w:eastAsia="Times New Roman" w:hAnsi="Cambria"/>
      <w:b/>
      <w:bCs/>
      <w:i/>
      <w:sz w:val="22"/>
      <w:szCs w:val="21"/>
    </w:rPr>
  </w:style>
  <w:style w:type="character" w:customStyle="1" w:styleId="Heading7Char">
    <w:name w:val="Heading 7 Char"/>
    <w:basedOn w:val="DefaultParagraphFont"/>
    <w:link w:val="Heading7"/>
    <w:uiPriority w:val="9"/>
    <w:rsid w:val="002F2FC3"/>
    <w:rPr>
      <w:rFonts w:ascii="Cambria" w:eastAsia="Times New Roman" w:hAnsi="Cambria"/>
      <w:bCs/>
      <w:i/>
      <w:sz w:val="22"/>
      <w:szCs w:val="22"/>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semiHidden/>
    <w:unhideWhenUsed/>
    <w:rsid w:val="00F3148D"/>
  </w:style>
  <w:style w:type="paragraph" w:customStyle="1" w:styleId="LegalSubheading">
    <w:name w:val="Legal Subheading"/>
    <w:basedOn w:val="Footer"/>
    <w:semiHidden/>
    <w:unhideWhenUsed/>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0336B5"/>
    <w:pPr>
      <w:numPr>
        <w:numId w:val="26"/>
      </w:numPr>
    </w:pPr>
  </w:style>
  <w:style w:type="paragraph" w:styleId="ListBullet2">
    <w:name w:val="List Bullet 2"/>
    <w:basedOn w:val="Normal"/>
    <w:uiPriority w:val="2"/>
    <w:qFormat/>
    <w:rsid w:val="00232D87"/>
    <w:pPr>
      <w:numPr>
        <w:ilvl w:val="1"/>
        <w:numId w:val="26"/>
      </w:numPr>
      <w:ind w:left="850" w:hanging="425"/>
    </w:pPr>
  </w:style>
  <w:style w:type="paragraph" w:styleId="ListBullet3">
    <w:name w:val="List Bullet 3"/>
    <w:basedOn w:val="Normal"/>
    <w:uiPriority w:val="2"/>
    <w:qFormat/>
    <w:rsid w:val="000336B5"/>
    <w:pPr>
      <w:numPr>
        <w:numId w:val="34"/>
      </w:numPr>
      <w:ind w:left="1208" w:hanging="357"/>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E4411A"/>
    <w:pPr>
      <w:keepNext/>
      <w:keepLines/>
      <w:spacing w:before="360"/>
      <w:outlineLvl w:val="1"/>
    </w:pPr>
    <w:rPr>
      <w:rFonts w:ascii="Arial" w:hAnsi="Arial"/>
      <w:b/>
      <w:sz w:val="38"/>
    </w:rPr>
  </w:style>
  <w:style w:type="paragraph" w:customStyle="1" w:styleId="Notes">
    <w:name w:val="Notes"/>
    <w:basedOn w:val="Normal"/>
    <w:semiHidden/>
    <w:locked/>
    <w:rsid w:val="00F3148D"/>
    <w:pPr>
      <w:spacing w:line="240" w:lineRule="auto"/>
    </w:pPr>
    <w:rPr>
      <w:rFonts w:ascii="Arial" w:hAnsi="Arial"/>
      <w:sz w:val="16"/>
    </w:rPr>
  </w:style>
  <w:style w:type="paragraph" w:customStyle="1" w:styleId="Numberbullet0">
    <w:name w:val="Number bullet"/>
    <w:basedOn w:val="ListBullet"/>
    <w:uiPriority w:val="3"/>
    <w:qFormat/>
    <w:rsid w:val="00232D87"/>
    <w:pPr>
      <w:numPr>
        <w:numId w:val="11"/>
      </w:numPr>
    </w:pPr>
  </w:style>
  <w:style w:type="paragraph" w:customStyle="1" w:styleId="Numberbullet2">
    <w:name w:val="Number bullet 2"/>
    <w:basedOn w:val="ListBullet2"/>
    <w:uiPriority w:val="3"/>
    <w:qFormat/>
    <w:rsid w:val="00232D87"/>
    <w:pPr>
      <w:numPr>
        <w:numId w:val="11"/>
      </w:numPr>
      <w:ind w:left="850" w:hanging="425"/>
    </w:pPr>
  </w:style>
  <w:style w:type="paragraph" w:customStyle="1" w:styleId="Numberbullet3">
    <w:name w:val="Number bullet 3"/>
    <w:basedOn w:val="ListBullet3"/>
    <w:uiPriority w:val="3"/>
    <w:qFormat/>
    <w:rsid w:val="00232D87"/>
    <w:pPr>
      <w:numPr>
        <w:numId w:val="0"/>
      </w:numPr>
      <w:ind w:left="425"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9527F4"/>
    <w:pPr>
      <w:spacing w:before="40"/>
      <w:ind w:left="170" w:hanging="170"/>
    </w:pPr>
    <w:rPr>
      <w:sz w:val="19"/>
    </w:rPr>
  </w:style>
  <w:style w:type="paragraph" w:customStyle="1" w:styleId="Tabledescription">
    <w:name w:val="Table description"/>
    <w:basedOn w:val="Figuredescription"/>
    <w:next w:val="Normal"/>
    <w:rsid w:val="00A95096"/>
  </w:style>
  <w:style w:type="table" w:customStyle="1" w:styleId="TableTGAblue">
    <w:name w:val="Table TGA blue"/>
    <w:basedOn w:val="TableNormal"/>
    <w:uiPriority w:val="99"/>
    <w:qFormat/>
    <w:rsid w:val="00BD0659"/>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BD0659"/>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rsid w:val="00F643F4"/>
    <w:pPr>
      <w:keepNext/>
      <w:outlineLvl w:val="4"/>
    </w:pPr>
    <w:rPr>
      <w:b/>
    </w:rPr>
  </w:style>
  <w:style w:type="paragraph" w:styleId="TOC1">
    <w:name w:val="toc 1"/>
    <w:basedOn w:val="Normal"/>
    <w:next w:val="Normal"/>
    <w:uiPriority w:val="39"/>
    <w:unhideWhenUsed/>
    <w:rsid w:val="00B067F8"/>
    <w:pPr>
      <w:keepNext/>
      <w:keepLines/>
      <w:tabs>
        <w:tab w:val="right" w:leader="underscore" w:pos="9072"/>
      </w:tabs>
      <w:spacing w:after="200"/>
    </w:pPr>
    <w:rPr>
      <w:rFonts w:ascii="Arial" w:hAnsi="Arial"/>
      <w:b/>
      <w:sz w:val="26"/>
    </w:rPr>
  </w:style>
  <w:style w:type="paragraph" w:styleId="TOC2">
    <w:name w:val="toc 2"/>
    <w:basedOn w:val="Normal"/>
    <w:next w:val="Normal"/>
    <w:uiPriority w:val="39"/>
    <w:unhideWhenUsed/>
    <w:rsid w:val="00B067F8"/>
    <w:pPr>
      <w:keepLines/>
      <w:tabs>
        <w:tab w:val="right" w:leader="underscore" w:pos="9072"/>
      </w:tabs>
      <w:spacing w:after="100"/>
      <w:ind w:left="425"/>
    </w:pPr>
    <w:rPr>
      <w:sz w:val="25"/>
    </w:rPr>
  </w:style>
  <w:style w:type="paragraph" w:styleId="TOC3">
    <w:name w:val="toc 3"/>
    <w:basedOn w:val="Normal"/>
    <w:next w:val="Normal"/>
    <w:uiPriority w:val="39"/>
    <w:unhideWhenUsed/>
    <w:rsid w:val="00B067F8"/>
    <w:pPr>
      <w:keepLines/>
      <w:tabs>
        <w:tab w:val="right" w:leader="underscore" w:pos="9072"/>
      </w:tabs>
      <w:spacing w:after="100"/>
      <w:ind w:left="851"/>
    </w:pPr>
  </w:style>
  <w:style w:type="paragraph" w:styleId="TOCHeading">
    <w:name w:val="TOC Heading"/>
    <w:basedOn w:val="Heading1"/>
    <w:next w:val="Normal"/>
    <w:uiPriority w:val="39"/>
    <w:semiHidden/>
    <w:unhideWhenUsed/>
    <w:qFormat/>
    <w:rsid w:val="00F3148D"/>
    <w:pPr>
      <w:spacing w:before="480" w:after="0" w:line="276" w:lineRule="auto"/>
      <w:outlineLvl w:val="9"/>
    </w:pPr>
    <w:rPr>
      <w:bCs w:val="0"/>
      <w:color w:val="002035"/>
      <w:sz w:val="28"/>
      <w:lang w:val="en-US"/>
    </w:rPr>
  </w:style>
  <w:style w:type="paragraph" w:customStyle="1" w:styleId="Subject">
    <w:name w:val="Subject"/>
    <w:basedOn w:val="Normal"/>
    <w:rsid w:val="00055B86"/>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styleId="Caption">
    <w:name w:val="caption"/>
    <w:basedOn w:val="Tabletitle"/>
    <w:next w:val="Normal"/>
    <w:uiPriority w:val="35"/>
    <w:semiHidden/>
    <w:rsid w:val="0033260A"/>
  </w:style>
  <w:style w:type="paragraph" w:styleId="FootnoteText">
    <w:name w:val="footnote text"/>
    <w:basedOn w:val="Normal"/>
    <w:link w:val="FootnoteTextChar"/>
    <w:rsid w:val="009527F4"/>
    <w:pPr>
      <w:keepLines/>
    </w:pPr>
    <w:rPr>
      <w:sz w:val="20"/>
    </w:rPr>
  </w:style>
  <w:style w:type="character" w:customStyle="1" w:styleId="FootnoteTextChar">
    <w:name w:val="Footnote Text Char"/>
    <w:basedOn w:val="DefaultParagraphFont"/>
    <w:link w:val="FootnoteText"/>
    <w:rsid w:val="009527F4"/>
    <w:rPr>
      <w:rFonts w:ascii="Cambria" w:hAnsi="Cambria"/>
    </w:rPr>
  </w:style>
  <w:style w:type="paragraph" w:styleId="Subtitle">
    <w:name w:val="Subtitle"/>
    <w:basedOn w:val="Normal"/>
    <w:next w:val="Normal"/>
    <w:link w:val="SubtitleChar"/>
    <w:uiPriority w:val="11"/>
    <w:semiHidden/>
    <w:unhideWhenUsed/>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semiHidden/>
    <w:rsid w:val="009A1D75"/>
    <w:rPr>
      <w:rFonts w:ascii="Arial" w:eastAsia="Times New Roman" w:hAnsi="Arial"/>
      <w:bCs/>
      <w:iCs/>
      <w:sz w:val="40"/>
      <w:szCs w:val="24"/>
    </w:rPr>
  </w:style>
  <w:style w:type="paragraph" w:styleId="Title">
    <w:name w:val="Title"/>
    <w:next w:val="Normal"/>
    <w:link w:val="TitleChar"/>
    <w:uiPriority w:val="10"/>
    <w:semiHidden/>
    <w:unhideWhenUsed/>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semiHidden/>
    <w:rsid w:val="009A1D75"/>
    <w:rPr>
      <w:rFonts w:ascii="Arial" w:eastAsia="Times New Roman" w:hAnsi="Arial"/>
      <w:spacing w:val="5"/>
      <w:kern w:val="28"/>
      <w:sz w:val="52"/>
      <w:szCs w:val="52"/>
    </w:rPr>
  </w:style>
  <w:style w:type="paragraph" w:customStyle="1" w:styleId="FlowChartWhiteText">
    <w:name w:val="Flow Chart White Text"/>
    <w:basedOn w:val="Normal"/>
    <w:semiHidden/>
    <w:unhideWhenUsed/>
    <w:rsid w:val="007E78FC"/>
    <w:pPr>
      <w:jc w:val="center"/>
    </w:pPr>
    <w:rPr>
      <w:rFonts w:ascii="Arial" w:hAnsi="Arial"/>
      <w:color w:val="FFFFFF"/>
    </w:rPr>
  </w:style>
  <w:style w:type="paragraph" w:customStyle="1" w:styleId="FlowchartText">
    <w:name w:val="Flowchart Text"/>
    <w:basedOn w:val="Normal"/>
    <w:semiHidden/>
    <w:unhideWhenUsed/>
    <w:rsid w:val="007E78FC"/>
    <w:pPr>
      <w:jc w:val="center"/>
    </w:pPr>
    <w:rPr>
      <w:rFonts w:ascii="Arial" w:hAnsi="Arial"/>
    </w:rPr>
  </w:style>
  <w:style w:type="paragraph" w:customStyle="1" w:styleId="Quotation">
    <w:name w:val="Quotation"/>
    <w:basedOn w:val="Normal"/>
    <w:next w:val="Normal"/>
    <w:uiPriority w:val="4"/>
    <w:qFormat/>
    <w:rsid w:val="00055B86"/>
    <w:pPr>
      <w:ind w:left="425"/>
    </w:pPr>
    <w:rPr>
      <w:sz w:val="20"/>
    </w:rPr>
  </w:style>
  <w:style w:type="character" w:styleId="FootnoteReference">
    <w:name w:val="footnote reference"/>
    <w:basedOn w:val="DefaultParagraphFont"/>
    <w:uiPriority w:val="99"/>
    <w:semiHidden/>
    <w:unhideWhenUsed/>
    <w:rsid w:val="009527F4"/>
    <w:rPr>
      <w:vertAlign w:val="superscript"/>
    </w:rPr>
  </w:style>
  <w:style w:type="paragraph" w:styleId="TOC4">
    <w:name w:val="toc 4"/>
    <w:basedOn w:val="Normal"/>
    <w:next w:val="Normal"/>
    <w:autoRedefine/>
    <w:uiPriority w:val="39"/>
    <w:unhideWhenUsed/>
    <w:rsid w:val="00B067F8"/>
    <w:pPr>
      <w:keepLines/>
      <w:tabs>
        <w:tab w:val="right" w:leader="underscore" w:pos="9072"/>
      </w:tabs>
      <w:spacing w:after="100"/>
      <w:ind w:left="1276"/>
    </w:pPr>
  </w:style>
  <w:style w:type="paragraph" w:styleId="TOC5">
    <w:name w:val="toc 5"/>
    <w:basedOn w:val="Normal"/>
    <w:next w:val="Normal"/>
    <w:autoRedefine/>
    <w:uiPriority w:val="39"/>
    <w:unhideWhenUsed/>
    <w:rsid w:val="00B067F8"/>
    <w:pPr>
      <w:keepLines/>
      <w:tabs>
        <w:tab w:val="left" w:leader="underscore" w:pos="9072"/>
      </w:tabs>
      <w:spacing w:after="100"/>
      <w:ind w:left="1701"/>
    </w:pPr>
    <w:rPr>
      <w:noProof/>
    </w:rPr>
  </w:style>
  <w:style w:type="paragraph" w:styleId="TOC6">
    <w:name w:val="toc 6"/>
    <w:basedOn w:val="Normal"/>
    <w:next w:val="Normal"/>
    <w:autoRedefine/>
    <w:uiPriority w:val="39"/>
    <w:semiHidden/>
    <w:unhideWhenUsed/>
    <w:rsid w:val="00B067F8"/>
    <w:pPr>
      <w:tabs>
        <w:tab w:val="right" w:pos="8505"/>
      </w:tabs>
      <w:spacing w:after="100"/>
      <w:ind w:left="2126"/>
    </w:pPr>
  </w:style>
  <w:style w:type="paragraph" w:styleId="TOC7">
    <w:name w:val="toc 7"/>
    <w:basedOn w:val="Normal"/>
    <w:next w:val="Normal"/>
    <w:autoRedefine/>
    <w:uiPriority w:val="39"/>
    <w:semiHidden/>
    <w:unhideWhenUsed/>
    <w:rsid w:val="00B067F8"/>
    <w:pPr>
      <w:spacing w:after="100"/>
      <w:ind w:left="2211"/>
    </w:pPr>
  </w:style>
  <w:style w:type="paragraph" w:styleId="EndnoteText">
    <w:name w:val="endnote text"/>
    <w:basedOn w:val="FootnoteText"/>
    <w:link w:val="EndnoteTextChar"/>
    <w:semiHidden/>
    <w:unhideWhenUsed/>
    <w:rsid w:val="0033260A"/>
  </w:style>
  <w:style w:type="character" w:customStyle="1" w:styleId="EndnoteTextChar">
    <w:name w:val="Endnote Text Char"/>
    <w:basedOn w:val="DefaultParagraphFont"/>
    <w:link w:val="EndnoteText"/>
    <w:semiHidden/>
    <w:rsid w:val="0033260A"/>
    <w:rPr>
      <w:rFonts w:ascii="Cambria" w:hAnsi="Cambria"/>
    </w:rPr>
  </w:style>
  <w:style w:type="character" w:styleId="EndnoteReference">
    <w:name w:val="endnote reference"/>
    <w:basedOn w:val="DefaultParagraphFont"/>
    <w:uiPriority w:val="99"/>
    <w:semiHidden/>
    <w:unhideWhenUsed/>
    <w:rsid w:val="0033260A"/>
    <w:rPr>
      <w:vertAlign w:val="superscript"/>
    </w:rPr>
  </w:style>
  <w:style w:type="paragraph" w:styleId="TableofFigures">
    <w:name w:val="table of figures"/>
    <w:basedOn w:val="Normal"/>
    <w:next w:val="Normal"/>
    <w:uiPriority w:val="99"/>
    <w:semiHidden/>
    <w:unhideWhenUsed/>
    <w:rsid w:val="006A7B7F"/>
  </w:style>
  <w:style w:type="character" w:styleId="UnresolvedMention">
    <w:name w:val="Unresolved Mention"/>
    <w:basedOn w:val="DefaultParagraphFont"/>
    <w:uiPriority w:val="99"/>
    <w:semiHidden/>
    <w:unhideWhenUsed/>
    <w:rsid w:val="00FF3CD7"/>
    <w:rPr>
      <w:color w:val="605E5C"/>
      <w:shd w:val="clear" w:color="auto" w:fill="E1DFDD"/>
    </w:rPr>
  </w:style>
  <w:style w:type="paragraph" w:styleId="ListParagraph">
    <w:name w:val="List Paragraph"/>
    <w:basedOn w:val="Normal"/>
    <w:uiPriority w:val="34"/>
    <w:locked/>
    <w:rsid w:val="001A3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vartis.com.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ga.gov.au/reporting-proble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Documents\Custom%20Office%20Templates\TGA-Normal.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9B159-0650-4170-9609-14B0984B1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TGA-Normal.DOTX</Template>
  <TotalTime>0</TotalTime>
  <Pages>12</Pages>
  <Words>4221</Words>
  <Characters>23855</Characters>
  <Application>Microsoft Office Word</Application>
  <DocSecurity>0</DocSecurity>
  <Lines>917</Lines>
  <Paragraphs>825</Paragraphs>
  <ScaleCrop>false</ScaleCrop>
  <HeadingPairs>
    <vt:vector size="2" baseType="variant">
      <vt:variant>
        <vt:lpstr>Title</vt:lpstr>
      </vt:variant>
      <vt:variant>
        <vt:i4>1</vt:i4>
      </vt:variant>
    </vt:vector>
  </HeadingPairs>
  <TitlesOfParts>
    <vt:vector size="1" baseType="lpstr">
      <vt:lpstr>Attachment 1: Product Information for Crizanlizumab</vt:lpstr>
    </vt:vector>
  </TitlesOfParts>
  <Company>Novartis Pharmaceuticals Australia Pty Ltd</Company>
  <LinksUpToDate>false</LinksUpToDate>
  <CharactersWithSpaces>27251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Crizanlizumab</dc:title>
  <dc:subject>prescription medicines</dc:subject>
  <dc:creator>Novartis Pharmaceuticals Australia Pty Ltd</dc:creator>
  <cp:lastPrinted>2013-07-26T02:02:00Z</cp:lastPrinted>
  <dcterms:created xsi:type="dcterms:W3CDTF">2021-08-24T00:53:00Z</dcterms:created>
  <dcterms:modified xsi:type="dcterms:W3CDTF">2021-08-24T00:53:00Z</dcterms:modified>
</cp:coreProperties>
</file>