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284" w:rsidRDefault="009305C5" w:rsidP="00D61E72">
      <w:pPr>
        <w:spacing w:after="240"/>
        <w:rPr>
          <w:highlight w:val="magenta"/>
        </w:rPr>
      </w:pPr>
      <w:r>
        <w:pict>
          <v:shapetype id="_x0000_t202" coordsize="21600,21600" o:spt="202" path="m,l,21600r21600,l21600,xe">
            <v:stroke joinstyle="miter"/>
            <v:path gradientshapeok="t" o:connecttype="rect"/>
          </v:shapetype>
          <v:shape id="Text Box 1" o:spid="_x0000_s1028" type="#_x0000_t202" style="width:19.85pt;height:19.85pt;visibility:visible;mso-left-percent:-10001;mso-top-percent:-10001;mso-position-horizontal:absolute;mso-position-horizontal-relative:char;mso-position-vertical:absolute;mso-position-vertical-relative:line;mso-left-percent:-10001;mso-top-percent:-10001" stroked="f">
            <v:textbox inset="0,0,0,0">
              <w:txbxContent>
                <w:p w:rsidR="00D61E72" w:rsidRPr="00BE2A26" w:rsidRDefault="00D61E72" w:rsidP="00D61E72">
                  <w:pPr>
                    <w:rPr>
                      <w:rFonts w:ascii="Wingdings 3" w:hAnsi="Wingdings 3"/>
                    </w:rPr>
                  </w:pPr>
                  <w:r w:rsidRPr="00BE2A26">
                    <w:rPr>
                      <w:rFonts w:ascii="SimSun" w:eastAsia="SimSun" w:hAnsi="SimSun" w:cs="Arial" w:hint="eastAsia"/>
                      <w:sz w:val="40"/>
                    </w:rPr>
                    <w:t>▼</w:t>
                  </w:r>
                </w:p>
              </w:txbxContent>
            </v:textbox>
            <w10:wrap type="none"/>
            <w10:anchorlock/>
          </v:shape>
        </w:pict>
      </w:r>
      <w:r w:rsidR="00D61E72">
        <w:t xml:space="preserve">This medicinal product is subject to additional monitoring </w:t>
      </w:r>
      <w:r w:rsidR="00D61E72" w:rsidRPr="00E33321">
        <w:rPr>
          <w:b/>
        </w:rPr>
        <w:t>in Australia</w:t>
      </w:r>
      <w:r w:rsidR="00D61E72">
        <w:t xml:space="preserve">. This will allow quick identification of new safety information. Healthcare professionals are asked to report any suspected adverse events at </w:t>
      </w:r>
      <w:hyperlink r:id="rId8" w:history="1">
        <w:r w:rsidR="00D61E72" w:rsidRPr="00E932FB">
          <w:rPr>
            <w:rStyle w:val="Hyperlink"/>
          </w:rPr>
          <w:t>www.tga.gov.au/reporting-problems</w:t>
        </w:r>
      </w:hyperlink>
      <w:r w:rsidR="00D61E72">
        <w:t>.</w:t>
      </w:r>
    </w:p>
    <w:p w:rsidR="00D61E72" w:rsidRDefault="00D61E72" w:rsidP="00D61E72">
      <w:pPr>
        <w:pStyle w:val="CLDTITLE"/>
        <w:rPr>
          <w:rFonts w:eastAsia="SimSun"/>
        </w:rPr>
      </w:pPr>
      <w:r w:rsidRPr="003E4B57">
        <w:rPr>
          <w:rFonts w:eastAsia="SimSun"/>
        </w:rPr>
        <w:t>AUSTRALIAN P</w:t>
      </w:r>
      <w:r>
        <w:rPr>
          <w:rFonts w:eastAsia="SimSun"/>
        </w:rPr>
        <w:t xml:space="preserve">RODUCT </w:t>
      </w:r>
      <w:r w:rsidRPr="003E4B57">
        <w:rPr>
          <w:rFonts w:eastAsia="SimSun"/>
        </w:rPr>
        <w:t>I</w:t>
      </w:r>
      <w:r>
        <w:rPr>
          <w:rFonts w:eastAsia="SimSun"/>
        </w:rPr>
        <w:t>NFORMATION</w:t>
      </w:r>
      <w:r w:rsidRPr="003E4B57">
        <w:rPr>
          <w:rFonts w:eastAsia="SimSun"/>
        </w:rPr>
        <w:t xml:space="preserve"> – </w:t>
      </w:r>
    </w:p>
    <w:p w:rsidR="00D61E72" w:rsidRPr="003E4B57" w:rsidRDefault="00D61E72" w:rsidP="00D61E72">
      <w:pPr>
        <w:pStyle w:val="CLDTITLE"/>
        <w:rPr>
          <w:rFonts w:eastAsia="SimSun"/>
        </w:rPr>
      </w:pPr>
      <w:r>
        <w:rPr>
          <w:rFonts w:eastAsia="SimSun"/>
        </w:rPr>
        <w:t>STAQUIS</w:t>
      </w:r>
      <w:r w:rsidRPr="00B34959">
        <w:rPr>
          <w:vertAlign w:val="superscript"/>
        </w:rPr>
        <w:t>TM</w:t>
      </w:r>
      <w:r>
        <w:rPr>
          <w:rFonts w:eastAsia="SimSun"/>
        </w:rPr>
        <w:t xml:space="preserve"> (CRISABOROLE)</w:t>
      </w:r>
    </w:p>
    <w:p w:rsidR="00D61E72" w:rsidRPr="003E4B57" w:rsidRDefault="00D61E72" w:rsidP="00D61E72">
      <w:pPr>
        <w:spacing w:after="120"/>
      </w:pPr>
      <w:bookmarkStart w:id="0" w:name="_GoBack"/>
      <w:bookmarkEnd w:id="0"/>
    </w:p>
    <w:p w:rsidR="00D61E72" w:rsidRPr="003E4B57" w:rsidRDefault="00D61E72" w:rsidP="00D61E72">
      <w:pPr>
        <w:pStyle w:val="CLDHeading1"/>
        <w:numPr>
          <w:ilvl w:val="0"/>
          <w:numId w:val="32"/>
        </w:numPr>
      </w:pPr>
      <w:r w:rsidRPr="003E4B57">
        <w:t>Name of the medicine</w:t>
      </w:r>
    </w:p>
    <w:p w:rsidR="00D61E72" w:rsidRPr="003E4B57" w:rsidRDefault="00D61E72" w:rsidP="00D61E72">
      <w:pPr>
        <w:pStyle w:val="CLDNormal"/>
      </w:pPr>
      <w:r w:rsidRPr="003E4B57">
        <w:t>Crisaborole</w:t>
      </w:r>
    </w:p>
    <w:p w:rsidR="00D61E72" w:rsidRPr="003E4B57" w:rsidRDefault="00D61E72" w:rsidP="00D61E72">
      <w:pPr>
        <w:pStyle w:val="CLDHeading1"/>
        <w:numPr>
          <w:ilvl w:val="0"/>
          <w:numId w:val="32"/>
        </w:numPr>
      </w:pPr>
      <w:r w:rsidRPr="003E4B57">
        <w:t>Qualitative and quantitative composition</w:t>
      </w:r>
    </w:p>
    <w:p w:rsidR="00D61E72" w:rsidRPr="003E4B57" w:rsidRDefault="00D61E72" w:rsidP="00D61E72">
      <w:pPr>
        <w:pStyle w:val="CLDNormal"/>
      </w:pPr>
      <w:r>
        <w:t>STAQUIS</w:t>
      </w:r>
      <w:r w:rsidRPr="003E4B57">
        <w:t xml:space="preserve"> contains 2% (w/w)</w:t>
      </w:r>
      <w:r>
        <w:t xml:space="preserve"> </w:t>
      </w:r>
      <w:r w:rsidRPr="003E4B57">
        <w:t xml:space="preserve">crisaborole in a paraffin-based, ointment and is for topical use. </w:t>
      </w:r>
      <w:r>
        <w:rPr>
          <w:color w:val="07B140"/>
        </w:rPr>
        <w:t xml:space="preserve"> </w:t>
      </w:r>
      <w:r w:rsidRPr="003E4B57">
        <w:t xml:space="preserve">The active ingredient, crisaborole, is a phosphodiesterase-4 (PDE-4) inhibitor. Each gram of </w:t>
      </w:r>
      <w:r>
        <w:t>STAQUIS</w:t>
      </w:r>
      <w:r w:rsidRPr="003E4B57">
        <w:t xml:space="preserve"> contains 20 mg of crisaborole.</w:t>
      </w:r>
      <w:r w:rsidRPr="003E4B57">
        <w:rPr>
          <w:color w:val="009644"/>
        </w:rPr>
        <w:t xml:space="preserve"> </w:t>
      </w:r>
    </w:p>
    <w:p w:rsidR="00D61E72" w:rsidRPr="000F5B37" w:rsidRDefault="00D61E72" w:rsidP="00D61E72">
      <w:pPr>
        <w:pStyle w:val="CLDNormal"/>
      </w:pPr>
      <w:r w:rsidRPr="000F5B37">
        <w:t>For the full list</w:t>
      </w:r>
      <w:r>
        <w:t xml:space="preserve"> of excipients, see Section 6.1 – List of excipients.</w:t>
      </w:r>
    </w:p>
    <w:p w:rsidR="00D61E72" w:rsidRPr="003E4B57" w:rsidRDefault="00D61E72" w:rsidP="00D61E72">
      <w:pPr>
        <w:pStyle w:val="CLDHeading1"/>
        <w:numPr>
          <w:ilvl w:val="0"/>
          <w:numId w:val="32"/>
        </w:numPr>
      </w:pPr>
      <w:r w:rsidRPr="003E4B57">
        <w:t>Pharmaceutical form</w:t>
      </w:r>
    </w:p>
    <w:p w:rsidR="00D61E72" w:rsidRPr="003E4B57" w:rsidRDefault="00D61E72" w:rsidP="00D61E72">
      <w:pPr>
        <w:pStyle w:val="CLDNormal"/>
      </w:pPr>
      <w:r>
        <w:t>STAQUIS</w:t>
      </w:r>
      <w:r w:rsidRPr="003E4B57">
        <w:t xml:space="preserve"> is a white to off-white ointment containing 20 mg of crisaborole per gram (2%</w:t>
      </w:r>
      <w:r>
        <w:t xml:space="preserve"> w/w</w:t>
      </w:r>
      <w:r w:rsidRPr="003E4B57">
        <w:t>) crisaborole.</w:t>
      </w:r>
    </w:p>
    <w:p w:rsidR="00D61E72" w:rsidRPr="003E4B57" w:rsidRDefault="00D61E72" w:rsidP="00D61E72">
      <w:pPr>
        <w:pStyle w:val="CLDHeading1"/>
        <w:numPr>
          <w:ilvl w:val="0"/>
          <w:numId w:val="32"/>
        </w:numPr>
      </w:pPr>
      <w:r w:rsidRPr="003E4B57">
        <w:t>Clinical particulars</w:t>
      </w:r>
    </w:p>
    <w:p w:rsidR="00D61E72" w:rsidRPr="003E4B57" w:rsidRDefault="00D61E72" w:rsidP="00D61E72">
      <w:pPr>
        <w:pStyle w:val="CLDHeading2"/>
      </w:pPr>
      <w:r>
        <w:t xml:space="preserve">4.1 </w:t>
      </w:r>
      <w:r w:rsidRPr="003E4B57">
        <w:t xml:space="preserve">Therapeutic indications </w:t>
      </w:r>
    </w:p>
    <w:p w:rsidR="00D61E72" w:rsidRPr="003E4B57" w:rsidRDefault="00D61E72" w:rsidP="00D61E72">
      <w:pPr>
        <w:pStyle w:val="CLDNormal"/>
      </w:pPr>
      <w:r>
        <w:t>STAQUIS</w:t>
      </w:r>
      <w:r w:rsidRPr="003E4B57">
        <w:t xml:space="preserve"> is indicated for topical treatment of mild to moderate atopic dermatitis in patients 2 years of age and older.</w:t>
      </w:r>
    </w:p>
    <w:p w:rsidR="00D61E72" w:rsidRPr="003E4B57" w:rsidRDefault="00D61E72" w:rsidP="00D61E72">
      <w:pPr>
        <w:pStyle w:val="CLDHeading2"/>
      </w:pPr>
      <w:r>
        <w:t xml:space="preserve">4.2 </w:t>
      </w:r>
      <w:r w:rsidRPr="003E4B57">
        <w:t xml:space="preserve">Dose and method of administration </w:t>
      </w:r>
    </w:p>
    <w:p w:rsidR="00D61E72" w:rsidRPr="003E4B57" w:rsidRDefault="00D61E72" w:rsidP="00D61E72">
      <w:pPr>
        <w:pStyle w:val="CLDHeading3"/>
      </w:pPr>
      <w:r w:rsidRPr="00D75720">
        <w:t>Dosage</w:t>
      </w:r>
    </w:p>
    <w:p w:rsidR="00D61E72" w:rsidRPr="004374AC" w:rsidRDefault="00D61E72" w:rsidP="00D61E72">
      <w:pPr>
        <w:pStyle w:val="CLDNormal"/>
        <w:rPr>
          <w:b/>
        </w:rPr>
      </w:pPr>
      <w:r>
        <w:t>STAQUIS</w:t>
      </w:r>
      <w:r w:rsidRPr="004374AC">
        <w:t xml:space="preserve"> can be used continuously </w:t>
      </w:r>
      <w:r>
        <w:t>for up to 28 days per treatment course. The efficacy for continuous use beyond 28 days has not been studied in a controlled trial.</w:t>
      </w:r>
      <w:r w:rsidRPr="00833A3E">
        <w:t xml:space="preserve"> </w:t>
      </w:r>
      <w:r>
        <w:t xml:space="preserve">  Multiple treatment courses over</w:t>
      </w:r>
      <w:r w:rsidRPr="00ED695A">
        <w:t xml:space="preserve"> 48 weeks ha</w:t>
      </w:r>
      <w:r>
        <w:t>ve</w:t>
      </w:r>
      <w:r w:rsidRPr="00ED695A">
        <w:t xml:space="preserve"> been studied in an open-label extension trial.</w:t>
      </w:r>
      <w:r w:rsidRPr="00833A3E">
        <w:t xml:space="preserve"> </w:t>
      </w:r>
      <w:r>
        <w:t xml:space="preserve"> Do not co-apply STAQUIS with other topical atopic dermatitis medicines on the same lesions.  The concurrent use of STAQUIS with other topical atopic dermatitis medicines on separate lesions </w:t>
      </w:r>
      <w:r w:rsidRPr="00C46078">
        <w:t>has not been</w:t>
      </w:r>
      <w:r>
        <w:t xml:space="preserve"> studied.</w:t>
      </w:r>
    </w:p>
    <w:p w:rsidR="00D61E72" w:rsidRPr="003E4B57" w:rsidRDefault="00D61E72" w:rsidP="00D61E72">
      <w:pPr>
        <w:pStyle w:val="CLDHeading4"/>
      </w:pPr>
      <w:r w:rsidRPr="003E4B57">
        <w:lastRenderedPageBreak/>
        <w:t>Adults</w:t>
      </w:r>
    </w:p>
    <w:p w:rsidR="00D61E72" w:rsidRPr="003E4B57" w:rsidRDefault="00D61E72" w:rsidP="00D61E72">
      <w:pPr>
        <w:pStyle w:val="CLDNormal"/>
      </w:pPr>
      <w:r>
        <w:t>STAQUIS</w:t>
      </w:r>
      <w:r w:rsidRPr="003E4B57">
        <w:t xml:space="preserve"> is to be applied as a thin layer twice daily to affected areas. </w:t>
      </w:r>
      <w:r>
        <w:t>STAQUIS</w:t>
      </w:r>
      <w:r w:rsidRPr="003E4B57">
        <w:t xml:space="preserve"> can be used on all skin areas, including the head and face, neck and intertriginous areas</w:t>
      </w:r>
      <w:r>
        <w:t>.</w:t>
      </w:r>
      <w:r w:rsidRPr="003E4B57">
        <w:t xml:space="preserve"> </w:t>
      </w:r>
      <w:r w:rsidRPr="00ED695A">
        <w:t>Use on the scalp has not been studied.</w:t>
      </w:r>
    </w:p>
    <w:p w:rsidR="00D61E72" w:rsidRPr="00E232A3" w:rsidRDefault="00D61E72" w:rsidP="00D61E72">
      <w:pPr>
        <w:pStyle w:val="CLDHeading4"/>
      </w:pPr>
      <w:r w:rsidRPr="003E4B57">
        <w:t>Paediatric population</w:t>
      </w:r>
    </w:p>
    <w:p w:rsidR="00D61E72" w:rsidRPr="003E4B57" w:rsidRDefault="00D61E72" w:rsidP="00D61E72">
      <w:pPr>
        <w:pStyle w:val="CLDNormal"/>
      </w:pPr>
      <w:r w:rsidRPr="003E4B57">
        <w:t xml:space="preserve">For children and adolescents (2-17 years) the dosage is the same as for adults. The safety and efficacy of </w:t>
      </w:r>
      <w:r>
        <w:t>STAQUIS</w:t>
      </w:r>
      <w:r w:rsidRPr="003E4B57">
        <w:t xml:space="preserve"> in children less than 2 years of age has not been established. No data are available.</w:t>
      </w:r>
    </w:p>
    <w:p w:rsidR="00D61E72" w:rsidRPr="003E4B57" w:rsidRDefault="00D61E72" w:rsidP="00D61E72">
      <w:pPr>
        <w:pStyle w:val="CLDHeading3"/>
      </w:pPr>
      <w:r w:rsidRPr="003E4B57">
        <w:t>Method of administration</w:t>
      </w:r>
    </w:p>
    <w:p w:rsidR="00D61E72" w:rsidRPr="003E4B57" w:rsidRDefault="00D61E72" w:rsidP="00D61E72">
      <w:pPr>
        <w:pStyle w:val="CLDNormal"/>
      </w:pPr>
      <w:r>
        <w:t>STAQUIS</w:t>
      </w:r>
      <w:r w:rsidRPr="003E4B57">
        <w:t xml:space="preserve"> is for topical use only and not for oral, ophthalmic, or intravaginal use. If accidentally applied to these areas, the ointment should be thoroughly wiped off and rinsed well with water.</w:t>
      </w:r>
    </w:p>
    <w:p w:rsidR="00D61E72" w:rsidRPr="003E4B57" w:rsidRDefault="00D61E72" w:rsidP="00D61E72">
      <w:pPr>
        <w:pStyle w:val="CLDNormal"/>
      </w:pPr>
      <w:r w:rsidRPr="003E4B57">
        <w:rPr>
          <w:noProof/>
        </w:rPr>
        <w:t xml:space="preserve">Patients should be instructed to wash their hands after applying </w:t>
      </w:r>
      <w:r>
        <w:t>STAQUIS</w:t>
      </w:r>
      <w:r w:rsidRPr="003E4B57">
        <w:rPr>
          <w:noProof/>
        </w:rPr>
        <w:t xml:space="preserve">, unless it is their hands that are being treated.  If someone else applies </w:t>
      </w:r>
      <w:r>
        <w:t>STAQUIS</w:t>
      </w:r>
      <w:r w:rsidRPr="003E4B57">
        <w:rPr>
          <w:noProof/>
        </w:rPr>
        <w:t xml:space="preserve"> to the patient, they too should wash their hands after application.</w:t>
      </w:r>
    </w:p>
    <w:p w:rsidR="00D61E72" w:rsidRPr="003E4B57" w:rsidRDefault="00D61E72" w:rsidP="00D61E72">
      <w:pPr>
        <w:pStyle w:val="CLDHeading2"/>
      </w:pPr>
      <w:r>
        <w:t xml:space="preserve">4.3 </w:t>
      </w:r>
      <w:r w:rsidRPr="003E4B57">
        <w:t>Contraindications</w:t>
      </w:r>
    </w:p>
    <w:p w:rsidR="00D61E72" w:rsidRPr="003E4B57" w:rsidRDefault="00D61E72" w:rsidP="00D61E72">
      <w:pPr>
        <w:pStyle w:val="CLDNormal"/>
      </w:pPr>
      <w:r>
        <w:t>STAQUIS</w:t>
      </w:r>
      <w:r w:rsidRPr="003E4B57">
        <w:t xml:space="preserve"> is contraindicated in patients with known hypersensitivity to crisaborole or any component of the formulation (see Section 4.4).</w:t>
      </w:r>
    </w:p>
    <w:p w:rsidR="00D61E72" w:rsidRPr="00E232A3" w:rsidRDefault="00D61E72" w:rsidP="00D61E72">
      <w:pPr>
        <w:pStyle w:val="CLDHeading2"/>
      </w:pPr>
      <w:r>
        <w:t xml:space="preserve">4.4 </w:t>
      </w:r>
      <w:r w:rsidRPr="00E232A3">
        <w:t>Special warnings and precautions for use</w:t>
      </w:r>
    </w:p>
    <w:p w:rsidR="00D61E72" w:rsidRPr="003E4B57" w:rsidRDefault="00D61E72" w:rsidP="00D61E72">
      <w:pPr>
        <w:pStyle w:val="CLDHeading3"/>
      </w:pPr>
      <w:r w:rsidRPr="003E4B57">
        <w:t xml:space="preserve">Hypersensitivity </w:t>
      </w:r>
      <w:r>
        <w:t>r</w:t>
      </w:r>
      <w:r w:rsidRPr="003E4B57">
        <w:t>eactions</w:t>
      </w:r>
    </w:p>
    <w:p w:rsidR="00D61E72" w:rsidRPr="00611E30" w:rsidRDefault="00D61E72" w:rsidP="00D61E72">
      <w:pPr>
        <w:pStyle w:val="CLDNormal"/>
      </w:pPr>
      <w:r w:rsidRPr="003E4B57">
        <w:t xml:space="preserve">Hypersensitivity reactions, including contact urticaria, have occurred in patients treated with </w:t>
      </w:r>
      <w:r>
        <w:t>STAQUIS</w:t>
      </w:r>
      <w:r w:rsidRPr="003E4B57">
        <w:t xml:space="preserve">. Hypersensitivity should be suspected in the event of severe pruritus, swelling and erythema at the application site or at a distant site.  If signs and symptoms of hypersensitivity occur, discontinue </w:t>
      </w:r>
      <w:r>
        <w:t>STAQUIS</w:t>
      </w:r>
      <w:r w:rsidRPr="003E4B57">
        <w:t xml:space="preserve"> immediately and initiate appropriate therapy.</w:t>
      </w:r>
    </w:p>
    <w:p w:rsidR="00D61E72" w:rsidRPr="00073D1E" w:rsidRDefault="00D61E72" w:rsidP="00D61E72">
      <w:pPr>
        <w:pStyle w:val="CLDHeading3"/>
      </w:pPr>
      <w:r w:rsidRPr="00073D1E">
        <w:t>Use in hepatic impairment</w:t>
      </w:r>
    </w:p>
    <w:p w:rsidR="00D61E72" w:rsidRPr="00061CDA" w:rsidRDefault="00D61E72" w:rsidP="00D61E72">
      <w:pPr>
        <w:pStyle w:val="CLDNormal"/>
      </w:pPr>
      <w:r w:rsidRPr="00061CDA">
        <w:t>Clinical studies with hepatic impaired subjects have not been conducted.</w:t>
      </w:r>
    </w:p>
    <w:p w:rsidR="00D61E72" w:rsidRPr="00073D1E" w:rsidRDefault="00D61E72" w:rsidP="00D61E72">
      <w:pPr>
        <w:pStyle w:val="CLDHeading3"/>
      </w:pPr>
      <w:r w:rsidRPr="00073D1E">
        <w:t>Use in renal impairment</w:t>
      </w:r>
    </w:p>
    <w:p w:rsidR="00D61E72" w:rsidRPr="00061CDA" w:rsidRDefault="00D61E72" w:rsidP="00D61E72">
      <w:pPr>
        <w:pStyle w:val="CLDNormal"/>
      </w:pPr>
      <w:r w:rsidRPr="00061CDA">
        <w:t>Clinical studies with renal impaired subjects have not been conducted.</w:t>
      </w:r>
      <w:r>
        <w:t xml:space="preserve"> </w:t>
      </w:r>
    </w:p>
    <w:p w:rsidR="00D61E72" w:rsidRPr="00E232A3" w:rsidRDefault="00D61E72" w:rsidP="00D61E72">
      <w:pPr>
        <w:pStyle w:val="CLDHeading3"/>
      </w:pPr>
      <w:r w:rsidRPr="00073D1E">
        <w:t>Use in the elderly</w:t>
      </w:r>
    </w:p>
    <w:p w:rsidR="00D61E72" w:rsidRPr="003E4B57" w:rsidRDefault="00D61E72" w:rsidP="00D61E72">
      <w:pPr>
        <w:pStyle w:val="CLDNormal"/>
      </w:pPr>
      <w:r w:rsidRPr="0090774C">
        <w:t>Clinical studies of STAQUIS did not include sufficient numbers of subjects aged 65 years and over to determine whether they respond differently from younger subjects.</w:t>
      </w:r>
    </w:p>
    <w:p w:rsidR="00D61E72" w:rsidRPr="00073D1E" w:rsidRDefault="00D61E72" w:rsidP="00D61E72">
      <w:pPr>
        <w:pStyle w:val="CLDHeading3"/>
      </w:pPr>
      <w:r w:rsidRPr="00073D1E">
        <w:lastRenderedPageBreak/>
        <w:t>Paediatric use</w:t>
      </w:r>
    </w:p>
    <w:p w:rsidR="00D61E72" w:rsidRPr="001173A0" w:rsidRDefault="00D61E72" w:rsidP="00D61E72">
      <w:pPr>
        <w:pStyle w:val="CLDNormal"/>
      </w:pPr>
      <w:r w:rsidRPr="001173A0">
        <w:t xml:space="preserve">The safety and effectiveness of STAQUIS have been established in paediatric patients age 2 years and older for topical treatment of mild to moderate atopic dermatitis.  Use of STAQUIS in this age group is supported by evidence from two multicentre, randomised, double-blind, parallel-group, vehicle-controlled 28-day trials which included 1,313 paediatric subjects 2 years and older </w:t>
      </w:r>
      <w:r w:rsidRPr="001173A0">
        <w:rPr>
          <w:iCs/>
        </w:rPr>
        <w:t>(see Section 5.1 – Clinical trials and Section 4.8</w:t>
      </w:r>
      <w:r>
        <w:rPr>
          <w:iCs/>
        </w:rPr>
        <w:t xml:space="preserve"> - </w:t>
      </w:r>
      <w:r w:rsidRPr="003E4B57">
        <w:t>Adverse effects (Undesirable effects)</w:t>
      </w:r>
      <w:r w:rsidRPr="001173A0">
        <w:rPr>
          <w:iCs/>
        </w:rPr>
        <w:t>)</w:t>
      </w:r>
      <w:r w:rsidRPr="001173A0">
        <w:t>.  The safety and effectiveness of STAQUIS in paediatric patients below the age of 2 years have not been established.</w:t>
      </w:r>
      <w:r w:rsidRPr="001173A0">
        <w:rPr>
          <w:color w:val="0000FF"/>
        </w:rPr>
        <w:t xml:space="preserve"> </w:t>
      </w:r>
    </w:p>
    <w:p w:rsidR="00D61E72" w:rsidRPr="00B705A6" w:rsidRDefault="00D61E72" w:rsidP="00D61E72">
      <w:pPr>
        <w:pStyle w:val="CLDHeading3"/>
      </w:pPr>
      <w:r w:rsidRPr="00B705A6">
        <w:t>Effects on laboratory tests</w:t>
      </w:r>
    </w:p>
    <w:p w:rsidR="00D61E72" w:rsidRDefault="00D61E72" w:rsidP="00D61E72">
      <w:pPr>
        <w:pStyle w:val="Paragraph"/>
        <w:keepNext/>
        <w:spacing w:line="276" w:lineRule="auto"/>
      </w:pPr>
      <w:r w:rsidRPr="00C302BA">
        <w:t>No data available</w:t>
      </w:r>
      <w:r>
        <w:t>.</w:t>
      </w:r>
    </w:p>
    <w:p w:rsidR="00D61E72" w:rsidRDefault="00D61E72" w:rsidP="00D61E72">
      <w:pPr>
        <w:pStyle w:val="CLDHeading3"/>
      </w:pPr>
      <w:r w:rsidRPr="00B666BF">
        <w:t xml:space="preserve">Class effects of </w:t>
      </w:r>
      <w:r>
        <w:t xml:space="preserve">oral </w:t>
      </w:r>
      <w:r w:rsidRPr="00B666BF">
        <w:t>PDE</w:t>
      </w:r>
      <w:r>
        <w:t>-</w:t>
      </w:r>
      <w:r w:rsidRPr="00B666BF">
        <w:t>4 inhibitors</w:t>
      </w:r>
    </w:p>
    <w:p w:rsidR="00D61E72" w:rsidRPr="00960DAB" w:rsidRDefault="00D61E72" w:rsidP="00D61E72">
      <w:pPr>
        <w:pStyle w:val="CLDNormal"/>
        <w:rPr>
          <w:lang w:val="en-AU"/>
        </w:rPr>
      </w:pPr>
      <w:r w:rsidRPr="00960DAB">
        <w:rPr>
          <w:lang w:val="en-AU"/>
        </w:rPr>
        <w:t>Insomnia, anxiety, depression, suicidal ideation and weight loss are observed as risks in patients taking oral PDE</w:t>
      </w:r>
      <w:r>
        <w:rPr>
          <w:lang w:val="en-AU"/>
        </w:rPr>
        <w:t>-</w:t>
      </w:r>
      <w:r w:rsidRPr="00960DAB">
        <w:rPr>
          <w:lang w:val="en-AU"/>
        </w:rPr>
        <w:t>4 inhibitors.  Existing data from clinical trials and post marketing experience with topical crisaborole do not show evidence of a similar risk with STAQUIS.</w:t>
      </w:r>
    </w:p>
    <w:p w:rsidR="00D61E72" w:rsidRPr="00B705A6" w:rsidRDefault="00D61E72" w:rsidP="00D61E72">
      <w:pPr>
        <w:pStyle w:val="CLDHeading2"/>
      </w:pPr>
      <w:r>
        <w:t xml:space="preserve">4.5 </w:t>
      </w:r>
      <w:r w:rsidRPr="00B705A6">
        <w:t>Interactions with other medicines and other forms of interactions</w:t>
      </w:r>
    </w:p>
    <w:p w:rsidR="00D61E72" w:rsidRPr="003E4B57" w:rsidRDefault="00D61E72" w:rsidP="00D61E72">
      <w:pPr>
        <w:pStyle w:val="CLDHeading3"/>
      </w:pPr>
      <w:r w:rsidRPr="003E4B57">
        <w:t>Drug interaction studies</w:t>
      </w:r>
    </w:p>
    <w:p w:rsidR="00D61E72" w:rsidRPr="003E4B57" w:rsidRDefault="00D61E72" w:rsidP="00D61E72">
      <w:pPr>
        <w:pStyle w:val="CLDNormal"/>
      </w:pPr>
      <w:r w:rsidRPr="00E0181D">
        <w:rPr>
          <w:i/>
          <w:iCs/>
        </w:rPr>
        <w:t>In vitro</w:t>
      </w:r>
      <w:r w:rsidRPr="003E4B57">
        <w:rPr>
          <w:i/>
          <w:iCs/>
        </w:rPr>
        <w:t xml:space="preserve"> </w:t>
      </w:r>
      <w:r w:rsidRPr="003E4B57">
        <w:t>studies using human liver microsomes indicated that under the conditions of clinical use, crisaborole and metabolite 1 are not expected to inhibit cytochrome P450 (CYP) 1A2, 2B6, 2C8, 2C9, 2C19, 2D6, and 3A4.</w:t>
      </w:r>
      <w:r w:rsidRPr="003E4B57">
        <w:rPr>
          <w:color w:val="0000FF"/>
        </w:rPr>
        <w:t xml:space="preserve"> </w:t>
      </w:r>
    </w:p>
    <w:p w:rsidR="00D61E72" w:rsidRPr="003E4B57" w:rsidRDefault="00D61E72" w:rsidP="00D61E72">
      <w:pPr>
        <w:pStyle w:val="CLDNormal"/>
      </w:pPr>
      <w:r w:rsidRPr="00E0181D">
        <w:rPr>
          <w:i/>
        </w:rPr>
        <w:t>In vitro</w:t>
      </w:r>
      <w:r w:rsidRPr="003E4B57">
        <w:t xml:space="preserve"> human liver microsomes studies for metabolite 2 showed that it did not inhibit activities of CYP2C19, 2D6, and 3A4; was a weak inhibitor of CYP1A2 and 2B6; and a moderate inhibitor of CYP2C8 and 2C9.  The most sensitive enzyme, CYP2C9, was further investigated in a clinical trial using warfarin as a CYP2C9 substrate.  The results of this study showed</w:t>
      </w:r>
      <w:r>
        <w:t xml:space="preserve"> no drug interaction potential.</w:t>
      </w:r>
    </w:p>
    <w:p w:rsidR="00D61E72" w:rsidRPr="003F4DE0" w:rsidRDefault="00D61E72" w:rsidP="00D61E72">
      <w:pPr>
        <w:pStyle w:val="CLDNormal"/>
        <w:rPr>
          <w:lang w:val="en-AU"/>
        </w:rPr>
      </w:pPr>
      <w:r w:rsidRPr="00E0181D">
        <w:rPr>
          <w:i/>
          <w:iCs/>
        </w:rPr>
        <w:t>In vitro</w:t>
      </w:r>
      <w:r w:rsidRPr="003E4B57">
        <w:rPr>
          <w:i/>
          <w:iCs/>
        </w:rPr>
        <w:t xml:space="preserve"> </w:t>
      </w:r>
      <w:r w:rsidRPr="003E4B57">
        <w:t>studies in human hepatocytes showed that under the conditions of clinical use, crisaborole and metabolites 1 and 2 are not expected to induce CYP enzymes.</w:t>
      </w:r>
    </w:p>
    <w:p w:rsidR="00D61E72" w:rsidRPr="00D228F6" w:rsidRDefault="00D61E72" w:rsidP="00D61E72">
      <w:pPr>
        <w:pStyle w:val="CLDNormal"/>
      </w:pPr>
      <w:r>
        <w:t>STAQUIS</w:t>
      </w:r>
      <w:r w:rsidRPr="00D228F6">
        <w:rPr>
          <w:lang w:val="en-AU"/>
        </w:rPr>
        <w:t xml:space="preserve"> has not been evaluated in combination with other topical drugs used to treat mild to moderate atopic dermatitis.</w:t>
      </w:r>
      <w:r w:rsidRPr="00D228F6">
        <w:rPr>
          <w:i/>
          <w:lang w:val="en-AU"/>
        </w:rPr>
        <w:t xml:space="preserve"> </w:t>
      </w:r>
      <w:r>
        <w:rPr>
          <w:i/>
          <w:lang w:val="en-AU"/>
        </w:rPr>
        <w:t xml:space="preserve"> </w:t>
      </w:r>
      <w:r w:rsidRPr="00D228F6">
        <w:t xml:space="preserve">Emollients may be used </w:t>
      </w:r>
      <w:r>
        <w:t>on areas of skin other than skin concurrently treated with STAQUIS</w:t>
      </w:r>
      <w:r w:rsidRPr="00D228F6">
        <w:rPr>
          <w:lang w:val="en-AU"/>
        </w:rPr>
        <w:t>.</w:t>
      </w:r>
    </w:p>
    <w:p w:rsidR="00D61E72" w:rsidRPr="003E4B57" w:rsidRDefault="00D61E72" w:rsidP="00D61E72">
      <w:pPr>
        <w:pStyle w:val="CLDHeading2"/>
      </w:pPr>
      <w:r w:rsidRPr="00D75720">
        <w:lastRenderedPageBreak/>
        <w:t>4.6 Fertility, pregnancy and lactation</w:t>
      </w:r>
      <w:r w:rsidRPr="003E4B57">
        <w:t xml:space="preserve"> </w:t>
      </w:r>
    </w:p>
    <w:p w:rsidR="00D61E72" w:rsidRPr="003E4B57" w:rsidRDefault="00D61E72" w:rsidP="00D61E72">
      <w:pPr>
        <w:pStyle w:val="CLDHeading3"/>
      </w:pPr>
      <w:r w:rsidRPr="003E4B57">
        <w:t>Effects on fertility</w:t>
      </w:r>
    </w:p>
    <w:p w:rsidR="00D61E72" w:rsidRPr="000F5B37" w:rsidRDefault="00D61E72" w:rsidP="00D61E72">
      <w:pPr>
        <w:pStyle w:val="CLDNormal"/>
      </w:pPr>
      <w:r w:rsidRPr="000F5B37">
        <w:t>No effects on fertility were observed in male or female rats that were administered oral doses up to 600 mg/kg/day crisaborole (13 times the maximum recommended human dose (MRHD) on an AUC comparison basis).</w:t>
      </w:r>
    </w:p>
    <w:p w:rsidR="00D61E72" w:rsidRPr="00B705A6" w:rsidRDefault="00D61E72" w:rsidP="00D61E72">
      <w:pPr>
        <w:pStyle w:val="CLDHeading3"/>
      </w:pPr>
      <w:r w:rsidRPr="00B705A6">
        <w:t>Use in pregnancy - Category B1</w:t>
      </w:r>
    </w:p>
    <w:p w:rsidR="00D61E72" w:rsidRPr="000F5B37" w:rsidRDefault="00D61E72" w:rsidP="00D61E72">
      <w:pPr>
        <w:pStyle w:val="CLDNormal"/>
        <w:rPr>
          <w:noProof/>
        </w:rPr>
      </w:pPr>
      <w:r w:rsidRPr="000F5B37">
        <w:rPr>
          <w:noProof/>
        </w:rPr>
        <w:t>There are no adequate data from the use of crisaborole in pregnant women.  Animal studies do not indicate direct or indirect harmful effects with respect to reproductive toxicity</w:t>
      </w:r>
      <w:r>
        <w:rPr>
          <w:noProof/>
        </w:rPr>
        <w:t xml:space="preserve"> at maternally non-toxic doses</w:t>
      </w:r>
      <w:r w:rsidRPr="000F5B37">
        <w:rPr>
          <w:noProof/>
        </w:rPr>
        <w:t xml:space="preserve">.  Because animal reproduction studies are not always predictive of the human response, as a precautionary measure, the mother’s clinical benefit of </w:t>
      </w:r>
      <w:r>
        <w:t>STAQUIS</w:t>
      </w:r>
      <w:r w:rsidRPr="000F5B37">
        <w:rPr>
          <w:noProof/>
        </w:rPr>
        <w:t xml:space="preserve"> along with any potential risk on </w:t>
      </w:r>
      <w:r>
        <w:rPr>
          <w:noProof/>
        </w:rPr>
        <w:t>the fetus should be considered.</w:t>
      </w:r>
    </w:p>
    <w:p w:rsidR="00D61E72" w:rsidRPr="000F5B37" w:rsidRDefault="00D61E72" w:rsidP="00D61E72">
      <w:pPr>
        <w:pStyle w:val="CLDNormal"/>
      </w:pPr>
      <w:r>
        <w:t>In animal reproduction studies, r</w:t>
      </w:r>
      <w:r w:rsidRPr="000F5B37">
        <w:t>at and rabbit embryo-fetal development was assessed after oral administration of crisaborole.  Crisaborole did not cause adverse effects to the fetus at oral doses up to 300 mg/kg/day in pregnant rats during the period of organogenesis (3</w:t>
      </w:r>
      <w:r>
        <w:t xml:space="preserve"> </w:t>
      </w:r>
      <w:r w:rsidRPr="000F5B37">
        <w:t xml:space="preserve">times the MRHD on an AUC comparison basis).  No </w:t>
      </w:r>
      <w:r>
        <w:t>drug</w:t>
      </w:r>
      <w:r w:rsidRPr="000F5B37">
        <w:t xml:space="preserve">-related fetal malformations were noted after oral </w:t>
      </w:r>
      <w:r>
        <w:t xml:space="preserve">administration of </w:t>
      </w:r>
      <w:r w:rsidRPr="000F5B37">
        <w:t>crisaborole in pregnant rats at doses up to 600 mg/kg/day (13 times the MRHD on an AUC comparison basis) during the period of organogenesis.  Maternal toxicity was produced at the high dose of 600 mg/kg/day in pregnant rats and was associated with findings of decreased fetal body weight and delayed skeletal ossification.  Crisaborole did not cause adverse effects to the fetus at oral doses up to the highest dose tested of 100 mg/kg/day in pregnant rabbits during the period of organogenesis (2 times the MRHD on an AUC comparison basis).</w:t>
      </w:r>
    </w:p>
    <w:p w:rsidR="00D61E72" w:rsidRPr="000F5B37" w:rsidRDefault="00D61E72" w:rsidP="00D61E72">
      <w:pPr>
        <w:pStyle w:val="CLDNormal"/>
      </w:pPr>
      <w:r w:rsidRPr="000F5B37">
        <w:t xml:space="preserve">In a prenatal/postnatal development study, pregnant rats were treated with crisaborole at doses of 150, 300, </w:t>
      </w:r>
      <w:r>
        <w:t xml:space="preserve">or </w:t>
      </w:r>
      <w:r w:rsidRPr="000F5B37">
        <w:t xml:space="preserve">600 mg/kg/day by oral gavage during gestation and lactation (from gestation day 7 through day 20 of lactation).  Crisaborole did not have any adverse effects on fetal development at doses up to </w:t>
      </w:r>
      <w:r>
        <w:t>300</w:t>
      </w:r>
      <w:r w:rsidRPr="000F5B37">
        <w:t xml:space="preserve"> mg/kg/day (</w:t>
      </w:r>
      <w:r>
        <w:t>3</w:t>
      </w:r>
      <w:r w:rsidRPr="000F5B37">
        <w:t xml:space="preserve"> times the MRHD on an AUC comparison basis).  Maternal toxicity was produced at the high dose of 600 mg/kg/day in pregnant rats and was associated with findings of stillbirths, pup mortality, and reduced pup weights.</w:t>
      </w:r>
    </w:p>
    <w:p w:rsidR="00D61E72" w:rsidRPr="00B705A6" w:rsidRDefault="00D61E72" w:rsidP="00D61E72">
      <w:pPr>
        <w:pStyle w:val="CLDHeading3"/>
      </w:pPr>
      <w:r w:rsidRPr="00B705A6">
        <w:t>Use in lactation</w:t>
      </w:r>
    </w:p>
    <w:p w:rsidR="00D61E72" w:rsidRPr="000F5B37" w:rsidRDefault="00D61E72" w:rsidP="00D61E72">
      <w:pPr>
        <w:pStyle w:val="CLDNormal"/>
      </w:pPr>
      <w:r w:rsidRPr="000F5B37">
        <w:t xml:space="preserve">There is no information available on the presence of </w:t>
      </w:r>
      <w:r>
        <w:t xml:space="preserve">crisaborole </w:t>
      </w:r>
      <w:r w:rsidRPr="000F5B37">
        <w:t xml:space="preserve">in human milk, the effects of the drug on the breastfed infant or the effects of the drug on milk production after topical application of </w:t>
      </w:r>
      <w:r>
        <w:t>STAQUIS</w:t>
      </w:r>
      <w:r w:rsidRPr="000F5B37">
        <w:t xml:space="preserve"> to women who are breastfeeding.  </w:t>
      </w:r>
      <w:r>
        <w:t xml:space="preserve">Crisaborole </w:t>
      </w:r>
      <w:r w:rsidRPr="000F5B37">
        <w:t xml:space="preserve">is systemically absorbed.  The lack of clinical data during lactation precludes a clear determination of the risk of </w:t>
      </w:r>
      <w:r>
        <w:t>STAQUIS</w:t>
      </w:r>
      <w:r w:rsidRPr="000F5B37">
        <w:t xml:space="preserve"> to a breastfed infant.  Therefore, the developmental and health benefits of breastfeeding should be considered along with the mother’s clinical need for </w:t>
      </w:r>
      <w:r>
        <w:t>STAQUIS</w:t>
      </w:r>
      <w:r w:rsidRPr="000F5B37">
        <w:t xml:space="preserve"> and any potential adverse effects on the breastfed infant from </w:t>
      </w:r>
      <w:r>
        <w:t>STAQUIS</w:t>
      </w:r>
      <w:r w:rsidRPr="000F5B37">
        <w:t xml:space="preserve"> or from the underlying maternal condition.  To avoid unintentional ingestion by the newborn, </w:t>
      </w:r>
      <w:r>
        <w:t>STAQUIS</w:t>
      </w:r>
      <w:r w:rsidRPr="000F5B37">
        <w:t xml:space="preserve"> should not be applied to the breast.</w:t>
      </w:r>
    </w:p>
    <w:p w:rsidR="00D61E72" w:rsidRPr="00B705A6" w:rsidRDefault="00D61E72" w:rsidP="00D61E72">
      <w:pPr>
        <w:pStyle w:val="CLDHeading2"/>
      </w:pPr>
      <w:r>
        <w:lastRenderedPageBreak/>
        <w:t xml:space="preserve">4.7 </w:t>
      </w:r>
      <w:r w:rsidRPr="00B705A6">
        <w:t xml:space="preserve">Effects on ability to drive and use machines </w:t>
      </w:r>
    </w:p>
    <w:p w:rsidR="00D61E72" w:rsidRPr="000F5B37" w:rsidRDefault="00D61E72" w:rsidP="00D61E72">
      <w:pPr>
        <w:pStyle w:val="CLDNormal"/>
      </w:pPr>
      <w:r>
        <w:t>STAQUIS</w:t>
      </w:r>
      <w:r w:rsidRPr="000F5B37">
        <w:t xml:space="preserve"> has no known influence on the abi</w:t>
      </w:r>
      <w:r>
        <w:t>lity to drive and use machines.</w:t>
      </w:r>
    </w:p>
    <w:p w:rsidR="00D61E72" w:rsidRPr="003E4B57" w:rsidRDefault="00D61E72" w:rsidP="00D61E72">
      <w:pPr>
        <w:pStyle w:val="CLDHeading2"/>
      </w:pPr>
      <w:r>
        <w:t xml:space="preserve">4.8 </w:t>
      </w:r>
      <w:r w:rsidRPr="003E4B57">
        <w:t>Adverse effects (Undesirable effects)</w:t>
      </w:r>
    </w:p>
    <w:p w:rsidR="00D61E72" w:rsidRPr="003E4B57" w:rsidRDefault="00D61E72" w:rsidP="00D61E72">
      <w:pPr>
        <w:pStyle w:val="CLDHeading3"/>
      </w:pPr>
      <w:r w:rsidRPr="003E4B57">
        <w:t>Clinical Trials Experience</w:t>
      </w:r>
    </w:p>
    <w:p w:rsidR="00D61E72" w:rsidRPr="00E51DFB" w:rsidRDefault="00D61E72" w:rsidP="00D61E72">
      <w:pPr>
        <w:pStyle w:val="Paragraph"/>
      </w:pPr>
      <w:r w:rsidRPr="00E51DFB">
        <w:t>Two multicentre, randomised, double-blind, parallel-group, vehicle-controlled trials (Studies 301 and 302) included a total of 1,522 subjects 2 to 79 years of age (86.3% of subjects were 2 to 17 years of age) and one multicentre, single</w:t>
      </w:r>
      <w:r w:rsidRPr="00E51DFB">
        <w:noBreakHyphen/>
        <w:t>arm, open</w:t>
      </w:r>
      <w:r w:rsidRPr="00E51DFB">
        <w:noBreakHyphen/>
        <w:t>label long</w:t>
      </w:r>
      <w:r w:rsidRPr="00E51DFB">
        <w:noBreakHyphen/>
        <w:t>term safety trial (Study 303) included a total of 517 subjects 2 to 72 years of age; in all three trials, subjects treated 5% to 95% body surface area.</w:t>
      </w:r>
    </w:p>
    <w:p w:rsidR="00D61E72" w:rsidRPr="00E51DFB" w:rsidRDefault="00D61E72" w:rsidP="00D61E72">
      <w:pPr>
        <w:pStyle w:val="Paragraph"/>
      </w:pPr>
      <w:r w:rsidRPr="00E51DFB">
        <w:t>The number of subjects with at least 4 weeks, 24 weeks, and 48 weeks of cumulative exposure to STAQUIS was 1025, 272, and 20, respectively.</w:t>
      </w:r>
    </w:p>
    <w:p w:rsidR="00D61E72" w:rsidRPr="000F5B37" w:rsidRDefault="00D61E72" w:rsidP="00D61E72">
      <w:pPr>
        <w:pStyle w:val="CLDNormal"/>
        <w:rPr>
          <w:noProof/>
        </w:rPr>
      </w:pPr>
      <w:r>
        <w:rPr>
          <w:noProof/>
        </w:rPr>
        <w:t>In the 28-day pivotal trials, a</w:t>
      </w:r>
      <w:r w:rsidRPr="000F5B37">
        <w:rPr>
          <w:noProof/>
        </w:rPr>
        <w:t>pplication site pain (e.g., burning or stinging) was the only treatment</w:t>
      </w:r>
      <w:r w:rsidRPr="000F5B37">
        <w:rPr>
          <w:noProof/>
        </w:rPr>
        <w:noBreakHyphen/>
        <w:t xml:space="preserve">related adverse event that showed a clinically relevantly higher rate in </w:t>
      </w:r>
      <w:r>
        <w:rPr>
          <w:noProof/>
        </w:rPr>
        <w:t>STAQUIS</w:t>
      </w:r>
      <w:r w:rsidRPr="000F5B37">
        <w:rPr>
          <w:noProof/>
        </w:rPr>
        <w:noBreakHyphen/>
        <w:t>treated groups versus vehicle</w:t>
      </w:r>
      <w:r w:rsidRPr="000F5B37">
        <w:rPr>
          <w:noProof/>
        </w:rPr>
        <w:noBreakHyphen/>
        <w:t>treated groups in subjects with atopic dermatitis. Generally, application site pain was noted early in the treatment period and was transient in nature, resolving spontaneously.</w:t>
      </w:r>
    </w:p>
    <w:p w:rsidR="00D61E72" w:rsidRPr="00D24E72" w:rsidRDefault="00D61E72" w:rsidP="00D61E72">
      <w:pPr>
        <w:pStyle w:val="CLDNormal"/>
        <w:rPr>
          <w:noProof/>
        </w:rPr>
      </w:pPr>
      <w:r w:rsidRPr="00D24E72">
        <w:rPr>
          <w:noProof/>
        </w:rPr>
        <w:t>Treatment-emergent adverse events reported by ≥1% of subjects from either treatment group, based on the pooled safety population (</w:t>
      </w:r>
      <w:r>
        <w:rPr>
          <w:noProof/>
        </w:rPr>
        <w:t>S</w:t>
      </w:r>
      <w:r w:rsidRPr="00D24E72">
        <w:rPr>
          <w:noProof/>
        </w:rPr>
        <w:t xml:space="preserve">tudies 301 and 302) are listed in Table </w:t>
      </w:r>
      <w:r>
        <w:rPr>
          <w:noProof/>
        </w:rPr>
        <w:t>1.</w:t>
      </w:r>
    </w:p>
    <w:p w:rsidR="00D61E72" w:rsidRPr="00CE313A" w:rsidRDefault="00D61E72" w:rsidP="00D61E72">
      <w:pPr>
        <w:autoSpaceDE w:val="0"/>
        <w:autoSpaceDN w:val="0"/>
        <w:adjustRightInd w:val="0"/>
        <w:ind w:left="993" w:hanging="993"/>
      </w:pPr>
      <w:r>
        <w:rPr>
          <w:rFonts w:eastAsia="TimesNewRoman,Bold"/>
          <w:b/>
          <w:bCs/>
        </w:rPr>
        <w:t xml:space="preserve">Table 1: </w:t>
      </w:r>
      <w:r w:rsidRPr="00CE313A">
        <w:rPr>
          <w:rFonts w:eastAsia="TimesNewRoman,Bold"/>
          <w:b/>
          <w:bCs/>
        </w:rPr>
        <w:t xml:space="preserve">Treatment-Emergent Adverse Events Reported in ≥1% of Subjects in a Treatment Group </w:t>
      </w:r>
      <w:r>
        <w:rPr>
          <w:rFonts w:eastAsia="TimesNewRoman,Bold"/>
          <w:b/>
          <w:bCs/>
        </w:rPr>
        <w:t>t</w:t>
      </w:r>
      <w:r w:rsidRPr="00CE313A">
        <w:rPr>
          <w:rFonts w:eastAsia="TimesNewRoman,Bold"/>
          <w:b/>
          <w:bCs/>
        </w:rPr>
        <w:t>hrough Day 29 by Decreasing Frequency in the Crisaborole Group, Studies 301 and 302 (Pooled, Safety Population)</w:t>
      </w:r>
    </w:p>
    <w:p w:rsidR="00D61E72" w:rsidRDefault="00D61E72" w:rsidP="00D61E7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197"/>
        <w:gridCol w:w="2197"/>
      </w:tblGrid>
      <w:tr w:rsidR="00D61E72" w:rsidTr="00CE156F">
        <w:tc>
          <w:tcPr>
            <w:tcW w:w="4219" w:type="dxa"/>
            <w:shd w:val="clear" w:color="auto" w:fill="auto"/>
          </w:tcPr>
          <w:p w:rsidR="00D61E72" w:rsidRPr="00CE156F" w:rsidRDefault="00D61E72" w:rsidP="00CE156F">
            <w:pPr>
              <w:rPr>
                <w:rFonts w:eastAsia="TimesNewRoman,Bold"/>
                <w:b/>
                <w:bCs/>
                <w:color w:val="000000"/>
                <w:szCs w:val="24"/>
              </w:rPr>
            </w:pPr>
            <w:r w:rsidRPr="00CE156F">
              <w:rPr>
                <w:rFonts w:eastAsia="TimesNewRoman,Bold"/>
                <w:b/>
                <w:bCs/>
                <w:color w:val="000000"/>
                <w:szCs w:val="24"/>
              </w:rPr>
              <w:t>Adverse Event</w:t>
            </w:r>
          </w:p>
          <w:p w:rsidR="00D61E72" w:rsidRPr="00CE156F" w:rsidRDefault="00D61E72" w:rsidP="00CE156F">
            <w:pPr>
              <w:rPr>
                <w:rFonts w:eastAsia="Calibri"/>
                <w:b/>
                <w:szCs w:val="24"/>
              </w:rPr>
            </w:pPr>
            <w:r w:rsidRPr="00CE156F">
              <w:rPr>
                <w:rFonts w:eastAsia="Calibri"/>
                <w:b/>
                <w:szCs w:val="24"/>
              </w:rPr>
              <w:t>(Pooled data from 301 and 302 studies)</w:t>
            </w:r>
          </w:p>
          <w:p w:rsidR="00D61E72" w:rsidRPr="00CE156F" w:rsidRDefault="00D61E72" w:rsidP="00CE156F">
            <w:pPr>
              <w:rPr>
                <w:rFonts w:eastAsia="Calibri"/>
                <w:szCs w:val="24"/>
              </w:rPr>
            </w:pPr>
          </w:p>
        </w:tc>
        <w:tc>
          <w:tcPr>
            <w:tcW w:w="2197" w:type="dxa"/>
            <w:shd w:val="clear" w:color="auto" w:fill="auto"/>
          </w:tcPr>
          <w:p w:rsidR="00D61E72" w:rsidRPr="00CE156F" w:rsidRDefault="00D61E72" w:rsidP="00CE156F">
            <w:pPr>
              <w:jc w:val="center"/>
              <w:rPr>
                <w:rFonts w:eastAsia="TimesNewRoman,Bold"/>
                <w:b/>
                <w:bCs/>
                <w:color w:val="000000"/>
                <w:szCs w:val="24"/>
              </w:rPr>
            </w:pPr>
            <w:r w:rsidRPr="00CE156F">
              <w:rPr>
                <w:rFonts w:eastAsia="TimesNewRoman,Bold"/>
                <w:b/>
                <w:bCs/>
                <w:color w:val="000000"/>
                <w:szCs w:val="24"/>
              </w:rPr>
              <w:t>Crisaborole 2%</w:t>
            </w:r>
          </w:p>
          <w:p w:rsidR="00D61E72" w:rsidRPr="00CE156F" w:rsidRDefault="00D61E72" w:rsidP="00CE156F">
            <w:pPr>
              <w:jc w:val="center"/>
              <w:rPr>
                <w:rFonts w:eastAsia="TimesNewRoman,Bold"/>
                <w:b/>
                <w:bCs/>
                <w:color w:val="000000"/>
                <w:szCs w:val="24"/>
              </w:rPr>
            </w:pPr>
            <w:r w:rsidRPr="00CE156F">
              <w:rPr>
                <w:rFonts w:eastAsia="TimesNewRoman,Bold"/>
                <w:b/>
                <w:bCs/>
                <w:color w:val="000000"/>
                <w:szCs w:val="24"/>
              </w:rPr>
              <w:t>Twice Daily</w:t>
            </w:r>
          </w:p>
          <w:p w:rsidR="00D61E72" w:rsidRPr="00CE156F" w:rsidRDefault="00D61E72" w:rsidP="00CE156F">
            <w:pPr>
              <w:jc w:val="center"/>
              <w:rPr>
                <w:rFonts w:eastAsia="Calibri"/>
                <w:szCs w:val="24"/>
              </w:rPr>
            </w:pPr>
            <w:r w:rsidRPr="00CE156F">
              <w:rPr>
                <w:rFonts w:eastAsia="TimesNewRoman,Bold"/>
                <w:b/>
                <w:bCs/>
                <w:szCs w:val="24"/>
              </w:rPr>
              <w:t>(N = 1012)</w:t>
            </w:r>
          </w:p>
        </w:tc>
        <w:tc>
          <w:tcPr>
            <w:tcW w:w="2197" w:type="dxa"/>
            <w:shd w:val="clear" w:color="auto" w:fill="auto"/>
          </w:tcPr>
          <w:p w:rsidR="00D61E72" w:rsidRPr="00CE156F" w:rsidRDefault="00D61E72" w:rsidP="00CE156F">
            <w:pPr>
              <w:jc w:val="center"/>
              <w:rPr>
                <w:rFonts w:eastAsia="TimesNewRoman,Bold"/>
                <w:b/>
                <w:bCs/>
                <w:color w:val="000000"/>
                <w:szCs w:val="24"/>
              </w:rPr>
            </w:pPr>
            <w:r w:rsidRPr="00CE156F">
              <w:rPr>
                <w:rFonts w:eastAsia="TimesNewRoman,Bold"/>
                <w:b/>
                <w:bCs/>
                <w:color w:val="000000"/>
                <w:szCs w:val="24"/>
              </w:rPr>
              <w:t>Vehicle</w:t>
            </w:r>
          </w:p>
          <w:p w:rsidR="00D61E72" w:rsidRPr="00CE156F" w:rsidRDefault="00D61E72" w:rsidP="00CE156F">
            <w:pPr>
              <w:jc w:val="center"/>
              <w:rPr>
                <w:rFonts w:eastAsia="TimesNewRoman,Bold"/>
                <w:b/>
                <w:bCs/>
                <w:color w:val="000000"/>
                <w:szCs w:val="24"/>
              </w:rPr>
            </w:pPr>
            <w:r w:rsidRPr="00CE156F">
              <w:rPr>
                <w:rFonts w:eastAsia="TimesNewRoman,Bold"/>
                <w:b/>
                <w:bCs/>
                <w:color w:val="000000"/>
                <w:szCs w:val="24"/>
              </w:rPr>
              <w:t>Twice Daily</w:t>
            </w:r>
          </w:p>
          <w:p w:rsidR="00D61E72" w:rsidRPr="00CE156F" w:rsidRDefault="00D61E72" w:rsidP="00CE156F">
            <w:pPr>
              <w:jc w:val="center"/>
              <w:rPr>
                <w:rFonts w:eastAsia="Calibri"/>
                <w:szCs w:val="24"/>
              </w:rPr>
            </w:pPr>
            <w:r w:rsidRPr="00CE156F">
              <w:rPr>
                <w:rFonts w:eastAsia="TimesNewRoman,Bold"/>
                <w:b/>
                <w:bCs/>
                <w:szCs w:val="24"/>
              </w:rPr>
              <w:t xml:space="preserve"> (N = 499)</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Application site pain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45 (4.4%)*</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6 (1.2%)</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Upper respiratory tract infection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30 (3.0%)</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15 (3.0%)</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Pyrexia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19 (1.9%)</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7 (1.4%)</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Nasopharyngitis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18 (1.8%)</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6 (1.2%)</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Vomiting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15 (1.5%)</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5 (1.0%)</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Cough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12 (1.2%)</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8 (1.6%)</w:t>
            </w:r>
          </w:p>
        </w:tc>
      </w:tr>
      <w:tr w:rsidR="00D61E72" w:rsidTr="00CE156F">
        <w:tc>
          <w:tcPr>
            <w:tcW w:w="4219" w:type="dxa"/>
            <w:shd w:val="clear" w:color="auto" w:fill="auto"/>
          </w:tcPr>
          <w:p w:rsidR="00D61E72" w:rsidRPr="00CE156F" w:rsidRDefault="00D61E72" w:rsidP="00CE156F">
            <w:pPr>
              <w:rPr>
                <w:rFonts w:eastAsia="Calibri"/>
                <w:szCs w:val="24"/>
              </w:rPr>
            </w:pPr>
            <w:r w:rsidRPr="00CE156F">
              <w:rPr>
                <w:rFonts w:eastAsia="TimesNewRoman"/>
                <w:szCs w:val="24"/>
              </w:rPr>
              <w:t xml:space="preserve">Headache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11 (1.1%)</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 (0.2%)</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Oropharyngeal pain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11 (1.1%)</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2 (0.4%)</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Dermatitis atopic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7 (0.7%)</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8 (1.6%)</w:t>
            </w:r>
          </w:p>
        </w:tc>
      </w:tr>
      <w:tr w:rsidR="00D61E72" w:rsidTr="00CE156F">
        <w:tc>
          <w:tcPr>
            <w:tcW w:w="4219" w:type="dxa"/>
            <w:shd w:val="clear" w:color="auto" w:fill="auto"/>
          </w:tcPr>
          <w:p w:rsidR="00D61E72" w:rsidRPr="00CE156F" w:rsidRDefault="00D61E72" w:rsidP="00CE156F">
            <w:pPr>
              <w:autoSpaceDE w:val="0"/>
              <w:autoSpaceDN w:val="0"/>
              <w:adjustRightInd w:val="0"/>
              <w:rPr>
                <w:rFonts w:eastAsia="TimesNewRoman"/>
                <w:szCs w:val="24"/>
              </w:rPr>
            </w:pPr>
            <w:r w:rsidRPr="00CE156F">
              <w:rPr>
                <w:rFonts w:eastAsia="TimesNewRoman"/>
                <w:szCs w:val="24"/>
              </w:rPr>
              <w:t xml:space="preserve">Application site pruritus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5 (0.5%)</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6 (1.2%)</w:t>
            </w:r>
          </w:p>
        </w:tc>
      </w:tr>
      <w:tr w:rsidR="00D61E72" w:rsidTr="00CE156F">
        <w:tc>
          <w:tcPr>
            <w:tcW w:w="4219" w:type="dxa"/>
            <w:shd w:val="clear" w:color="auto" w:fill="auto"/>
          </w:tcPr>
          <w:p w:rsidR="00D61E72" w:rsidRPr="00CE156F" w:rsidRDefault="00D61E72" w:rsidP="00CE156F">
            <w:pPr>
              <w:rPr>
                <w:rFonts w:eastAsia="Calibri"/>
                <w:szCs w:val="24"/>
              </w:rPr>
            </w:pPr>
            <w:r w:rsidRPr="00CE156F">
              <w:rPr>
                <w:rFonts w:eastAsia="TimesNewRoman"/>
                <w:szCs w:val="24"/>
              </w:rPr>
              <w:t xml:space="preserve">Staphylococcal skin infection </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1 (0.1%)</w:t>
            </w:r>
          </w:p>
        </w:tc>
        <w:tc>
          <w:tcPr>
            <w:tcW w:w="2197" w:type="dxa"/>
            <w:shd w:val="clear" w:color="auto" w:fill="auto"/>
          </w:tcPr>
          <w:p w:rsidR="00D61E72" w:rsidRPr="00CE156F" w:rsidRDefault="00D61E72" w:rsidP="00CE156F">
            <w:pPr>
              <w:jc w:val="center"/>
              <w:rPr>
                <w:rFonts w:eastAsia="Calibri"/>
                <w:szCs w:val="24"/>
              </w:rPr>
            </w:pPr>
            <w:r w:rsidRPr="00CE156F">
              <w:rPr>
                <w:rFonts w:eastAsia="TimesNewRoman"/>
                <w:szCs w:val="24"/>
              </w:rPr>
              <w:t>5 (1.0%)</w:t>
            </w:r>
          </w:p>
        </w:tc>
      </w:tr>
    </w:tbl>
    <w:p w:rsidR="00D61E72" w:rsidRPr="00C52FC4" w:rsidRDefault="00D61E72" w:rsidP="00D61E72">
      <w:pPr>
        <w:rPr>
          <w:sz w:val="20"/>
        </w:rPr>
      </w:pPr>
      <w:r w:rsidRPr="00C52FC4">
        <w:rPr>
          <w:sz w:val="20"/>
        </w:rPr>
        <w:t>* Application site pain is the only treatment-related adverse event (ADR)</w:t>
      </w:r>
    </w:p>
    <w:p w:rsidR="00D61E72" w:rsidRPr="003F4DE0" w:rsidRDefault="00D61E72" w:rsidP="00D61E72">
      <w:pPr>
        <w:autoSpaceDE w:val="0"/>
        <w:autoSpaceDN w:val="0"/>
        <w:adjustRightInd w:val="0"/>
      </w:pPr>
    </w:p>
    <w:p w:rsidR="00D61E72" w:rsidRPr="003F4DE0" w:rsidRDefault="00D61E72" w:rsidP="00D61E72">
      <w:pPr>
        <w:pStyle w:val="CLDNormal"/>
      </w:pPr>
      <w:r w:rsidRPr="000F5B37">
        <w:lastRenderedPageBreak/>
        <w:t xml:space="preserve">Uncommon (&lt;1%) adverse reactions in subjects treated with </w:t>
      </w:r>
      <w:r>
        <w:t>STAQUIS</w:t>
      </w:r>
      <w:r w:rsidRPr="000F5B37">
        <w:t xml:space="preserve"> included contact urticaria (see Section 4.4</w:t>
      </w:r>
      <w:r>
        <w:t xml:space="preserve"> - </w:t>
      </w:r>
      <w:r w:rsidRPr="001960EC">
        <w:t>Special warnings and precautions for use</w:t>
      </w:r>
      <w:r w:rsidRPr="000F5B37">
        <w:t xml:space="preserve">). </w:t>
      </w:r>
    </w:p>
    <w:p w:rsidR="00D61E72" w:rsidRDefault="00D61E72" w:rsidP="00D61E72">
      <w:pPr>
        <w:pStyle w:val="CLDHeading3"/>
      </w:pPr>
      <w:r>
        <w:t xml:space="preserve">Open-label clinical trial experience (exposure up to 48 weeks) </w:t>
      </w:r>
    </w:p>
    <w:p w:rsidR="00D61E72" w:rsidRPr="00EE4B21" w:rsidRDefault="00D61E72" w:rsidP="00D61E72">
      <w:pPr>
        <w:rPr>
          <w:rStyle w:val="BlueText"/>
          <w:color w:val="auto"/>
        </w:rPr>
      </w:pPr>
      <w:r w:rsidRPr="00D15C9C">
        <w:t>The safety profile from a completed STAQUIS open-label clinical trial (</w:t>
      </w:r>
      <w:r>
        <w:t>Study</w:t>
      </w:r>
      <w:r w:rsidRPr="00D15C9C">
        <w:t xml:space="preserve"> 303) in which STAQUIS was applied intermittently </w:t>
      </w:r>
      <w:r>
        <w:t xml:space="preserve">in 28 day treatment courses </w:t>
      </w:r>
      <w:r w:rsidRPr="00D15C9C">
        <w:t xml:space="preserve">for up to 48 weeks was consistent with that of </w:t>
      </w:r>
      <w:r>
        <w:t>Studies</w:t>
      </w:r>
      <w:r w:rsidRPr="00D15C9C">
        <w:t xml:space="preserve"> 301 and 302</w:t>
      </w:r>
      <w:r>
        <w:t xml:space="preserve"> (see Section 5.1 – Clinical trials)</w:t>
      </w:r>
      <w:r w:rsidRPr="00D15C9C">
        <w:t xml:space="preserve">. </w:t>
      </w:r>
    </w:p>
    <w:p w:rsidR="00D61E72" w:rsidRPr="003F4DE0" w:rsidRDefault="00D61E72" w:rsidP="00D61E72"/>
    <w:p w:rsidR="00D61E72" w:rsidRPr="002F429C" w:rsidRDefault="00D61E72" w:rsidP="00D61E72">
      <w:pPr>
        <w:autoSpaceDE w:val="0"/>
        <w:autoSpaceDN w:val="0"/>
        <w:adjustRightInd w:val="0"/>
        <w:ind w:left="851" w:hanging="851"/>
      </w:pPr>
      <w:r>
        <w:rPr>
          <w:rFonts w:eastAsia="TimesNewRoman,Bold"/>
          <w:b/>
          <w:bCs/>
        </w:rPr>
        <w:t xml:space="preserve">Table 2: </w:t>
      </w:r>
      <w:r w:rsidRPr="002F429C">
        <w:rPr>
          <w:rFonts w:eastAsia="TimesNewRoman,Bold"/>
          <w:b/>
          <w:bCs/>
        </w:rPr>
        <w:t>Treatment-Emergent Adverse Events Reported by ≥2% of Subjects, Long-Term Safety Study 303, by Decreasing Frequency (Safety Population)</w:t>
      </w:r>
    </w:p>
    <w:p w:rsidR="00D61E72" w:rsidRPr="002F429C" w:rsidRDefault="00D61E72" w:rsidP="00D61E7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261"/>
      </w:tblGrid>
      <w:tr w:rsidR="00D61E72" w:rsidTr="00CE156F">
        <w:tc>
          <w:tcPr>
            <w:tcW w:w="3510" w:type="dxa"/>
            <w:shd w:val="clear" w:color="auto" w:fill="auto"/>
          </w:tcPr>
          <w:p w:rsidR="00D61E72" w:rsidRPr="00CE156F" w:rsidRDefault="00D61E72" w:rsidP="00CE156F">
            <w:pPr>
              <w:rPr>
                <w:rFonts w:eastAsia="Calibri"/>
                <w:sz w:val="22"/>
                <w:szCs w:val="22"/>
              </w:rPr>
            </w:pPr>
            <w:r w:rsidRPr="00CE156F">
              <w:rPr>
                <w:rFonts w:eastAsia="TimesNewRoman,Bold"/>
                <w:b/>
                <w:bCs/>
                <w:color w:val="000000"/>
                <w:sz w:val="22"/>
                <w:szCs w:val="22"/>
              </w:rPr>
              <w:t>Adverse Event</w:t>
            </w:r>
          </w:p>
        </w:tc>
        <w:tc>
          <w:tcPr>
            <w:tcW w:w="3261" w:type="dxa"/>
            <w:shd w:val="clear" w:color="auto" w:fill="auto"/>
          </w:tcPr>
          <w:p w:rsidR="00D61E72" w:rsidRPr="00CE156F" w:rsidRDefault="00D61E72" w:rsidP="00CE156F">
            <w:pPr>
              <w:jc w:val="center"/>
              <w:rPr>
                <w:rFonts w:eastAsia="TimesNewRoman,Bold"/>
                <w:b/>
                <w:bCs/>
                <w:color w:val="000000"/>
                <w:sz w:val="22"/>
                <w:szCs w:val="22"/>
              </w:rPr>
            </w:pPr>
            <w:r w:rsidRPr="00CE156F">
              <w:rPr>
                <w:rFonts w:eastAsia="TimesNewRoman,Bold"/>
                <w:b/>
                <w:bCs/>
                <w:color w:val="000000"/>
                <w:sz w:val="22"/>
                <w:szCs w:val="22"/>
              </w:rPr>
              <w:t>Crisaborole 2% Twice Daily</w:t>
            </w:r>
          </w:p>
          <w:p w:rsidR="00D61E72" w:rsidRPr="00CE156F" w:rsidRDefault="00D61E72" w:rsidP="00CE156F">
            <w:pPr>
              <w:jc w:val="center"/>
              <w:rPr>
                <w:rFonts w:eastAsia="Calibri"/>
                <w:sz w:val="22"/>
                <w:szCs w:val="22"/>
              </w:rPr>
            </w:pPr>
            <w:r w:rsidRPr="00CE156F">
              <w:rPr>
                <w:rFonts w:eastAsia="TimesNewRoman,Bold"/>
                <w:b/>
                <w:bCs/>
                <w:sz w:val="22"/>
                <w:szCs w:val="22"/>
              </w:rPr>
              <w:t>(N = 517)</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Dermatitis atopic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58 (11.2 %)</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Upper respiratory tract infection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53 (10.3%)</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Nasopharyngitis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40 (7.7%)</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Cough</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35 (6.8%)</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Pyrexia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29 (5.6%)</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Sinusitis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25 (4.8%)</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Pharyngitis streptococcal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20 (3.9%)</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Oropharyngeal pain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19 (3.7%)</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Application site infection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18 (3.5%)</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Dermatitis contact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16 (3.1%)</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Asthma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16 (3.1%)</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Vomiting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15 (2.9%)</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Eczema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13 (2.5%)</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Diarrhoea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12 (2.3%)</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Application site pain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12 (2.3%)</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Ear infection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12 (2.3%)</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Pharyngitis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12 (2.3%)</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Influenza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12 (2.3%)</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Seasonal allergy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11 (2.1%)</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Otitis media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11 (2.1%)</w:t>
            </w:r>
          </w:p>
        </w:tc>
      </w:tr>
      <w:tr w:rsidR="00D61E72" w:rsidTr="00CE156F">
        <w:tc>
          <w:tcPr>
            <w:tcW w:w="3510" w:type="dxa"/>
            <w:shd w:val="clear" w:color="auto" w:fill="auto"/>
          </w:tcPr>
          <w:p w:rsidR="00D61E72" w:rsidRPr="00CE156F" w:rsidRDefault="00D61E72" w:rsidP="00CE156F">
            <w:pPr>
              <w:autoSpaceDE w:val="0"/>
              <w:autoSpaceDN w:val="0"/>
              <w:adjustRightInd w:val="0"/>
              <w:rPr>
                <w:rFonts w:eastAsia="TimesNewRoman"/>
                <w:sz w:val="22"/>
                <w:szCs w:val="22"/>
              </w:rPr>
            </w:pPr>
            <w:r w:rsidRPr="00CE156F">
              <w:rPr>
                <w:rFonts w:eastAsia="TimesNewRoman"/>
                <w:sz w:val="22"/>
                <w:szCs w:val="22"/>
              </w:rPr>
              <w:t xml:space="preserve">Headache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11 (2.1%)</w:t>
            </w:r>
          </w:p>
        </w:tc>
      </w:tr>
      <w:tr w:rsidR="00D61E72" w:rsidTr="00CE156F">
        <w:tc>
          <w:tcPr>
            <w:tcW w:w="3510" w:type="dxa"/>
            <w:shd w:val="clear" w:color="auto" w:fill="auto"/>
          </w:tcPr>
          <w:p w:rsidR="00D61E72" w:rsidRPr="00CE156F" w:rsidRDefault="00D61E72" w:rsidP="00CE156F">
            <w:pPr>
              <w:rPr>
                <w:rFonts w:eastAsia="Calibri"/>
                <w:sz w:val="22"/>
                <w:szCs w:val="22"/>
              </w:rPr>
            </w:pPr>
            <w:r w:rsidRPr="00CE156F">
              <w:rPr>
                <w:rFonts w:eastAsia="TimesNewRoman"/>
                <w:sz w:val="22"/>
                <w:szCs w:val="22"/>
              </w:rPr>
              <w:t xml:space="preserve">Viral infection </w:t>
            </w:r>
          </w:p>
        </w:tc>
        <w:tc>
          <w:tcPr>
            <w:tcW w:w="3261" w:type="dxa"/>
            <w:shd w:val="clear" w:color="auto" w:fill="auto"/>
          </w:tcPr>
          <w:p w:rsidR="00D61E72" w:rsidRPr="00CE156F" w:rsidRDefault="00D61E72" w:rsidP="00CE156F">
            <w:pPr>
              <w:jc w:val="center"/>
              <w:rPr>
                <w:rFonts w:eastAsia="TimesNewRoman"/>
                <w:sz w:val="22"/>
                <w:szCs w:val="22"/>
              </w:rPr>
            </w:pPr>
            <w:r w:rsidRPr="00CE156F">
              <w:rPr>
                <w:rFonts w:eastAsia="TimesNewRoman"/>
                <w:sz w:val="22"/>
                <w:szCs w:val="22"/>
              </w:rPr>
              <w:t>11 (2.1%)</w:t>
            </w:r>
          </w:p>
        </w:tc>
      </w:tr>
    </w:tbl>
    <w:p w:rsidR="00D61E72" w:rsidRPr="00E51679" w:rsidRDefault="00D61E72" w:rsidP="00D61E72">
      <w:pPr>
        <w:pStyle w:val="CLDNormal"/>
      </w:pPr>
      <w:bookmarkStart w:id="1" w:name="Table_48._Treatment-Emergent_Adverse_Eve"/>
      <w:bookmarkEnd w:id="1"/>
    </w:p>
    <w:p w:rsidR="00D61E72" w:rsidRPr="001B31FD" w:rsidRDefault="00D61E72" w:rsidP="00D61E72">
      <w:pPr>
        <w:pStyle w:val="CLDHeading3"/>
      </w:pPr>
      <w:r>
        <w:t>Post-market experience</w:t>
      </w:r>
    </w:p>
    <w:p w:rsidR="00D61E72" w:rsidRPr="005268F0" w:rsidRDefault="00D61E72" w:rsidP="00D61E72">
      <w:pPr>
        <w:pStyle w:val="CLDNormal"/>
      </w:pPr>
      <w:r>
        <w:t>The safety profile from post-market experience is consistent with that established through clinical trial experience.  No new safety information has been derived from the post-market experience.</w:t>
      </w:r>
    </w:p>
    <w:p w:rsidR="00D61E72" w:rsidRPr="001B31FD" w:rsidRDefault="00D61E72" w:rsidP="00D61E72">
      <w:pPr>
        <w:pStyle w:val="CLDHeading3"/>
      </w:pPr>
      <w:r w:rsidRPr="001B31FD">
        <w:t>Reporting suspected adverse effects</w:t>
      </w:r>
    </w:p>
    <w:p w:rsidR="00D61E72" w:rsidRPr="000F5B37" w:rsidRDefault="00D61E72" w:rsidP="00D61E72">
      <w:pPr>
        <w:pStyle w:val="CLDNormal"/>
      </w:pPr>
      <w:r w:rsidRPr="000F5B37">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Pr="000F5B37">
        <w:rPr>
          <w:color w:val="0000FF"/>
        </w:rPr>
        <w:t>http://www.tga.gov.au/reporting-problems.</w:t>
      </w:r>
    </w:p>
    <w:p w:rsidR="00D61E72" w:rsidRPr="003E4B57" w:rsidRDefault="00D61E72" w:rsidP="00D61E72">
      <w:pPr>
        <w:pStyle w:val="CLDHeading2"/>
      </w:pPr>
      <w:r>
        <w:lastRenderedPageBreak/>
        <w:t xml:space="preserve">4.9 </w:t>
      </w:r>
      <w:r w:rsidRPr="003E4B57">
        <w:t>Overdose</w:t>
      </w:r>
    </w:p>
    <w:p w:rsidR="00D61E72" w:rsidRPr="003E4B57" w:rsidRDefault="00D61E72" w:rsidP="00D61E72">
      <w:pPr>
        <w:pStyle w:val="CLDNormal"/>
        <w:rPr>
          <w:noProof/>
        </w:rPr>
      </w:pPr>
      <w:r w:rsidRPr="003E4B57">
        <w:rPr>
          <w:noProof/>
        </w:rPr>
        <w:t xml:space="preserve">There has been no experience of overdose with </w:t>
      </w:r>
      <w:r>
        <w:rPr>
          <w:noProof/>
        </w:rPr>
        <w:t>STAQUIS</w:t>
      </w:r>
      <w:r w:rsidRPr="003E4B57">
        <w:rPr>
          <w:noProof/>
        </w:rPr>
        <w:t xml:space="preserve">. Overdose following topical administration is unlikely. </w:t>
      </w:r>
      <w:r>
        <w:rPr>
          <w:color w:val="07B140"/>
        </w:rPr>
        <w:t xml:space="preserve"> </w:t>
      </w:r>
      <w:r w:rsidRPr="003E4B57">
        <w:rPr>
          <w:noProof/>
        </w:rPr>
        <w:t xml:space="preserve">If too much </w:t>
      </w:r>
      <w:r>
        <w:rPr>
          <w:noProof/>
        </w:rPr>
        <w:t>STAQUIS</w:t>
      </w:r>
      <w:r w:rsidRPr="003E4B57">
        <w:rPr>
          <w:noProof/>
        </w:rPr>
        <w:t xml:space="preserve"> has been applied, the excess can be wiped off.</w:t>
      </w:r>
    </w:p>
    <w:p w:rsidR="00D61E72" w:rsidRPr="00CB6660" w:rsidRDefault="00D61E72" w:rsidP="00D61E72">
      <w:pPr>
        <w:pStyle w:val="CLDNormal"/>
        <w:rPr>
          <w:noProof/>
        </w:rPr>
      </w:pPr>
      <w:r>
        <w:rPr>
          <w:noProof/>
        </w:rPr>
        <w:t>STAQUIS</w:t>
      </w:r>
      <w:r w:rsidRPr="003E4B57">
        <w:rPr>
          <w:noProof/>
        </w:rPr>
        <w:t xml:space="preserve"> is not for oral use. Oral ingestion may lead to adverse effects associated with systemic administration. If oral ingestion occurs, medical advice should be sought</w:t>
      </w:r>
      <w:r w:rsidRPr="00CB6660">
        <w:rPr>
          <w:noProof/>
        </w:rPr>
        <w:t>.</w:t>
      </w:r>
    </w:p>
    <w:p w:rsidR="00D61E72" w:rsidRPr="00CB6660" w:rsidRDefault="00D61E72" w:rsidP="00D61E72">
      <w:pPr>
        <w:pStyle w:val="CLDNormal"/>
      </w:pPr>
      <w:r w:rsidRPr="00CB6660">
        <w:t>For information on the management of overdose, contact the Poison Informati</w:t>
      </w:r>
      <w:r>
        <w:t>on Centre on 131126 (Australia).</w:t>
      </w:r>
    </w:p>
    <w:p w:rsidR="00D61E72" w:rsidRPr="003E4B57" w:rsidRDefault="00D61E72" w:rsidP="00D61E72">
      <w:pPr>
        <w:pStyle w:val="PIHeading1"/>
        <w:numPr>
          <w:ilvl w:val="0"/>
          <w:numId w:val="32"/>
        </w:numPr>
        <w:spacing w:after="0"/>
        <w:jc w:val="left"/>
      </w:pPr>
      <w:r w:rsidRPr="003E4B57">
        <w:t>PHARMACOLOGICAL PROPERTIES</w:t>
      </w:r>
    </w:p>
    <w:p w:rsidR="00D61E72" w:rsidRPr="003E4B57" w:rsidRDefault="00D61E72" w:rsidP="00D61E72">
      <w:pPr>
        <w:pStyle w:val="CLDHeading2"/>
      </w:pPr>
      <w:r>
        <w:t xml:space="preserve">5.1 </w:t>
      </w:r>
      <w:r w:rsidRPr="003E4B57">
        <w:t xml:space="preserve">Pharmacodynamic properties </w:t>
      </w:r>
    </w:p>
    <w:p w:rsidR="00D61E72" w:rsidRPr="003E4B57" w:rsidRDefault="00D61E72" w:rsidP="00D61E72">
      <w:pPr>
        <w:pStyle w:val="CLDHeading3"/>
      </w:pPr>
      <w:r w:rsidRPr="003E4B57">
        <w:t>Mechanism of action</w:t>
      </w:r>
    </w:p>
    <w:p w:rsidR="00D61E72" w:rsidRPr="003E4B57" w:rsidRDefault="00D61E72" w:rsidP="00D61E72">
      <w:r w:rsidRPr="003E4B57">
        <w:t>Crisaborole is a competitive inhibitor of cyclic adenosine monophosphate (cAMP) at the PDE</w:t>
      </w:r>
      <w:r>
        <w:t>-</w:t>
      </w:r>
      <w:r w:rsidRPr="003E4B57">
        <w:t>4 catalytic site resulting in increased intracellular cAMP levels. As a phosphodiesterase</w:t>
      </w:r>
      <w:r>
        <w:t>-</w:t>
      </w:r>
      <w:r w:rsidRPr="003E4B57">
        <w:t>4 (PDE-4) inhibitor, crisaborole suppresses inflammation and secretion of certain cytokines, such as TNF α, from the peripheral blood mononuclear cells.</w:t>
      </w:r>
      <w:r>
        <w:t xml:space="preserve"> </w:t>
      </w:r>
      <w:r>
        <w:rPr>
          <w:color w:val="07B140"/>
        </w:rPr>
        <w:t xml:space="preserve"> </w:t>
      </w:r>
      <w:r w:rsidRPr="00975535">
        <w:t>The specific mechanism(s) by which crisaborole exerts its therapeutic action for the treatment of atopic dermatitis is not well defined.</w:t>
      </w:r>
    </w:p>
    <w:p w:rsidR="00D61E72" w:rsidRPr="003E4B57" w:rsidRDefault="00D61E72" w:rsidP="00D61E72">
      <w:pPr>
        <w:pStyle w:val="CLDHeading3"/>
      </w:pPr>
      <w:r w:rsidRPr="003E4B57">
        <w:t>Clinical trials</w:t>
      </w:r>
    </w:p>
    <w:p w:rsidR="00D61E72" w:rsidRPr="003E4B57" w:rsidRDefault="00D61E72" w:rsidP="00D61E72">
      <w:pPr>
        <w:pStyle w:val="CLDNormal"/>
      </w:pPr>
      <w:r>
        <w:t>Two multicentre</w:t>
      </w:r>
      <w:r w:rsidRPr="003E4B57">
        <w:t>, randomised, double-blind, parallel-group, vehicle-controlled trials (</w:t>
      </w:r>
      <w:r>
        <w:t>Studie</w:t>
      </w:r>
      <w:r w:rsidRPr="003E4B57">
        <w:t>s 301 and 302) treated a total of 1</w:t>
      </w:r>
      <w:r>
        <w:t>,</w:t>
      </w:r>
      <w:r w:rsidRPr="003E4B57">
        <w:t xml:space="preserve">522 subjects 2 to 79 years of age (86.3% of subjects were 2 to 17 years of age) with a 5% to 95% treatable body surface area.  At baseline, 38.5% of the subjects had an Investigator’s Static Global Assessment [ISGA] score of 2 (mild), and 61.5% had an ISGA score of 3 (moderate), in the overall assessment of atopic dermatitis (erythema, </w:t>
      </w:r>
      <w:r w:rsidRPr="003E4B57">
        <w:rPr>
          <w:color w:val="000000"/>
        </w:rPr>
        <w:t xml:space="preserve">induration/papulation, and oozing/crusting) on </w:t>
      </w:r>
      <w:r>
        <w:t>a severity scale of 0 to 4.</w:t>
      </w:r>
    </w:p>
    <w:p w:rsidR="00D61E72" w:rsidRPr="00CD7DC9" w:rsidRDefault="00D61E72" w:rsidP="00D61E72">
      <w:pPr>
        <w:pStyle w:val="CLDNormal"/>
      </w:pPr>
      <w:r w:rsidRPr="003E4B57">
        <w:t xml:space="preserve">In both trials, subjects were randomised 2:1 to receive </w:t>
      </w:r>
      <w:r>
        <w:t>STAQUIS</w:t>
      </w:r>
      <w:r w:rsidRPr="003E4B57">
        <w:t xml:space="preserve"> or vehicle applied twice daily for 28 days</w:t>
      </w:r>
      <w:r w:rsidRPr="003E4B57">
        <w:rPr>
          <w:color w:val="0000FF"/>
        </w:rPr>
        <w:t xml:space="preserve">. </w:t>
      </w:r>
      <w:r>
        <w:rPr>
          <w:color w:val="07B140"/>
        </w:rPr>
        <w:t xml:space="preserve"> </w:t>
      </w:r>
      <w:r w:rsidRPr="003E4B57">
        <w:t xml:space="preserve">The primary efficacy endpoint was the proportion of subjects at Day 29 who achieved success, defined as an ISGA grade of Clear (score of 0) or Almost Clear (score of 1) with a 2-grade or greater improvement from baseline, comparing </w:t>
      </w:r>
      <w:r>
        <w:t>STAQUIS</w:t>
      </w:r>
      <w:r w:rsidRPr="003E4B57">
        <w:t xml:space="preserve">-treated subjects to vehicle-treated subjects.  The success rates over time are presented in </w:t>
      </w:r>
      <w:r w:rsidRPr="00B36B05">
        <w:t>Figure 1</w:t>
      </w:r>
      <w:r w:rsidRPr="003E4B57">
        <w:t>.</w:t>
      </w:r>
    </w:p>
    <w:p w:rsidR="00D61E72" w:rsidRPr="0040652A" w:rsidRDefault="00D61E72" w:rsidP="00D61E72">
      <w:pPr>
        <w:pStyle w:val="CLDNormal"/>
      </w:pPr>
      <w:r w:rsidRPr="003E4B57">
        <w:t xml:space="preserve">In both trials, a statistically significantly greater percentage of subjects achieved the success in ISGA in the </w:t>
      </w:r>
      <w:r>
        <w:t>STAQUIS</w:t>
      </w:r>
      <w:r w:rsidRPr="003E4B57">
        <w:t xml:space="preserve">-treated group compared with the vehicle-treated group. The proportion of subjects achieving an ISGA score of Clear (0) or Almost Clear (1) at Day 29 in the </w:t>
      </w:r>
      <w:r>
        <w:t>STAQUIS</w:t>
      </w:r>
      <w:r w:rsidRPr="003E4B57">
        <w:noBreakHyphen/>
        <w:t>treated group compared to the vehicle-treated group was also statistically significant. The secondary efficacy endpoints were the proportion of subjects at Day 29 with ISGA grade of Clear (score of 0) or Almost Clear (score of 1) and the time to success</w:t>
      </w:r>
      <w:r>
        <w:t xml:space="preserve"> in ISGA.  </w:t>
      </w:r>
      <w:r w:rsidRPr="0040652A">
        <w:t xml:space="preserve">Efficacy results from the two trials are summarised in Table </w:t>
      </w:r>
      <w:r>
        <w:t>3</w:t>
      </w:r>
      <w:r w:rsidRPr="0040652A">
        <w:t xml:space="preserve">. </w:t>
      </w:r>
    </w:p>
    <w:p w:rsidR="00D61E72" w:rsidRPr="003E4B57" w:rsidRDefault="00D61E72" w:rsidP="00D61E72">
      <w:pPr>
        <w:keepNext/>
        <w:keepLines/>
        <w:tabs>
          <w:tab w:val="left" w:pos="1260"/>
          <w:tab w:val="left" w:pos="2160"/>
        </w:tabs>
        <w:ind w:left="993" w:hanging="993"/>
        <w:outlineLvl w:val="7"/>
        <w:rPr>
          <w:b/>
        </w:rPr>
      </w:pPr>
      <w:r w:rsidRPr="00D0655E">
        <w:rPr>
          <w:b/>
        </w:rPr>
        <w:lastRenderedPageBreak/>
        <w:t>Table 3: Efficacy Outcomes in Subjects with Mild to Moderate Atopic Dermatitis at Day</w:t>
      </w:r>
      <w:r w:rsidRPr="003E4B57">
        <w:rPr>
          <w:b/>
        </w:rPr>
        <w:t xml:space="preserve"> 29</w:t>
      </w:r>
      <w:r w:rsidRPr="003E4B57">
        <w:rPr>
          <w:b/>
          <w:vertAlign w:val="superscrip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000" w:firstRow="0" w:lastRow="0" w:firstColumn="0" w:lastColumn="0" w:noHBand="0" w:noVBand="0"/>
      </w:tblPr>
      <w:tblGrid>
        <w:gridCol w:w="2827"/>
        <w:gridCol w:w="1653"/>
        <w:gridCol w:w="1653"/>
        <w:gridCol w:w="1713"/>
        <w:gridCol w:w="1711"/>
      </w:tblGrid>
      <w:tr w:rsidR="00D61E72" w:rsidRPr="003E4B57" w:rsidTr="00CE156F">
        <w:tc>
          <w:tcPr>
            <w:tcW w:w="1479" w:type="pct"/>
            <w:vMerge w:val="restart"/>
            <w:tcBorders>
              <w:top w:val="single" w:sz="4" w:space="0" w:color="auto"/>
              <w:right w:val="single" w:sz="4" w:space="0" w:color="auto"/>
            </w:tcBorders>
            <w:shd w:val="clear" w:color="auto" w:fill="auto"/>
            <w:vAlign w:val="bottom"/>
          </w:tcPr>
          <w:p w:rsidR="00D61E72" w:rsidRPr="003E4B57" w:rsidRDefault="00D61E72" w:rsidP="00CE156F">
            <w:pPr>
              <w:keepNext/>
              <w:spacing w:after="120"/>
              <w:rPr>
                <w:b/>
              </w:rPr>
            </w:pPr>
          </w:p>
        </w:tc>
        <w:tc>
          <w:tcPr>
            <w:tcW w:w="1730" w:type="pct"/>
            <w:gridSpan w:val="2"/>
            <w:tcBorders>
              <w:top w:val="single" w:sz="4" w:space="0" w:color="auto"/>
              <w:left w:val="single" w:sz="4" w:space="0" w:color="auto"/>
              <w:right w:val="single" w:sz="4" w:space="0" w:color="auto"/>
            </w:tcBorders>
            <w:shd w:val="clear" w:color="auto" w:fill="auto"/>
            <w:vAlign w:val="bottom"/>
          </w:tcPr>
          <w:p w:rsidR="00D61E72" w:rsidRPr="003E4B57" w:rsidRDefault="00D61E72" w:rsidP="00CE156F">
            <w:pPr>
              <w:keepNext/>
              <w:spacing w:after="120"/>
              <w:jc w:val="center"/>
              <w:rPr>
                <w:b/>
              </w:rPr>
            </w:pPr>
            <w:r>
              <w:rPr>
                <w:b/>
              </w:rPr>
              <w:t>Study</w:t>
            </w:r>
            <w:r w:rsidRPr="003E4B57">
              <w:rPr>
                <w:b/>
              </w:rPr>
              <w:t xml:space="preserve"> 301</w:t>
            </w:r>
          </w:p>
        </w:tc>
        <w:tc>
          <w:tcPr>
            <w:tcW w:w="1792" w:type="pct"/>
            <w:gridSpan w:val="2"/>
            <w:tcBorders>
              <w:top w:val="single" w:sz="4" w:space="0" w:color="auto"/>
              <w:left w:val="single" w:sz="4" w:space="0" w:color="auto"/>
            </w:tcBorders>
            <w:shd w:val="clear" w:color="auto" w:fill="auto"/>
            <w:vAlign w:val="bottom"/>
          </w:tcPr>
          <w:p w:rsidR="00D61E72" w:rsidRPr="003E4B57" w:rsidRDefault="00D61E72" w:rsidP="00CE156F">
            <w:pPr>
              <w:keepNext/>
              <w:spacing w:after="120"/>
              <w:jc w:val="center"/>
              <w:rPr>
                <w:b/>
              </w:rPr>
            </w:pPr>
            <w:r>
              <w:rPr>
                <w:b/>
              </w:rPr>
              <w:t xml:space="preserve">Study </w:t>
            </w:r>
            <w:r w:rsidRPr="003E4B57">
              <w:rPr>
                <w:b/>
              </w:rPr>
              <w:t>302</w:t>
            </w:r>
          </w:p>
        </w:tc>
      </w:tr>
      <w:tr w:rsidR="00D61E72" w:rsidRPr="003E4B57" w:rsidTr="00CE156F">
        <w:tc>
          <w:tcPr>
            <w:tcW w:w="1479" w:type="pct"/>
            <w:vMerge/>
            <w:tcBorders>
              <w:right w:val="single" w:sz="4" w:space="0" w:color="auto"/>
            </w:tcBorders>
            <w:shd w:val="clear" w:color="auto" w:fill="auto"/>
          </w:tcPr>
          <w:p w:rsidR="00D61E72" w:rsidRPr="003E4B57" w:rsidRDefault="00D61E72" w:rsidP="00CE156F">
            <w:pPr>
              <w:keepNext/>
              <w:spacing w:after="120"/>
              <w:rPr>
                <w:b/>
              </w:rPr>
            </w:pPr>
          </w:p>
        </w:tc>
        <w:tc>
          <w:tcPr>
            <w:tcW w:w="865" w:type="pct"/>
            <w:tcBorders>
              <w:left w:val="single" w:sz="4" w:space="0" w:color="auto"/>
              <w:right w:val="single" w:sz="4" w:space="0" w:color="auto"/>
            </w:tcBorders>
            <w:shd w:val="clear" w:color="auto" w:fill="auto"/>
            <w:vAlign w:val="bottom"/>
          </w:tcPr>
          <w:p w:rsidR="00D61E72" w:rsidRPr="003E4B57" w:rsidRDefault="00D61E72" w:rsidP="00CE156F">
            <w:pPr>
              <w:keepNext/>
              <w:spacing w:after="120"/>
              <w:jc w:val="center"/>
              <w:rPr>
                <w:b/>
              </w:rPr>
            </w:pPr>
            <w:r>
              <w:rPr>
                <w:b/>
              </w:rPr>
              <w:t>STAQUIS</w:t>
            </w:r>
            <w:r w:rsidRPr="003E4B57">
              <w:rPr>
                <w:b/>
              </w:rPr>
              <w:br/>
              <w:t>(N=503)</w:t>
            </w:r>
          </w:p>
        </w:tc>
        <w:tc>
          <w:tcPr>
            <w:tcW w:w="865" w:type="pct"/>
            <w:tcBorders>
              <w:left w:val="single" w:sz="4" w:space="0" w:color="auto"/>
              <w:right w:val="single" w:sz="4" w:space="0" w:color="auto"/>
            </w:tcBorders>
            <w:shd w:val="clear" w:color="auto" w:fill="auto"/>
            <w:vAlign w:val="bottom"/>
          </w:tcPr>
          <w:p w:rsidR="00D61E72" w:rsidRPr="003E4B57" w:rsidRDefault="00D61E72" w:rsidP="00CE156F">
            <w:pPr>
              <w:keepNext/>
              <w:spacing w:after="120"/>
              <w:jc w:val="center"/>
              <w:rPr>
                <w:b/>
              </w:rPr>
            </w:pPr>
            <w:r w:rsidRPr="003E4B57">
              <w:rPr>
                <w:b/>
              </w:rPr>
              <w:t>Vehicle</w:t>
            </w:r>
            <w:r w:rsidRPr="003E4B57">
              <w:rPr>
                <w:b/>
              </w:rPr>
              <w:br/>
              <w:t>(N=256)</w:t>
            </w:r>
          </w:p>
        </w:tc>
        <w:tc>
          <w:tcPr>
            <w:tcW w:w="896" w:type="pct"/>
            <w:tcBorders>
              <w:left w:val="single" w:sz="4" w:space="0" w:color="auto"/>
              <w:right w:val="single" w:sz="4" w:space="0" w:color="auto"/>
            </w:tcBorders>
            <w:shd w:val="clear" w:color="auto" w:fill="auto"/>
            <w:vAlign w:val="bottom"/>
          </w:tcPr>
          <w:p w:rsidR="00D61E72" w:rsidRPr="003E4B57" w:rsidRDefault="00D61E72" w:rsidP="00CE156F">
            <w:pPr>
              <w:keepNext/>
              <w:spacing w:after="120"/>
              <w:jc w:val="center"/>
              <w:rPr>
                <w:b/>
              </w:rPr>
            </w:pPr>
            <w:r>
              <w:rPr>
                <w:b/>
              </w:rPr>
              <w:t>STAQUIS</w:t>
            </w:r>
            <w:r w:rsidRPr="003E4B57">
              <w:rPr>
                <w:b/>
              </w:rPr>
              <w:br/>
              <w:t>(N=513)</w:t>
            </w:r>
          </w:p>
        </w:tc>
        <w:tc>
          <w:tcPr>
            <w:tcW w:w="896" w:type="pct"/>
            <w:tcBorders>
              <w:left w:val="single" w:sz="4" w:space="0" w:color="auto"/>
            </w:tcBorders>
            <w:shd w:val="clear" w:color="auto" w:fill="auto"/>
            <w:vAlign w:val="bottom"/>
          </w:tcPr>
          <w:p w:rsidR="00D61E72" w:rsidRPr="003E4B57" w:rsidRDefault="00D61E72" w:rsidP="00CE156F">
            <w:pPr>
              <w:keepNext/>
              <w:spacing w:after="120"/>
              <w:jc w:val="center"/>
              <w:rPr>
                <w:b/>
              </w:rPr>
            </w:pPr>
            <w:r w:rsidRPr="003E4B57">
              <w:rPr>
                <w:b/>
              </w:rPr>
              <w:t>Vehicle</w:t>
            </w:r>
            <w:r w:rsidRPr="003E4B57">
              <w:rPr>
                <w:b/>
              </w:rPr>
              <w:br/>
              <w:t>(N=250)</w:t>
            </w:r>
          </w:p>
        </w:tc>
      </w:tr>
      <w:tr w:rsidR="00D61E72" w:rsidRPr="003E4B57" w:rsidTr="00CE156F">
        <w:tc>
          <w:tcPr>
            <w:tcW w:w="1479" w:type="pct"/>
            <w:tcBorders>
              <w:right w:val="single" w:sz="4" w:space="0" w:color="auto"/>
            </w:tcBorders>
            <w:shd w:val="clear" w:color="auto" w:fill="auto"/>
          </w:tcPr>
          <w:p w:rsidR="00D61E72" w:rsidRPr="003E4B57" w:rsidRDefault="00D61E72" w:rsidP="00CE156F">
            <w:pPr>
              <w:keepNext/>
              <w:rPr>
                <w:b/>
              </w:rPr>
            </w:pPr>
            <w:r w:rsidRPr="003E4B57">
              <w:rPr>
                <w:b/>
              </w:rPr>
              <w:t>Success in ISGA</w:t>
            </w:r>
            <w:r w:rsidRPr="003E4B57">
              <w:rPr>
                <w:b/>
                <w:vertAlign w:val="superscript"/>
              </w:rPr>
              <w:t>a</w:t>
            </w:r>
          </w:p>
        </w:tc>
        <w:tc>
          <w:tcPr>
            <w:tcW w:w="865" w:type="pct"/>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32.8%</w:t>
            </w:r>
          </w:p>
        </w:tc>
        <w:tc>
          <w:tcPr>
            <w:tcW w:w="865" w:type="pct"/>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25.4%</w:t>
            </w:r>
          </w:p>
        </w:tc>
        <w:tc>
          <w:tcPr>
            <w:tcW w:w="896" w:type="pct"/>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31.4%</w:t>
            </w:r>
          </w:p>
        </w:tc>
        <w:tc>
          <w:tcPr>
            <w:tcW w:w="896" w:type="pct"/>
            <w:tcBorders>
              <w:left w:val="single" w:sz="4" w:space="0" w:color="auto"/>
            </w:tcBorders>
            <w:shd w:val="clear" w:color="auto" w:fill="auto"/>
            <w:vAlign w:val="bottom"/>
          </w:tcPr>
          <w:p w:rsidR="00D61E72" w:rsidRPr="003E4B57" w:rsidRDefault="00D61E72" w:rsidP="00CE156F">
            <w:pPr>
              <w:keepNext/>
              <w:jc w:val="center"/>
            </w:pPr>
            <w:r w:rsidRPr="003E4B57">
              <w:t>18.0%</w:t>
            </w:r>
          </w:p>
        </w:tc>
      </w:tr>
      <w:tr w:rsidR="00D61E72" w:rsidRPr="003E4B57" w:rsidTr="00CE156F">
        <w:tc>
          <w:tcPr>
            <w:tcW w:w="1479" w:type="pct"/>
            <w:tcBorders>
              <w:right w:val="single" w:sz="4" w:space="0" w:color="auto"/>
            </w:tcBorders>
            <w:shd w:val="clear" w:color="auto" w:fill="auto"/>
          </w:tcPr>
          <w:p w:rsidR="00D61E72" w:rsidRPr="003E4B57" w:rsidRDefault="00D61E72" w:rsidP="00CE156F">
            <w:pPr>
              <w:keepNext/>
              <w:rPr>
                <w:b/>
              </w:rPr>
            </w:pPr>
            <w:r w:rsidRPr="003E4B57">
              <w:rPr>
                <w:b/>
              </w:rPr>
              <w:t xml:space="preserve">  p-value</w:t>
            </w:r>
          </w:p>
        </w:tc>
        <w:tc>
          <w:tcPr>
            <w:tcW w:w="1730" w:type="pct"/>
            <w:gridSpan w:val="2"/>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0.038</w:t>
            </w:r>
            <w:r w:rsidRPr="003E4B57">
              <w:rPr>
                <w:vertAlign w:val="superscript"/>
              </w:rPr>
              <w:t>b</w:t>
            </w:r>
          </w:p>
        </w:tc>
        <w:tc>
          <w:tcPr>
            <w:tcW w:w="1792" w:type="pct"/>
            <w:gridSpan w:val="2"/>
            <w:tcBorders>
              <w:left w:val="single" w:sz="4" w:space="0" w:color="auto"/>
            </w:tcBorders>
            <w:shd w:val="clear" w:color="auto" w:fill="auto"/>
            <w:vAlign w:val="bottom"/>
          </w:tcPr>
          <w:p w:rsidR="00D61E72" w:rsidRPr="003E4B57" w:rsidRDefault="00D61E72" w:rsidP="00CE156F">
            <w:pPr>
              <w:keepNext/>
              <w:jc w:val="center"/>
            </w:pPr>
            <w:r w:rsidRPr="003E4B57">
              <w:t>&lt;0.001</w:t>
            </w:r>
            <w:r w:rsidRPr="003E4B57">
              <w:rPr>
                <w:vertAlign w:val="superscript"/>
              </w:rPr>
              <w:t>b</w:t>
            </w:r>
          </w:p>
        </w:tc>
      </w:tr>
      <w:tr w:rsidR="00D61E72" w:rsidRPr="003E4B57" w:rsidTr="00CE156F">
        <w:tc>
          <w:tcPr>
            <w:tcW w:w="1479" w:type="pct"/>
            <w:tcBorders>
              <w:right w:val="single" w:sz="4" w:space="0" w:color="auto"/>
            </w:tcBorders>
            <w:shd w:val="clear" w:color="auto" w:fill="auto"/>
          </w:tcPr>
          <w:p w:rsidR="00D61E72" w:rsidRPr="003E4B57" w:rsidRDefault="00D61E72" w:rsidP="00CE156F">
            <w:pPr>
              <w:keepNext/>
              <w:rPr>
                <w:b/>
              </w:rPr>
            </w:pPr>
            <w:r w:rsidRPr="003E4B57">
              <w:rPr>
                <w:b/>
              </w:rPr>
              <w:t>ISGA of Clear (0) or Almost Clear (1)</w:t>
            </w:r>
            <w:r w:rsidRPr="003E4B57">
              <w:rPr>
                <w:b/>
                <w:vertAlign w:val="superscript"/>
              </w:rPr>
              <w:t>c</w:t>
            </w:r>
          </w:p>
        </w:tc>
        <w:tc>
          <w:tcPr>
            <w:tcW w:w="865" w:type="pct"/>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51.7%</w:t>
            </w:r>
          </w:p>
        </w:tc>
        <w:tc>
          <w:tcPr>
            <w:tcW w:w="865" w:type="pct"/>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40.6%</w:t>
            </w:r>
          </w:p>
        </w:tc>
        <w:tc>
          <w:tcPr>
            <w:tcW w:w="896" w:type="pct"/>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48.5%</w:t>
            </w:r>
          </w:p>
        </w:tc>
        <w:tc>
          <w:tcPr>
            <w:tcW w:w="896" w:type="pct"/>
            <w:tcBorders>
              <w:left w:val="single" w:sz="4" w:space="0" w:color="auto"/>
            </w:tcBorders>
            <w:shd w:val="clear" w:color="auto" w:fill="auto"/>
            <w:vAlign w:val="bottom"/>
          </w:tcPr>
          <w:p w:rsidR="00D61E72" w:rsidRPr="003E4B57" w:rsidRDefault="00D61E72" w:rsidP="00CE156F">
            <w:pPr>
              <w:keepNext/>
              <w:jc w:val="center"/>
            </w:pPr>
            <w:r w:rsidRPr="003E4B57">
              <w:t>29.7%</w:t>
            </w:r>
          </w:p>
        </w:tc>
      </w:tr>
      <w:tr w:rsidR="00D61E72" w:rsidRPr="003E4B57" w:rsidTr="00CE156F">
        <w:tc>
          <w:tcPr>
            <w:tcW w:w="1479" w:type="pct"/>
            <w:tcBorders>
              <w:right w:val="single" w:sz="4" w:space="0" w:color="auto"/>
            </w:tcBorders>
            <w:shd w:val="clear" w:color="auto" w:fill="auto"/>
          </w:tcPr>
          <w:p w:rsidR="00D61E72" w:rsidRPr="003E4B57" w:rsidRDefault="00D61E72" w:rsidP="00CE156F">
            <w:pPr>
              <w:keepNext/>
              <w:rPr>
                <w:b/>
              </w:rPr>
            </w:pPr>
            <w:r w:rsidRPr="003E4B57">
              <w:rPr>
                <w:b/>
              </w:rPr>
              <w:t xml:space="preserve">  p-value</w:t>
            </w:r>
          </w:p>
        </w:tc>
        <w:tc>
          <w:tcPr>
            <w:tcW w:w="1730" w:type="pct"/>
            <w:gridSpan w:val="2"/>
            <w:tcBorders>
              <w:left w:val="single" w:sz="4" w:space="0" w:color="auto"/>
              <w:right w:val="single" w:sz="4" w:space="0" w:color="auto"/>
            </w:tcBorders>
            <w:shd w:val="clear" w:color="auto" w:fill="auto"/>
            <w:vAlign w:val="bottom"/>
          </w:tcPr>
          <w:p w:rsidR="00D61E72" w:rsidRPr="003E4B57" w:rsidRDefault="00D61E72" w:rsidP="00CE156F">
            <w:pPr>
              <w:keepNext/>
              <w:jc w:val="center"/>
            </w:pPr>
            <w:r w:rsidRPr="003E4B57">
              <w:t>0.005</w:t>
            </w:r>
            <w:r w:rsidRPr="003E4B57">
              <w:rPr>
                <w:vertAlign w:val="superscript"/>
              </w:rPr>
              <w:t>d</w:t>
            </w:r>
          </w:p>
        </w:tc>
        <w:tc>
          <w:tcPr>
            <w:tcW w:w="1792" w:type="pct"/>
            <w:gridSpan w:val="2"/>
            <w:tcBorders>
              <w:left w:val="single" w:sz="4" w:space="0" w:color="auto"/>
            </w:tcBorders>
            <w:shd w:val="clear" w:color="auto" w:fill="auto"/>
            <w:vAlign w:val="bottom"/>
          </w:tcPr>
          <w:p w:rsidR="00D61E72" w:rsidRPr="003E4B57" w:rsidRDefault="00D61E72" w:rsidP="00CE156F">
            <w:pPr>
              <w:keepNext/>
              <w:jc w:val="center"/>
            </w:pPr>
            <w:r w:rsidRPr="003E4B57">
              <w:t>&lt;0.001</w:t>
            </w:r>
            <w:r w:rsidRPr="003E4B57">
              <w:rPr>
                <w:vertAlign w:val="superscript"/>
              </w:rPr>
              <w:t>d</w:t>
            </w:r>
          </w:p>
        </w:tc>
      </w:tr>
      <w:tr w:rsidR="00D61E72" w:rsidRPr="003E4B57" w:rsidTr="00CE156F">
        <w:trPr>
          <w:trHeight w:val="197"/>
        </w:trPr>
        <w:tc>
          <w:tcPr>
            <w:tcW w:w="5000" w:type="pct"/>
            <w:gridSpan w:val="5"/>
            <w:tcBorders>
              <w:top w:val="single" w:sz="4" w:space="0" w:color="auto"/>
              <w:left w:val="nil"/>
              <w:bottom w:val="nil"/>
              <w:right w:val="nil"/>
            </w:tcBorders>
            <w:shd w:val="clear" w:color="auto" w:fill="auto"/>
          </w:tcPr>
          <w:p w:rsidR="00D61E72" w:rsidRPr="003E4B57" w:rsidRDefault="00D61E72" w:rsidP="00CE156F">
            <w:pPr>
              <w:ind w:hanging="181"/>
            </w:pPr>
            <w:r w:rsidRPr="003E4B57">
              <w:rPr>
                <w:vertAlign w:val="superscript"/>
              </w:rPr>
              <w:t>a</w:t>
            </w:r>
            <w:r w:rsidRPr="003E4B57">
              <w:tab/>
            </w:r>
            <w:r w:rsidRPr="003E4B57">
              <w:rPr>
                <w:vertAlign w:val="superscript"/>
              </w:rPr>
              <w:t xml:space="preserve">a </w:t>
            </w:r>
            <w:r w:rsidRPr="003E4B57">
              <w:rPr>
                <w:sz w:val="18"/>
              </w:rPr>
              <w:t>Defined as an ISGA score of Clear (0) or Almost Clear (1) with a 2-grade or greater improvement from baseline.</w:t>
            </w:r>
          </w:p>
          <w:p w:rsidR="00D61E72" w:rsidRPr="003E4B57" w:rsidRDefault="00D61E72" w:rsidP="00CE156F">
            <w:pPr>
              <w:ind w:hanging="181"/>
              <w:rPr>
                <w:sz w:val="18"/>
              </w:rPr>
            </w:pPr>
            <w:r w:rsidRPr="003E4B57">
              <w:rPr>
                <w:vertAlign w:val="superscript"/>
              </w:rPr>
              <w:t>a</w:t>
            </w:r>
            <w:r w:rsidRPr="003E4B57">
              <w:tab/>
            </w:r>
            <w:r w:rsidRPr="003E4B57">
              <w:rPr>
                <w:vertAlign w:val="superscript"/>
              </w:rPr>
              <w:t xml:space="preserve">b </w:t>
            </w:r>
            <w:r w:rsidRPr="003E4B57">
              <w:rPr>
                <w:sz w:val="18"/>
              </w:rPr>
              <w:t xml:space="preserve">p-value from a logistic regression (with Firth option) test with factors of treatment group and analysis centre. </w:t>
            </w:r>
            <w:r>
              <w:rPr>
                <w:sz w:val="18"/>
              </w:rPr>
              <w:t xml:space="preserve">Study </w:t>
            </w:r>
            <w:r w:rsidRPr="003E4B57">
              <w:rPr>
                <w:sz w:val="18"/>
              </w:rPr>
              <w:t xml:space="preserve">301 estimates from logistic regression are 29.1% and 22.0% for </w:t>
            </w:r>
            <w:r>
              <w:rPr>
                <w:sz w:val="18"/>
              </w:rPr>
              <w:t>STAQUIS</w:t>
            </w:r>
            <w:r w:rsidRPr="003E4B57">
              <w:rPr>
                <w:sz w:val="18"/>
              </w:rPr>
              <w:t xml:space="preserve"> and vehicle, respectively. </w:t>
            </w:r>
            <w:r>
              <w:rPr>
                <w:sz w:val="18"/>
              </w:rPr>
              <w:t xml:space="preserve">Study </w:t>
            </w:r>
            <w:r w:rsidRPr="003E4B57">
              <w:rPr>
                <w:sz w:val="18"/>
              </w:rPr>
              <w:t xml:space="preserve">302 estimates from logistic regression are 26.5% and 14.2% for </w:t>
            </w:r>
            <w:r>
              <w:rPr>
                <w:sz w:val="18"/>
              </w:rPr>
              <w:t>STAQUIS</w:t>
            </w:r>
            <w:r w:rsidRPr="003E4B57">
              <w:rPr>
                <w:sz w:val="18"/>
              </w:rPr>
              <w:t xml:space="preserve"> and vehicle, respectively. Values were adjusted for multiple imputation.</w:t>
            </w:r>
          </w:p>
          <w:p w:rsidR="00D61E72" w:rsidRPr="003E4B57" w:rsidRDefault="00D61E72" w:rsidP="00CE156F">
            <w:pPr>
              <w:ind w:hanging="181"/>
              <w:rPr>
                <w:sz w:val="18"/>
              </w:rPr>
            </w:pPr>
            <w:r w:rsidRPr="003E4B57">
              <w:tab/>
            </w:r>
            <w:r w:rsidRPr="003E4B57">
              <w:rPr>
                <w:vertAlign w:val="superscript"/>
              </w:rPr>
              <w:t xml:space="preserve">c </w:t>
            </w:r>
            <w:r w:rsidRPr="003E4B57">
              <w:rPr>
                <w:sz w:val="18"/>
              </w:rPr>
              <w:t>A 2-grade or greater improvement from baseline was not required.</w:t>
            </w:r>
          </w:p>
          <w:p w:rsidR="00D61E72" w:rsidRPr="003E4B57" w:rsidRDefault="00D61E72" w:rsidP="00CE156F">
            <w:pPr>
              <w:ind w:hanging="181"/>
              <w:rPr>
                <w:sz w:val="18"/>
              </w:rPr>
            </w:pPr>
            <w:r w:rsidRPr="003E4B57">
              <w:tab/>
            </w:r>
            <w:r w:rsidRPr="003E4B57">
              <w:rPr>
                <w:vertAlign w:val="superscript"/>
              </w:rPr>
              <w:t xml:space="preserve">d </w:t>
            </w:r>
            <w:r w:rsidRPr="003E4B57">
              <w:rPr>
                <w:sz w:val="18"/>
              </w:rPr>
              <w:t xml:space="preserve">p-value from a logistic regression (with Firth option) test with factors of treatment group and analysis centre. </w:t>
            </w:r>
            <w:r>
              <w:rPr>
                <w:sz w:val="18"/>
              </w:rPr>
              <w:t xml:space="preserve">Study </w:t>
            </w:r>
            <w:r w:rsidRPr="003E4B57">
              <w:rPr>
                <w:sz w:val="18"/>
              </w:rPr>
              <w:t xml:space="preserve">301 estimates from logistic regression are 49.0% and 37.7% for </w:t>
            </w:r>
            <w:r>
              <w:rPr>
                <w:sz w:val="18"/>
              </w:rPr>
              <w:t>STAQUIS</w:t>
            </w:r>
            <w:r w:rsidRPr="003E4B57">
              <w:rPr>
                <w:sz w:val="18"/>
              </w:rPr>
              <w:t xml:space="preserve"> and vehicle, respectively. </w:t>
            </w:r>
            <w:r>
              <w:rPr>
                <w:sz w:val="18"/>
              </w:rPr>
              <w:t xml:space="preserve">Study </w:t>
            </w:r>
            <w:r w:rsidRPr="003E4B57">
              <w:rPr>
                <w:sz w:val="18"/>
              </w:rPr>
              <w:t xml:space="preserve">302 estimates from logistic regression are 45.2% and 25.5% for </w:t>
            </w:r>
            <w:r>
              <w:rPr>
                <w:sz w:val="18"/>
              </w:rPr>
              <w:t>STAQUIS</w:t>
            </w:r>
            <w:r w:rsidRPr="003E4B57">
              <w:rPr>
                <w:sz w:val="18"/>
              </w:rPr>
              <w:t xml:space="preserve"> and vehicle, respectively. Values were adjusted for multiple imputation.</w:t>
            </w:r>
          </w:p>
          <w:p w:rsidR="00D61E72" w:rsidRPr="003E4B57" w:rsidRDefault="00D61E72" w:rsidP="00CE156F">
            <w:pPr>
              <w:ind w:left="-181"/>
            </w:pPr>
          </w:p>
          <w:p w:rsidR="00D61E72" w:rsidRPr="003E4B57" w:rsidRDefault="00D61E72" w:rsidP="00CE156F">
            <w:pPr>
              <w:ind w:hanging="181"/>
            </w:pPr>
          </w:p>
        </w:tc>
      </w:tr>
    </w:tbl>
    <w:p w:rsidR="00D61E72" w:rsidRDefault="00D61E72" w:rsidP="00D61E72">
      <w:pPr>
        <w:numPr>
          <w:ilvl w:val="12"/>
          <w:numId w:val="0"/>
        </w:numPr>
        <w:ind w:right="-2"/>
      </w:pPr>
      <w:r w:rsidRPr="00A0787F">
        <w:t>A log-rank test showed the STAQUIS-treated group had a statistically significant</w:t>
      </w:r>
      <w:r>
        <w:t>ly</w:t>
      </w:r>
      <w:r w:rsidRPr="00A0787F">
        <w:t xml:space="preserve"> earlier time to success in ISGA than the vehicle-treated group in both studies (p-values &lt;0.001).</w:t>
      </w:r>
    </w:p>
    <w:p w:rsidR="00D61E72" w:rsidRPr="003E4B57" w:rsidRDefault="00D61E72" w:rsidP="00D61E72">
      <w:pPr>
        <w:numPr>
          <w:ilvl w:val="12"/>
          <w:numId w:val="0"/>
        </w:numPr>
        <w:ind w:right="-2"/>
        <w:rPr>
          <w:iCs/>
          <w:noProof/>
        </w:rPr>
      </w:pPr>
    </w:p>
    <w:p w:rsidR="00D61E72" w:rsidRDefault="00D61E72" w:rsidP="00D61E72">
      <w:pPr>
        <w:pStyle w:val="Paragraph"/>
        <w:keepNext/>
        <w:spacing w:after="0" w:line="276" w:lineRule="auto"/>
        <w:ind w:left="993" w:hanging="993"/>
        <w:rPr>
          <w:b/>
        </w:rPr>
      </w:pPr>
      <w:r w:rsidRPr="00B36B05">
        <w:rPr>
          <w:b/>
        </w:rPr>
        <w:t>Figure 1:</w:t>
      </w:r>
      <w:r w:rsidRPr="003E4B57">
        <w:rPr>
          <w:b/>
        </w:rPr>
        <w:t xml:space="preserve"> Success in ISGA</w:t>
      </w:r>
      <w:r w:rsidRPr="003E4B57">
        <w:rPr>
          <w:b/>
          <w:vertAlign w:val="superscript"/>
        </w:rPr>
        <w:t>a</w:t>
      </w:r>
      <w:r w:rsidRPr="003E4B57">
        <w:rPr>
          <w:b/>
        </w:rPr>
        <w:t xml:space="preserve"> Over</w:t>
      </w:r>
      <w:r>
        <w:rPr>
          <w:b/>
        </w:rPr>
        <w:t xml:space="preserve"> </w:t>
      </w:r>
      <w:r w:rsidRPr="003E4B57">
        <w:rPr>
          <w:b/>
        </w:rPr>
        <w:t>Time in Subjects with Mild to Moderate Atopic Dermatitis</w:t>
      </w:r>
    </w:p>
    <w:p w:rsidR="00D61E72" w:rsidRPr="00D61E72" w:rsidRDefault="00795421" w:rsidP="00D61E72">
      <w:pPr>
        <w:pStyle w:val="Paragraph"/>
        <w:rPr>
          <w:rFonts w:eastAsia="Calibri"/>
          <w:lang w:val="en-AU"/>
        </w:rPr>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6" type="#_x0000_t75" style="width:423.25pt;height:212.85pt;visibility:visible">
            <v:imagedata r:id="rId9" o:title=""/>
          </v:shape>
        </w:pict>
      </w:r>
    </w:p>
    <w:p w:rsidR="00D61E72" w:rsidRPr="00D61E72" w:rsidRDefault="00D61E72" w:rsidP="00D61E72">
      <w:pPr>
        <w:pStyle w:val="Paragraph"/>
        <w:rPr>
          <w:rFonts w:eastAsia="Calibri"/>
          <w:lang w:val="en-AU"/>
        </w:rPr>
      </w:pPr>
      <w:r w:rsidRPr="003E4B57">
        <w:rPr>
          <w:sz w:val="20"/>
          <w:szCs w:val="20"/>
          <w:vertAlign w:val="superscript"/>
        </w:rPr>
        <w:t>a</w:t>
      </w:r>
      <w:r w:rsidRPr="003E4B57">
        <w:rPr>
          <w:sz w:val="20"/>
          <w:szCs w:val="20"/>
        </w:rPr>
        <w:t xml:space="preserve">  Success is defined as an ISGA score of Clear (0) or Almost Clear (1) with a 2-grade or greater improvement from baseline.</w:t>
      </w:r>
      <w:r w:rsidRPr="003E4B57">
        <w:rPr>
          <w:sz w:val="22"/>
          <w:szCs w:val="20"/>
          <w:lang w:val="en-GB"/>
        </w:rPr>
        <w:t xml:space="preserve"> </w:t>
      </w:r>
      <w:r w:rsidRPr="00D61E72">
        <w:rPr>
          <w:rFonts w:eastAsia="Calibri"/>
          <w:lang w:val="en-AU"/>
        </w:rPr>
        <w:t>The incidence of flare and relapse has not been established in controlled trials. Currently, there are no clinical trial data comparing crisaborole to an active comparator.</w:t>
      </w:r>
    </w:p>
    <w:p w:rsidR="00D61E72" w:rsidRPr="003E4B57" w:rsidRDefault="00D61E72" w:rsidP="00D61E72">
      <w:pPr>
        <w:pStyle w:val="CLDHeading2"/>
      </w:pPr>
      <w:r>
        <w:lastRenderedPageBreak/>
        <w:t xml:space="preserve">5.2 </w:t>
      </w:r>
      <w:r w:rsidRPr="003E4B57">
        <w:t xml:space="preserve">Pharmacokinetic properties </w:t>
      </w:r>
    </w:p>
    <w:p w:rsidR="00D61E72" w:rsidRPr="003E4B57" w:rsidRDefault="00D61E72" w:rsidP="00D61E72">
      <w:pPr>
        <w:pStyle w:val="CLDHeading3"/>
      </w:pPr>
      <w:r w:rsidRPr="003E4B57">
        <w:t>Absorption</w:t>
      </w:r>
    </w:p>
    <w:p w:rsidR="00D61E72" w:rsidRPr="00F24D09" w:rsidRDefault="00D61E72" w:rsidP="00D61E72">
      <w:pPr>
        <w:pStyle w:val="CLDNormal"/>
      </w:pPr>
      <w:r w:rsidRPr="00F24D09">
        <w:t>The pharmacokinetics (PK) of STAQUIS were investigated in 33 paediatric subjects 2 to 17 years of age with mild to moderate atopic dermatitis and a mean ± SD body surface area involvement of 49 ± 20% (range 27% to 92%).  In this study, subjects applied approximately 3 mg/cm</w:t>
      </w:r>
      <w:r w:rsidRPr="00F24D09">
        <w:rPr>
          <w:vertAlign w:val="superscript"/>
        </w:rPr>
        <w:t>2</w:t>
      </w:r>
      <w:r w:rsidRPr="00F24D09">
        <w:t xml:space="preserve"> of STAQUIS ointment (dose range was approximately 6 g to 30 g per appli</w:t>
      </w:r>
      <w:r>
        <w:t>cation) twice daily for 8 days.</w:t>
      </w:r>
    </w:p>
    <w:p w:rsidR="00D61E72" w:rsidRPr="00F24D09" w:rsidRDefault="00D61E72" w:rsidP="00D61E72">
      <w:pPr>
        <w:pStyle w:val="CLDNormal"/>
      </w:pPr>
      <w:r w:rsidRPr="00F24D09">
        <w:t>Plasma concentrations were quantifiable in all the subjects.  When STAQUIS ointment is applied topically, approximately 25% of the crisaborole dose is absorbed.  The mean ± SD maximum plasma concentration (C</w:t>
      </w:r>
      <w:r w:rsidRPr="00F24D09">
        <w:rPr>
          <w:vertAlign w:val="subscript"/>
        </w:rPr>
        <w:t>max</w:t>
      </w:r>
      <w:r w:rsidRPr="00F24D09">
        <w:t>) and area under the concentration time curve from 0 to 12 hours post dose (AUC</w:t>
      </w:r>
      <w:r w:rsidRPr="00F24D09">
        <w:rPr>
          <w:vertAlign w:val="subscript"/>
        </w:rPr>
        <w:t>0-12</w:t>
      </w:r>
      <w:r w:rsidRPr="00F24D09">
        <w:t>)</w:t>
      </w:r>
      <w:r w:rsidRPr="00F24D09">
        <w:rPr>
          <w:vertAlign w:val="subscript"/>
        </w:rPr>
        <w:t xml:space="preserve"> </w:t>
      </w:r>
      <w:r w:rsidRPr="00F24D09">
        <w:t xml:space="preserve">for crisaborole on Day 8 were 127 ± 196 ng/mL and 949 ± 1240 ng*h/mL, respectively.  Systemic concentrations of crisaborole were at steady state by Day 8. </w:t>
      </w:r>
      <w:r>
        <w:rPr>
          <w:color w:val="07B140"/>
        </w:rPr>
        <w:t xml:space="preserve"> </w:t>
      </w:r>
      <w:r w:rsidRPr="00F24D09">
        <w:t>Based on the ratios of AUC </w:t>
      </w:r>
      <w:r w:rsidRPr="00F24D09">
        <w:rPr>
          <w:vertAlign w:val="subscript"/>
        </w:rPr>
        <w:t>0 –12</w:t>
      </w:r>
      <w:r w:rsidRPr="00F24D09">
        <w:t xml:space="preserve"> between Day 8 and Day 1, the mean accumulation factor for crisaborole was 1.9. </w:t>
      </w:r>
      <w:r>
        <w:rPr>
          <w:color w:val="07B140"/>
        </w:rPr>
        <w:t xml:space="preserve"> </w:t>
      </w:r>
      <w:r w:rsidRPr="00F24D09">
        <w:t>Systemic levels of crisaborole and its main metabolites were similar between age cohorts of 2 – 5 years, 6</w:t>
      </w:r>
      <w:r>
        <w:t xml:space="preserve"> – 11 years, and 12 - 17 years.</w:t>
      </w:r>
    </w:p>
    <w:p w:rsidR="00D61E72" w:rsidRPr="00B705A6" w:rsidRDefault="00D61E72" w:rsidP="00D61E72">
      <w:pPr>
        <w:pStyle w:val="CLDHeading3"/>
      </w:pPr>
      <w:r w:rsidRPr="00B705A6">
        <w:t>Distribution</w:t>
      </w:r>
    </w:p>
    <w:p w:rsidR="00D61E72" w:rsidRPr="003E4B57" w:rsidRDefault="00D61E72" w:rsidP="00D61E72">
      <w:pPr>
        <w:pStyle w:val="CLDNormal"/>
      </w:pPr>
      <w:r w:rsidRPr="003E4B57">
        <w:t xml:space="preserve">Based on an </w:t>
      </w:r>
      <w:r w:rsidRPr="00A37D52">
        <w:rPr>
          <w:i/>
        </w:rPr>
        <w:t xml:space="preserve">in vitro </w:t>
      </w:r>
      <w:r w:rsidRPr="003E4B57">
        <w:t xml:space="preserve">study, crisaborole is 97% </w:t>
      </w:r>
      <w:r>
        <w:t>bound to human plasma proteins.</w:t>
      </w:r>
    </w:p>
    <w:p w:rsidR="00D61E72" w:rsidRPr="00B705A6" w:rsidRDefault="00D61E72" w:rsidP="00D61E72">
      <w:pPr>
        <w:pStyle w:val="CLDHeading3"/>
      </w:pPr>
      <w:r w:rsidRPr="00B705A6">
        <w:t>Metabolism</w:t>
      </w:r>
    </w:p>
    <w:p w:rsidR="00D61E72" w:rsidRPr="003E4B57" w:rsidRDefault="00D61E72" w:rsidP="00D61E72">
      <w:pPr>
        <w:pStyle w:val="CLDNormal"/>
      </w:pPr>
      <w:r w:rsidRPr="00D61E72">
        <w:rPr>
          <w:rStyle w:val="ParagraphChar"/>
          <w:rFonts w:eastAsia="Calibri"/>
        </w:rPr>
        <w:t>After dermal absorption, crisaborole is substantially and rapidly metabolised into inactive metabolites.  The major metabolite 5-(4-cyanophenoxy)-2-hydroxyl benzylalcohol (metabolite 1), is formed via hydrolysis; this metabolite is further metabolised into downstream metabolites, among which 5-(4-cyanophenoxy)-2-hydroxyl benzoic acid (metabolite 2), formed via oxidation, is also a major metabolite.</w:t>
      </w:r>
    </w:p>
    <w:p w:rsidR="00D61E72" w:rsidRPr="003E4B57" w:rsidRDefault="00D61E72" w:rsidP="00D61E72">
      <w:pPr>
        <w:pStyle w:val="CLDNormal"/>
        <w:rPr>
          <w:bCs/>
        </w:rPr>
      </w:pPr>
      <w:r w:rsidRPr="003E4B57">
        <w:t>PK of metabolites 1 and 2 were assessed in the PK study described above and the systemic concentrations were at or near steady state by Day 8.  Based on the ratios of AUC</w:t>
      </w:r>
      <w:r w:rsidRPr="003E4B57">
        <w:rPr>
          <w:vertAlign w:val="subscript"/>
        </w:rPr>
        <w:t xml:space="preserve">0-12 </w:t>
      </w:r>
      <w:r w:rsidRPr="003E4B57">
        <w:t xml:space="preserve">between Day 8 and Day 1, the mean accumulation factors for metabolites 1 and 2 were 1.7 and 6.3, respectively. </w:t>
      </w:r>
    </w:p>
    <w:p w:rsidR="00D61E72" w:rsidRPr="00B705A6" w:rsidRDefault="00D61E72" w:rsidP="00D61E72">
      <w:pPr>
        <w:pStyle w:val="CLDHeading3"/>
      </w:pPr>
      <w:r w:rsidRPr="00B705A6">
        <w:t>Excretion</w:t>
      </w:r>
    </w:p>
    <w:p w:rsidR="00D61E72" w:rsidRPr="003E4B57" w:rsidRDefault="00D61E72" w:rsidP="00D61E72">
      <w:pPr>
        <w:pStyle w:val="CLDNormal"/>
      </w:pPr>
      <w:r w:rsidRPr="003E4B57">
        <w:t xml:space="preserve">Renal excretion of metabolites is </w:t>
      </w:r>
      <w:r>
        <w:t>the major route of elimination.</w:t>
      </w:r>
    </w:p>
    <w:p w:rsidR="00D61E72" w:rsidRPr="003E4B57" w:rsidRDefault="00D61E72" w:rsidP="00D61E72">
      <w:pPr>
        <w:pStyle w:val="CLDHeading2"/>
      </w:pPr>
      <w:r>
        <w:t xml:space="preserve">5.3 </w:t>
      </w:r>
      <w:r w:rsidRPr="003E4B57">
        <w:t>Preclinical safety data</w:t>
      </w:r>
    </w:p>
    <w:p w:rsidR="00D61E72" w:rsidRPr="003E4B57" w:rsidRDefault="00D61E72" w:rsidP="00D61E72">
      <w:pPr>
        <w:pStyle w:val="CLDHeading3"/>
      </w:pPr>
      <w:r w:rsidRPr="003E4B57">
        <w:t>Genotoxicity</w:t>
      </w:r>
    </w:p>
    <w:p w:rsidR="00D61E72" w:rsidRPr="003E4B57" w:rsidRDefault="00D61E72" w:rsidP="00D61E72">
      <w:pPr>
        <w:pStyle w:val="CLDNormal"/>
      </w:pPr>
      <w:r w:rsidRPr="003E4B57">
        <w:t xml:space="preserve">Crisaborole revealed no evidence of mutagenic or clastogenic potential based on the results of two </w:t>
      </w:r>
      <w:r w:rsidRPr="00A37D52">
        <w:rPr>
          <w:i/>
        </w:rPr>
        <w:t>in vitro</w:t>
      </w:r>
      <w:r w:rsidRPr="003E4B57">
        <w:t xml:space="preserve"> genotoxicity tests (Ames assay and human lymphocyte chromosomal aberration assay) and one </w:t>
      </w:r>
      <w:r w:rsidRPr="00A37D52">
        <w:rPr>
          <w:i/>
        </w:rPr>
        <w:t>in vivo</w:t>
      </w:r>
      <w:r w:rsidRPr="003E4B57">
        <w:t xml:space="preserve"> genotoxicity</w:t>
      </w:r>
      <w:r>
        <w:t xml:space="preserve"> test (rat micronucleus assay).</w:t>
      </w:r>
    </w:p>
    <w:p w:rsidR="00D61E72" w:rsidRPr="00073D1E" w:rsidRDefault="00D61E72" w:rsidP="00D61E72">
      <w:pPr>
        <w:pStyle w:val="CLDHeading3"/>
      </w:pPr>
      <w:r w:rsidRPr="00B705A6">
        <w:lastRenderedPageBreak/>
        <w:t>Carcin</w:t>
      </w:r>
      <w:r w:rsidRPr="00073D1E">
        <w:t>ogenicity</w:t>
      </w:r>
    </w:p>
    <w:p w:rsidR="00D61E72" w:rsidRPr="003E4B57" w:rsidRDefault="00D61E72" w:rsidP="00D61E72">
      <w:pPr>
        <w:pStyle w:val="CLDNormal"/>
      </w:pPr>
      <w:r w:rsidRPr="003E4B57">
        <w:t xml:space="preserve">In an oral carcinogenicity study in Sprague-Dawley rats, oral doses of 30, 100 </w:t>
      </w:r>
      <w:r>
        <w:t xml:space="preserve">or </w:t>
      </w:r>
      <w:r w:rsidRPr="003E4B57">
        <w:t>300 mg/kg/day crisaborole were administered to rats once daily.  A drug-related increased incidence of benign granular cell tumo</w:t>
      </w:r>
      <w:r>
        <w:t>u</w:t>
      </w:r>
      <w:r w:rsidRPr="003E4B57">
        <w:t xml:space="preserve">rs in the uterus with cervix or vagina (combined) was noted in 300 mg/kg/day crisaborole </w:t>
      </w:r>
      <w:r>
        <w:t xml:space="preserve">administered </w:t>
      </w:r>
      <w:r w:rsidRPr="003E4B57">
        <w:t xml:space="preserve">female rats (2 times the MRHD on an AUC comparison basis).  </w:t>
      </w:r>
      <w:r>
        <w:t>G</w:t>
      </w:r>
      <w:r w:rsidRPr="007627A6">
        <w:t>iven the tumo</w:t>
      </w:r>
      <w:r>
        <w:t>u</w:t>
      </w:r>
      <w:r w:rsidRPr="007627A6">
        <w:t xml:space="preserve">r type and benign </w:t>
      </w:r>
      <w:r>
        <w:t xml:space="preserve">nature </w:t>
      </w:r>
      <w:r w:rsidRPr="007627A6">
        <w:t>in a single species and single sex, the relevance to humans is considered to be low</w:t>
      </w:r>
      <w:r w:rsidRPr="003E4B57">
        <w:t>.</w:t>
      </w:r>
    </w:p>
    <w:p w:rsidR="00D61E72" w:rsidRPr="001410CB" w:rsidRDefault="00D61E72" w:rsidP="00D61E72">
      <w:pPr>
        <w:pStyle w:val="CLDNormal"/>
      </w:pPr>
      <w:r w:rsidRPr="003E4B57">
        <w:t>In a dermal carcinogenicity study in CD-1 mice, topical doses of 2%, 5% and 7% crisaborole ointment were administered once daily.  No drug-related neoplastic findings were noted at topical doses up to 7% crisaborole ointment (equal to the MRHD on an AUC comparison basis).</w:t>
      </w:r>
    </w:p>
    <w:p w:rsidR="00D61E72" w:rsidRPr="003E4B57" w:rsidRDefault="00D61E72" w:rsidP="00D61E72">
      <w:pPr>
        <w:pStyle w:val="CLDHeading1"/>
        <w:numPr>
          <w:ilvl w:val="0"/>
          <w:numId w:val="32"/>
        </w:numPr>
      </w:pPr>
      <w:bookmarkStart w:id="2" w:name="bookmark2"/>
      <w:bookmarkStart w:id="3" w:name="14_Clinical_Studies"/>
      <w:bookmarkStart w:id="4" w:name="13_Nonclinical_Toxicology"/>
      <w:bookmarkStart w:id="5" w:name="13.1_Carcinogenesis,_Mutagenesis,_Impair"/>
      <w:bookmarkStart w:id="6" w:name="bookmark0"/>
      <w:bookmarkStart w:id="7" w:name="bookmark1"/>
      <w:bookmarkEnd w:id="2"/>
      <w:bookmarkEnd w:id="3"/>
      <w:bookmarkEnd w:id="4"/>
      <w:bookmarkEnd w:id="5"/>
      <w:bookmarkEnd w:id="6"/>
      <w:bookmarkEnd w:id="7"/>
      <w:r w:rsidRPr="003E4B57">
        <w:t>Pharmaceutical particulars</w:t>
      </w:r>
    </w:p>
    <w:p w:rsidR="00D61E72" w:rsidRPr="003E4B57" w:rsidRDefault="00D61E72" w:rsidP="00D61E72">
      <w:pPr>
        <w:pStyle w:val="CLDHeading2"/>
      </w:pPr>
      <w:r>
        <w:t xml:space="preserve">6.1 </w:t>
      </w:r>
      <w:r w:rsidRPr="003E4B57">
        <w:t xml:space="preserve">List of excipients </w:t>
      </w:r>
    </w:p>
    <w:p w:rsidR="00D61E72" w:rsidRPr="003E4B57" w:rsidRDefault="00D61E72" w:rsidP="00D61E72">
      <w:pPr>
        <w:pStyle w:val="CLDNormal"/>
        <w:rPr>
          <w:lang w:val="en-AU"/>
        </w:rPr>
      </w:pPr>
      <w:r>
        <w:t>STAQUIS</w:t>
      </w:r>
      <w:r w:rsidRPr="003E4B57">
        <w:t xml:space="preserve"> ointment also contains </w:t>
      </w:r>
      <w:r w:rsidRPr="003E4B57">
        <w:rPr>
          <w:lang w:val="en-AU"/>
        </w:rPr>
        <w:t>white soft paraffin</w:t>
      </w:r>
      <w:r w:rsidRPr="003E4B57">
        <w:t xml:space="preserve">, propylene glycol, </w:t>
      </w:r>
      <w:r w:rsidRPr="003E4B57">
        <w:rPr>
          <w:lang w:val="en-AU"/>
        </w:rPr>
        <w:t>glyceryl monostearate</w:t>
      </w:r>
      <w:r w:rsidRPr="003E4B57">
        <w:t>, synthetic paraffin, butylated hydroxytoluene</w:t>
      </w:r>
      <w:r>
        <w:t>, and sodium calcium edetate.</w:t>
      </w:r>
    </w:p>
    <w:p w:rsidR="00D61E72" w:rsidRPr="00B705A6" w:rsidRDefault="00D61E72" w:rsidP="00D61E72">
      <w:pPr>
        <w:pStyle w:val="CLDHeading2"/>
      </w:pPr>
      <w:r>
        <w:t xml:space="preserve">6.2 </w:t>
      </w:r>
      <w:r w:rsidRPr="00B705A6">
        <w:t xml:space="preserve">Incompatibilities </w:t>
      </w:r>
    </w:p>
    <w:p w:rsidR="00D61E72" w:rsidRPr="001B31FD" w:rsidRDefault="00D61E72" w:rsidP="00D61E72">
      <w:pPr>
        <w:pStyle w:val="Paragraph"/>
        <w:spacing w:line="276" w:lineRule="auto"/>
        <w:rPr>
          <w:i/>
        </w:rPr>
      </w:pPr>
      <w:r w:rsidRPr="00394AB6">
        <w:t>Incompatibilities were either not assessed or not identified as part of the registration of this medicine.</w:t>
      </w:r>
    </w:p>
    <w:p w:rsidR="00D61E72" w:rsidRPr="00B705A6" w:rsidRDefault="00D61E72" w:rsidP="00D61E72">
      <w:pPr>
        <w:pStyle w:val="CLDHeading2"/>
      </w:pPr>
      <w:r>
        <w:t xml:space="preserve">6.3 </w:t>
      </w:r>
      <w:r w:rsidRPr="00B705A6">
        <w:t>Shelf life</w:t>
      </w:r>
    </w:p>
    <w:p w:rsidR="00D61E72" w:rsidRPr="003E4B57" w:rsidRDefault="00D61E72" w:rsidP="00D61E72">
      <w:pPr>
        <w:pStyle w:val="CLDNormal"/>
      </w:pPr>
      <w:r w:rsidRPr="001918E6">
        <w:t>In Australia, information on the shelf life can be found on the public summary of the ARTG. The expiry date can be found on the packaging.</w:t>
      </w:r>
    </w:p>
    <w:p w:rsidR="00D61E72" w:rsidRPr="00B705A6" w:rsidRDefault="00D61E72" w:rsidP="00D61E72">
      <w:pPr>
        <w:pStyle w:val="CLDHeading2"/>
      </w:pPr>
      <w:r>
        <w:t xml:space="preserve">6.4 </w:t>
      </w:r>
      <w:r w:rsidRPr="00B705A6">
        <w:t xml:space="preserve">Special precautions for storage </w:t>
      </w:r>
    </w:p>
    <w:p w:rsidR="00D61E72" w:rsidRPr="003E4B57" w:rsidRDefault="00D61E72" w:rsidP="00D61E72">
      <w:pPr>
        <w:pStyle w:val="CLDNormal"/>
      </w:pPr>
      <w:r w:rsidRPr="003E4B57">
        <w:t>Store below 25</w:t>
      </w:r>
      <w:bookmarkStart w:id="8" w:name="_Hlk461024845"/>
      <w:r w:rsidRPr="003E4B57">
        <w:t>°C</w:t>
      </w:r>
      <w:bookmarkEnd w:id="8"/>
      <w:r>
        <w:t>.</w:t>
      </w:r>
    </w:p>
    <w:p w:rsidR="00D61E72" w:rsidRPr="00B705A6" w:rsidRDefault="00D61E72" w:rsidP="00D61E72">
      <w:pPr>
        <w:pStyle w:val="CLDHeading2"/>
      </w:pPr>
      <w:r>
        <w:t xml:space="preserve">6.5 </w:t>
      </w:r>
      <w:r w:rsidRPr="00B705A6">
        <w:t xml:space="preserve">Nature and contents of container </w:t>
      </w:r>
    </w:p>
    <w:p w:rsidR="00D61E72" w:rsidRPr="003E4B57" w:rsidRDefault="00D61E72" w:rsidP="00D61E72">
      <w:pPr>
        <w:pStyle w:val="CLDNormal"/>
        <w:rPr>
          <w:noProof/>
        </w:rPr>
      </w:pPr>
      <w:r>
        <w:t>STAQUIS</w:t>
      </w:r>
      <w:r w:rsidRPr="003E4B57">
        <w:t xml:space="preserve"> is supplied in 2.5 g</w:t>
      </w:r>
      <w:r>
        <w:t xml:space="preserve"> x 6</w:t>
      </w:r>
      <w:r w:rsidRPr="003E4B57">
        <w:sym w:font="Wingdings" w:char="F0AB"/>
      </w:r>
      <w:r w:rsidRPr="003E4B57">
        <w:t xml:space="preserve">, </w:t>
      </w:r>
      <w:r w:rsidRPr="00082F78">
        <w:t>30 g</w:t>
      </w:r>
      <w:r w:rsidRPr="00082F78">
        <w:sym w:font="Wingdings" w:char="F0AB"/>
      </w:r>
      <w:r w:rsidRPr="00394AB6">
        <w:t>,</w:t>
      </w:r>
      <w:r>
        <w:t xml:space="preserve"> </w:t>
      </w:r>
      <w:r w:rsidRPr="003E4B57">
        <w:t>60 g and 100 g</w:t>
      </w:r>
      <w:r w:rsidRPr="003E4B57">
        <w:sym w:font="Wingdings" w:char="F0AB"/>
      </w:r>
      <w:r w:rsidRPr="003E4B57">
        <w:t xml:space="preserve"> </w:t>
      </w:r>
      <w:r w:rsidRPr="003E4B57">
        <w:rPr>
          <w:noProof/>
        </w:rPr>
        <w:t>multi-layered laminate tubes with a high density polyethylene tube head with a peel seal, and a white polypropylene cap closure</w:t>
      </w:r>
      <w:r>
        <w:t>.</w:t>
      </w:r>
    </w:p>
    <w:p w:rsidR="00D61E72" w:rsidRPr="003E4B57" w:rsidRDefault="00D61E72" w:rsidP="00D61E72">
      <w:r w:rsidRPr="003E4B57">
        <w:sym w:font="Wingdings" w:char="F0AB"/>
      </w:r>
      <w:r w:rsidRPr="003E4B57">
        <w:t xml:space="preserve"> </w:t>
      </w:r>
      <w:r w:rsidRPr="003E4B57">
        <w:rPr>
          <w:i/>
        </w:rPr>
        <w:t>Not all pack sizes available</w:t>
      </w:r>
      <w:r w:rsidRPr="003E4B57">
        <w:t>.</w:t>
      </w:r>
      <w:r w:rsidRPr="00F80D8A">
        <w:t xml:space="preserve"> </w:t>
      </w:r>
    </w:p>
    <w:p w:rsidR="00D61E72" w:rsidRPr="00B705A6" w:rsidRDefault="00D61E72" w:rsidP="00D61E72">
      <w:pPr>
        <w:pStyle w:val="CLDHeading2"/>
      </w:pPr>
      <w:r>
        <w:lastRenderedPageBreak/>
        <w:t xml:space="preserve">6.6 </w:t>
      </w:r>
      <w:r w:rsidRPr="00B705A6">
        <w:t xml:space="preserve">Special precautions for disposal </w:t>
      </w:r>
    </w:p>
    <w:p w:rsidR="00D61E72" w:rsidRPr="001918E6" w:rsidRDefault="00D61E72" w:rsidP="00D61E72">
      <w:pPr>
        <w:pStyle w:val="CLDNormal"/>
      </w:pPr>
      <w:r w:rsidRPr="001918E6">
        <w:t>In Australia, any unused medicine or waste material should be disposed of in accordance with local requirements.</w:t>
      </w:r>
    </w:p>
    <w:p w:rsidR="00D61E72" w:rsidRPr="00B705A6" w:rsidRDefault="00D61E72" w:rsidP="00D61E72">
      <w:pPr>
        <w:pStyle w:val="CLDHeading2"/>
      </w:pPr>
      <w:r>
        <w:t xml:space="preserve">6.7 </w:t>
      </w:r>
      <w:r w:rsidRPr="00B705A6">
        <w:t>Physicochemical properties</w:t>
      </w:r>
    </w:p>
    <w:p w:rsidR="00D61E72" w:rsidRPr="003E4B57" w:rsidRDefault="00D61E72" w:rsidP="00D61E72">
      <w:pPr>
        <w:pStyle w:val="CLDNormal"/>
      </w:pPr>
      <w:r w:rsidRPr="003E4B57">
        <w:t xml:space="preserve">Crisaborole is described chemically as 5-(4-cyanophenoxy)-1,3-dihydro-1-hydroxy-[2,1]-benzoxaborole. </w:t>
      </w:r>
      <w:r>
        <w:t xml:space="preserve"> </w:t>
      </w:r>
      <w:r w:rsidRPr="003E4B57">
        <w:t>The empirical formula is C</w:t>
      </w:r>
      <w:r w:rsidRPr="003E4B57">
        <w:rPr>
          <w:vertAlign w:val="subscript"/>
        </w:rPr>
        <w:t>14</w:t>
      </w:r>
      <w:r w:rsidRPr="003E4B57">
        <w:t>H</w:t>
      </w:r>
      <w:r w:rsidRPr="003E4B57">
        <w:rPr>
          <w:vertAlign w:val="subscript"/>
        </w:rPr>
        <w:t>10</w:t>
      </w:r>
      <w:r w:rsidRPr="003E4B57">
        <w:t>BNO</w:t>
      </w:r>
      <w:r w:rsidRPr="003E4B57">
        <w:rPr>
          <w:vertAlign w:val="subscript"/>
        </w:rPr>
        <w:t>3</w:t>
      </w:r>
      <w:r w:rsidRPr="003E4B57">
        <w:t xml:space="preserve"> and the molecular weight is 251.1</w:t>
      </w:r>
      <w:r>
        <w:t> </w:t>
      </w:r>
      <w:r w:rsidRPr="003E4B57">
        <w:t>g/mol.</w:t>
      </w:r>
    </w:p>
    <w:p w:rsidR="00D61E72" w:rsidRPr="00E51679" w:rsidRDefault="00D61E72" w:rsidP="00D61E72">
      <w:pPr>
        <w:pStyle w:val="CLDNormal"/>
      </w:pPr>
      <w:r w:rsidRPr="003E4B57">
        <w:t>Crisaborole drug substance is freely soluble in common organic solvents such as isopropyl alcohol and propylene glycol, and insoluble in water.</w:t>
      </w:r>
    </w:p>
    <w:p w:rsidR="00D61E72" w:rsidRPr="003E4B57" w:rsidRDefault="00D61E72" w:rsidP="00D61E72">
      <w:pPr>
        <w:pStyle w:val="CLDHeading3"/>
      </w:pPr>
      <w:r w:rsidRPr="003E4B57">
        <w:t>Chemical structure</w:t>
      </w:r>
    </w:p>
    <w:p w:rsidR="00D61E72" w:rsidRPr="003E4B57" w:rsidRDefault="00D61E72" w:rsidP="00D61E72">
      <w:pPr>
        <w:pStyle w:val="CLDNormal"/>
      </w:pPr>
      <w:r w:rsidRPr="003E4B57">
        <w:t>The structura</w:t>
      </w:r>
      <w:r>
        <w:t>l formula is represented below:</w:t>
      </w:r>
    </w:p>
    <w:p w:rsidR="00D61E72" w:rsidRPr="003E4B57" w:rsidRDefault="00D61E72" w:rsidP="00D61E72">
      <w:pPr>
        <w:pStyle w:val="FigureHolder"/>
        <w:spacing w:before="0" w:after="0" w:line="240" w:lineRule="auto"/>
        <w:rPr>
          <w:noProof/>
        </w:rPr>
      </w:pPr>
    </w:p>
    <w:tbl>
      <w:tblPr>
        <w:tblW w:w="0" w:type="auto"/>
        <w:tblInd w:w="817" w:type="dxa"/>
        <w:tblLook w:val="04A0" w:firstRow="1" w:lastRow="0" w:firstColumn="1" w:lastColumn="0" w:noHBand="0" w:noVBand="1"/>
      </w:tblPr>
      <w:tblGrid>
        <w:gridCol w:w="2977"/>
      </w:tblGrid>
      <w:tr w:rsidR="00D61E72" w:rsidTr="00CE156F">
        <w:trPr>
          <w:trHeight w:val="1129"/>
        </w:trPr>
        <w:tc>
          <w:tcPr>
            <w:tcW w:w="2977" w:type="dxa"/>
            <w:shd w:val="clear" w:color="auto" w:fill="auto"/>
          </w:tcPr>
          <w:p w:rsidR="00D61E72" w:rsidRPr="00CE156F" w:rsidRDefault="00795421" w:rsidP="00CE156F">
            <w:pPr>
              <w:pStyle w:val="Heading3"/>
              <w:rPr>
                <w:rFonts w:ascii="Calibri" w:eastAsia="Calibri" w:hAnsi="Calibri"/>
                <w:sz w:val="22"/>
                <w:szCs w:val="22"/>
                <w:highlight w:val="cyan"/>
              </w:rPr>
            </w:pPr>
            <w:r>
              <w:rPr>
                <w:rFonts w:ascii="Calibri" w:eastAsia="Calibri" w:hAnsi="Calibri"/>
                <w:noProof/>
                <w:sz w:val="22"/>
                <w:szCs w:val="22"/>
                <w:lang w:val="en-AU"/>
              </w:rPr>
              <w:pict>
                <v:shape id="Picture 2" o:spid="_x0000_i1027" type="#_x0000_t75" style="width:119.6pt;height:52.6pt;visibility:visible">
                  <v:imagedata r:id="rId10" o:title=""/>
                </v:shape>
              </w:pict>
            </w:r>
          </w:p>
        </w:tc>
      </w:tr>
    </w:tbl>
    <w:p w:rsidR="00D61E72" w:rsidRDefault="00D61E72" w:rsidP="00D61E72">
      <w:pPr>
        <w:pStyle w:val="CLDHeading3"/>
        <w:rPr>
          <w:caps/>
        </w:rPr>
      </w:pPr>
      <w:r w:rsidRPr="00F8548C">
        <w:t xml:space="preserve">CAS number </w:t>
      </w:r>
    </w:p>
    <w:p w:rsidR="00D61E72" w:rsidRPr="006B7961" w:rsidRDefault="00D61E72" w:rsidP="00D61E72">
      <w:pPr>
        <w:pStyle w:val="Paragraph"/>
        <w:tabs>
          <w:tab w:val="left" w:pos="0"/>
        </w:tabs>
        <w:spacing w:after="0" w:line="276" w:lineRule="auto"/>
        <w:rPr>
          <w:rFonts w:eastAsia="Cambria"/>
        </w:rPr>
      </w:pPr>
      <w:r w:rsidRPr="006B7961">
        <w:rPr>
          <w:rFonts w:eastAsia="Cambria"/>
        </w:rPr>
        <w:t>906673-24-3</w:t>
      </w:r>
    </w:p>
    <w:p w:rsidR="00D61E72" w:rsidRPr="003E4B57" w:rsidRDefault="00D61E72" w:rsidP="00D61E72">
      <w:pPr>
        <w:pStyle w:val="CLDHeading1"/>
        <w:numPr>
          <w:ilvl w:val="0"/>
          <w:numId w:val="32"/>
        </w:numPr>
      </w:pPr>
      <w:r w:rsidRPr="003E4B57">
        <w:t>Medicine schedule (Poisons Standard)</w:t>
      </w:r>
    </w:p>
    <w:p w:rsidR="00D61E72" w:rsidRPr="003E4B57" w:rsidRDefault="00D61E72" w:rsidP="00D61E72">
      <w:pPr>
        <w:pStyle w:val="CLDNormal"/>
      </w:pPr>
      <w:r w:rsidRPr="003E4B57">
        <w:t>Prescription Only Medicine (S4)</w:t>
      </w:r>
    </w:p>
    <w:p w:rsidR="00D61E72" w:rsidRPr="003E4B57" w:rsidRDefault="00D61E72" w:rsidP="00D61E72">
      <w:pPr>
        <w:pStyle w:val="CLDHeading1"/>
        <w:numPr>
          <w:ilvl w:val="0"/>
          <w:numId w:val="32"/>
        </w:numPr>
      </w:pPr>
      <w:r w:rsidRPr="003E4B57">
        <w:t>Sponsor</w:t>
      </w:r>
    </w:p>
    <w:p w:rsidR="00D61E72" w:rsidRPr="003E4B57" w:rsidRDefault="00D61E72" w:rsidP="00D61E72">
      <w:pPr>
        <w:pStyle w:val="PITableTextListText"/>
        <w:spacing w:before="0" w:after="0"/>
      </w:pPr>
      <w:r>
        <w:t>Pfizer Australia Pty Ltd</w:t>
      </w:r>
    </w:p>
    <w:p w:rsidR="00D61E72" w:rsidRDefault="00D61E72" w:rsidP="00D61E72">
      <w:pPr>
        <w:pStyle w:val="PINormal"/>
      </w:pPr>
      <w:r w:rsidRPr="00A779F5">
        <w:t>Level 17, 151 Clarence Street</w:t>
      </w:r>
    </w:p>
    <w:p w:rsidR="00D61E72" w:rsidRDefault="00D61E72" w:rsidP="00D61E72">
      <w:pPr>
        <w:pStyle w:val="PINormal"/>
      </w:pPr>
      <w:r w:rsidRPr="00A779F5">
        <w:t>Sydney NSW 2000</w:t>
      </w:r>
    </w:p>
    <w:p w:rsidR="00D61E72" w:rsidRDefault="00D61E72" w:rsidP="00D61E72">
      <w:pPr>
        <w:pStyle w:val="PINormal"/>
      </w:pPr>
      <w:r w:rsidRPr="00A779F5">
        <w:t>Toll Free Number: 1800 675 229</w:t>
      </w:r>
    </w:p>
    <w:p w:rsidR="00D61E72" w:rsidRDefault="009305C5" w:rsidP="00D61E72">
      <w:pPr>
        <w:pStyle w:val="PITableTextListText"/>
        <w:spacing w:before="0" w:after="0"/>
        <w:rPr>
          <w:color w:val="auto"/>
        </w:rPr>
      </w:pPr>
      <w:hyperlink r:id="rId11" w:history="1">
        <w:r w:rsidR="00D61E72" w:rsidRPr="00D61E72">
          <w:rPr>
            <w:rStyle w:val="Hyperlink"/>
          </w:rPr>
          <w:t>www.pfizer.com.au</w:t>
        </w:r>
      </w:hyperlink>
    </w:p>
    <w:p w:rsidR="00D61E72" w:rsidRPr="003E4B57" w:rsidRDefault="00D61E72" w:rsidP="00D61E72">
      <w:pPr>
        <w:pStyle w:val="CLDHeading1"/>
        <w:numPr>
          <w:ilvl w:val="0"/>
          <w:numId w:val="32"/>
        </w:numPr>
      </w:pPr>
      <w:r w:rsidRPr="003E4B57">
        <w:t xml:space="preserve">Date of first approval </w:t>
      </w:r>
    </w:p>
    <w:p w:rsidR="00D61E72" w:rsidRPr="00552B45" w:rsidRDefault="00D61E72" w:rsidP="00D61E72">
      <w:pPr>
        <w:pStyle w:val="CLDNormal"/>
      </w:pPr>
      <w:r>
        <w:t>20 February 2019</w:t>
      </w:r>
      <w:r w:rsidRPr="00552B45">
        <w:t>.</w:t>
      </w:r>
    </w:p>
    <w:p w:rsidR="00D61E72" w:rsidRPr="003E4B57" w:rsidRDefault="00D61E72" w:rsidP="00D61E72">
      <w:pPr>
        <w:pStyle w:val="CLDHeading1"/>
        <w:numPr>
          <w:ilvl w:val="0"/>
          <w:numId w:val="32"/>
        </w:numPr>
      </w:pPr>
      <w:r>
        <w:t xml:space="preserve"> </w:t>
      </w:r>
      <w:r w:rsidRPr="003E4B57">
        <w:t>Date of revision</w:t>
      </w:r>
    </w:p>
    <w:p w:rsidR="00D61E72" w:rsidRPr="00D61E72" w:rsidRDefault="00D61E72" w:rsidP="00D61E72">
      <w:pPr>
        <w:pStyle w:val="CLDNormal"/>
      </w:pPr>
      <w:r w:rsidRPr="00AB36B9">
        <w:t>Not applicable</w:t>
      </w:r>
      <w:r>
        <w:t>.</w:t>
      </w:r>
    </w:p>
    <w:p w:rsidR="00D61E72" w:rsidRPr="006B7961" w:rsidRDefault="00D61E72" w:rsidP="00D61E72"/>
    <w:p w:rsidR="00D61E72" w:rsidRPr="00FB6006" w:rsidRDefault="00D61E72" w:rsidP="00D61E72">
      <w:r w:rsidRPr="001918E6">
        <w:t>TM Trade Mark</w:t>
      </w:r>
    </w:p>
    <w:p w:rsidR="00D61E72" w:rsidRPr="003E4B57" w:rsidRDefault="00D61E72" w:rsidP="00D61E72">
      <w:pPr>
        <w:spacing w:after="120"/>
      </w:pPr>
    </w:p>
    <w:sectPr w:rsidR="00D61E72" w:rsidRPr="003E4B57" w:rsidSect="00C47362">
      <w:headerReference w:type="even" r:id="rId12"/>
      <w:headerReference w:type="default" r:id="rId13"/>
      <w:footerReference w:type="even" r:id="rId14"/>
      <w:footerReference w:type="default" r:id="rId15"/>
      <w:headerReference w:type="first" r:id="rId16"/>
      <w:footerReference w:type="first" r:id="rId17"/>
      <w:pgSz w:w="11907" w:h="16840" w:code="9"/>
      <w:pgMar w:top="1247" w:right="1247" w:bottom="1134" w:left="1247" w:header="873"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6F" w:rsidRDefault="00CE156F">
      <w:r>
        <w:separator/>
      </w:r>
    </w:p>
  </w:endnote>
  <w:endnote w:type="continuationSeparator" w:id="0">
    <w:p w:rsidR="00CE156F" w:rsidRDefault="00CE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83" w:usb1="09070000" w:usb2="00000010" w:usb3="00000000" w:csb0="000A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C5" w:rsidRDefault="0093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6EC" w:rsidRDefault="00A106EC">
    <w:pPr>
      <w:pStyle w:val="Footer"/>
      <w:tabs>
        <w:tab w:val="clear" w:pos="8306"/>
        <w:tab w:val="right" w:pos="9072"/>
      </w:tabs>
      <w:rPr>
        <w:rFonts w:ascii="Arial" w:hAnsi="Arial" w:cs="Arial"/>
        <w:sz w:val="16"/>
        <w:szCs w:val="16"/>
      </w:rPr>
    </w:pPr>
  </w:p>
  <w:p w:rsidR="00D61E72" w:rsidRDefault="009305C5" w:rsidP="00D61E72">
    <w:pPr>
      <w:pStyle w:val="Footer"/>
      <w:tabs>
        <w:tab w:val="clear" w:pos="4153"/>
        <w:tab w:val="left" w:pos="0"/>
        <w:tab w:val="left" w:pos="6663"/>
      </w:tabs>
      <w:jc w:val="right"/>
    </w:pPr>
    <w:r>
      <w:rPr>
        <w:rFonts w:ascii="Arial" w:hAnsi="Arial" w:cs="Arial"/>
        <w:caps/>
        <w:noProof/>
        <w:sz w:val="16"/>
        <w:szCs w:val="16"/>
      </w:rPr>
      <w:pict>
        <v:line id="_x0000_s2052" style="position:absolute;left:0;text-align:left;z-index:251657728" from="4.7pt,-3.65pt" to="458.3pt,-3.65pt"/>
      </w:pict>
    </w:r>
    <w:r w:rsidR="00D61E72">
      <w:t>Version: pfpstaqo10219</w:t>
    </w:r>
    <w:r w:rsidR="00D61E72">
      <w:tab/>
      <w:t xml:space="preserve">Supersedes: Not Applicable </w:t>
    </w:r>
  </w:p>
  <w:p w:rsidR="00A106EC" w:rsidRDefault="00A106EC">
    <w:pPr>
      <w:pStyle w:val="Footer"/>
      <w:tabs>
        <w:tab w:val="clear" w:pos="4153"/>
        <w:tab w:val="clear" w:pos="8306"/>
        <w:tab w:val="right" w:pos="9214"/>
      </w:tabs>
      <w:rPr>
        <w:rFonts w:ascii="Arial" w:hAnsi="Arial" w:cs="Arial"/>
        <w:sz w:val="18"/>
        <w:szCs w:val="18"/>
      </w:rPr>
    </w:pPr>
  </w:p>
  <w:p w:rsidR="00A106EC" w:rsidRDefault="00A106EC">
    <w:pPr>
      <w:pStyle w:val="Footer"/>
      <w:tabs>
        <w:tab w:val="clear" w:pos="4153"/>
        <w:tab w:val="clear" w:pos="8306"/>
        <w:tab w:val="right" w:pos="9214"/>
      </w:tabs>
      <w:rPr>
        <w:rFonts w:ascii="Arial" w:hAnsi="Arial" w:cs="Arial"/>
        <w:sz w:val="16"/>
        <w:szCs w:val="16"/>
      </w:rPr>
    </w:pPr>
    <w:r>
      <w:rPr>
        <w:rFonts w:ascii="Arial" w:hAnsi="Arial" w:cs="Arial"/>
        <w:sz w:val="18"/>
        <w:szCs w:val="18"/>
      </w:rPr>
      <w:tab/>
    </w:r>
    <w:r>
      <w:rPr>
        <w:lang w:val="en-US"/>
      </w:rPr>
      <w:t xml:space="preserve">Page </w:t>
    </w:r>
    <w:r>
      <w:rPr>
        <w:lang w:val="en-US"/>
      </w:rPr>
      <w:fldChar w:fldCharType="begin"/>
    </w:r>
    <w:r>
      <w:rPr>
        <w:lang w:val="en-US"/>
      </w:rPr>
      <w:instrText xml:space="preserve"> PAGE </w:instrText>
    </w:r>
    <w:r>
      <w:rPr>
        <w:lang w:val="en-US"/>
      </w:rPr>
      <w:fldChar w:fldCharType="separate"/>
    </w:r>
    <w:r w:rsidR="009305C5">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9305C5">
      <w:rPr>
        <w:noProof/>
        <w:lang w:val="en-US"/>
      </w:rPr>
      <w:t>12</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C5" w:rsidRDefault="00930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6F" w:rsidRDefault="00CE156F">
      <w:r>
        <w:separator/>
      </w:r>
    </w:p>
  </w:footnote>
  <w:footnote w:type="continuationSeparator" w:id="0">
    <w:p w:rsidR="00CE156F" w:rsidRDefault="00CE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C5" w:rsidRDefault="00930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4F2E0"/>
      <w:tblLook w:val="04A0" w:firstRow="1" w:lastRow="0" w:firstColumn="1" w:lastColumn="0" w:noHBand="0" w:noVBand="1"/>
    </w:tblPr>
    <w:tblGrid>
      <w:gridCol w:w="8720"/>
    </w:tblGrid>
    <w:tr w:rsidR="009305C5" w:rsidRPr="002E7F61" w:rsidTr="009305C5">
      <w:trPr>
        <w:trHeight w:val="590"/>
      </w:trPr>
      <w:tc>
        <w:tcPr>
          <w:tcW w:w="8720" w:type="dxa"/>
          <w:shd w:val="clear" w:color="auto" w:fill="E4F2E0"/>
        </w:tcPr>
        <w:p w:rsidR="009305C5" w:rsidRPr="009305C5" w:rsidRDefault="009305C5" w:rsidP="009305C5">
          <w:pPr>
            <w:pStyle w:val="Footer"/>
            <w:rPr>
              <w:rFonts w:ascii="Calibri" w:eastAsia="Calibri" w:hAnsi="Calibri"/>
              <w:b/>
              <w:sz w:val="18"/>
              <w:szCs w:val="18"/>
            </w:rPr>
          </w:pPr>
          <w:r w:rsidRPr="009305C5">
            <w:rPr>
              <w:rFonts w:ascii="Calibri" w:eastAsia="Calibri" w:hAnsi="Calibri"/>
              <w:b/>
              <w:sz w:val="18"/>
              <w:szCs w:val="18"/>
            </w:rPr>
            <w:t>Attachment 1: Product AusPAR Staquis Crisaborole Pfizer Australia Pty Ltd PM-2017-03748-1-1 FINAL 14 August 2019. This is the Product Information that was approved with the submission described in this AusPAR. It may have been superseded. For the most recent PI, please refer to the TGA website at &lt;</w:t>
          </w:r>
          <w:hyperlink r:id="rId1" w:history="1">
            <w:r w:rsidRPr="009305C5">
              <w:rPr>
                <w:rStyle w:val="Hyperlink"/>
                <w:rFonts w:ascii="Calibri" w:eastAsia="Calibri" w:hAnsi="Calibri"/>
                <w:b/>
                <w:sz w:val="18"/>
                <w:szCs w:val="18"/>
              </w:rPr>
              <w:t>https://www.tga.gov.au/product-information-pi</w:t>
            </w:r>
          </w:hyperlink>
          <w:r w:rsidRPr="009305C5">
            <w:rPr>
              <w:rFonts w:ascii="Calibri" w:eastAsia="Calibri" w:hAnsi="Calibri"/>
              <w:b/>
              <w:sz w:val="18"/>
              <w:szCs w:val="18"/>
              <w:u w:val="single"/>
            </w:rPr>
            <w:t>&gt;</w:t>
          </w:r>
        </w:p>
      </w:tc>
    </w:tr>
  </w:tbl>
  <w:p w:rsidR="009305C5" w:rsidRDefault="009305C5" w:rsidP="00930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C5" w:rsidRDefault="00930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EE5"/>
    <w:multiLevelType w:val="hybridMultilevel"/>
    <w:tmpl w:val="FD6A7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7617"/>
    <w:multiLevelType w:val="hybridMultilevel"/>
    <w:tmpl w:val="B7F61154"/>
    <w:lvl w:ilvl="0" w:tplc="1D768B20">
      <w:start w:val="1"/>
      <w:numFmt w:val="decimal"/>
      <w:lvlText w:val="%1."/>
      <w:lvlJc w:val="left"/>
      <w:pPr>
        <w:ind w:left="637" w:hanging="360"/>
      </w:pPr>
      <w:rPr>
        <w:rFonts w:hint="default"/>
      </w:rPr>
    </w:lvl>
    <w:lvl w:ilvl="1" w:tplc="08130019" w:tentative="1">
      <w:start w:val="1"/>
      <w:numFmt w:val="lowerLetter"/>
      <w:lvlText w:val="%2."/>
      <w:lvlJc w:val="left"/>
      <w:pPr>
        <w:ind w:left="1357" w:hanging="360"/>
      </w:pPr>
    </w:lvl>
    <w:lvl w:ilvl="2" w:tplc="0813001B" w:tentative="1">
      <w:start w:val="1"/>
      <w:numFmt w:val="lowerRoman"/>
      <w:lvlText w:val="%3."/>
      <w:lvlJc w:val="right"/>
      <w:pPr>
        <w:ind w:left="2077" w:hanging="180"/>
      </w:pPr>
    </w:lvl>
    <w:lvl w:ilvl="3" w:tplc="0813000F" w:tentative="1">
      <w:start w:val="1"/>
      <w:numFmt w:val="decimal"/>
      <w:lvlText w:val="%4."/>
      <w:lvlJc w:val="left"/>
      <w:pPr>
        <w:ind w:left="2797" w:hanging="360"/>
      </w:pPr>
    </w:lvl>
    <w:lvl w:ilvl="4" w:tplc="08130019" w:tentative="1">
      <w:start w:val="1"/>
      <w:numFmt w:val="lowerLetter"/>
      <w:lvlText w:val="%5."/>
      <w:lvlJc w:val="left"/>
      <w:pPr>
        <w:ind w:left="3517" w:hanging="360"/>
      </w:pPr>
    </w:lvl>
    <w:lvl w:ilvl="5" w:tplc="0813001B" w:tentative="1">
      <w:start w:val="1"/>
      <w:numFmt w:val="lowerRoman"/>
      <w:lvlText w:val="%6."/>
      <w:lvlJc w:val="right"/>
      <w:pPr>
        <w:ind w:left="4237" w:hanging="180"/>
      </w:pPr>
    </w:lvl>
    <w:lvl w:ilvl="6" w:tplc="0813000F" w:tentative="1">
      <w:start w:val="1"/>
      <w:numFmt w:val="decimal"/>
      <w:lvlText w:val="%7."/>
      <w:lvlJc w:val="left"/>
      <w:pPr>
        <w:ind w:left="4957" w:hanging="360"/>
      </w:pPr>
    </w:lvl>
    <w:lvl w:ilvl="7" w:tplc="08130019" w:tentative="1">
      <w:start w:val="1"/>
      <w:numFmt w:val="lowerLetter"/>
      <w:lvlText w:val="%8."/>
      <w:lvlJc w:val="left"/>
      <w:pPr>
        <w:ind w:left="5677" w:hanging="360"/>
      </w:pPr>
    </w:lvl>
    <w:lvl w:ilvl="8" w:tplc="0813001B" w:tentative="1">
      <w:start w:val="1"/>
      <w:numFmt w:val="lowerRoman"/>
      <w:lvlText w:val="%9."/>
      <w:lvlJc w:val="right"/>
      <w:pPr>
        <w:ind w:left="6397" w:hanging="180"/>
      </w:pPr>
    </w:lvl>
  </w:abstractNum>
  <w:abstractNum w:abstractNumId="3" w15:restartNumberingAfterBreak="0">
    <w:nsid w:val="1A735EF2"/>
    <w:multiLevelType w:val="singleLevel"/>
    <w:tmpl w:val="4EFEC0B6"/>
    <w:lvl w:ilvl="0">
      <w:start w:val="12"/>
      <w:numFmt w:val="decimal"/>
      <w:lvlText w:val="%1."/>
      <w:legacy w:legacy="1" w:legacySpace="0" w:legacyIndent="720"/>
      <w:lvlJc w:val="left"/>
      <w:pPr>
        <w:ind w:left="720" w:hanging="720"/>
      </w:pPr>
    </w:lvl>
  </w:abstractNum>
  <w:abstractNum w:abstractNumId="4" w15:restartNumberingAfterBreak="0">
    <w:nsid w:val="228639F3"/>
    <w:multiLevelType w:val="hybridMultilevel"/>
    <w:tmpl w:val="B5C6EC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61B07"/>
    <w:multiLevelType w:val="hybridMultilevel"/>
    <w:tmpl w:val="B956B57E"/>
    <w:lvl w:ilvl="0" w:tplc="62EECDFC">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C791E"/>
    <w:multiLevelType w:val="hybridMultilevel"/>
    <w:tmpl w:val="DC4E304E"/>
    <w:lvl w:ilvl="0" w:tplc="AA620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874AF"/>
    <w:multiLevelType w:val="multilevel"/>
    <w:tmpl w:val="F3825976"/>
    <w:lvl w:ilvl="0">
      <w:start w:val="1"/>
      <w:numFmt w:val="decimal"/>
      <w:pStyle w:val="Heading1"/>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4AA96943"/>
    <w:multiLevelType w:val="hybridMultilevel"/>
    <w:tmpl w:val="46B4D7E0"/>
    <w:lvl w:ilvl="0" w:tplc="79B21BF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B479E"/>
    <w:multiLevelType w:val="hybridMultilevel"/>
    <w:tmpl w:val="670CC6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0F2E1D"/>
    <w:multiLevelType w:val="hybridMultilevel"/>
    <w:tmpl w:val="85E2B9B8"/>
    <w:lvl w:ilvl="0" w:tplc="0813000F">
      <w:start w:val="1"/>
      <w:numFmt w:val="decimal"/>
      <w:lvlText w:val="%1."/>
      <w:lvlJc w:val="left"/>
      <w:pPr>
        <w:ind w:left="997" w:hanging="360"/>
      </w:pPr>
    </w:lvl>
    <w:lvl w:ilvl="1" w:tplc="08130019" w:tentative="1">
      <w:start w:val="1"/>
      <w:numFmt w:val="lowerLetter"/>
      <w:lvlText w:val="%2."/>
      <w:lvlJc w:val="left"/>
      <w:pPr>
        <w:ind w:left="1717" w:hanging="360"/>
      </w:pPr>
    </w:lvl>
    <w:lvl w:ilvl="2" w:tplc="0813001B" w:tentative="1">
      <w:start w:val="1"/>
      <w:numFmt w:val="lowerRoman"/>
      <w:lvlText w:val="%3."/>
      <w:lvlJc w:val="right"/>
      <w:pPr>
        <w:ind w:left="2437" w:hanging="180"/>
      </w:pPr>
    </w:lvl>
    <w:lvl w:ilvl="3" w:tplc="0813000F" w:tentative="1">
      <w:start w:val="1"/>
      <w:numFmt w:val="decimal"/>
      <w:lvlText w:val="%4."/>
      <w:lvlJc w:val="left"/>
      <w:pPr>
        <w:ind w:left="3157" w:hanging="360"/>
      </w:pPr>
    </w:lvl>
    <w:lvl w:ilvl="4" w:tplc="08130019" w:tentative="1">
      <w:start w:val="1"/>
      <w:numFmt w:val="lowerLetter"/>
      <w:lvlText w:val="%5."/>
      <w:lvlJc w:val="left"/>
      <w:pPr>
        <w:ind w:left="3877" w:hanging="360"/>
      </w:pPr>
    </w:lvl>
    <w:lvl w:ilvl="5" w:tplc="0813001B" w:tentative="1">
      <w:start w:val="1"/>
      <w:numFmt w:val="lowerRoman"/>
      <w:lvlText w:val="%6."/>
      <w:lvlJc w:val="right"/>
      <w:pPr>
        <w:ind w:left="4597" w:hanging="180"/>
      </w:pPr>
    </w:lvl>
    <w:lvl w:ilvl="6" w:tplc="0813000F" w:tentative="1">
      <w:start w:val="1"/>
      <w:numFmt w:val="decimal"/>
      <w:lvlText w:val="%7."/>
      <w:lvlJc w:val="left"/>
      <w:pPr>
        <w:ind w:left="5317" w:hanging="360"/>
      </w:pPr>
    </w:lvl>
    <w:lvl w:ilvl="7" w:tplc="08130019" w:tentative="1">
      <w:start w:val="1"/>
      <w:numFmt w:val="lowerLetter"/>
      <w:lvlText w:val="%8."/>
      <w:lvlJc w:val="left"/>
      <w:pPr>
        <w:ind w:left="6037" w:hanging="360"/>
      </w:pPr>
    </w:lvl>
    <w:lvl w:ilvl="8" w:tplc="0813001B" w:tentative="1">
      <w:start w:val="1"/>
      <w:numFmt w:val="lowerRoman"/>
      <w:lvlText w:val="%9."/>
      <w:lvlJc w:val="right"/>
      <w:pPr>
        <w:ind w:left="6757" w:hanging="180"/>
      </w:pPr>
    </w:lvl>
  </w:abstractNum>
  <w:abstractNum w:abstractNumId="11" w15:restartNumberingAfterBreak="0">
    <w:nsid w:val="4F703229"/>
    <w:multiLevelType w:val="hybridMultilevel"/>
    <w:tmpl w:val="08146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FF464E"/>
    <w:multiLevelType w:val="hybridMultilevel"/>
    <w:tmpl w:val="63BEC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466F5D"/>
    <w:multiLevelType w:val="hybridMultilevel"/>
    <w:tmpl w:val="49AA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3462D7"/>
    <w:multiLevelType w:val="hybridMultilevel"/>
    <w:tmpl w:val="41641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ED5B83"/>
    <w:multiLevelType w:val="hybridMultilevel"/>
    <w:tmpl w:val="B2E4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5"/>
  </w:num>
  <w:num w:numId="5">
    <w:abstractNumId w:val="4"/>
  </w:num>
  <w:num w:numId="6">
    <w:abstractNumId w:val="13"/>
  </w:num>
  <w:num w:numId="7">
    <w:abstractNumId w:val="11"/>
  </w:num>
  <w:num w:numId="8">
    <w:abstractNumId w:val="15"/>
  </w:num>
  <w:num w:numId="9">
    <w:abstractNumId w:val="8"/>
  </w:num>
  <w:num w:numId="10">
    <w:abstractNumId w:val="1"/>
  </w:num>
  <w:num w:numId="11">
    <w:abstractNumId w:val="10"/>
  </w:num>
  <w:num w:numId="12">
    <w:abstractNumId w:val="2"/>
  </w:num>
  <w:num w:numId="13">
    <w:abstractNumId w:val="6"/>
  </w:num>
  <w:num w:numId="14">
    <w:abstractNumId w:val="6"/>
  </w:num>
  <w:num w:numId="15">
    <w:abstractNumId w:val="12"/>
  </w:num>
  <w:num w:numId="16">
    <w:abstractNumId w:val="6"/>
  </w:num>
  <w:num w:numId="17">
    <w:abstractNumId w:val="6"/>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num>
  <w:num w:numId="22">
    <w:abstractNumId w:val="6"/>
    <w:lvlOverride w:ilvl="0">
      <w:startOverride w:val="7"/>
    </w:lvlOverride>
  </w:num>
  <w:num w:numId="23">
    <w:abstractNumId w:val="7"/>
  </w:num>
  <w:num w:numId="24">
    <w:abstractNumId w:val="7"/>
  </w:num>
  <w:num w:numId="25">
    <w:abstractNumId w:val="7"/>
    <w:lvlOverride w:ilvl="0">
      <w:startOverride w:val="7"/>
    </w:lvlOverride>
  </w:num>
  <w:num w:numId="26">
    <w:abstractNumId w:val="7"/>
  </w:num>
  <w:num w:numId="27">
    <w:abstractNumId w:val="7"/>
  </w:num>
  <w:num w:numId="28">
    <w:abstractNumId w:val="7"/>
  </w:num>
  <w:num w:numId="29">
    <w:abstractNumId w:val="7"/>
  </w:num>
  <w:num w:numId="30">
    <w:abstractNumId w:val="7"/>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56A"/>
    <w:rsid w:val="00002C42"/>
    <w:rsid w:val="00010B9C"/>
    <w:rsid w:val="000122FB"/>
    <w:rsid w:val="00012DEB"/>
    <w:rsid w:val="00014960"/>
    <w:rsid w:val="00015236"/>
    <w:rsid w:val="0001560A"/>
    <w:rsid w:val="00020FBC"/>
    <w:rsid w:val="00021969"/>
    <w:rsid w:val="00027B05"/>
    <w:rsid w:val="00030826"/>
    <w:rsid w:val="00031FF7"/>
    <w:rsid w:val="00034D83"/>
    <w:rsid w:val="000360BA"/>
    <w:rsid w:val="0004029F"/>
    <w:rsid w:val="00040474"/>
    <w:rsid w:val="00041664"/>
    <w:rsid w:val="00043B0F"/>
    <w:rsid w:val="00045243"/>
    <w:rsid w:val="00045306"/>
    <w:rsid w:val="00047F6C"/>
    <w:rsid w:val="00051A35"/>
    <w:rsid w:val="00065D37"/>
    <w:rsid w:val="000715D2"/>
    <w:rsid w:val="00072D8E"/>
    <w:rsid w:val="00075F1F"/>
    <w:rsid w:val="00077EBE"/>
    <w:rsid w:val="00081069"/>
    <w:rsid w:val="00081D2D"/>
    <w:rsid w:val="000837C1"/>
    <w:rsid w:val="000843E6"/>
    <w:rsid w:val="00084DBD"/>
    <w:rsid w:val="0008537D"/>
    <w:rsid w:val="00086932"/>
    <w:rsid w:val="00087799"/>
    <w:rsid w:val="000877DF"/>
    <w:rsid w:val="0009326A"/>
    <w:rsid w:val="00093B44"/>
    <w:rsid w:val="00096B2C"/>
    <w:rsid w:val="00096C96"/>
    <w:rsid w:val="00097CE3"/>
    <w:rsid w:val="000A04A4"/>
    <w:rsid w:val="000A1F41"/>
    <w:rsid w:val="000A3AB7"/>
    <w:rsid w:val="000A7FF8"/>
    <w:rsid w:val="000B02B3"/>
    <w:rsid w:val="000B530C"/>
    <w:rsid w:val="000B5376"/>
    <w:rsid w:val="000B5C04"/>
    <w:rsid w:val="000C435A"/>
    <w:rsid w:val="000C4792"/>
    <w:rsid w:val="000C758C"/>
    <w:rsid w:val="000D00B2"/>
    <w:rsid w:val="000D22FD"/>
    <w:rsid w:val="000D630E"/>
    <w:rsid w:val="000D63B9"/>
    <w:rsid w:val="000E72C6"/>
    <w:rsid w:val="000F2F06"/>
    <w:rsid w:val="000F316F"/>
    <w:rsid w:val="00100F28"/>
    <w:rsid w:val="001064AA"/>
    <w:rsid w:val="0010733E"/>
    <w:rsid w:val="0011021E"/>
    <w:rsid w:val="00125669"/>
    <w:rsid w:val="00126277"/>
    <w:rsid w:val="00133065"/>
    <w:rsid w:val="00133683"/>
    <w:rsid w:val="00134FDB"/>
    <w:rsid w:val="00140C85"/>
    <w:rsid w:val="00141B0B"/>
    <w:rsid w:val="001469E1"/>
    <w:rsid w:val="0015106D"/>
    <w:rsid w:val="00163394"/>
    <w:rsid w:val="0016347E"/>
    <w:rsid w:val="00166AB2"/>
    <w:rsid w:val="0017022C"/>
    <w:rsid w:val="00173A20"/>
    <w:rsid w:val="001744C7"/>
    <w:rsid w:val="0017703B"/>
    <w:rsid w:val="00177987"/>
    <w:rsid w:val="001821B3"/>
    <w:rsid w:val="00187C77"/>
    <w:rsid w:val="001918FF"/>
    <w:rsid w:val="00194B89"/>
    <w:rsid w:val="00196978"/>
    <w:rsid w:val="001A402B"/>
    <w:rsid w:val="001B00EE"/>
    <w:rsid w:val="001B0D17"/>
    <w:rsid w:val="001B284D"/>
    <w:rsid w:val="001B5CE5"/>
    <w:rsid w:val="001B6769"/>
    <w:rsid w:val="001B6E25"/>
    <w:rsid w:val="001C3193"/>
    <w:rsid w:val="001C5ADE"/>
    <w:rsid w:val="001D3339"/>
    <w:rsid w:val="001D418D"/>
    <w:rsid w:val="001D7DB8"/>
    <w:rsid w:val="001E0A64"/>
    <w:rsid w:val="001E18F9"/>
    <w:rsid w:val="001E21E0"/>
    <w:rsid w:val="001E2FDC"/>
    <w:rsid w:val="001E313A"/>
    <w:rsid w:val="001E4B65"/>
    <w:rsid w:val="001F0699"/>
    <w:rsid w:val="001F2DC3"/>
    <w:rsid w:val="001F3DBA"/>
    <w:rsid w:val="001F49CA"/>
    <w:rsid w:val="001F7505"/>
    <w:rsid w:val="001F7859"/>
    <w:rsid w:val="0020055D"/>
    <w:rsid w:val="00204EFD"/>
    <w:rsid w:val="0020769C"/>
    <w:rsid w:val="00210B45"/>
    <w:rsid w:val="00230DE1"/>
    <w:rsid w:val="00230EC3"/>
    <w:rsid w:val="00233338"/>
    <w:rsid w:val="00233418"/>
    <w:rsid w:val="00243A26"/>
    <w:rsid w:val="00243D52"/>
    <w:rsid w:val="0025128B"/>
    <w:rsid w:val="00251F53"/>
    <w:rsid w:val="00252FE1"/>
    <w:rsid w:val="00253F10"/>
    <w:rsid w:val="002578E7"/>
    <w:rsid w:val="002643F1"/>
    <w:rsid w:val="00272800"/>
    <w:rsid w:val="002729CA"/>
    <w:rsid w:val="00272E79"/>
    <w:rsid w:val="002746D8"/>
    <w:rsid w:val="002752DC"/>
    <w:rsid w:val="0027725E"/>
    <w:rsid w:val="00284ADD"/>
    <w:rsid w:val="00286785"/>
    <w:rsid w:val="00286CE3"/>
    <w:rsid w:val="002874D0"/>
    <w:rsid w:val="002874F1"/>
    <w:rsid w:val="002879CC"/>
    <w:rsid w:val="0029004F"/>
    <w:rsid w:val="0029091C"/>
    <w:rsid w:val="002A3958"/>
    <w:rsid w:val="002A44DF"/>
    <w:rsid w:val="002A576A"/>
    <w:rsid w:val="002B03B8"/>
    <w:rsid w:val="002B609F"/>
    <w:rsid w:val="002B783C"/>
    <w:rsid w:val="002B7BE4"/>
    <w:rsid w:val="002C0940"/>
    <w:rsid w:val="002C769D"/>
    <w:rsid w:val="002D1D5A"/>
    <w:rsid w:val="002D26C6"/>
    <w:rsid w:val="002D2ACC"/>
    <w:rsid w:val="002D7F69"/>
    <w:rsid w:val="002E0CE9"/>
    <w:rsid w:val="002E127A"/>
    <w:rsid w:val="002E6288"/>
    <w:rsid w:val="002E787E"/>
    <w:rsid w:val="002F1DB0"/>
    <w:rsid w:val="002F3BB2"/>
    <w:rsid w:val="00300C63"/>
    <w:rsid w:val="00302F2F"/>
    <w:rsid w:val="0030567B"/>
    <w:rsid w:val="00305D13"/>
    <w:rsid w:val="00306300"/>
    <w:rsid w:val="00306C83"/>
    <w:rsid w:val="00312E4D"/>
    <w:rsid w:val="003139C4"/>
    <w:rsid w:val="00314D34"/>
    <w:rsid w:val="00321AD5"/>
    <w:rsid w:val="00322432"/>
    <w:rsid w:val="00325C6E"/>
    <w:rsid w:val="00330693"/>
    <w:rsid w:val="00335935"/>
    <w:rsid w:val="00336E5E"/>
    <w:rsid w:val="003373B6"/>
    <w:rsid w:val="0034345A"/>
    <w:rsid w:val="00343EDD"/>
    <w:rsid w:val="00345474"/>
    <w:rsid w:val="00346954"/>
    <w:rsid w:val="00347D4A"/>
    <w:rsid w:val="00352CDA"/>
    <w:rsid w:val="003541EF"/>
    <w:rsid w:val="0035679C"/>
    <w:rsid w:val="00360232"/>
    <w:rsid w:val="003609CA"/>
    <w:rsid w:val="00361208"/>
    <w:rsid w:val="00362AE3"/>
    <w:rsid w:val="00362D93"/>
    <w:rsid w:val="0036469D"/>
    <w:rsid w:val="00364AA3"/>
    <w:rsid w:val="003661C2"/>
    <w:rsid w:val="00371773"/>
    <w:rsid w:val="00376434"/>
    <w:rsid w:val="00394E4B"/>
    <w:rsid w:val="00396AB9"/>
    <w:rsid w:val="003A7E3B"/>
    <w:rsid w:val="003B0E1E"/>
    <w:rsid w:val="003B14D0"/>
    <w:rsid w:val="003C0AD5"/>
    <w:rsid w:val="003D13DC"/>
    <w:rsid w:val="003D3470"/>
    <w:rsid w:val="003D3547"/>
    <w:rsid w:val="003D3FA0"/>
    <w:rsid w:val="003D4174"/>
    <w:rsid w:val="003D429A"/>
    <w:rsid w:val="003D6596"/>
    <w:rsid w:val="003D6AD1"/>
    <w:rsid w:val="003E6BBA"/>
    <w:rsid w:val="003F433A"/>
    <w:rsid w:val="0040751F"/>
    <w:rsid w:val="004075FC"/>
    <w:rsid w:val="004101AF"/>
    <w:rsid w:val="00410413"/>
    <w:rsid w:val="00411746"/>
    <w:rsid w:val="00414E8A"/>
    <w:rsid w:val="00415A19"/>
    <w:rsid w:val="00416766"/>
    <w:rsid w:val="00420036"/>
    <w:rsid w:val="0042136D"/>
    <w:rsid w:val="00422678"/>
    <w:rsid w:val="00430439"/>
    <w:rsid w:val="0043068E"/>
    <w:rsid w:val="00434393"/>
    <w:rsid w:val="004365C2"/>
    <w:rsid w:val="0044090C"/>
    <w:rsid w:val="0044272D"/>
    <w:rsid w:val="00443902"/>
    <w:rsid w:val="00447CCA"/>
    <w:rsid w:val="00451337"/>
    <w:rsid w:val="00455E18"/>
    <w:rsid w:val="00457A65"/>
    <w:rsid w:val="00461650"/>
    <w:rsid w:val="004620E3"/>
    <w:rsid w:val="00462928"/>
    <w:rsid w:val="00463D4A"/>
    <w:rsid w:val="004661EB"/>
    <w:rsid w:val="00467B10"/>
    <w:rsid w:val="0047263C"/>
    <w:rsid w:val="00475CCE"/>
    <w:rsid w:val="00481A66"/>
    <w:rsid w:val="00484113"/>
    <w:rsid w:val="00484621"/>
    <w:rsid w:val="00484D83"/>
    <w:rsid w:val="0048522A"/>
    <w:rsid w:val="0049660B"/>
    <w:rsid w:val="00497899"/>
    <w:rsid w:val="004A0C7A"/>
    <w:rsid w:val="004A7014"/>
    <w:rsid w:val="004A7D38"/>
    <w:rsid w:val="004B406C"/>
    <w:rsid w:val="004B5F75"/>
    <w:rsid w:val="004C0799"/>
    <w:rsid w:val="004C0AD3"/>
    <w:rsid w:val="004D07A7"/>
    <w:rsid w:val="004E1888"/>
    <w:rsid w:val="004E2661"/>
    <w:rsid w:val="004E2816"/>
    <w:rsid w:val="004E282B"/>
    <w:rsid w:val="004E503E"/>
    <w:rsid w:val="004F1B6E"/>
    <w:rsid w:val="004F3556"/>
    <w:rsid w:val="00504E25"/>
    <w:rsid w:val="00507E8A"/>
    <w:rsid w:val="0051104B"/>
    <w:rsid w:val="00511500"/>
    <w:rsid w:val="00511712"/>
    <w:rsid w:val="005119CD"/>
    <w:rsid w:val="00512F78"/>
    <w:rsid w:val="00513001"/>
    <w:rsid w:val="005130FD"/>
    <w:rsid w:val="00513DA9"/>
    <w:rsid w:val="00513DF7"/>
    <w:rsid w:val="005142E5"/>
    <w:rsid w:val="00514427"/>
    <w:rsid w:val="00515B11"/>
    <w:rsid w:val="0051650C"/>
    <w:rsid w:val="005243F9"/>
    <w:rsid w:val="0053099A"/>
    <w:rsid w:val="00533A56"/>
    <w:rsid w:val="005346AE"/>
    <w:rsid w:val="00536D04"/>
    <w:rsid w:val="00536ECD"/>
    <w:rsid w:val="00537268"/>
    <w:rsid w:val="00543980"/>
    <w:rsid w:val="00543A78"/>
    <w:rsid w:val="00546317"/>
    <w:rsid w:val="00551DCD"/>
    <w:rsid w:val="005526C8"/>
    <w:rsid w:val="00552794"/>
    <w:rsid w:val="005555D5"/>
    <w:rsid w:val="005564DF"/>
    <w:rsid w:val="005567D4"/>
    <w:rsid w:val="00560AA9"/>
    <w:rsid w:val="00565C85"/>
    <w:rsid w:val="005673D7"/>
    <w:rsid w:val="005701F3"/>
    <w:rsid w:val="00570498"/>
    <w:rsid w:val="005735CD"/>
    <w:rsid w:val="00576E7C"/>
    <w:rsid w:val="00576EEB"/>
    <w:rsid w:val="00576F51"/>
    <w:rsid w:val="0058569E"/>
    <w:rsid w:val="00590815"/>
    <w:rsid w:val="005944A9"/>
    <w:rsid w:val="00596A6E"/>
    <w:rsid w:val="0059789D"/>
    <w:rsid w:val="005A02DB"/>
    <w:rsid w:val="005A09CD"/>
    <w:rsid w:val="005A0C2B"/>
    <w:rsid w:val="005A24DE"/>
    <w:rsid w:val="005A58EC"/>
    <w:rsid w:val="005A5A0E"/>
    <w:rsid w:val="005A6AA0"/>
    <w:rsid w:val="005B29A3"/>
    <w:rsid w:val="005B29F2"/>
    <w:rsid w:val="005B4246"/>
    <w:rsid w:val="005B430B"/>
    <w:rsid w:val="005B6176"/>
    <w:rsid w:val="005B6695"/>
    <w:rsid w:val="005C0248"/>
    <w:rsid w:val="005C06BA"/>
    <w:rsid w:val="005C4A5B"/>
    <w:rsid w:val="005C5F06"/>
    <w:rsid w:val="005D0D19"/>
    <w:rsid w:val="005D0FE4"/>
    <w:rsid w:val="005D5916"/>
    <w:rsid w:val="005E0A85"/>
    <w:rsid w:val="005E23DC"/>
    <w:rsid w:val="005E4390"/>
    <w:rsid w:val="005E5936"/>
    <w:rsid w:val="005E5FE0"/>
    <w:rsid w:val="005E6791"/>
    <w:rsid w:val="005E7A96"/>
    <w:rsid w:val="005F37A5"/>
    <w:rsid w:val="005F412B"/>
    <w:rsid w:val="005F5913"/>
    <w:rsid w:val="005F7A96"/>
    <w:rsid w:val="00600D67"/>
    <w:rsid w:val="00601043"/>
    <w:rsid w:val="0060230E"/>
    <w:rsid w:val="006023DB"/>
    <w:rsid w:val="00607F5F"/>
    <w:rsid w:val="006101B4"/>
    <w:rsid w:val="00610692"/>
    <w:rsid w:val="00610A18"/>
    <w:rsid w:val="00612800"/>
    <w:rsid w:val="006137FE"/>
    <w:rsid w:val="00614726"/>
    <w:rsid w:val="00615CA6"/>
    <w:rsid w:val="00617882"/>
    <w:rsid w:val="00621299"/>
    <w:rsid w:val="0062177C"/>
    <w:rsid w:val="00621781"/>
    <w:rsid w:val="00621FD6"/>
    <w:rsid w:val="00622891"/>
    <w:rsid w:val="00626902"/>
    <w:rsid w:val="00634989"/>
    <w:rsid w:val="00635D29"/>
    <w:rsid w:val="00644451"/>
    <w:rsid w:val="0064507A"/>
    <w:rsid w:val="00647A77"/>
    <w:rsid w:val="00653859"/>
    <w:rsid w:val="00654518"/>
    <w:rsid w:val="00654F8F"/>
    <w:rsid w:val="00656255"/>
    <w:rsid w:val="00660589"/>
    <w:rsid w:val="00665754"/>
    <w:rsid w:val="006664FF"/>
    <w:rsid w:val="006676E8"/>
    <w:rsid w:val="00670A33"/>
    <w:rsid w:val="0067457F"/>
    <w:rsid w:val="006749E8"/>
    <w:rsid w:val="006750EE"/>
    <w:rsid w:val="0068193B"/>
    <w:rsid w:val="00683CD1"/>
    <w:rsid w:val="00684EDC"/>
    <w:rsid w:val="0069419E"/>
    <w:rsid w:val="006A11E4"/>
    <w:rsid w:val="006A2731"/>
    <w:rsid w:val="006A27B6"/>
    <w:rsid w:val="006A2F7B"/>
    <w:rsid w:val="006A4300"/>
    <w:rsid w:val="006A4D5B"/>
    <w:rsid w:val="006A53E0"/>
    <w:rsid w:val="006A5AE6"/>
    <w:rsid w:val="006B577B"/>
    <w:rsid w:val="006C3968"/>
    <w:rsid w:val="006C4D0C"/>
    <w:rsid w:val="006C4F1D"/>
    <w:rsid w:val="006D006D"/>
    <w:rsid w:val="006D015D"/>
    <w:rsid w:val="006D0430"/>
    <w:rsid w:val="006D0B46"/>
    <w:rsid w:val="006E043A"/>
    <w:rsid w:val="006E1DCC"/>
    <w:rsid w:val="006E2857"/>
    <w:rsid w:val="006E386B"/>
    <w:rsid w:val="006F18AE"/>
    <w:rsid w:val="006F5271"/>
    <w:rsid w:val="006F5954"/>
    <w:rsid w:val="006F79AA"/>
    <w:rsid w:val="00701BAF"/>
    <w:rsid w:val="007033EB"/>
    <w:rsid w:val="00704F45"/>
    <w:rsid w:val="00705F79"/>
    <w:rsid w:val="00710AC5"/>
    <w:rsid w:val="00712869"/>
    <w:rsid w:val="00714462"/>
    <w:rsid w:val="00715EC4"/>
    <w:rsid w:val="0071788F"/>
    <w:rsid w:val="007211C6"/>
    <w:rsid w:val="00723D0B"/>
    <w:rsid w:val="007301EA"/>
    <w:rsid w:val="0073348C"/>
    <w:rsid w:val="00733FC5"/>
    <w:rsid w:val="00734CCE"/>
    <w:rsid w:val="00735CE2"/>
    <w:rsid w:val="007374D1"/>
    <w:rsid w:val="00742722"/>
    <w:rsid w:val="00742E32"/>
    <w:rsid w:val="00747089"/>
    <w:rsid w:val="00747381"/>
    <w:rsid w:val="007515B0"/>
    <w:rsid w:val="00753B85"/>
    <w:rsid w:val="00754F9E"/>
    <w:rsid w:val="0075619B"/>
    <w:rsid w:val="0075650D"/>
    <w:rsid w:val="00756EF7"/>
    <w:rsid w:val="007609A9"/>
    <w:rsid w:val="00766FB9"/>
    <w:rsid w:val="00767C93"/>
    <w:rsid w:val="00771D91"/>
    <w:rsid w:val="00787572"/>
    <w:rsid w:val="00787F07"/>
    <w:rsid w:val="00791ADB"/>
    <w:rsid w:val="007930F5"/>
    <w:rsid w:val="00795421"/>
    <w:rsid w:val="00797538"/>
    <w:rsid w:val="007A4CD8"/>
    <w:rsid w:val="007A5520"/>
    <w:rsid w:val="007B041F"/>
    <w:rsid w:val="007B0495"/>
    <w:rsid w:val="007B0FDD"/>
    <w:rsid w:val="007B7A44"/>
    <w:rsid w:val="007B7CC6"/>
    <w:rsid w:val="007C00F2"/>
    <w:rsid w:val="007C405E"/>
    <w:rsid w:val="007C7CD5"/>
    <w:rsid w:val="007D56A1"/>
    <w:rsid w:val="007E3575"/>
    <w:rsid w:val="007E46F1"/>
    <w:rsid w:val="007E6ED6"/>
    <w:rsid w:val="007F04D5"/>
    <w:rsid w:val="007F06CC"/>
    <w:rsid w:val="007F3DF1"/>
    <w:rsid w:val="007F4F45"/>
    <w:rsid w:val="0080060B"/>
    <w:rsid w:val="00801077"/>
    <w:rsid w:val="0080252D"/>
    <w:rsid w:val="00804E35"/>
    <w:rsid w:val="008116E5"/>
    <w:rsid w:val="00812AA0"/>
    <w:rsid w:val="00812ED2"/>
    <w:rsid w:val="00815854"/>
    <w:rsid w:val="00815C60"/>
    <w:rsid w:val="00817B88"/>
    <w:rsid w:val="00822682"/>
    <w:rsid w:val="00822F87"/>
    <w:rsid w:val="008243EA"/>
    <w:rsid w:val="008267E3"/>
    <w:rsid w:val="00826DDF"/>
    <w:rsid w:val="00827669"/>
    <w:rsid w:val="00832D3C"/>
    <w:rsid w:val="008334C2"/>
    <w:rsid w:val="008349D3"/>
    <w:rsid w:val="00835D2B"/>
    <w:rsid w:val="00837407"/>
    <w:rsid w:val="00841CF0"/>
    <w:rsid w:val="008451A1"/>
    <w:rsid w:val="008458CA"/>
    <w:rsid w:val="008470F1"/>
    <w:rsid w:val="00850956"/>
    <w:rsid w:val="00851A68"/>
    <w:rsid w:val="008631CF"/>
    <w:rsid w:val="008647DC"/>
    <w:rsid w:val="00865022"/>
    <w:rsid w:val="00867833"/>
    <w:rsid w:val="008708D1"/>
    <w:rsid w:val="00870DEA"/>
    <w:rsid w:val="00872310"/>
    <w:rsid w:val="00874844"/>
    <w:rsid w:val="008823DE"/>
    <w:rsid w:val="00882BF8"/>
    <w:rsid w:val="008838CA"/>
    <w:rsid w:val="008842A3"/>
    <w:rsid w:val="008852F9"/>
    <w:rsid w:val="00887381"/>
    <w:rsid w:val="00895354"/>
    <w:rsid w:val="00895BC0"/>
    <w:rsid w:val="008A2526"/>
    <w:rsid w:val="008A5C44"/>
    <w:rsid w:val="008B0562"/>
    <w:rsid w:val="008B29D6"/>
    <w:rsid w:val="008B6AB3"/>
    <w:rsid w:val="008C1632"/>
    <w:rsid w:val="008C736C"/>
    <w:rsid w:val="008D136E"/>
    <w:rsid w:val="008D1E9B"/>
    <w:rsid w:val="008D5E6D"/>
    <w:rsid w:val="008E171E"/>
    <w:rsid w:val="008E586B"/>
    <w:rsid w:val="008E6BAA"/>
    <w:rsid w:val="008F036C"/>
    <w:rsid w:val="008F0895"/>
    <w:rsid w:val="008F190B"/>
    <w:rsid w:val="008F631B"/>
    <w:rsid w:val="00901ED3"/>
    <w:rsid w:val="00902CF3"/>
    <w:rsid w:val="0090640B"/>
    <w:rsid w:val="00906B5D"/>
    <w:rsid w:val="0090720D"/>
    <w:rsid w:val="009077B3"/>
    <w:rsid w:val="00910EE7"/>
    <w:rsid w:val="009116AA"/>
    <w:rsid w:val="00911F43"/>
    <w:rsid w:val="00912EBA"/>
    <w:rsid w:val="0092196C"/>
    <w:rsid w:val="00923F7B"/>
    <w:rsid w:val="0092760A"/>
    <w:rsid w:val="009305C5"/>
    <w:rsid w:val="00931232"/>
    <w:rsid w:val="0093239A"/>
    <w:rsid w:val="00933596"/>
    <w:rsid w:val="009337D1"/>
    <w:rsid w:val="00934489"/>
    <w:rsid w:val="00934E24"/>
    <w:rsid w:val="0094265E"/>
    <w:rsid w:val="0094276E"/>
    <w:rsid w:val="00942F2C"/>
    <w:rsid w:val="00945302"/>
    <w:rsid w:val="00952220"/>
    <w:rsid w:val="00952C6A"/>
    <w:rsid w:val="00953FC8"/>
    <w:rsid w:val="009546CD"/>
    <w:rsid w:val="009556AD"/>
    <w:rsid w:val="00955B8B"/>
    <w:rsid w:val="00960D37"/>
    <w:rsid w:val="009657C9"/>
    <w:rsid w:val="00970CE1"/>
    <w:rsid w:val="00972C0B"/>
    <w:rsid w:val="00976021"/>
    <w:rsid w:val="00980E7F"/>
    <w:rsid w:val="009821A9"/>
    <w:rsid w:val="009855FC"/>
    <w:rsid w:val="00991DA1"/>
    <w:rsid w:val="00991FA2"/>
    <w:rsid w:val="00993755"/>
    <w:rsid w:val="00993F50"/>
    <w:rsid w:val="00993F83"/>
    <w:rsid w:val="00994EC6"/>
    <w:rsid w:val="009A0517"/>
    <w:rsid w:val="009A2C54"/>
    <w:rsid w:val="009A321A"/>
    <w:rsid w:val="009B0E88"/>
    <w:rsid w:val="009B11BE"/>
    <w:rsid w:val="009B2A9B"/>
    <w:rsid w:val="009B6781"/>
    <w:rsid w:val="009B77E7"/>
    <w:rsid w:val="009C1DA2"/>
    <w:rsid w:val="009C2214"/>
    <w:rsid w:val="009C39E2"/>
    <w:rsid w:val="009C3E91"/>
    <w:rsid w:val="009C4246"/>
    <w:rsid w:val="009C5542"/>
    <w:rsid w:val="009C643D"/>
    <w:rsid w:val="009D06C7"/>
    <w:rsid w:val="009D668C"/>
    <w:rsid w:val="009D7156"/>
    <w:rsid w:val="009E0AAE"/>
    <w:rsid w:val="009E4D82"/>
    <w:rsid w:val="009F1ADE"/>
    <w:rsid w:val="009F1FF1"/>
    <w:rsid w:val="00A00DAB"/>
    <w:rsid w:val="00A02A1F"/>
    <w:rsid w:val="00A03975"/>
    <w:rsid w:val="00A05A86"/>
    <w:rsid w:val="00A106EC"/>
    <w:rsid w:val="00A109C4"/>
    <w:rsid w:val="00A128F2"/>
    <w:rsid w:val="00A1368B"/>
    <w:rsid w:val="00A21C6E"/>
    <w:rsid w:val="00A2453B"/>
    <w:rsid w:val="00A265BC"/>
    <w:rsid w:val="00A34539"/>
    <w:rsid w:val="00A357B6"/>
    <w:rsid w:val="00A437B1"/>
    <w:rsid w:val="00A439EC"/>
    <w:rsid w:val="00A44AC6"/>
    <w:rsid w:val="00A44BD5"/>
    <w:rsid w:val="00A47CAA"/>
    <w:rsid w:val="00A52B17"/>
    <w:rsid w:val="00A54DB8"/>
    <w:rsid w:val="00A55F2F"/>
    <w:rsid w:val="00A5666D"/>
    <w:rsid w:val="00A56A50"/>
    <w:rsid w:val="00A64FFF"/>
    <w:rsid w:val="00A67F8D"/>
    <w:rsid w:val="00A724E5"/>
    <w:rsid w:val="00A72A98"/>
    <w:rsid w:val="00A80BE3"/>
    <w:rsid w:val="00A814F8"/>
    <w:rsid w:val="00A8732E"/>
    <w:rsid w:val="00A87E20"/>
    <w:rsid w:val="00A95600"/>
    <w:rsid w:val="00AA357A"/>
    <w:rsid w:val="00AA7339"/>
    <w:rsid w:val="00AB7407"/>
    <w:rsid w:val="00AC0722"/>
    <w:rsid w:val="00AC0819"/>
    <w:rsid w:val="00AC1202"/>
    <w:rsid w:val="00AC442F"/>
    <w:rsid w:val="00AC5A68"/>
    <w:rsid w:val="00AC6A97"/>
    <w:rsid w:val="00AC7326"/>
    <w:rsid w:val="00AC7C21"/>
    <w:rsid w:val="00AD11A9"/>
    <w:rsid w:val="00AD61F8"/>
    <w:rsid w:val="00AD6741"/>
    <w:rsid w:val="00AD6D5E"/>
    <w:rsid w:val="00AD74C3"/>
    <w:rsid w:val="00AE0FB0"/>
    <w:rsid w:val="00AE213F"/>
    <w:rsid w:val="00AE37DB"/>
    <w:rsid w:val="00AE463E"/>
    <w:rsid w:val="00AE6897"/>
    <w:rsid w:val="00AF5306"/>
    <w:rsid w:val="00AF5E7F"/>
    <w:rsid w:val="00AF7027"/>
    <w:rsid w:val="00B02DAE"/>
    <w:rsid w:val="00B11277"/>
    <w:rsid w:val="00B21250"/>
    <w:rsid w:val="00B24A15"/>
    <w:rsid w:val="00B26338"/>
    <w:rsid w:val="00B26CAC"/>
    <w:rsid w:val="00B27950"/>
    <w:rsid w:val="00B35D00"/>
    <w:rsid w:val="00B44F7D"/>
    <w:rsid w:val="00B472A7"/>
    <w:rsid w:val="00B474DA"/>
    <w:rsid w:val="00B5108F"/>
    <w:rsid w:val="00B532FF"/>
    <w:rsid w:val="00B5414F"/>
    <w:rsid w:val="00B54BDF"/>
    <w:rsid w:val="00B625D8"/>
    <w:rsid w:val="00B65268"/>
    <w:rsid w:val="00B67E72"/>
    <w:rsid w:val="00B70085"/>
    <w:rsid w:val="00B71B5E"/>
    <w:rsid w:val="00B72364"/>
    <w:rsid w:val="00B75566"/>
    <w:rsid w:val="00B7556A"/>
    <w:rsid w:val="00B760F5"/>
    <w:rsid w:val="00B76311"/>
    <w:rsid w:val="00B779EB"/>
    <w:rsid w:val="00B835D3"/>
    <w:rsid w:val="00B847B6"/>
    <w:rsid w:val="00B850CC"/>
    <w:rsid w:val="00BA1786"/>
    <w:rsid w:val="00BA1F16"/>
    <w:rsid w:val="00BA305A"/>
    <w:rsid w:val="00BA3ECB"/>
    <w:rsid w:val="00BA4EE7"/>
    <w:rsid w:val="00BA5083"/>
    <w:rsid w:val="00BB0AAD"/>
    <w:rsid w:val="00BB16FA"/>
    <w:rsid w:val="00BB291F"/>
    <w:rsid w:val="00BB3102"/>
    <w:rsid w:val="00BB3910"/>
    <w:rsid w:val="00BB53A6"/>
    <w:rsid w:val="00BB767F"/>
    <w:rsid w:val="00BC5021"/>
    <w:rsid w:val="00BD0037"/>
    <w:rsid w:val="00BD6820"/>
    <w:rsid w:val="00BE482A"/>
    <w:rsid w:val="00BE4D45"/>
    <w:rsid w:val="00BE6EC3"/>
    <w:rsid w:val="00BE7E34"/>
    <w:rsid w:val="00BF2681"/>
    <w:rsid w:val="00BF50AE"/>
    <w:rsid w:val="00BF6BCA"/>
    <w:rsid w:val="00C01BB2"/>
    <w:rsid w:val="00C02AC2"/>
    <w:rsid w:val="00C02DD3"/>
    <w:rsid w:val="00C0782D"/>
    <w:rsid w:val="00C135ED"/>
    <w:rsid w:val="00C13E23"/>
    <w:rsid w:val="00C14421"/>
    <w:rsid w:val="00C16456"/>
    <w:rsid w:val="00C17F0B"/>
    <w:rsid w:val="00C2184D"/>
    <w:rsid w:val="00C21CE8"/>
    <w:rsid w:val="00C25795"/>
    <w:rsid w:val="00C26B9B"/>
    <w:rsid w:val="00C412B0"/>
    <w:rsid w:val="00C417CF"/>
    <w:rsid w:val="00C47362"/>
    <w:rsid w:val="00C534C7"/>
    <w:rsid w:val="00C55A35"/>
    <w:rsid w:val="00C56329"/>
    <w:rsid w:val="00C61542"/>
    <w:rsid w:val="00C70015"/>
    <w:rsid w:val="00C718BA"/>
    <w:rsid w:val="00C72BB4"/>
    <w:rsid w:val="00C72F4B"/>
    <w:rsid w:val="00C77B1B"/>
    <w:rsid w:val="00C82101"/>
    <w:rsid w:val="00C83846"/>
    <w:rsid w:val="00C83970"/>
    <w:rsid w:val="00C83B7D"/>
    <w:rsid w:val="00C846C4"/>
    <w:rsid w:val="00C866C9"/>
    <w:rsid w:val="00C86F45"/>
    <w:rsid w:val="00C87284"/>
    <w:rsid w:val="00C9525E"/>
    <w:rsid w:val="00C95A25"/>
    <w:rsid w:val="00CA0794"/>
    <w:rsid w:val="00CA4F34"/>
    <w:rsid w:val="00CA7916"/>
    <w:rsid w:val="00CC01BB"/>
    <w:rsid w:val="00CC0CA6"/>
    <w:rsid w:val="00CC11C9"/>
    <w:rsid w:val="00CC4229"/>
    <w:rsid w:val="00CC4BFE"/>
    <w:rsid w:val="00CC7AA5"/>
    <w:rsid w:val="00CD0135"/>
    <w:rsid w:val="00CD2D2F"/>
    <w:rsid w:val="00CD3D6A"/>
    <w:rsid w:val="00CD481A"/>
    <w:rsid w:val="00CE0399"/>
    <w:rsid w:val="00CE0627"/>
    <w:rsid w:val="00CE156F"/>
    <w:rsid w:val="00CE26F7"/>
    <w:rsid w:val="00CE4D82"/>
    <w:rsid w:val="00CF034D"/>
    <w:rsid w:val="00CF0655"/>
    <w:rsid w:val="00CF4F77"/>
    <w:rsid w:val="00CF66EC"/>
    <w:rsid w:val="00CF77EA"/>
    <w:rsid w:val="00D02853"/>
    <w:rsid w:val="00D03108"/>
    <w:rsid w:val="00D047C7"/>
    <w:rsid w:val="00D06A4C"/>
    <w:rsid w:val="00D06CF3"/>
    <w:rsid w:val="00D10AE8"/>
    <w:rsid w:val="00D11142"/>
    <w:rsid w:val="00D1315F"/>
    <w:rsid w:val="00D14CD7"/>
    <w:rsid w:val="00D235DD"/>
    <w:rsid w:val="00D26150"/>
    <w:rsid w:val="00D2781F"/>
    <w:rsid w:val="00D325E6"/>
    <w:rsid w:val="00D35AA8"/>
    <w:rsid w:val="00D409BD"/>
    <w:rsid w:val="00D40EC0"/>
    <w:rsid w:val="00D4377C"/>
    <w:rsid w:val="00D45128"/>
    <w:rsid w:val="00D467F1"/>
    <w:rsid w:val="00D53ECC"/>
    <w:rsid w:val="00D54298"/>
    <w:rsid w:val="00D54B8B"/>
    <w:rsid w:val="00D54BDD"/>
    <w:rsid w:val="00D56C51"/>
    <w:rsid w:val="00D57098"/>
    <w:rsid w:val="00D61E72"/>
    <w:rsid w:val="00D65E0B"/>
    <w:rsid w:val="00D67D27"/>
    <w:rsid w:val="00D70E82"/>
    <w:rsid w:val="00D73727"/>
    <w:rsid w:val="00D93982"/>
    <w:rsid w:val="00D9652E"/>
    <w:rsid w:val="00D968DB"/>
    <w:rsid w:val="00DA25EB"/>
    <w:rsid w:val="00DA37DA"/>
    <w:rsid w:val="00DA3D15"/>
    <w:rsid w:val="00DA53AD"/>
    <w:rsid w:val="00DA540D"/>
    <w:rsid w:val="00DA640C"/>
    <w:rsid w:val="00DB50A8"/>
    <w:rsid w:val="00DB66D0"/>
    <w:rsid w:val="00DB7D74"/>
    <w:rsid w:val="00DC0E3C"/>
    <w:rsid w:val="00DC6998"/>
    <w:rsid w:val="00DC7415"/>
    <w:rsid w:val="00DD119E"/>
    <w:rsid w:val="00DD14AA"/>
    <w:rsid w:val="00DD321A"/>
    <w:rsid w:val="00DD62A8"/>
    <w:rsid w:val="00DD6550"/>
    <w:rsid w:val="00DD6CB8"/>
    <w:rsid w:val="00DD7220"/>
    <w:rsid w:val="00DE3F22"/>
    <w:rsid w:val="00DE7EC4"/>
    <w:rsid w:val="00DF2667"/>
    <w:rsid w:val="00DF46DC"/>
    <w:rsid w:val="00DF7568"/>
    <w:rsid w:val="00DF75ED"/>
    <w:rsid w:val="00E01B77"/>
    <w:rsid w:val="00E028D1"/>
    <w:rsid w:val="00E02E5D"/>
    <w:rsid w:val="00E10708"/>
    <w:rsid w:val="00E1674D"/>
    <w:rsid w:val="00E208C4"/>
    <w:rsid w:val="00E21A8E"/>
    <w:rsid w:val="00E23A7E"/>
    <w:rsid w:val="00E24060"/>
    <w:rsid w:val="00E25158"/>
    <w:rsid w:val="00E27E98"/>
    <w:rsid w:val="00E30CC1"/>
    <w:rsid w:val="00E33500"/>
    <w:rsid w:val="00E3411F"/>
    <w:rsid w:val="00E35D19"/>
    <w:rsid w:val="00E35EE4"/>
    <w:rsid w:val="00E4060E"/>
    <w:rsid w:val="00E4131E"/>
    <w:rsid w:val="00E42575"/>
    <w:rsid w:val="00E446E1"/>
    <w:rsid w:val="00E44B25"/>
    <w:rsid w:val="00E452B7"/>
    <w:rsid w:val="00E45D76"/>
    <w:rsid w:val="00E55148"/>
    <w:rsid w:val="00E632F4"/>
    <w:rsid w:val="00E64A3D"/>
    <w:rsid w:val="00E66EA4"/>
    <w:rsid w:val="00E702EE"/>
    <w:rsid w:val="00E708AB"/>
    <w:rsid w:val="00E71BCB"/>
    <w:rsid w:val="00E71C7F"/>
    <w:rsid w:val="00E72FD5"/>
    <w:rsid w:val="00E77AA3"/>
    <w:rsid w:val="00E80279"/>
    <w:rsid w:val="00E80594"/>
    <w:rsid w:val="00E810F3"/>
    <w:rsid w:val="00E8209B"/>
    <w:rsid w:val="00E8243F"/>
    <w:rsid w:val="00E82E11"/>
    <w:rsid w:val="00E838B2"/>
    <w:rsid w:val="00E83C94"/>
    <w:rsid w:val="00E8526E"/>
    <w:rsid w:val="00E86696"/>
    <w:rsid w:val="00E86942"/>
    <w:rsid w:val="00E878C5"/>
    <w:rsid w:val="00E91775"/>
    <w:rsid w:val="00E93510"/>
    <w:rsid w:val="00E94185"/>
    <w:rsid w:val="00E94998"/>
    <w:rsid w:val="00E97F1C"/>
    <w:rsid w:val="00EA040D"/>
    <w:rsid w:val="00EA2CCE"/>
    <w:rsid w:val="00EA4EEF"/>
    <w:rsid w:val="00EB0F1C"/>
    <w:rsid w:val="00EB4E70"/>
    <w:rsid w:val="00EB67E3"/>
    <w:rsid w:val="00EC2514"/>
    <w:rsid w:val="00EC2A02"/>
    <w:rsid w:val="00EC4DF3"/>
    <w:rsid w:val="00EC556A"/>
    <w:rsid w:val="00EC571A"/>
    <w:rsid w:val="00EC786E"/>
    <w:rsid w:val="00ED2833"/>
    <w:rsid w:val="00ED4034"/>
    <w:rsid w:val="00ED49B7"/>
    <w:rsid w:val="00ED5705"/>
    <w:rsid w:val="00EE4937"/>
    <w:rsid w:val="00EE4B21"/>
    <w:rsid w:val="00EE4D0F"/>
    <w:rsid w:val="00EE5277"/>
    <w:rsid w:val="00EE573B"/>
    <w:rsid w:val="00EF12F8"/>
    <w:rsid w:val="00EF3730"/>
    <w:rsid w:val="00EF4969"/>
    <w:rsid w:val="00EF66CA"/>
    <w:rsid w:val="00EF78DB"/>
    <w:rsid w:val="00F00433"/>
    <w:rsid w:val="00F02067"/>
    <w:rsid w:val="00F05F1F"/>
    <w:rsid w:val="00F1662D"/>
    <w:rsid w:val="00F1672F"/>
    <w:rsid w:val="00F2296B"/>
    <w:rsid w:val="00F229AD"/>
    <w:rsid w:val="00F27FE0"/>
    <w:rsid w:val="00F3246A"/>
    <w:rsid w:val="00F36EDA"/>
    <w:rsid w:val="00F41CE4"/>
    <w:rsid w:val="00F43046"/>
    <w:rsid w:val="00F43E10"/>
    <w:rsid w:val="00F44A29"/>
    <w:rsid w:val="00F44EF9"/>
    <w:rsid w:val="00F46566"/>
    <w:rsid w:val="00F50793"/>
    <w:rsid w:val="00F54FF6"/>
    <w:rsid w:val="00F6020B"/>
    <w:rsid w:val="00F61DC2"/>
    <w:rsid w:val="00F6257A"/>
    <w:rsid w:val="00F63D10"/>
    <w:rsid w:val="00F67D0B"/>
    <w:rsid w:val="00F71C6F"/>
    <w:rsid w:val="00F73EE3"/>
    <w:rsid w:val="00F76B19"/>
    <w:rsid w:val="00F817B2"/>
    <w:rsid w:val="00F90520"/>
    <w:rsid w:val="00F94941"/>
    <w:rsid w:val="00F95564"/>
    <w:rsid w:val="00F96E48"/>
    <w:rsid w:val="00F97A55"/>
    <w:rsid w:val="00F97CE7"/>
    <w:rsid w:val="00FA038C"/>
    <w:rsid w:val="00FA1D88"/>
    <w:rsid w:val="00FA3ED6"/>
    <w:rsid w:val="00FA3F22"/>
    <w:rsid w:val="00FA4330"/>
    <w:rsid w:val="00FA77AF"/>
    <w:rsid w:val="00FB0788"/>
    <w:rsid w:val="00FB79EF"/>
    <w:rsid w:val="00FC16F4"/>
    <w:rsid w:val="00FC1D5E"/>
    <w:rsid w:val="00FC2913"/>
    <w:rsid w:val="00FC361D"/>
    <w:rsid w:val="00FC421E"/>
    <w:rsid w:val="00FC658E"/>
    <w:rsid w:val="00FC6C76"/>
    <w:rsid w:val="00FC79D1"/>
    <w:rsid w:val="00FD07A7"/>
    <w:rsid w:val="00FD7FF2"/>
    <w:rsid w:val="00FE4886"/>
    <w:rsid w:val="00FE546C"/>
    <w:rsid w:val="00FF6511"/>
    <w:rsid w:val="00FF7977"/>
    <w:rsid w:val="00FF7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FEC0A190-30F0-4466-A12C-FA1E917E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036"/>
    <w:rPr>
      <w:sz w:val="24"/>
      <w:lang w:eastAsia="en-US"/>
    </w:rPr>
  </w:style>
  <w:style w:type="paragraph" w:styleId="Heading1">
    <w:name w:val="heading 1"/>
    <w:basedOn w:val="Normal"/>
    <w:next w:val="Normal"/>
    <w:autoRedefine/>
    <w:qFormat/>
    <w:rsid w:val="00A05A86"/>
    <w:pPr>
      <w:keepNext/>
      <w:numPr>
        <w:numId w:val="23"/>
      </w:numPr>
      <w:spacing w:before="360" w:after="240" w:line="280" w:lineRule="exact"/>
      <w:ind w:left="567" w:hanging="567"/>
      <w:outlineLvl w:val="0"/>
    </w:pPr>
    <w:rPr>
      <w:rFonts w:cs="Arial"/>
      <w:b/>
      <w:bCs/>
      <w:caps/>
      <w:kern w:val="32"/>
      <w:szCs w:val="32"/>
    </w:rPr>
  </w:style>
  <w:style w:type="paragraph" w:styleId="Heading2">
    <w:name w:val="heading 2"/>
    <w:basedOn w:val="Normal"/>
    <w:next w:val="Normal"/>
    <w:autoRedefine/>
    <w:qFormat/>
    <w:rsid w:val="0048522A"/>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420036"/>
    <w:pPr>
      <w:keepNext/>
      <w:jc w:val="both"/>
      <w:outlineLvl w:val="2"/>
    </w:pPr>
    <w:rPr>
      <w:b/>
      <w:lang w:val="en-GB"/>
    </w:rPr>
  </w:style>
  <w:style w:type="paragraph" w:styleId="Heading4">
    <w:name w:val="heading 4"/>
    <w:basedOn w:val="Normal"/>
    <w:next w:val="Normal"/>
    <w:qFormat/>
    <w:rsid w:val="00420036"/>
    <w:pPr>
      <w:keepNext/>
      <w:jc w:val="center"/>
      <w:outlineLvl w:val="3"/>
    </w:pPr>
    <w:rPr>
      <w:b/>
      <w:sz w:val="32"/>
    </w:rPr>
  </w:style>
  <w:style w:type="paragraph" w:styleId="Heading5">
    <w:name w:val="heading 5"/>
    <w:basedOn w:val="Normal"/>
    <w:next w:val="Normal"/>
    <w:qFormat/>
    <w:rsid w:val="00420036"/>
    <w:pPr>
      <w:keepNext/>
      <w:jc w:val="center"/>
      <w:outlineLvl w:val="4"/>
    </w:pPr>
    <w:rPr>
      <w:b/>
      <w:sz w:val="28"/>
    </w:rPr>
  </w:style>
  <w:style w:type="paragraph" w:styleId="Heading6">
    <w:name w:val="heading 6"/>
    <w:basedOn w:val="Normal"/>
    <w:next w:val="Normal"/>
    <w:qFormat/>
    <w:rsid w:val="00420036"/>
    <w:pPr>
      <w:keepNext/>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0036"/>
    <w:pPr>
      <w:jc w:val="both"/>
    </w:pPr>
    <w:rPr>
      <w:lang w:val="en-GB"/>
    </w:rPr>
  </w:style>
  <w:style w:type="character" w:styleId="PageNumber">
    <w:name w:val="page number"/>
    <w:basedOn w:val="DefaultParagraphFont"/>
    <w:rsid w:val="00420036"/>
  </w:style>
  <w:style w:type="paragraph" w:styleId="Footer">
    <w:name w:val="footer"/>
    <w:basedOn w:val="Normal"/>
    <w:link w:val="FooterChar"/>
    <w:rsid w:val="00420036"/>
    <w:pPr>
      <w:tabs>
        <w:tab w:val="center" w:pos="4153"/>
        <w:tab w:val="right" w:pos="8306"/>
      </w:tabs>
    </w:pPr>
    <w:rPr>
      <w:sz w:val="20"/>
      <w:lang w:val="en-GB"/>
    </w:rPr>
  </w:style>
  <w:style w:type="paragraph" w:styleId="Header">
    <w:name w:val="header"/>
    <w:basedOn w:val="Normal"/>
    <w:link w:val="HeaderChar"/>
    <w:uiPriority w:val="99"/>
    <w:rsid w:val="00420036"/>
    <w:pPr>
      <w:tabs>
        <w:tab w:val="center" w:pos="4153"/>
        <w:tab w:val="right" w:pos="8306"/>
      </w:tabs>
    </w:pPr>
  </w:style>
  <w:style w:type="paragraph" w:styleId="Title">
    <w:name w:val="Title"/>
    <w:basedOn w:val="Normal"/>
    <w:qFormat/>
    <w:rsid w:val="00420036"/>
    <w:pPr>
      <w:jc w:val="center"/>
    </w:pPr>
    <w:rPr>
      <w:b/>
      <w:sz w:val="32"/>
    </w:rPr>
  </w:style>
  <w:style w:type="paragraph" w:styleId="List">
    <w:name w:val="List"/>
    <w:basedOn w:val="Normal"/>
    <w:rsid w:val="00420036"/>
    <w:pPr>
      <w:tabs>
        <w:tab w:val="left" w:pos="1440"/>
      </w:tabs>
    </w:pPr>
    <w:rPr>
      <w:sz w:val="22"/>
      <w:lang w:val="en-US"/>
    </w:rPr>
  </w:style>
  <w:style w:type="character" w:customStyle="1" w:styleId="Heading5Char">
    <w:name w:val="Heading 5 Char"/>
    <w:rsid w:val="00420036"/>
    <w:rPr>
      <w:i/>
      <w:sz w:val="22"/>
      <w:u w:val="single"/>
      <w:lang w:val="en-US" w:eastAsia="en-US" w:bidi="ar-SA"/>
    </w:rPr>
  </w:style>
  <w:style w:type="character" w:customStyle="1" w:styleId="italics1">
    <w:name w:val="italics1"/>
    <w:rsid w:val="00420036"/>
    <w:rPr>
      <w:i/>
      <w:iCs/>
    </w:rPr>
  </w:style>
  <w:style w:type="character" w:styleId="Hyperlink">
    <w:name w:val="Hyperlink"/>
    <w:rsid w:val="00420036"/>
    <w:rPr>
      <w:color w:val="0000FF"/>
      <w:u w:val="none"/>
    </w:rPr>
  </w:style>
  <w:style w:type="paragraph" w:customStyle="1" w:styleId="first">
    <w:name w:val="first"/>
    <w:basedOn w:val="Normal"/>
    <w:rsid w:val="00420036"/>
    <w:pPr>
      <w:spacing w:after="240"/>
    </w:pPr>
    <w:rPr>
      <w:szCs w:val="24"/>
      <w:lang w:val="en-US"/>
    </w:rPr>
  </w:style>
  <w:style w:type="character" w:styleId="EndnoteReference">
    <w:name w:val="endnote reference"/>
    <w:uiPriority w:val="99"/>
    <w:rsid w:val="00420036"/>
    <w:rPr>
      <w:rFonts w:ascii="Times New Roman" w:hAnsi="Times New Roman"/>
      <w:color w:val="auto"/>
      <w:position w:val="0"/>
      <w:sz w:val="24"/>
      <w:vertAlign w:val="superscript"/>
    </w:rPr>
  </w:style>
  <w:style w:type="paragraph" w:styleId="EndnoteText">
    <w:name w:val="endnote text"/>
    <w:basedOn w:val="Normal"/>
    <w:link w:val="EndnoteTextChar"/>
    <w:uiPriority w:val="99"/>
    <w:rsid w:val="00420036"/>
    <w:pPr>
      <w:keepLines/>
      <w:tabs>
        <w:tab w:val="left" w:pos="360"/>
        <w:tab w:val="left" w:pos="720"/>
      </w:tabs>
      <w:spacing w:after="200"/>
      <w:ind w:left="360" w:hanging="360"/>
    </w:pPr>
    <w:rPr>
      <w:lang w:val="en-US"/>
    </w:rPr>
  </w:style>
  <w:style w:type="paragraph" w:styleId="BalloonText">
    <w:name w:val="Balloon Text"/>
    <w:basedOn w:val="Normal"/>
    <w:semiHidden/>
    <w:rsid w:val="00420036"/>
    <w:rPr>
      <w:rFonts w:ascii="Tahoma" w:hAnsi="Tahoma" w:cs="Tahoma"/>
      <w:sz w:val="16"/>
      <w:szCs w:val="16"/>
    </w:rPr>
  </w:style>
  <w:style w:type="character" w:styleId="Strong">
    <w:name w:val="Strong"/>
    <w:qFormat/>
    <w:rsid w:val="00420036"/>
    <w:rPr>
      <w:b/>
      <w:bCs/>
    </w:rPr>
  </w:style>
  <w:style w:type="character" w:styleId="LineNumber">
    <w:name w:val="line number"/>
    <w:basedOn w:val="DefaultParagraphFont"/>
    <w:rsid w:val="001B0D17"/>
  </w:style>
  <w:style w:type="character" w:styleId="Emphasis">
    <w:name w:val="Emphasis"/>
    <w:qFormat/>
    <w:rsid w:val="00420036"/>
    <w:rPr>
      <w:i/>
      <w:iCs/>
    </w:rPr>
  </w:style>
  <w:style w:type="paragraph" w:customStyle="1" w:styleId="PIEXPLAIN">
    <w:name w:val="PI EXPLAIN"/>
    <w:basedOn w:val="Normal"/>
    <w:rsid w:val="00420036"/>
    <w:pPr>
      <w:tabs>
        <w:tab w:val="left" w:pos="-720"/>
      </w:tabs>
      <w:suppressAutoHyphens/>
      <w:spacing w:before="20" w:after="80"/>
    </w:pPr>
    <w:rPr>
      <w:spacing w:val="-2"/>
      <w:sz w:val="20"/>
      <w:lang w:val="en-GB"/>
    </w:rPr>
  </w:style>
  <w:style w:type="paragraph" w:customStyle="1" w:styleId="TableAnnotationText">
    <w:name w:val="Table Annotation Text"/>
    <w:basedOn w:val="Normal"/>
    <w:rsid w:val="00420036"/>
    <w:pPr>
      <w:keepLines/>
      <w:tabs>
        <w:tab w:val="left" w:pos="360"/>
      </w:tabs>
      <w:ind w:left="360" w:hanging="360"/>
    </w:pPr>
    <w:rPr>
      <w:sz w:val="20"/>
      <w:lang w:val="en-US"/>
    </w:rPr>
  </w:style>
  <w:style w:type="character" w:customStyle="1" w:styleId="TableAnnotationTextChar">
    <w:name w:val="Table Annotation Text Char"/>
    <w:rsid w:val="00420036"/>
    <w:rPr>
      <w:lang w:val="en-US" w:eastAsia="en-US" w:bidi="ar-SA"/>
    </w:rPr>
  </w:style>
  <w:style w:type="paragraph" w:customStyle="1" w:styleId="StyleHeading3NotItalic">
    <w:name w:val="Style Heading 3 + Not Italic"/>
    <w:basedOn w:val="Heading3"/>
    <w:link w:val="StyleHeading3NotItalicCharChar"/>
    <w:rsid w:val="00AE0FB0"/>
    <w:pPr>
      <w:jc w:val="left"/>
    </w:pPr>
    <w:rPr>
      <w:b w:val="0"/>
      <w:i/>
      <w:sz w:val="22"/>
      <w:u w:val="single"/>
      <w:lang w:val="en-US"/>
    </w:rPr>
  </w:style>
  <w:style w:type="character" w:customStyle="1" w:styleId="StyleHeading3NotItalicCharChar">
    <w:name w:val="Style Heading 3 + Not Italic Char Char"/>
    <w:link w:val="StyleHeading3NotItalic"/>
    <w:rsid w:val="00AE0FB0"/>
    <w:rPr>
      <w:i/>
      <w:sz w:val="22"/>
      <w:u w:val="single"/>
      <w:lang w:val="en-US" w:eastAsia="en-US"/>
    </w:rPr>
  </w:style>
  <w:style w:type="character" w:customStyle="1" w:styleId="StyleEmphasisTimesNewRomanBoldBoldNotItalicBlack">
    <w:name w:val="Style Emphasis + Times New Roman Bold Bold Not Italic Black"/>
    <w:rsid w:val="00AE0FB0"/>
    <w:rPr>
      <w:rFonts w:ascii="Times New Roman" w:hAnsi="Times New Roman"/>
      <w:bCs/>
      <w:i/>
      <w:iCs/>
      <w:color w:val="000000"/>
      <w:sz w:val="22"/>
    </w:rPr>
  </w:style>
  <w:style w:type="character" w:customStyle="1" w:styleId="styleemphasistimesnewromanboldboldnotitalicblack0">
    <w:name w:val="styleemphasistimesnewromanboldboldnotitalicblack"/>
    <w:rsid w:val="00AF5E7F"/>
    <w:rPr>
      <w:rFonts w:ascii="Times New Roman" w:hAnsi="Times New Roman" w:cs="Times New Roman" w:hint="default"/>
      <w:i/>
      <w:iCs/>
      <w:color w:val="000000"/>
    </w:rPr>
  </w:style>
  <w:style w:type="paragraph" w:customStyle="1" w:styleId="CDSOptionalconcepts">
    <w:name w:val="CDS Optional concepts"/>
    <w:link w:val="CDSOptionalconceptsChar"/>
    <w:uiPriority w:val="99"/>
    <w:rsid w:val="00AF5E7F"/>
    <w:pPr>
      <w:widowControl w:val="0"/>
    </w:pPr>
    <w:rPr>
      <w:sz w:val="22"/>
      <w:lang w:val="en-US" w:eastAsia="en-US"/>
    </w:rPr>
  </w:style>
  <w:style w:type="character" w:customStyle="1" w:styleId="CDSOptionalconceptsChar">
    <w:name w:val="CDS Optional concepts Char"/>
    <w:link w:val="CDSOptionalconcepts"/>
    <w:uiPriority w:val="99"/>
    <w:rsid w:val="00AF5E7F"/>
    <w:rPr>
      <w:sz w:val="22"/>
      <w:lang w:val="en-US" w:eastAsia="en-US" w:bidi="ar-SA"/>
    </w:rPr>
  </w:style>
  <w:style w:type="character" w:customStyle="1" w:styleId="StyleBoldUnderline">
    <w:name w:val="Style Bold Underline"/>
    <w:rsid w:val="00AF5E7F"/>
    <w:rPr>
      <w:bCs/>
      <w:sz w:val="22"/>
      <w:u w:val="single"/>
    </w:rPr>
  </w:style>
  <w:style w:type="table" w:styleId="TableGrid">
    <w:name w:val="Table Grid"/>
    <w:basedOn w:val="TableNormal"/>
    <w:uiPriority w:val="59"/>
    <w:rsid w:val="00E27E9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D45128"/>
    <w:rPr>
      <w:szCs w:val="24"/>
      <w:lang w:val="en-US"/>
    </w:rPr>
  </w:style>
  <w:style w:type="character" w:customStyle="1" w:styleId="cdsoptionalconceptschar0">
    <w:name w:val="cdsoptionalconceptschar"/>
    <w:basedOn w:val="DefaultParagraphFont"/>
    <w:rsid w:val="00D45128"/>
  </w:style>
  <w:style w:type="paragraph" w:customStyle="1" w:styleId="cdsheading2level">
    <w:name w:val="cdsheading2level"/>
    <w:basedOn w:val="Normal"/>
    <w:rsid w:val="00D45128"/>
    <w:pPr>
      <w:keepNext/>
      <w:spacing w:after="240"/>
    </w:pPr>
    <w:rPr>
      <w:rFonts w:ascii="Arial" w:eastAsia="MS Mincho" w:hAnsi="Arial" w:cs="Arial"/>
      <w:b/>
      <w:bCs/>
      <w:i/>
      <w:iCs/>
      <w:sz w:val="22"/>
      <w:szCs w:val="22"/>
      <w:lang w:val="en-GB" w:eastAsia="ja-JP"/>
    </w:rPr>
  </w:style>
  <w:style w:type="paragraph" w:styleId="CommentText">
    <w:name w:val="annotation text"/>
    <w:basedOn w:val="Normal"/>
    <w:link w:val="CommentTextChar"/>
    <w:rsid w:val="00D45128"/>
    <w:rPr>
      <w:sz w:val="20"/>
      <w:lang w:val="en-US"/>
    </w:rPr>
  </w:style>
  <w:style w:type="character" w:customStyle="1" w:styleId="CommentTextChar">
    <w:name w:val="Comment Text Char"/>
    <w:link w:val="CommentText"/>
    <w:rsid w:val="00D45128"/>
    <w:rPr>
      <w:lang w:val="en-US" w:eastAsia="en-US"/>
    </w:rPr>
  </w:style>
  <w:style w:type="character" w:customStyle="1" w:styleId="EndnoteTextChar">
    <w:name w:val="Endnote Text Char"/>
    <w:link w:val="EndnoteText"/>
    <w:uiPriority w:val="99"/>
    <w:locked/>
    <w:rsid w:val="00ED2833"/>
    <w:rPr>
      <w:sz w:val="24"/>
      <w:lang w:val="en-US" w:eastAsia="en-US"/>
    </w:rPr>
  </w:style>
  <w:style w:type="paragraph" w:customStyle="1" w:styleId="CDSHeading2level0">
    <w:name w:val="CDS Heading 2 level"/>
    <w:basedOn w:val="Normal"/>
    <w:link w:val="CDSHeading2levelChar"/>
    <w:rsid w:val="00621781"/>
    <w:pPr>
      <w:keepNext/>
      <w:widowControl w:val="0"/>
      <w:spacing w:after="240"/>
      <w:outlineLvl w:val="1"/>
    </w:pPr>
    <w:rPr>
      <w:rFonts w:ascii="Arial" w:hAnsi="Arial"/>
      <w:b/>
      <w:bCs/>
      <w:i/>
      <w:iCs/>
      <w:sz w:val="22"/>
      <w:lang w:val="en-US"/>
    </w:rPr>
  </w:style>
  <w:style w:type="character" w:customStyle="1" w:styleId="CDSHeading2levelChar">
    <w:name w:val="CDS Heading 2 level Char"/>
    <w:link w:val="CDSHeading2level0"/>
    <w:rsid w:val="00621781"/>
    <w:rPr>
      <w:rFonts w:ascii="Arial" w:hAnsi="Arial"/>
      <w:b/>
      <w:bCs/>
      <w:i/>
      <w:iCs/>
      <w:sz w:val="22"/>
      <w:lang w:val="en-US" w:eastAsia="en-US"/>
    </w:rPr>
  </w:style>
  <w:style w:type="paragraph" w:customStyle="1" w:styleId="StyleHeading311ptBoldItalicAfter12pt">
    <w:name w:val="Style Heading 3 + 11 pt Bold Italic After:  12 pt"/>
    <w:basedOn w:val="Heading3"/>
    <w:rsid w:val="00621781"/>
    <w:pPr>
      <w:spacing w:before="240" w:after="240"/>
      <w:jc w:val="left"/>
    </w:pPr>
    <w:rPr>
      <w:rFonts w:ascii="Arial" w:hAnsi="Arial"/>
      <w:bCs/>
      <w:i/>
      <w:iCs/>
      <w:sz w:val="22"/>
      <w:lang w:val="en-US"/>
    </w:rPr>
  </w:style>
  <w:style w:type="paragraph" w:customStyle="1" w:styleId="CDSDescriptiveinformation">
    <w:name w:val="CDS Descriptive information"/>
    <w:link w:val="CDSDescriptiveinformationChar"/>
    <w:rsid w:val="00874844"/>
    <w:rPr>
      <w:rFonts w:ascii="Arial" w:hAnsi="Arial"/>
      <w:i/>
      <w:sz w:val="22"/>
      <w:lang w:val="en-US" w:eastAsia="en-US"/>
    </w:rPr>
  </w:style>
  <w:style w:type="character" w:customStyle="1" w:styleId="CDSDescriptiveinformationChar">
    <w:name w:val="CDS Descriptive information Char"/>
    <w:link w:val="CDSDescriptiveinformation"/>
    <w:rsid w:val="00874844"/>
    <w:rPr>
      <w:rFonts w:ascii="Arial" w:hAnsi="Arial"/>
      <w:i/>
      <w:sz w:val="22"/>
      <w:lang w:val="en-US" w:eastAsia="en-US" w:bidi="ar-SA"/>
    </w:rPr>
  </w:style>
  <w:style w:type="character" w:customStyle="1" w:styleId="SPCHeading4">
    <w:name w:val="SPC Heading 4"/>
    <w:rsid w:val="00596A6E"/>
    <w:rPr>
      <w:rFonts w:ascii="Times New Roman" w:hAnsi="Times New Roman"/>
      <w:bCs/>
      <w:i/>
      <w:iCs/>
      <w:color w:val="000000"/>
      <w:sz w:val="22"/>
      <w:u w:val="none"/>
    </w:rPr>
  </w:style>
  <w:style w:type="character" w:customStyle="1" w:styleId="CDSSectionheadingChar">
    <w:name w:val="CDS Section heading Char"/>
    <w:link w:val="CDSSectionheading"/>
    <w:locked/>
    <w:rsid w:val="006C3968"/>
    <w:rPr>
      <w:rFonts w:ascii="Arial" w:hAnsi="Arial" w:cs="Arial"/>
      <w:b/>
      <w:bCs/>
      <w:i/>
      <w:iCs/>
    </w:rPr>
  </w:style>
  <w:style w:type="paragraph" w:customStyle="1" w:styleId="CDSSectionheading">
    <w:name w:val="CDS Section heading"/>
    <w:basedOn w:val="Normal"/>
    <w:link w:val="CDSSectionheadingChar"/>
    <w:rsid w:val="006C3968"/>
    <w:pPr>
      <w:keepNext/>
      <w:spacing w:after="240"/>
    </w:pPr>
    <w:rPr>
      <w:rFonts w:ascii="Arial" w:hAnsi="Arial" w:cs="Arial"/>
      <w:b/>
      <w:bCs/>
      <w:i/>
      <w:iCs/>
      <w:sz w:val="20"/>
      <w:lang w:eastAsia="en-AU"/>
    </w:rPr>
  </w:style>
  <w:style w:type="character" w:customStyle="1" w:styleId="EndnotetextChar0">
    <w:name w:val="Endnote text Char"/>
    <w:link w:val="EndnoteText1"/>
    <w:locked/>
    <w:rsid w:val="006C3968"/>
    <w:rPr>
      <w:rFonts w:ascii="Calibri" w:eastAsia="Calibri" w:hAnsi="Calibri"/>
      <w:sz w:val="22"/>
      <w:szCs w:val="22"/>
    </w:rPr>
  </w:style>
  <w:style w:type="paragraph" w:customStyle="1" w:styleId="EndnoteText1">
    <w:name w:val="Endnote Text1"/>
    <w:basedOn w:val="Normal"/>
    <w:link w:val="EndnotetextChar0"/>
    <w:rsid w:val="006C3968"/>
    <w:rPr>
      <w:rFonts w:ascii="Calibri" w:eastAsia="Calibri" w:hAnsi="Calibri"/>
      <w:sz w:val="22"/>
      <w:szCs w:val="22"/>
      <w:lang w:eastAsia="en-AU"/>
    </w:rPr>
  </w:style>
  <w:style w:type="paragraph" w:customStyle="1" w:styleId="PITableText">
    <w:name w:val="PI Table Text"/>
    <w:basedOn w:val="Normal"/>
    <w:uiPriority w:val="7"/>
    <w:qFormat/>
    <w:rsid w:val="008B6AB3"/>
    <w:rPr>
      <w:snapToGrid w:val="0"/>
      <w:color w:val="000000"/>
      <w:szCs w:val="24"/>
    </w:rPr>
  </w:style>
  <w:style w:type="paragraph" w:customStyle="1" w:styleId="Paragraph">
    <w:name w:val="Paragraph"/>
    <w:link w:val="ParagraphChar"/>
    <w:qFormat/>
    <w:rsid w:val="00B54BDF"/>
    <w:pPr>
      <w:spacing w:after="240"/>
    </w:pPr>
    <w:rPr>
      <w:sz w:val="24"/>
      <w:szCs w:val="24"/>
      <w:lang w:val="en-US" w:eastAsia="en-US"/>
    </w:rPr>
  </w:style>
  <w:style w:type="character" w:customStyle="1" w:styleId="ParagraphChar">
    <w:name w:val="Paragraph Char"/>
    <w:link w:val="Paragraph"/>
    <w:rsid w:val="00B54BDF"/>
    <w:rPr>
      <w:sz w:val="24"/>
      <w:szCs w:val="24"/>
      <w:lang w:val="en-US" w:eastAsia="en-US" w:bidi="ar-SA"/>
    </w:rPr>
  </w:style>
  <w:style w:type="paragraph" w:customStyle="1" w:styleId="StyleStyleHeading3NotItalicNotItalic">
    <w:name w:val="Style Style Heading 3 + Not Italic + Not Italic"/>
    <w:basedOn w:val="StyleHeading3NotItalic"/>
    <w:link w:val="StyleStyleHeading3NotItalicNotItalicChar"/>
    <w:rsid w:val="00511712"/>
    <w:rPr>
      <w:i w:val="0"/>
    </w:rPr>
  </w:style>
  <w:style w:type="character" w:customStyle="1" w:styleId="StyleStyleHeading3NotItalicNotItalicChar">
    <w:name w:val="Style Style Heading 3 + Not Italic + Not Italic Char"/>
    <w:link w:val="StyleStyleHeading3NotItalicNotItalic"/>
    <w:rsid w:val="00511712"/>
    <w:rPr>
      <w:i/>
      <w:sz w:val="22"/>
      <w:u w:val="single"/>
      <w:lang w:val="en-US" w:eastAsia="en-US"/>
    </w:rPr>
  </w:style>
  <w:style w:type="paragraph" w:customStyle="1" w:styleId="PINormal">
    <w:name w:val="PI Normal"/>
    <w:basedOn w:val="Normal"/>
    <w:uiPriority w:val="6"/>
    <w:qFormat/>
    <w:rsid w:val="00F71C6F"/>
    <w:pPr>
      <w:spacing w:after="240"/>
      <w:jc w:val="both"/>
    </w:pPr>
  </w:style>
  <w:style w:type="character" w:styleId="CommentReference">
    <w:name w:val="annotation reference"/>
    <w:rsid w:val="00EC4DF3"/>
    <w:rPr>
      <w:sz w:val="16"/>
      <w:szCs w:val="16"/>
    </w:rPr>
  </w:style>
  <w:style w:type="paragraph" w:styleId="CommentSubject">
    <w:name w:val="annotation subject"/>
    <w:basedOn w:val="CommentText"/>
    <w:next w:val="CommentText"/>
    <w:link w:val="CommentSubjectChar"/>
    <w:rsid w:val="00EC4DF3"/>
    <w:rPr>
      <w:b/>
      <w:bCs/>
      <w:lang w:val="en-AU"/>
    </w:rPr>
  </w:style>
  <w:style w:type="character" w:customStyle="1" w:styleId="CommentSubjectChar">
    <w:name w:val="Comment Subject Char"/>
    <w:link w:val="CommentSubject"/>
    <w:rsid w:val="00EC4DF3"/>
    <w:rPr>
      <w:b/>
      <w:bCs/>
      <w:lang w:val="en-US" w:eastAsia="en-US"/>
    </w:rPr>
  </w:style>
  <w:style w:type="character" w:customStyle="1" w:styleId="Heading3Char">
    <w:name w:val="Heading 3 Char"/>
    <w:link w:val="Heading3"/>
    <w:rsid w:val="00B65268"/>
    <w:rPr>
      <w:b/>
      <w:sz w:val="24"/>
      <w:lang w:val="en-GB" w:eastAsia="en-US"/>
    </w:rPr>
  </w:style>
  <w:style w:type="paragraph" w:customStyle="1" w:styleId="Default">
    <w:name w:val="Default"/>
    <w:link w:val="DefaultZchn"/>
    <w:rsid w:val="00AC5A68"/>
    <w:pPr>
      <w:autoSpaceDE w:val="0"/>
      <w:autoSpaceDN w:val="0"/>
      <w:adjustRightInd w:val="0"/>
    </w:pPr>
    <w:rPr>
      <w:rFonts w:ascii="Cambria" w:eastAsia="Calibri" w:hAnsi="Cambria" w:cs="Cambria"/>
      <w:color w:val="000000"/>
      <w:sz w:val="24"/>
      <w:szCs w:val="24"/>
      <w:lang w:eastAsia="en-US"/>
    </w:rPr>
  </w:style>
  <w:style w:type="paragraph" w:customStyle="1" w:styleId="PITITLE">
    <w:name w:val="PI TITLE"/>
    <w:basedOn w:val="Title"/>
    <w:qFormat/>
    <w:rsid w:val="00DD7220"/>
    <w:pPr>
      <w:spacing w:before="240" w:after="60"/>
      <w:jc w:val="both"/>
      <w:outlineLvl w:val="0"/>
    </w:pPr>
    <w:rPr>
      <w:kern w:val="28"/>
      <w:sz w:val="40"/>
      <w:lang w:val="en-GB"/>
    </w:rPr>
  </w:style>
  <w:style w:type="paragraph" w:customStyle="1" w:styleId="PISubtitle">
    <w:name w:val="PI Subtitle"/>
    <w:basedOn w:val="Subtitle"/>
    <w:uiPriority w:val="1"/>
    <w:qFormat/>
    <w:rsid w:val="00DD7220"/>
    <w:pPr>
      <w:numPr>
        <w:ilvl w:val="0"/>
      </w:numPr>
      <w:spacing w:after="60"/>
      <w:jc w:val="both"/>
      <w:outlineLvl w:val="1"/>
    </w:pPr>
    <w:rPr>
      <w:rFonts w:ascii="Times New Roman" w:hAnsi="Times New Roman"/>
      <w:b/>
      <w:i w:val="0"/>
      <w:iCs w:val="0"/>
      <w:color w:val="auto"/>
      <w:spacing w:val="0"/>
      <w:sz w:val="28"/>
      <w:szCs w:val="20"/>
      <w:lang w:val="en-GB"/>
    </w:rPr>
  </w:style>
  <w:style w:type="paragraph" w:styleId="Subtitle">
    <w:name w:val="Subtitle"/>
    <w:basedOn w:val="Normal"/>
    <w:next w:val="Normal"/>
    <w:link w:val="SubtitleChar"/>
    <w:qFormat/>
    <w:rsid w:val="00DD7220"/>
    <w:pPr>
      <w:numPr>
        <w:ilvl w:val="1"/>
      </w:numPr>
    </w:pPr>
    <w:rPr>
      <w:rFonts w:ascii="Cambria" w:hAnsi="Cambria"/>
      <w:i/>
      <w:iCs/>
      <w:color w:val="4F81BD"/>
      <w:spacing w:val="15"/>
      <w:szCs w:val="24"/>
    </w:rPr>
  </w:style>
  <w:style w:type="character" w:customStyle="1" w:styleId="SubtitleChar">
    <w:name w:val="Subtitle Char"/>
    <w:link w:val="Subtitle"/>
    <w:rsid w:val="00DD7220"/>
    <w:rPr>
      <w:rFonts w:ascii="Cambria" w:eastAsia="Times New Roman" w:hAnsi="Cambria" w:cs="Times New Roman"/>
      <w:i/>
      <w:iCs/>
      <w:color w:val="4F81BD"/>
      <w:spacing w:val="15"/>
      <w:sz w:val="24"/>
      <w:szCs w:val="24"/>
      <w:lang w:eastAsia="en-US"/>
    </w:rPr>
  </w:style>
  <w:style w:type="character" w:customStyle="1" w:styleId="PITradename">
    <w:name w:val="PI Tradename"/>
    <w:rsid w:val="00DD7220"/>
    <w:rPr>
      <w:rFonts w:ascii="Cambria" w:eastAsia="Times New Roman" w:hAnsi="Cambria" w:cs="Times New Roman"/>
      <w:b/>
      <w:i/>
      <w:iCs/>
      <w:color w:val="4F81BD"/>
      <w:spacing w:val="15"/>
      <w:sz w:val="32"/>
      <w:szCs w:val="24"/>
      <w:lang w:eastAsia="en-US"/>
    </w:rPr>
  </w:style>
  <w:style w:type="paragraph" w:customStyle="1" w:styleId="PIHeading1">
    <w:name w:val="PI Heading 1"/>
    <w:basedOn w:val="Heading1"/>
    <w:uiPriority w:val="2"/>
    <w:qFormat/>
    <w:rsid w:val="00DD7220"/>
    <w:pPr>
      <w:jc w:val="both"/>
    </w:pPr>
    <w:rPr>
      <w:rFonts w:cs="Times New Roman"/>
      <w:bCs w:val="0"/>
      <w:kern w:val="28"/>
      <w:sz w:val="28"/>
      <w:szCs w:val="20"/>
      <w:lang w:val="en-GB"/>
    </w:rPr>
  </w:style>
  <w:style w:type="paragraph" w:customStyle="1" w:styleId="PIHeading3">
    <w:name w:val="PI Heading 3"/>
    <w:basedOn w:val="Heading3"/>
    <w:uiPriority w:val="4"/>
    <w:qFormat/>
    <w:rsid w:val="00DD7220"/>
    <w:pPr>
      <w:spacing w:before="120" w:after="120"/>
    </w:pPr>
    <w:rPr>
      <w:i/>
      <w:iCs/>
    </w:rPr>
  </w:style>
  <w:style w:type="paragraph" w:customStyle="1" w:styleId="PIHeading2">
    <w:name w:val="PI Heading 2"/>
    <w:basedOn w:val="Heading2"/>
    <w:uiPriority w:val="3"/>
    <w:qFormat/>
    <w:rsid w:val="00133065"/>
    <w:pPr>
      <w:spacing w:after="120" w:line="280" w:lineRule="exact"/>
      <w:jc w:val="both"/>
    </w:pPr>
    <w:rPr>
      <w:rFonts w:ascii="Times New Roman" w:hAnsi="Times New Roman" w:cs="Times New Roman"/>
      <w:bCs w:val="0"/>
      <w:i w:val="0"/>
      <w:iCs w:val="0"/>
      <w:szCs w:val="20"/>
      <w:lang w:val="en-GB"/>
    </w:rPr>
  </w:style>
  <w:style w:type="paragraph" w:customStyle="1" w:styleId="PITableFootnote">
    <w:name w:val="PI Table Footnote"/>
    <w:basedOn w:val="Normal"/>
    <w:uiPriority w:val="7"/>
    <w:qFormat/>
    <w:rsid w:val="00100F28"/>
    <w:pPr>
      <w:spacing w:before="40"/>
    </w:pPr>
    <w:rPr>
      <w:color w:val="000000"/>
      <w:sz w:val="20"/>
      <w:szCs w:val="24"/>
      <w:lang w:val="en-GB"/>
    </w:rPr>
  </w:style>
  <w:style w:type="paragraph" w:customStyle="1" w:styleId="PIFooter">
    <w:name w:val="PI Footer"/>
    <w:basedOn w:val="Footer"/>
    <w:uiPriority w:val="7"/>
    <w:qFormat/>
    <w:rsid w:val="00AC6A97"/>
    <w:pPr>
      <w:pBdr>
        <w:top w:val="single" w:sz="6" w:space="1" w:color="auto"/>
      </w:pBdr>
      <w:tabs>
        <w:tab w:val="clear" w:pos="4153"/>
        <w:tab w:val="clear" w:pos="8306"/>
        <w:tab w:val="right" w:pos="8800"/>
      </w:tabs>
    </w:pPr>
  </w:style>
  <w:style w:type="paragraph" w:customStyle="1" w:styleId="PITableTextListText">
    <w:name w:val="PI Table Text/List Text"/>
    <w:basedOn w:val="Normal"/>
    <w:uiPriority w:val="7"/>
    <w:qFormat/>
    <w:rsid w:val="00815854"/>
    <w:pPr>
      <w:spacing w:before="20" w:after="20"/>
    </w:pPr>
    <w:rPr>
      <w:snapToGrid w:val="0"/>
      <w:color w:val="000000"/>
      <w:szCs w:val="24"/>
      <w:lang w:val="en-GB"/>
    </w:rPr>
  </w:style>
  <w:style w:type="character" w:customStyle="1" w:styleId="BodyTextChar">
    <w:name w:val="Body Text Char"/>
    <w:link w:val="BodyText"/>
    <w:rsid w:val="005D5916"/>
    <w:rPr>
      <w:sz w:val="24"/>
      <w:lang w:val="en-GB"/>
    </w:rPr>
  </w:style>
  <w:style w:type="paragraph" w:styleId="Caption">
    <w:name w:val="caption"/>
    <w:next w:val="Paragraph"/>
    <w:link w:val="CaptionChar"/>
    <w:qFormat/>
    <w:rsid w:val="004A7D38"/>
    <w:pPr>
      <w:keepNext/>
      <w:tabs>
        <w:tab w:val="left" w:pos="1152"/>
      </w:tabs>
      <w:spacing w:after="240"/>
      <w:ind w:left="1152" w:hanging="1152"/>
    </w:pPr>
    <w:rPr>
      <w:rFonts w:ascii="Times New Roman Bold" w:hAnsi="Times New Roman Bold" w:cs="Arial"/>
      <w:b/>
      <w:bCs/>
      <w:sz w:val="24"/>
      <w:szCs w:val="24"/>
      <w:lang w:val="en-US" w:eastAsia="en-US"/>
    </w:rPr>
  </w:style>
  <w:style w:type="paragraph" w:customStyle="1" w:styleId="Heading3Unnumbered">
    <w:name w:val="Heading 3 Unnumbered"/>
    <w:next w:val="Paragraph"/>
    <w:rsid w:val="004A7D38"/>
    <w:pPr>
      <w:keepNext/>
      <w:spacing w:after="240"/>
      <w:outlineLvl w:val="2"/>
    </w:pPr>
    <w:rPr>
      <w:rFonts w:ascii="Times New Roman Bold" w:hAnsi="Times New Roman Bold"/>
      <w:b/>
      <w:sz w:val="24"/>
      <w:lang w:val="en-US" w:eastAsia="en-US"/>
    </w:rPr>
  </w:style>
  <w:style w:type="character" w:customStyle="1" w:styleId="CaptionChar">
    <w:name w:val="Caption Char"/>
    <w:link w:val="Caption"/>
    <w:rsid w:val="004A7D38"/>
    <w:rPr>
      <w:rFonts w:ascii="Times New Roman Bold" w:hAnsi="Times New Roman Bold" w:cs="Arial"/>
      <w:b/>
      <w:bCs/>
      <w:sz w:val="24"/>
      <w:szCs w:val="24"/>
    </w:rPr>
  </w:style>
  <w:style w:type="character" w:styleId="FollowedHyperlink">
    <w:name w:val="FollowedHyperlink"/>
    <w:rsid w:val="00364AA3"/>
    <w:rPr>
      <w:color w:val="800080"/>
      <w:u w:val="single"/>
    </w:rPr>
  </w:style>
  <w:style w:type="paragraph" w:styleId="ListParagraph">
    <w:name w:val="List Paragraph"/>
    <w:basedOn w:val="Normal"/>
    <w:uiPriority w:val="34"/>
    <w:qFormat/>
    <w:rsid w:val="001D418D"/>
    <w:pPr>
      <w:ind w:left="720"/>
      <w:contextualSpacing/>
    </w:pPr>
  </w:style>
  <w:style w:type="character" w:customStyle="1" w:styleId="DefaultZchn">
    <w:name w:val="Default Zchn"/>
    <w:link w:val="Default"/>
    <w:rsid w:val="001D418D"/>
    <w:rPr>
      <w:rFonts w:ascii="Cambria" w:eastAsia="Calibri" w:hAnsi="Cambria" w:cs="Cambria"/>
      <w:color w:val="000000"/>
      <w:sz w:val="24"/>
      <w:szCs w:val="24"/>
      <w:lang w:val="en-AU" w:eastAsia="en-US"/>
    </w:rPr>
  </w:style>
  <w:style w:type="paragraph" w:customStyle="1" w:styleId="EndNoteBibliography">
    <w:name w:val="EndNote Bibliography"/>
    <w:basedOn w:val="Normal"/>
    <w:link w:val="EndNoteBibliographyZchn"/>
    <w:rsid w:val="00621299"/>
    <w:pPr>
      <w:jc w:val="both"/>
    </w:pPr>
    <w:rPr>
      <w:noProof/>
      <w:lang w:val="en-US"/>
    </w:rPr>
  </w:style>
  <w:style w:type="character" w:customStyle="1" w:styleId="EndNoteBibliographyZchn">
    <w:name w:val="EndNote Bibliography Zchn"/>
    <w:link w:val="EndNoteBibliography"/>
    <w:rsid w:val="00621299"/>
    <w:rPr>
      <w:noProof/>
      <w:sz w:val="24"/>
      <w:lang w:val="en-US" w:eastAsia="en-US"/>
    </w:rPr>
  </w:style>
  <w:style w:type="paragraph" w:styleId="Revision">
    <w:name w:val="Revision"/>
    <w:hidden/>
    <w:uiPriority w:val="99"/>
    <w:semiHidden/>
    <w:rsid w:val="009116AA"/>
    <w:rPr>
      <w:sz w:val="24"/>
      <w:lang w:eastAsia="en-US"/>
    </w:rPr>
  </w:style>
  <w:style w:type="paragraph" w:customStyle="1" w:styleId="DSNormal">
    <w:name w:val="DS Normal"/>
    <w:basedOn w:val="Normal"/>
    <w:qFormat/>
    <w:rsid w:val="000F2F06"/>
    <w:pPr>
      <w:spacing w:after="240"/>
      <w:jc w:val="both"/>
    </w:pPr>
  </w:style>
  <w:style w:type="paragraph" w:customStyle="1" w:styleId="DSHeading2">
    <w:name w:val="DS Heading 2"/>
    <w:basedOn w:val="Heading2"/>
    <w:qFormat/>
    <w:rsid w:val="002643F1"/>
    <w:pPr>
      <w:spacing w:after="120" w:line="280" w:lineRule="exact"/>
      <w:jc w:val="both"/>
    </w:pPr>
    <w:rPr>
      <w:rFonts w:ascii="Times New Roman" w:hAnsi="Times New Roman" w:cs="Times New Roman"/>
      <w:bCs w:val="0"/>
      <w:i w:val="0"/>
      <w:iCs w:val="0"/>
      <w:sz w:val="28"/>
      <w:szCs w:val="20"/>
    </w:rPr>
  </w:style>
  <w:style w:type="character" w:customStyle="1" w:styleId="MPINormal">
    <w:name w:val="MPI Normal"/>
    <w:rsid w:val="00422678"/>
    <w:rPr>
      <w:szCs w:val="24"/>
    </w:rPr>
  </w:style>
  <w:style w:type="character" w:customStyle="1" w:styleId="UnresolvedMention">
    <w:name w:val="Unresolved Mention"/>
    <w:uiPriority w:val="99"/>
    <w:semiHidden/>
    <w:unhideWhenUsed/>
    <w:rsid w:val="00513001"/>
    <w:rPr>
      <w:color w:val="808080"/>
      <w:shd w:val="clear" w:color="auto" w:fill="E6E6E6"/>
    </w:rPr>
  </w:style>
  <w:style w:type="paragraph" w:customStyle="1" w:styleId="FigureHolder">
    <w:name w:val="Figure Holder"/>
    <w:next w:val="Normal"/>
    <w:qFormat/>
    <w:rsid w:val="00D61E72"/>
    <w:pPr>
      <w:keepLines/>
      <w:spacing w:before="240" w:after="240" w:line="300" w:lineRule="atLeast"/>
      <w:jc w:val="center"/>
    </w:pPr>
    <w:rPr>
      <w:sz w:val="24"/>
      <w:szCs w:val="22"/>
      <w:lang w:val="en-US" w:eastAsia="en-US"/>
    </w:rPr>
  </w:style>
  <w:style w:type="character" w:customStyle="1" w:styleId="BlueText">
    <w:name w:val="Blue Text"/>
    <w:rsid w:val="00D61E72"/>
    <w:rPr>
      <w:color w:val="0000FF"/>
    </w:rPr>
  </w:style>
  <w:style w:type="paragraph" w:customStyle="1" w:styleId="CLDNormal">
    <w:name w:val="CLD Normal"/>
    <w:basedOn w:val="Normal"/>
    <w:uiPriority w:val="6"/>
    <w:qFormat/>
    <w:rsid w:val="00D61E72"/>
    <w:pPr>
      <w:spacing w:after="240"/>
    </w:pPr>
    <w:rPr>
      <w:rFonts w:eastAsia="Cambria"/>
      <w:szCs w:val="24"/>
      <w:lang w:val="en-US"/>
    </w:rPr>
  </w:style>
  <w:style w:type="paragraph" w:customStyle="1" w:styleId="CLDHeading1">
    <w:name w:val="CLD Heading 1"/>
    <w:basedOn w:val="Heading1"/>
    <w:uiPriority w:val="2"/>
    <w:qFormat/>
    <w:rsid w:val="00D61E72"/>
    <w:pPr>
      <w:numPr>
        <w:numId w:val="0"/>
      </w:numPr>
      <w:spacing w:after="0" w:line="240" w:lineRule="auto"/>
      <w:ind w:left="426" w:hanging="426"/>
    </w:pPr>
    <w:rPr>
      <w:rFonts w:eastAsia="Cambria" w:cs="Times New Roman"/>
      <w:bCs w:val="0"/>
      <w:kern w:val="28"/>
      <w:sz w:val="28"/>
      <w:szCs w:val="24"/>
      <w:lang w:val="en-US"/>
    </w:rPr>
  </w:style>
  <w:style w:type="paragraph" w:customStyle="1" w:styleId="CLDHeading2">
    <w:name w:val="CLD Heading 2"/>
    <w:basedOn w:val="Heading2"/>
    <w:uiPriority w:val="3"/>
    <w:qFormat/>
    <w:rsid w:val="00D61E72"/>
    <w:pPr>
      <w:spacing w:before="360" w:after="240"/>
      <w:ind w:left="426" w:hanging="426"/>
    </w:pPr>
    <w:rPr>
      <w:rFonts w:ascii="Times New Roman Bold" w:eastAsia="Cambria" w:hAnsi="Times New Roman Bold" w:cs="Times New Roman"/>
      <w:bCs w:val="0"/>
      <w:i w:val="0"/>
      <w:iCs w:val="0"/>
      <w:sz w:val="28"/>
      <w:lang w:val="en-US"/>
    </w:rPr>
  </w:style>
  <w:style w:type="paragraph" w:customStyle="1" w:styleId="CLDHeading3">
    <w:name w:val="CLD Heading 3"/>
    <w:basedOn w:val="CLDHeading2"/>
    <w:uiPriority w:val="4"/>
    <w:qFormat/>
    <w:rsid w:val="00D61E72"/>
    <w:pPr>
      <w:spacing w:before="240"/>
    </w:pPr>
    <w:rPr>
      <w:sz w:val="24"/>
    </w:rPr>
  </w:style>
  <w:style w:type="paragraph" w:customStyle="1" w:styleId="CLDHeading4">
    <w:name w:val="CLD Heading 4"/>
    <w:basedOn w:val="Heading4"/>
    <w:uiPriority w:val="5"/>
    <w:qFormat/>
    <w:rsid w:val="00D61E72"/>
    <w:pPr>
      <w:spacing w:before="120" w:after="120"/>
      <w:jc w:val="left"/>
    </w:pPr>
    <w:rPr>
      <w:rFonts w:ascii="Times New Roman Bold" w:eastAsia="Cambria" w:hAnsi="Times New Roman Bold"/>
      <w:i/>
      <w:iCs/>
      <w:sz w:val="24"/>
      <w:szCs w:val="24"/>
      <w:lang w:val="en-US"/>
    </w:rPr>
  </w:style>
  <w:style w:type="paragraph" w:customStyle="1" w:styleId="CLDTITLE">
    <w:name w:val="CLD TITLE"/>
    <w:basedOn w:val="Normal"/>
    <w:qFormat/>
    <w:rsid w:val="00D61E72"/>
    <w:pPr>
      <w:outlineLvl w:val="0"/>
    </w:pPr>
    <w:rPr>
      <w:rFonts w:eastAsia="Cambria"/>
      <w:b/>
      <w:kern w:val="28"/>
      <w:sz w:val="40"/>
      <w:szCs w:val="24"/>
      <w:lang w:val="en-US"/>
    </w:rPr>
  </w:style>
  <w:style w:type="character" w:customStyle="1" w:styleId="FooterChar">
    <w:name w:val="Footer Char"/>
    <w:link w:val="Footer"/>
    <w:rsid w:val="00D61E72"/>
    <w:rPr>
      <w:lang w:val="en-GB" w:eastAsia="en-US"/>
    </w:rPr>
  </w:style>
  <w:style w:type="character" w:customStyle="1" w:styleId="HeaderChar">
    <w:name w:val="Header Char"/>
    <w:link w:val="Header"/>
    <w:uiPriority w:val="99"/>
    <w:rsid w:val="009305C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02605">
      <w:bodyDiv w:val="1"/>
      <w:marLeft w:val="0"/>
      <w:marRight w:val="0"/>
      <w:marTop w:val="0"/>
      <w:marBottom w:val="0"/>
      <w:divBdr>
        <w:top w:val="none" w:sz="0" w:space="0" w:color="auto"/>
        <w:left w:val="none" w:sz="0" w:space="0" w:color="auto"/>
        <w:bottom w:val="none" w:sz="0" w:space="0" w:color="auto"/>
        <w:right w:val="none" w:sz="0" w:space="0" w:color="auto"/>
      </w:divBdr>
    </w:div>
    <w:div w:id="290330274">
      <w:bodyDiv w:val="1"/>
      <w:marLeft w:val="0"/>
      <w:marRight w:val="0"/>
      <w:marTop w:val="0"/>
      <w:marBottom w:val="0"/>
      <w:divBdr>
        <w:top w:val="none" w:sz="0" w:space="0" w:color="auto"/>
        <w:left w:val="none" w:sz="0" w:space="0" w:color="auto"/>
        <w:bottom w:val="none" w:sz="0" w:space="0" w:color="auto"/>
        <w:right w:val="none" w:sz="0" w:space="0" w:color="auto"/>
      </w:divBdr>
    </w:div>
    <w:div w:id="515852908">
      <w:bodyDiv w:val="1"/>
      <w:marLeft w:val="0"/>
      <w:marRight w:val="0"/>
      <w:marTop w:val="0"/>
      <w:marBottom w:val="0"/>
      <w:divBdr>
        <w:top w:val="none" w:sz="0" w:space="0" w:color="auto"/>
        <w:left w:val="none" w:sz="0" w:space="0" w:color="auto"/>
        <w:bottom w:val="none" w:sz="0" w:space="0" w:color="auto"/>
        <w:right w:val="none" w:sz="0" w:space="0" w:color="auto"/>
      </w:divBdr>
    </w:div>
    <w:div w:id="786776866">
      <w:bodyDiv w:val="1"/>
      <w:marLeft w:val="0"/>
      <w:marRight w:val="0"/>
      <w:marTop w:val="0"/>
      <w:marBottom w:val="0"/>
      <w:divBdr>
        <w:top w:val="none" w:sz="0" w:space="0" w:color="auto"/>
        <w:left w:val="none" w:sz="0" w:space="0" w:color="auto"/>
        <w:bottom w:val="none" w:sz="0" w:space="0" w:color="auto"/>
        <w:right w:val="none" w:sz="0" w:space="0" w:color="auto"/>
      </w:divBdr>
    </w:div>
    <w:div w:id="864827474">
      <w:bodyDiv w:val="1"/>
      <w:marLeft w:val="0"/>
      <w:marRight w:val="0"/>
      <w:marTop w:val="0"/>
      <w:marBottom w:val="0"/>
      <w:divBdr>
        <w:top w:val="none" w:sz="0" w:space="0" w:color="auto"/>
        <w:left w:val="none" w:sz="0" w:space="0" w:color="auto"/>
        <w:bottom w:val="none" w:sz="0" w:space="0" w:color="auto"/>
        <w:right w:val="none" w:sz="0" w:space="0" w:color="auto"/>
      </w:divBdr>
    </w:div>
    <w:div w:id="20961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izer.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18E81-CBEA-420B-884A-0C7C8581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3240</Words>
  <Characters>18473</Characters>
  <Application>Microsoft Office Word</Application>
  <DocSecurity>0</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PRODUCT INFORMATION</vt:lpstr>
      <vt:lpstr>DRAFT PRODUCT INFORMATION</vt:lpstr>
    </vt:vector>
  </TitlesOfParts>
  <Company>Wyeth Australia Pty Ltd</Company>
  <LinksUpToDate>false</LinksUpToDate>
  <CharactersWithSpaces>21670</CharactersWithSpaces>
  <SharedDoc>false</SharedDoc>
  <HLinks>
    <vt:vector size="12" baseType="variant">
      <vt:variant>
        <vt:i4>5046353</vt:i4>
      </vt:variant>
      <vt:variant>
        <vt:i4>6</vt:i4>
      </vt:variant>
      <vt:variant>
        <vt:i4>0</vt:i4>
      </vt:variant>
      <vt:variant>
        <vt:i4>5</vt:i4>
      </vt:variant>
      <vt:variant>
        <vt:lpwstr>http://www.pfizer.com.au/</vt:lpwstr>
      </vt:variant>
      <vt:variant>
        <vt:lpwstr/>
      </vt:variant>
      <vt:variant>
        <vt:i4>5898317</vt:i4>
      </vt:variant>
      <vt:variant>
        <vt:i4>3</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Crisaborole</dc:title>
  <dc:subject/>
  <dc:creator>Wyeth Australia Pty Ltd</dc:creator>
  <cp:keywords/>
  <cp:lastPrinted>2018-01-05T00:30:00Z</cp:lastPrinted>
  <dcterms:created xsi:type="dcterms:W3CDTF">2019-10-01T01:21:00Z</dcterms:created>
  <dcterms:modified xsi:type="dcterms:W3CDTF">2019-10-01T02:06:00Z</dcterms:modified>
</cp:coreProperties>
</file>