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C3CE584" w14:textId="77777777" w:rsidTr="00BF1190">
        <w:trPr>
          <w:trHeight w:val="1863"/>
        </w:trPr>
        <w:tc>
          <w:tcPr>
            <w:tcW w:w="3652" w:type="dxa"/>
            <w:tcBorders>
              <w:top w:val="nil"/>
              <w:left w:val="nil"/>
              <w:bottom w:val="nil"/>
              <w:right w:val="nil"/>
            </w:tcBorders>
          </w:tcPr>
          <w:p w14:paraId="0125A523" w14:textId="08466296" w:rsidR="008E7846" w:rsidRPr="00096AA7" w:rsidRDefault="00C24184" w:rsidP="00096AA7">
            <w:pPr>
              <w:rPr>
                <w:rFonts w:ascii="Arial" w:hAnsi="Arial" w:cs="Arial"/>
                <w:b/>
                <w:color w:val="002C47"/>
                <w:sz w:val="36"/>
                <w:szCs w:val="36"/>
              </w:rPr>
            </w:pPr>
            <w:r>
              <w:rPr>
                <w:rFonts w:ascii="Arial" w:hAnsi="Arial" w:cs="Arial"/>
                <w:b/>
                <w:color w:val="002C47"/>
                <w:sz w:val="36"/>
                <w:szCs w:val="36"/>
              </w:rPr>
              <w:t xml:space="preserve">April </w:t>
            </w:r>
            <w:r w:rsidR="00293E30">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673F975" w14:textId="77777777" w:rsidTr="0032583B">
        <w:trPr>
          <w:trHeight w:val="868"/>
        </w:trPr>
        <w:tc>
          <w:tcPr>
            <w:tcW w:w="9079" w:type="dxa"/>
          </w:tcPr>
          <w:p w14:paraId="673DBC76" w14:textId="70C991D4" w:rsidR="0032583B" w:rsidRPr="00A964D1" w:rsidRDefault="0032583B" w:rsidP="00293E30">
            <w:pPr>
              <w:pStyle w:val="Title"/>
              <w:rPr>
                <w:color w:val="FFFFFF" w:themeColor="background1"/>
              </w:rPr>
            </w:pPr>
            <w:r w:rsidRPr="00A964D1">
              <w:rPr>
                <w:color w:val="FFFFFF" w:themeColor="background1"/>
              </w:rPr>
              <w:t xml:space="preserve">Australian Public Assessment Report for </w:t>
            </w:r>
            <w:r w:rsidR="00293E30" w:rsidRPr="00F3091E">
              <w:rPr>
                <w:i/>
                <w:color w:val="FFFFFF" w:themeColor="background1"/>
              </w:rPr>
              <w:t>Clo</w:t>
            </w:r>
            <w:r w:rsidR="00E12237" w:rsidRPr="00F3091E">
              <w:rPr>
                <w:i/>
                <w:color w:val="FFFFFF" w:themeColor="background1"/>
              </w:rPr>
              <w:t>stridium botulinum</w:t>
            </w:r>
            <w:r w:rsidR="00E12237">
              <w:rPr>
                <w:color w:val="FFFFFF" w:themeColor="background1"/>
              </w:rPr>
              <w:t xml:space="preserve"> type A</w:t>
            </w:r>
            <w:r w:rsidR="00293E30">
              <w:rPr>
                <w:color w:val="FFFFFF" w:themeColor="background1"/>
              </w:rPr>
              <w:t xml:space="preserve"> toxin-</w:t>
            </w:r>
            <w:r w:rsidR="00293E30" w:rsidRPr="00293E30">
              <w:rPr>
                <w:color w:val="FFFFFF" w:themeColor="background1"/>
              </w:rPr>
              <w:t>haemagglutinin complex</w:t>
            </w:r>
          </w:p>
        </w:tc>
      </w:tr>
      <w:tr w:rsidR="0032583B" w:rsidRPr="00B64760" w14:paraId="30C3A36C" w14:textId="77777777" w:rsidTr="0032583B">
        <w:tc>
          <w:tcPr>
            <w:tcW w:w="9079" w:type="dxa"/>
          </w:tcPr>
          <w:p w14:paraId="6A35E5F4" w14:textId="77777777" w:rsidR="0032583B" w:rsidRPr="008E7846" w:rsidRDefault="0032583B" w:rsidP="00293E30">
            <w:pPr>
              <w:pStyle w:val="Subtitle"/>
              <w:rPr>
                <w:color w:val="FFFFFF" w:themeColor="background1"/>
              </w:rPr>
            </w:pPr>
            <w:r w:rsidRPr="008E7846">
              <w:rPr>
                <w:color w:val="FFFFFF" w:themeColor="background1"/>
              </w:rPr>
              <w:t xml:space="preserve">Proprietary Product Name: </w:t>
            </w:r>
            <w:proofErr w:type="spellStart"/>
            <w:r w:rsidR="00293E30">
              <w:rPr>
                <w:color w:val="FFFFFF" w:themeColor="background1"/>
              </w:rPr>
              <w:t>Dysport</w:t>
            </w:r>
            <w:proofErr w:type="spellEnd"/>
          </w:p>
        </w:tc>
      </w:tr>
      <w:tr w:rsidR="0032583B" w:rsidRPr="00B64760" w14:paraId="1A2047DC" w14:textId="77777777" w:rsidTr="0032583B">
        <w:trPr>
          <w:trHeight w:val="486"/>
        </w:trPr>
        <w:tc>
          <w:tcPr>
            <w:tcW w:w="9079" w:type="dxa"/>
          </w:tcPr>
          <w:p w14:paraId="5C6141A5" w14:textId="77777777" w:rsidR="0032583B" w:rsidRPr="008E7846" w:rsidRDefault="00460036" w:rsidP="00293E30">
            <w:pPr>
              <w:pStyle w:val="Subtitle"/>
              <w:rPr>
                <w:color w:val="FFFFFF" w:themeColor="background1"/>
              </w:rPr>
            </w:pPr>
            <w:r>
              <w:rPr>
                <w:color w:val="FFFFFF" w:themeColor="background1"/>
              </w:rPr>
              <w:t xml:space="preserve">Sponsor: </w:t>
            </w:r>
            <w:proofErr w:type="spellStart"/>
            <w:r w:rsidR="00293E30">
              <w:rPr>
                <w:color w:val="FFFFFF" w:themeColor="background1"/>
              </w:rPr>
              <w:t>Ipsen</w:t>
            </w:r>
            <w:proofErr w:type="spellEnd"/>
            <w:r w:rsidR="00293E30">
              <w:rPr>
                <w:color w:val="FFFFFF" w:themeColor="background1"/>
              </w:rPr>
              <w:t xml:space="preserve"> Australia Pty Ltd</w:t>
            </w:r>
          </w:p>
        </w:tc>
      </w:tr>
    </w:tbl>
    <w:p w14:paraId="6371927E" w14:textId="77777777" w:rsidR="008E7846" w:rsidRPr="0085156D" w:rsidRDefault="008E7846" w:rsidP="0085156D">
      <w:r w:rsidRPr="0085156D">
        <w:br w:type="page"/>
      </w:r>
    </w:p>
    <w:p w14:paraId="170DE83B" w14:textId="77777777" w:rsidR="008E7846" w:rsidRPr="001F6CBA" w:rsidRDefault="008E7846" w:rsidP="008E7846">
      <w:pPr>
        <w:pStyle w:val="NonTOCHeading2"/>
      </w:pPr>
      <w:r w:rsidRPr="001F6CBA">
        <w:lastRenderedPageBreak/>
        <w:t>About the Therapeutic Goods Administration (TGA)</w:t>
      </w:r>
    </w:p>
    <w:p w14:paraId="0B92EDF6" w14:textId="77777777" w:rsidR="008E7846" w:rsidRDefault="008E7846" w:rsidP="007F7A26">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1EBFB7A2" w14:textId="77777777" w:rsidR="008E7846" w:rsidRDefault="00C80137" w:rsidP="007F7A26">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BF47D58" w14:textId="77777777" w:rsidR="008E7846" w:rsidRDefault="008E7846" w:rsidP="007F7A26">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2D797B5A" w14:textId="77777777" w:rsidR="008E7846" w:rsidRDefault="008E7846" w:rsidP="007F7A26">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287DF221" w14:textId="35E952A1" w:rsidR="00441C3F" w:rsidRDefault="008E7846" w:rsidP="007F7A26">
      <w:pPr>
        <w:pStyle w:val="ListBullet"/>
        <w:numPr>
          <w:ilvl w:val="0"/>
          <w:numId w:val="1"/>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02BEABF1" w14:textId="77777777" w:rsidR="008E7846" w:rsidRDefault="008E7846" w:rsidP="00875A6B">
      <w:pPr>
        <w:pStyle w:val="NonTOCHeading2"/>
      </w:pPr>
      <w:r>
        <w:t>About AusPARs</w:t>
      </w:r>
    </w:p>
    <w:p w14:paraId="67D6E8C2" w14:textId="77777777" w:rsidR="008E7846" w:rsidRDefault="008E7846" w:rsidP="007F7A26">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AAC3AC3" w14:textId="77777777" w:rsidR="008E7846" w:rsidRDefault="008E7846" w:rsidP="007F7A26">
      <w:pPr>
        <w:pStyle w:val="ListBullet"/>
        <w:numPr>
          <w:ilvl w:val="0"/>
          <w:numId w:val="1"/>
        </w:numPr>
        <w:ind w:left="357" w:hanging="357"/>
      </w:pPr>
      <w:r>
        <w:t>AusPARs are prepared and published by the TGA.</w:t>
      </w:r>
    </w:p>
    <w:p w14:paraId="7C5724FA" w14:textId="77777777" w:rsidR="008E7846" w:rsidRDefault="008E7846" w:rsidP="007F7A26">
      <w:pPr>
        <w:pStyle w:val="ListBullet"/>
        <w:numPr>
          <w:ilvl w:val="0"/>
          <w:numId w:val="1"/>
        </w:numPr>
        <w:ind w:left="357" w:hanging="357"/>
      </w:pPr>
      <w:r>
        <w:t>An AusPAR is prepared for submissions that relate to new chemical entities, generic medicines, major variations and extensions of indications.</w:t>
      </w:r>
    </w:p>
    <w:p w14:paraId="3632785E" w14:textId="77777777" w:rsidR="008E7846" w:rsidRDefault="008E7846" w:rsidP="007F7A26">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49407734" w14:textId="77777777" w:rsidR="00B452CE" w:rsidRDefault="008E7846" w:rsidP="007F7A26">
      <w:pPr>
        <w:pStyle w:val="ListBullet"/>
        <w:numPr>
          <w:ilvl w:val="0"/>
          <w:numId w:val="1"/>
        </w:numPr>
        <w:ind w:left="357" w:hanging="357"/>
      </w:pPr>
      <w:r>
        <w:t>A new AusPAR will be developed to reflect changes to indications and/or major variations to a prescription medicine subject to evaluation by the TGA.</w:t>
      </w:r>
    </w:p>
    <w:p w14:paraId="4929E38D" w14:textId="77777777" w:rsidR="00924482" w:rsidRPr="00DF1D7F" w:rsidRDefault="00924482" w:rsidP="00F54B65">
      <w:pPr>
        <w:pStyle w:val="LegalSubheading"/>
        <w:spacing w:before="3120"/>
      </w:pPr>
      <w:r w:rsidRPr="00DF1D7F">
        <w:t>Copyright</w:t>
      </w:r>
    </w:p>
    <w:p w14:paraId="670B7402" w14:textId="5313AA1A"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3D6E5E1F"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E1DAC98" w14:textId="77777777" w:rsidR="0089635C" w:rsidRPr="0089635C" w:rsidRDefault="0089635C" w:rsidP="0010788A">
          <w:pPr>
            <w:pStyle w:val="Contents"/>
          </w:pPr>
          <w:r w:rsidRPr="0010788A">
            <w:t>Con</w:t>
          </w:r>
          <w:bookmarkStart w:id="2" w:name="_GoBack"/>
          <w:bookmarkEnd w:id="2"/>
          <w:r w:rsidRPr="0010788A">
            <w:t>tents</w:t>
          </w:r>
        </w:p>
        <w:p w14:paraId="4D150754" w14:textId="7994BC49" w:rsidR="00750907"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0942389" w:history="1">
            <w:r w:rsidR="00750907" w:rsidRPr="00452BB3">
              <w:rPr>
                <w:rStyle w:val="Hyperlink"/>
                <w:noProof/>
              </w:rPr>
              <w:t>List of abbreviations</w:t>
            </w:r>
            <w:r w:rsidR="00750907">
              <w:rPr>
                <w:noProof/>
                <w:webHidden/>
              </w:rPr>
              <w:tab/>
            </w:r>
            <w:r w:rsidR="00750907">
              <w:rPr>
                <w:noProof/>
                <w:webHidden/>
              </w:rPr>
              <w:fldChar w:fldCharType="begin"/>
            </w:r>
            <w:r w:rsidR="00750907">
              <w:rPr>
                <w:noProof/>
                <w:webHidden/>
              </w:rPr>
              <w:instrText xml:space="preserve"> PAGEREF _Toc70942389 \h </w:instrText>
            </w:r>
            <w:r w:rsidR="00750907">
              <w:rPr>
                <w:noProof/>
                <w:webHidden/>
              </w:rPr>
            </w:r>
            <w:r w:rsidR="00750907">
              <w:rPr>
                <w:noProof/>
                <w:webHidden/>
              </w:rPr>
              <w:fldChar w:fldCharType="separate"/>
            </w:r>
            <w:r w:rsidR="00750907">
              <w:rPr>
                <w:noProof/>
                <w:webHidden/>
              </w:rPr>
              <w:t>4</w:t>
            </w:r>
            <w:r w:rsidR="00750907">
              <w:rPr>
                <w:noProof/>
                <w:webHidden/>
              </w:rPr>
              <w:fldChar w:fldCharType="end"/>
            </w:r>
          </w:hyperlink>
        </w:p>
        <w:p w14:paraId="3AC7035F" w14:textId="4B1BA141" w:rsidR="00750907" w:rsidRDefault="00750907">
          <w:pPr>
            <w:pStyle w:val="TOC1"/>
            <w:rPr>
              <w:rFonts w:asciiTheme="minorHAnsi" w:eastAsiaTheme="minorEastAsia" w:hAnsiTheme="minorHAnsi" w:cstheme="minorBidi"/>
              <w:b w:val="0"/>
              <w:noProof/>
              <w:sz w:val="22"/>
              <w:lang w:eastAsia="en-AU"/>
            </w:rPr>
          </w:pPr>
          <w:hyperlink w:anchor="_Toc70942390" w:history="1">
            <w:r w:rsidRPr="00452BB3">
              <w:rPr>
                <w:rStyle w:val="Hyperlink"/>
                <w:noProof/>
              </w:rPr>
              <w:t>I. Introduction to product submission</w:t>
            </w:r>
            <w:r>
              <w:rPr>
                <w:noProof/>
                <w:webHidden/>
              </w:rPr>
              <w:tab/>
            </w:r>
            <w:r>
              <w:rPr>
                <w:noProof/>
                <w:webHidden/>
              </w:rPr>
              <w:fldChar w:fldCharType="begin"/>
            </w:r>
            <w:r>
              <w:rPr>
                <w:noProof/>
                <w:webHidden/>
              </w:rPr>
              <w:instrText xml:space="preserve"> PAGEREF _Toc70942390 \h </w:instrText>
            </w:r>
            <w:r>
              <w:rPr>
                <w:noProof/>
                <w:webHidden/>
              </w:rPr>
            </w:r>
            <w:r>
              <w:rPr>
                <w:noProof/>
                <w:webHidden/>
              </w:rPr>
              <w:fldChar w:fldCharType="separate"/>
            </w:r>
            <w:r>
              <w:rPr>
                <w:noProof/>
                <w:webHidden/>
              </w:rPr>
              <w:t>6</w:t>
            </w:r>
            <w:r>
              <w:rPr>
                <w:noProof/>
                <w:webHidden/>
              </w:rPr>
              <w:fldChar w:fldCharType="end"/>
            </w:r>
          </w:hyperlink>
        </w:p>
        <w:p w14:paraId="7FD935E4" w14:textId="7B7417FC" w:rsidR="00750907" w:rsidRDefault="00750907">
          <w:pPr>
            <w:pStyle w:val="TOC2"/>
            <w:rPr>
              <w:rFonts w:asciiTheme="minorHAnsi" w:eastAsiaTheme="minorEastAsia" w:hAnsiTheme="minorHAnsi" w:cstheme="minorBidi"/>
              <w:b w:val="0"/>
              <w:noProof/>
              <w:sz w:val="22"/>
              <w:lang w:eastAsia="en-AU"/>
            </w:rPr>
          </w:pPr>
          <w:hyperlink w:anchor="_Toc70942391" w:history="1">
            <w:r w:rsidRPr="00452BB3">
              <w:rPr>
                <w:rStyle w:val="Hyperlink"/>
                <w:noProof/>
                <w:lang w:eastAsia="en-AU"/>
              </w:rPr>
              <w:t>Submission details</w:t>
            </w:r>
            <w:r>
              <w:rPr>
                <w:noProof/>
                <w:webHidden/>
              </w:rPr>
              <w:tab/>
            </w:r>
            <w:r>
              <w:rPr>
                <w:noProof/>
                <w:webHidden/>
              </w:rPr>
              <w:fldChar w:fldCharType="begin"/>
            </w:r>
            <w:r>
              <w:rPr>
                <w:noProof/>
                <w:webHidden/>
              </w:rPr>
              <w:instrText xml:space="preserve"> PAGEREF _Toc70942391 \h </w:instrText>
            </w:r>
            <w:r>
              <w:rPr>
                <w:noProof/>
                <w:webHidden/>
              </w:rPr>
            </w:r>
            <w:r>
              <w:rPr>
                <w:noProof/>
                <w:webHidden/>
              </w:rPr>
              <w:fldChar w:fldCharType="separate"/>
            </w:r>
            <w:r>
              <w:rPr>
                <w:noProof/>
                <w:webHidden/>
              </w:rPr>
              <w:t>6</w:t>
            </w:r>
            <w:r>
              <w:rPr>
                <w:noProof/>
                <w:webHidden/>
              </w:rPr>
              <w:fldChar w:fldCharType="end"/>
            </w:r>
          </w:hyperlink>
        </w:p>
        <w:p w14:paraId="4AF558A0" w14:textId="34EF3263" w:rsidR="00750907" w:rsidRDefault="00750907">
          <w:pPr>
            <w:pStyle w:val="TOC2"/>
            <w:rPr>
              <w:rFonts w:asciiTheme="minorHAnsi" w:eastAsiaTheme="minorEastAsia" w:hAnsiTheme="minorHAnsi" w:cstheme="minorBidi"/>
              <w:b w:val="0"/>
              <w:noProof/>
              <w:sz w:val="22"/>
              <w:lang w:eastAsia="en-AU"/>
            </w:rPr>
          </w:pPr>
          <w:hyperlink w:anchor="_Toc70942392" w:history="1">
            <w:r w:rsidRPr="00452BB3">
              <w:rPr>
                <w:rStyle w:val="Hyperlink"/>
                <w:noProof/>
              </w:rPr>
              <w:t>Product background</w:t>
            </w:r>
            <w:r>
              <w:rPr>
                <w:noProof/>
                <w:webHidden/>
              </w:rPr>
              <w:tab/>
            </w:r>
            <w:r>
              <w:rPr>
                <w:noProof/>
                <w:webHidden/>
              </w:rPr>
              <w:fldChar w:fldCharType="begin"/>
            </w:r>
            <w:r>
              <w:rPr>
                <w:noProof/>
                <w:webHidden/>
              </w:rPr>
              <w:instrText xml:space="preserve"> PAGEREF _Toc70942392 \h </w:instrText>
            </w:r>
            <w:r>
              <w:rPr>
                <w:noProof/>
                <w:webHidden/>
              </w:rPr>
            </w:r>
            <w:r>
              <w:rPr>
                <w:noProof/>
                <w:webHidden/>
              </w:rPr>
              <w:fldChar w:fldCharType="separate"/>
            </w:r>
            <w:r>
              <w:rPr>
                <w:noProof/>
                <w:webHidden/>
              </w:rPr>
              <w:t>7</w:t>
            </w:r>
            <w:r>
              <w:rPr>
                <w:noProof/>
                <w:webHidden/>
              </w:rPr>
              <w:fldChar w:fldCharType="end"/>
            </w:r>
          </w:hyperlink>
        </w:p>
        <w:p w14:paraId="4155C213" w14:textId="01AA1158" w:rsidR="00750907" w:rsidRDefault="00750907">
          <w:pPr>
            <w:pStyle w:val="TOC2"/>
            <w:rPr>
              <w:rFonts w:asciiTheme="minorHAnsi" w:eastAsiaTheme="minorEastAsia" w:hAnsiTheme="minorHAnsi" w:cstheme="minorBidi"/>
              <w:b w:val="0"/>
              <w:noProof/>
              <w:sz w:val="22"/>
              <w:lang w:eastAsia="en-AU"/>
            </w:rPr>
          </w:pPr>
          <w:hyperlink w:anchor="_Toc70942393" w:history="1">
            <w:r w:rsidRPr="00452BB3">
              <w:rPr>
                <w:rStyle w:val="Hyperlink"/>
                <w:noProof/>
              </w:rPr>
              <w:t>Regulatory status</w:t>
            </w:r>
            <w:r>
              <w:rPr>
                <w:noProof/>
                <w:webHidden/>
              </w:rPr>
              <w:tab/>
            </w:r>
            <w:r>
              <w:rPr>
                <w:noProof/>
                <w:webHidden/>
              </w:rPr>
              <w:fldChar w:fldCharType="begin"/>
            </w:r>
            <w:r>
              <w:rPr>
                <w:noProof/>
                <w:webHidden/>
              </w:rPr>
              <w:instrText xml:space="preserve"> PAGEREF _Toc70942393 \h </w:instrText>
            </w:r>
            <w:r>
              <w:rPr>
                <w:noProof/>
                <w:webHidden/>
              </w:rPr>
            </w:r>
            <w:r>
              <w:rPr>
                <w:noProof/>
                <w:webHidden/>
              </w:rPr>
              <w:fldChar w:fldCharType="separate"/>
            </w:r>
            <w:r>
              <w:rPr>
                <w:noProof/>
                <w:webHidden/>
              </w:rPr>
              <w:t>9</w:t>
            </w:r>
            <w:r>
              <w:rPr>
                <w:noProof/>
                <w:webHidden/>
              </w:rPr>
              <w:fldChar w:fldCharType="end"/>
            </w:r>
          </w:hyperlink>
        </w:p>
        <w:p w14:paraId="1203257A" w14:textId="0D23C349" w:rsidR="00750907" w:rsidRDefault="00750907">
          <w:pPr>
            <w:pStyle w:val="TOC2"/>
            <w:rPr>
              <w:rFonts w:asciiTheme="minorHAnsi" w:eastAsiaTheme="minorEastAsia" w:hAnsiTheme="minorHAnsi" w:cstheme="minorBidi"/>
              <w:b w:val="0"/>
              <w:noProof/>
              <w:sz w:val="22"/>
              <w:lang w:eastAsia="en-AU"/>
            </w:rPr>
          </w:pPr>
          <w:hyperlink w:anchor="_Toc70942394" w:history="1">
            <w:r w:rsidRPr="00452BB3">
              <w:rPr>
                <w:rStyle w:val="Hyperlink"/>
                <w:noProof/>
              </w:rPr>
              <w:t>Product Information</w:t>
            </w:r>
            <w:r>
              <w:rPr>
                <w:noProof/>
                <w:webHidden/>
              </w:rPr>
              <w:tab/>
            </w:r>
            <w:r>
              <w:rPr>
                <w:noProof/>
                <w:webHidden/>
              </w:rPr>
              <w:fldChar w:fldCharType="begin"/>
            </w:r>
            <w:r>
              <w:rPr>
                <w:noProof/>
                <w:webHidden/>
              </w:rPr>
              <w:instrText xml:space="preserve"> PAGEREF _Toc70942394 \h </w:instrText>
            </w:r>
            <w:r>
              <w:rPr>
                <w:noProof/>
                <w:webHidden/>
              </w:rPr>
            </w:r>
            <w:r>
              <w:rPr>
                <w:noProof/>
                <w:webHidden/>
              </w:rPr>
              <w:fldChar w:fldCharType="separate"/>
            </w:r>
            <w:r>
              <w:rPr>
                <w:noProof/>
                <w:webHidden/>
              </w:rPr>
              <w:t>10</w:t>
            </w:r>
            <w:r>
              <w:rPr>
                <w:noProof/>
                <w:webHidden/>
              </w:rPr>
              <w:fldChar w:fldCharType="end"/>
            </w:r>
          </w:hyperlink>
        </w:p>
        <w:p w14:paraId="1DC1733E" w14:textId="57D3DC39" w:rsidR="00750907" w:rsidRDefault="00750907">
          <w:pPr>
            <w:pStyle w:val="TOC1"/>
            <w:rPr>
              <w:rFonts w:asciiTheme="minorHAnsi" w:eastAsiaTheme="minorEastAsia" w:hAnsiTheme="minorHAnsi" w:cstheme="minorBidi"/>
              <w:b w:val="0"/>
              <w:noProof/>
              <w:sz w:val="22"/>
              <w:lang w:eastAsia="en-AU"/>
            </w:rPr>
          </w:pPr>
          <w:hyperlink w:anchor="_Toc70942395" w:history="1">
            <w:r w:rsidRPr="00452BB3">
              <w:rPr>
                <w:rStyle w:val="Hyperlink"/>
                <w:noProof/>
              </w:rPr>
              <w:t>II. Registration timeline</w:t>
            </w:r>
            <w:r>
              <w:rPr>
                <w:noProof/>
                <w:webHidden/>
              </w:rPr>
              <w:tab/>
            </w:r>
            <w:r>
              <w:rPr>
                <w:noProof/>
                <w:webHidden/>
              </w:rPr>
              <w:fldChar w:fldCharType="begin"/>
            </w:r>
            <w:r>
              <w:rPr>
                <w:noProof/>
                <w:webHidden/>
              </w:rPr>
              <w:instrText xml:space="preserve"> PAGEREF _Toc70942395 \h </w:instrText>
            </w:r>
            <w:r>
              <w:rPr>
                <w:noProof/>
                <w:webHidden/>
              </w:rPr>
            </w:r>
            <w:r>
              <w:rPr>
                <w:noProof/>
                <w:webHidden/>
              </w:rPr>
              <w:fldChar w:fldCharType="separate"/>
            </w:r>
            <w:r>
              <w:rPr>
                <w:noProof/>
                <w:webHidden/>
              </w:rPr>
              <w:t>10</w:t>
            </w:r>
            <w:r>
              <w:rPr>
                <w:noProof/>
                <w:webHidden/>
              </w:rPr>
              <w:fldChar w:fldCharType="end"/>
            </w:r>
          </w:hyperlink>
        </w:p>
        <w:p w14:paraId="216ED4A9" w14:textId="775C5587" w:rsidR="00750907" w:rsidRDefault="00750907">
          <w:pPr>
            <w:pStyle w:val="TOC1"/>
            <w:rPr>
              <w:rFonts w:asciiTheme="minorHAnsi" w:eastAsiaTheme="minorEastAsia" w:hAnsiTheme="minorHAnsi" w:cstheme="minorBidi"/>
              <w:b w:val="0"/>
              <w:noProof/>
              <w:sz w:val="22"/>
              <w:lang w:eastAsia="en-AU"/>
            </w:rPr>
          </w:pPr>
          <w:hyperlink w:anchor="_Toc70942396" w:history="1">
            <w:r w:rsidRPr="00452BB3">
              <w:rPr>
                <w:rStyle w:val="Hyperlink"/>
                <w:noProof/>
              </w:rPr>
              <w:t>III. Submission overview and risk/benefit assessment</w:t>
            </w:r>
            <w:r>
              <w:rPr>
                <w:noProof/>
                <w:webHidden/>
              </w:rPr>
              <w:tab/>
            </w:r>
            <w:r>
              <w:rPr>
                <w:noProof/>
                <w:webHidden/>
              </w:rPr>
              <w:fldChar w:fldCharType="begin"/>
            </w:r>
            <w:r>
              <w:rPr>
                <w:noProof/>
                <w:webHidden/>
              </w:rPr>
              <w:instrText xml:space="preserve"> PAGEREF _Toc70942396 \h </w:instrText>
            </w:r>
            <w:r>
              <w:rPr>
                <w:noProof/>
                <w:webHidden/>
              </w:rPr>
            </w:r>
            <w:r>
              <w:rPr>
                <w:noProof/>
                <w:webHidden/>
              </w:rPr>
              <w:fldChar w:fldCharType="separate"/>
            </w:r>
            <w:r>
              <w:rPr>
                <w:noProof/>
                <w:webHidden/>
              </w:rPr>
              <w:t>11</w:t>
            </w:r>
            <w:r>
              <w:rPr>
                <w:noProof/>
                <w:webHidden/>
              </w:rPr>
              <w:fldChar w:fldCharType="end"/>
            </w:r>
          </w:hyperlink>
        </w:p>
        <w:p w14:paraId="33E127A5" w14:textId="0D702112" w:rsidR="00750907" w:rsidRDefault="00750907">
          <w:pPr>
            <w:pStyle w:val="TOC2"/>
            <w:rPr>
              <w:rFonts w:asciiTheme="minorHAnsi" w:eastAsiaTheme="minorEastAsia" w:hAnsiTheme="minorHAnsi" w:cstheme="minorBidi"/>
              <w:b w:val="0"/>
              <w:noProof/>
              <w:sz w:val="22"/>
              <w:lang w:eastAsia="en-AU"/>
            </w:rPr>
          </w:pPr>
          <w:hyperlink w:anchor="_Toc70942397" w:history="1">
            <w:r w:rsidRPr="00452BB3">
              <w:rPr>
                <w:rStyle w:val="Hyperlink"/>
                <w:noProof/>
              </w:rPr>
              <w:t>Quality</w:t>
            </w:r>
            <w:r>
              <w:rPr>
                <w:noProof/>
                <w:webHidden/>
              </w:rPr>
              <w:tab/>
            </w:r>
            <w:r>
              <w:rPr>
                <w:noProof/>
                <w:webHidden/>
              </w:rPr>
              <w:fldChar w:fldCharType="begin"/>
            </w:r>
            <w:r>
              <w:rPr>
                <w:noProof/>
                <w:webHidden/>
              </w:rPr>
              <w:instrText xml:space="preserve"> PAGEREF _Toc70942397 \h </w:instrText>
            </w:r>
            <w:r>
              <w:rPr>
                <w:noProof/>
                <w:webHidden/>
              </w:rPr>
            </w:r>
            <w:r>
              <w:rPr>
                <w:noProof/>
                <w:webHidden/>
              </w:rPr>
              <w:fldChar w:fldCharType="separate"/>
            </w:r>
            <w:r>
              <w:rPr>
                <w:noProof/>
                <w:webHidden/>
              </w:rPr>
              <w:t>11</w:t>
            </w:r>
            <w:r>
              <w:rPr>
                <w:noProof/>
                <w:webHidden/>
              </w:rPr>
              <w:fldChar w:fldCharType="end"/>
            </w:r>
          </w:hyperlink>
        </w:p>
        <w:p w14:paraId="5FBAAD05" w14:textId="75B5D624" w:rsidR="00750907" w:rsidRDefault="00750907">
          <w:pPr>
            <w:pStyle w:val="TOC2"/>
            <w:rPr>
              <w:rFonts w:asciiTheme="minorHAnsi" w:eastAsiaTheme="minorEastAsia" w:hAnsiTheme="minorHAnsi" w:cstheme="minorBidi"/>
              <w:b w:val="0"/>
              <w:noProof/>
              <w:sz w:val="22"/>
              <w:lang w:eastAsia="en-AU"/>
            </w:rPr>
          </w:pPr>
          <w:hyperlink w:anchor="_Toc70942398" w:history="1">
            <w:r w:rsidRPr="00452BB3">
              <w:rPr>
                <w:rStyle w:val="Hyperlink"/>
                <w:noProof/>
              </w:rPr>
              <w:t>Nonclinical</w:t>
            </w:r>
            <w:r>
              <w:rPr>
                <w:noProof/>
                <w:webHidden/>
              </w:rPr>
              <w:tab/>
            </w:r>
            <w:r>
              <w:rPr>
                <w:noProof/>
                <w:webHidden/>
              </w:rPr>
              <w:fldChar w:fldCharType="begin"/>
            </w:r>
            <w:r>
              <w:rPr>
                <w:noProof/>
                <w:webHidden/>
              </w:rPr>
              <w:instrText xml:space="preserve"> PAGEREF _Toc70942398 \h </w:instrText>
            </w:r>
            <w:r>
              <w:rPr>
                <w:noProof/>
                <w:webHidden/>
              </w:rPr>
            </w:r>
            <w:r>
              <w:rPr>
                <w:noProof/>
                <w:webHidden/>
              </w:rPr>
              <w:fldChar w:fldCharType="separate"/>
            </w:r>
            <w:r>
              <w:rPr>
                <w:noProof/>
                <w:webHidden/>
              </w:rPr>
              <w:t>11</w:t>
            </w:r>
            <w:r>
              <w:rPr>
                <w:noProof/>
                <w:webHidden/>
              </w:rPr>
              <w:fldChar w:fldCharType="end"/>
            </w:r>
          </w:hyperlink>
        </w:p>
        <w:p w14:paraId="178C8EFB" w14:textId="3434265F" w:rsidR="00750907" w:rsidRDefault="00750907">
          <w:pPr>
            <w:pStyle w:val="TOC2"/>
            <w:rPr>
              <w:rFonts w:asciiTheme="minorHAnsi" w:eastAsiaTheme="minorEastAsia" w:hAnsiTheme="minorHAnsi" w:cstheme="minorBidi"/>
              <w:b w:val="0"/>
              <w:noProof/>
              <w:sz w:val="22"/>
              <w:lang w:eastAsia="en-AU"/>
            </w:rPr>
          </w:pPr>
          <w:hyperlink w:anchor="_Toc70942399" w:history="1">
            <w:r w:rsidRPr="00452BB3">
              <w:rPr>
                <w:rStyle w:val="Hyperlink"/>
                <w:noProof/>
              </w:rPr>
              <w:t>Clinical</w:t>
            </w:r>
            <w:r>
              <w:rPr>
                <w:noProof/>
                <w:webHidden/>
              </w:rPr>
              <w:tab/>
            </w:r>
            <w:r>
              <w:rPr>
                <w:noProof/>
                <w:webHidden/>
              </w:rPr>
              <w:fldChar w:fldCharType="begin"/>
            </w:r>
            <w:r>
              <w:rPr>
                <w:noProof/>
                <w:webHidden/>
              </w:rPr>
              <w:instrText xml:space="preserve"> PAGEREF _Toc70942399 \h </w:instrText>
            </w:r>
            <w:r>
              <w:rPr>
                <w:noProof/>
                <w:webHidden/>
              </w:rPr>
            </w:r>
            <w:r>
              <w:rPr>
                <w:noProof/>
                <w:webHidden/>
              </w:rPr>
              <w:fldChar w:fldCharType="separate"/>
            </w:r>
            <w:r>
              <w:rPr>
                <w:noProof/>
                <w:webHidden/>
              </w:rPr>
              <w:t>11</w:t>
            </w:r>
            <w:r>
              <w:rPr>
                <w:noProof/>
                <w:webHidden/>
              </w:rPr>
              <w:fldChar w:fldCharType="end"/>
            </w:r>
          </w:hyperlink>
        </w:p>
        <w:p w14:paraId="0655F7D2" w14:textId="0E7BDC81" w:rsidR="00750907" w:rsidRDefault="00750907">
          <w:pPr>
            <w:pStyle w:val="TOC2"/>
            <w:rPr>
              <w:rFonts w:asciiTheme="minorHAnsi" w:eastAsiaTheme="minorEastAsia" w:hAnsiTheme="minorHAnsi" w:cstheme="minorBidi"/>
              <w:b w:val="0"/>
              <w:noProof/>
              <w:sz w:val="22"/>
              <w:lang w:eastAsia="en-AU"/>
            </w:rPr>
          </w:pPr>
          <w:hyperlink w:anchor="_Toc70942400" w:history="1">
            <w:r w:rsidRPr="00452BB3">
              <w:rPr>
                <w:rStyle w:val="Hyperlink"/>
                <w:noProof/>
                <w:lang w:eastAsia="en-AU"/>
              </w:rPr>
              <w:t>Risk management plan</w:t>
            </w:r>
            <w:r>
              <w:rPr>
                <w:noProof/>
                <w:webHidden/>
              </w:rPr>
              <w:tab/>
            </w:r>
            <w:r>
              <w:rPr>
                <w:noProof/>
                <w:webHidden/>
              </w:rPr>
              <w:fldChar w:fldCharType="begin"/>
            </w:r>
            <w:r>
              <w:rPr>
                <w:noProof/>
                <w:webHidden/>
              </w:rPr>
              <w:instrText xml:space="preserve"> PAGEREF _Toc70942400 \h </w:instrText>
            </w:r>
            <w:r>
              <w:rPr>
                <w:noProof/>
                <w:webHidden/>
              </w:rPr>
            </w:r>
            <w:r>
              <w:rPr>
                <w:noProof/>
                <w:webHidden/>
              </w:rPr>
              <w:fldChar w:fldCharType="separate"/>
            </w:r>
            <w:r>
              <w:rPr>
                <w:noProof/>
                <w:webHidden/>
              </w:rPr>
              <w:t>26</w:t>
            </w:r>
            <w:r>
              <w:rPr>
                <w:noProof/>
                <w:webHidden/>
              </w:rPr>
              <w:fldChar w:fldCharType="end"/>
            </w:r>
          </w:hyperlink>
        </w:p>
        <w:p w14:paraId="2B10F574" w14:textId="455EE821" w:rsidR="00750907" w:rsidRDefault="00750907">
          <w:pPr>
            <w:pStyle w:val="TOC2"/>
            <w:rPr>
              <w:rFonts w:asciiTheme="minorHAnsi" w:eastAsiaTheme="minorEastAsia" w:hAnsiTheme="minorHAnsi" w:cstheme="minorBidi"/>
              <w:b w:val="0"/>
              <w:noProof/>
              <w:sz w:val="22"/>
              <w:lang w:eastAsia="en-AU"/>
            </w:rPr>
          </w:pPr>
          <w:hyperlink w:anchor="_Toc70942401" w:history="1">
            <w:r w:rsidRPr="00452BB3">
              <w:rPr>
                <w:rStyle w:val="Hyperlink"/>
                <w:noProof/>
              </w:rPr>
              <w:t>Risk-benefit analysis</w:t>
            </w:r>
            <w:r>
              <w:rPr>
                <w:noProof/>
                <w:webHidden/>
              </w:rPr>
              <w:tab/>
            </w:r>
            <w:r>
              <w:rPr>
                <w:noProof/>
                <w:webHidden/>
              </w:rPr>
              <w:fldChar w:fldCharType="begin"/>
            </w:r>
            <w:r>
              <w:rPr>
                <w:noProof/>
                <w:webHidden/>
              </w:rPr>
              <w:instrText xml:space="preserve"> PAGEREF _Toc70942401 \h </w:instrText>
            </w:r>
            <w:r>
              <w:rPr>
                <w:noProof/>
                <w:webHidden/>
              </w:rPr>
            </w:r>
            <w:r>
              <w:rPr>
                <w:noProof/>
                <w:webHidden/>
              </w:rPr>
              <w:fldChar w:fldCharType="separate"/>
            </w:r>
            <w:r>
              <w:rPr>
                <w:noProof/>
                <w:webHidden/>
              </w:rPr>
              <w:t>26</w:t>
            </w:r>
            <w:r>
              <w:rPr>
                <w:noProof/>
                <w:webHidden/>
              </w:rPr>
              <w:fldChar w:fldCharType="end"/>
            </w:r>
          </w:hyperlink>
        </w:p>
        <w:p w14:paraId="44A52587" w14:textId="61AEFBA2" w:rsidR="00750907" w:rsidRDefault="00750907">
          <w:pPr>
            <w:pStyle w:val="TOC2"/>
            <w:rPr>
              <w:rFonts w:asciiTheme="minorHAnsi" w:eastAsiaTheme="minorEastAsia" w:hAnsiTheme="minorHAnsi" w:cstheme="minorBidi"/>
              <w:b w:val="0"/>
              <w:noProof/>
              <w:sz w:val="22"/>
              <w:lang w:eastAsia="en-AU"/>
            </w:rPr>
          </w:pPr>
          <w:hyperlink w:anchor="_Toc70942402" w:history="1">
            <w:r w:rsidRPr="00452BB3">
              <w:rPr>
                <w:rStyle w:val="Hyperlink"/>
                <w:noProof/>
              </w:rPr>
              <w:t>Outcome</w:t>
            </w:r>
            <w:r>
              <w:rPr>
                <w:noProof/>
                <w:webHidden/>
              </w:rPr>
              <w:tab/>
            </w:r>
            <w:r>
              <w:rPr>
                <w:noProof/>
                <w:webHidden/>
              </w:rPr>
              <w:fldChar w:fldCharType="begin"/>
            </w:r>
            <w:r>
              <w:rPr>
                <w:noProof/>
                <w:webHidden/>
              </w:rPr>
              <w:instrText xml:space="preserve"> PAGEREF _Toc70942402 \h </w:instrText>
            </w:r>
            <w:r>
              <w:rPr>
                <w:noProof/>
                <w:webHidden/>
              </w:rPr>
            </w:r>
            <w:r>
              <w:rPr>
                <w:noProof/>
                <w:webHidden/>
              </w:rPr>
              <w:fldChar w:fldCharType="separate"/>
            </w:r>
            <w:r>
              <w:rPr>
                <w:noProof/>
                <w:webHidden/>
              </w:rPr>
              <w:t>31</w:t>
            </w:r>
            <w:r>
              <w:rPr>
                <w:noProof/>
                <w:webHidden/>
              </w:rPr>
              <w:fldChar w:fldCharType="end"/>
            </w:r>
          </w:hyperlink>
        </w:p>
        <w:p w14:paraId="0E9D8356" w14:textId="6B529572" w:rsidR="00750907" w:rsidRDefault="00750907">
          <w:pPr>
            <w:pStyle w:val="TOC1"/>
            <w:rPr>
              <w:rFonts w:asciiTheme="minorHAnsi" w:eastAsiaTheme="minorEastAsia" w:hAnsiTheme="minorHAnsi" w:cstheme="minorBidi"/>
              <w:b w:val="0"/>
              <w:noProof/>
              <w:sz w:val="22"/>
              <w:lang w:eastAsia="en-AU"/>
            </w:rPr>
          </w:pPr>
          <w:hyperlink w:anchor="_Toc70942403" w:history="1">
            <w:r w:rsidRPr="00452BB3">
              <w:rPr>
                <w:rStyle w:val="Hyperlink"/>
                <w:noProof/>
              </w:rPr>
              <w:t>Attachment 1. Product Information</w:t>
            </w:r>
            <w:r>
              <w:rPr>
                <w:noProof/>
                <w:webHidden/>
              </w:rPr>
              <w:tab/>
            </w:r>
            <w:r>
              <w:rPr>
                <w:noProof/>
                <w:webHidden/>
              </w:rPr>
              <w:fldChar w:fldCharType="begin"/>
            </w:r>
            <w:r>
              <w:rPr>
                <w:noProof/>
                <w:webHidden/>
              </w:rPr>
              <w:instrText xml:space="preserve"> PAGEREF _Toc70942403 \h </w:instrText>
            </w:r>
            <w:r>
              <w:rPr>
                <w:noProof/>
                <w:webHidden/>
              </w:rPr>
            </w:r>
            <w:r>
              <w:rPr>
                <w:noProof/>
                <w:webHidden/>
              </w:rPr>
              <w:fldChar w:fldCharType="separate"/>
            </w:r>
            <w:r>
              <w:rPr>
                <w:noProof/>
                <w:webHidden/>
              </w:rPr>
              <w:t>32</w:t>
            </w:r>
            <w:r>
              <w:rPr>
                <w:noProof/>
                <w:webHidden/>
              </w:rPr>
              <w:fldChar w:fldCharType="end"/>
            </w:r>
          </w:hyperlink>
        </w:p>
        <w:p w14:paraId="037C514E" w14:textId="1E58BB45" w:rsidR="003A7F6C" w:rsidRPr="00B811C6" w:rsidRDefault="00C525A2" w:rsidP="00B811C6">
          <w:pPr>
            <w:pStyle w:val="TOC2"/>
          </w:pPr>
          <w:r>
            <w:fldChar w:fldCharType="end"/>
          </w:r>
        </w:p>
      </w:sdtContent>
    </w:sdt>
    <w:bookmarkStart w:id="3" w:name="_Toc314842482" w:displacedByCustomXml="prev"/>
    <w:p w14:paraId="5347D0BC" w14:textId="77777777" w:rsidR="00FD119B" w:rsidRDefault="00FD119B">
      <w:pPr>
        <w:spacing w:before="0" w:after="200" w:line="0" w:lineRule="auto"/>
      </w:pPr>
      <w:r>
        <w:br w:type="page"/>
      </w:r>
    </w:p>
    <w:p w14:paraId="2B4AA64C" w14:textId="7837EE36" w:rsidR="00C52E24" w:rsidRPr="00C52E24" w:rsidRDefault="00324E45" w:rsidP="00CF580A">
      <w:pPr>
        <w:pStyle w:val="Heading2"/>
      </w:pPr>
      <w:bookmarkStart w:id="4" w:name="_Toc351716269"/>
      <w:bookmarkStart w:id="5" w:name="_Toc351718881"/>
      <w:bookmarkStart w:id="6" w:name="_Toc355338616"/>
      <w:bookmarkStart w:id="7" w:name="_Toc356306144"/>
      <w:bookmarkStart w:id="8" w:name="_Toc70942389"/>
      <w:r>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3"/>
        <w:gridCol w:w="6691"/>
      </w:tblGrid>
      <w:tr w:rsidR="00BC2C9D" w:rsidRPr="00FD119B" w14:paraId="0429B030" w14:textId="77777777" w:rsidTr="008B7EB6">
        <w:trPr>
          <w:cnfStyle w:val="100000000000" w:firstRow="1" w:lastRow="0" w:firstColumn="0" w:lastColumn="0" w:oddVBand="0" w:evenVBand="0" w:oddHBand="0" w:evenHBand="0" w:firstRowFirstColumn="0" w:firstRowLastColumn="0" w:lastRowFirstColumn="0" w:lastRowLastColumn="0"/>
        </w:trPr>
        <w:tc>
          <w:tcPr>
            <w:tcW w:w="1803" w:type="dxa"/>
            <w:tcBorders>
              <w:top w:val="single" w:sz="4" w:space="0" w:color="auto"/>
              <w:left w:val="single" w:sz="4" w:space="0" w:color="auto"/>
              <w:bottom w:val="single" w:sz="4" w:space="0" w:color="auto"/>
              <w:right w:val="single" w:sz="4" w:space="0" w:color="auto"/>
            </w:tcBorders>
          </w:tcPr>
          <w:p w14:paraId="338879E7" w14:textId="77777777" w:rsidR="00BC2C9D" w:rsidRPr="00FD119B" w:rsidRDefault="00BC2C9D" w:rsidP="00F7488D">
            <w:pPr>
              <w:keepNext w:val="0"/>
              <w:ind w:left="0" w:right="0"/>
              <w:rPr>
                <w:szCs w:val="22"/>
                <w:lang w:eastAsia="en-US"/>
              </w:rPr>
            </w:pPr>
            <w:r w:rsidRPr="00FD119B">
              <w:rPr>
                <w:szCs w:val="22"/>
                <w:lang w:eastAsia="en-US"/>
              </w:rPr>
              <w:t>Abbreviation</w:t>
            </w:r>
          </w:p>
        </w:tc>
        <w:tc>
          <w:tcPr>
            <w:tcW w:w="6691" w:type="dxa"/>
            <w:tcBorders>
              <w:top w:val="single" w:sz="4" w:space="0" w:color="auto"/>
              <w:left w:val="single" w:sz="4" w:space="0" w:color="auto"/>
              <w:bottom w:val="single" w:sz="4" w:space="0" w:color="auto"/>
              <w:right w:val="single" w:sz="4" w:space="0" w:color="auto"/>
            </w:tcBorders>
          </w:tcPr>
          <w:p w14:paraId="15B96378" w14:textId="77777777" w:rsidR="00BC2C9D" w:rsidRPr="00FD119B" w:rsidRDefault="00BC2C9D" w:rsidP="00F7488D">
            <w:pPr>
              <w:keepNext w:val="0"/>
              <w:ind w:left="0" w:right="0"/>
              <w:rPr>
                <w:szCs w:val="22"/>
                <w:lang w:eastAsia="en-US"/>
              </w:rPr>
            </w:pPr>
            <w:r w:rsidRPr="00FD119B">
              <w:rPr>
                <w:szCs w:val="22"/>
                <w:lang w:eastAsia="en-US"/>
              </w:rPr>
              <w:t>Meaning</w:t>
            </w:r>
          </w:p>
        </w:tc>
      </w:tr>
      <w:tr w:rsidR="00BC2C9D" w:rsidRPr="00FD119B" w14:paraId="6ACFD553" w14:textId="77777777" w:rsidTr="008B7EB6">
        <w:tc>
          <w:tcPr>
            <w:tcW w:w="1803" w:type="dxa"/>
            <w:tcBorders>
              <w:top w:val="single" w:sz="4" w:space="0" w:color="auto"/>
            </w:tcBorders>
          </w:tcPr>
          <w:p w14:paraId="4E58E0C0" w14:textId="77777777" w:rsidR="00BC2C9D" w:rsidRPr="00FD119B" w:rsidRDefault="00BC2C9D" w:rsidP="00F7488D">
            <w:pPr>
              <w:ind w:left="0" w:right="0"/>
            </w:pPr>
            <w:r>
              <w:t>ACM</w:t>
            </w:r>
          </w:p>
        </w:tc>
        <w:tc>
          <w:tcPr>
            <w:tcW w:w="6691" w:type="dxa"/>
            <w:tcBorders>
              <w:top w:val="single" w:sz="4" w:space="0" w:color="auto"/>
            </w:tcBorders>
          </w:tcPr>
          <w:p w14:paraId="42B3123F" w14:textId="77777777" w:rsidR="00BC2C9D" w:rsidRPr="00FD119B" w:rsidRDefault="00BC2C9D" w:rsidP="00F7488D">
            <w:pPr>
              <w:ind w:left="0" w:right="0"/>
            </w:pPr>
            <w:r w:rsidRPr="00460036">
              <w:t>Advisory Committee on Medicines</w:t>
            </w:r>
          </w:p>
        </w:tc>
      </w:tr>
      <w:tr w:rsidR="00BC2C9D" w:rsidRPr="00FD119B" w14:paraId="7223F498" w14:textId="77777777" w:rsidTr="008B7EB6">
        <w:tc>
          <w:tcPr>
            <w:tcW w:w="1803" w:type="dxa"/>
          </w:tcPr>
          <w:p w14:paraId="4237B435" w14:textId="77777777" w:rsidR="00BC2C9D" w:rsidRPr="00FD119B" w:rsidRDefault="00BC2C9D" w:rsidP="00F7488D">
            <w:pPr>
              <w:ind w:left="0" w:right="0"/>
            </w:pPr>
            <w:r>
              <w:t>AE</w:t>
            </w:r>
          </w:p>
        </w:tc>
        <w:tc>
          <w:tcPr>
            <w:tcW w:w="6691" w:type="dxa"/>
          </w:tcPr>
          <w:p w14:paraId="6E093430" w14:textId="77777777" w:rsidR="00BC2C9D" w:rsidRPr="00FD119B" w:rsidRDefault="00BC2C9D" w:rsidP="00F7488D">
            <w:pPr>
              <w:ind w:left="0" w:right="0"/>
            </w:pPr>
            <w:r>
              <w:t>Adverse event</w:t>
            </w:r>
          </w:p>
        </w:tc>
      </w:tr>
      <w:tr w:rsidR="00BC2C9D" w:rsidRPr="00FD119B" w14:paraId="760F5208" w14:textId="77777777" w:rsidTr="008B7EB6">
        <w:tc>
          <w:tcPr>
            <w:tcW w:w="1803" w:type="dxa"/>
          </w:tcPr>
          <w:p w14:paraId="686B5F6E" w14:textId="77777777" w:rsidR="00BC2C9D" w:rsidRPr="00FD119B" w:rsidRDefault="00BC2C9D" w:rsidP="00F7488D">
            <w:pPr>
              <w:ind w:left="0" w:right="0"/>
            </w:pPr>
            <w:r>
              <w:t>AHA</w:t>
            </w:r>
          </w:p>
        </w:tc>
        <w:tc>
          <w:tcPr>
            <w:tcW w:w="6691" w:type="dxa"/>
          </w:tcPr>
          <w:p w14:paraId="7A38F4AC" w14:textId="77777777" w:rsidR="00BC2C9D" w:rsidRPr="00FD119B" w:rsidRDefault="00BC2C9D" w:rsidP="00F7488D">
            <w:pPr>
              <w:ind w:left="0" w:right="0"/>
            </w:pPr>
            <w:r>
              <w:t>Assisting Hand Assessment</w:t>
            </w:r>
          </w:p>
        </w:tc>
      </w:tr>
      <w:tr w:rsidR="00BC2C9D" w:rsidRPr="00FD119B" w14:paraId="7E6071FA" w14:textId="77777777" w:rsidTr="008B7EB6">
        <w:tc>
          <w:tcPr>
            <w:tcW w:w="1803" w:type="dxa"/>
          </w:tcPr>
          <w:p w14:paraId="44CAFE4F" w14:textId="77777777" w:rsidR="00BC2C9D" w:rsidRPr="00FD119B" w:rsidRDefault="00BC2C9D" w:rsidP="00F7488D">
            <w:pPr>
              <w:ind w:left="0" w:right="0"/>
            </w:pPr>
            <w:r w:rsidRPr="008C4D0E">
              <w:t>ANCOVA</w:t>
            </w:r>
          </w:p>
        </w:tc>
        <w:tc>
          <w:tcPr>
            <w:tcW w:w="6691" w:type="dxa"/>
          </w:tcPr>
          <w:p w14:paraId="3A8AEADA" w14:textId="77777777" w:rsidR="00BC2C9D" w:rsidRPr="00FD119B" w:rsidRDefault="00BC2C9D" w:rsidP="00F7488D">
            <w:pPr>
              <w:ind w:left="0" w:right="0"/>
            </w:pPr>
            <w:r>
              <w:t>A</w:t>
            </w:r>
            <w:r w:rsidRPr="008C4D0E">
              <w:t>nalysis of covariance</w:t>
            </w:r>
          </w:p>
        </w:tc>
      </w:tr>
      <w:tr w:rsidR="00BC2C9D" w:rsidRPr="00FD119B" w14:paraId="5138BDAB" w14:textId="77777777" w:rsidTr="008B7EB6">
        <w:tc>
          <w:tcPr>
            <w:tcW w:w="1803" w:type="dxa"/>
          </w:tcPr>
          <w:p w14:paraId="55017A48" w14:textId="77777777" w:rsidR="00BC2C9D" w:rsidRPr="00FD119B" w:rsidRDefault="00BC2C9D" w:rsidP="00F7488D">
            <w:pPr>
              <w:ind w:left="0" w:right="0"/>
            </w:pPr>
            <w:r>
              <w:t>ARTG</w:t>
            </w:r>
          </w:p>
        </w:tc>
        <w:tc>
          <w:tcPr>
            <w:tcW w:w="6691" w:type="dxa"/>
          </w:tcPr>
          <w:p w14:paraId="34BCFCBD" w14:textId="77777777" w:rsidR="00BC2C9D" w:rsidRPr="00FD119B" w:rsidRDefault="00BC2C9D" w:rsidP="00F7488D">
            <w:pPr>
              <w:ind w:left="0" w:right="0"/>
            </w:pPr>
            <w:r w:rsidRPr="00460036">
              <w:t>Australian Register of Therapeutic Goods</w:t>
            </w:r>
          </w:p>
        </w:tc>
      </w:tr>
      <w:tr w:rsidR="00BC2C9D" w:rsidRPr="00FD119B" w14:paraId="317E7418" w14:textId="77777777" w:rsidTr="008B7EB6">
        <w:tc>
          <w:tcPr>
            <w:tcW w:w="1803" w:type="dxa"/>
          </w:tcPr>
          <w:p w14:paraId="08D12F41" w14:textId="77777777" w:rsidR="00BC2C9D" w:rsidRPr="00FD119B" w:rsidRDefault="00BC2C9D" w:rsidP="00F7488D">
            <w:pPr>
              <w:ind w:left="0" w:right="0"/>
            </w:pPr>
            <w:r>
              <w:t>BTX</w:t>
            </w:r>
          </w:p>
        </w:tc>
        <w:tc>
          <w:tcPr>
            <w:tcW w:w="6691" w:type="dxa"/>
          </w:tcPr>
          <w:p w14:paraId="5C0E73D4" w14:textId="77777777" w:rsidR="00BC2C9D" w:rsidRPr="00FD119B" w:rsidRDefault="00BC2C9D" w:rsidP="00F7488D">
            <w:pPr>
              <w:ind w:left="0" w:right="0"/>
            </w:pPr>
            <w:r>
              <w:t>B</w:t>
            </w:r>
            <w:r w:rsidRPr="008C4D0E">
              <w:t>otulinum toxin</w:t>
            </w:r>
          </w:p>
        </w:tc>
      </w:tr>
      <w:tr w:rsidR="00BC2C9D" w:rsidRPr="00FD119B" w14:paraId="375CD767" w14:textId="77777777" w:rsidTr="008B7EB6">
        <w:tc>
          <w:tcPr>
            <w:tcW w:w="1803" w:type="dxa"/>
          </w:tcPr>
          <w:p w14:paraId="5B387BA8" w14:textId="77777777" w:rsidR="00BC2C9D" w:rsidRPr="00FD119B" w:rsidRDefault="00BC2C9D" w:rsidP="00F7488D">
            <w:pPr>
              <w:ind w:left="0" w:right="0"/>
            </w:pPr>
            <w:r>
              <w:t>CI</w:t>
            </w:r>
          </w:p>
        </w:tc>
        <w:tc>
          <w:tcPr>
            <w:tcW w:w="6691" w:type="dxa"/>
          </w:tcPr>
          <w:p w14:paraId="20ECCC0D" w14:textId="77777777" w:rsidR="00BC2C9D" w:rsidRPr="00FD119B" w:rsidRDefault="00BC2C9D" w:rsidP="00F7488D">
            <w:pPr>
              <w:ind w:left="0" w:right="0"/>
            </w:pPr>
            <w:r>
              <w:t>C</w:t>
            </w:r>
            <w:r w:rsidRPr="008C4D0E">
              <w:t>onfidence interval</w:t>
            </w:r>
          </w:p>
        </w:tc>
      </w:tr>
      <w:tr w:rsidR="00BC2C9D" w:rsidRPr="00FD119B" w14:paraId="7C1A87FA" w14:textId="77777777" w:rsidTr="008B7EB6">
        <w:tc>
          <w:tcPr>
            <w:tcW w:w="1803" w:type="dxa"/>
          </w:tcPr>
          <w:p w14:paraId="7FC06B99" w14:textId="77777777" w:rsidR="00BC2C9D" w:rsidRPr="00FD119B" w:rsidRDefault="00BC2C9D" w:rsidP="00F7488D">
            <w:pPr>
              <w:ind w:left="0" w:right="0"/>
            </w:pPr>
            <w:r>
              <w:t>CMAP</w:t>
            </w:r>
          </w:p>
        </w:tc>
        <w:tc>
          <w:tcPr>
            <w:tcW w:w="6691" w:type="dxa"/>
          </w:tcPr>
          <w:p w14:paraId="13ECBCFA" w14:textId="77777777" w:rsidR="00BC2C9D" w:rsidRPr="008C4D0E" w:rsidRDefault="00BC2C9D" w:rsidP="00F7488D">
            <w:pPr>
              <w:ind w:left="0" w:right="0"/>
            </w:pPr>
            <w:r>
              <w:rPr>
                <w:rFonts w:cs="Cambria"/>
              </w:rPr>
              <w:t>Compound muscle action potential</w:t>
            </w:r>
          </w:p>
        </w:tc>
      </w:tr>
      <w:tr w:rsidR="00BC2C9D" w:rsidRPr="00FD119B" w14:paraId="0A209AAF" w14:textId="77777777" w:rsidTr="008B7EB6">
        <w:tc>
          <w:tcPr>
            <w:tcW w:w="1803" w:type="dxa"/>
          </w:tcPr>
          <w:p w14:paraId="20DF74C3" w14:textId="77777777" w:rsidR="00BC2C9D" w:rsidRPr="00FD119B" w:rsidRDefault="00BC2C9D" w:rsidP="00F7488D">
            <w:pPr>
              <w:ind w:left="0" w:right="0"/>
            </w:pPr>
            <w:r>
              <w:t>EU</w:t>
            </w:r>
          </w:p>
        </w:tc>
        <w:tc>
          <w:tcPr>
            <w:tcW w:w="6691" w:type="dxa"/>
          </w:tcPr>
          <w:p w14:paraId="378F28E5" w14:textId="77777777" w:rsidR="00BC2C9D" w:rsidRPr="00FD119B" w:rsidRDefault="00BC2C9D" w:rsidP="00F7488D">
            <w:pPr>
              <w:ind w:left="0" w:right="0"/>
            </w:pPr>
            <w:r>
              <w:t>European Union</w:t>
            </w:r>
          </w:p>
        </w:tc>
      </w:tr>
      <w:tr w:rsidR="00BC2C9D" w:rsidRPr="00FD119B" w14:paraId="546528DB" w14:textId="77777777" w:rsidTr="008B7EB6">
        <w:tc>
          <w:tcPr>
            <w:tcW w:w="1803" w:type="dxa"/>
          </w:tcPr>
          <w:p w14:paraId="1FDAD59C" w14:textId="77777777" w:rsidR="00BC2C9D" w:rsidRPr="00FD119B" w:rsidRDefault="00BC2C9D" w:rsidP="00F7488D">
            <w:pPr>
              <w:ind w:left="0" w:right="0"/>
            </w:pPr>
            <w:r>
              <w:t>FPS</w:t>
            </w:r>
          </w:p>
        </w:tc>
        <w:tc>
          <w:tcPr>
            <w:tcW w:w="6691" w:type="dxa"/>
          </w:tcPr>
          <w:p w14:paraId="294197B1" w14:textId="77777777" w:rsidR="00BC2C9D" w:rsidRPr="00FD119B" w:rsidRDefault="00BC2C9D" w:rsidP="00F7488D">
            <w:pPr>
              <w:ind w:left="0" w:right="0"/>
            </w:pPr>
            <w:r>
              <w:t>Faces Pain Scale</w:t>
            </w:r>
          </w:p>
        </w:tc>
      </w:tr>
      <w:tr w:rsidR="00BC2C9D" w:rsidRPr="00FD119B" w14:paraId="5C4B11D4" w14:textId="77777777" w:rsidTr="008B7EB6">
        <w:tc>
          <w:tcPr>
            <w:tcW w:w="1803" w:type="dxa"/>
          </w:tcPr>
          <w:p w14:paraId="47DD454E" w14:textId="77777777" w:rsidR="00BC2C9D" w:rsidRPr="00FD119B" w:rsidRDefault="00BC2C9D" w:rsidP="00F7488D">
            <w:pPr>
              <w:ind w:left="0" w:right="0"/>
            </w:pPr>
            <w:r>
              <w:t>GAS</w:t>
            </w:r>
          </w:p>
        </w:tc>
        <w:tc>
          <w:tcPr>
            <w:tcW w:w="6691" w:type="dxa"/>
          </w:tcPr>
          <w:p w14:paraId="0EB8A2D2" w14:textId="77777777" w:rsidR="00BC2C9D" w:rsidRPr="00FD119B" w:rsidRDefault="00BC2C9D" w:rsidP="00F7488D">
            <w:pPr>
              <w:ind w:left="0" w:right="0"/>
            </w:pPr>
            <w:r>
              <w:t>Goal Attainment Scale</w:t>
            </w:r>
          </w:p>
        </w:tc>
      </w:tr>
      <w:tr w:rsidR="00BC2C9D" w:rsidRPr="00FD119B" w14:paraId="43AFE913" w14:textId="77777777" w:rsidTr="008B7EB6">
        <w:tc>
          <w:tcPr>
            <w:tcW w:w="1803" w:type="dxa"/>
          </w:tcPr>
          <w:p w14:paraId="46F7CD0E" w14:textId="77777777" w:rsidR="00BC2C9D" w:rsidRPr="00FD119B" w:rsidRDefault="00BC2C9D" w:rsidP="00F7488D">
            <w:pPr>
              <w:ind w:left="0" w:right="0"/>
              <w:rPr>
                <w:color w:val="auto"/>
                <w:szCs w:val="22"/>
                <w:lang w:eastAsia="en-US"/>
              </w:rPr>
            </w:pPr>
            <w:r>
              <w:rPr>
                <w:color w:val="auto"/>
                <w:szCs w:val="22"/>
                <w:lang w:eastAsia="en-US"/>
              </w:rPr>
              <w:t>GFL</w:t>
            </w:r>
          </w:p>
        </w:tc>
        <w:tc>
          <w:tcPr>
            <w:tcW w:w="6691" w:type="dxa"/>
          </w:tcPr>
          <w:p w14:paraId="2B82602A" w14:textId="77777777" w:rsidR="00BC2C9D" w:rsidRPr="00FD119B" w:rsidRDefault="00BC2C9D" w:rsidP="00F7488D">
            <w:pPr>
              <w:ind w:left="0" w:right="0"/>
              <w:rPr>
                <w:color w:val="auto"/>
                <w:szCs w:val="22"/>
                <w:lang w:eastAsia="en-US"/>
              </w:rPr>
            </w:pPr>
            <w:r>
              <w:t>Glabellar frown line</w:t>
            </w:r>
          </w:p>
        </w:tc>
      </w:tr>
      <w:tr w:rsidR="00BC2C9D" w:rsidRPr="00FD119B" w14:paraId="3AB6B141" w14:textId="77777777" w:rsidTr="008B7EB6">
        <w:tc>
          <w:tcPr>
            <w:tcW w:w="1803" w:type="dxa"/>
          </w:tcPr>
          <w:p w14:paraId="4E8D521F" w14:textId="77777777" w:rsidR="00BC2C9D" w:rsidRPr="00FD119B" w:rsidRDefault="00BC2C9D" w:rsidP="00F7488D">
            <w:pPr>
              <w:ind w:left="0" w:right="0"/>
            </w:pPr>
            <w:r>
              <w:t>GL</w:t>
            </w:r>
          </w:p>
        </w:tc>
        <w:tc>
          <w:tcPr>
            <w:tcW w:w="6691" w:type="dxa"/>
          </w:tcPr>
          <w:p w14:paraId="1E944F66" w14:textId="77777777" w:rsidR="00BC2C9D" w:rsidRPr="008C4D0E" w:rsidRDefault="00BC2C9D" w:rsidP="00F7488D">
            <w:pPr>
              <w:ind w:left="0" w:right="0"/>
            </w:pPr>
            <w:r>
              <w:t>Glabellar line</w:t>
            </w:r>
          </w:p>
        </w:tc>
      </w:tr>
      <w:tr w:rsidR="00BC2C9D" w:rsidRPr="00FD119B" w14:paraId="0DD41DEC" w14:textId="77777777" w:rsidTr="008B7EB6">
        <w:tc>
          <w:tcPr>
            <w:tcW w:w="1803" w:type="dxa"/>
          </w:tcPr>
          <w:p w14:paraId="0DBAE31B" w14:textId="77777777" w:rsidR="00BC2C9D" w:rsidRPr="00FD119B" w:rsidRDefault="00BC2C9D" w:rsidP="00F7488D">
            <w:pPr>
              <w:ind w:left="0" w:right="0"/>
            </w:pPr>
            <w:r>
              <w:t>IRS</w:t>
            </w:r>
          </w:p>
        </w:tc>
        <w:tc>
          <w:tcPr>
            <w:tcW w:w="6691" w:type="dxa"/>
          </w:tcPr>
          <w:p w14:paraId="55A74A24" w14:textId="77777777" w:rsidR="00BC2C9D" w:rsidRPr="00FD119B" w:rsidRDefault="00BC2C9D" w:rsidP="00F7488D">
            <w:pPr>
              <w:ind w:left="0" w:right="0"/>
            </w:pPr>
            <w:r>
              <w:t>Interactive Response System</w:t>
            </w:r>
          </w:p>
        </w:tc>
      </w:tr>
      <w:tr w:rsidR="00BC2C9D" w:rsidRPr="00FD119B" w14:paraId="76CDF014" w14:textId="77777777" w:rsidTr="008B7EB6">
        <w:tc>
          <w:tcPr>
            <w:tcW w:w="1803" w:type="dxa"/>
          </w:tcPr>
          <w:p w14:paraId="1D8CAE38" w14:textId="77777777" w:rsidR="00BC2C9D" w:rsidRPr="00FD119B" w:rsidRDefault="00BC2C9D" w:rsidP="00F7488D">
            <w:pPr>
              <w:ind w:left="0" w:right="0"/>
            </w:pPr>
            <w:r>
              <w:t>LCL</w:t>
            </w:r>
          </w:p>
        </w:tc>
        <w:tc>
          <w:tcPr>
            <w:tcW w:w="6691" w:type="dxa"/>
          </w:tcPr>
          <w:p w14:paraId="390458C3" w14:textId="77777777" w:rsidR="00BC2C9D" w:rsidRPr="00FD119B" w:rsidRDefault="00BC2C9D" w:rsidP="00F7488D">
            <w:pPr>
              <w:ind w:left="0" w:right="0"/>
            </w:pPr>
            <w:r>
              <w:t xml:space="preserve">Lateral </w:t>
            </w:r>
            <w:proofErr w:type="spellStart"/>
            <w:r>
              <w:t>canthal</w:t>
            </w:r>
            <w:proofErr w:type="spellEnd"/>
            <w:r>
              <w:t xml:space="preserve"> line</w:t>
            </w:r>
          </w:p>
        </w:tc>
      </w:tr>
      <w:tr w:rsidR="00BC2C9D" w:rsidRPr="00FD119B" w14:paraId="032508E4" w14:textId="77777777" w:rsidTr="008B7EB6">
        <w:tc>
          <w:tcPr>
            <w:tcW w:w="1803" w:type="dxa"/>
          </w:tcPr>
          <w:p w14:paraId="558014CB" w14:textId="77777777" w:rsidR="00BC2C9D" w:rsidRPr="00FD119B" w:rsidRDefault="00BC2C9D" w:rsidP="00F7488D">
            <w:pPr>
              <w:ind w:left="0" w:right="0"/>
            </w:pPr>
            <w:r>
              <w:t>LS</w:t>
            </w:r>
          </w:p>
        </w:tc>
        <w:tc>
          <w:tcPr>
            <w:tcW w:w="6691" w:type="dxa"/>
          </w:tcPr>
          <w:p w14:paraId="2DAA8E62" w14:textId="77777777" w:rsidR="00BC2C9D" w:rsidRPr="00FD119B" w:rsidRDefault="00BC2C9D" w:rsidP="00F7488D">
            <w:pPr>
              <w:ind w:left="0" w:right="0"/>
            </w:pPr>
            <w:r>
              <w:t>L</w:t>
            </w:r>
            <w:r w:rsidRPr="008C4D0E">
              <w:t>east squares</w:t>
            </w:r>
          </w:p>
        </w:tc>
      </w:tr>
      <w:tr w:rsidR="00BC2C9D" w:rsidRPr="00FD119B" w14:paraId="3BDFEAC7" w14:textId="77777777" w:rsidTr="008B7EB6">
        <w:tc>
          <w:tcPr>
            <w:tcW w:w="1803" w:type="dxa"/>
          </w:tcPr>
          <w:p w14:paraId="3ED2CAA6" w14:textId="77777777" w:rsidR="00BC2C9D" w:rsidRPr="00FD119B" w:rsidRDefault="00BC2C9D" w:rsidP="00F7488D">
            <w:pPr>
              <w:ind w:left="0" w:right="0"/>
            </w:pPr>
            <w:r>
              <w:t>MAS</w:t>
            </w:r>
          </w:p>
        </w:tc>
        <w:tc>
          <w:tcPr>
            <w:tcW w:w="6691" w:type="dxa"/>
          </w:tcPr>
          <w:p w14:paraId="37B52883" w14:textId="77777777" w:rsidR="00BC2C9D" w:rsidRPr="00FD119B" w:rsidRDefault="00BC2C9D" w:rsidP="00F7488D">
            <w:pPr>
              <w:ind w:left="0" w:right="0"/>
            </w:pPr>
            <w:r>
              <w:t>Modified Ashworth Scale</w:t>
            </w:r>
          </w:p>
        </w:tc>
      </w:tr>
      <w:tr w:rsidR="00BC2C9D" w:rsidRPr="00FD119B" w14:paraId="42D22A0A" w14:textId="77777777" w:rsidTr="008B7EB6">
        <w:tc>
          <w:tcPr>
            <w:tcW w:w="1803" w:type="dxa"/>
          </w:tcPr>
          <w:p w14:paraId="183EAF2F" w14:textId="77777777" w:rsidR="00BC2C9D" w:rsidRPr="00FD119B" w:rsidRDefault="00BC2C9D" w:rsidP="00F7488D">
            <w:pPr>
              <w:ind w:left="0" w:right="0"/>
            </w:pPr>
            <w:proofErr w:type="spellStart"/>
            <w:r>
              <w:t>mITT</w:t>
            </w:r>
            <w:proofErr w:type="spellEnd"/>
          </w:p>
        </w:tc>
        <w:tc>
          <w:tcPr>
            <w:tcW w:w="6691" w:type="dxa"/>
          </w:tcPr>
          <w:p w14:paraId="37D35E37" w14:textId="77777777" w:rsidR="00BC2C9D" w:rsidRPr="00FD119B" w:rsidRDefault="00BC2C9D" w:rsidP="00F7488D">
            <w:pPr>
              <w:ind w:left="0" w:right="0"/>
            </w:pPr>
            <w:r>
              <w:t>M</w:t>
            </w:r>
            <w:r w:rsidRPr="008C4D0E">
              <w:t>odified intent to treat</w:t>
            </w:r>
          </w:p>
        </w:tc>
      </w:tr>
      <w:tr w:rsidR="00BC2C9D" w:rsidRPr="00FD119B" w14:paraId="49F7CB2C" w14:textId="77777777" w:rsidTr="008B7EB6">
        <w:tc>
          <w:tcPr>
            <w:tcW w:w="1803" w:type="dxa"/>
          </w:tcPr>
          <w:p w14:paraId="13A3951B" w14:textId="77777777" w:rsidR="00BC2C9D" w:rsidRPr="00FD119B" w:rsidRDefault="00BC2C9D" w:rsidP="00F7488D">
            <w:pPr>
              <w:ind w:left="0" w:right="0"/>
            </w:pPr>
            <w:r>
              <w:t>MRP</w:t>
            </w:r>
          </w:p>
        </w:tc>
        <w:tc>
          <w:tcPr>
            <w:tcW w:w="6691" w:type="dxa"/>
          </w:tcPr>
          <w:p w14:paraId="059BEDA0" w14:textId="77777777" w:rsidR="00BC2C9D" w:rsidRPr="00FD119B" w:rsidRDefault="00BC2C9D" w:rsidP="00F7488D">
            <w:pPr>
              <w:ind w:left="0" w:right="0"/>
            </w:pPr>
            <w:r>
              <w:t>Mutual recognition procedure</w:t>
            </w:r>
          </w:p>
        </w:tc>
      </w:tr>
      <w:tr w:rsidR="00BC2C9D" w:rsidRPr="00FD119B" w14:paraId="0D4988FB" w14:textId="77777777" w:rsidTr="008B7EB6">
        <w:tc>
          <w:tcPr>
            <w:tcW w:w="1803" w:type="dxa"/>
          </w:tcPr>
          <w:p w14:paraId="423A2BBA" w14:textId="77777777" w:rsidR="00BC2C9D" w:rsidRPr="00FD119B" w:rsidRDefault="00BC2C9D" w:rsidP="00F7488D">
            <w:pPr>
              <w:ind w:left="0" w:right="0"/>
            </w:pPr>
            <w:r>
              <w:t>N</w:t>
            </w:r>
          </w:p>
        </w:tc>
        <w:tc>
          <w:tcPr>
            <w:tcW w:w="6691" w:type="dxa"/>
          </w:tcPr>
          <w:p w14:paraId="4CAC691E" w14:textId="77777777" w:rsidR="00BC2C9D" w:rsidRPr="00FD119B" w:rsidRDefault="00BC2C9D" w:rsidP="00F7488D">
            <w:pPr>
              <w:ind w:left="0" w:right="0"/>
            </w:pPr>
            <w:r>
              <w:t>N</w:t>
            </w:r>
            <w:r w:rsidRPr="008C4D0E">
              <w:t>umber of subjects</w:t>
            </w:r>
          </w:p>
        </w:tc>
      </w:tr>
      <w:tr w:rsidR="00BC2C9D" w:rsidRPr="00FD119B" w14:paraId="705656B4" w14:textId="77777777" w:rsidTr="008B7EB6">
        <w:tc>
          <w:tcPr>
            <w:tcW w:w="1803" w:type="dxa"/>
          </w:tcPr>
          <w:p w14:paraId="5918B9EF" w14:textId="77777777" w:rsidR="00BC2C9D" w:rsidRPr="00FD119B" w:rsidRDefault="00BC2C9D" w:rsidP="00F7488D">
            <w:pPr>
              <w:ind w:left="0" w:right="0"/>
            </w:pPr>
            <w:r>
              <w:t>NNT</w:t>
            </w:r>
          </w:p>
        </w:tc>
        <w:tc>
          <w:tcPr>
            <w:tcW w:w="6691" w:type="dxa"/>
          </w:tcPr>
          <w:p w14:paraId="24A1DADF" w14:textId="77777777" w:rsidR="00BC2C9D" w:rsidRPr="008C4D0E" w:rsidRDefault="00BC2C9D" w:rsidP="00F7488D">
            <w:pPr>
              <w:ind w:left="0" w:right="0"/>
            </w:pPr>
            <w:r>
              <w:t>Number needed to treat</w:t>
            </w:r>
          </w:p>
        </w:tc>
      </w:tr>
      <w:tr w:rsidR="00BC2C9D" w:rsidRPr="00FD119B" w14:paraId="3B8656BE" w14:textId="77777777" w:rsidTr="008B7EB6">
        <w:tc>
          <w:tcPr>
            <w:tcW w:w="1803" w:type="dxa"/>
          </w:tcPr>
          <w:p w14:paraId="3B493259" w14:textId="77777777" w:rsidR="00BC2C9D" w:rsidRPr="00FD119B" w:rsidRDefault="00BC2C9D" w:rsidP="00F7488D">
            <w:pPr>
              <w:ind w:left="0" w:right="0"/>
            </w:pPr>
            <w:r>
              <w:t>Non-SUL</w:t>
            </w:r>
          </w:p>
        </w:tc>
        <w:tc>
          <w:tcPr>
            <w:tcW w:w="6691" w:type="dxa"/>
          </w:tcPr>
          <w:p w14:paraId="021D5D06" w14:textId="77777777" w:rsidR="00BC2C9D" w:rsidRPr="00FD119B" w:rsidRDefault="00BC2C9D" w:rsidP="00F7488D">
            <w:pPr>
              <w:ind w:left="0" w:right="0"/>
            </w:pPr>
            <w:r>
              <w:t>Non-study upper limb</w:t>
            </w:r>
          </w:p>
        </w:tc>
      </w:tr>
      <w:tr w:rsidR="00BC2C9D" w:rsidRPr="00FD119B" w14:paraId="246510F1" w14:textId="77777777" w:rsidTr="008B7EB6">
        <w:tc>
          <w:tcPr>
            <w:tcW w:w="1803" w:type="dxa"/>
          </w:tcPr>
          <w:p w14:paraId="2BBA8D45" w14:textId="77777777" w:rsidR="00BC2C9D" w:rsidRPr="00FD119B" w:rsidRDefault="00BC2C9D" w:rsidP="00F7488D">
            <w:pPr>
              <w:ind w:left="0" w:right="0"/>
            </w:pPr>
            <w:r>
              <w:t>PD</w:t>
            </w:r>
          </w:p>
        </w:tc>
        <w:tc>
          <w:tcPr>
            <w:tcW w:w="6691" w:type="dxa"/>
          </w:tcPr>
          <w:p w14:paraId="2ECA5D2B" w14:textId="77777777" w:rsidR="00BC2C9D" w:rsidRPr="00FD119B" w:rsidRDefault="00BC2C9D" w:rsidP="00F7488D">
            <w:pPr>
              <w:ind w:left="0" w:right="0"/>
            </w:pPr>
            <w:r>
              <w:t>Pharmacodynamic(s)</w:t>
            </w:r>
          </w:p>
        </w:tc>
      </w:tr>
      <w:tr w:rsidR="00BC2C9D" w:rsidRPr="00FD119B" w14:paraId="4E621860" w14:textId="77777777" w:rsidTr="008B7EB6">
        <w:tc>
          <w:tcPr>
            <w:tcW w:w="1803" w:type="dxa"/>
          </w:tcPr>
          <w:p w14:paraId="5447AA9E" w14:textId="77777777" w:rsidR="00BC2C9D" w:rsidRPr="00FD119B" w:rsidRDefault="00BC2C9D" w:rsidP="00F7488D">
            <w:pPr>
              <w:ind w:left="0" w:right="0"/>
            </w:pPr>
            <w:proofErr w:type="spellStart"/>
            <w:r>
              <w:t>PedsQL</w:t>
            </w:r>
            <w:proofErr w:type="spellEnd"/>
          </w:p>
        </w:tc>
        <w:tc>
          <w:tcPr>
            <w:tcW w:w="6691" w:type="dxa"/>
          </w:tcPr>
          <w:p w14:paraId="5C694AA9" w14:textId="77777777" w:rsidR="00BC2C9D" w:rsidRPr="00FD119B" w:rsidRDefault="00BC2C9D" w:rsidP="00F7488D">
            <w:pPr>
              <w:ind w:left="0" w:right="0"/>
            </w:pPr>
            <w:r>
              <w:t>Paediatric Quality of Life Inventory</w:t>
            </w:r>
          </w:p>
        </w:tc>
      </w:tr>
      <w:tr w:rsidR="00BC2C9D" w:rsidRPr="00FD119B" w14:paraId="6AD0A082" w14:textId="77777777" w:rsidTr="008B7EB6">
        <w:tc>
          <w:tcPr>
            <w:tcW w:w="1803" w:type="dxa"/>
          </w:tcPr>
          <w:p w14:paraId="244DF2B1" w14:textId="77777777" w:rsidR="00BC2C9D" w:rsidRPr="00FD119B" w:rsidRDefault="00BC2C9D" w:rsidP="00F7488D">
            <w:pPr>
              <w:ind w:left="0" w:right="0"/>
            </w:pPr>
            <w:r>
              <w:t>PGA</w:t>
            </w:r>
          </w:p>
        </w:tc>
        <w:tc>
          <w:tcPr>
            <w:tcW w:w="6691" w:type="dxa"/>
          </w:tcPr>
          <w:p w14:paraId="5D6445A5" w14:textId="77777777" w:rsidR="00BC2C9D" w:rsidRPr="00FD119B" w:rsidRDefault="00BC2C9D" w:rsidP="00F7488D">
            <w:pPr>
              <w:ind w:left="0" w:right="0"/>
            </w:pPr>
            <w:r>
              <w:t>Physician Global Assessment</w:t>
            </w:r>
          </w:p>
        </w:tc>
      </w:tr>
      <w:tr w:rsidR="00BC2C9D" w:rsidRPr="00FD119B" w14:paraId="61D9B7D1" w14:textId="77777777" w:rsidTr="008B7EB6">
        <w:tc>
          <w:tcPr>
            <w:tcW w:w="1803" w:type="dxa"/>
          </w:tcPr>
          <w:p w14:paraId="60AA85B3" w14:textId="77777777" w:rsidR="00BC2C9D" w:rsidRPr="00FD119B" w:rsidRDefault="00BC2C9D" w:rsidP="00F7488D">
            <w:pPr>
              <w:ind w:left="0" w:right="0"/>
            </w:pPr>
            <w:r>
              <w:t>PI</w:t>
            </w:r>
          </w:p>
        </w:tc>
        <w:tc>
          <w:tcPr>
            <w:tcW w:w="6691" w:type="dxa"/>
          </w:tcPr>
          <w:p w14:paraId="08D80237" w14:textId="77777777" w:rsidR="00BC2C9D" w:rsidRPr="00FD119B" w:rsidRDefault="00BC2C9D" w:rsidP="00F7488D">
            <w:pPr>
              <w:ind w:left="0" w:right="0"/>
            </w:pPr>
            <w:r>
              <w:t>Product Information</w:t>
            </w:r>
          </w:p>
        </w:tc>
      </w:tr>
      <w:tr w:rsidR="00BC2C9D" w:rsidRPr="00FD119B" w14:paraId="3AFFAE7E" w14:textId="77777777" w:rsidTr="008B7EB6">
        <w:tc>
          <w:tcPr>
            <w:tcW w:w="1803" w:type="dxa"/>
          </w:tcPr>
          <w:p w14:paraId="786DC3D5" w14:textId="77777777" w:rsidR="00BC2C9D" w:rsidRPr="00FD119B" w:rsidRDefault="00BC2C9D" w:rsidP="00F7488D">
            <w:pPr>
              <w:ind w:left="0" w:right="0"/>
            </w:pPr>
            <w:r>
              <w:t>PK</w:t>
            </w:r>
          </w:p>
        </w:tc>
        <w:tc>
          <w:tcPr>
            <w:tcW w:w="6691" w:type="dxa"/>
          </w:tcPr>
          <w:p w14:paraId="25FECCB3" w14:textId="77777777" w:rsidR="00BC2C9D" w:rsidRPr="00FD119B" w:rsidRDefault="00BC2C9D" w:rsidP="00F7488D">
            <w:pPr>
              <w:ind w:left="0" w:right="0"/>
            </w:pPr>
            <w:r>
              <w:t>Pharmacokinetic(s)</w:t>
            </w:r>
          </w:p>
        </w:tc>
      </w:tr>
      <w:tr w:rsidR="00BC2C9D" w:rsidRPr="00FD119B" w14:paraId="402550A3" w14:textId="77777777" w:rsidTr="008B7EB6">
        <w:tc>
          <w:tcPr>
            <w:tcW w:w="1803" w:type="dxa"/>
          </w:tcPr>
          <w:p w14:paraId="7DD5EBD7" w14:textId="77777777" w:rsidR="00BC2C9D" w:rsidRPr="00FD119B" w:rsidRDefault="00BC2C9D" w:rsidP="00F7488D">
            <w:pPr>
              <w:ind w:left="0" w:right="0"/>
            </w:pPr>
            <w:r>
              <w:t>PROM</w:t>
            </w:r>
          </w:p>
        </w:tc>
        <w:tc>
          <w:tcPr>
            <w:tcW w:w="6691" w:type="dxa"/>
          </w:tcPr>
          <w:p w14:paraId="12C58FAB" w14:textId="77777777" w:rsidR="00BC2C9D" w:rsidRPr="00FD119B" w:rsidRDefault="00BC2C9D" w:rsidP="00F7488D">
            <w:pPr>
              <w:ind w:left="0" w:right="0"/>
            </w:pPr>
            <w:r>
              <w:t>Passive range of motion</w:t>
            </w:r>
          </w:p>
        </w:tc>
      </w:tr>
      <w:tr w:rsidR="00BC2C9D" w:rsidRPr="00FD119B" w14:paraId="4C1C1FD5" w14:textId="77777777" w:rsidTr="008B7EB6">
        <w:tc>
          <w:tcPr>
            <w:tcW w:w="1803" w:type="dxa"/>
          </w:tcPr>
          <w:p w14:paraId="72935BEC" w14:textId="77777777" w:rsidR="00BC2C9D" w:rsidRPr="00FD119B" w:rsidRDefault="00BC2C9D" w:rsidP="00F7488D">
            <w:pPr>
              <w:ind w:left="0" w:right="0"/>
            </w:pPr>
            <w:r>
              <w:t>PSUR</w:t>
            </w:r>
          </w:p>
        </w:tc>
        <w:tc>
          <w:tcPr>
            <w:tcW w:w="6691" w:type="dxa"/>
          </w:tcPr>
          <w:p w14:paraId="1A3A5D5B" w14:textId="77777777" w:rsidR="00BC2C9D" w:rsidRPr="008C4D0E" w:rsidRDefault="00BC2C9D" w:rsidP="00F7488D">
            <w:pPr>
              <w:ind w:left="0" w:right="0"/>
            </w:pPr>
            <w:r>
              <w:t>Periodic safety update report</w:t>
            </w:r>
          </w:p>
        </w:tc>
      </w:tr>
      <w:tr w:rsidR="00BC2C9D" w:rsidRPr="00FD119B" w14:paraId="42792229" w14:textId="77777777" w:rsidTr="008B7EB6">
        <w:tc>
          <w:tcPr>
            <w:tcW w:w="1803" w:type="dxa"/>
          </w:tcPr>
          <w:p w14:paraId="6DFE1BEC" w14:textId="77777777" w:rsidR="00BC2C9D" w:rsidRPr="00FD119B" w:rsidRDefault="00BC2C9D" w:rsidP="00F7488D">
            <w:pPr>
              <w:ind w:left="0" w:right="0"/>
            </w:pPr>
            <w:r>
              <w:t>PTMG</w:t>
            </w:r>
          </w:p>
        </w:tc>
        <w:tc>
          <w:tcPr>
            <w:tcW w:w="6691" w:type="dxa"/>
          </w:tcPr>
          <w:p w14:paraId="48821C01" w14:textId="1AFFA723" w:rsidR="00BC2C9D" w:rsidRPr="00FD119B" w:rsidRDefault="00F3091E" w:rsidP="00F7488D">
            <w:pPr>
              <w:ind w:left="0" w:right="0"/>
            </w:pPr>
            <w:r>
              <w:t>P</w:t>
            </w:r>
            <w:r w:rsidR="00BC2C9D" w:rsidRPr="00746469">
              <w:t>ri</w:t>
            </w:r>
            <w:r>
              <w:t>mary targeted muscle group</w:t>
            </w:r>
          </w:p>
        </w:tc>
      </w:tr>
      <w:tr w:rsidR="00BC2C9D" w:rsidRPr="00FD119B" w14:paraId="71FDBD71" w14:textId="77777777" w:rsidTr="008B7EB6">
        <w:tc>
          <w:tcPr>
            <w:tcW w:w="1803" w:type="dxa"/>
          </w:tcPr>
          <w:p w14:paraId="3C2069E5" w14:textId="77777777" w:rsidR="00BC2C9D" w:rsidRPr="00FD119B" w:rsidRDefault="00BC2C9D" w:rsidP="00F7488D">
            <w:pPr>
              <w:ind w:left="0" w:right="0"/>
            </w:pPr>
            <w:r>
              <w:t>PUL</w:t>
            </w:r>
          </w:p>
        </w:tc>
        <w:tc>
          <w:tcPr>
            <w:tcW w:w="6691" w:type="dxa"/>
          </w:tcPr>
          <w:p w14:paraId="428B385A" w14:textId="77777777" w:rsidR="00BC2C9D" w:rsidRPr="00FD119B" w:rsidRDefault="00BC2C9D" w:rsidP="00F7488D">
            <w:pPr>
              <w:ind w:left="0" w:right="0"/>
            </w:pPr>
            <w:r>
              <w:t>Paediatric upper limb</w:t>
            </w:r>
          </w:p>
        </w:tc>
      </w:tr>
      <w:tr w:rsidR="005E04A1" w:rsidRPr="00FD119B" w14:paraId="6C69B753" w14:textId="77777777" w:rsidTr="008B7EB6">
        <w:tc>
          <w:tcPr>
            <w:tcW w:w="1803" w:type="dxa"/>
          </w:tcPr>
          <w:p w14:paraId="6DB4A757" w14:textId="0FAD608B" w:rsidR="005E04A1" w:rsidRDefault="005E04A1" w:rsidP="00F7488D">
            <w:pPr>
              <w:ind w:left="0"/>
            </w:pPr>
            <w:r>
              <w:t>ROM</w:t>
            </w:r>
          </w:p>
        </w:tc>
        <w:tc>
          <w:tcPr>
            <w:tcW w:w="6691" w:type="dxa"/>
          </w:tcPr>
          <w:p w14:paraId="4684B6E8" w14:textId="420CABFC" w:rsidR="005E04A1" w:rsidRDefault="005E04A1" w:rsidP="00F7488D">
            <w:pPr>
              <w:ind w:left="0"/>
            </w:pPr>
            <w:r>
              <w:t>Range of motion</w:t>
            </w:r>
          </w:p>
        </w:tc>
      </w:tr>
      <w:tr w:rsidR="00BC2C9D" w:rsidRPr="00FD119B" w14:paraId="17BCE480" w14:textId="77777777" w:rsidTr="008B7EB6">
        <w:tc>
          <w:tcPr>
            <w:tcW w:w="1803" w:type="dxa"/>
          </w:tcPr>
          <w:p w14:paraId="2E5995B5" w14:textId="77777777" w:rsidR="00BC2C9D" w:rsidRPr="00FD119B" w:rsidRDefault="00BC2C9D" w:rsidP="00F7488D">
            <w:pPr>
              <w:ind w:left="0" w:right="0"/>
            </w:pPr>
            <w:r>
              <w:t>SD</w:t>
            </w:r>
          </w:p>
        </w:tc>
        <w:tc>
          <w:tcPr>
            <w:tcW w:w="6691" w:type="dxa"/>
          </w:tcPr>
          <w:p w14:paraId="3DD10BC2" w14:textId="77777777" w:rsidR="00BC2C9D" w:rsidRPr="00FD119B" w:rsidRDefault="00BC2C9D" w:rsidP="00F7488D">
            <w:pPr>
              <w:ind w:left="0" w:right="0"/>
            </w:pPr>
            <w:r>
              <w:t>S</w:t>
            </w:r>
            <w:r w:rsidRPr="008C4D0E">
              <w:t>tandard deviation</w:t>
            </w:r>
          </w:p>
        </w:tc>
      </w:tr>
      <w:tr w:rsidR="00BC2C9D" w:rsidRPr="00FD119B" w14:paraId="785799BA" w14:textId="77777777" w:rsidTr="008B7EB6">
        <w:tc>
          <w:tcPr>
            <w:tcW w:w="1803" w:type="dxa"/>
          </w:tcPr>
          <w:p w14:paraId="4496BFDE" w14:textId="77777777" w:rsidR="00BC2C9D" w:rsidRPr="00FD119B" w:rsidRDefault="00BC2C9D" w:rsidP="00F7488D">
            <w:pPr>
              <w:ind w:left="0" w:right="0"/>
            </w:pPr>
            <w:r>
              <w:t>SE</w:t>
            </w:r>
          </w:p>
        </w:tc>
        <w:tc>
          <w:tcPr>
            <w:tcW w:w="6691" w:type="dxa"/>
          </w:tcPr>
          <w:p w14:paraId="664B786B" w14:textId="77777777" w:rsidR="00BC2C9D" w:rsidRPr="008C4D0E" w:rsidRDefault="00BC2C9D" w:rsidP="00F7488D">
            <w:pPr>
              <w:ind w:left="0" w:right="0"/>
            </w:pPr>
            <w:r>
              <w:t>S</w:t>
            </w:r>
            <w:r w:rsidRPr="008C4D0E">
              <w:t>tandard error</w:t>
            </w:r>
          </w:p>
        </w:tc>
      </w:tr>
      <w:tr w:rsidR="00BC2C9D" w:rsidRPr="00FD119B" w14:paraId="092C851B" w14:textId="77777777" w:rsidTr="008B7EB6">
        <w:tc>
          <w:tcPr>
            <w:tcW w:w="1803" w:type="dxa"/>
          </w:tcPr>
          <w:p w14:paraId="53B1743F" w14:textId="77777777" w:rsidR="00BC2C9D" w:rsidRPr="00FD119B" w:rsidRDefault="00BC2C9D" w:rsidP="00F7488D">
            <w:pPr>
              <w:ind w:left="0" w:right="0"/>
            </w:pPr>
            <w:r>
              <w:t>SSQ</w:t>
            </w:r>
          </w:p>
        </w:tc>
        <w:tc>
          <w:tcPr>
            <w:tcW w:w="6691" w:type="dxa"/>
          </w:tcPr>
          <w:p w14:paraId="59C58281" w14:textId="77777777" w:rsidR="00BC2C9D" w:rsidRPr="008C4D0E" w:rsidRDefault="00BC2C9D" w:rsidP="00F7488D">
            <w:pPr>
              <w:ind w:left="0" w:right="0"/>
            </w:pPr>
            <w:r>
              <w:rPr>
                <w:rFonts w:cs="Cambria"/>
              </w:rPr>
              <w:t xml:space="preserve">Subject Satisfaction </w:t>
            </w:r>
            <w:r>
              <w:t>Questionnaire</w:t>
            </w:r>
          </w:p>
        </w:tc>
      </w:tr>
      <w:tr w:rsidR="00BC2C9D" w:rsidRPr="00FD119B" w14:paraId="542EA3F7" w14:textId="77777777" w:rsidTr="008B7EB6">
        <w:tc>
          <w:tcPr>
            <w:tcW w:w="1803" w:type="dxa"/>
          </w:tcPr>
          <w:p w14:paraId="0BFB020D" w14:textId="77777777" w:rsidR="00BC2C9D" w:rsidRPr="00FD119B" w:rsidRDefault="00BC2C9D" w:rsidP="00F7488D">
            <w:pPr>
              <w:ind w:left="0" w:right="0"/>
            </w:pPr>
            <w:proofErr w:type="spellStart"/>
            <w:r>
              <w:t>sU</w:t>
            </w:r>
            <w:proofErr w:type="spellEnd"/>
          </w:p>
        </w:tc>
        <w:tc>
          <w:tcPr>
            <w:tcW w:w="6691" w:type="dxa"/>
          </w:tcPr>
          <w:p w14:paraId="378A6AC4" w14:textId="77777777" w:rsidR="00BC2C9D" w:rsidRPr="008C4D0E" w:rsidRDefault="00BC2C9D" w:rsidP="00F7488D">
            <w:pPr>
              <w:ind w:left="0" w:right="0"/>
            </w:pPr>
            <w:proofErr w:type="spellStart"/>
            <w:r>
              <w:t>Speywood</w:t>
            </w:r>
            <w:proofErr w:type="spellEnd"/>
            <w:r>
              <w:t xml:space="preserve"> units</w:t>
            </w:r>
          </w:p>
        </w:tc>
      </w:tr>
      <w:tr w:rsidR="00BC2C9D" w:rsidRPr="00FD119B" w14:paraId="3377FC5D" w14:textId="77777777" w:rsidTr="008B7EB6">
        <w:tc>
          <w:tcPr>
            <w:tcW w:w="1803" w:type="dxa"/>
          </w:tcPr>
          <w:p w14:paraId="1C550E81" w14:textId="77777777" w:rsidR="00BC2C9D" w:rsidRPr="00FD119B" w:rsidRDefault="00BC2C9D" w:rsidP="00F7488D">
            <w:pPr>
              <w:ind w:left="0" w:right="0"/>
            </w:pPr>
            <w:r>
              <w:t>SUL</w:t>
            </w:r>
          </w:p>
        </w:tc>
        <w:tc>
          <w:tcPr>
            <w:tcW w:w="6691" w:type="dxa"/>
          </w:tcPr>
          <w:p w14:paraId="061A2131" w14:textId="52F5B2BC" w:rsidR="00BC2C9D" w:rsidRPr="00FD119B" w:rsidRDefault="00F3091E" w:rsidP="00F7488D">
            <w:pPr>
              <w:ind w:left="0" w:right="0"/>
            </w:pPr>
            <w:r>
              <w:t>Study upper limb</w:t>
            </w:r>
          </w:p>
        </w:tc>
      </w:tr>
      <w:tr w:rsidR="00BC2C9D" w:rsidRPr="00FD119B" w14:paraId="381C0CBF" w14:textId="77777777" w:rsidTr="008B7EB6">
        <w:tc>
          <w:tcPr>
            <w:tcW w:w="1803" w:type="dxa"/>
          </w:tcPr>
          <w:p w14:paraId="1D195208" w14:textId="77777777" w:rsidR="00BC2C9D" w:rsidRPr="00FD119B" w:rsidRDefault="00BC2C9D" w:rsidP="00F7488D">
            <w:pPr>
              <w:ind w:left="0" w:right="0"/>
            </w:pPr>
            <w:r>
              <w:t>TC</w:t>
            </w:r>
          </w:p>
        </w:tc>
        <w:tc>
          <w:tcPr>
            <w:tcW w:w="6691" w:type="dxa"/>
          </w:tcPr>
          <w:p w14:paraId="6F6CB300" w14:textId="77777777" w:rsidR="00BC2C9D" w:rsidRPr="00FD119B" w:rsidRDefault="00BC2C9D" w:rsidP="00F7488D">
            <w:pPr>
              <w:ind w:left="0" w:right="0"/>
            </w:pPr>
            <w:r>
              <w:t>Treatment Cycle X (for example, Treatment Cycle 1 = TC1)</w:t>
            </w:r>
          </w:p>
        </w:tc>
      </w:tr>
      <w:tr w:rsidR="00BC2C9D" w:rsidRPr="00FD119B" w14:paraId="168B9884" w14:textId="77777777" w:rsidTr="008B7EB6">
        <w:tc>
          <w:tcPr>
            <w:tcW w:w="1803" w:type="dxa"/>
          </w:tcPr>
          <w:p w14:paraId="2721DE12" w14:textId="77777777" w:rsidR="00BC2C9D" w:rsidRPr="00FD119B" w:rsidRDefault="00BC2C9D" w:rsidP="00F7488D">
            <w:pPr>
              <w:ind w:left="0" w:right="0"/>
              <w:rPr>
                <w:color w:val="auto"/>
                <w:szCs w:val="22"/>
                <w:lang w:eastAsia="en-US"/>
              </w:rPr>
            </w:pPr>
            <w:r>
              <w:rPr>
                <w:color w:val="auto"/>
                <w:szCs w:val="22"/>
                <w:lang w:eastAsia="en-US"/>
              </w:rPr>
              <w:t>U</w:t>
            </w:r>
          </w:p>
        </w:tc>
        <w:tc>
          <w:tcPr>
            <w:tcW w:w="6691" w:type="dxa"/>
          </w:tcPr>
          <w:p w14:paraId="5951147B" w14:textId="77777777" w:rsidR="00BC2C9D" w:rsidRPr="00FD119B" w:rsidRDefault="00BC2C9D" w:rsidP="00F7488D">
            <w:pPr>
              <w:ind w:left="0" w:right="0"/>
              <w:rPr>
                <w:color w:val="auto"/>
                <w:szCs w:val="22"/>
                <w:lang w:eastAsia="en-US"/>
              </w:rPr>
            </w:pPr>
            <w:proofErr w:type="spellStart"/>
            <w:r>
              <w:t>Ipsen</w:t>
            </w:r>
            <w:proofErr w:type="spellEnd"/>
            <w:r>
              <w:t xml:space="preserve"> units</w:t>
            </w:r>
          </w:p>
        </w:tc>
      </w:tr>
      <w:tr w:rsidR="00BC2C9D" w:rsidRPr="00FD119B" w14:paraId="76D3CAA8" w14:textId="77777777" w:rsidTr="008B7EB6">
        <w:tc>
          <w:tcPr>
            <w:tcW w:w="1803" w:type="dxa"/>
          </w:tcPr>
          <w:p w14:paraId="0466ADAA" w14:textId="77777777" w:rsidR="00BC2C9D" w:rsidRPr="00FD119B" w:rsidRDefault="00BC2C9D" w:rsidP="00F7488D">
            <w:pPr>
              <w:ind w:left="0" w:right="0"/>
            </w:pPr>
            <w:r>
              <w:t>UK</w:t>
            </w:r>
          </w:p>
        </w:tc>
        <w:tc>
          <w:tcPr>
            <w:tcW w:w="6691" w:type="dxa"/>
          </w:tcPr>
          <w:p w14:paraId="7220FE97" w14:textId="77777777" w:rsidR="00BC2C9D" w:rsidRPr="00FD119B" w:rsidRDefault="00BC2C9D" w:rsidP="00F7488D">
            <w:pPr>
              <w:ind w:left="0" w:right="0"/>
            </w:pPr>
            <w:r>
              <w:t>United Kingdom</w:t>
            </w:r>
          </w:p>
        </w:tc>
      </w:tr>
      <w:tr w:rsidR="00BC2C9D" w:rsidRPr="00FD119B" w14:paraId="783999EA" w14:textId="77777777" w:rsidTr="008B7EB6">
        <w:tc>
          <w:tcPr>
            <w:tcW w:w="1803" w:type="dxa"/>
          </w:tcPr>
          <w:p w14:paraId="36128D23" w14:textId="77777777" w:rsidR="00BC2C9D" w:rsidRPr="00FD119B" w:rsidRDefault="00BC2C9D" w:rsidP="00F7488D">
            <w:pPr>
              <w:ind w:left="0" w:right="0"/>
            </w:pPr>
            <w:r>
              <w:t>US</w:t>
            </w:r>
          </w:p>
        </w:tc>
        <w:tc>
          <w:tcPr>
            <w:tcW w:w="6691" w:type="dxa"/>
          </w:tcPr>
          <w:p w14:paraId="00BD462B" w14:textId="77777777" w:rsidR="00BC2C9D" w:rsidRPr="00FD119B" w:rsidRDefault="00BC2C9D" w:rsidP="00F7488D">
            <w:pPr>
              <w:ind w:left="0" w:right="0"/>
            </w:pPr>
            <w:r>
              <w:t>United States</w:t>
            </w:r>
          </w:p>
        </w:tc>
      </w:tr>
      <w:tr w:rsidR="00BC2C9D" w:rsidRPr="00FD119B" w14:paraId="41B1B17F" w14:textId="77777777" w:rsidTr="008B7EB6">
        <w:tc>
          <w:tcPr>
            <w:tcW w:w="1803" w:type="dxa"/>
          </w:tcPr>
          <w:p w14:paraId="54D28BFC" w14:textId="77777777" w:rsidR="00BC2C9D" w:rsidRPr="00FD119B" w:rsidRDefault="00BC2C9D" w:rsidP="00F7488D">
            <w:pPr>
              <w:ind w:left="0" w:right="0"/>
            </w:pPr>
            <w:r w:rsidRPr="002C2698">
              <w:t>VAS</w:t>
            </w:r>
          </w:p>
        </w:tc>
        <w:tc>
          <w:tcPr>
            <w:tcW w:w="6691" w:type="dxa"/>
          </w:tcPr>
          <w:p w14:paraId="2C51302B" w14:textId="77777777" w:rsidR="00BC2C9D" w:rsidRPr="008C4D0E" w:rsidRDefault="00BC2C9D" w:rsidP="00F7488D">
            <w:pPr>
              <w:ind w:left="0" w:right="0"/>
            </w:pPr>
            <w:r>
              <w:t>Visual analogue scale</w:t>
            </w:r>
          </w:p>
        </w:tc>
      </w:tr>
      <w:tr w:rsidR="00BC2C9D" w:rsidRPr="00FD119B" w14:paraId="4CB669F0" w14:textId="77777777" w:rsidTr="008B7EB6">
        <w:tc>
          <w:tcPr>
            <w:tcW w:w="1803" w:type="dxa"/>
          </w:tcPr>
          <w:p w14:paraId="58F320BD" w14:textId="77777777" w:rsidR="00BC2C9D" w:rsidRPr="00FD119B" w:rsidRDefault="00BC2C9D" w:rsidP="00F7488D">
            <w:pPr>
              <w:ind w:left="0" w:right="0"/>
            </w:pPr>
            <w:r>
              <w:t>WSP</w:t>
            </w:r>
          </w:p>
        </w:tc>
        <w:tc>
          <w:tcPr>
            <w:tcW w:w="6691" w:type="dxa"/>
          </w:tcPr>
          <w:p w14:paraId="023BD711" w14:textId="77777777" w:rsidR="00BC2C9D" w:rsidRPr="00FD119B" w:rsidRDefault="00BC2C9D" w:rsidP="00F7488D">
            <w:pPr>
              <w:ind w:left="0" w:right="0"/>
            </w:pPr>
            <w:r>
              <w:t>Work sharing procedure</w:t>
            </w:r>
          </w:p>
        </w:tc>
      </w:tr>
    </w:tbl>
    <w:p w14:paraId="30500CD1" w14:textId="77777777" w:rsidR="00FD119B" w:rsidRDefault="00FD119B" w:rsidP="00FD119B"/>
    <w:p w14:paraId="0A08745D" w14:textId="77777777" w:rsidR="00FD119B" w:rsidRPr="00FD119B" w:rsidRDefault="00FD119B" w:rsidP="00FD119B">
      <w:pPr>
        <w:spacing w:before="0" w:after="200" w:line="0" w:lineRule="auto"/>
        <w:rPr>
          <w:b/>
          <w:i/>
          <w:sz w:val="24"/>
          <w:szCs w:val="24"/>
        </w:rPr>
      </w:pPr>
      <w:r w:rsidRPr="00FD119B">
        <w:rPr>
          <w:b/>
          <w:i/>
          <w:sz w:val="24"/>
          <w:szCs w:val="24"/>
        </w:rPr>
        <w:br w:type="page"/>
      </w:r>
    </w:p>
    <w:p w14:paraId="0164BD60" w14:textId="77777777" w:rsidR="008E7846" w:rsidRDefault="00F53C07" w:rsidP="008E7846">
      <w:pPr>
        <w:pStyle w:val="Heading2"/>
      </w:pPr>
      <w:bookmarkStart w:id="9" w:name="_Toc70942390"/>
      <w:r>
        <w:t>I.</w:t>
      </w:r>
      <w:r w:rsidR="008E7846">
        <w:t xml:space="preserve"> Introduction to product submission</w:t>
      </w:r>
      <w:bookmarkEnd w:id="3"/>
      <w:bookmarkEnd w:id="0"/>
      <w:bookmarkEnd w:id="9"/>
    </w:p>
    <w:p w14:paraId="10C1B816" w14:textId="77777777" w:rsidR="008E7846" w:rsidRDefault="008E7846" w:rsidP="008E7846">
      <w:pPr>
        <w:pStyle w:val="Heading3"/>
        <w:rPr>
          <w:lang w:eastAsia="en-AU"/>
        </w:rPr>
      </w:pPr>
      <w:bookmarkStart w:id="10" w:name="_Toc247691502"/>
      <w:bookmarkStart w:id="11" w:name="_Toc314842483"/>
      <w:bookmarkStart w:id="12" w:name="_Toc7094239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387120E0" w14:textId="77777777" w:rsidTr="003735BC">
        <w:tc>
          <w:tcPr>
            <w:tcW w:w="2907" w:type="dxa"/>
          </w:tcPr>
          <w:p w14:paraId="72BFDDE9"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45B128A5" w14:textId="77777777" w:rsidR="008E7846" w:rsidRPr="003D1E62" w:rsidRDefault="00293E30" w:rsidP="001B5C90">
            <w:r>
              <w:t>Extension of indications</w:t>
            </w:r>
          </w:p>
        </w:tc>
      </w:tr>
      <w:tr w:rsidR="00460036" w:rsidRPr="003D1E62" w14:paraId="7434544B" w14:textId="77777777" w:rsidTr="003735BC">
        <w:tc>
          <w:tcPr>
            <w:tcW w:w="2907" w:type="dxa"/>
          </w:tcPr>
          <w:p w14:paraId="67071088" w14:textId="77777777" w:rsidR="00460036" w:rsidRPr="003D1E62" w:rsidRDefault="00460036" w:rsidP="003D1E62">
            <w:pPr>
              <w:rPr>
                <w:i/>
              </w:rPr>
            </w:pPr>
            <w:r w:rsidRPr="00460036">
              <w:rPr>
                <w:i/>
              </w:rPr>
              <w:t>Prod</w:t>
            </w:r>
            <w:r w:rsidR="00293E30">
              <w:rPr>
                <w:i/>
              </w:rPr>
              <w:t>uct name</w:t>
            </w:r>
            <w:r w:rsidRPr="00460036">
              <w:rPr>
                <w:i/>
              </w:rPr>
              <w:t>:</w:t>
            </w:r>
          </w:p>
        </w:tc>
        <w:tc>
          <w:tcPr>
            <w:tcW w:w="6307" w:type="dxa"/>
          </w:tcPr>
          <w:p w14:paraId="15122579" w14:textId="77777777" w:rsidR="00460036" w:rsidRPr="003D1E62" w:rsidRDefault="00293E30" w:rsidP="001B5C90">
            <w:proofErr w:type="spellStart"/>
            <w:r>
              <w:t>Dysport</w:t>
            </w:r>
            <w:proofErr w:type="spellEnd"/>
          </w:p>
        </w:tc>
      </w:tr>
      <w:tr w:rsidR="00460036" w:rsidRPr="003D1E62" w14:paraId="15DF2927" w14:textId="77777777" w:rsidTr="003735BC">
        <w:tc>
          <w:tcPr>
            <w:tcW w:w="2907" w:type="dxa"/>
          </w:tcPr>
          <w:p w14:paraId="1692AA13" w14:textId="77777777" w:rsidR="00460036" w:rsidRPr="003D1E62" w:rsidRDefault="00293E30" w:rsidP="003D1E62">
            <w:pPr>
              <w:rPr>
                <w:i/>
              </w:rPr>
            </w:pPr>
            <w:r>
              <w:rPr>
                <w:i/>
              </w:rPr>
              <w:t>Active ingredient</w:t>
            </w:r>
            <w:r w:rsidR="00460036" w:rsidRPr="00460036">
              <w:rPr>
                <w:i/>
              </w:rPr>
              <w:t>:</w:t>
            </w:r>
          </w:p>
        </w:tc>
        <w:tc>
          <w:tcPr>
            <w:tcW w:w="6307" w:type="dxa"/>
          </w:tcPr>
          <w:p w14:paraId="139352E0" w14:textId="12E6E830" w:rsidR="00460036" w:rsidRPr="003D1E62" w:rsidRDefault="00E12237" w:rsidP="001B5C90">
            <w:r w:rsidRPr="001C79F5">
              <w:rPr>
                <w:i/>
              </w:rPr>
              <w:t>Clostridium botulinum</w:t>
            </w:r>
            <w:r>
              <w:t xml:space="preserve"> type A</w:t>
            </w:r>
            <w:r w:rsidR="00293E30" w:rsidRPr="00293E30">
              <w:t xml:space="preserve"> toxin - haemagglutinin complex</w:t>
            </w:r>
          </w:p>
        </w:tc>
      </w:tr>
      <w:tr w:rsidR="008E7846" w:rsidRPr="003D1E62" w14:paraId="0272CD08" w14:textId="77777777" w:rsidTr="003735BC">
        <w:tc>
          <w:tcPr>
            <w:tcW w:w="2907" w:type="dxa"/>
          </w:tcPr>
          <w:p w14:paraId="2D3A857A" w14:textId="77777777" w:rsidR="008E7846" w:rsidRPr="003D1E62" w:rsidRDefault="008E7846" w:rsidP="003D1E62">
            <w:r w:rsidRPr="003D1E62">
              <w:rPr>
                <w:i/>
              </w:rPr>
              <w:t>Decision</w:t>
            </w:r>
            <w:r w:rsidRPr="003D1E62">
              <w:t>:</w:t>
            </w:r>
          </w:p>
        </w:tc>
        <w:tc>
          <w:tcPr>
            <w:tcW w:w="6307" w:type="dxa"/>
          </w:tcPr>
          <w:p w14:paraId="391F57A9" w14:textId="77777777" w:rsidR="008E7846" w:rsidRPr="003D1E62" w:rsidRDefault="00293E30" w:rsidP="00293E30">
            <w:r>
              <w:t>Approved</w:t>
            </w:r>
          </w:p>
        </w:tc>
      </w:tr>
      <w:tr w:rsidR="008E7846" w:rsidRPr="003D1E62" w14:paraId="3B6228BE" w14:textId="77777777" w:rsidTr="003735BC">
        <w:tc>
          <w:tcPr>
            <w:tcW w:w="2907" w:type="dxa"/>
          </w:tcPr>
          <w:p w14:paraId="09306F3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222688FD" w14:textId="77777777" w:rsidR="008E7846" w:rsidRPr="003D1E62" w:rsidRDefault="00293E30" w:rsidP="001B5C90">
            <w:r>
              <w:t>14 July 2020</w:t>
            </w:r>
          </w:p>
        </w:tc>
      </w:tr>
      <w:tr w:rsidR="00ED2922" w:rsidRPr="003D1E62" w14:paraId="79FA4162" w14:textId="77777777" w:rsidTr="003735BC">
        <w:tc>
          <w:tcPr>
            <w:tcW w:w="2907" w:type="dxa"/>
          </w:tcPr>
          <w:p w14:paraId="3FC1DF9F" w14:textId="77777777" w:rsidR="00ED2922" w:rsidRPr="00441C3F" w:rsidRDefault="00ED2922" w:rsidP="001B5C90">
            <w:pPr>
              <w:rPr>
                <w:i/>
              </w:rPr>
            </w:pPr>
            <w:r w:rsidRPr="00441C3F">
              <w:rPr>
                <w:i/>
              </w:rPr>
              <w:t>Date of entry onto ARTG</w:t>
            </w:r>
            <w:r w:rsidR="00500337">
              <w:rPr>
                <w:i/>
              </w:rPr>
              <w:t>:</w:t>
            </w:r>
          </w:p>
        </w:tc>
        <w:tc>
          <w:tcPr>
            <w:tcW w:w="6307" w:type="dxa"/>
          </w:tcPr>
          <w:p w14:paraId="0BACA9C9" w14:textId="77777777" w:rsidR="00ED2922" w:rsidRPr="00441C3F" w:rsidRDefault="00293E30" w:rsidP="00D153D8">
            <w:pPr>
              <w:rPr>
                <w:i/>
              </w:rPr>
            </w:pPr>
            <w:r>
              <w:t>21 July 2020</w:t>
            </w:r>
          </w:p>
        </w:tc>
      </w:tr>
      <w:tr w:rsidR="00500337" w:rsidRPr="003D1E62" w14:paraId="1877A397" w14:textId="77777777" w:rsidTr="003735BC">
        <w:tc>
          <w:tcPr>
            <w:tcW w:w="2907" w:type="dxa"/>
          </w:tcPr>
          <w:p w14:paraId="10AB43BE" w14:textId="77777777" w:rsidR="00500337" w:rsidRPr="00441C3F" w:rsidRDefault="00293E30" w:rsidP="001B5C90">
            <w:pPr>
              <w:rPr>
                <w:i/>
              </w:rPr>
            </w:pPr>
            <w:r>
              <w:rPr>
                <w:i/>
              </w:rPr>
              <w:t>ARTG numbers</w:t>
            </w:r>
            <w:r w:rsidR="00500337">
              <w:rPr>
                <w:i/>
              </w:rPr>
              <w:t>:</w:t>
            </w:r>
          </w:p>
        </w:tc>
        <w:tc>
          <w:tcPr>
            <w:tcW w:w="6307" w:type="dxa"/>
          </w:tcPr>
          <w:p w14:paraId="15527C4F" w14:textId="77777777" w:rsidR="00500337" w:rsidRPr="00441C3F" w:rsidRDefault="00293E30" w:rsidP="00293E30">
            <w:r>
              <w:rPr>
                <w:rFonts w:eastAsiaTheme="minorHAnsi" w:cs="Cambria"/>
              </w:rPr>
              <w:t>74124, 170651, 235282</w:t>
            </w:r>
          </w:p>
        </w:tc>
      </w:tr>
      <w:tr w:rsidR="003735BC" w:rsidRPr="003D1E62" w14:paraId="6F4966C6" w14:textId="77777777" w:rsidTr="003735BC">
        <w:tc>
          <w:tcPr>
            <w:tcW w:w="2907" w:type="dxa"/>
          </w:tcPr>
          <w:p w14:paraId="40CB96DF"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5D67B9A2" w14:textId="77777777" w:rsidR="003735BC" w:rsidRPr="00487162" w:rsidRDefault="00293E30" w:rsidP="003735BC">
            <w:r>
              <w:t>No</w:t>
            </w:r>
          </w:p>
        </w:tc>
      </w:tr>
      <w:tr w:rsidR="008E7846" w:rsidRPr="00487162" w14:paraId="429583C7" w14:textId="77777777" w:rsidTr="00BF1190">
        <w:tc>
          <w:tcPr>
            <w:tcW w:w="2907" w:type="dxa"/>
          </w:tcPr>
          <w:p w14:paraId="7571D11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2A6E5E1B" w14:textId="77777777" w:rsidR="00293E30" w:rsidRDefault="00293E30" w:rsidP="00293E30">
            <w:proofErr w:type="spellStart"/>
            <w:r>
              <w:t>Ipsen</w:t>
            </w:r>
            <w:proofErr w:type="spellEnd"/>
            <w:r>
              <w:t xml:space="preserve"> Pty Ltd</w:t>
            </w:r>
          </w:p>
          <w:p w14:paraId="671CFF0F" w14:textId="77777777" w:rsidR="00293E30" w:rsidRDefault="00293E30" w:rsidP="00293E30">
            <w:r>
              <w:t>Level 2, Building 4, Brandon Office Park</w:t>
            </w:r>
          </w:p>
          <w:p w14:paraId="5E71C6B4" w14:textId="77777777" w:rsidR="00293E30" w:rsidRDefault="00293E30" w:rsidP="00293E30">
            <w:r>
              <w:t>540 Springvale Road</w:t>
            </w:r>
          </w:p>
          <w:p w14:paraId="4DE0C294" w14:textId="77777777" w:rsidR="008E7846" w:rsidRPr="00487162" w:rsidRDefault="00293E30" w:rsidP="00293E30">
            <w:r>
              <w:t>Glen Waverley Victoria 3150</w:t>
            </w:r>
          </w:p>
        </w:tc>
      </w:tr>
      <w:tr w:rsidR="008E7846" w:rsidRPr="00487162" w14:paraId="66BFF1A8" w14:textId="77777777" w:rsidTr="00BF1190">
        <w:tc>
          <w:tcPr>
            <w:tcW w:w="2907" w:type="dxa"/>
          </w:tcPr>
          <w:p w14:paraId="7CED453A" w14:textId="77777777" w:rsidR="008E7846" w:rsidRPr="00487162" w:rsidRDefault="00293E30" w:rsidP="00E45619">
            <w:pPr>
              <w:rPr>
                <w:i/>
              </w:rPr>
            </w:pPr>
            <w:r>
              <w:rPr>
                <w:i/>
              </w:rPr>
              <w:t>Dose form</w:t>
            </w:r>
            <w:r w:rsidR="001B5C90">
              <w:rPr>
                <w:i/>
              </w:rPr>
              <w:t>:</w:t>
            </w:r>
          </w:p>
        </w:tc>
        <w:tc>
          <w:tcPr>
            <w:tcW w:w="6307" w:type="dxa"/>
          </w:tcPr>
          <w:p w14:paraId="3585BD67" w14:textId="77777777" w:rsidR="008E7846" w:rsidRPr="00487162" w:rsidRDefault="00293E30" w:rsidP="00E45619">
            <w:r>
              <w:t>P</w:t>
            </w:r>
            <w:r w:rsidRPr="00293E30">
              <w:t>owder for injection</w:t>
            </w:r>
          </w:p>
        </w:tc>
      </w:tr>
      <w:tr w:rsidR="008E7846" w:rsidRPr="00487162" w14:paraId="77340557" w14:textId="77777777" w:rsidTr="00BF1190">
        <w:tc>
          <w:tcPr>
            <w:tcW w:w="2907" w:type="dxa"/>
          </w:tcPr>
          <w:p w14:paraId="6CA6A0AE" w14:textId="77777777" w:rsidR="008E7846" w:rsidRPr="00487162" w:rsidRDefault="00293E30" w:rsidP="00E45619">
            <w:pPr>
              <w:rPr>
                <w:i/>
              </w:rPr>
            </w:pPr>
            <w:r>
              <w:rPr>
                <w:i/>
              </w:rPr>
              <w:t>Strengths</w:t>
            </w:r>
            <w:r w:rsidR="00324E45">
              <w:rPr>
                <w:i/>
              </w:rPr>
              <w:t>:</w:t>
            </w:r>
          </w:p>
        </w:tc>
        <w:tc>
          <w:tcPr>
            <w:tcW w:w="6307" w:type="dxa"/>
          </w:tcPr>
          <w:p w14:paraId="4F6F2D91" w14:textId="72F7197A" w:rsidR="008E7846" w:rsidRPr="00487162" w:rsidRDefault="00293E30" w:rsidP="00E45619">
            <w:r w:rsidRPr="00293E30">
              <w:t>125</w:t>
            </w:r>
            <w:r>
              <w:t xml:space="preserve"> </w:t>
            </w:r>
            <w:proofErr w:type="spellStart"/>
            <w:r w:rsidR="001C79F5">
              <w:t>Ipsen</w:t>
            </w:r>
            <w:proofErr w:type="spellEnd"/>
            <w:r w:rsidR="001C79F5">
              <w:t xml:space="preserve"> </w:t>
            </w:r>
            <w:r>
              <w:t>units (U)</w:t>
            </w:r>
            <w:r w:rsidRPr="00293E30">
              <w:t>, 300</w:t>
            </w:r>
            <w:r>
              <w:t xml:space="preserve"> U</w:t>
            </w:r>
            <w:r w:rsidR="00A54F33">
              <w:t xml:space="preserve">, </w:t>
            </w:r>
            <w:r w:rsidRPr="00293E30">
              <w:t>500</w:t>
            </w:r>
            <w:r>
              <w:t xml:space="preserve"> U</w:t>
            </w:r>
          </w:p>
        </w:tc>
      </w:tr>
      <w:tr w:rsidR="008E7846" w:rsidRPr="00487162" w14:paraId="48579FA8" w14:textId="77777777" w:rsidTr="00BF1190">
        <w:tc>
          <w:tcPr>
            <w:tcW w:w="2907" w:type="dxa"/>
          </w:tcPr>
          <w:p w14:paraId="21BDC980" w14:textId="77777777" w:rsidR="008E7846" w:rsidRPr="00487162" w:rsidRDefault="004C75FA" w:rsidP="00E45619">
            <w:pPr>
              <w:rPr>
                <w:i/>
              </w:rPr>
            </w:pPr>
            <w:r>
              <w:rPr>
                <w:i/>
              </w:rPr>
              <w:t>Container</w:t>
            </w:r>
            <w:r w:rsidR="008E7846" w:rsidRPr="00487162">
              <w:rPr>
                <w:i/>
              </w:rPr>
              <w:t>:</w:t>
            </w:r>
          </w:p>
        </w:tc>
        <w:tc>
          <w:tcPr>
            <w:tcW w:w="6307" w:type="dxa"/>
          </w:tcPr>
          <w:p w14:paraId="08E806C0" w14:textId="77777777" w:rsidR="008E7846" w:rsidRPr="00487162" w:rsidRDefault="00293E30" w:rsidP="00E45619">
            <w:r>
              <w:t>Vial</w:t>
            </w:r>
          </w:p>
        </w:tc>
      </w:tr>
      <w:tr w:rsidR="008E7846" w:rsidRPr="00487162" w14:paraId="7A3B2B40" w14:textId="77777777" w:rsidTr="00BF1190">
        <w:tc>
          <w:tcPr>
            <w:tcW w:w="2907" w:type="dxa"/>
          </w:tcPr>
          <w:p w14:paraId="6494DACD" w14:textId="77777777" w:rsidR="008E7846" w:rsidRPr="00487162" w:rsidRDefault="004C75FA" w:rsidP="00E45619">
            <w:pPr>
              <w:rPr>
                <w:i/>
              </w:rPr>
            </w:pPr>
            <w:r>
              <w:rPr>
                <w:i/>
              </w:rPr>
              <w:t>Pack sizes</w:t>
            </w:r>
            <w:r w:rsidR="008E7846" w:rsidRPr="00487162">
              <w:rPr>
                <w:i/>
              </w:rPr>
              <w:t>:</w:t>
            </w:r>
          </w:p>
        </w:tc>
        <w:tc>
          <w:tcPr>
            <w:tcW w:w="6307" w:type="dxa"/>
          </w:tcPr>
          <w:p w14:paraId="3D9AE475" w14:textId="77777777" w:rsidR="008E7846" w:rsidRPr="00487162" w:rsidRDefault="004C75FA" w:rsidP="00E45619">
            <w:r>
              <w:t>1 or 2 vials</w:t>
            </w:r>
          </w:p>
        </w:tc>
      </w:tr>
      <w:tr w:rsidR="008E7846" w:rsidRPr="00487162" w14:paraId="7E396D0C" w14:textId="77777777" w:rsidTr="00BF1190">
        <w:tc>
          <w:tcPr>
            <w:tcW w:w="2907" w:type="dxa"/>
          </w:tcPr>
          <w:p w14:paraId="4AF732C8"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0863F84E" w14:textId="77777777" w:rsidR="008E7846" w:rsidRPr="004C75FA" w:rsidRDefault="00293E30" w:rsidP="00293E30">
            <w:pPr>
              <w:rPr>
                <w:rFonts w:eastAsia="MS Mincho"/>
                <w:i/>
                <w:lang w:eastAsia="ja-JP"/>
              </w:rPr>
            </w:pPr>
            <w:r w:rsidRPr="004C75FA">
              <w:rPr>
                <w:rFonts w:eastAsia="MS Mincho"/>
                <w:i/>
                <w:lang w:eastAsia="ja-JP"/>
              </w:rPr>
              <w:t>For symptomatic treatment of focal spasticity of upper lim</w:t>
            </w:r>
            <w:r w:rsidR="004C75FA" w:rsidRPr="004C75FA">
              <w:rPr>
                <w:rFonts w:eastAsia="MS Mincho"/>
                <w:i/>
                <w:lang w:eastAsia="ja-JP"/>
              </w:rPr>
              <w:t>bs in children aged 2 years and older.</w:t>
            </w:r>
          </w:p>
        </w:tc>
      </w:tr>
      <w:tr w:rsidR="008E7846" w:rsidRPr="00487162" w14:paraId="78C04EA9" w14:textId="77777777" w:rsidTr="00BF1190">
        <w:tc>
          <w:tcPr>
            <w:tcW w:w="2907" w:type="dxa"/>
          </w:tcPr>
          <w:p w14:paraId="7C1965B5" w14:textId="77777777" w:rsidR="008E7846" w:rsidRPr="00487162" w:rsidRDefault="004C75FA" w:rsidP="00E45619">
            <w:pPr>
              <w:rPr>
                <w:i/>
              </w:rPr>
            </w:pPr>
            <w:r>
              <w:rPr>
                <w:i/>
              </w:rPr>
              <w:t>Route</w:t>
            </w:r>
            <w:r w:rsidR="008E7846" w:rsidRPr="00487162">
              <w:rPr>
                <w:i/>
              </w:rPr>
              <w:t xml:space="preserve"> of administration:</w:t>
            </w:r>
          </w:p>
        </w:tc>
        <w:tc>
          <w:tcPr>
            <w:tcW w:w="6307" w:type="dxa"/>
          </w:tcPr>
          <w:p w14:paraId="755FD6CC" w14:textId="77777777" w:rsidR="008E7846" w:rsidRPr="00487162" w:rsidRDefault="004C75FA" w:rsidP="00E45619">
            <w:r>
              <w:t>Intramuscular injection</w:t>
            </w:r>
          </w:p>
        </w:tc>
      </w:tr>
      <w:tr w:rsidR="008E7846" w:rsidRPr="00487162" w14:paraId="62A19AB8" w14:textId="77777777" w:rsidTr="00BF1190">
        <w:tc>
          <w:tcPr>
            <w:tcW w:w="2907" w:type="dxa"/>
          </w:tcPr>
          <w:p w14:paraId="0496A1A9" w14:textId="77777777" w:rsidR="008E7846" w:rsidRPr="00487162" w:rsidRDefault="008E7846" w:rsidP="00E45619">
            <w:pPr>
              <w:rPr>
                <w:i/>
              </w:rPr>
            </w:pPr>
            <w:r w:rsidRPr="00487162">
              <w:rPr>
                <w:i/>
              </w:rPr>
              <w:t>Dosage:</w:t>
            </w:r>
          </w:p>
        </w:tc>
        <w:tc>
          <w:tcPr>
            <w:tcW w:w="6307" w:type="dxa"/>
          </w:tcPr>
          <w:p w14:paraId="21C4720A" w14:textId="77777777" w:rsidR="004C75FA" w:rsidRDefault="004C75FA" w:rsidP="004C75FA">
            <w:r>
              <w:t xml:space="preserve">Training: </w:t>
            </w:r>
            <w:proofErr w:type="spellStart"/>
            <w:r>
              <w:t>Dysport</w:t>
            </w:r>
            <w:proofErr w:type="spellEnd"/>
            <w:r>
              <w:t xml:space="preserve"> should only be administered by appropriately trained physicians. The product distributor can facilitate training in administration of </w:t>
            </w:r>
            <w:proofErr w:type="spellStart"/>
            <w:r>
              <w:t>Dysport</w:t>
            </w:r>
            <w:proofErr w:type="spellEnd"/>
            <w:r>
              <w:t xml:space="preserve"> injections.</w:t>
            </w:r>
          </w:p>
          <w:p w14:paraId="0857B278" w14:textId="77777777" w:rsidR="004C75FA" w:rsidRPr="004C75FA" w:rsidRDefault="004C75FA" w:rsidP="004C75FA">
            <w:pPr>
              <w:rPr>
                <w:i/>
              </w:rPr>
            </w:pPr>
            <w:r w:rsidRPr="004C75FA">
              <w:rPr>
                <w:i/>
              </w:rPr>
              <w:t>Focal spasticity of upper limbs in children aged 2 years and older</w:t>
            </w:r>
          </w:p>
          <w:p w14:paraId="276647FD" w14:textId="77777777" w:rsidR="008E7846" w:rsidRDefault="004C75FA" w:rsidP="004C75FA">
            <w:r>
              <w:t>Dosing in initial and sequential treatment sessions should be tailored to the individual based on the size, number and location of muscles involved, severity of spasticity, the presence of local muscle weakness, the patient's response to previous treatment, and/or adverse event history with botulinum toxins.</w:t>
            </w:r>
          </w:p>
          <w:p w14:paraId="19E476B3" w14:textId="77777777" w:rsidR="008049CB" w:rsidRDefault="008049CB" w:rsidP="008049CB">
            <w:r>
              <w:t xml:space="preserve">The maximum dose of </w:t>
            </w:r>
            <w:proofErr w:type="spellStart"/>
            <w:r>
              <w:t>Dysport</w:t>
            </w:r>
            <w:proofErr w:type="spellEnd"/>
            <w:r>
              <w:t xml:space="preserve"> administered per treatment session when injecting unilaterally must not exceed 16 U/kg or 640 U whichever is lower. When injecting bilaterally, the maximum </w:t>
            </w:r>
            <w:proofErr w:type="spellStart"/>
            <w:r>
              <w:t>Dysport</w:t>
            </w:r>
            <w:proofErr w:type="spellEnd"/>
            <w:r>
              <w:t xml:space="preserve"> dose per treatment session must not exceed 21 U/kg or 840 U, whichever is lower.</w:t>
            </w:r>
          </w:p>
          <w:p w14:paraId="6CAA76EF" w14:textId="77777777" w:rsidR="00460036" w:rsidRPr="00487162" w:rsidRDefault="00460036" w:rsidP="00E45619">
            <w:r w:rsidRPr="00460036">
              <w:t>For further information regarding dosage, refer to the Product Information.</w:t>
            </w:r>
          </w:p>
        </w:tc>
      </w:tr>
      <w:tr w:rsidR="00460036" w:rsidRPr="00487162" w14:paraId="6A170679" w14:textId="77777777" w:rsidTr="00BF1190">
        <w:tc>
          <w:tcPr>
            <w:tcW w:w="2907" w:type="dxa"/>
          </w:tcPr>
          <w:p w14:paraId="6CB97442" w14:textId="77777777" w:rsidR="00460036" w:rsidRPr="00487162" w:rsidRDefault="00460036" w:rsidP="00E45619">
            <w:pPr>
              <w:rPr>
                <w:i/>
              </w:rPr>
            </w:pPr>
            <w:r w:rsidRPr="00460036">
              <w:rPr>
                <w:i/>
              </w:rPr>
              <w:t>Pregnancy category</w:t>
            </w:r>
            <w:r>
              <w:rPr>
                <w:i/>
              </w:rPr>
              <w:t>:</w:t>
            </w:r>
          </w:p>
        </w:tc>
        <w:tc>
          <w:tcPr>
            <w:tcW w:w="6307" w:type="dxa"/>
          </w:tcPr>
          <w:p w14:paraId="21AE0C01" w14:textId="77777777" w:rsidR="00460036" w:rsidRDefault="004C75FA" w:rsidP="004C75FA">
            <w:r>
              <w:t>B3</w:t>
            </w:r>
          </w:p>
          <w:p w14:paraId="2D0F37F0" w14:textId="77777777" w:rsidR="004C75FA" w:rsidRDefault="004C75FA" w:rsidP="004C75FA">
            <w:r>
              <w:t>Drugs which have been taken by only a limited number of pregnant women and women of childbearing age, without an increase in the frequency of malformation or other direct or indirect harmful effects on the human fetus having been observed.</w:t>
            </w:r>
          </w:p>
          <w:p w14:paraId="3BE1C728" w14:textId="77777777" w:rsidR="004C75FA" w:rsidRPr="004C75FA" w:rsidRDefault="004C75FA" w:rsidP="004C75FA">
            <w:r>
              <w:t>Studies in animals have shown evidence of an increased occurrence of fetal damage, the significance of which is considered uncertain in humans.</w:t>
            </w:r>
          </w:p>
          <w:p w14:paraId="5FA2229F"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4C75FA">
              <w:t>ces in your State or Territory.</w:t>
            </w:r>
          </w:p>
        </w:tc>
      </w:tr>
    </w:tbl>
    <w:p w14:paraId="1060528F" w14:textId="77777777" w:rsidR="008E7846" w:rsidRDefault="008E7846" w:rsidP="008E7846">
      <w:pPr>
        <w:pStyle w:val="Heading3"/>
      </w:pPr>
      <w:bookmarkStart w:id="13" w:name="_Toc247691503"/>
      <w:bookmarkStart w:id="14" w:name="_Toc314842484"/>
      <w:bookmarkStart w:id="15" w:name="_Toc70942392"/>
      <w:r>
        <w:t>Product background</w:t>
      </w:r>
      <w:bookmarkEnd w:id="13"/>
      <w:bookmarkEnd w:id="14"/>
      <w:bookmarkEnd w:id="15"/>
    </w:p>
    <w:p w14:paraId="5A4C026D" w14:textId="5056A04F" w:rsidR="008E7846" w:rsidRDefault="00250271" w:rsidP="00940A89">
      <w:r w:rsidRPr="00250271">
        <w:t xml:space="preserve">This AusPAR describes the application by </w:t>
      </w:r>
      <w:proofErr w:type="spellStart"/>
      <w:r w:rsidR="004C75FA" w:rsidRPr="004C75FA">
        <w:t>Ipsen</w:t>
      </w:r>
      <w:proofErr w:type="spellEnd"/>
      <w:r w:rsidR="004C75FA" w:rsidRPr="004C75FA">
        <w:t xml:space="preserve"> Pty Ltd </w:t>
      </w:r>
      <w:r w:rsidRPr="00250271">
        <w:t xml:space="preserve">(the sponsor) to register </w:t>
      </w:r>
      <w:proofErr w:type="spellStart"/>
      <w:r w:rsidR="004C75FA">
        <w:t>Dysport</w:t>
      </w:r>
      <w:proofErr w:type="spellEnd"/>
      <w:r w:rsidR="004C75FA" w:rsidRPr="004C75FA">
        <w:t xml:space="preserve"> </w:t>
      </w:r>
      <w:r w:rsidR="004C75FA">
        <w:t>(</w:t>
      </w:r>
      <w:r w:rsidR="0024140D">
        <w:rPr>
          <w:i/>
        </w:rPr>
        <w:t>C</w:t>
      </w:r>
      <w:r w:rsidR="004C75FA" w:rsidRPr="001C79F5">
        <w:rPr>
          <w:i/>
        </w:rPr>
        <w:t>lost</w:t>
      </w:r>
      <w:r w:rsidR="008049CB" w:rsidRPr="001C79F5">
        <w:rPr>
          <w:i/>
        </w:rPr>
        <w:t>ridium botulinum</w:t>
      </w:r>
      <w:r w:rsidR="008049CB">
        <w:t xml:space="preserve"> </w:t>
      </w:r>
      <w:r w:rsidR="00E12237">
        <w:t>type A</w:t>
      </w:r>
      <w:r w:rsidR="008049CB">
        <w:t xml:space="preserve"> toxin-</w:t>
      </w:r>
      <w:r w:rsidR="004C75FA">
        <w:t>haemagglutinin complex)</w:t>
      </w:r>
      <w:r w:rsidRPr="00250271">
        <w:t xml:space="preserve"> </w:t>
      </w:r>
      <w:r w:rsidR="004C75FA">
        <w:t xml:space="preserve">125 </w:t>
      </w:r>
      <w:proofErr w:type="spellStart"/>
      <w:r w:rsidR="001C79F5">
        <w:t>Ipsen</w:t>
      </w:r>
      <w:proofErr w:type="spellEnd"/>
      <w:r w:rsidR="001C79F5">
        <w:t xml:space="preserve"> </w:t>
      </w:r>
      <w:r w:rsidR="004C75FA">
        <w:t>units (U),</w:t>
      </w:r>
      <w:r w:rsidR="001C79F5">
        <w:rPr>
          <w:rStyle w:val="FootnoteReference"/>
        </w:rPr>
        <w:footnoteReference w:id="2"/>
      </w:r>
      <w:r w:rsidR="004C75FA">
        <w:t xml:space="preserve"> 300 U and 500 U</w:t>
      </w:r>
      <w:r w:rsidR="004C75FA" w:rsidRPr="004C75FA">
        <w:t xml:space="preserve"> </w:t>
      </w:r>
      <w:r w:rsidR="008049CB">
        <w:t>powder for injection,</w:t>
      </w:r>
      <w:r w:rsidRPr="00250271">
        <w:t xml:space="preserve"> for th</w:t>
      </w:r>
      <w:r w:rsidR="004C75FA">
        <w:t xml:space="preserve">e following proposed </w:t>
      </w:r>
      <w:r w:rsidRPr="00250271">
        <w:t>extension of indications</w:t>
      </w:r>
      <w:r w:rsidR="00CF5DAD">
        <w:t>:</w:t>
      </w:r>
    </w:p>
    <w:p w14:paraId="3105FE91" w14:textId="77777777" w:rsidR="004C75FA" w:rsidRPr="004C75FA" w:rsidRDefault="004C75FA" w:rsidP="004C75FA">
      <w:pPr>
        <w:ind w:left="720"/>
        <w:rPr>
          <w:i/>
        </w:rPr>
      </w:pPr>
      <w:r w:rsidRPr="004C75FA">
        <w:rPr>
          <w:i/>
        </w:rPr>
        <w:t>For symptomatic treatment of focal spasticity of upper limbs in children aged 2 years and older.</w:t>
      </w:r>
    </w:p>
    <w:p w14:paraId="4E03DAE4" w14:textId="77777777" w:rsidR="00A54F33" w:rsidRDefault="00A54F33" w:rsidP="00A54F33">
      <w:r>
        <w:t>Spasticity is characterised by overactivity of simple reflex circuits, particularly the monosynaptic stretch reflexes that are traditionally assessed by clinicians with a tendon hammer. Under normal physiological conditions, these reflexes play an important role in maint</w:t>
      </w:r>
      <w:r w:rsidR="00583901">
        <w:t>aining a desired muscle length.</w:t>
      </w:r>
    </w:p>
    <w:p w14:paraId="04F12AFB" w14:textId="76F461F7" w:rsidR="00A54F33" w:rsidRDefault="00A54F33" w:rsidP="00A54F33">
      <w:r>
        <w:t xml:space="preserve">In the setting of an injury to the central nervous system (the brain or spinal cord), there is often compromise of the descending inhibition that runs with the upper motor neuron pathway, with the result that the reflexes become disinhibited and overactive. This is detected clinically </w:t>
      </w:r>
      <w:r w:rsidR="001C79F5">
        <w:t>by brisk tendon reflexes</w:t>
      </w:r>
      <w:r w:rsidR="00B609BD">
        <w:t>;</w:t>
      </w:r>
      <w:r w:rsidR="001C79F5">
        <w:t xml:space="preserve"> by a</w:t>
      </w:r>
      <w:r w:rsidR="00B609BD">
        <w:t xml:space="preserve"> sudden increase in muscle tone manifesting as a characteristic ‘catch’ </w:t>
      </w:r>
      <w:r w:rsidR="00260817">
        <w:t xml:space="preserve">or resistance to passive movement, </w:t>
      </w:r>
      <w:r w:rsidR="00B609BD">
        <w:t>when a threshold velocity, angle or amplitude is met</w:t>
      </w:r>
      <w:r w:rsidR="001C79F5">
        <w:t xml:space="preserve"> </w:t>
      </w:r>
      <w:r>
        <w:t>due to activation of the reflex during passiv</w:t>
      </w:r>
      <w:r w:rsidR="001C79F5">
        <w:t>e movement of the limb</w:t>
      </w:r>
      <w:r w:rsidR="00B609BD">
        <w:t>;</w:t>
      </w:r>
      <w:r w:rsidR="001C79F5">
        <w:t xml:space="preserve"> and by ‘clonus’</w:t>
      </w:r>
      <w:r>
        <w:t>, a repetitive activation of the reflex elicited by rapid</w:t>
      </w:r>
      <w:r w:rsidR="001C79F5">
        <w:t xml:space="preserve"> stretch of an affected muscle.</w:t>
      </w:r>
    </w:p>
    <w:p w14:paraId="330AA3F8" w14:textId="00D6ED85" w:rsidR="00A54F33" w:rsidRDefault="00A54F33" w:rsidP="00A54F33">
      <w:r>
        <w:t>Excessive activation of the affected muscles leads to increased muscle tone (stiffness), which can interfere with passive and active movement, and typically leads to abnormalities of posture (with flexion in the upper limbs and extension in the lower limbs). The tone abnormalities often show marked velocity dependence, with greater increases in ton</w:t>
      </w:r>
      <w:r w:rsidR="001C79F5">
        <w:t>e and an increased tendency to ‘catch’</w:t>
      </w:r>
      <w:r>
        <w:t xml:space="preserve">, during rapid stretch of the muscle, with lesser changes observed during slow </w:t>
      </w:r>
      <w:r w:rsidR="001C79F5">
        <w:t>stretch of the muscle.</w:t>
      </w:r>
    </w:p>
    <w:p w14:paraId="3A413131" w14:textId="77777777" w:rsidR="00A54F33" w:rsidRDefault="00A54F33" w:rsidP="00A54F33">
      <w:r>
        <w:t>In the upper limb, flexor muscles often have the dominant increase in tone, leading to an upper limb that is flexed at the elbow, wrist and fingers, and often excessively adducted and internally rotated at the shoulder. Muscles that have already been weakened by the original neurological insult may be further compromised by having to work against</w:t>
      </w:r>
      <w:r w:rsidR="00583901">
        <w:t xml:space="preserve"> overactive antagonist muscles.</w:t>
      </w:r>
    </w:p>
    <w:p w14:paraId="7209054E" w14:textId="77777777" w:rsidR="00250271" w:rsidRDefault="00A54F33" w:rsidP="00250271">
      <w:r>
        <w:t>Spasticity may also be associated with painful discomfort due to chronic overactivity of the affected muscles, and may cause hygiene issues when severe flexion deformities lead to continuously moist flexion creases.</w:t>
      </w:r>
    </w:p>
    <w:p w14:paraId="5F1D7FBD" w14:textId="50332605" w:rsidR="002B5A3D" w:rsidRDefault="002B5A3D" w:rsidP="00250271">
      <w:r>
        <w:t>E</w:t>
      </w:r>
      <w:r w:rsidRPr="00FF785E">
        <w:t xml:space="preserve">xisting </w:t>
      </w:r>
      <w:r>
        <w:t xml:space="preserve">systemic </w:t>
      </w:r>
      <w:r w:rsidRPr="00FF785E">
        <w:t xml:space="preserve">pharmacological treatments of spasticity usually consist of systemic </w:t>
      </w:r>
      <w:r w:rsidR="001C79F5">
        <w:t>muscle relaxants</w:t>
      </w:r>
      <w:r>
        <w:t>,</w:t>
      </w:r>
      <w:r w:rsidRPr="00FF785E">
        <w:t xml:space="preserve"> which have a broadly inhibitory function on neural activity. These agents include: benzodiazepines, such as diazepam; anticonvulsants, such as valproate; and baclofen. A potential side effect common to all systemic anti-spastic</w:t>
      </w:r>
      <w:r w:rsidR="00F533BF">
        <w:t>ity</w:t>
      </w:r>
      <w:r w:rsidRPr="00FF785E">
        <w:t xml:space="preserve"> agents is that they produce dose-depe</w:t>
      </w:r>
      <w:r>
        <w:t>ndent sedation,</w:t>
      </w:r>
      <w:r w:rsidRPr="00FF785E">
        <w:t xml:space="preserve"> and often the dose required to have a meaningful impact on a</w:t>
      </w:r>
      <w:r>
        <w:t xml:space="preserve"> patient’s spasticity is</w:t>
      </w:r>
      <w:r w:rsidRPr="00FF785E">
        <w:t xml:space="preserve"> sufficiently high that sedative side effects make the drug unacceptable</w:t>
      </w:r>
      <w:r>
        <w:t xml:space="preserve"> to the patient</w:t>
      </w:r>
      <w:r w:rsidR="00583901">
        <w:t>.</w:t>
      </w:r>
    </w:p>
    <w:p w14:paraId="09BA5FFD" w14:textId="2B479812" w:rsidR="00367C79" w:rsidRDefault="002B5A3D" w:rsidP="00250271">
      <w:proofErr w:type="spellStart"/>
      <w:r w:rsidRPr="00FF785E">
        <w:t>Dysport</w:t>
      </w:r>
      <w:proofErr w:type="spellEnd"/>
      <w:r w:rsidRPr="00FF785E">
        <w:t xml:space="preserve"> is derived from a bacterial toxin (</w:t>
      </w:r>
      <w:r w:rsidRPr="00FF785E">
        <w:rPr>
          <w:i/>
        </w:rPr>
        <w:t>Clostridium botulinum</w:t>
      </w:r>
      <w:r w:rsidR="001C79F5">
        <w:t xml:space="preserve"> toxin, usually abbreviated as ‘</w:t>
      </w:r>
      <w:r w:rsidR="00594800">
        <w:t>bot</w:t>
      </w:r>
      <w:r w:rsidR="001C79F5">
        <w:t>ulinum toxin’</w:t>
      </w:r>
      <w:r w:rsidR="00F533BF">
        <w:t>)</w:t>
      </w:r>
      <w:r w:rsidRPr="00FF785E">
        <w:t>.</w:t>
      </w:r>
      <w:r>
        <w:t xml:space="preserve"> The toxin is a complex of proteins with a molecular weight of about 900,000</w:t>
      </w:r>
      <w:r w:rsidR="001C79F5">
        <w:t> </w:t>
      </w:r>
      <w:proofErr w:type="spellStart"/>
      <w:r w:rsidR="00CD2D73">
        <w:t>daltons</w:t>
      </w:r>
      <w:proofErr w:type="spellEnd"/>
      <w:r>
        <w:t>.</w:t>
      </w:r>
      <w:r w:rsidRPr="00FF785E">
        <w:t xml:space="preserve"> The toxin has reversible neurotoxic effects on a range of neuron </w:t>
      </w:r>
      <w:r>
        <w:t xml:space="preserve">types, including motor neurons. </w:t>
      </w:r>
      <w:r w:rsidRPr="00FF785E">
        <w:t xml:space="preserve">In controlled doses targeted to specific sites, </w:t>
      </w:r>
      <w:r w:rsidR="001C79F5">
        <w:t>botulinum toxin</w:t>
      </w:r>
      <w:r w:rsidRPr="00FF785E">
        <w:t xml:space="preserve"> has proven useful in the treatment of a range of conditions characterised by local over</w:t>
      </w:r>
      <w:r>
        <w:t>activity of neurons or muscles.</w:t>
      </w:r>
    </w:p>
    <w:p w14:paraId="4E0116B8" w14:textId="66E72D93" w:rsidR="002B5A3D" w:rsidRDefault="002B5A3D" w:rsidP="00250271">
      <w:proofErr w:type="spellStart"/>
      <w:r w:rsidRPr="00FF785E">
        <w:t>Dysport</w:t>
      </w:r>
      <w:proofErr w:type="spellEnd"/>
      <w:r w:rsidRPr="00FF785E">
        <w:t xml:space="preserve"> is structurally a</w:t>
      </w:r>
      <w:r>
        <w:t xml:space="preserve">nd functionally similar to the </w:t>
      </w:r>
      <w:r w:rsidR="0079120C">
        <w:t xml:space="preserve">product </w:t>
      </w:r>
      <w:r w:rsidRPr="00FF785E">
        <w:t>Botox</w:t>
      </w:r>
      <w:r w:rsidR="00CD2D73">
        <w:t>,</w:t>
      </w:r>
      <w:r w:rsidR="00CF580A">
        <w:rPr>
          <w:rStyle w:val="FootnoteReference"/>
        </w:rPr>
        <w:footnoteReference w:id="3"/>
      </w:r>
      <w:r w:rsidRPr="00FF785E">
        <w:t xml:space="preserve"> which is also derived from </w:t>
      </w:r>
      <w:r w:rsidRPr="00FF785E">
        <w:rPr>
          <w:i/>
        </w:rPr>
        <w:t>Clostridium botulinum</w:t>
      </w:r>
      <w:r w:rsidRPr="00FF785E">
        <w:t xml:space="preserve"> toxin. Like Botox, </w:t>
      </w:r>
      <w:proofErr w:type="spellStart"/>
      <w:r w:rsidRPr="00FF785E">
        <w:t>Dysport</w:t>
      </w:r>
      <w:proofErr w:type="spellEnd"/>
      <w:r w:rsidRPr="00FF785E">
        <w:t xml:space="preserve"> can be used therapeutically to produce partial, focal, </w:t>
      </w:r>
      <w:r>
        <w:t xml:space="preserve">and reversible </w:t>
      </w:r>
      <w:r w:rsidRPr="00FF785E">
        <w:t xml:space="preserve">effects that </w:t>
      </w:r>
      <w:r>
        <w:t xml:space="preserve">functionally </w:t>
      </w:r>
      <w:r w:rsidRPr="00FF785E">
        <w:t xml:space="preserve">resemble </w:t>
      </w:r>
      <w:r>
        <w:t xml:space="preserve">partial </w:t>
      </w:r>
      <w:r w:rsidRPr="00FF785E">
        <w:t xml:space="preserve">denervation. In particular, when injected into muscle, </w:t>
      </w:r>
      <w:proofErr w:type="spellStart"/>
      <w:r w:rsidRPr="00FF785E">
        <w:t>Dysport</w:t>
      </w:r>
      <w:proofErr w:type="spellEnd"/>
      <w:r w:rsidRPr="00FF785E">
        <w:t xml:space="preserve"> can reduce the power and baseline </w:t>
      </w:r>
      <w:r>
        <w:t xml:space="preserve">tone </w:t>
      </w:r>
      <w:r w:rsidRPr="00FF785E">
        <w:t>of the treated muscle, which may be useful in the treatment of spasticity.</w:t>
      </w:r>
    </w:p>
    <w:p w14:paraId="1AD17853" w14:textId="33FCF4BC" w:rsidR="00940A89" w:rsidRDefault="00A54F33" w:rsidP="00250271">
      <w:r>
        <w:t xml:space="preserve">In addition to the </w:t>
      </w:r>
      <w:r w:rsidR="00F3091E">
        <w:t xml:space="preserve">proposed </w:t>
      </w:r>
      <w:r>
        <w:t xml:space="preserve">extension of indications, the sponsor also proposed the following amendments to the </w:t>
      </w:r>
      <w:r w:rsidR="00CD2D73">
        <w:t>P</w:t>
      </w:r>
      <w:r>
        <w:t xml:space="preserve">roduct </w:t>
      </w:r>
      <w:r w:rsidR="00CD2D73">
        <w:t>I</w:t>
      </w:r>
      <w:r>
        <w:t xml:space="preserve">nformation </w:t>
      </w:r>
      <w:r w:rsidR="00CD2D73">
        <w:t xml:space="preserve">(PI) </w:t>
      </w:r>
      <w:r>
        <w:t xml:space="preserve">for </w:t>
      </w:r>
      <w:proofErr w:type="spellStart"/>
      <w:r>
        <w:t>Dysport</w:t>
      </w:r>
      <w:proofErr w:type="spellEnd"/>
      <w:r>
        <w:t>, including:</w:t>
      </w:r>
    </w:p>
    <w:p w14:paraId="7101B5B5" w14:textId="5883AA3E" w:rsidR="00A54F33" w:rsidRDefault="00CD2D73" w:rsidP="007F7A26">
      <w:pPr>
        <w:pStyle w:val="ListBullet"/>
      </w:pPr>
      <w:r>
        <w:t>a</w:t>
      </w:r>
      <w:r w:rsidR="00A54F33">
        <w:t xml:space="preserve">n alternative dilution for reconstitution of the 125 U powder for injection product for the treatment of glabellar frown lines (GFL) and lateral </w:t>
      </w:r>
      <w:proofErr w:type="spellStart"/>
      <w:r w:rsidR="00A54F33">
        <w:t>canthal</w:t>
      </w:r>
      <w:proofErr w:type="spellEnd"/>
      <w:r w:rsidR="00A54F33">
        <w:t xml:space="preserve"> lines (LCL), </w:t>
      </w:r>
      <w:r w:rsidR="00CF580A">
        <w:t xml:space="preserve">to make a </w:t>
      </w:r>
      <w:r w:rsidR="00583901">
        <w:t>10 U/0.1 mL</w:t>
      </w:r>
      <w:r w:rsidR="00CF580A">
        <w:t xml:space="preserve"> solution for injection</w:t>
      </w:r>
      <w:r>
        <w:t>;</w:t>
      </w:r>
    </w:p>
    <w:p w14:paraId="69A4CB60" w14:textId="4F9F4CD0" w:rsidR="00A54F33" w:rsidRDefault="00CD2D73" w:rsidP="00A54F33">
      <w:pPr>
        <w:pStyle w:val="ListBullet"/>
      </w:pPr>
      <w:r>
        <w:t>c</w:t>
      </w:r>
      <w:r w:rsidR="00A54F33">
        <w:t>hanging the listed f</w:t>
      </w:r>
      <w:r w:rsidR="00CF580A">
        <w:t>requency of the adverse event, ‘abnormal eye movements’</w:t>
      </w:r>
      <w:r w:rsidR="00A54F33">
        <w:t>, as a complication of tre</w:t>
      </w:r>
      <w:r w:rsidR="00CF580A">
        <w:t>atment of the GFL indication</w:t>
      </w:r>
      <w:r>
        <w:t>;</w:t>
      </w:r>
    </w:p>
    <w:p w14:paraId="721B0DFE" w14:textId="4E7D0FC8" w:rsidR="00A54F33" w:rsidRDefault="00CD2D73" w:rsidP="00A54F33">
      <w:pPr>
        <w:pStyle w:val="ListBullet"/>
      </w:pPr>
      <w:r>
        <w:t>f</w:t>
      </w:r>
      <w:r w:rsidR="00A54F33">
        <w:t>lexibility in choice of needle gauge for the cosmetic indicatio</w:t>
      </w:r>
      <w:r w:rsidR="00CF580A">
        <w:t>ns (changing references from a ’29 to 30 gauge needle’ to a ‘suitable gauge needle’</w:t>
      </w:r>
      <w:r w:rsidR="00A54F33">
        <w:t>)</w:t>
      </w:r>
      <w:r>
        <w:t>; and</w:t>
      </w:r>
    </w:p>
    <w:p w14:paraId="12F4CD9A" w14:textId="6E9F2F5A" w:rsidR="00367C79" w:rsidRDefault="00367C79" w:rsidP="007F7A26">
      <w:pPr>
        <w:pStyle w:val="ListBullet"/>
      </w:pPr>
      <w:r>
        <w:t>minor editing or formatting changes.</w:t>
      </w:r>
    </w:p>
    <w:p w14:paraId="54803807" w14:textId="77777777" w:rsidR="008E7846" w:rsidRPr="003F31A2" w:rsidRDefault="00386150" w:rsidP="008E7846">
      <w:pPr>
        <w:pStyle w:val="Heading3"/>
      </w:pPr>
      <w:bookmarkStart w:id="16" w:name="_Toc314842485"/>
      <w:bookmarkStart w:id="17" w:name="_Toc247691504"/>
      <w:bookmarkStart w:id="18" w:name="_Toc70942393"/>
      <w:r>
        <w:t>Regulatory s</w:t>
      </w:r>
      <w:r w:rsidR="008E7846">
        <w:t>tatus</w:t>
      </w:r>
      <w:bookmarkEnd w:id="16"/>
      <w:bookmarkEnd w:id="17"/>
      <w:bookmarkEnd w:id="18"/>
    </w:p>
    <w:p w14:paraId="55F24F64" w14:textId="71FF7C68" w:rsidR="00200A52" w:rsidRDefault="00006FAB" w:rsidP="00006FAB">
      <w:bookmarkStart w:id="19" w:name="_Toc247691505"/>
      <w:bookmarkStart w:id="20" w:name="_Toc314842486"/>
      <w:r>
        <w:t xml:space="preserve">The </w:t>
      </w:r>
      <w:r w:rsidR="00200A52">
        <w:t xml:space="preserve">500 U </w:t>
      </w:r>
      <w:proofErr w:type="spellStart"/>
      <w:r w:rsidR="00F533BF">
        <w:t>Dysport</w:t>
      </w:r>
      <w:proofErr w:type="spellEnd"/>
      <w:r w:rsidR="00F533BF">
        <w:t xml:space="preserve"> </w:t>
      </w:r>
      <w:r>
        <w:t>product received initial registration on the Australian Register</w:t>
      </w:r>
      <w:r w:rsidR="00A54F33">
        <w:t xml:space="preserve"> of Therapeutic Goods (ARTG) on 16 June 200</w:t>
      </w:r>
      <w:r w:rsidR="00EC54E7">
        <w:t xml:space="preserve">0. </w:t>
      </w:r>
      <w:r w:rsidR="00200A52">
        <w:t>The 300 U and 125 U</w:t>
      </w:r>
      <w:r w:rsidR="00CF580A">
        <w:t xml:space="preserve"> products were registered on 10 </w:t>
      </w:r>
      <w:r w:rsidR="00200A52">
        <w:t>February 2011 and 28 October 2015, respectively.</w:t>
      </w:r>
    </w:p>
    <w:p w14:paraId="4BDC89EB" w14:textId="77777777" w:rsidR="00200A52" w:rsidRDefault="00200A52" w:rsidP="00200A52">
      <w:pPr>
        <w:ind w:left="-5" w:right="341"/>
      </w:pPr>
      <w:r>
        <w:t xml:space="preserve">At the time of submission, </w:t>
      </w:r>
      <w:proofErr w:type="spellStart"/>
      <w:r>
        <w:t>Dysport</w:t>
      </w:r>
      <w:proofErr w:type="spellEnd"/>
      <w:r>
        <w:t xml:space="preserve"> was registered </w:t>
      </w:r>
      <w:r w:rsidR="003D6FC5">
        <w:t xml:space="preserve">on the ARTG </w:t>
      </w:r>
      <w:r>
        <w:t>for the following indications:</w:t>
      </w:r>
    </w:p>
    <w:p w14:paraId="66A3C6FF" w14:textId="77777777" w:rsidR="00200A52" w:rsidRPr="004C75FA" w:rsidRDefault="00200A52" w:rsidP="00200A52">
      <w:pPr>
        <w:ind w:left="720"/>
        <w:rPr>
          <w:i/>
        </w:rPr>
      </w:pPr>
      <w:proofErr w:type="spellStart"/>
      <w:r w:rsidRPr="004C75FA">
        <w:rPr>
          <w:i/>
        </w:rPr>
        <w:t>Dysport</w:t>
      </w:r>
      <w:proofErr w:type="spellEnd"/>
      <w:r w:rsidRPr="004C75FA">
        <w:rPr>
          <w:i/>
        </w:rPr>
        <w:t xml:space="preserve"> is indicated for symptomatic treatment of focal spasticity of:</w:t>
      </w:r>
    </w:p>
    <w:p w14:paraId="3416218B" w14:textId="77777777" w:rsidR="00200A52" w:rsidRPr="004C75FA" w:rsidRDefault="00200A52" w:rsidP="007F7A26">
      <w:pPr>
        <w:pStyle w:val="ListBullet"/>
        <w:numPr>
          <w:ilvl w:val="0"/>
          <w:numId w:val="1"/>
        </w:numPr>
        <w:ind w:left="1080"/>
        <w:rPr>
          <w:i/>
        </w:rPr>
      </w:pPr>
      <w:r w:rsidRPr="004C75FA">
        <w:rPr>
          <w:i/>
        </w:rPr>
        <w:t>Upper limbs in adults</w:t>
      </w:r>
    </w:p>
    <w:p w14:paraId="5011A378" w14:textId="77777777" w:rsidR="00200A52" w:rsidRPr="004C75FA" w:rsidRDefault="00200A52" w:rsidP="007F7A26">
      <w:pPr>
        <w:pStyle w:val="ListBullet"/>
        <w:numPr>
          <w:ilvl w:val="0"/>
          <w:numId w:val="1"/>
        </w:numPr>
        <w:ind w:left="1080"/>
        <w:rPr>
          <w:i/>
        </w:rPr>
      </w:pPr>
      <w:r w:rsidRPr="004C75FA">
        <w:rPr>
          <w:i/>
        </w:rPr>
        <w:t>Lower limbs in adults</w:t>
      </w:r>
    </w:p>
    <w:p w14:paraId="4FB9017E" w14:textId="77777777" w:rsidR="00200A52" w:rsidRPr="004C75FA" w:rsidRDefault="00200A52" w:rsidP="007F7A26">
      <w:pPr>
        <w:pStyle w:val="ListBullet"/>
        <w:numPr>
          <w:ilvl w:val="0"/>
          <w:numId w:val="1"/>
        </w:numPr>
        <w:ind w:left="1080"/>
        <w:rPr>
          <w:i/>
        </w:rPr>
      </w:pPr>
      <w:r w:rsidRPr="004C75FA">
        <w:rPr>
          <w:i/>
        </w:rPr>
        <w:t>Lower limbs in children aged 2 years and older</w:t>
      </w:r>
    </w:p>
    <w:p w14:paraId="077B22E2" w14:textId="77777777" w:rsidR="00200A52" w:rsidRPr="004C75FA" w:rsidRDefault="00200A52" w:rsidP="00200A52">
      <w:pPr>
        <w:ind w:left="720"/>
        <w:rPr>
          <w:i/>
        </w:rPr>
      </w:pPr>
      <w:proofErr w:type="spellStart"/>
      <w:r w:rsidRPr="004C75FA">
        <w:rPr>
          <w:i/>
        </w:rPr>
        <w:t>Dysport</w:t>
      </w:r>
      <w:proofErr w:type="spellEnd"/>
      <w:r w:rsidRPr="004C75FA">
        <w:rPr>
          <w:i/>
        </w:rPr>
        <w:t xml:space="preserve"> is indicated in adults for the treatment of:</w:t>
      </w:r>
    </w:p>
    <w:p w14:paraId="19F5DEFE" w14:textId="77777777" w:rsidR="00200A52" w:rsidRPr="004C75FA" w:rsidRDefault="00200A52" w:rsidP="007F7A26">
      <w:pPr>
        <w:pStyle w:val="ListBullet"/>
        <w:numPr>
          <w:ilvl w:val="0"/>
          <w:numId w:val="1"/>
        </w:numPr>
        <w:ind w:left="1080"/>
        <w:rPr>
          <w:i/>
        </w:rPr>
      </w:pPr>
      <w:r w:rsidRPr="004C75FA">
        <w:rPr>
          <w:i/>
        </w:rPr>
        <w:t>Spasmodic torticollis</w:t>
      </w:r>
    </w:p>
    <w:p w14:paraId="0878742B" w14:textId="77777777" w:rsidR="00200A52" w:rsidRPr="004C75FA" w:rsidRDefault="00200A52" w:rsidP="007F7A26">
      <w:pPr>
        <w:pStyle w:val="ListBullet"/>
        <w:numPr>
          <w:ilvl w:val="0"/>
          <w:numId w:val="1"/>
        </w:numPr>
        <w:ind w:left="1080"/>
        <w:rPr>
          <w:i/>
        </w:rPr>
      </w:pPr>
      <w:proofErr w:type="spellStart"/>
      <w:r w:rsidRPr="004C75FA">
        <w:rPr>
          <w:i/>
        </w:rPr>
        <w:t>Blepharospasm</w:t>
      </w:r>
      <w:proofErr w:type="spellEnd"/>
    </w:p>
    <w:p w14:paraId="100D4A73" w14:textId="77777777" w:rsidR="00200A52" w:rsidRPr="004C75FA" w:rsidRDefault="00200A52" w:rsidP="007F7A26">
      <w:pPr>
        <w:pStyle w:val="ListBullet"/>
        <w:numPr>
          <w:ilvl w:val="0"/>
          <w:numId w:val="1"/>
        </w:numPr>
        <w:ind w:left="1080"/>
        <w:rPr>
          <w:i/>
        </w:rPr>
      </w:pPr>
      <w:proofErr w:type="spellStart"/>
      <w:r w:rsidRPr="004C75FA">
        <w:rPr>
          <w:i/>
        </w:rPr>
        <w:t>Hemifacial</w:t>
      </w:r>
      <w:proofErr w:type="spellEnd"/>
      <w:r w:rsidRPr="004C75FA">
        <w:rPr>
          <w:i/>
        </w:rPr>
        <w:t xml:space="preserve"> spasm</w:t>
      </w:r>
    </w:p>
    <w:p w14:paraId="68EDD36D" w14:textId="77777777" w:rsidR="00200A52" w:rsidRPr="004C75FA" w:rsidRDefault="00200A52" w:rsidP="007F7A26">
      <w:pPr>
        <w:pStyle w:val="ListBullet"/>
        <w:numPr>
          <w:ilvl w:val="0"/>
          <w:numId w:val="1"/>
        </w:numPr>
        <w:ind w:left="1080"/>
        <w:rPr>
          <w:i/>
        </w:rPr>
      </w:pPr>
      <w:r w:rsidRPr="004C75FA">
        <w:rPr>
          <w:i/>
        </w:rPr>
        <w:t xml:space="preserve">Moderate to severe glabellar lines and / or lateral </w:t>
      </w:r>
      <w:proofErr w:type="spellStart"/>
      <w:r w:rsidRPr="004C75FA">
        <w:rPr>
          <w:i/>
        </w:rPr>
        <w:t>canthal</w:t>
      </w:r>
      <w:proofErr w:type="spellEnd"/>
      <w:r w:rsidRPr="004C75FA">
        <w:rPr>
          <w:i/>
        </w:rPr>
        <w:t xml:space="preserve"> lines (crow’s feet)</w:t>
      </w:r>
    </w:p>
    <w:p w14:paraId="06D4D88A" w14:textId="2F3A84F3" w:rsidR="00006FAB" w:rsidRDefault="00006FAB" w:rsidP="00006FAB">
      <w:r>
        <w:t>At the time the TGA considered this application, similar application</w:t>
      </w:r>
      <w:r w:rsidR="00CD2D73">
        <w:t>s</w:t>
      </w:r>
      <w:r>
        <w:t xml:space="preserve"> had been approved </w:t>
      </w:r>
      <w:r w:rsidR="00CD2D73">
        <w:t>by multiple countries of</w:t>
      </w:r>
      <w:r w:rsidR="00E437E9">
        <w:t xml:space="preserve"> the European Union (EU)</w:t>
      </w:r>
      <w:r w:rsidR="00CD2D73">
        <w:t>;</w:t>
      </w:r>
      <w:r w:rsidR="008B7EB6">
        <w:t xml:space="preserve"> </w:t>
      </w:r>
      <w:r w:rsidR="00CD2D73">
        <w:t>by the</w:t>
      </w:r>
      <w:r w:rsidR="00E437E9">
        <w:t xml:space="preserve"> United Kingdom (UK)</w:t>
      </w:r>
      <w:r w:rsidR="00CD2D73">
        <w:t>,</w:t>
      </w:r>
      <w:r w:rsidR="00E437E9">
        <w:t xml:space="preserve"> and </w:t>
      </w:r>
      <w:r w:rsidR="00CD2D73">
        <w:t xml:space="preserve">by the </w:t>
      </w:r>
      <w:r w:rsidR="00E437E9">
        <w:t>United States (US)</w:t>
      </w:r>
      <w:r w:rsidR="00CD2D73">
        <w:t>.</w:t>
      </w:r>
      <w:r w:rsidR="00E437E9">
        <w:t xml:space="preserve"> </w:t>
      </w:r>
      <w:r w:rsidR="00CD2D73">
        <w:t>A similar application</w:t>
      </w:r>
      <w:r>
        <w:t xml:space="preserve"> was </w:t>
      </w:r>
      <w:r w:rsidR="00E437E9">
        <w:t>under consideration in Canada</w:t>
      </w:r>
      <w:r w:rsidR="0040779A">
        <w:t>. These applications are summarised in</w:t>
      </w:r>
      <w:r w:rsidR="00E437E9">
        <w:t xml:space="preserve"> </w:t>
      </w:r>
      <w:r w:rsidR="00E437E9">
        <w:fldChar w:fldCharType="begin"/>
      </w:r>
      <w:r w:rsidR="00E437E9">
        <w:instrText xml:space="preserve"> REF _Ref66028208 \h </w:instrText>
      </w:r>
      <w:r w:rsidR="00E437E9">
        <w:fldChar w:fldCharType="separate"/>
      </w:r>
      <w:r w:rsidR="00F533BF">
        <w:t xml:space="preserve">Table </w:t>
      </w:r>
      <w:r w:rsidR="00F533BF">
        <w:rPr>
          <w:noProof/>
        </w:rPr>
        <w:t>1</w:t>
      </w:r>
      <w:r w:rsidR="00E437E9">
        <w:fldChar w:fldCharType="end"/>
      </w:r>
      <w:r w:rsidR="0040779A">
        <w:t>, shown below.</w:t>
      </w:r>
    </w:p>
    <w:p w14:paraId="2E83D4BD" w14:textId="7084D0DE" w:rsidR="00324E45" w:rsidRPr="00F0146F" w:rsidRDefault="00324E45" w:rsidP="00E437E9">
      <w:pPr>
        <w:pStyle w:val="TableTitle"/>
      </w:pPr>
      <w:bookmarkStart w:id="21" w:name="_Ref66028208"/>
      <w:r>
        <w:t xml:space="preserve">Table </w:t>
      </w:r>
      <w:fldSimple w:instr=" SEQ Table \* ARABIC ">
        <w:r w:rsidR="00F533BF">
          <w:rPr>
            <w:noProof/>
          </w:rPr>
          <w:t>1</w:t>
        </w:r>
      </w:fldSimple>
      <w:bookmarkEnd w:id="21"/>
      <w:r>
        <w:t>: International regulatory status</w:t>
      </w:r>
      <w:r w:rsidR="00E437E9">
        <w:t xml:space="preserve"> (paediatric upper limb focal spasticity indication) as of May 2020</w:t>
      </w:r>
    </w:p>
    <w:tbl>
      <w:tblPr>
        <w:tblStyle w:val="TableTGAblue"/>
        <w:tblW w:w="0" w:type="auto"/>
        <w:tblLook w:val="04A0" w:firstRow="1" w:lastRow="0" w:firstColumn="1" w:lastColumn="0" w:noHBand="0" w:noVBand="1"/>
      </w:tblPr>
      <w:tblGrid>
        <w:gridCol w:w="1092"/>
        <w:gridCol w:w="2351"/>
        <w:gridCol w:w="2613"/>
        <w:gridCol w:w="2438"/>
      </w:tblGrid>
      <w:tr w:rsidR="00006FAB" w14:paraId="634BFD82" w14:textId="77777777" w:rsidTr="00CF580A">
        <w:trPr>
          <w:cnfStyle w:val="100000000000" w:firstRow="1" w:lastRow="0" w:firstColumn="0" w:lastColumn="0" w:oddVBand="0" w:evenVBand="0" w:oddHBand="0" w:evenHBand="0" w:firstRowFirstColumn="0" w:firstRowLastColumn="0" w:lastRowFirstColumn="0" w:lastRowLastColumn="0"/>
        </w:trPr>
        <w:tc>
          <w:tcPr>
            <w:tcW w:w="1101" w:type="dxa"/>
            <w:tcBorders>
              <w:top w:val="single" w:sz="4" w:space="0" w:color="auto"/>
              <w:left w:val="single" w:sz="4" w:space="0" w:color="auto"/>
              <w:bottom w:val="single" w:sz="4" w:space="0" w:color="auto"/>
              <w:right w:val="single" w:sz="4" w:space="0" w:color="auto"/>
            </w:tcBorders>
          </w:tcPr>
          <w:p w14:paraId="12852FC1" w14:textId="77777777" w:rsidR="00006FAB" w:rsidRDefault="00006FAB" w:rsidP="00006FAB">
            <w:pPr>
              <w:ind w:left="0" w:right="0"/>
            </w:pPr>
            <w:r>
              <w:t>Region</w:t>
            </w:r>
          </w:p>
        </w:tc>
        <w:tc>
          <w:tcPr>
            <w:tcW w:w="2409" w:type="dxa"/>
            <w:tcBorders>
              <w:top w:val="single" w:sz="4" w:space="0" w:color="auto"/>
              <w:left w:val="single" w:sz="4" w:space="0" w:color="auto"/>
              <w:bottom w:val="single" w:sz="4" w:space="0" w:color="auto"/>
              <w:right w:val="single" w:sz="4" w:space="0" w:color="auto"/>
            </w:tcBorders>
          </w:tcPr>
          <w:p w14:paraId="1A85B178" w14:textId="77777777" w:rsidR="00006FAB" w:rsidRDefault="00006FAB" w:rsidP="00006FAB">
            <w:pPr>
              <w:ind w:left="0" w:right="0"/>
            </w:pPr>
            <w:r>
              <w:t>Submission date</w:t>
            </w:r>
          </w:p>
        </w:tc>
        <w:tc>
          <w:tcPr>
            <w:tcW w:w="2694" w:type="dxa"/>
            <w:tcBorders>
              <w:top w:val="single" w:sz="4" w:space="0" w:color="auto"/>
              <w:left w:val="single" w:sz="4" w:space="0" w:color="auto"/>
              <w:bottom w:val="single" w:sz="4" w:space="0" w:color="auto"/>
              <w:right w:val="single" w:sz="4" w:space="0" w:color="auto"/>
            </w:tcBorders>
          </w:tcPr>
          <w:p w14:paraId="15F5FE78" w14:textId="77777777" w:rsidR="00006FAB" w:rsidRDefault="00006FAB" w:rsidP="00006FAB">
            <w:pPr>
              <w:ind w:left="0" w:right="0"/>
            </w:pPr>
            <w:r>
              <w:t>Status</w:t>
            </w:r>
          </w:p>
        </w:tc>
        <w:tc>
          <w:tcPr>
            <w:tcW w:w="2516" w:type="dxa"/>
            <w:tcBorders>
              <w:top w:val="single" w:sz="4" w:space="0" w:color="auto"/>
              <w:left w:val="single" w:sz="4" w:space="0" w:color="auto"/>
              <w:bottom w:val="single" w:sz="4" w:space="0" w:color="auto"/>
              <w:right w:val="single" w:sz="4" w:space="0" w:color="auto"/>
            </w:tcBorders>
          </w:tcPr>
          <w:p w14:paraId="19300C13" w14:textId="77777777" w:rsidR="00006FAB" w:rsidRDefault="00006FAB" w:rsidP="00006FAB">
            <w:pPr>
              <w:ind w:left="0" w:right="0"/>
            </w:pPr>
            <w:r>
              <w:t>Approved indications</w:t>
            </w:r>
          </w:p>
        </w:tc>
      </w:tr>
      <w:tr w:rsidR="00006FAB" w14:paraId="06AD819F" w14:textId="77777777" w:rsidTr="008B7EB6">
        <w:trPr>
          <w:cantSplit/>
        </w:trPr>
        <w:tc>
          <w:tcPr>
            <w:tcW w:w="1101" w:type="dxa"/>
            <w:tcBorders>
              <w:top w:val="single" w:sz="4" w:space="0" w:color="auto"/>
            </w:tcBorders>
          </w:tcPr>
          <w:p w14:paraId="75493E70" w14:textId="6BBEB05E" w:rsidR="00006FAB" w:rsidRDefault="00594800" w:rsidP="00E437E9">
            <w:pPr>
              <w:ind w:left="0" w:right="0"/>
            </w:pPr>
            <w:r>
              <w:t>EU</w:t>
            </w:r>
            <w:r w:rsidR="00261FC8">
              <w:t>/EEA</w:t>
            </w:r>
          </w:p>
        </w:tc>
        <w:tc>
          <w:tcPr>
            <w:tcW w:w="2409" w:type="dxa"/>
            <w:tcBorders>
              <w:top w:val="single" w:sz="4" w:space="0" w:color="auto"/>
            </w:tcBorders>
          </w:tcPr>
          <w:p w14:paraId="15ED4334" w14:textId="77777777" w:rsidR="00594800" w:rsidRDefault="00594800" w:rsidP="00E26332">
            <w:pPr>
              <w:ind w:left="0" w:right="0"/>
            </w:pPr>
            <w:r>
              <w:t xml:space="preserve">France: </w:t>
            </w:r>
            <w:r w:rsidR="00E437E9">
              <w:t>17</w:t>
            </w:r>
            <w:r w:rsidR="00E26332">
              <w:t> </w:t>
            </w:r>
            <w:r w:rsidR="00E437E9">
              <w:t>April</w:t>
            </w:r>
            <w:r w:rsidR="00E26332">
              <w:t> </w:t>
            </w:r>
            <w:r w:rsidR="00E437E9">
              <w:t>2019</w:t>
            </w:r>
          </w:p>
          <w:p w14:paraId="4A37E6C0" w14:textId="7F0289E1" w:rsidR="00594800" w:rsidRDefault="00CF580A" w:rsidP="00E437E9">
            <w:pPr>
              <w:ind w:left="0" w:right="0"/>
            </w:pPr>
            <w:r>
              <w:t xml:space="preserve">Work </w:t>
            </w:r>
            <w:r w:rsidR="00E437E9">
              <w:t>sharing procedure (WSP)</w:t>
            </w:r>
            <w:r w:rsidR="00261FC8">
              <w:t>,</w:t>
            </w:r>
            <w:r w:rsidR="00E437E9">
              <w:t>multiple countries (AT, BE, BG, CY, CZ, DE, EE, EL, ES, FI, HU,IE, LU, LT, LV, PL, PT, RO, SI, SK): 1</w:t>
            </w:r>
            <w:r w:rsidR="00E26332">
              <w:t>5 </w:t>
            </w:r>
            <w:r w:rsidR="00E437E9">
              <w:t>May 2019</w:t>
            </w:r>
          </w:p>
          <w:p w14:paraId="5D9C2AD1" w14:textId="77777777" w:rsidR="00594800" w:rsidRDefault="00E437E9" w:rsidP="00E437E9">
            <w:pPr>
              <w:ind w:left="0" w:right="0"/>
            </w:pPr>
            <w:r>
              <w:t>Mutual recognition procedure (MRP) (NO/SE): 1</w:t>
            </w:r>
            <w:r w:rsidR="00E26332">
              <w:t>7 April </w:t>
            </w:r>
            <w:r>
              <w:t>2019</w:t>
            </w:r>
          </w:p>
          <w:p w14:paraId="4B237050" w14:textId="7B77EFD4" w:rsidR="00594800" w:rsidRDefault="00F06A5E" w:rsidP="00E437E9">
            <w:pPr>
              <w:ind w:left="0" w:right="0"/>
            </w:pPr>
            <w:r>
              <w:t>Denmark</w:t>
            </w:r>
            <w:r w:rsidR="00594800">
              <w:t xml:space="preserve">: </w:t>
            </w:r>
            <w:r w:rsidR="00E437E9">
              <w:t>24</w:t>
            </w:r>
            <w:r w:rsidR="0040779A">
              <w:t> </w:t>
            </w:r>
            <w:r w:rsidR="00E437E9">
              <w:t>April</w:t>
            </w:r>
            <w:r w:rsidR="0040779A">
              <w:t> </w:t>
            </w:r>
            <w:r w:rsidR="00E437E9">
              <w:t>2019</w:t>
            </w:r>
          </w:p>
          <w:p w14:paraId="2998857B" w14:textId="19421E8F" w:rsidR="00594800" w:rsidRDefault="00F06A5E" w:rsidP="00E437E9">
            <w:pPr>
              <w:ind w:left="0" w:right="0"/>
            </w:pPr>
            <w:r>
              <w:t>Netherlands</w:t>
            </w:r>
            <w:r w:rsidR="00594800">
              <w:t xml:space="preserve">: </w:t>
            </w:r>
            <w:r w:rsidR="00E437E9">
              <w:t>27</w:t>
            </w:r>
            <w:r w:rsidR="0040779A">
              <w:t> </w:t>
            </w:r>
            <w:r w:rsidR="00E437E9">
              <w:t>April</w:t>
            </w:r>
            <w:r w:rsidR="0040779A">
              <w:t> </w:t>
            </w:r>
            <w:r w:rsidR="00E437E9">
              <w:t>2019</w:t>
            </w:r>
          </w:p>
          <w:p w14:paraId="5B45800C" w14:textId="77777777" w:rsidR="00006FAB" w:rsidRDefault="00F06A5E" w:rsidP="00E437E9">
            <w:pPr>
              <w:ind w:left="0" w:right="0"/>
            </w:pPr>
            <w:r>
              <w:t>Italy</w:t>
            </w:r>
            <w:r w:rsidR="00594800">
              <w:t xml:space="preserve">: </w:t>
            </w:r>
            <w:r w:rsidR="00E437E9">
              <w:t>30 April 2019</w:t>
            </w:r>
          </w:p>
        </w:tc>
        <w:tc>
          <w:tcPr>
            <w:tcW w:w="2694" w:type="dxa"/>
            <w:tcBorders>
              <w:top w:val="single" w:sz="4" w:space="0" w:color="auto"/>
            </w:tcBorders>
          </w:tcPr>
          <w:p w14:paraId="144E2753" w14:textId="3884DA01" w:rsidR="00E437E9" w:rsidRDefault="00E437E9" w:rsidP="00E437E9">
            <w:pPr>
              <w:ind w:left="0" w:right="0"/>
            </w:pPr>
            <w:r>
              <w:t>France: approved on 19</w:t>
            </w:r>
            <w:r w:rsidR="0040779A">
              <w:t> </w:t>
            </w:r>
            <w:r>
              <w:t>December 2019</w:t>
            </w:r>
          </w:p>
          <w:p w14:paraId="15476243" w14:textId="77777777" w:rsidR="00E437E9" w:rsidRDefault="00E437E9" w:rsidP="00E437E9">
            <w:pPr>
              <w:ind w:left="0" w:right="0"/>
            </w:pPr>
            <w:r>
              <w:t xml:space="preserve">WSP: </w:t>
            </w:r>
            <w:r w:rsidR="00E26332">
              <w:t>under consideration</w:t>
            </w:r>
          </w:p>
          <w:p w14:paraId="6E916646" w14:textId="77777777" w:rsidR="00E437E9" w:rsidRDefault="00E437E9" w:rsidP="00E437E9">
            <w:pPr>
              <w:ind w:left="0" w:right="0"/>
            </w:pPr>
            <w:r>
              <w:t>MRP (NO/SE):</w:t>
            </w:r>
          </w:p>
          <w:p w14:paraId="5B0D85A3" w14:textId="77777777" w:rsidR="00E437E9" w:rsidRDefault="00E26332" w:rsidP="00F06A5E">
            <w:pPr>
              <w:pStyle w:val="ListBullet"/>
            </w:pPr>
            <w:r>
              <w:t>NO: approved on 15 April 2020</w:t>
            </w:r>
          </w:p>
          <w:p w14:paraId="30CCA1F2" w14:textId="77777777" w:rsidR="00E437E9" w:rsidRDefault="00E26332" w:rsidP="00F06A5E">
            <w:pPr>
              <w:pStyle w:val="ListBullet"/>
            </w:pPr>
            <w:r>
              <w:t>SE: approved on 17 April 2020</w:t>
            </w:r>
          </w:p>
          <w:p w14:paraId="356D91B0" w14:textId="77777777" w:rsidR="00E437E9" w:rsidRDefault="00F06A5E" w:rsidP="00E437E9">
            <w:pPr>
              <w:ind w:left="0" w:right="0"/>
            </w:pPr>
            <w:r>
              <w:t>Denmark</w:t>
            </w:r>
            <w:r w:rsidR="00E26332">
              <w:t>: approved on 7 January 2020</w:t>
            </w:r>
          </w:p>
          <w:p w14:paraId="477ADF6F" w14:textId="77777777" w:rsidR="00006FAB" w:rsidRDefault="00F06A5E" w:rsidP="00E437E9">
            <w:pPr>
              <w:ind w:left="0" w:right="0"/>
            </w:pPr>
            <w:r>
              <w:t>Netherlands</w:t>
            </w:r>
            <w:r w:rsidR="00E26332">
              <w:t>: under consideration</w:t>
            </w:r>
          </w:p>
          <w:p w14:paraId="4FDA7EA3" w14:textId="77777777" w:rsidR="00F06A5E" w:rsidRDefault="00F06A5E" w:rsidP="00E437E9">
            <w:pPr>
              <w:ind w:left="0" w:right="0"/>
            </w:pPr>
            <w:r>
              <w:t>Italy: under consideration</w:t>
            </w:r>
          </w:p>
        </w:tc>
        <w:tc>
          <w:tcPr>
            <w:tcW w:w="2516" w:type="dxa"/>
            <w:tcBorders>
              <w:top w:val="single" w:sz="4" w:space="0" w:color="auto"/>
            </w:tcBorders>
          </w:tcPr>
          <w:p w14:paraId="0C3920D7" w14:textId="51A70303" w:rsidR="00006FAB" w:rsidRPr="00E26332" w:rsidRDefault="00E437E9" w:rsidP="00E437E9">
            <w:pPr>
              <w:ind w:left="0" w:right="0"/>
              <w:rPr>
                <w:i/>
              </w:rPr>
            </w:pPr>
            <w:r w:rsidRPr="00E26332">
              <w:rPr>
                <w:i/>
              </w:rPr>
              <w:t>Symptomatic treatment of focal spasticity of upper limbs in paediatric cerebral palsy patients, two</w:t>
            </w:r>
            <w:r w:rsidR="0040779A">
              <w:rPr>
                <w:i/>
              </w:rPr>
              <w:t> </w:t>
            </w:r>
            <w:r w:rsidRPr="00E26332">
              <w:rPr>
                <w:i/>
              </w:rPr>
              <w:t>years of age or older.</w:t>
            </w:r>
          </w:p>
        </w:tc>
      </w:tr>
      <w:tr w:rsidR="00006FAB" w14:paraId="15AFB743" w14:textId="77777777" w:rsidTr="008B7EB6">
        <w:trPr>
          <w:cantSplit/>
        </w:trPr>
        <w:tc>
          <w:tcPr>
            <w:tcW w:w="1101" w:type="dxa"/>
          </w:tcPr>
          <w:p w14:paraId="49525600" w14:textId="77777777" w:rsidR="00006FAB" w:rsidRDefault="00E437E9" w:rsidP="00E437E9">
            <w:pPr>
              <w:ind w:left="0" w:right="0"/>
            </w:pPr>
            <w:r>
              <w:t>UK</w:t>
            </w:r>
          </w:p>
        </w:tc>
        <w:tc>
          <w:tcPr>
            <w:tcW w:w="2409" w:type="dxa"/>
          </w:tcPr>
          <w:p w14:paraId="76BA2267" w14:textId="77777777" w:rsidR="00006FAB" w:rsidRDefault="00E26332" w:rsidP="00E437E9">
            <w:pPr>
              <w:ind w:left="0" w:right="0"/>
            </w:pPr>
            <w:r>
              <w:t>18 April 2019</w:t>
            </w:r>
          </w:p>
        </w:tc>
        <w:tc>
          <w:tcPr>
            <w:tcW w:w="2694" w:type="dxa"/>
          </w:tcPr>
          <w:p w14:paraId="5DC6B28A" w14:textId="77777777" w:rsidR="00006FAB" w:rsidRDefault="00E26332" w:rsidP="00E437E9">
            <w:pPr>
              <w:ind w:left="0" w:right="0"/>
            </w:pPr>
            <w:r>
              <w:t>Approved on 17 December 2019</w:t>
            </w:r>
          </w:p>
        </w:tc>
        <w:tc>
          <w:tcPr>
            <w:tcW w:w="2516" w:type="dxa"/>
          </w:tcPr>
          <w:p w14:paraId="2ABC5258" w14:textId="77777777" w:rsidR="00006FAB" w:rsidRPr="00E26332" w:rsidRDefault="00E26332" w:rsidP="00E437E9">
            <w:pPr>
              <w:ind w:left="0" w:right="0"/>
              <w:rPr>
                <w:i/>
              </w:rPr>
            </w:pPr>
            <w:r w:rsidRPr="00E26332">
              <w:rPr>
                <w:i/>
              </w:rPr>
              <w:t xml:space="preserve">Symptomatic treatment of focal spasticity of upper limbs in paediatric cerebral </w:t>
            </w:r>
            <w:r w:rsidR="00E437E9" w:rsidRPr="00E26332">
              <w:rPr>
                <w:i/>
              </w:rPr>
              <w:t>palsy patients</w:t>
            </w:r>
            <w:r w:rsidRPr="00E26332">
              <w:rPr>
                <w:i/>
              </w:rPr>
              <w:t xml:space="preserve">, two </w:t>
            </w:r>
            <w:r w:rsidR="00E437E9" w:rsidRPr="00E26332">
              <w:rPr>
                <w:i/>
              </w:rPr>
              <w:t>years of age or older.</w:t>
            </w:r>
          </w:p>
        </w:tc>
      </w:tr>
      <w:tr w:rsidR="00E437E9" w14:paraId="562F7C70" w14:textId="77777777" w:rsidTr="00CF580A">
        <w:tc>
          <w:tcPr>
            <w:tcW w:w="1101" w:type="dxa"/>
          </w:tcPr>
          <w:p w14:paraId="11164F26" w14:textId="72FF8846" w:rsidR="00E437E9" w:rsidRDefault="00E437E9" w:rsidP="00CF580A">
            <w:pPr>
              <w:keepNext/>
              <w:ind w:left="0" w:right="0"/>
            </w:pPr>
            <w:r>
              <w:t>US</w:t>
            </w:r>
            <w:r w:rsidR="00261FC8">
              <w:t>A</w:t>
            </w:r>
          </w:p>
        </w:tc>
        <w:tc>
          <w:tcPr>
            <w:tcW w:w="2409" w:type="dxa"/>
          </w:tcPr>
          <w:p w14:paraId="1FE71510" w14:textId="77777777" w:rsidR="00E437E9" w:rsidRPr="00E437E9" w:rsidRDefault="00E26332" w:rsidP="00CF580A">
            <w:pPr>
              <w:keepNext/>
              <w:ind w:left="0" w:right="0"/>
            </w:pPr>
            <w:r>
              <w:t>25 March 2019</w:t>
            </w:r>
          </w:p>
        </w:tc>
        <w:tc>
          <w:tcPr>
            <w:tcW w:w="2694" w:type="dxa"/>
          </w:tcPr>
          <w:p w14:paraId="7F1FB963" w14:textId="77777777" w:rsidR="00E437E9" w:rsidRPr="00E437E9" w:rsidRDefault="00E26332" w:rsidP="00CF580A">
            <w:pPr>
              <w:keepNext/>
              <w:ind w:left="0" w:right="0"/>
            </w:pPr>
            <w:r>
              <w:t>Approved on 25 September 2019</w:t>
            </w:r>
          </w:p>
        </w:tc>
        <w:tc>
          <w:tcPr>
            <w:tcW w:w="2516" w:type="dxa"/>
          </w:tcPr>
          <w:p w14:paraId="7F17FC1A" w14:textId="2A7EBC03" w:rsidR="00E437E9" w:rsidRPr="00E26332" w:rsidRDefault="00E26332" w:rsidP="00CF580A">
            <w:pPr>
              <w:keepNext/>
              <w:ind w:left="0" w:right="0"/>
              <w:rPr>
                <w:i/>
              </w:rPr>
            </w:pPr>
            <w:r w:rsidRPr="00E26332">
              <w:rPr>
                <w:i/>
              </w:rPr>
              <w:t xml:space="preserve">Treatment of upper limb spasticity in </w:t>
            </w:r>
            <w:proofErr w:type="spellStart"/>
            <w:r w:rsidRPr="00E26332">
              <w:rPr>
                <w:i/>
              </w:rPr>
              <w:t>pediatric</w:t>
            </w:r>
            <w:proofErr w:type="spellEnd"/>
            <w:r w:rsidRPr="00E26332">
              <w:rPr>
                <w:i/>
              </w:rPr>
              <w:t xml:space="preserve"> patients 2</w:t>
            </w:r>
            <w:r w:rsidR="0040779A">
              <w:rPr>
                <w:i/>
              </w:rPr>
              <w:t> </w:t>
            </w:r>
            <w:r w:rsidRPr="00E26332">
              <w:rPr>
                <w:i/>
              </w:rPr>
              <w:t xml:space="preserve">years of age and older, excluding spasticity caused by cerebral </w:t>
            </w:r>
            <w:r w:rsidR="00E437E9" w:rsidRPr="00E26332">
              <w:rPr>
                <w:i/>
              </w:rPr>
              <w:t>palsy.</w:t>
            </w:r>
          </w:p>
        </w:tc>
      </w:tr>
      <w:tr w:rsidR="00E437E9" w14:paraId="0045615E" w14:textId="77777777" w:rsidTr="00CF580A">
        <w:tc>
          <w:tcPr>
            <w:tcW w:w="1101" w:type="dxa"/>
          </w:tcPr>
          <w:p w14:paraId="76C5AC6D" w14:textId="77777777" w:rsidR="00E437E9" w:rsidRDefault="00E437E9" w:rsidP="00E437E9">
            <w:pPr>
              <w:ind w:left="0" w:right="0"/>
            </w:pPr>
            <w:r>
              <w:t>Canada</w:t>
            </w:r>
          </w:p>
        </w:tc>
        <w:tc>
          <w:tcPr>
            <w:tcW w:w="2409" w:type="dxa"/>
          </w:tcPr>
          <w:p w14:paraId="1874C657" w14:textId="77777777" w:rsidR="00E437E9" w:rsidRPr="00E437E9" w:rsidRDefault="00E26332" w:rsidP="00E437E9">
            <w:pPr>
              <w:ind w:left="0" w:right="0"/>
            </w:pPr>
            <w:r>
              <w:t>11 March 2020</w:t>
            </w:r>
          </w:p>
        </w:tc>
        <w:tc>
          <w:tcPr>
            <w:tcW w:w="2694" w:type="dxa"/>
          </w:tcPr>
          <w:p w14:paraId="52E9AB15" w14:textId="77777777" w:rsidR="00E437E9" w:rsidRPr="00E437E9" w:rsidRDefault="00E437E9" w:rsidP="00E437E9">
            <w:pPr>
              <w:ind w:left="0" w:right="0"/>
            </w:pPr>
            <w:r>
              <w:t>Under consideration</w:t>
            </w:r>
          </w:p>
        </w:tc>
        <w:tc>
          <w:tcPr>
            <w:tcW w:w="2516" w:type="dxa"/>
          </w:tcPr>
          <w:p w14:paraId="6955164C" w14:textId="77777777" w:rsidR="00E437E9" w:rsidRDefault="00E437E9" w:rsidP="00E437E9">
            <w:pPr>
              <w:ind w:left="0" w:right="0"/>
            </w:pPr>
            <w:r>
              <w:t>Under consideration</w:t>
            </w:r>
          </w:p>
        </w:tc>
      </w:tr>
    </w:tbl>
    <w:p w14:paraId="00B4FB04" w14:textId="4DBB4F0E" w:rsidR="00E26332" w:rsidRDefault="0040779A" w:rsidP="00F06A5E">
      <w:pPr>
        <w:pStyle w:val="TableDescription"/>
      </w:pPr>
      <w:r>
        <w:t>European Union (</w:t>
      </w:r>
      <w:r w:rsidR="00E26332">
        <w:t>EU</w:t>
      </w:r>
      <w:r>
        <w:t>)</w:t>
      </w:r>
      <w:r w:rsidR="00261FC8">
        <w:t>/ European Economic Area (EEA)</w:t>
      </w:r>
      <w:r w:rsidR="00E26332">
        <w:t xml:space="preserve"> country codes: AT = Austria, BE = Belgium, BG</w:t>
      </w:r>
      <w:r w:rsidR="00261FC8">
        <w:t> </w:t>
      </w:r>
      <w:r w:rsidR="00E26332">
        <w:t>=</w:t>
      </w:r>
      <w:r w:rsidR="00261FC8">
        <w:t> </w:t>
      </w:r>
      <w:r w:rsidR="00E26332">
        <w:t xml:space="preserve">Bulgaria, CY = Cyprus, CZ = </w:t>
      </w:r>
      <w:proofErr w:type="spellStart"/>
      <w:r w:rsidR="00E26332">
        <w:t>Czechia</w:t>
      </w:r>
      <w:proofErr w:type="spellEnd"/>
      <w:r w:rsidR="00E26332">
        <w:t xml:space="preserve">, </w:t>
      </w:r>
      <w:r w:rsidR="00F06A5E">
        <w:t xml:space="preserve">DE = Germany, </w:t>
      </w:r>
      <w:r w:rsidR="00E26332">
        <w:t>EE = Estonia, EL = Greece, ES = Spain, FI</w:t>
      </w:r>
      <w:r w:rsidR="00261FC8">
        <w:t> </w:t>
      </w:r>
      <w:r w:rsidR="00E26332">
        <w:t>=</w:t>
      </w:r>
      <w:r w:rsidR="00261FC8">
        <w:t> </w:t>
      </w:r>
      <w:r w:rsidR="00E26332">
        <w:t xml:space="preserve">Finland, HU = Hungary, IE = Ireland, LU = Luxembourg, LT = Lithuania, </w:t>
      </w:r>
      <w:r w:rsidR="00F06A5E">
        <w:t xml:space="preserve">LV = Latvia, </w:t>
      </w:r>
      <w:r w:rsidR="00F533BF">
        <w:t xml:space="preserve">MRP = mutual recognition procedure, </w:t>
      </w:r>
      <w:r w:rsidR="00F06A5E">
        <w:t xml:space="preserve">NO = Norway, </w:t>
      </w:r>
      <w:r w:rsidR="00E26332">
        <w:t xml:space="preserve">PL = Poland, PT = Portugal, RO = Romania, </w:t>
      </w:r>
      <w:r w:rsidR="00F06A5E">
        <w:t xml:space="preserve">SE = Sweden, </w:t>
      </w:r>
      <w:r w:rsidR="00F533BF">
        <w:t>SI = </w:t>
      </w:r>
      <w:r w:rsidR="00E26332">
        <w:t xml:space="preserve">Slovenia, SK = </w:t>
      </w:r>
      <w:r w:rsidR="00F533BF">
        <w:t>Slovakia, WSP = work sharing procedure,</w:t>
      </w:r>
      <w:r>
        <w:t xml:space="preserve"> </w:t>
      </w:r>
      <w:r w:rsidR="00261FC8">
        <w:t>UK = United Kingdom; USA = United States of America.</w:t>
      </w:r>
    </w:p>
    <w:p w14:paraId="3A0E6DD8" w14:textId="77777777" w:rsidR="008E7846" w:rsidRDefault="008E7846" w:rsidP="00940A89">
      <w:pPr>
        <w:pStyle w:val="Heading3"/>
      </w:pPr>
      <w:bookmarkStart w:id="22" w:name="_Toc70942394"/>
      <w:r>
        <w:t>Product Information</w:t>
      </w:r>
      <w:bookmarkEnd w:id="19"/>
      <w:bookmarkEnd w:id="20"/>
      <w:bookmarkEnd w:id="22"/>
    </w:p>
    <w:p w14:paraId="5698D1D1" w14:textId="2681CDDC"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3FB635FD" w14:textId="77777777" w:rsidR="00500337" w:rsidRDefault="00500337" w:rsidP="00500337">
      <w:pPr>
        <w:pStyle w:val="Heading2"/>
      </w:pPr>
      <w:bookmarkStart w:id="25" w:name="_Toc504480011"/>
      <w:bookmarkStart w:id="26" w:name="_Toc70942395"/>
      <w:r>
        <w:t>II. Registration timeline</w:t>
      </w:r>
      <w:bookmarkEnd w:id="25"/>
      <w:bookmarkEnd w:id="26"/>
    </w:p>
    <w:p w14:paraId="4C41F670" w14:textId="77777777" w:rsidR="00500337" w:rsidRDefault="00500337" w:rsidP="00500337">
      <w:r>
        <w:t>The following table captures the key steps and dates for this application and which are detailed and discussed in this AusPAR.</w:t>
      </w:r>
    </w:p>
    <w:p w14:paraId="19980420" w14:textId="08E5D5EC" w:rsidR="00500337" w:rsidRPr="00377BD4" w:rsidRDefault="00E76AF6" w:rsidP="00E76AF6">
      <w:pPr>
        <w:pStyle w:val="TableTitle"/>
      </w:pPr>
      <w:r>
        <w:t xml:space="preserve">Table </w:t>
      </w:r>
      <w:fldSimple w:instr=" SEQ Table \* ARABIC ">
        <w:r w:rsidR="00F533BF">
          <w:rPr>
            <w:noProof/>
          </w:rPr>
          <w:t>2</w:t>
        </w:r>
      </w:fldSimple>
      <w:r w:rsidR="00006FAB">
        <w:t>:</w:t>
      </w:r>
      <w:r w:rsidR="006A58A8" w:rsidRPr="006A58A8">
        <w:t xml:space="preserve"> Timeline for Submission </w:t>
      </w:r>
      <w:r w:rsidRPr="00E76AF6">
        <w:t>PM-2019-02645-1-1</w:t>
      </w:r>
    </w:p>
    <w:tbl>
      <w:tblPr>
        <w:tblStyle w:val="TableTGAblue"/>
        <w:tblW w:w="0" w:type="auto"/>
        <w:tblLook w:val="04A0" w:firstRow="1" w:lastRow="0" w:firstColumn="1" w:lastColumn="0" w:noHBand="0" w:noVBand="1"/>
      </w:tblPr>
      <w:tblGrid>
        <w:gridCol w:w="6232"/>
        <w:gridCol w:w="2262"/>
      </w:tblGrid>
      <w:tr w:rsidR="00500337" w14:paraId="7822C00B" w14:textId="77777777" w:rsidTr="0075687E">
        <w:trPr>
          <w:cnfStyle w:val="100000000000" w:firstRow="1" w:lastRow="0" w:firstColumn="0" w:lastColumn="0" w:oddVBand="0" w:evenVBand="0" w:oddHBand="0" w:evenHBand="0" w:firstRowFirstColumn="0" w:firstRowLastColumn="0" w:lastRowFirstColumn="0" w:lastRowLastColumn="0"/>
          <w:cantSplit/>
        </w:trPr>
        <w:tc>
          <w:tcPr>
            <w:tcW w:w="6232" w:type="dxa"/>
            <w:tcBorders>
              <w:top w:val="single" w:sz="4" w:space="0" w:color="auto"/>
              <w:left w:val="single" w:sz="4" w:space="0" w:color="auto"/>
              <w:bottom w:val="single" w:sz="4" w:space="0" w:color="auto"/>
              <w:right w:val="single" w:sz="4" w:space="0" w:color="auto"/>
            </w:tcBorders>
          </w:tcPr>
          <w:p w14:paraId="77E30681" w14:textId="77777777" w:rsidR="00500337" w:rsidRDefault="00500337" w:rsidP="00500337">
            <w:pPr>
              <w:ind w:left="0" w:right="0"/>
            </w:pPr>
            <w:r>
              <w:t>Description</w:t>
            </w:r>
          </w:p>
        </w:tc>
        <w:tc>
          <w:tcPr>
            <w:tcW w:w="2262" w:type="dxa"/>
            <w:tcBorders>
              <w:top w:val="single" w:sz="4" w:space="0" w:color="auto"/>
              <w:left w:val="single" w:sz="4" w:space="0" w:color="auto"/>
              <w:bottom w:val="single" w:sz="4" w:space="0" w:color="auto"/>
              <w:right w:val="single" w:sz="4" w:space="0" w:color="auto"/>
            </w:tcBorders>
          </w:tcPr>
          <w:p w14:paraId="5B7D7C9F" w14:textId="77777777" w:rsidR="00500337" w:rsidRDefault="00500337" w:rsidP="00500337">
            <w:pPr>
              <w:ind w:left="0" w:right="0"/>
            </w:pPr>
            <w:r>
              <w:t>Date</w:t>
            </w:r>
          </w:p>
        </w:tc>
      </w:tr>
      <w:tr w:rsidR="00500337" w14:paraId="1D6C1D0C" w14:textId="77777777" w:rsidTr="0075687E">
        <w:tc>
          <w:tcPr>
            <w:tcW w:w="6232" w:type="dxa"/>
            <w:tcBorders>
              <w:top w:val="single" w:sz="4" w:space="0" w:color="auto"/>
            </w:tcBorders>
          </w:tcPr>
          <w:p w14:paraId="682E4F7E" w14:textId="77777777" w:rsidR="00500337" w:rsidRDefault="00500337" w:rsidP="00500337">
            <w:pPr>
              <w:ind w:left="0" w:right="0"/>
            </w:pPr>
            <w:r>
              <w:t>Submission dossier accepted and first round evaluation commenced</w:t>
            </w:r>
          </w:p>
        </w:tc>
        <w:tc>
          <w:tcPr>
            <w:tcW w:w="2262" w:type="dxa"/>
            <w:tcBorders>
              <w:top w:val="single" w:sz="4" w:space="0" w:color="auto"/>
            </w:tcBorders>
          </w:tcPr>
          <w:p w14:paraId="53AC8B62" w14:textId="77777777" w:rsidR="00500337" w:rsidRDefault="00EC54E7" w:rsidP="00500337">
            <w:pPr>
              <w:ind w:left="0" w:right="0"/>
            </w:pPr>
            <w:r>
              <w:t>31 July 2019</w:t>
            </w:r>
          </w:p>
        </w:tc>
      </w:tr>
      <w:tr w:rsidR="00500337" w14:paraId="1BFED592" w14:textId="77777777" w:rsidTr="0075687E">
        <w:tc>
          <w:tcPr>
            <w:tcW w:w="6232" w:type="dxa"/>
          </w:tcPr>
          <w:p w14:paraId="57A32528" w14:textId="77777777" w:rsidR="00500337" w:rsidRDefault="00500337" w:rsidP="00500337">
            <w:pPr>
              <w:ind w:left="0" w:right="0"/>
            </w:pPr>
            <w:r>
              <w:t>First round evaluation completed</w:t>
            </w:r>
          </w:p>
        </w:tc>
        <w:tc>
          <w:tcPr>
            <w:tcW w:w="2262" w:type="dxa"/>
          </w:tcPr>
          <w:p w14:paraId="28D55A88" w14:textId="77777777" w:rsidR="00500337" w:rsidRDefault="00EC54E7" w:rsidP="00500337">
            <w:pPr>
              <w:ind w:left="0" w:right="0"/>
            </w:pPr>
            <w:r>
              <w:t>27 November 2019</w:t>
            </w:r>
          </w:p>
        </w:tc>
      </w:tr>
      <w:tr w:rsidR="00500337" w14:paraId="783B15C1" w14:textId="77777777" w:rsidTr="0075687E">
        <w:tc>
          <w:tcPr>
            <w:tcW w:w="6232" w:type="dxa"/>
          </w:tcPr>
          <w:p w14:paraId="1A54046E" w14:textId="77777777" w:rsidR="00500337" w:rsidRDefault="00500337" w:rsidP="00500337">
            <w:pPr>
              <w:ind w:left="0" w:right="0"/>
            </w:pPr>
            <w:r>
              <w:t>Sponsor provides responses on questions raised in first round evaluation</w:t>
            </w:r>
          </w:p>
        </w:tc>
        <w:tc>
          <w:tcPr>
            <w:tcW w:w="2262" w:type="dxa"/>
          </w:tcPr>
          <w:p w14:paraId="243AA0E4" w14:textId="77777777" w:rsidR="00500337" w:rsidRDefault="00EC54E7" w:rsidP="00500337">
            <w:pPr>
              <w:ind w:left="0" w:right="0"/>
            </w:pPr>
            <w:r>
              <w:t>28 January 2020</w:t>
            </w:r>
          </w:p>
        </w:tc>
      </w:tr>
      <w:tr w:rsidR="00500337" w14:paraId="109C1277" w14:textId="77777777" w:rsidTr="0075687E">
        <w:tc>
          <w:tcPr>
            <w:tcW w:w="6232" w:type="dxa"/>
          </w:tcPr>
          <w:p w14:paraId="0DBE7F88" w14:textId="77777777" w:rsidR="00500337" w:rsidRDefault="00500337" w:rsidP="00500337">
            <w:pPr>
              <w:ind w:left="0" w:right="0"/>
            </w:pPr>
            <w:r>
              <w:t>Second round evaluation completed</w:t>
            </w:r>
          </w:p>
        </w:tc>
        <w:tc>
          <w:tcPr>
            <w:tcW w:w="2262" w:type="dxa"/>
          </w:tcPr>
          <w:p w14:paraId="602F45F8" w14:textId="77777777" w:rsidR="00500337" w:rsidRDefault="00EC54E7" w:rsidP="00500337">
            <w:pPr>
              <w:ind w:left="0" w:right="0"/>
            </w:pPr>
            <w:r>
              <w:t>27 February 2020</w:t>
            </w:r>
          </w:p>
        </w:tc>
      </w:tr>
      <w:tr w:rsidR="00500337" w14:paraId="21BB0594" w14:textId="77777777" w:rsidTr="0075687E">
        <w:tc>
          <w:tcPr>
            <w:tcW w:w="6232" w:type="dxa"/>
          </w:tcPr>
          <w:p w14:paraId="4E7D0AC3" w14:textId="77777777" w:rsidR="00500337" w:rsidRPr="00E76AF6" w:rsidRDefault="00324E45" w:rsidP="00500337">
            <w:pPr>
              <w:ind w:left="0" w:right="0"/>
              <w:rPr>
                <w:color w:val="auto"/>
              </w:rPr>
            </w:pPr>
            <w:r w:rsidRPr="00E76AF6">
              <w:rPr>
                <w:color w:val="auto"/>
              </w:rPr>
              <w:t>Delegate’s Overall benefit-risk assessment and request</w:t>
            </w:r>
            <w:r w:rsidR="00E76AF6" w:rsidRPr="00E76AF6">
              <w:rPr>
                <w:color w:val="auto"/>
              </w:rPr>
              <w:t xml:space="preserve"> for Advisory Committee advice</w:t>
            </w:r>
          </w:p>
        </w:tc>
        <w:tc>
          <w:tcPr>
            <w:tcW w:w="2262" w:type="dxa"/>
          </w:tcPr>
          <w:p w14:paraId="2E12C923" w14:textId="77777777" w:rsidR="00500337" w:rsidRDefault="00EC54E7" w:rsidP="00500337">
            <w:pPr>
              <w:ind w:left="0" w:right="0"/>
            </w:pPr>
            <w:r>
              <w:t>5 May 2020</w:t>
            </w:r>
          </w:p>
        </w:tc>
      </w:tr>
      <w:tr w:rsidR="00500337" w14:paraId="12917E7E" w14:textId="77777777" w:rsidTr="0075687E">
        <w:tc>
          <w:tcPr>
            <w:tcW w:w="6232" w:type="dxa"/>
          </w:tcPr>
          <w:p w14:paraId="1ED1CBA5" w14:textId="77777777" w:rsidR="00500337" w:rsidRDefault="00500337" w:rsidP="00500337">
            <w:pPr>
              <w:ind w:left="0" w:right="0"/>
            </w:pPr>
            <w:r>
              <w:t>Sponsor’s pre-Advisory Committee response</w:t>
            </w:r>
          </w:p>
        </w:tc>
        <w:tc>
          <w:tcPr>
            <w:tcW w:w="2262" w:type="dxa"/>
          </w:tcPr>
          <w:p w14:paraId="717E3A5A" w14:textId="77777777" w:rsidR="00500337" w:rsidRDefault="00EC54E7" w:rsidP="00500337">
            <w:pPr>
              <w:ind w:left="0" w:right="0"/>
            </w:pPr>
            <w:r>
              <w:t>13 May 2020</w:t>
            </w:r>
          </w:p>
        </w:tc>
      </w:tr>
      <w:tr w:rsidR="00500337" w14:paraId="27F219D7" w14:textId="77777777" w:rsidTr="0075687E">
        <w:tc>
          <w:tcPr>
            <w:tcW w:w="6232" w:type="dxa"/>
          </w:tcPr>
          <w:p w14:paraId="72AE5B8C" w14:textId="77777777" w:rsidR="00500337" w:rsidRDefault="00500337" w:rsidP="00500337">
            <w:pPr>
              <w:ind w:left="0" w:right="0"/>
            </w:pPr>
            <w:r>
              <w:t>Advisory Committee meeting</w:t>
            </w:r>
          </w:p>
        </w:tc>
        <w:tc>
          <w:tcPr>
            <w:tcW w:w="2262" w:type="dxa"/>
          </w:tcPr>
          <w:p w14:paraId="25FAF768" w14:textId="77777777" w:rsidR="00500337" w:rsidRDefault="00EC54E7" w:rsidP="00500337">
            <w:pPr>
              <w:ind w:left="0" w:right="0"/>
            </w:pPr>
            <w:r>
              <w:t>4 and 5 June 2020</w:t>
            </w:r>
          </w:p>
        </w:tc>
      </w:tr>
      <w:tr w:rsidR="00500337" w14:paraId="017B1B4A" w14:textId="77777777" w:rsidTr="0075687E">
        <w:tc>
          <w:tcPr>
            <w:tcW w:w="6232" w:type="dxa"/>
          </w:tcPr>
          <w:p w14:paraId="0DD60468" w14:textId="77777777" w:rsidR="00500337" w:rsidRDefault="00500337" w:rsidP="00500337">
            <w:pPr>
              <w:ind w:left="0" w:right="0"/>
            </w:pPr>
            <w:r>
              <w:t>Registration decision (Outcome)</w:t>
            </w:r>
          </w:p>
        </w:tc>
        <w:tc>
          <w:tcPr>
            <w:tcW w:w="2262" w:type="dxa"/>
          </w:tcPr>
          <w:p w14:paraId="6673BF34" w14:textId="77777777" w:rsidR="00500337" w:rsidRDefault="00E76AF6" w:rsidP="00500337">
            <w:pPr>
              <w:ind w:left="0" w:right="0"/>
            </w:pPr>
            <w:r>
              <w:t>14 July 2020</w:t>
            </w:r>
          </w:p>
        </w:tc>
      </w:tr>
      <w:tr w:rsidR="00500337" w14:paraId="7B8D4AB6" w14:textId="77777777" w:rsidTr="0075687E">
        <w:tc>
          <w:tcPr>
            <w:tcW w:w="6232" w:type="dxa"/>
          </w:tcPr>
          <w:p w14:paraId="6AD2A0D9" w14:textId="77777777" w:rsidR="00500337" w:rsidRDefault="00500337" w:rsidP="00500337">
            <w:pPr>
              <w:ind w:left="0" w:right="0"/>
            </w:pPr>
            <w:r>
              <w:t xml:space="preserve">Completion of administrative activities and registration on </w:t>
            </w:r>
            <w:r w:rsidR="00006FAB">
              <w:t xml:space="preserve">the </w:t>
            </w:r>
            <w:r>
              <w:t>ARTG</w:t>
            </w:r>
          </w:p>
        </w:tc>
        <w:tc>
          <w:tcPr>
            <w:tcW w:w="2262" w:type="dxa"/>
          </w:tcPr>
          <w:p w14:paraId="2D71A32A" w14:textId="77777777" w:rsidR="00500337" w:rsidRDefault="00E76AF6" w:rsidP="00500337">
            <w:pPr>
              <w:ind w:left="0" w:right="0"/>
            </w:pPr>
            <w:r>
              <w:t>21 July 2020</w:t>
            </w:r>
          </w:p>
        </w:tc>
      </w:tr>
      <w:tr w:rsidR="00500337" w14:paraId="475BA0DD" w14:textId="77777777" w:rsidTr="0075687E">
        <w:tc>
          <w:tcPr>
            <w:tcW w:w="6232" w:type="dxa"/>
          </w:tcPr>
          <w:p w14:paraId="76781AC1" w14:textId="77777777" w:rsidR="00500337" w:rsidRDefault="00500337" w:rsidP="00500337">
            <w:pPr>
              <w:ind w:left="0" w:right="0"/>
            </w:pPr>
            <w:r>
              <w:t>Number of working days from submission dossier acceptance to registration decision*</w:t>
            </w:r>
          </w:p>
        </w:tc>
        <w:tc>
          <w:tcPr>
            <w:tcW w:w="2262" w:type="dxa"/>
          </w:tcPr>
          <w:p w14:paraId="78A75B04" w14:textId="77777777" w:rsidR="00500337" w:rsidRDefault="00E76AF6" w:rsidP="00500337">
            <w:pPr>
              <w:ind w:left="0" w:right="0"/>
            </w:pPr>
            <w:r>
              <w:t>199</w:t>
            </w:r>
          </w:p>
        </w:tc>
      </w:tr>
    </w:tbl>
    <w:p w14:paraId="2137143B"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590FDC05"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70942396"/>
      <w:bookmarkEnd w:id="23"/>
      <w:bookmarkEnd w:id="24"/>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50789BAF" w14:textId="77777777" w:rsidR="00006FAB" w:rsidRDefault="00006FAB" w:rsidP="00006FAB">
      <w:bookmarkStart w:id="32" w:name="_Toc247691528"/>
      <w:r>
        <w:t>The submission was summarised in the following Delegate’s overview and recommendations.</w:t>
      </w:r>
    </w:p>
    <w:p w14:paraId="3DF969AF" w14:textId="77777777" w:rsidR="008E7846" w:rsidRDefault="008E7846" w:rsidP="008E7846">
      <w:pPr>
        <w:pStyle w:val="Heading3"/>
      </w:pPr>
      <w:bookmarkStart w:id="33" w:name="_Toc314842511"/>
      <w:bookmarkStart w:id="34" w:name="_Toc70942397"/>
      <w:r>
        <w:t>Quality</w:t>
      </w:r>
      <w:bookmarkEnd w:id="32"/>
      <w:bookmarkEnd w:id="33"/>
      <w:bookmarkEnd w:id="34"/>
    </w:p>
    <w:p w14:paraId="245821A3" w14:textId="77777777" w:rsidR="00E45619" w:rsidRDefault="00006FAB" w:rsidP="00006FAB">
      <w:r>
        <w:t>There was no requirement for a quality evaluation in a submission of this type.</w:t>
      </w:r>
    </w:p>
    <w:p w14:paraId="640F337E" w14:textId="77777777" w:rsidR="008E7846" w:rsidRDefault="008E7846" w:rsidP="008E7846">
      <w:pPr>
        <w:pStyle w:val="Heading3"/>
      </w:pPr>
      <w:bookmarkStart w:id="35" w:name="_Toc314842512"/>
      <w:bookmarkStart w:id="36" w:name="_Toc70942398"/>
      <w:r>
        <w:t>Nonclinical</w:t>
      </w:r>
      <w:bookmarkEnd w:id="35"/>
      <w:bookmarkEnd w:id="36"/>
    </w:p>
    <w:p w14:paraId="36375B57" w14:textId="77777777" w:rsidR="008E7846" w:rsidRDefault="00006FAB" w:rsidP="00006FAB">
      <w:r>
        <w:t>There was no requirement for a nonclinical evaluation in a submission of this type.</w:t>
      </w:r>
    </w:p>
    <w:p w14:paraId="04B7E809" w14:textId="77777777" w:rsidR="008E7846" w:rsidRDefault="008E7846" w:rsidP="008E7846">
      <w:pPr>
        <w:pStyle w:val="Heading3"/>
      </w:pPr>
      <w:bookmarkStart w:id="37" w:name="_Toc247691530"/>
      <w:bookmarkStart w:id="38" w:name="_Toc314842513"/>
      <w:bookmarkStart w:id="39" w:name="_Toc70942399"/>
      <w:r>
        <w:t>Clinical</w:t>
      </w:r>
      <w:bookmarkEnd w:id="37"/>
      <w:bookmarkEnd w:id="38"/>
      <w:bookmarkEnd w:id="39"/>
    </w:p>
    <w:p w14:paraId="1E4D4311" w14:textId="77777777" w:rsidR="0079120C" w:rsidRPr="0079120C" w:rsidRDefault="0079120C" w:rsidP="0079120C">
      <w:r>
        <w:t>The clinical information in the dossier included the following:</w:t>
      </w:r>
    </w:p>
    <w:p w14:paraId="15129395" w14:textId="7E1E2AEC" w:rsidR="0079120C" w:rsidRDefault="0079120C" w:rsidP="006406E6">
      <w:pPr>
        <w:pStyle w:val="ListBullet"/>
      </w:pPr>
      <w:bookmarkStart w:id="40" w:name="_Toc314842514"/>
      <w:r>
        <w:t xml:space="preserve">Clinical </w:t>
      </w:r>
      <w:r w:rsidR="00CF580A">
        <w:t>study reports for studies performed in focal spasticity</w:t>
      </w:r>
      <w:r w:rsidR="006406E6">
        <w:t>:</w:t>
      </w:r>
    </w:p>
    <w:p w14:paraId="04B47BA5" w14:textId="77777777" w:rsidR="0079120C" w:rsidRDefault="006406E6" w:rsidP="006406E6">
      <w:pPr>
        <w:pStyle w:val="ListBullet2"/>
      </w:pPr>
      <w:r>
        <w:t xml:space="preserve">Study </w:t>
      </w:r>
      <w:r w:rsidR="0079120C">
        <w:t>Y-52-52120-153</w:t>
      </w:r>
      <w:r>
        <w:t>;</w:t>
      </w:r>
    </w:p>
    <w:p w14:paraId="1AF82B7B" w14:textId="77777777" w:rsidR="0079120C" w:rsidRPr="006406E6" w:rsidRDefault="006406E6" w:rsidP="006406E6">
      <w:pPr>
        <w:pStyle w:val="ListBullet2"/>
      </w:pPr>
      <w:r>
        <w:t>Study Y-55-52120-147;</w:t>
      </w:r>
    </w:p>
    <w:p w14:paraId="3DA8CC8D" w14:textId="77777777" w:rsidR="0079120C" w:rsidRDefault="006406E6" w:rsidP="006406E6">
      <w:pPr>
        <w:pStyle w:val="ListBullet2"/>
      </w:pPr>
      <w:r>
        <w:t xml:space="preserve">Study </w:t>
      </w:r>
      <w:r w:rsidR="00796663">
        <w:t>Y-97-52120-0</w:t>
      </w:r>
      <w:r>
        <w:t>47.</w:t>
      </w:r>
    </w:p>
    <w:p w14:paraId="0FBBFFEA" w14:textId="60DAB584" w:rsidR="0079120C" w:rsidRDefault="0079120C" w:rsidP="00796663">
      <w:pPr>
        <w:pStyle w:val="ListBullet"/>
      </w:pPr>
      <w:r>
        <w:t xml:space="preserve">Clinical </w:t>
      </w:r>
      <w:r w:rsidR="00CF580A">
        <w:t>study reports for studies performed in subjects with glabellar frown lines</w:t>
      </w:r>
      <w:r w:rsidR="00796663">
        <w:t>:</w:t>
      </w:r>
    </w:p>
    <w:p w14:paraId="3A555A72" w14:textId="77777777" w:rsidR="0079120C" w:rsidRPr="00796663" w:rsidRDefault="00796663" w:rsidP="00796663">
      <w:pPr>
        <w:pStyle w:val="ListBullet2"/>
      </w:pPr>
      <w:r w:rsidRPr="00796663">
        <w:t>Study 05PF1311;</w:t>
      </w:r>
    </w:p>
    <w:p w14:paraId="777BA838" w14:textId="77777777" w:rsidR="0079120C" w:rsidRPr="00796663" w:rsidRDefault="00796663" w:rsidP="00796663">
      <w:pPr>
        <w:pStyle w:val="ListBullet2"/>
      </w:pPr>
      <w:r>
        <w:t>Study GLI.04.SRE.US1038.</w:t>
      </w:r>
    </w:p>
    <w:p w14:paraId="5DF16042" w14:textId="39C78EF9" w:rsidR="0079120C" w:rsidRDefault="0079120C" w:rsidP="00796663">
      <w:pPr>
        <w:pStyle w:val="ListBullet"/>
      </w:pPr>
      <w:r>
        <w:t xml:space="preserve">A pooled analysis of Studies </w:t>
      </w:r>
      <w:r w:rsidR="00796663">
        <w:t>Y-97-52120-717</w:t>
      </w:r>
      <w:r>
        <w:t xml:space="preserve">, </w:t>
      </w:r>
      <w:r w:rsidR="00796663">
        <w:t>Y-97-52120-718</w:t>
      </w:r>
      <w:r>
        <w:t xml:space="preserve"> and </w:t>
      </w:r>
      <w:r w:rsidR="00796663">
        <w:t>Y-97-52120-719</w:t>
      </w:r>
      <w:r>
        <w:t xml:space="preserve"> and an assessment of the long-term safety data for Study </w:t>
      </w:r>
      <w:r w:rsidR="00796663">
        <w:t>Y-97-52120-720</w:t>
      </w:r>
      <w:r>
        <w:t>, in support of the proposed cha</w:t>
      </w:r>
      <w:r w:rsidR="00796663">
        <w:t xml:space="preserve">nges to the description of </w:t>
      </w:r>
      <w:r w:rsidR="00CF580A">
        <w:t>adverse events (</w:t>
      </w:r>
      <w:r w:rsidR="00796663">
        <w:t>AEs</w:t>
      </w:r>
      <w:r w:rsidR="00CF580A">
        <w:t>)</w:t>
      </w:r>
      <w:r w:rsidR="00796663">
        <w:t>.</w:t>
      </w:r>
    </w:p>
    <w:p w14:paraId="10069DD2" w14:textId="345EBA62" w:rsidR="0079120C" w:rsidRDefault="0079120C" w:rsidP="00796663">
      <w:pPr>
        <w:pStyle w:val="ListBullet"/>
      </w:pPr>
      <w:r>
        <w:t xml:space="preserve">Literature references for the </w:t>
      </w:r>
      <w:r w:rsidR="00AA3037">
        <w:t>paediatric upper limb (</w:t>
      </w:r>
      <w:r>
        <w:t>PUL</w:t>
      </w:r>
      <w:r w:rsidR="00AA3037">
        <w:t>)</w:t>
      </w:r>
      <w:r>
        <w:t xml:space="preserve"> and </w:t>
      </w:r>
      <w:r w:rsidR="00AA3037">
        <w:t xml:space="preserve">dilution components </w:t>
      </w:r>
      <w:r w:rsidR="00796663">
        <w:t>of the submission.</w:t>
      </w:r>
    </w:p>
    <w:p w14:paraId="68E12C98" w14:textId="0358954C" w:rsidR="007B6132" w:rsidRDefault="0079120C" w:rsidP="0079120C">
      <w:r>
        <w:t xml:space="preserve">Paediatric data was provided for the proposed new indication of </w:t>
      </w:r>
      <w:r w:rsidR="00AA3037">
        <w:t>PUL</w:t>
      </w:r>
      <w:r>
        <w:t xml:space="preserve"> spasticity but not for the GFL and LCL indications, which do not apply to children.</w:t>
      </w:r>
    </w:p>
    <w:p w14:paraId="2178C2F9" w14:textId="77777777" w:rsidR="0079120C" w:rsidRDefault="0079120C" w:rsidP="0079120C">
      <w:pPr>
        <w:pStyle w:val="Heading4"/>
      </w:pPr>
      <w:r>
        <w:t>Pharmacology</w:t>
      </w:r>
    </w:p>
    <w:p w14:paraId="30DC98AF" w14:textId="77777777" w:rsidR="0079120C" w:rsidRPr="00913DB1" w:rsidRDefault="0079120C" w:rsidP="00796663">
      <w:pPr>
        <w:pStyle w:val="Heading5"/>
      </w:pPr>
      <w:r>
        <w:t>Pharmacokinetics</w:t>
      </w:r>
    </w:p>
    <w:p w14:paraId="19DA3D54" w14:textId="334783A0" w:rsidR="0079120C" w:rsidRPr="00FF785E" w:rsidRDefault="0079120C" w:rsidP="00796663">
      <w:r>
        <w:t>C</w:t>
      </w:r>
      <w:r w:rsidRPr="00FF785E">
        <w:t xml:space="preserve">onventional </w:t>
      </w:r>
      <w:r w:rsidR="00AA3037">
        <w:t>pharmacokinetic (</w:t>
      </w:r>
      <w:r w:rsidRPr="00FF785E">
        <w:t>P</w:t>
      </w:r>
      <w:r>
        <w:t>K</w:t>
      </w:r>
      <w:r w:rsidR="00AA3037">
        <w:t>)</w:t>
      </w:r>
      <w:r>
        <w:t xml:space="preserve"> studies are contraindicated for botulinum toxin. </w:t>
      </w:r>
      <w:proofErr w:type="spellStart"/>
      <w:r w:rsidRPr="00FF785E">
        <w:t>Dysport</w:t>
      </w:r>
      <w:proofErr w:type="spellEnd"/>
      <w:r w:rsidRPr="00FF785E">
        <w:t xml:space="preserve"> is applied topically, within targeted muscles</w:t>
      </w:r>
      <w:r>
        <w:t xml:space="preserve"> and, u</w:t>
      </w:r>
      <w:r w:rsidRPr="00FF785E">
        <w:t>nder ideal circumstances</w:t>
      </w:r>
      <w:r>
        <w:t>,</w:t>
      </w:r>
      <w:r w:rsidR="00796663">
        <w:t xml:space="preserve"> </w:t>
      </w:r>
      <w:r w:rsidRPr="00FF785E">
        <w:t xml:space="preserve">systemic exposure is negligible. If the toxin were to produce significant levels in serum, then this could have adverse consequences including widespread muscle weakness, as experienced in the </w:t>
      </w:r>
      <w:r w:rsidR="00796663">
        <w:t>clinical condition of botulism.</w:t>
      </w:r>
    </w:p>
    <w:p w14:paraId="646F8B7E" w14:textId="77777777" w:rsidR="0079120C" w:rsidRDefault="0079120C" w:rsidP="005D61DA">
      <w:r>
        <w:t>No new PK data were submitted.</w:t>
      </w:r>
    </w:p>
    <w:p w14:paraId="264741A8" w14:textId="77777777" w:rsidR="0079120C" w:rsidRPr="00FF785E" w:rsidRDefault="0079120C" w:rsidP="005D61DA">
      <w:r w:rsidRPr="00FF785E">
        <w:t xml:space="preserve">The proposed PI includes the following brief comment about the PK of </w:t>
      </w:r>
      <w:proofErr w:type="spellStart"/>
      <w:r w:rsidRPr="00FF785E">
        <w:t>Dysport</w:t>
      </w:r>
      <w:proofErr w:type="spellEnd"/>
      <w:r w:rsidRPr="00FF785E">
        <w:t>:</w:t>
      </w:r>
    </w:p>
    <w:p w14:paraId="16AE9E8E" w14:textId="38ED686E" w:rsidR="0079120C" w:rsidRPr="005D61DA" w:rsidRDefault="005D61DA" w:rsidP="005D61DA">
      <w:pPr>
        <w:ind w:left="720"/>
      </w:pPr>
      <w:r>
        <w:t>‘</w:t>
      </w:r>
      <w:r w:rsidR="0079120C" w:rsidRPr="005D61DA">
        <w:t>Pharmacokinetics have not been formally studied in humans or animals. Following intramuscular injection to man, there is usually a delay of 2</w:t>
      </w:r>
      <w:r w:rsidR="00F3091E">
        <w:t xml:space="preserve"> </w:t>
      </w:r>
      <w:r w:rsidR="0079120C" w:rsidRPr="005D61DA">
        <w:t>-</w:t>
      </w:r>
      <w:r w:rsidR="00F3091E">
        <w:t xml:space="preserve"> </w:t>
      </w:r>
      <w:r w:rsidR="0079120C" w:rsidRPr="005D61DA">
        <w:t>3 days with a peak effect between 10 and 21 days after injection. The duration of response varies but on average is 8</w:t>
      </w:r>
      <w:r w:rsidR="00F3091E">
        <w:t xml:space="preserve"> </w:t>
      </w:r>
      <w:r w:rsidR="0079120C" w:rsidRPr="005D61DA">
        <w:t>-</w:t>
      </w:r>
      <w:r w:rsidR="00F3091E">
        <w:t xml:space="preserve"> </w:t>
      </w:r>
      <w:r w:rsidR="0079120C" w:rsidRPr="005D61DA">
        <w:t>12 weeks.</w:t>
      </w:r>
      <w:r>
        <w:t>’</w:t>
      </w:r>
    </w:p>
    <w:p w14:paraId="44055CDE" w14:textId="7C80DCE3" w:rsidR="0079120C" w:rsidRDefault="0079120C" w:rsidP="005D61DA">
      <w:r w:rsidRPr="00FF785E">
        <w:t xml:space="preserve">The time course described in the quoted section above is likely to reflect the pharmacodynamic </w:t>
      </w:r>
      <w:r w:rsidR="00AA3037">
        <w:t xml:space="preserve">(PD) </w:t>
      </w:r>
      <w:r w:rsidRPr="00FF785E">
        <w:t xml:space="preserve">response as well as the PK response to </w:t>
      </w:r>
      <w:r>
        <w:t>an</w:t>
      </w:r>
      <w:r w:rsidRPr="00FF785E">
        <w:t xml:space="preserve"> intr</w:t>
      </w:r>
      <w:r w:rsidR="005D61DA">
        <w:t xml:space="preserve">amuscular injection of </w:t>
      </w:r>
      <w:proofErr w:type="spellStart"/>
      <w:r w:rsidR="005D61DA">
        <w:t>Dysport</w:t>
      </w:r>
      <w:proofErr w:type="spellEnd"/>
      <w:r w:rsidR="005D61DA">
        <w:t>.</w:t>
      </w:r>
    </w:p>
    <w:p w14:paraId="1CC87BBB" w14:textId="77777777" w:rsidR="0079120C" w:rsidRPr="004F6BFB" w:rsidRDefault="0079120C" w:rsidP="0079120C">
      <w:pPr>
        <w:pStyle w:val="Heading5"/>
      </w:pPr>
      <w:bookmarkStart w:id="41" w:name="_bookmark27"/>
      <w:bookmarkStart w:id="42" w:name="_bookmark30"/>
      <w:bookmarkStart w:id="43" w:name="_bookmark31"/>
      <w:bookmarkEnd w:id="41"/>
      <w:bookmarkEnd w:id="42"/>
      <w:bookmarkEnd w:id="43"/>
      <w:r>
        <w:t>Pharmacodynamics</w:t>
      </w:r>
    </w:p>
    <w:p w14:paraId="523F688F" w14:textId="77777777" w:rsidR="0079120C" w:rsidRDefault="0079120C" w:rsidP="005D61DA">
      <w:r w:rsidRPr="00FF785E">
        <w:t xml:space="preserve">No new </w:t>
      </w:r>
      <w:r>
        <w:t>PD</w:t>
      </w:r>
      <w:r w:rsidRPr="00FF785E">
        <w:t xml:space="preserve"> data </w:t>
      </w:r>
      <w:r w:rsidR="005D61DA">
        <w:t>were submitted.</w:t>
      </w:r>
    </w:p>
    <w:p w14:paraId="659B158E" w14:textId="77777777" w:rsidR="0079120C" w:rsidRPr="00FF785E" w:rsidRDefault="0079120C" w:rsidP="005D61DA">
      <w:r w:rsidRPr="00FF785E">
        <w:t xml:space="preserve">The proposed PI includes the following </w:t>
      </w:r>
      <w:r>
        <w:t xml:space="preserve">a </w:t>
      </w:r>
      <w:r w:rsidRPr="00FF785E">
        <w:t xml:space="preserve">summary, which appears to be accurate and resembles </w:t>
      </w:r>
      <w:r>
        <w:t xml:space="preserve">standard </w:t>
      </w:r>
      <w:r w:rsidRPr="00FF785E">
        <w:t xml:space="preserve">descriptions of the mechanism of action of botulinum </w:t>
      </w:r>
      <w:r w:rsidR="005D61DA">
        <w:t>toxin in the literature</w:t>
      </w:r>
      <w:r>
        <w:t>:</w:t>
      </w:r>
    </w:p>
    <w:p w14:paraId="0996E01A" w14:textId="6ECC66C1" w:rsidR="0079120C" w:rsidRPr="00363FE3" w:rsidRDefault="005D61DA" w:rsidP="005D61DA">
      <w:pPr>
        <w:ind w:left="720"/>
      </w:pPr>
      <w:r>
        <w:t>‘</w:t>
      </w:r>
      <w:r w:rsidR="0079120C" w:rsidRPr="00363FE3">
        <w:t>Clostridium botulinum type A toxin-haemagglutinin complex blocks peripheral cholinergic transmission at the neuromuscular junction by a presynaptic action at a site proximal to the release of acetylcholine. The toxin acts within the nerve ending to antagonise those events that are triggered by Ca</w:t>
      </w:r>
      <w:r w:rsidR="0079120C" w:rsidRPr="00F3091E">
        <w:rPr>
          <w:vertAlign w:val="superscript"/>
        </w:rPr>
        <w:t>2+</w:t>
      </w:r>
      <w:r w:rsidR="0079120C" w:rsidRPr="00363FE3">
        <w:t xml:space="preserve"> </w:t>
      </w:r>
      <w:r w:rsidR="00261FC8">
        <w:t xml:space="preserve">[calcium ions] </w:t>
      </w:r>
      <w:r w:rsidR="0079120C" w:rsidRPr="00363FE3">
        <w:t>which culminate in transmitter release. It does not affect postganglionic cholinergic transmission or postganglionic sympathetic transmission.</w:t>
      </w:r>
    </w:p>
    <w:p w14:paraId="7C1FEE0E" w14:textId="77777777" w:rsidR="0079120C" w:rsidRPr="00363FE3" w:rsidRDefault="0079120C" w:rsidP="005D61DA">
      <w:pPr>
        <w:ind w:left="720"/>
      </w:pPr>
      <w:r w:rsidRPr="00363FE3">
        <w:t>The action of toxin involves an initial binding step whereby the toxin attaches rapidly and avidly to the presynaptic nerve membrane. Secondly, there is an internalisation step in which toxin crosses the presynaptic membrane, without causing onset of paralysis. Finally the toxin inhibits the release of acetylcholine by disrupting the Ca</w:t>
      </w:r>
      <w:r w:rsidRPr="00F3091E">
        <w:rPr>
          <w:vertAlign w:val="superscript"/>
        </w:rPr>
        <w:t>2+</w:t>
      </w:r>
      <w:r w:rsidRPr="00363FE3">
        <w:t xml:space="preserve"> mediated acetylcholine release mechanism, thereby diminishing the endplate p</w:t>
      </w:r>
      <w:r w:rsidR="005D61DA">
        <w:t>otential and causing paralysis.</w:t>
      </w:r>
    </w:p>
    <w:p w14:paraId="6FFC7A28" w14:textId="5A359096" w:rsidR="0079120C" w:rsidRPr="002E4057" w:rsidRDefault="0079120C" w:rsidP="005D61DA">
      <w:pPr>
        <w:ind w:left="720"/>
      </w:pPr>
      <w:r w:rsidRPr="00363FE3">
        <w:t>Recovery of impulse transmission occurs gradually as new nerve terminals sprout and contact is made with the postsynaptic motor en</w:t>
      </w:r>
      <w:r w:rsidR="00AA3037">
        <w:t>dplate, a process which takes 6 - </w:t>
      </w:r>
      <w:r w:rsidRPr="00363FE3">
        <w:t>8 weeks in the experimental animal</w:t>
      </w:r>
      <w:r w:rsidR="005D61DA">
        <w:t>.’</w:t>
      </w:r>
    </w:p>
    <w:p w14:paraId="43E74019" w14:textId="77777777" w:rsidR="0079120C" w:rsidRDefault="0079120C" w:rsidP="005D61DA">
      <w:r>
        <w:t>This summary appears to be</w:t>
      </w:r>
      <w:r w:rsidR="005D61DA">
        <w:t xml:space="preserve"> accurate, and it reflects the </w:t>
      </w:r>
      <w:r>
        <w:t>current knowledge of the</w:t>
      </w:r>
      <w:r w:rsidR="005D61DA">
        <w:t xml:space="preserve"> PD actions of botulinum toxin.</w:t>
      </w:r>
    </w:p>
    <w:p w14:paraId="1992EAC2" w14:textId="77777777" w:rsidR="0079120C" w:rsidRPr="00B927CB" w:rsidRDefault="0079120C" w:rsidP="00F533BF">
      <w:pPr>
        <w:pStyle w:val="Heading5"/>
      </w:pPr>
      <w:bookmarkStart w:id="44" w:name="_bookmark29"/>
      <w:bookmarkStart w:id="45" w:name="_Ref66112075"/>
      <w:bookmarkEnd w:id="44"/>
      <w:r>
        <w:t>D</w:t>
      </w:r>
      <w:r w:rsidRPr="00682D83">
        <w:t>osage selection information for the pivotal stud</w:t>
      </w:r>
      <w:r>
        <w:t>y</w:t>
      </w:r>
      <w:bookmarkEnd w:id="45"/>
    </w:p>
    <w:p w14:paraId="3444C8A1" w14:textId="0A26ECBF" w:rsidR="0079120C" w:rsidRDefault="0079120C" w:rsidP="00F533BF">
      <w:pPr>
        <w:keepNext/>
      </w:pPr>
      <w:r>
        <w:t xml:space="preserve">For the </w:t>
      </w:r>
      <w:r w:rsidRPr="001461F4">
        <w:t>proposed paediatric upper limb indication</w:t>
      </w:r>
      <w:r w:rsidR="007955F5">
        <w:t>,</w:t>
      </w:r>
      <w:r>
        <w:t xml:space="preserve"> the doses chosen were broadly based </w:t>
      </w:r>
      <w:r w:rsidR="005D61DA">
        <w:t>upon:</w:t>
      </w:r>
    </w:p>
    <w:p w14:paraId="4DD18C26" w14:textId="77777777" w:rsidR="0079120C" w:rsidRPr="001461F4" w:rsidRDefault="0079120C" w:rsidP="001461F4">
      <w:pPr>
        <w:pStyle w:val="ListBullet"/>
      </w:pPr>
      <w:r w:rsidRPr="001461F4">
        <w:t>previous experience with botulinum toxins in the tre</w:t>
      </w:r>
      <w:r w:rsidR="005D61DA" w:rsidRPr="001461F4">
        <w:t>atment of spasticity and on the doses used in similar contexts;</w:t>
      </w:r>
    </w:p>
    <w:p w14:paraId="7AFA6877" w14:textId="77777777" w:rsidR="0079120C" w:rsidRPr="001461F4" w:rsidRDefault="0079120C" w:rsidP="001461F4">
      <w:pPr>
        <w:pStyle w:val="ListBullet"/>
      </w:pPr>
      <w:r w:rsidRPr="001461F4">
        <w:t xml:space="preserve">treatment of adult upper limb spasticity with </w:t>
      </w:r>
      <w:proofErr w:type="spellStart"/>
      <w:r w:rsidR="005D61DA" w:rsidRPr="001461F4">
        <w:t>Dysport</w:t>
      </w:r>
      <w:proofErr w:type="spellEnd"/>
      <w:r w:rsidR="005D61DA" w:rsidRPr="001461F4">
        <w:t xml:space="preserve"> and other preparations;</w:t>
      </w:r>
    </w:p>
    <w:p w14:paraId="73869530" w14:textId="77777777" w:rsidR="0079120C" w:rsidRPr="001461F4" w:rsidRDefault="0079120C" w:rsidP="001461F4">
      <w:pPr>
        <w:pStyle w:val="ListBullet"/>
      </w:pPr>
      <w:r w:rsidRPr="001461F4">
        <w:t xml:space="preserve">treatment of paediatric lower limb spasticity with </w:t>
      </w:r>
      <w:proofErr w:type="spellStart"/>
      <w:r w:rsidRPr="001461F4">
        <w:t>Dysport</w:t>
      </w:r>
      <w:proofErr w:type="spellEnd"/>
      <w:r w:rsidRPr="001461F4">
        <w:t xml:space="preserve"> an</w:t>
      </w:r>
      <w:r w:rsidR="001461F4" w:rsidRPr="001461F4">
        <w:t>d other preparations;</w:t>
      </w:r>
    </w:p>
    <w:p w14:paraId="0D164B4D" w14:textId="6D8DB1D4" w:rsidR="0079120C" w:rsidRDefault="0079120C" w:rsidP="001461F4">
      <w:pPr>
        <w:pStyle w:val="ListBullet"/>
      </w:pPr>
      <w:r w:rsidRPr="001461F4">
        <w:t xml:space="preserve">the treatment of </w:t>
      </w:r>
      <w:r w:rsidR="00AA3037">
        <w:t>PUL</w:t>
      </w:r>
      <w:r w:rsidRPr="001461F4">
        <w:t xml:space="preserve"> spasticity</w:t>
      </w:r>
      <w:r w:rsidR="001461F4" w:rsidRPr="001461F4">
        <w:t xml:space="preserve"> with non-</w:t>
      </w:r>
      <w:proofErr w:type="spellStart"/>
      <w:r w:rsidR="001461F4" w:rsidRPr="001461F4">
        <w:t>Dysport</w:t>
      </w:r>
      <w:proofErr w:type="spellEnd"/>
      <w:r w:rsidR="001461F4" w:rsidRPr="001461F4">
        <w:t xml:space="preserve"> preparations.</w:t>
      </w:r>
    </w:p>
    <w:p w14:paraId="2B537C00" w14:textId="4FDCD2CD" w:rsidR="0079120C" w:rsidRPr="001461F4" w:rsidRDefault="0079120C" w:rsidP="001461F4">
      <w:r w:rsidRPr="001461F4">
        <w:t>While not making overall conclusions on dose finding/dosage selection for the pivotal study</w:t>
      </w:r>
      <w:r w:rsidR="007955F5">
        <w:t xml:space="preserve"> (Study Y</w:t>
      </w:r>
      <w:r w:rsidR="007955F5">
        <w:noBreakHyphen/>
        <w:t>52</w:t>
      </w:r>
      <w:r w:rsidR="007955F5">
        <w:noBreakHyphen/>
      </w:r>
      <w:r w:rsidR="007955F5" w:rsidRPr="008E6BA1">
        <w:t>52120-153</w:t>
      </w:r>
      <w:r w:rsidR="007955F5">
        <w:t>)</w:t>
      </w:r>
      <w:r w:rsidRPr="001461F4">
        <w:t xml:space="preserve"> per se, the </w:t>
      </w:r>
      <w:r w:rsidR="00AA3037">
        <w:t>clinical evaluator</w:t>
      </w:r>
      <w:r w:rsidRPr="001461F4">
        <w:t xml:space="preserve"> did make comments regarding dosing</w:t>
      </w:r>
      <w:r w:rsidR="001461F4">
        <w:t xml:space="preserve"> instructions, paediatric and </w:t>
      </w:r>
      <w:r w:rsidRPr="001461F4">
        <w:t xml:space="preserve">adult, in the </w:t>
      </w:r>
      <w:r w:rsidR="00F3091E">
        <w:t>proposed</w:t>
      </w:r>
      <w:r w:rsidRPr="001461F4">
        <w:t xml:space="preserve"> PI. In particular, the </w:t>
      </w:r>
      <w:r w:rsidR="00AA3037">
        <w:t>clinical evaluator</w:t>
      </w:r>
      <w:r w:rsidRPr="001461F4">
        <w:t xml:space="preserve"> stated th</w:t>
      </w:r>
      <w:r w:rsidR="001461F4">
        <w:t xml:space="preserve">at that there is a discrepancy </w:t>
      </w:r>
      <w:r w:rsidRPr="001461F4">
        <w:t>between the total session maximum recommended for</w:t>
      </w:r>
      <w:r w:rsidR="001461F4">
        <w:t xml:space="preserve"> adults (21.4 U/kg for a 70 kg </w:t>
      </w:r>
      <w:r w:rsidRPr="001461F4">
        <w:t>patient) and the total session maximum reco</w:t>
      </w:r>
      <w:r w:rsidR="001461F4">
        <w:t>mmended for children (30 U/kg);</w:t>
      </w:r>
    </w:p>
    <w:p w14:paraId="3CC8DA3A" w14:textId="6E04CE13" w:rsidR="0079120C" w:rsidRPr="008554C5" w:rsidRDefault="00AA3037" w:rsidP="001461F4">
      <w:r>
        <w:t>The s</w:t>
      </w:r>
      <w:r w:rsidR="0079120C" w:rsidRPr="008554C5">
        <w:t xml:space="preserve">ponsor </w:t>
      </w:r>
      <w:r w:rsidR="001461F4" w:rsidRPr="008554C5">
        <w:t>was</w:t>
      </w:r>
      <w:r w:rsidR="0079120C" w:rsidRPr="008554C5">
        <w:t xml:space="preserve"> asked to comment on this discrepancy</w:t>
      </w:r>
      <w:r w:rsidR="001461F4" w:rsidRPr="008554C5">
        <w:t>, and the response can be summarised as:</w:t>
      </w:r>
    </w:p>
    <w:p w14:paraId="0068AED4" w14:textId="780591F5" w:rsidR="001461F4" w:rsidRDefault="001461F4" w:rsidP="001461F4">
      <w:pPr>
        <w:pStyle w:val="ListBullet"/>
      </w:pPr>
      <w:r>
        <w:t>For many body weights, the upper limit of 1000 U in total will l</w:t>
      </w:r>
      <w:r w:rsidR="00AA3037">
        <w:t>ead to a dose less than 30 U/kg.</w:t>
      </w:r>
    </w:p>
    <w:p w14:paraId="4B07A0A1" w14:textId="5B581861" w:rsidR="001461F4" w:rsidRDefault="001461F4" w:rsidP="001461F4">
      <w:pPr>
        <w:pStyle w:val="ListBullet"/>
      </w:pPr>
      <w:r>
        <w:t>Total body doses of 30 U/kg have already been approved for the treatment of paediatric lower limb spasticity, so the proposed new indication of PUL spasticity merely involves administration of a previously approved total dos</w:t>
      </w:r>
      <w:r w:rsidR="00AA3037">
        <w:t>e over a larger number of sites.</w:t>
      </w:r>
    </w:p>
    <w:p w14:paraId="7EAA215E" w14:textId="248E9228" w:rsidR="001461F4" w:rsidRDefault="001461F4" w:rsidP="001461F4">
      <w:pPr>
        <w:pStyle w:val="ListBullet"/>
      </w:pPr>
      <w:r>
        <w:t xml:space="preserve">For subjects receiving treatment to the PUL only, a lower maximum limit applies, </w:t>
      </w:r>
      <w:r w:rsidR="00AA3037">
        <w:t>16 </w:t>
      </w:r>
      <w:r w:rsidRPr="00BC46FD">
        <w:t>U/kg or 640 U</w:t>
      </w:r>
      <w:r>
        <w:t>, which is com</w:t>
      </w:r>
      <w:r w:rsidR="00AA3037">
        <w:t>parable to the adult experience.</w:t>
      </w:r>
    </w:p>
    <w:p w14:paraId="5FCF1C6A" w14:textId="77777777" w:rsidR="001461F4" w:rsidRDefault="001461F4" w:rsidP="001461F4">
      <w:pPr>
        <w:pStyle w:val="ListBullet"/>
      </w:pPr>
      <w:r>
        <w:t>Safety data from the pivotal PUL study did not raise new concerns, and no consistent dose trends were observed.</w:t>
      </w:r>
    </w:p>
    <w:p w14:paraId="278205B8" w14:textId="3C72A499" w:rsidR="001461F4" w:rsidRPr="001461F4" w:rsidRDefault="001461F4" w:rsidP="001461F4">
      <w:r w:rsidRPr="001461F4">
        <w:t>Against these points, it should be noted that the number of paediatric subjects exposed to 30 U/kg under trial</w:t>
      </w:r>
      <w:r w:rsidR="00AA3037">
        <w:t xml:space="preserve"> conditions has been very low. </w:t>
      </w:r>
      <w:r w:rsidRPr="001461F4">
        <w:t>In the initial dose cycle of the pivotal study, subjects received a maximum of 16 U/kg, and in subsequent cycles only a very small proportion received additional lower limb treatment (the precise number of subjects exposed to the maximum dose of 3</w:t>
      </w:r>
      <w:r w:rsidR="00AA3037">
        <w:t>0 U/kg is not mentioned in the s</w:t>
      </w:r>
      <w:r w:rsidRPr="001461F4">
        <w:t>ponsor’s response).</w:t>
      </w:r>
      <w:r w:rsidR="00B42267">
        <w:rPr>
          <w:rStyle w:val="FootnoteReference"/>
        </w:rPr>
        <w:footnoteReference w:id="4"/>
      </w:r>
    </w:p>
    <w:p w14:paraId="42223D4F" w14:textId="22DCF15A" w:rsidR="0079120C" w:rsidRPr="0079120C" w:rsidRDefault="001461F4" w:rsidP="0079120C">
      <w:pPr>
        <w:rPr>
          <w:lang w:eastAsia="ja-JP"/>
        </w:rPr>
      </w:pPr>
      <w:r w:rsidRPr="001461F4">
        <w:t xml:space="preserve">In general, the </w:t>
      </w:r>
      <w:r w:rsidR="00AA3037">
        <w:t>clinical evaluator</w:t>
      </w:r>
      <w:r w:rsidRPr="001461F4">
        <w:t xml:space="preserve"> believes that doses with minimal trial experience should not be approved for registration, but the total body dose proposed with the extension of indications to the PUL indication </w:t>
      </w:r>
      <w:r w:rsidRPr="001461F4">
        <w:rPr>
          <w:i/>
        </w:rPr>
        <w:t xml:space="preserve">has already been approved with the </w:t>
      </w:r>
      <w:r w:rsidR="00AA3037">
        <w:rPr>
          <w:i/>
        </w:rPr>
        <w:t>paediatric lower limb</w:t>
      </w:r>
      <w:r w:rsidRPr="001461F4">
        <w:rPr>
          <w:i/>
        </w:rPr>
        <w:t xml:space="preserve"> indication.</w:t>
      </w:r>
      <w:r w:rsidRPr="001461F4">
        <w:t xml:space="preserve"> Subjects receiving the maximum proposed total body dose (30 U/kg) would be receiving that dose, in part, for the previously approved </w:t>
      </w:r>
      <w:r w:rsidR="00AA3037">
        <w:t>paediatric lower limb</w:t>
      </w:r>
      <w:r w:rsidRPr="001461F4">
        <w:t xml:space="preserve"> indication, with only a portion of the dose administered for the new PUL indication. In conjunction with the broadly reassuring post-marketing experience with this total body dose and the acceptable safety data from the pivotal PUL study, </w:t>
      </w:r>
      <w:r w:rsidR="00AA3037">
        <w:t>which showed no consistent dose</w:t>
      </w:r>
      <w:r w:rsidR="00AA3037">
        <w:noBreakHyphen/>
      </w:r>
      <w:r w:rsidRPr="001461F4">
        <w:t>related</w:t>
      </w:r>
      <w:r w:rsidR="00AA3037">
        <w:t xml:space="preserve"> trends in adverse events, the s</w:t>
      </w:r>
      <w:r w:rsidRPr="001461F4">
        <w:t>ponsor’s arguments are considered sufficient to justify approval of the pro</w:t>
      </w:r>
      <w:r>
        <w:t>posed dose range.</w:t>
      </w:r>
    </w:p>
    <w:p w14:paraId="3696D4E5" w14:textId="77777777" w:rsidR="0079120C" w:rsidRDefault="0079120C" w:rsidP="00080F3F">
      <w:pPr>
        <w:pStyle w:val="Heading4"/>
      </w:pPr>
      <w:r>
        <w:t>Efficacy</w:t>
      </w:r>
    </w:p>
    <w:p w14:paraId="53721CD2" w14:textId="77777777" w:rsidR="00080F3F" w:rsidRDefault="00080F3F" w:rsidP="008E6BA1">
      <w:pPr>
        <w:pStyle w:val="Heading5"/>
      </w:pPr>
      <w:r>
        <w:t>T</w:t>
      </w:r>
      <w:r w:rsidRPr="00635462">
        <w:t>reatment of upper limb spasticity in children</w:t>
      </w:r>
    </w:p>
    <w:p w14:paraId="5BC89701" w14:textId="58E9200F" w:rsidR="008E6BA1" w:rsidRPr="008E6BA1" w:rsidRDefault="008E6BA1" w:rsidP="008E6BA1">
      <w:pPr>
        <w:pStyle w:val="Heading6"/>
      </w:pPr>
      <w:r w:rsidRPr="008E6BA1">
        <w:t>Study Y-52-52120-153</w:t>
      </w:r>
      <w:r w:rsidR="00F36E3C">
        <w:t xml:space="preserve"> (pivotal study</w:t>
      </w:r>
      <w:r w:rsidR="008B7EB6">
        <w:t>)</w:t>
      </w:r>
    </w:p>
    <w:p w14:paraId="3955DEBA" w14:textId="77777777" w:rsidR="00080F3F" w:rsidRPr="00C93DC8" w:rsidRDefault="00080F3F" w:rsidP="00AA3037">
      <w:r w:rsidRPr="00AA3037">
        <w:t>Study</w:t>
      </w:r>
      <w:r w:rsidR="00333AAB" w:rsidRPr="00AA3037">
        <w:rPr>
          <w:spacing w:val="-4"/>
        </w:rPr>
        <w:t xml:space="preserve"> Y-52-52120</w:t>
      </w:r>
      <w:r w:rsidR="001461F4" w:rsidRPr="00AA3037">
        <w:rPr>
          <w:spacing w:val="-4"/>
        </w:rPr>
        <w:t>-153</w:t>
      </w:r>
      <w:r w:rsidR="008E6BA1" w:rsidRPr="00AA3037">
        <w:rPr>
          <w:spacing w:val="-4"/>
        </w:rPr>
        <w:t xml:space="preserve"> was</w:t>
      </w:r>
      <w:r w:rsidR="008E6BA1">
        <w:rPr>
          <w:spacing w:val="-4"/>
        </w:rPr>
        <w:t xml:space="preserve"> a</w:t>
      </w:r>
      <w:r w:rsidR="008E6BA1">
        <w:t xml:space="preserve"> P</w:t>
      </w:r>
      <w:r w:rsidRPr="00C93DC8">
        <w:t>hase III, multicentre, double</w:t>
      </w:r>
      <w:r w:rsidR="00333AAB">
        <w:t xml:space="preserve"> blind, prospective, </w:t>
      </w:r>
      <w:r w:rsidRPr="00C93DC8">
        <w:t>randomised, contro</w:t>
      </w:r>
      <w:r w:rsidR="00333AAB">
        <w:t xml:space="preserve">lled, multiple treatment study </w:t>
      </w:r>
      <w:r w:rsidRPr="00C93DC8">
        <w:t>assessing and comparing</w:t>
      </w:r>
      <w:r>
        <w:t>,</w:t>
      </w:r>
      <w:r w:rsidR="008E6BA1">
        <w:t xml:space="preserve"> the </w:t>
      </w:r>
      <w:r w:rsidRPr="00C93DC8">
        <w:t>effica</w:t>
      </w:r>
      <w:r w:rsidR="00333AAB">
        <w:t xml:space="preserve">cy and safety of </w:t>
      </w:r>
      <w:r w:rsidRPr="00C93DC8">
        <w:t xml:space="preserve">three doses of </w:t>
      </w:r>
      <w:proofErr w:type="spellStart"/>
      <w:r w:rsidR="00333AAB">
        <w:t>Dysport</w:t>
      </w:r>
      <w:proofErr w:type="spellEnd"/>
      <w:r w:rsidR="00333AAB">
        <w:t xml:space="preserve"> (2 U/kg, 8 U/kg and 16 </w:t>
      </w:r>
      <w:r w:rsidRPr="00C93DC8">
        <w:t>U/kg) in the treatment of upper limb spa</w:t>
      </w:r>
      <w:r w:rsidR="00333AAB">
        <w:t>sticity in children with cerebral palsy.</w:t>
      </w:r>
    </w:p>
    <w:p w14:paraId="2E4E457C" w14:textId="2B7931A9" w:rsidR="00080F3F" w:rsidRDefault="00080F3F" w:rsidP="00AA3037">
      <w:r w:rsidRPr="008E6BA1">
        <w:t>The primary objective</w:t>
      </w:r>
      <w:r w:rsidR="008E6BA1" w:rsidRPr="008E6BA1">
        <w:t xml:space="preserve"> was t</w:t>
      </w:r>
      <w:r w:rsidRPr="008E6BA1">
        <w:t>o</w:t>
      </w:r>
      <w:r>
        <w:t xml:space="preserve"> assess the efficacy of two </w:t>
      </w:r>
      <w:r w:rsidR="00AA3037">
        <w:t xml:space="preserve">doses of </w:t>
      </w:r>
      <w:proofErr w:type="spellStart"/>
      <w:r w:rsidR="00AA3037">
        <w:t>Dysport</w:t>
      </w:r>
      <w:proofErr w:type="spellEnd"/>
      <w:r w:rsidR="00AA3037">
        <w:t xml:space="preserve"> (8 U/kg and 16 </w:t>
      </w:r>
      <w:r>
        <w:t xml:space="preserve">U/kg) compared to </w:t>
      </w:r>
      <w:proofErr w:type="spellStart"/>
      <w:r>
        <w:t>Dysport</w:t>
      </w:r>
      <w:proofErr w:type="spellEnd"/>
      <w:r>
        <w:t xml:space="preserve"> 2 U/kg used in the treatment of upper limb spasticity in children with cerebral palsy following</w:t>
      </w:r>
      <w:r w:rsidR="008E6BA1">
        <w:rPr>
          <w:b/>
        </w:rPr>
        <w:t xml:space="preserve"> </w:t>
      </w:r>
      <w:r>
        <w:t>a single treatment.</w:t>
      </w:r>
      <w:r w:rsidR="008554C5">
        <w:t xml:space="preserve"> The low dose group (2 U/kg) served as a control group because the inclusion of a placebo group was considered unethical.</w:t>
      </w:r>
    </w:p>
    <w:p w14:paraId="05300E97" w14:textId="77777777" w:rsidR="007D7E1F" w:rsidRDefault="00D55B16" w:rsidP="008E6BA1">
      <w:r w:rsidRPr="008B7EB6">
        <w:rPr>
          <w:i/>
        </w:rPr>
        <w:t>Study treatments</w:t>
      </w:r>
      <w:r w:rsidR="007D7E1F">
        <w:rPr>
          <w:i/>
        </w:rPr>
        <w:t>:</w:t>
      </w:r>
    </w:p>
    <w:p w14:paraId="3EF9DD25" w14:textId="3031E522" w:rsidR="00080F3F" w:rsidRDefault="00080F3F" w:rsidP="008E6BA1">
      <w:r>
        <w:t>Subjects (n</w:t>
      </w:r>
      <w:r w:rsidR="00AA3037">
        <w:t xml:space="preserve"> </w:t>
      </w:r>
      <w:r>
        <w:t>=</w:t>
      </w:r>
      <w:r w:rsidR="00AA3037">
        <w:t xml:space="preserve"> </w:t>
      </w:r>
      <w:r>
        <w:t xml:space="preserve">210) were randomised with equal likelihood (1:1:1) to one of the three study doses: 2 U/kg, 8 U/kg and 16 U/kg. One muscle group was designated the </w:t>
      </w:r>
      <w:r w:rsidRPr="00AA3037">
        <w:t>primary targeted muscle group (PTMG</w:t>
      </w:r>
      <w:r>
        <w:t xml:space="preserve">, which was either the elbow flexors or wrist flexors) in the </w:t>
      </w:r>
      <w:r w:rsidRPr="00AA3037">
        <w:t>study upper limb (SUL</w:t>
      </w:r>
      <w:r>
        <w:t>). Additional muscles in the same limb could be also treated, but other limbs could not be treated f</w:t>
      </w:r>
      <w:r w:rsidR="00746469">
        <w:t>or</w:t>
      </w:r>
      <w:r>
        <w:t xml:space="preserve"> </w:t>
      </w:r>
      <w:r w:rsidR="00FA2527">
        <w:t xml:space="preserve">Treatment Cycle 1 </w:t>
      </w:r>
      <w:r w:rsidR="00746469" w:rsidRPr="00746469">
        <w:t>(</w:t>
      </w:r>
      <w:r w:rsidRPr="00746469">
        <w:t>TC1</w:t>
      </w:r>
      <w:r w:rsidR="00746469" w:rsidRPr="00746469">
        <w:t>)</w:t>
      </w:r>
      <w:r>
        <w:t xml:space="preserve">. The total dose for the </w:t>
      </w:r>
      <w:r w:rsidRPr="00214460">
        <w:t>SUL</w:t>
      </w:r>
      <w:r>
        <w:t xml:space="preserve"> could not </w:t>
      </w:r>
      <w:r w:rsidRPr="00746469">
        <w:t>exceed 320 U in the 8 U/kg group and 640 U</w:t>
      </w:r>
      <w:r w:rsidR="008554C5" w:rsidRPr="00746469">
        <w:t xml:space="preserve"> in</w:t>
      </w:r>
      <w:r w:rsidR="008554C5">
        <w:t xml:space="preserve"> the 16 U/kg group.</w:t>
      </w:r>
    </w:p>
    <w:p w14:paraId="12A5BA7F" w14:textId="58C640F4" w:rsidR="008554C5" w:rsidRDefault="008554C5" w:rsidP="00746469">
      <w:r>
        <w:t>Distribution of the dose was complex, and was describe</w:t>
      </w:r>
      <w:r w:rsidR="00746469">
        <w:t xml:space="preserve">d in the clinical study report </w:t>
      </w:r>
      <w:r>
        <w:t>as follows:</w:t>
      </w:r>
    </w:p>
    <w:p w14:paraId="7AF05CBF" w14:textId="1AE86CC2" w:rsidR="008554C5" w:rsidRPr="00605EC8" w:rsidRDefault="008554C5" w:rsidP="008554C5">
      <w:pPr>
        <w:ind w:left="720"/>
      </w:pPr>
      <w:r>
        <w:t>‘</w:t>
      </w:r>
      <w:r w:rsidR="00746469">
        <w:t>In TC</w:t>
      </w:r>
      <w:r w:rsidRPr="00605EC8">
        <w:t xml:space="preserve">1, before performing the injection, the investigator selected the study limb and the PTMG (either the elbow flexors or wrist flexors). Subjects received </w:t>
      </w:r>
      <w:proofErr w:type="spellStart"/>
      <w:r w:rsidRPr="00605EC8">
        <w:t>Dysport</w:t>
      </w:r>
      <w:proofErr w:type="spellEnd"/>
      <w:r w:rsidRPr="00605EC8">
        <w:t xml:space="preserve"> 2 U/kg, 8 U/kg or </w:t>
      </w:r>
      <w:r w:rsidR="00746469">
        <w:t>16 U/kg in the study limb in TC</w:t>
      </w:r>
      <w:r w:rsidRPr="00605EC8">
        <w:t>1 in a fixed total volume of 1.6 mL (regardless of dose). The dose for each subject was calculated according to the subject’s body weight, up to a maximum body weight of 40 kg (even if the subject weighed more than 40 kg, and therefore, a maximum total dose of 320 U in the 8 U/kg group and 640 U in the 16 U/kg group).</w:t>
      </w:r>
    </w:p>
    <w:p w14:paraId="7222F795" w14:textId="4CB2AE63" w:rsidR="008554C5" w:rsidRDefault="008554C5" w:rsidP="008554C5">
      <w:pPr>
        <w:ind w:left="720"/>
      </w:pPr>
      <w:r w:rsidRPr="00605EC8">
        <w:t>The entire volume for injection (1.6 mL) was injected and divided between the PTMG (elbow flexors or wrist flexors) and a num</w:t>
      </w:r>
      <w:r w:rsidR="005E04A1">
        <w:t>ber of additional muscles (non</w:t>
      </w:r>
      <w:r w:rsidR="005E04A1">
        <w:noBreakHyphen/>
      </w:r>
      <w:r w:rsidRPr="00605EC8">
        <w:t>PTMG muscles) selected by the investigator accordin</w:t>
      </w:r>
      <w:r w:rsidR="00746469">
        <w:t xml:space="preserve">g to the disease presentation (see </w:t>
      </w:r>
      <w:r w:rsidR="00746469">
        <w:fldChar w:fldCharType="begin"/>
      </w:r>
      <w:r w:rsidR="00746469">
        <w:instrText xml:space="preserve"> REF _Ref66104760 \h </w:instrText>
      </w:r>
      <w:r w:rsidR="00746469">
        <w:fldChar w:fldCharType="separate"/>
      </w:r>
      <w:r w:rsidR="00F533BF" w:rsidRPr="00D65801">
        <w:t xml:space="preserve">Table </w:t>
      </w:r>
      <w:r w:rsidR="00F533BF">
        <w:rPr>
          <w:noProof/>
        </w:rPr>
        <w:t>3</w:t>
      </w:r>
      <w:r w:rsidR="00746469">
        <w:fldChar w:fldCharType="end"/>
      </w:r>
      <w:r w:rsidRPr="00605EC8">
        <w:t>). The total injected volume (1.6 mL) could not exceed, per muscle, that specified in the dosing paradigm.</w:t>
      </w:r>
      <w:r>
        <w:t>’</w:t>
      </w:r>
    </w:p>
    <w:p w14:paraId="4280F40F" w14:textId="6F8A4D8C" w:rsidR="008554C5" w:rsidRPr="00D65801" w:rsidRDefault="008554C5" w:rsidP="008554C5">
      <w:pPr>
        <w:pStyle w:val="TableTitle"/>
      </w:pPr>
      <w:bookmarkStart w:id="46" w:name="_Ref66104760"/>
      <w:bookmarkStart w:id="47" w:name="_Toc32393995"/>
      <w:r w:rsidRPr="00D65801">
        <w:t xml:space="preserve">Table </w:t>
      </w:r>
      <w:fldSimple w:instr=" SEQ Table \* ARABIC ">
        <w:r w:rsidR="00F533BF">
          <w:rPr>
            <w:noProof/>
          </w:rPr>
          <w:t>3</w:t>
        </w:r>
      </w:fldSimple>
      <w:bookmarkEnd w:id="46"/>
      <w:r w:rsidR="00746469">
        <w:t>:</w:t>
      </w:r>
      <w:r w:rsidRPr="00D65801">
        <w:t xml:space="preserve"> </w:t>
      </w:r>
      <w:r w:rsidR="007D7E1F" w:rsidRPr="008E6BA1">
        <w:t>Study Y-52-52120-153</w:t>
      </w:r>
      <w:r w:rsidR="007D7E1F">
        <w:t xml:space="preserve"> </w:t>
      </w:r>
      <w:r w:rsidRPr="00D65801">
        <w:t xml:space="preserve">Maximum </w:t>
      </w:r>
      <w:r w:rsidR="00746469" w:rsidRPr="00D65801">
        <w:t>injected volumes, dose per muscle and number of injection sites in the study upper limb f</w:t>
      </w:r>
      <w:r w:rsidRPr="00D65801">
        <w:t xml:space="preserve">or </w:t>
      </w:r>
      <w:bookmarkEnd w:id="47"/>
      <w:r w:rsidR="005E04A1">
        <w:t xml:space="preserve">Treatment Cycle </w:t>
      </w:r>
      <w:r w:rsidR="00746469">
        <w:t>1</w:t>
      </w:r>
    </w:p>
    <w:p w14:paraId="681FB0B3" w14:textId="77777777" w:rsidR="008554C5" w:rsidRDefault="008554C5" w:rsidP="0075687E">
      <w:r>
        <w:rPr>
          <w:noProof/>
          <w:lang w:eastAsia="en-AU"/>
        </w:rPr>
        <w:drawing>
          <wp:inline distT="0" distB="0" distL="0" distR="0" wp14:anchorId="5EBC182D" wp14:editId="669F08E3">
            <wp:extent cx="5245100" cy="4073322"/>
            <wp:effectExtent l="0" t="0" r="0" b="3810"/>
            <wp:docPr id="3" name="Picture 3" descr="Maximum injected volumes, dose per muscle and number of injection sites in the study upper limb for treatment cyc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9522" cy="4076756"/>
                    </a:xfrm>
                    <a:prstGeom prst="rect">
                      <a:avLst/>
                    </a:prstGeom>
                    <a:noFill/>
                    <a:ln>
                      <a:noFill/>
                    </a:ln>
                  </pic:spPr>
                </pic:pic>
              </a:graphicData>
            </a:graphic>
          </wp:inline>
        </w:drawing>
      </w:r>
    </w:p>
    <w:p w14:paraId="22CAA749" w14:textId="29E5CD64" w:rsidR="008554C5" w:rsidRPr="00240615" w:rsidRDefault="008554C5" w:rsidP="00746469">
      <w:r w:rsidRPr="00240615">
        <w:t xml:space="preserve">After a minimum treatment interval of 16 weeks from TC1, subjects received treatment at 8 U/kg (maximum = </w:t>
      </w:r>
      <w:r w:rsidRPr="00746469">
        <w:t>320</w:t>
      </w:r>
      <w:r w:rsidR="00746469" w:rsidRPr="00746469">
        <w:t xml:space="preserve"> </w:t>
      </w:r>
      <w:r w:rsidRPr="00746469">
        <w:t>U) or 16 U/kg (maximum</w:t>
      </w:r>
      <w:r w:rsidR="00746469" w:rsidRPr="00746469">
        <w:t xml:space="preserve"> </w:t>
      </w:r>
      <w:r w:rsidRPr="00746469">
        <w:t>=</w:t>
      </w:r>
      <w:r w:rsidR="00746469" w:rsidRPr="00746469">
        <w:t xml:space="preserve"> </w:t>
      </w:r>
      <w:r w:rsidRPr="00746469">
        <w:t>640</w:t>
      </w:r>
      <w:r w:rsidR="00746469" w:rsidRPr="00746469">
        <w:t xml:space="preserve"> </w:t>
      </w:r>
      <w:r w:rsidRPr="00746469">
        <w:t xml:space="preserve">U) for up to </w:t>
      </w:r>
      <w:r w:rsidRPr="00240615">
        <w:t>3 subseque</w:t>
      </w:r>
      <w:r w:rsidR="00746469">
        <w:t>nt treatment cycles (TC2, TC3 and TC</w:t>
      </w:r>
      <w:r w:rsidRPr="00240615">
        <w:t>4), over the course of a minimum of one year, and a maximum of on</w:t>
      </w:r>
      <w:r w:rsidR="00746469">
        <w:t>e year and 9 months.</w:t>
      </w:r>
    </w:p>
    <w:p w14:paraId="53805058" w14:textId="2775D82F" w:rsidR="008554C5" w:rsidRPr="008554C5" w:rsidRDefault="008554C5" w:rsidP="00746469">
      <w:r>
        <w:t xml:space="preserve">For </w:t>
      </w:r>
      <w:r w:rsidR="00746469">
        <w:t>TC2, TC3 and TC4</w:t>
      </w:r>
      <w:r>
        <w:t xml:space="preserve">, </w:t>
      </w:r>
      <w:r w:rsidR="00746469">
        <w:t>injection into the lower limbs</w:t>
      </w:r>
      <w:r>
        <w:t xml:space="preserve"> and the non-study upper limb </w:t>
      </w:r>
      <w:r w:rsidR="005E04A1">
        <w:t>(non</w:t>
      </w:r>
      <w:r w:rsidR="005E04A1">
        <w:noBreakHyphen/>
      </w:r>
      <w:r w:rsidRPr="00746469">
        <w:t>SUL)</w:t>
      </w:r>
      <w:r>
        <w:t xml:space="preserve"> were allowed at the same time as the SUL was injected. Investigators could change the PTMG for later cycles, if the </w:t>
      </w:r>
      <w:r w:rsidR="00746469">
        <w:t>Modified Ashworth Scale (</w:t>
      </w:r>
      <w:r>
        <w:t>MAS</w:t>
      </w:r>
      <w:r w:rsidR="00746469">
        <w:t>)</w:t>
      </w:r>
      <w:r>
        <w:t xml:space="preserve"> score in those muscles was higher (worse) than the original PTMG. The maximum dose when both upper limbs were injected was 21 U/kg (up to </w:t>
      </w:r>
      <w:r w:rsidRPr="00746469">
        <w:t>840 U),</w:t>
      </w:r>
      <w:r>
        <w:t xml:space="preserve"> and when both upper limbs and </w:t>
      </w:r>
      <w:r w:rsidR="00746469">
        <w:t>lower limbs</w:t>
      </w:r>
      <w:r>
        <w:t xml:space="preserve"> were injected, the maximum permitted total dose was 30 U/kg (up to </w:t>
      </w:r>
      <w:r w:rsidRPr="00746469">
        <w:t>1,000 U).</w:t>
      </w:r>
      <w:r>
        <w:t xml:space="preserve"> Dosing in the lower limb was as per the approved doses in the PI.</w:t>
      </w:r>
    </w:p>
    <w:p w14:paraId="7C971BFA" w14:textId="5AB9B041" w:rsidR="008554C5" w:rsidRDefault="00746469" w:rsidP="00746469">
      <w:r>
        <w:t xml:space="preserve">The Delegate requested that </w:t>
      </w:r>
      <w:r w:rsidR="008554C5" w:rsidRPr="00F06A5E">
        <w:t>t</w:t>
      </w:r>
      <w:r w:rsidR="00F06A5E" w:rsidRPr="00F06A5E">
        <w:t>he sponsor should provide</w:t>
      </w:r>
      <w:r w:rsidR="008554C5" w:rsidRPr="00F06A5E">
        <w:t xml:space="preserve"> justification for injecting the </w:t>
      </w:r>
      <w:r>
        <w:t>lower limbs</w:t>
      </w:r>
      <w:r w:rsidR="00F06A5E">
        <w:t xml:space="preserve"> at TC2, TC3 and</w:t>
      </w:r>
      <w:r w:rsidR="00F06A5E" w:rsidRPr="00F06A5E">
        <w:t xml:space="preserve"> TC4 at all, given </w:t>
      </w:r>
      <w:r>
        <w:t>the proposed indication (see ‘</w:t>
      </w:r>
      <w:r w:rsidRPr="00746469">
        <w:rPr>
          <w:i/>
        </w:rPr>
        <w:fldChar w:fldCharType="begin"/>
      </w:r>
      <w:r w:rsidRPr="00746469">
        <w:rPr>
          <w:i/>
        </w:rPr>
        <w:instrText xml:space="preserve"> REF _Ref66105074 \h </w:instrText>
      </w:r>
      <w:r>
        <w:rPr>
          <w:i/>
        </w:rPr>
        <w:instrText xml:space="preserve"> \* MERGEFORMAT </w:instrText>
      </w:r>
      <w:r w:rsidRPr="00746469">
        <w:rPr>
          <w:i/>
        </w:rPr>
      </w:r>
      <w:r w:rsidRPr="00746469">
        <w:rPr>
          <w:i/>
        </w:rPr>
        <w:fldChar w:fldCharType="separate"/>
      </w:r>
      <w:r w:rsidR="00F533BF" w:rsidRPr="00F533BF">
        <w:rPr>
          <w:i/>
        </w:rPr>
        <w:t>Questions for the sponsor</w:t>
      </w:r>
      <w:r w:rsidRPr="00746469">
        <w:rPr>
          <w:i/>
        </w:rPr>
        <w:fldChar w:fldCharType="end"/>
      </w:r>
      <w:r>
        <w:t>’ section, below)</w:t>
      </w:r>
    </w:p>
    <w:p w14:paraId="79BF286F" w14:textId="77777777" w:rsidR="007D7E1F" w:rsidRDefault="00F06A5E" w:rsidP="00F06A5E">
      <w:r w:rsidRPr="008B7EB6">
        <w:rPr>
          <w:i/>
        </w:rPr>
        <w:t>Randomisation and blinding methods</w:t>
      </w:r>
      <w:r w:rsidR="007D7E1F">
        <w:t>:</w:t>
      </w:r>
    </w:p>
    <w:p w14:paraId="00F0A24F" w14:textId="0E554EDD" w:rsidR="00F06A5E" w:rsidRDefault="00F06A5E" w:rsidP="00F06A5E">
      <w:r>
        <w:t>Subjects were randomised with equal probability to each of the three treatment groups. Randomisation was stratified by age range (2 to 9 years and 10 to 17 years) and by whether or not subjects had previously been exposed to botulinum toxin.</w:t>
      </w:r>
    </w:p>
    <w:p w14:paraId="2A8F6A65" w14:textId="0ED13DF9" w:rsidR="00F06A5E" w:rsidRDefault="00F06A5E" w:rsidP="00F06A5E">
      <w:r>
        <w:t>Blinding was attempted by having the allocated dose made up by a pharmacist not otherwise involved in the study, using different blinded dilutions to achieve the same volumes of available</w:t>
      </w:r>
      <w:r w:rsidR="00746469">
        <w:t xml:space="preserve"> study treatment for each dose.</w:t>
      </w:r>
    </w:p>
    <w:p w14:paraId="5AF17949" w14:textId="1F35D16E" w:rsidR="00F06A5E" w:rsidRPr="00F06A5E" w:rsidRDefault="00746469" w:rsidP="00F06A5E">
      <w:r>
        <w:t>For TC2, TC3 and</w:t>
      </w:r>
      <w:r w:rsidR="00F06A5E">
        <w:t xml:space="preserve"> TC4, subjects were planned to receive </w:t>
      </w:r>
      <w:proofErr w:type="spellStart"/>
      <w:r w:rsidR="00F06A5E">
        <w:t>Dysport</w:t>
      </w:r>
      <w:proofErr w:type="spellEnd"/>
      <w:r w:rsidR="00F06A5E">
        <w:t xml:space="preserve"> 8 U/kg or 16 U/kg according to the treatment allocation by the Interactive Response System (IRS) and remained double blind throughout the study. </w:t>
      </w:r>
      <w:r>
        <w:t>In response to first round evaluation questions, t</w:t>
      </w:r>
      <w:r w:rsidR="00F06A5E">
        <w:t xml:space="preserve">he sponsor confirmed that although </w:t>
      </w:r>
      <w:r>
        <w:t>there were dose adaptations, that is, reduction or increase in dose</w:t>
      </w:r>
      <w:r w:rsidR="00F06A5E">
        <w:t xml:space="preserve"> based on the investigator’s judgement regarding efficacy/safety of </w:t>
      </w:r>
      <w:proofErr w:type="spellStart"/>
      <w:r w:rsidR="00F06A5E">
        <w:t>Dysport</w:t>
      </w:r>
      <w:proofErr w:type="spellEnd"/>
      <w:r w:rsidR="00F06A5E">
        <w:t>, blinding was maintained.</w:t>
      </w:r>
    </w:p>
    <w:p w14:paraId="7CC6CDA1" w14:textId="719B00A1" w:rsidR="00080F3F" w:rsidRPr="008B7EB6" w:rsidRDefault="008E6BA1" w:rsidP="008B7EB6">
      <w:pPr>
        <w:rPr>
          <w:i/>
        </w:rPr>
      </w:pPr>
      <w:r w:rsidRPr="008B7EB6">
        <w:rPr>
          <w:i/>
        </w:rPr>
        <w:t>Efficacy parameters</w:t>
      </w:r>
      <w:r w:rsidR="00080F3F" w:rsidRPr="008B7EB6">
        <w:rPr>
          <w:i/>
        </w:rPr>
        <w:t>/endpoints</w:t>
      </w:r>
      <w:r w:rsidR="007D7E1F">
        <w:rPr>
          <w:i/>
        </w:rPr>
        <w:t>:</w:t>
      </w:r>
    </w:p>
    <w:p w14:paraId="71CB956B" w14:textId="6DAD34E2" w:rsidR="00080F3F" w:rsidRDefault="008554C5" w:rsidP="008E6BA1">
      <w:r w:rsidRPr="0084427C">
        <w:t xml:space="preserve">The primary endpoint </w:t>
      </w:r>
      <w:r w:rsidR="00080F3F" w:rsidRPr="0084427C">
        <w:t xml:space="preserve">was </w:t>
      </w:r>
      <w:r w:rsidR="00080F3F">
        <w:t xml:space="preserve">the mean change by </w:t>
      </w:r>
      <w:r w:rsidR="0084427C">
        <w:t>analysis of covariance</w:t>
      </w:r>
      <w:r w:rsidR="00080F3F">
        <w:t xml:space="preserve"> in </w:t>
      </w:r>
      <w:r w:rsidR="00080F3F" w:rsidRPr="0084427C">
        <w:t>MAS</w:t>
      </w:r>
      <w:r w:rsidR="008E6BA1">
        <w:t xml:space="preserve"> score from </w:t>
      </w:r>
      <w:r w:rsidR="0084427C">
        <w:t>B</w:t>
      </w:r>
      <w:r w:rsidR="00080F3F">
        <w:t>aseline to We</w:t>
      </w:r>
      <w:r w:rsidR="0084427C">
        <w:t>ek 6 of TC</w:t>
      </w:r>
      <w:r w:rsidR="008E6BA1">
        <w:t>1 in the PTMG.</w:t>
      </w:r>
      <w:r w:rsidR="0084427C">
        <w:rPr>
          <w:rStyle w:val="FootnoteReference"/>
        </w:rPr>
        <w:footnoteReference w:id="5"/>
      </w:r>
    </w:p>
    <w:p w14:paraId="38AE5C27" w14:textId="437CD764" w:rsidR="00080F3F" w:rsidRDefault="008554C5" w:rsidP="00080F3F">
      <w:pPr>
        <w:autoSpaceDE w:val="0"/>
        <w:autoSpaceDN w:val="0"/>
        <w:adjustRightInd w:val="0"/>
        <w:jc w:val="both"/>
      </w:pPr>
      <w:r w:rsidRPr="0084427C">
        <w:t xml:space="preserve">The </w:t>
      </w:r>
      <w:r w:rsidR="0084427C" w:rsidRPr="0084427C">
        <w:t xml:space="preserve">key secondary </w:t>
      </w:r>
      <w:r w:rsidR="0084427C">
        <w:t xml:space="preserve">endpoint </w:t>
      </w:r>
      <w:r w:rsidR="0084427C" w:rsidRPr="00BE5DF3">
        <w:t xml:space="preserve">consisted </w:t>
      </w:r>
      <w:r w:rsidR="00080F3F" w:rsidRPr="00BE5DF3">
        <w:t>of:</w:t>
      </w:r>
    </w:p>
    <w:p w14:paraId="5972E35D" w14:textId="3F2B26D3" w:rsidR="001B3D19" w:rsidRPr="0084427C" w:rsidRDefault="007D7E1F" w:rsidP="0084427C">
      <w:pPr>
        <w:pStyle w:val="ListBullet"/>
      </w:pPr>
      <w:r>
        <w:t xml:space="preserve">the mean </w:t>
      </w:r>
      <w:r w:rsidR="00080F3F">
        <w:t xml:space="preserve">Physician Global Assessment </w:t>
      </w:r>
      <w:r w:rsidR="00080F3F" w:rsidRPr="0084427C">
        <w:t>(PGA</w:t>
      </w:r>
      <w:r w:rsidR="00FA2527">
        <w:t>) score at T</w:t>
      </w:r>
      <w:r w:rsidR="0084427C" w:rsidRPr="0084427C">
        <w:t>reatment 1, Week 6.</w:t>
      </w:r>
      <w:r w:rsidR="0084427C" w:rsidRPr="0084427C">
        <w:rPr>
          <w:rStyle w:val="FootnoteReference"/>
        </w:rPr>
        <w:footnoteReference w:id="6"/>
      </w:r>
      <w:r w:rsidR="0084427C" w:rsidRPr="0084427C">
        <w:t xml:space="preserve"> The clinical evaluator commented that </w:t>
      </w:r>
      <w:r w:rsidR="001B3D19" w:rsidRPr="0084427C">
        <w:t>PGA is a straightforward and appropriate approach that has been widely used in many clinical studies.</w:t>
      </w:r>
    </w:p>
    <w:p w14:paraId="2789492B" w14:textId="214FCB32" w:rsidR="001B3D19" w:rsidRPr="0084427C" w:rsidRDefault="0084427C" w:rsidP="0075687E">
      <w:pPr>
        <w:pageBreakBefore/>
        <w:autoSpaceDE w:val="0"/>
        <w:autoSpaceDN w:val="0"/>
        <w:spacing w:before="0" w:after="0" w:line="240" w:lineRule="auto"/>
        <w:jc w:val="both"/>
      </w:pPr>
      <w:r w:rsidRPr="0084427C">
        <w:t xml:space="preserve">The other secondary endpoint </w:t>
      </w:r>
      <w:r w:rsidR="001B3D19" w:rsidRPr="0084427C">
        <w:t>was based on:</w:t>
      </w:r>
    </w:p>
    <w:p w14:paraId="3F9BD189" w14:textId="37A97ECF" w:rsidR="001B3D19" w:rsidRDefault="001B3D19" w:rsidP="0084427C">
      <w:pPr>
        <w:pStyle w:val="ListBullet"/>
      </w:pPr>
      <w:r w:rsidRPr="0084427C">
        <w:t>Goal Attainment Scale (GAS) score</w:t>
      </w:r>
      <w:r w:rsidR="00FA2527">
        <w:t xml:space="preserve"> at T</w:t>
      </w:r>
      <w:r>
        <w:t>reatment 1, Week 6.</w:t>
      </w:r>
      <w:r w:rsidR="0084427C">
        <w:rPr>
          <w:rStyle w:val="FootnoteReference"/>
        </w:rPr>
        <w:footnoteReference w:id="7"/>
      </w:r>
    </w:p>
    <w:p w14:paraId="57C23DE6" w14:textId="496B6AB0" w:rsidR="001B3D19" w:rsidRDefault="001B3D19" w:rsidP="0075687E">
      <w:r>
        <w:t>T</w:t>
      </w:r>
      <w:r w:rsidRPr="002E4057">
        <w:t>ertiary</w:t>
      </w:r>
      <w:r w:rsidR="00067F2A">
        <w:t xml:space="preserve"> endpoints</w:t>
      </w:r>
      <w:r>
        <w:t>:</w:t>
      </w:r>
    </w:p>
    <w:p w14:paraId="46ED034A" w14:textId="704A6052" w:rsidR="001B3D19" w:rsidRPr="00067F2A" w:rsidRDefault="001B3D19" w:rsidP="0075687E">
      <w:pPr>
        <w:pStyle w:val="ListBullet"/>
      </w:pPr>
      <w:r w:rsidRPr="00067F2A">
        <w:t xml:space="preserve">Passive </w:t>
      </w:r>
      <w:r w:rsidR="00067F2A" w:rsidRPr="00067F2A">
        <w:t>range of motion (PROM</w:t>
      </w:r>
      <w:r w:rsidRPr="00067F2A">
        <w:t xml:space="preserve">). In subjects who had shoulder muscle injections, the PROM in flexion and abduction was measured. In subjects who had forearm pronator injections, the PROM in forearm supination </w:t>
      </w:r>
      <w:r w:rsidR="00067F2A">
        <w:t>was measured.</w:t>
      </w:r>
    </w:p>
    <w:p w14:paraId="0DA4131D" w14:textId="5018E61C" w:rsidR="001B3D19" w:rsidRPr="00067F2A" w:rsidRDefault="001B3D19" w:rsidP="00067F2A">
      <w:pPr>
        <w:pStyle w:val="ListBullet"/>
      </w:pPr>
      <w:r w:rsidRPr="00067F2A">
        <w:t>Assisting Hand Assessment (AHA)</w:t>
      </w:r>
      <w:r w:rsidR="00067F2A">
        <w:t>.</w:t>
      </w:r>
      <w:r w:rsidR="00067F2A">
        <w:rPr>
          <w:rStyle w:val="FootnoteReference"/>
        </w:rPr>
        <w:footnoteReference w:id="8"/>
      </w:r>
    </w:p>
    <w:p w14:paraId="5D79EBD2" w14:textId="10877868" w:rsidR="001B3D19" w:rsidRPr="00067F2A" w:rsidRDefault="001B3D19" w:rsidP="00067F2A">
      <w:pPr>
        <w:pStyle w:val="ListBullet"/>
      </w:pPr>
      <w:r w:rsidRPr="00067F2A">
        <w:t>Faces Pain Scale</w:t>
      </w:r>
      <w:r w:rsidR="00067F2A">
        <w:t xml:space="preserve"> (FPS).</w:t>
      </w:r>
      <w:r w:rsidR="00067F2A">
        <w:rPr>
          <w:rStyle w:val="FootnoteReference"/>
        </w:rPr>
        <w:footnoteReference w:id="9"/>
      </w:r>
    </w:p>
    <w:p w14:paraId="07B52800" w14:textId="22EF1CC7" w:rsidR="00067F2A" w:rsidRPr="00067F2A" w:rsidRDefault="001B3D19" w:rsidP="00067F2A">
      <w:pPr>
        <w:pStyle w:val="ListBullet"/>
      </w:pPr>
      <w:r w:rsidRPr="00067F2A">
        <w:t>Paediatric Quality of Life Inventory (</w:t>
      </w:r>
      <w:proofErr w:type="spellStart"/>
      <w:r w:rsidRPr="00067F2A">
        <w:t>PedsQL</w:t>
      </w:r>
      <w:proofErr w:type="spellEnd"/>
      <w:r w:rsidRPr="00067F2A">
        <w:t>).</w:t>
      </w:r>
      <w:r w:rsidR="00FA2527">
        <w:rPr>
          <w:rStyle w:val="FootnoteReference"/>
        </w:rPr>
        <w:footnoteReference w:id="10"/>
      </w:r>
    </w:p>
    <w:p w14:paraId="6B9DBF1C" w14:textId="6B5AD1F8" w:rsidR="00080F3F" w:rsidRPr="00067F2A" w:rsidRDefault="001B3D19" w:rsidP="00067F2A">
      <w:pPr>
        <w:pStyle w:val="ListBullet"/>
      </w:pPr>
      <w:r w:rsidRPr="00067F2A">
        <w:t xml:space="preserve">Parents or guardians also completed </w:t>
      </w:r>
      <w:r w:rsidR="00067F2A" w:rsidRPr="00067F2A">
        <w:t>the condition-</w:t>
      </w:r>
      <w:r w:rsidR="00067F2A">
        <w:t xml:space="preserve">specific </w:t>
      </w:r>
      <w:r w:rsidR="00067F2A" w:rsidRPr="00067F2A">
        <w:t xml:space="preserve">module </w:t>
      </w:r>
      <w:r w:rsidRPr="00067F2A">
        <w:t xml:space="preserve">of the </w:t>
      </w:r>
      <w:proofErr w:type="spellStart"/>
      <w:r w:rsidRPr="00067F2A">
        <w:t>PedsQL</w:t>
      </w:r>
      <w:proofErr w:type="spellEnd"/>
      <w:r w:rsidRPr="00067F2A">
        <w:t xml:space="preserve"> in cerebral palsy (in countries where a tr</w:t>
      </w:r>
      <w:r w:rsidR="00067F2A" w:rsidRPr="00067F2A">
        <w:t>anslation was available).</w:t>
      </w:r>
    </w:p>
    <w:p w14:paraId="1DB9875D" w14:textId="6340E611" w:rsidR="00080F3F" w:rsidRPr="008B7EB6" w:rsidRDefault="008554C5" w:rsidP="008B7EB6">
      <w:pPr>
        <w:rPr>
          <w:i/>
        </w:rPr>
      </w:pPr>
      <w:r w:rsidRPr="008B7EB6">
        <w:rPr>
          <w:i/>
        </w:rPr>
        <w:t>Results</w:t>
      </w:r>
      <w:r w:rsidR="007D7E1F">
        <w:rPr>
          <w:i/>
        </w:rPr>
        <w:t>:</w:t>
      </w:r>
    </w:p>
    <w:p w14:paraId="718ACDBA" w14:textId="512511CD" w:rsidR="00080F3F" w:rsidRDefault="00080F3F" w:rsidP="008554C5">
      <w:r>
        <w:t xml:space="preserve">The study was positive for its primary endpoint, change in </w:t>
      </w:r>
      <w:r w:rsidR="00FA2527">
        <w:t>MAS</w:t>
      </w:r>
      <w:r>
        <w:t xml:space="preserve"> by Week 6. Across all three-treatment groups, there were improvements in the MAS from Baseline to Weeks 6 and 16</w:t>
      </w:r>
      <w:r w:rsidR="00FA2527">
        <w:t xml:space="preserve"> (see </w:t>
      </w:r>
      <w:r w:rsidR="00FA2527">
        <w:fldChar w:fldCharType="begin"/>
      </w:r>
      <w:r w:rsidR="00FA2527">
        <w:instrText xml:space="preserve"> REF _Ref66106962 \h </w:instrText>
      </w:r>
      <w:r w:rsidR="00FA2527">
        <w:fldChar w:fldCharType="separate"/>
      </w:r>
      <w:r w:rsidR="00F533BF" w:rsidRPr="00022C57">
        <w:t xml:space="preserve">Table </w:t>
      </w:r>
      <w:r w:rsidR="00F533BF">
        <w:rPr>
          <w:noProof/>
        </w:rPr>
        <w:t>4</w:t>
      </w:r>
      <w:r w:rsidR="00FA2527">
        <w:fldChar w:fldCharType="end"/>
      </w:r>
      <w:r w:rsidR="00FA2527">
        <w:t>)</w:t>
      </w:r>
      <w:r>
        <w:t>. At the primary time</w:t>
      </w:r>
      <w:r w:rsidR="00CF7B35">
        <w:t xml:space="preserve"> </w:t>
      </w:r>
      <w:r>
        <w:t>point (Week 6), the magnitude of the improvement was statistically significantly greater, in favo</w:t>
      </w:r>
      <w:r w:rsidR="00FA2527">
        <w:t xml:space="preserve">ur of the </w:t>
      </w:r>
      <w:proofErr w:type="spellStart"/>
      <w:r w:rsidR="00FA2527">
        <w:t>Dysport</w:t>
      </w:r>
      <w:proofErr w:type="spellEnd"/>
      <w:r w:rsidR="00FA2527">
        <w:t xml:space="preserve"> 8 U/kg and 16 </w:t>
      </w:r>
      <w:r>
        <w:t xml:space="preserve">U/kg groups, compared with the low-dose control group. A significant benefit for the two higher doses was also observed at the </w:t>
      </w:r>
      <w:r w:rsidR="008554C5">
        <w:t>non-primary time</w:t>
      </w:r>
      <w:r w:rsidR="00CF7B35">
        <w:t xml:space="preserve"> </w:t>
      </w:r>
      <w:r w:rsidR="008554C5">
        <w:t>point, Week 16.</w:t>
      </w:r>
    </w:p>
    <w:p w14:paraId="75035BB1" w14:textId="6AE29E23" w:rsidR="00080F3F" w:rsidRPr="00022C57" w:rsidRDefault="00080F3F" w:rsidP="008554C5">
      <w:pPr>
        <w:pStyle w:val="TableTitle"/>
      </w:pPr>
      <w:bookmarkStart w:id="48" w:name="_Ref66106962"/>
      <w:r w:rsidRPr="00022C57">
        <w:t xml:space="preserve">Table </w:t>
      </w:r>
      <w:fldSimple w:instr=" SEQ Table \* ARABIC ">
        <w:r w:rsidR="00F533BF">
          <w:rPr>
            <w:noProof/>
          </w:rPr>
          <w:t>4</w:t>
        </w:r>
      </w:fldSimple>
      <w:bookmarkEnd w:id="48"/>
      <w:r w:rsidR="008C4D0E">
        <w:t>:</w:t>
      </w:r>
      <w:r w:rsidR="00FA2527">
        <w:t xml:space="preserve"> Modified Ashworth Scale s</w:t>
      </w:r>
      <w:r w:rsidRPr="00022C57">
        <w:t xml:space="preserve">core in the </w:t>
      </w:r>
      <w:r w:rsidR="00FA2527" w:rsidRPr="00AA3037">
        <w:t>primary targeted muscle group</w:t>
      </w:r>
      <w:r w:rsidRPr="00022C57">
        <w:t xml:space="preserve"> at Week 6 and Week 16 (Treatment Cycle 1) by </w:t>
      </w:r>
      <w:r w:rsidR="00FA2527" w:rsidRPr="00022C57">
        <w:t>study limb dose</w:t>
      </w:r>
      <w:r w:rsidRPr="00022C57">
        <w:t xml:space="preserve"> – </w:t>
      </w:r>
      <w:r w:rsidR="00FA2527">
        <w:t>modified intent to treat p</w:t>
      </w:r>
      <w:r w:rsidRPr="00022C57">
        <w:t>opulation</w:t>
      </w:r>
    </w:p>
    <w:p w14:paraId="1CE190B6" w14:textId="739EBCF7" w:rsidR="00080F3F" w:rsidRDefault="008C4D0E" w:rsidP="008554C5">
      <w:r>
        <w:rPr>
          <w:noProof/>
          <w:lang w:eastAsia="en-AU"/>
        </w:rPr>
        <w:drawing>
          <wp:inline distT="0" distB="0" distL="0" distR="0" wp14:anchorId="2BC44452" wp14:editId="216A6B15">
            <wp:extent cx="5090795" cy="2818973"/>
            <wp:effectExtent l="0" t="0" r="0" b="635"/>
            <wp:docPr id="4" name="Picture 4" descr="Modified Ashworth Scale score in the primary targeted muscle group at Week 6 and Week 16 (Treatment Cycle 1) by study limb dose – modified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092" cy="2860668"/>
                    </a:xfrm>
                    <a:prstGeom prst="rect">
                      <a:avLst/>
                    </a:prstGeom>
                  </pic:spPr>
                </pic:pic>
              </a:graphicData>
            </a:graphic>
          </wp:inline>
        </w:drawing>
      </w:r>
    </w:p>
    <w:p w14:paraId="49D7547B" w14:textId="2B9E2FC1" w:rsidR="008C4D0E" w:rsidRDefault="008C4D0E" w:rsidP="008C4D0E">
      <w:pPr>
        <w:pStyle w:val="TableDescription"/>
      </w:pPr>
      <w:r>
        <w:t xml:space="preserve">ANCOVA = analysis of covariance, BTX = botulinum toxin, CI = confidence interval, LS = least squares, </w:t>
      </w:r>
      <w:proofErr w:type="spellStart"/>
      <w:r>
        <w:t>mITT</w:t>
      </w:r>
      <w:proofErr w:type="spellEnd"/>
      <w:r>
        <w:t xml:space="preserve"> = modified intent to treat, N = number of subjects, n = number with data, SD = standard deviation, SE = standard error, U = </w:t>
      </w:r>
      <w:proofErr w:type="spellStart"/>
      <w:r>
        <w:t>Ipsen</w:t>
      </w:r>
      <w:proofErr w:type="spellEnd"/>
      <w:r>
        <w:t xml:space="preserve"> units.</w:t>
      </w:r>
    </w:p>
    <w:p w14:paraId="0214C835" w14:textId="2FDD7242" w:rsidR="00FA2527" w:rsidRDefault="00FA2527" w:rsidP="00FA2527">
      <w:pPr>
        <w:pStyle w:val="TableDescription"/>
      </w:pPr>
      <w:r>
        <w:t xml:space="preserve">The </w:t>
      </w:r>
      <w:proofErr w:type="spellStart"/>
      <w:r>
        <w:t>mITT</w:t>
      </w:r>
      <w:proofErr w:type="spellEnd"/>
      <w:r>
        <w:t xml:space="preserve"> population included all randomised subjects who received at least one injection of the study treatment and had a MAS score in the PTMG assessed both at Baseline and at TC1, Week 6. The </w:t>
      </w:r>
      <w:proofErr w:type="spellStart"/>
      <w:r>
        <w:t>mITT</w:t>
      </w:r>
      <w:proofErr w:type="spellEnd"/>
      <w:r>
        <w:t xml:space="preserve"> population was analysed using the dose group as randomised, regardless of treatment actually received.</w:t>
      </w:r>
    </w:p>
    <w:p w14:paraId="14794FE4" w14:textId="00686E07" w:rsidR="00080F3F" w:rsidRPr="008554C5" w:rsidRDefault="00080F3F" w:rsidP="008554C5">
      <w:pPr>
        <w:pStyle w:val="FigureTitle"/>
      </w:pPr>
      <w:r w:rsidRPr="001A37E2">
        <w:t xml:space="preserve">Figure </w:t>
      </w:r>
      <w:fldSimple w:instr=" SEQ Figure \* ARABIC ">
        <w:r w:rsidR="00F533BF">
          <w:rPr>
            <w:noProof/>
          </w:rPr>
          <w:t>1</w:t>
        </w:r>
      </w:fldSimple>
      <w:r w:rsidR="008C4D0E">
        <w:t>:</w:t>
      </w:r>
      <w:r w:rsidRPr="001A37E2">
        <w:t xml:space="preserve"> </w:t>
      </w:r>
      <w:r w:rsidR="000222F0">
        <w:t xml:space="preserve">Change in </w:t>
      </w:r>
      <w:r w:rsidRPr="001A37E2">
        <w:t xml:space="preserve">Modified Ashworth Scale in the </w:t>
      </w:r>
      <w:r w:rsidR="008C4D0E">
        <w:t>primary targeted muscle group</w:t>
      </w:r>
      <w:r w:rsidRPr="001A37E2">
        <w:t xml:space="preserve"> at Treatment Cycle 1, by </w:t>
      </w:r>
      <w:r w:rsidR="008C4D0E" w:rsidRPr="001A37E2">
        <w:t>study limb dose</w:t>
      </w:r>
      <w:r w:rsidRPr="001A37E2">
        <w:t xml:space="preserve"> </w:t>
      </w:r>
      <w:r w:rsidR="008C4D0E">
        <w:t>–</w:t>
      </w:r>
      <w:r w:rsidRPr="001A37E2">
        <w:t xml:space="preserve"> </w:t>
      </w:r>
      <w:r w:rsidR="008C4D0E">
        <w:t>modified intent to treat population</w:t>
      </w:r>
    </w:p>
    <w:p w14:paraId="0CFA9308" w14:textId="77777777" w:rsidR="00080F3F" w:rsidRDefault="00080F3F" w:rsidP="0075687E">
      <w:r>
        <w:rPr>
          <w:noProof/>
          <w:lang w:eastAsia="en-AU"/>
        </w:rPr>
        <w:drawing>
          <wp:inline distT="0" distB="0" distL="0" distR="0" wp14:anchorId="6BF32DED" wp14:editId="6B5963D4">
            <wp:extent cx="5218871" cy="3540557"/>
            <wp:effectExtent l="0" t="0" r="1270" b="3175"/>
            <wp:docPr id="8" name="Picture 8" descr="Change in Modified Ashworth Scale in the primary targeted muscle group at Treatment Cycle 1, by study limb dose – modified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38440" cy="3553833"/>
                    </a:xfrm>
                    <a:prstGeom prst="rect">
                      <a:avLst/>
                    </a:prstGeom>
                    <a:noFill/>
                    <a:ln>
                      <a:noFill/>
                    </a:ln>
                  </pic:spPr>
                </pic:pic>
              </a:graphicData>
            </a:graphic>
          </wp:inline>
        </w:drawing>
      </w:r>
    </w:p>
    <w:p w14:paraId="03E74C0A" w14:textId="7DA0ADA4" w:rsidR="00080F3F" w:rsidRDefault="00080F3F" w:rsidP="0075687E">
      <w:pPr>
        <w:pageBreakBefore/>
      </w:pPr>
      <w:r>
        <w:t>The estimated magnitude of the difference in MAS at Week 6, relative to the low-dose control group, was modest: 0.4 points for the 8 U/kg group and 0.7 points for the 16 U/kg group, from a scale spanning from 0 to 5 (assigning sequential numbers to each possible MAS score). This is a small benefit relative to the improvement that was observed in the low-dose control group (1.6 points), even though the low dose was considered to be sub therapeutic and was used in place of a placebo group.</w:t>
      </w:r>
    </w:p>
    <w:p w14:paraId="18327374" w14:textId="26342186" w:rsidR="000222F0" w:rsidRDefault="000222F0" w:rsidP="008554C5">
      <w:r>
        <w:t>I</w:t>
      </w:r>
      <w:r w:rsidRPr="000222F0">
        <w:t>mprovements in the MAS were generally maintained ov</w:t>
      </w:r>
      <w:r>
        <w:t>er subsequent treatment cycles (</w:t>
      </w:r>
      <w:r w:rsidRPr="000222F0">
        <w:t>TC2,</w:t>
      </w:r>
      <w:r>
        <w:t xml:space="preserve"> TC3 and TC4).</w:t>
      </w:r>
    </w:p>
    <w:p w14:paraId="5B5CBC9A" w14:textId="75B0A19D" w:rsidR="00080F3F" w:rsidRDefault="00080F3F" w:rsidP="008554C5">
      <w:r>
        <w:t xml:space="preserve">Other analyses of the MAS, including responder analyses, were also favourable. An improvement of one MAS grade </w:t>
      </w:r>
      <w:r w:rsidRPr="007C5983">
        <w:t xml:space="preserve">in the </w:t>
      </w:r>
      <w:r w:rsidR="000222F0">
        <w:t>PTMG</w:t>
      </w:r>
      <w:r>
        <w:t xml:space="preserve"> was significantly more likely to be achieved with the higher doses than in the low dose control group. </w:t>
      </w:r>
      <w:r w:rsidRPr="007C5983">
        <w:t>At Weeks 6 and 16, the proportion of responders reaching this threshold was higher in the 8 U/kg and 16 U/k</w:t>
      </w:r>
      <w:r>
        <w:t xml:space="preserve">g groups, compared with the low </w:t>
      </w:r>
      <w:r w:rsidRPr="007C5983">
        <w:t xml:space="preserve">dose control group; this difference was significant for the </w:t>
      </w:r>
      <w:proofErr w:type="spellStart"/>
      <w:r w:rsidRPr="007C5983">
        <w:t>Dysport</w:t>
      </w:r>
      <w:proofErr w:type="spellEnd"/>
      <w:r w:rsidRPr="007C5983">
        <w:t xml:space="preserve"> 16 U/kg group at Week 16, but the model did not converge to allow a significance estimate at Week 6. The attributable response rate for the 16</w:t>
      </w:r>
      <w:r w:rsidR="000222F0">
        <w:t xml:space="preserve"> U/kg dose group was 22% (83.8% to </w:t>
      </w:r>
      <w:r w:rsidRPr="007C5983">
        <w:t>61.8%), with an odds ratio of 3.3 (p</w:t>
      </w:r>
      <w:r w:rsidR="000222F0">
        <w:t xml:space="preserve"> </w:t>
      </w:r>
      <w:r w:rsidRPr="007C5983">
        <w:t>=</w:t>
      </w:r>
      <w:r w:rsidR="000222F0">
        <w:t xml:space="preserve"> </w:t>
      </w:r>
      <w:r w:rsidRPr="007C5983">
        <w:t xml:space="preserve">0.0052). This is </w:t>
      </w:r>
      <w:r w:rsidR="00FB497D">
        <w:t>consistent with a number needed to </w:t>
      </w:r>
      <w:r w:rsidR="005E04A1">
        <w:t>treat (NTT) of about five</w:t>
      </w:r>
      <w:r>
        <w:t xml:space="preserve"> subjects.</w:t>
      </w:r>
      <w:r w:rsidR="000222F0">
        <w:rPr>
          <w:rStyle w:val="FootnoteReference"/>
        </w:rPr>
        <w:footnoteReference w:id="11"/>
      </w:r>
    </w:p>
    <w:p w14:paraId="54E291AD" w14:textId="408551A5" w:rsidR="000222F0" w:rsidRDefault="000222F0" w:rsidP="000222F0">
      <w:pPr>
        <w:pStyle w:val="TableTitle"/>
      </w:pPr>
      <w:r w:rsidRPr="00DB5A89">
        <w:t xml:space="preserve">Table </w:t>
      </w:r>
      <w:fldSimple w:instr=" SEQ Table \* ARABIC ">
        <w:r w:rsidR="00F533BF">
          <w:rPr>
            <w:noProof/>
          </w:rPr>
          <w:t>5</w:t>
        </w:r>
      </w:fldSimple>
      <w:r>
        <w:t>:</w:t>
      </w:r>
      <w:r w:rsidRPr="00DB5A89">
        <w:t xml:space="preserve"> Responders based </w:t>
      </w:r>
      <w:r>
        <w:t>on the Modified Ashworth Scale s</w:t>
      </w:r>
      <w:r w:rsidRPr="00DB5A89">
        <w:t xml:space="preserve">core in the </w:t>
      </w:r>
      <w:r>
        <w:t>primary targeted muscle group</w:t>
      </w:r>
      <w:r w:rsidRPr="00DB5A89">
        <w:t xml:space="preserve"> (Treatment Cycle 1) by study limb dose </w:t>
      </w:r>
      <w:r>
        <w:t>- modified intent to treat population</w:t>
      </w:r>
    </w:p>
    <w:p w14:paraId="766F6850" w14:textId="77CA2D4E" w:rsidR="000222F0" w:rsidRDefault="000222F0" w:rsidP="008554C5">
      <w:r>
        <w:rPr>
          <w:noProof/>
          <w:lang w:eastAsia="en-AU"/>
        </w:rPr>
        <w:drawing>
          <wp:inline distT="0" distB="0" distL="0" distR="0" wp14:anchorId="52A36358" wp14:editId="5684D870">
            <wp:extent cx="5397500" cy="3952875"/>
            <wp:effectExtent l="0" t="0" r="0" b="9525"/>
            <wp:docPr id="12" name="Picture 12" descr="Responders based on the Modified Ashworth Scale score in the primary targeted muscle group (Treatment Cycle 1) by study limb dose - modified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7500" cy="3952875"/>
                    </a:xfrm>
                    <a:prstGeom prst="rect">
                      <a:avLst/>
                    </a:prstGeom>
                    <a:noFill/>
                    <a:ln>
                      <a:noFill/>
                    </a:ln>
                  </pic:spPr>
                </pic:pic>
              </a:graphicData>
            </a:graphic>
          </wp:inline>
        </w:drawing>
      </w:r>
    </w:p>
    <w:p w14:paraId="0FBC36CA" w14:textId="35E37305" w:rsidR="00080F3F" w:rsidRDefault="00080F3F" w:rsidP="008554C5">
      <w:r>
        <w:t xml:space="preserve">By contrast, the study was negative for most of its secondary endpoints, partly reflecting the fact that even the low dose group was rated as showing substantial improvements. These negative endpoints included the </w:t>
      </w:r>
      <w:r w:rsidR="00FB497D">
        <w:t>PGA</w:t>
      </w:r>
      <w:r>
        <w:t xml:space="preserve">, the </w:t>
      </w:r>
      <w:r w:rsidR="00FB497D">
        <w:t>GAS</w:t>
      </w:r>
      <w:r>
        <w:t xml:space="preserve">, and </w:t>
      </w:r>
      <w:r w:rsidR="00FB497D">
        <w:t xml:space="preserve">quality of life </w:t>
      </w:r>
      <w:r>
        <w:t>measures. Pain was assessed with a visual analogue scale,</w:t>
      </w:r>
      <w:r w:rsidR="00FB497D">
        <w:rPr>
          <w:rStyle w:val="FootnoteReference"/>
        </w:rPr>
        <w:footnoteReference w:id="12"/>
      </w:r>
      <w:r>
        <w:t xml:space="preserve"> but</w:t>
      </w:r>
      <w:r w:rsidR="00FB497D">
        <w:t xml:space="preserve"> there was very little pain at B</w:t>
      </w:r>
      <w:r>
        <w:t>aseline, and t</w:t>
      </w:r>
      <w:r w:rsidR="008554C5">
        <w:t>his endpoint showed no benefit.</w:t>
      </w:r>
    </w:p>
    <w:p w14:paraId="428EAADD" w14:textId="77777777" w:rsidR="00080F3F" w:rsidRDefault="00080F3F" w:rsidP="008554C5">
      <w:r>
        <w:t>According to the statistical analysis plan for the European submission, this study should be considered positive, showing benefit for both of the higher doses (8 U/kg and 16 U/kg) in the primary endpoint, MAS. A specific analysis plan for the Australian context was not prospectively specified, but it appears reasonable to accept the study as positive on the ba</w:t>
      </w:r>
      <w:r w:rsidR="0021620E">
        <w:t>sis of the single MAS endpoint.</w:t>
      </w:r>
    </w:p>
    <w:p w14:paraId="763DC510" w14:textId="31392FEE" w:rsidR="00080F3F" w:rsidRDefault="00080F3F" w:rsidP="008554C5">
      <w:r>
        <w:t>According to the statistical analysis plan for the US submission, a positive result was required for both the primary endpoint (Week 6 MAS) and the key secondary endpoint (PGA) to consider the whole study positive, and the hierarchy of endpoints mean that the positive MAS result for the 8 U/kg dose could o</w:t>
      </w:r>
      <w:r w:rsidR="00FB497D">
        <w:t>nly be considered nominal. The clinical e</w:t>
      </w:r>
      <w:r>
        <w:t xml:space="preserve">valuator believes that the PGA was not a particularly useful endpoint, because subjects in the low-dose group were often rated as improved, leaving little room for a superior result to be obtained with higher doses; poor results for this endpoint do not indicate an overall failure of treatment. The negative results of the PGA and other secondary endpoints including the GAS highlight the difficulty in proving an objective functional benefit of botulinum toxin in the treatment of spasticity, but they do not suggest that </w:t>
      </w:r>
      <w:proofErr w:type="spellStart"/>
      <w:r>
        <w:t>Dysport</w:t>
      </w:r>
      <w:proofErr w:type="spellEnd"/>
      <w:r>
        <w:t xml:space="preserve"> failed to reduce spasticity.</w:t>
      </w:r>
    </w:p>
    <w:p w14:paraId="3ABDDC6A" w14:textId="7C9F6519" w:rsidR="00080F3F" w:rsidRDefault="00080F3F" w:rsidP="008554C5">
      <w:r w:rsidRPr="00DF6F80">
        <w:t>In summary, this study was positive for its primary endpoint, showing a modest but statistically significant benefit for the primary endpoint, reduction in MAS by Week 6, for doses of 8 U/kg or 16 U/kg in comparison to 2 U/kg. It was negative for most of its minor endpoints, but overall it suppor</w:t>
      </w:r>
      <w:r w:rsidR="00FB497D">
        <w:t>ts the s</w:t>
      </w:r>
      <w:r w:rsidRPr="00DF6F80">
        <w:t xml:space="preserve">ponsor’s claim that </w:t>
      </w:r>
      <w:proofErr w:type="spellStart"/>
      <w:r w:rsidRPr="00DF6F80">
        <w:t>Dysport</w:t>
      </w:r>
      <w:proofErr w:type="spellEnd"/>
      <w:r w:rsidRPr="00DF6F80">
        <w:t xml:space="preserve"> may reduce spasticity in the upper limb of paediatric subjects.</w:t>
      </w:r>
    </w:p>
    <w:p w14:paraId="28B09BD5" w14:textId="4F8B7CD8" w:rsidR="00D55B16" w:rsidRPr="0085385A" w:rsidRDefault="00D55B16" w:rsidP="002C2698">
      <w:pPr>
        <w:pStyle w:val="Heading6"/>
      </w:pPr>
      <w:r>
        <w:t>Other studies</w:t>
      </w:r>
    </w:p>
    <w:p w14:paraId="485C0F4C" w14:textId="56AC2A00" w:rsidR="00D55B16" w:rsidRPr="002C2698" w:rsidRDefault="00D55B16" w:rsidP="002C2698">
      <w:r w:rsidRPr="002C2698">
        <w:rPr>
          <w:lang w:eastAsia="ja-JP"/>
        </w:rPr>
        <w:t>Study Y-55-52120-147</w:t>
      </w:r>
      <w:r w:rsidR="002C2698">
        <w:rPr>
          <w:lang w:eastAsia="ja-JP"/>
        </w:rPr>
        <w:t>: a</w:t>
      </w:r>
      <w:r w:rsidRPr="002C2698">
        <w:t xml:space="preserve"> Phase III, </w:t>
      </w:r>
      <w:r w:rsidR="002C2698" w:rsidRPr="002C2698">
        <w:t>prospective, multicentre, open label, extension study assessing the long term safety and effic</w:t>
      </w:r>
      <w:r w:rsidR="002C2698">
        <w:t xml:space="preserve">acy of repeated treatment with </w:t>
      </w:r>
      <w:proofErr w:type="spellStart"/>
      <w:r w:rsidR="002C2698">
        <w:t>D</w:t>
      </w:r>
      <w:r w:rsidR="002C2698" w:rsidRPr="002C2698">
        <w:t>ysport</w:t>
      </w:r>
      <w:proofErr w:type="spellEnd"/>
      <w:r w:rsidR="002C2698" w:rsidRPr="002C2698">
        <w:t xml:space="preserve"> used in the treatment of lower limb spasticity in children with dynamic </w:t>
      </w:r>
      <w:proofErr w:type="spellStart"/>
      <w:r w:rsidR="002C2698" w:rsidRPr="002C2698">
        <w:t>equinus</w:t>
      </w:r>
      <w:proofErr w:type="spellEnd"/>
      <w:r w:rsidR="002C2698" w:rsidRPr="002C2698">
        <w:t xml:space="preserve"> foot </w:t>
      </w:r>
      <w:r w:rsidR="002C2698">
        <w:t>deformity due to cerebral palsy (</w:t>
      </w:r>
      <w:r w:rsidR="002C2698">
        <w:rPr>
          <w:lang w:eastAsia="ja-JP"/>
        </w:rPr>
        <w:t xml:space="preserve">an open </w:t>
      </w:r>
      <w:r w:rsidR="002C2698" w:rsidRPr="002C2698">
        <w:rPr>
          <w:lang w:eastAsia="ja-JP"/>
        </w:rPr>
        <w:t>label extension of a previously submitted study</w:t>
      </w:r>
      <w:r w:rsidR="002C2698">
        <w:rPr>
          <w:lang w:eastAsia="ja-JP"/>
        </w:rPr>
        <w:t xml:space="preserve">, </w:t>
      </w:r>
      <w:r w:rsidR="005E04A1">
        <w:rPr>
          <w:lang w:eastAsia="ja-JP"/>
        </w:rPr>
        <w:t>Study Y</w:t>
      </w:r>
      <w:r w:rsidR="005E04A1">
        <w:rPr>
          <w:lang w:eastAsia="ja-JP"/>
        </w:rPr>
        <w:noBreakHyphen/>
        <w:t>55</w:t>
      </w:r>
      <w:r w:rsidR="005E04A1">
        <w:rPr>
          <w:lang w:eastAsia="ja-JP"/>
        </w:rPr>
        <w:noBreakHyphen/>
      </w:r>
      <w:r w:rsidR="002C2698" w:rsidRPr="002C2698">
        <w:rPr>
          <w:lang w:eastAsia="ja-JP"/>
        </w:rPr>
        <w:t>52120-141</w:t>
      </w:r>
      <w:r w:rsidRPr="002C2698">
        <w:rPr>
          <w:lang w:eastAsia="ja-JP"/>
        </w:rPr>
        <w:t>).</w:t>
      </w:r>
    </w:p>
    <w:p w14:paraId="06C7A143" w14:textId="0D0FD4FC" w:rsidR="00D55B16" w:rsidRPr="002C2698" w:rsidRDefault="002C2698" w:rsidP="002C2698">
      <w:pPr>
        <w:rPr>
          <w:lang w:eastAsia="ja-JP"/>
        </w:rPr>
      </w:pPr>
      <w:r>
        <w:rPr>
          <w:lang w:eastAsia="ja-JP"/>
        </w:rPr>
        <w:t xml:space="preserve">Study Y-97-52120-047: </w:t>
      </w:r>
      <w:r w:rsidR="00D55B16" w:rsidRPr="002C2698">
        <w:rPr>
          <w:lang w:eastAsia="ja-JP"/>
        </w:rPr>
        <w:t>retros</w:t>
      </w:r>
      <w:r w:rsidRPr="002C2698">
        <w:rPr>
          <w:lang w:eastAsia="ja-JP"/>
        </w:rPr>
        <w:t>pective, non-comparative study</w:t>
      </w:r>
      <w:r w:rsidR="00D55B16" w:rsidRPr="002C2698">
        <w:rPr>
          <w:lang w:eastAsia="ja-JP"/>
        </w:rPr>
        <w:t xml:space="preserve"> with a focus on lower limb treatment</w:t>
      </w:r>
      <w:r w:rsidRPr="002C2698">
        <w:rPr>
          <w:lang w:eastAsia="ja-JP"/>
        </w:rPr>
        <w:t>.</w:t>
      </w:r>
    </w:p>
    <w:p w14:paraId="168F41EF" w14:textId="28878C20" w:rsidR="002C2698" w:rsidRPr="00D55B16" w:rsidRDefault="002C2698" w:rsidP="002C2698">
      <w:pPr>
        <w:rPr>
          <w:lang w:eastAsia="ja-JP"/>
        </w:rPr>
      </w:pPr>
      <w:r w:rsidRPr="002C2698">
        <w:t xml:space="preserve">Other studies </w:t>
      </w:r>
      <w:r>
        <w:t xml:space="preserve">(Studies </w:t>
      </w:r>
      <w:r>
        <w:rPr>
          <w:lang w:eastAsia="ja-JP"/>
        </w:rPr>
        <w:t>Y-55-52120-147</w:t>
      </w:r>
      <w:r>
        <w:t xml:space="preserve"> and</w:t>
      </w:r>
      <w:r w:rsidRPr="002C2698">
        <w:t xml:space="preserve"> </w:t>
      </w:r>
      <w:r w:rsidRPr="002C2698">
        <w:rPr>
          <w:lang w:eastAsia="ja-JP"/>
        </w:rPr>
        <w:t>Y-97-52120-047</w:t>
      </w:r>
      <w:r>
        <w:t>), referring to the lower limbs apart from their</w:t>
      </w:r>
      <w:r w:rsidRPr="0085385A">
        <w:t xml:space="preserve"> bei</w:t>
      </w:r>
      <w:r>
        <w:t>ng open, retrospective and non-</w:t>
      </w:r>
      <w:r w:rsidRPr="0085385A">
        <w:t>comparative, are considered as providing safety data in the submission and</w:t>
      </w:r>
      <w:r>
        <w:t>,</w:t>
      </w:r>
      <w:r w:rsidRPr="0085385A">
        <w:t xml:space="preserve"> not relevant to the efficacy of the proposed indication.</w:t>
      </w:r>
    </w:p>
    <w:p w14:paraId="33822A55" w14:textId="21EECAFA" w:rsidR="00080F3F" w:rsidRDefault="006406E6" w:rsidP="001B3D19">
      <w:pPr>
        <w:pStyle w:val="Heading5"/>
      </w:pPr>
      <w:r>
        <w:t>N</w:t>
      </w:r>
      <w:r w:rsidR="001B3D19" w:rsidRPr="001B3D19">
        <w:t xml:space="preserve">ew dilution option </w:t>
      </w:r>
      <w:r w:rsidR="002C2698">
        <w:t xml:space="preserve">for the </w:t>
      </w:r>
      <w:r w:rsidR="002C2698" w:rsidRPr="002C2698">
        <w:t xml:space="preserve">125 U powder for injection product </w:t>
      </w:r>
      <w:r w:rsidR="001B3D19" w:rsidRPr="001B3D19">
        <w:t xml:space="preserve">for treatment </w:t>
      </w:r>
      <w:r w:rsidR="002C2698">
        <w:t xml:space="preserve">of glabellar frown lines </w:t>
      </w:r>
      <w:r w:rsidR="001B3D19" w:rsidRPr="001B3D19">
        <w:t>a</w:t>
      </w:r>
      <w:r w:rsidR="002C2698">
        <w:t xml:space="preserve">nd lateral </w:t>
      </w:r>
      <w:proofErr w:type="spellStart"/>
      <w:r w:rsidR="002C2698">
        <w:t>canthal</w:t>
      </w:r>
      <w:proofErr w:type="spellEnd"/>
      <w:r w:rsidR="002C2698">
        <w:t xml:space="preserve"> lines</w:t>
      </w:r>
    </w:p>
    <w:p w14:paraId="239ED20D" w14:textId="31AED410" w:rsidR="001B3D19" w:rsidRPr="00F06A5E" w:rsidRDefault="002C2698" w:rsidP="00F06A5E">
      <w:r>
        <w:t>Primary s</w:t>
      </w:r>
      <w:r w:rsidR="001B3D19" w:rsidRPr="00F06A5E">
        <w:t>tudy:</w:t>
      </w:r>
      <w:r w:rsidR="00F06A5E" w:rsidRPr="00F06A5E">
        <w:t xml:space="preserve"> </w:t>
      </w:r>
      <w:r>
        <w:t>Study 05PF1311</w:t>
      </w:r>
    </w:p>
    <w:p w14:paraId="1EED0807" w14:textId="25A51006" w:rsidR="001B3D19" w:rsidRPr="00F06A5E" w:rsidRDefault="001B3D19" w:rsidP="00F06A5E">
      <w:r w:rsidRPr="00F06A5E">
        <w:t>Supportive study</w:t>
      </w:r>
      <w:r w:rsidR="00F06A5E" w:rsidRPr="00F06A5E">
        <w:t xml:space="preserve">: Study </w:t>
      </w:r>
      <w:r w:rsidRPr="00F06A5E">
        <w:t>GLI.04.SRE.US10348</w:t>
      </w:r>
    </w:p>
    <w:p w14:paraId="0659BD14" w14:textId="3CD77BF3" w:rsidR="00F06A5E" w:rsidRDefault="001B3D19" w:rsidP="00D55B16">
      <w:pPr>
        <w:pStyle w:val="Heading6"/>
      </w:pPr>
      <w:r w:rsidRPr="00D625B8">
        <w:t>S</w:t>
      </w:r>
      <w:r w:rsidR="002C2698">
        <w:t>tudy 05PF1311</w:t>
      </w:r>
      <w:r w:rsidR="00F36E3C">
        <w:t xml:space="preserve"> (primary study)</w:t>
      </w:r>
    </w:p>
    <w:p w14:paraId="3BB75526" w14:textId="04690195" w:rsidR="001B3D19" w:rsidRPr="00ED0379" w:rsidRDefault="008E273B" w:rsidP="002C2698">
      <w:r>
        <w:t>Study 05PF1311 was a</w:t>
      </w:r>
      <w:r w:rsidR="001B3D19" w:rsidRPr="00ED0379">
        <w:t xml:space="preserve"> rand</w:t>
      </w:r>
      <w:r w:rsidR="00F06A5E">
        <w:t>omis</w:t>
      </w:r>
      <w:r w:rsidR="001B3D19" w:rsidRPr="00ED0379">
        <w:t>ed,</w:t>
      </w:r>
      <w:r w:rsidR="002C2698">
        <w:t xml:space="preserve"> evaluator </w:t>
      </w:r>
      <w:r w:rsidR="00F06A5E">
        <w:t xml:space="preserve">blinded, comparative </w:t>
      </w:r>
      <w:r w:rsidR="001B3D19" w:rsidRPr="00ED0379">
        <w:t>study to evaluate the ef</w:t>
      </w:r>
      <w:r w:rsidR="00EC07C4">
        <w:t xml:space="preserve">ficacy and safety of different </w:t>
      </w:r>
      <w:r w:rsidR="001B3D19" w:rsidRPr="00ED0379">
        <w:t xml:space="preserve">injection volumes of botulinum toxin type A, </w:t>
      </w:r>
      <w:proofErr w:type="spellStart"/>
      <w:r w:rsidR="00F06A5E">
        <w:t>Azzalure</w:t>
      </w:r>
      <w:proofErr w:type="spellEnd"/>
      <w:r w:rsidR="002C2698">
        <w:t xml:space="preserve"> (</w:t>
      </w:r>
      <w:proofErr w:type="spellStart"/>
      <w:r w:rsidR="001B3D19" w:rsidRPr="00ED0379">
        <w:t>Dy</w:t>
      </w:r>
      <w:r w:rsidR="002C2698">
        <w:t>sport</w:t>
      </w:r>
      <w:proofErr w:type="spellEnd"/>
      <w:r w:rsidR="002C2698">
        <w:t>)</w:t>
      </w:r>
      <w:r w:rsidR="00F06A5E">
        <w:t>,</w:t>
      </w:r>
      <w:r w:rsidR="002C2698">
        <w:rPr>
          <w:rStyle w:val="FootnoteReference"/>
        </w:rPr>
        <w:footnoteReference w:id="13"/>
      </w:r>
      <w:r w:rsidR="00F06A5E">
        <w:t xml:space="preserve"> in the glabellar lines</w:t>
      </w:r>
      <w:r w:rsidR="00EC07C4">
        <w:t xml:space="preserve"> (GLs)</w:t>
      </w:r>
      <w:r w:rsidR="00F06A5E">
        <w:t>.</w:t>
      </w:r>
    </w:p>
    <w:p w14:paraId="034A6514" w14:textId="7B2F0887" w:rsidR="001B3D19" w:rsidRDefault="001B3D19" w:rsidP="002C2698">
      <w:r w:rsidRPr="00E94658">
        <w:t>The objectives</w:t>
      </w:r>
      <w:r w:rsidR="002C2698">
        <w:t xml:space="preserve"> were</w:t>
      </w:r>
      <w:r>
        <w:t>:</w:t>
      </w:r>
    </w:p>
    <w:p w14:paraId="581474AD" w14:textId="5D111C52" w:rsidR="001B3D19" w:rsidRDefault="001B3D19" w:rsidP="002C2698">
      <w:pPr>
        <w:pStyle w:val="ListBullet"/>
      </w:pPr>
      <w:r>
        <w:t>the as</w:t>
      </w:r>
      <w:r w:rsidR="00EC07C4">
        <w:t>sessment of GLs at B</w:t>
      </w:r>
      <w:r>
        <w:t>aseline and all follow-up visits;</w:t>
      </w:r>
    </w:p>
    <w:p w14:paraId="0665B55A" w14:textId="7E7B8C02" w:rsidR="001B3D19" w:rsidRDefault="001B3D19" w:rsidP="00EC07C4">
      <w:pPr>
        <w:pStyle w:val="ListBullet"/>
      </w:pPr>
      <w:r>
        <w:rPr>
          <w:rFonts w:cs="Cambria"/>
        </w:rPr>
        <w:t xml:space="preserve">the assessment of the subject’s satisfaction using the Subject Satisfaction </w:t>
      </w:r>
      <w:r w:rsidR="00EC07C4">
        <w:t xml:space="preserve">Questionnaire </w:t>
      </w:r>
      <w:r>
        <w:t>(SSQ);</w:t>
      </w:r>
    </w:p>
    <w:p w14:paraId="7C4A4CA3" w14:textId="15D9FBAD" w:rsidR="001B3D19" w:rsidRPr="00EC07C4" w:rsidRDefault="001B3D19" w:rsidP="00EC07C4">
      <w:pPr>
        <w:pStyle w:val="ListBullet"/>
        <w:rPr>
          <w:rFonts w:cs="Cambria"/>
        </w:rPr>
      </w:pPr>
      <w:r>
        <w:t>evaluation of</w:t>
      </w:r>
      <w:r>
        <w:rPr>
          <w:rFonts w:cs="Cambria"/>
        </w:rPr>
        <w:t xml:space="preserve"> the onset of effect by asking patients to indicat</w:t>
      </w:r>
      <w:r w:rsidR="00EC07C4">
        <w:rPr>
          <w:rFonts w:cs="Cambria"/>
        </w:rPr>
        <w:t xml:space="preserve">e the day they first noted any </w:t>
      </w:r>
      <w:r w:rsidRPr="00EC07C4">
        <w:rPr>
          <w:rFonts w:cs="Cambria"/>
        </w:rPr>
        <w:t>effect on their GLs;</w:t>
      </w:r>
    </w:p>
    <w:p w14:paraId="496B1302" w14:textId="548BB060" w:rsidR="001B3D19" w:rsidRDefault="001B3D19" w:rsidP="002C2698">
      <w:pPr>
        <w:pStyle w:val="ListBullet"/>
      </w:pPr>
      <w:r>
        <w:rPr>
          <w:rFonts w:cs="Cambria"/>
        </w:rPr>
        <w:t xml:space="preserve">evaluation of the </w:t>
      </w:r>
      <w:r w:rsidR="00EC07C4">
        <w:rPr>
          <w:rFonts w:cs="Cambria"/>
        </w:rPr>
        <w:t xml:space="preserve">compound muscle action potential </w:t>
      </w:r>
      <w:r>
        <w:rPr>
          <w:rFonts w:cs="Cambria"/>
        </w:rPr>
        <w:t xml:space="preserve">(CMAP) using </w:t>
      </w:r>
      <w:proofErr w:type="spellStart"/>
      <w:r>
        <w:rPr>
          <w:rFonts w:cs="Cambria"/>
        </w:rPr>
        <w:t>electroneurography</w:t>
      </w:r>
      <w:proofErr w:type="spellEnd"/>
      <w:r>
        <w:t>;</w:t>
      </w:r>
    </w:p>
    <w:p w14:paraId="2BC50F11" w14:textId="50A334AC" w:rsidR="001B3D19" w:rsidRDefault="00EC07C4" w:rsidP="002C2698">
      <w:pPr>
        <w:pStyle w:val="ListBullet"/>
      </w:pPr>
      <w:r>
        <w:rPr>
          <w:rFonts w:cs="Cambria"/>
        </w:rPr>
        <w:t>evaluation</w:t>
      </w:r>
      <w:r w:rsidR="001B3D19">
        <w:rPr>
          <w:rFonts w:cs="Cambria"/>
        </w:rPr>
        <w:t xml:space="preserve"> of the safety of t</w:t>
      </w:r>
      <w:r>
        <w:rPr>
          <w:rFonts w:cs="Cambria"/>
        </w:rPr>
        <w:t>wo different injection volumes;</w:t>
      </w:r>
    </w:p>
    <w:p w14:paraId="41DFC2C3" w14:textId="730A6FB2" w:rsidR="001B3D19" w:rsidRDefault="001B3D19" w:rsidP="002C2698">
      <w:pPr>
        <w:pStyle w:val="ListBullet"/>
      </w:pPr>
      <w:r>
        <w:rPr>
          <w:rFonts w:cs="Cambria"/>
        </w:rPr>
        <w:t>evaluation of the subject’s pain on injection u</w:t>
      </w:r>
      <w:r>
        <w:t xml:space="preserve">sing the </w:t>
      </w:r>
      <w:r w:rsidR="00EC07C4">
        <w:t>VAS</w:t>
      </w:r>
      <w:r>
        <w:t>.</w:t>
      </w:r>
    </w:p>
    <w:p w14:paraId="403F8689" w14:textId="7D05E8D1" w:rsidR="001B3D19" w:rsidRPr="008B7EB6" w:rsidRDefault="001B3D19" w:rsidP="008B7EB6">
      <w:pPr>
        <w:rPr>
          <w:i/>
        </w:rPr>
      </w:pPr>
      <w:r w:rsidRPr="008B7EB6">
        <w:rPr>
          <w:i/>
        </w:rPr>
        <w:t>Study treatments</w:t>
      </w:r>
      <w:r w:rsidR="002011E4">
        <w:rPr>
          <w:i/>
        </w:rPr>
        <w:t>:</w:t>
      </w:r>
    </w:p>
    <w:p w14:paraId="60190B7C" w14:textId="77777777" w:rsidR="001B3D19" w:rsidRDefault="001B3D19" w:rsidP="001B3D19">
      <w:pPr>
        <w:autoSpaceDE w:val="0"/>
        <w:autoSpaceDN w:val="0"/>
        <w:adjustRightInd w:val="0"/>
        <w:jc w:val="both"/>
      </w:pPr>
      <w:r>
        <w:t xml:space="preserve">Subjects were randomised with equal probability to receiving </w:t>
      </w:r>
      <w:proofErr w:type="spellStart"/>
      <w:r>
        <w:t>Dysport</w:t>
      </w:r>
      <w:proofErr w:type="spellEnd"/>
      <w:r>
        <w:t>:</w:t>
      </w:r>
    </w:p>
    <w:p w14:paraId="3BDA8C75" w14:textId="3DC2A252" w:rsidR="001B3D19" w:rsidRPr="00561432" w:rsidRDefault="001B3D19" w:rsidP="00EC07C4">
      <w:pPr>
        <w:pStyle w:val="ListBullet"/>
      </w:pPr>
      <w:r w:rsidRPr="00561432">
        <w:t xml:space="preserve">either with a standard dilution (Group A, </w:t>
      </w:r>
      <w:r w:rsidR="00EC07C4" w:rsidRPr="00561432">
        <w:t>0.05 mL</w:t>
      </w:r>
      <w:r w:rsidRPr="00561432">
        <w:t>/injection point, n</w:t>
      </w:r>
      <w:r w:rsidR="00EC07C4" w:rsidRPr="00561432">
        <w:t xml:space="preserve"> </w:t>
      </w:r>
      <w:r w:rsidRPr="00561432">
        <w:t>=</w:t>
      </w:r>
      <w:r w:rsidR="00EC07C4" w:rsidRPr="00561432">
        <w:t xml:space="preserve"> </w:t>
      </w:r>
      <w:r w:rsidRPr="00561432">
        <w:t>30);</w:t>
      </w:r>
    </w:p>
    <w:p w14:paraId="1F038BC4" w14:textId="33A1BB5A" w:rsidR="001B3D19" w:rsidRPr="00561432" w:rsidRDefault="001B3D19" w:rsidP="00EC07C4">
      <w:pPr>
        <w:pStyle w:val="ListBullet"/>
      </w:pPr>
      <w:r w:rsidRPr="00561432">
        <w:t xml:space="preserve">or </w:t>
      </w:r>
      <w:r w:rsidR="00EC07C4" w:rsidRPr="00561432">
        <w:t xml:space="preserve">a </w:t>
      </w:r>
      <w:proofErr w:type="spellStart"/>
      <w:r w:rsidR="00EC07C4" w:rsidRPr="00561432">
        <w:t xml:space="preserve">two </w:t>
      </w:r>
      <w:r w:rsidRPr="00561432">
        <w:t>fold</w:t>
      </w:r>
      <w:proofErr w:type="spellEnd"/>
      <w:r w:rsidRPr="00561432">
        <w:t xml:space="preserve"> increased dilution (Group B, </w:t>
      </w:r>
      <w:r w:rsidR="00EC07C4" w:rsidRPr="00561432">
        <w:t>0.1 mL</w:t>
      </w:r>
      <w:r w:rsidRPr="00561432">
        <w:t>/injection point, n</w:t>
      </w:r>
      <w:r w:rsidR="00EC07C4" w:rsidRPr="00561432">
        <w:t xml:space="preserve"> </w:t>
      </w:r>
      <w:r w:rsidRPr="00561432">
        <w:t>=</w:t>
      </w:r>
      <w:r w:rsidR="00EC07C4" w:rsidRPr="00561432">
        <w:t xml:space="preserve"> </w:t>
      </w:r>
      <w:r w:rsidRPr="00561432">
        <w:t>32).</w:t>
      </w:r>
    </w:p>
    <w:p w14:paraId="66159892" w14:textId="247218F4" w:rsidR="001B3D19" w:rsidRDefault="001B3D19" w:rsidP="00EC07C4">
      <w:r>
        <w:t xml:space="preserve">Both treatment groups received the same drug, botulinum toxin type A, made up from a vial containing 125 </w:t>
      </w:r>
      <w:proofErr w:type="spellStart"/>
      <w:r>
        <w:t>Speywood</w:t>
      </w:r>
      <w:proofErr w:type="spellEnd"/>
      <w:r>
        <w:t xml:space="preserve"> units (</w:t>
      </w:r>
      <w:proofErr w:type="spellStart"/>
      <w:r>
        <w:t>sU</w:t>
      </w:r>
      <w:proofErr w:type="spellEnd"/>
      <w:r>
        <w:t>)/vial, and all patie</w:t>
      </w:r>
      <w:r w:rsidR="00EC07C4">
        <w:t>nts received 5 injections of 10 </w:t>
      </w:r>
      <w:proofErr w:type="spellStart"/>
      <w:r>
        <w:t>sU</w:t>
      </w:r>
      <w:proofErr w:type="spellEnd"/>
      <w:r>
        <w:t xml:space="preserve"> per injection point, for a total dose of 50 </w:t>
      </w:r>
      <w:proofErr w:type="spellStart"/>
      <w:r>
        <w:t>sU</w:t>
      </w:r>
      <w:proofErr w:type="spellEnd"/>
      <w:r>
        <w:t>, at the sites indicated in the figure below.</w:t>
      </w:r>
    </w:p>
    <w:p w14:paraId="4834137E" w14:textId="016E5AFE" w:rsidR="00561432" w:rsidRDefault="00561432" w:rsidP="00561432">
      <w:pPr>
        <w:pStyle w:val="FigureTitle"/>
      </w:pPr>
      <w:r>
        <w:t xml:space="preserve">Figure </w:t>
      </w:r>
      <w:fldSimple w:instr=" SEQ Figure \* ARABIC ">
        <w:r w:rsidR="00F533BF">
          <w:rPr>
            <w:noProof/>
          </w:rPr>
          <w:t>2</w:t>
        </w:r>
      </w:fldSimple>
      <w:r>
        <w:t xml:space="preserve">: </w:t>
      </w:r>
      <w:r w:rsidRPr="00D625B8">
        <w:t>S</w:t>
      </w:r>
      <w:r>
        <w:t xml:space="preserve">tudy 05PF1311 </w:t>
      </w:r>
      <w:r w:rsidR="002011E4">
        <w:t>I</w:t>
      </w:r>
      <w:r>
        <w:t>njection sites</w:t>
      </w:r>
      <w:r w:rsidR="002011E4">
        <w:t xml:space="preserve"> in corrugator muscle for treatment of glabellar lines</w:t>
      </w:r>
    </w:p>
    <w:p w14:paraId="658B05FC" w14:textId="77777777" w:rsidR="001B3D19" w:rsidRDefault="00FA6BE1" w:rsidP="001B3D19">
      <w:r>
        <w:rPr>
          <w:noProof/>
          <w:lang w:eastAsia="en-AU"/>
        </w:rPr>
        <w:drawing>
          <wp:inline distT="0" distB="0" distL="0" distR="0" wp14:anchorId="09582CAA" wp14:editId="0E607767">
            <wp:extent cx="3873500" cy="2249805"/>
            <wp:effectExtent l="0" t="0" r="0" b="0"/>
            <wp:docPr id="25" name="Picture 25" descr="Study 05PF1311 injection sites. &#10;Injection sites were in a 5-point V shape pattern, with 2 injection sites in the corrugator above each eye at least 1 cm above the margin of the superior orbital rim (approximately 1 cm above each eyebrow) and 1 in the central procerus (mid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3500" cy="2249805"/>
                    </a:xfrm>
                    <a:prstGeom prst="rect">
                      <a:avLst/>
                    </a:prstGeom>
                    <a:noFill/>
                    <a:ln>
                      <a:noFill/>
                    </a:ln>
                  </pic:spPr>
                </pic:pic>
              </a:graphicData>
            </a:graphic>
          </wp:inline>
        </w:drawing>
      </w:r>
    </w:p>
    <w:p w14:paraId="2171726F" w14:textId="5821F385" w:rsidR="00FA6BE1" w:rsidRDefault="00561432" w:rsidP="00561432">
      <w:r>
        <w:t xml:space="preserve">Because the Groups A and </w:t>
      </w:r>
      <w:r w:rsidR="00FA6BE1">
        <w:t>B received different volumes, complete blinding was not possible, but the efficacy scores were derived by an evaluator blinded to the volume administered.</w:t>
      </w:r>
    </w:p>
    <w:p w14:paraId="183FD6A8" w14:textId="498EEA92" w:rsidR="00FA6BE1" w:rsidRPr="008B7EB6" w:rsidRDefault="00FA6BE1" w:rsidP="008B7EB6">
      <w:pPr>
        <w:rPr>
          <w:i/>
        </w:rPr>
      </w:pPr>
      <w:r w:rsidRPr="008B7EB6">
        <w:rPr>
          <w:i/>
        </w:rPr>
        <w:t>Randomisation and blinding methods</w:t>
      </w:r>
      <w:r w:rsidR="00C400FE">
        <w:rPr>
          <w:i/>
        </w:rPr>
        <w:t>:</w:t>
      </w:r>
    </w:p>
    <w:p w14:paraId="641AA5B3" w14:textId="5A0DBD89" w:rsidR="00FA6BE1" w:rsidRPr="00561432" w:rsidRDefault="00FA6BE1" w:rsidP="00561432">
      <w:r>
        <w:t xml:space="preserve">Randomisation was stratified for </w:t>
      </w:r>
      <w:r w:rsidRPr="00561432">
        <w:t>wrinkle severity</w:t>
      </w:r>
      <w:r>
        <w:t xml:space="preserve">, and subjects were assigned with equal probability to either standard or increased injection volumes </w:t>
      </w:r>
      <w:r w:rsidR="00561432">
        <w:t>that is,</w:t>
      </w:r>
      <w:r w:rsidRPr="00561432">
        <w:t xml:space="preserve"> Group A or B.</w:t>
      </w:r>
    </w:p>
    <w:p w14:paraId="6D53A67B" w14:textId="40387722" w:rsidR="00FA6BE1" w:rsidRDefault="00FA6BE1" w:rsidP="00561432">
      <w:r>
        <w:t xml:space="preserve">Blinding of the treating clinician and subject was not possible, because one group received an injection volume that was twice that of the other. Evaluation of wrinkle severity was performed by the </w:t>
      </w:r>
      <w:proofErr w:type="spellStart"/>
      <w:r>
        <w:t>unblinded</w:t>
      </w:r>
      <w:proofErr w:type="spellEnd"/>
      <w:r>
        <w:t xml:space="preserve"> clinician as well as an offsite blinded e</w:t>
      </w:r>
      <w:r w:rsidR="00561432">
        <w:t>valuator, who used photographs.</w:t>
      </w:r>
    </w:p>
    <w:p w14:paraId="3984C1AC" w14:textId="0AE9AD1A" w:rsidR="00FA6BE1" w:rsidRDefault="00561432" w:rsidP="00561432">
      <w:pPr>
        <w:tabs>
          <w:tab w:val="left" w:pos="765"/>
          <w:tab w:val="left" w:pos="993"/>
          <w:tab w:val="left" w:pos="1418"/>
          <w:tab w:val="left" w:pos="1560"/>
          <w:tab w:val="left" w:pos="1843"/>
          <w:tab w:val="left" w:pos="1985"/>
          <w:tab w:val="left" w:pos="2127"/>
          <w:tab w:val="left" w:pos="2410"/>
        </w:tabs>
      </w:pPr>
      <w:r>
        <w:t>The clinical evaluator commented that the s</w:t>
      </w:r>
      <w:r w:rsidR="00FA6BE1">
        <w:t xml:space="preserve">ponsor did not clearly rank these two evaluation techniques for </w:t>
      </w:r>
      <w:r>
        <w:t xml:space="preserve">wrinkle severity </w:t>
      </w:r>
      <w:r w:rsidR="00FA6BE1">
        <w:t>or declare that the blind</w:t>
      </w:r>
      <w:r>
        <w:t xml:space="preserve">ed evaluation was primary. The </w:t>
      </w:r>
      <w:proofErr w:type="spellStart"/>
      <w:r>
        <w:t>unblinded</w:t>
      </w:r>
      <w:proofErr w:type="spellEnd"/>
      <w:r>
        <w:t>, ‘live’</w:t>
      </w:r>
      <w:r w:rsidR="00FA6BE1">
        <w:t xml:space="preserve"> results were given</w:t>
      </w:r>
      <w:r>
        <w:t xml:space="preserve"> much greater prominence in the s</w:t>
      </w:r>
      <w:r w:rsidR="00FA6BE1">
        <w:t xml:space="preserve">ponsor’s presentation of the </w:t>
      </w:r>
      <w:r w:rsidR="00100060">
        <w:t>w</w:t>
      </w:r>
      <w:r w:rsidR="005E58CB" w:rsidRPr="00E43276">
        <w:t xml:space="preserve">rinkle </w:t>
      </w:r>
      <w:r w:rsidR="00100060">
        <w:t>s</w:t>
      </w:r>
      <w:r w:rsidR="005E58CB" w:rsidRPr="00E43276">
        <w:t xml:space="preserve">everity </w:t>
      </w:r>
      <w:r w:rsidR="00FA6BE1">
        <w:t xml:space="preserve">scores, </w:t>
      </w:r>
      <w:r w:rsidRPr="00561432">
        <w:t xml:space="preserve">but this could reflect </w:t>
      </w:r>
      <w:r w:rsidRPr="005E58CB">
        <w:rPr>
          <w:i/>
        </w:rPr>
        <w:t>post hoc</w:t>
      </w:r>
      <w:r w:rsidR="00FA6BE1" w:rsidRPr="00561432">
        <w:t xml:space="preserve"> selection of the more favourable set of results</w:t>
      </w:r>
      <w:r>
        <w:rPr>
          <w:i/>
        </w:rPr>
        <w:t xml:space="preserve">. </w:t>
      </w:r>
      <w:r w:rsidR="00FA6BE1">
        <w:t xml:space="preserve">Most endpoints were based on assessments by the subject or treating clinician, and were therefore </w:t>
      </w:r>
      <w:proofErr w:type="spellStart"/>
      <w:r w:rsidR="00FA6BE1">
        <w:t>unblinded</w:t>
      </w:r>
      <w:proofErr w:type="spellEnd"/>
      <w:r w:rsidR="00FA6BE1">
        <w:t>.</w:t>
      </w:r>
    </w:p>
    <w:p w14:paraId="28018895" w14:textId="62AD27E9" w:rsidR="00FA6BE1" w:rsidRPr="00561432" w:rsidRDefault="00561432" w:rsidP="00561432">
      <w:r w:rsidRPr="00561432">
        <w:t>The Delegate comment</w:t>
      </w:r>
      <w:r w:rsidR="005E58CB">
        <w:t>e</w:t>
      </w:r>
      <w:r w:rsidRPr="00561432">
        <w:t>d that, g</w:t>
      </w:r>
      <w:r w:rsidR="00FA6BE1" w:rsidRPr="00561432">
        <w:t xml:space="preserve">iven the fact that wrinkle severity </w:t>
      </w:r>
      <w:r w:rsidR="00100060">
        <w:t xml:space="preserve">scoring </w:t>
      </w:r>
      <w:r w:rsidR="00FA6BE1" w:rsidRPr="00561432">
        <w:t xml:space="preserve">was also carried out by a blinded off-site evaluator, the sponsor </w:t>
      </w:r>
      <w:r w:rsidRPr="00561432">
        <w:t>is requested</w:t>
      </w:r>
      <w:r w:rsidR="00FA6BE1" w:rsidRPr="00561432">
        <w:t xml:space="preserve"> to elaborate as to why the treating clinician‘s </w:t>
      </w:r>
      <w:proofErr w:type="spellStart"/>
      <w:r w:rsidR="00FA6BE1" w:rsidRPr="00561432">
        <w:t>unblinded</w:t>
      </w:r>
      <w:proofErr w:type="spellEnd"/>
      <w:r w:rsidR="00FA6BE1" w:rsidRPr="00561432">
        <w:t xml:space="preserve"> wrinkle severity </w:t>
      </w:r>
      <w:r w:rsidR="00100060">
        <w:t xml:space="preserve">scoring </w:t>
      </w:r>
      <w:r w:rsidR="00FA6BE1" w:rsidRPr="00561432">
        <w:t>was</w:t>
      </w:r>
      <w:r w:rsidRPr="00561432">
        <w:t xml:space="preserve"> rated higher in the </w:t>
      </w:r>
      <w:r w:rsidR="00100060">
        <w:t>wrinkle severity</w:t>
      </w:r>
      <w:r w:rsidRPr="00561432">
        <w:t xml:space="preserve"> scores. </w:t>
      </w:r>
      <w:r w:rsidR="00FA6BE1" w:rsidRPr="00561432">
        <w:t>In addition, what was the sponsor’s rationale for basing most endpoints on assess</w:t>
      </w:r>
      <w:r w:rsidRPr="00561432">
        <w:t xml:space="preserve">ment by </w:t>
      </w:r>
      <w:proofErr w:type="spellStart"/>
      <w:r w:rsidRPr="00561432">
        <w:t>unblinded</w:t>
      </w:r>
      <w:proofErr w:type="spellEnd"/>
      <w:r w:rsidRPr="00561432">
        <w:t xml:space="preserve"> personnel that is,</w:t>
      </w:r>
      <w:r w:rsidR="00FA6BE1" w:rsidRPr="00561432">
        <w:t xml:space="preserve"> the treating clinician and the treated subjects?</w:t>
      </w:r>
      <w:r w:rsidRPr="00561432">
        <w:t xml:space="preserve"> (see ‘</w:t>
      </w:r>
      <w:r w:rsidRPr="00561432">
        <w:rPr>
          <w:i/>
        </w:rPr>
        <w:fldChar w:fldCharType="begin"/>
      </w:r>
      <w:r w:rsidRPr="00561432">
        <w:rPr>
          <w:i/>
        </w:rPr>
        <w:instrText xml:space="preserve"> REF _Ref66105074 \h </w:instrText>
      </w:r>
      <w:r>
        <w:rPr>
          <w:i/>
        </w:rPr>
        <w:instrText xml:space="preserve"> \* MERGEFORMAT </w:instrText>
      </w:r>
      <w:r w:rsidRPr="00561432">
        <w:rPr>
          <w:i/>
        </w:rPr>
      </w:r>
      <w:r w:rsidRPr="00561432">
        <w:rPr>
          <w:i/>
        </w:rPr>
        <w:fldChar w:fldCharType="separate"/>
      </w:r>
      <w:r w:rsidR="00F533BF" w:rsidRPr="00F533BF">
        <w:rPr>
          <w:i/>
        </w:rPr>
        <w:t>Questions for the sponsor</w:t>
      </w:r>
      <w:r w:rsidRPr="00561432">
        <w:rPr>
          <w:i/>
        </w:rPr>
        <w:fldChar w:fldCharType="end"/>
      </w:r>
      <w:r w:rsidRPr="00561432">
        <w:t>’ section, below).</w:t>
      </w:r>
    </w:p>
    <w:p w14:paraId="5DE18449" w14:textId="1B5D0151" w:rsidR="00FA6BE1" w:rsidRDefault="00FA6BE1" w:rsidP="005E58CB">
      <w:r>
        <w:t xml:space="preserve">Sixty-two subjects were randomised and treated. No subjects withdrew their participation, which meant that </w:t>
      </w:r>
      <w:r w:rsidR="005E58CB">
        <w:t xml:space="preserve">the efficacy results included 6 </w:t>
      </w:r>
      <w:r w:rsidR="005E04A1">
        <w:t>month data for all 62 </w:t>
      </w:r>
      <w:r>
        <w:t>subjects. Of these:</w:t>
      </w:r>
    </w:p>
    <w:p w14:paraId="2AC9C666" w14:textId="5AF93E57" w:rsidR="00FA6BE1" w:rsidRPr="003F1C13" w:rsidRDefault="00FA6BE1" w:rsidP="005E58CB">
      <w:pPr>
        <w:pStyle w:val="ListBullet"/>
      </w:pPr>
      <w:r w:rsidRPr="003F1C13">
        <w:t>N</w:t>
      </w:r>
      <w:r w:rsidR="005E58CB">
        <w:t xml:space="preserve"> </w:t>
      </w:r>
      <w:r w:rsidRPr="003F1C13">
        <w:t>=</w:t>
      </w:r>
      <w:r w:rsidR="005E58CB">
        <w:t xml:space="preserve"> </w:t>
      </w:r>
      <w:r w:rsidRPr="003F1C13">
        <w:t>30</w:t>
      </w:r>
      <w:r w:rsidR="00C400FE">
        <w:t xml:space="preserve"> </w:t>
      </w:r>
      <w:r w:rsidRPr="003F1C13">
        <w:t xml:space="preserve">(Group A) received the currently labelled </w:t>
      </w:r>
      <w:r w:rsidR="005E04A1">
        <w:t>standard injection volume (0.05 </w:t>
      </w:r>
      <w:r w:rsidRPr="003F1C13">
        <w:t>mL/injection point);</w:t>
      </w:r>
      <w:r w:rsidR="00C400FE">
        <w:t xml:space="preserve"> or</w:t>
      </w:r>
    </w:p>
    <w:p w14:paraId="19A03DAE" w14:textId="0FD52A3E" w:rsidR="00FA6BE1" w:rsidRPr="003F1C13" w:rsidRDefault="00FA6BE1" w:rsidP="005E58CB">
      <w:pPr>
        <w:pStyle w:val="ListBullet"/>
      </w:pPr>
      <w:r w:rsidRPr="003F1C13">
        <w:t>N</w:t>
      </w:r>
      <w:r w:rsidR="005E58CB">
        <w:t xml:space="preserve"> </w:t>
      </w:r>
      <w:r w:rsidRPr="003F1C13">
        <w:t>=</w:t>
      </w:r>
      <w:r w:rsidR="005E58CB">
        <w:t xml:space="preserve"> 32 (Group B) received the two </w:t>
      </w:r>
      <w:r w:rsidRPr="003F1C13">
        <w:t>fo</w:t>
      </w:r>
      <w:r w:rsidR="005E58CB">
        <w:t>ld larger injection volume (0.1</w:t>
      </w:r>
      <w:r w:rsidR="00C400FE">
        <w:t> </w:t>
      </w:r>
      <w:r w:rsidRPr="003F1C13">
        <w:t>mL/injection</w:t>
      </w:r>
      <w:r w:rsidR="00C400FE">
        <w:t> </w:t>
      </w:r>
      <w:r w:rsidRPr="003F1C13">
        <w:t>point)</w:t>
      </w:r>
      <w:r>
        <w:t>.</w:t>
      </w:r>
    </w:p>
    <w:p w14:paraId="336B0903" w14:textId="5D095D65" w:rsidR="00FA6BE1" w:rsidRPr="008B7EB6" w:rsidRDefault="00FA6BE1" w:rsidP="008B7EB6">
      <w:pPr>
        <w:rPr>
          <w:i/>
        </w:rPr>
      </w:pPr>
      <w:r w:rsidRPr="008B7EB6">
        <w:rPr>
          <w:i/>
        </w:rPr>
        <w:t>Efficacy parameters/endpoints</w:t>
      </w:r>
      <w:r w:rsidR="00C400FE">
        <w:rPr>
          <w:i/>
        </w:rPr>
        <w:t>:</w:t>
      </w:r>
    </w:p>
    <w:p w14:paraId="13A86507" w14:textId="3661D65A" w:rsidR="00FA6BE1" w:rsidRPr="005E58CB" w:rsidRDefault="00FA6BE1" w:rsidP="005E58CB">
      <w:pPr>
        <w:pStyle w:val="ListBullet"/>
      </w:pPr>
      <w:r w:rsidRPr="00E43276">
        <w:t>Assessment of the severity of the subject’s GFL</w:t>
      </w:r>
      <w:r w:rsidR="005E58CB">
        <w:t>s</w:t>
      </w:r>
      <w:r w:rsidRPr="00E43276">
        <w:t xml:space="preserve"> </w:t>
      </w:r>
      <w:r w:rsidR="005E58CB">
        <w:t xml:space="preserve">were conducted </w:t>
      </w:r>
      <w:r w:rsidRPr="00E43276">
        <w:t xml:space="preserve">by the </w:t>
      </w:r>
      <w:r w:rsidRPr="005E58CB">
        <w:t>treating investigator (live</w:t>
      </w:r>
      <w:r w:rsidR="005E58CB">
        <w:t xml:space="preserve"> </w:t>
      </w:r>
      <w:r w:rsidRPr="005E58CB">
        <w:t xml:space="preserve">)and an independent blinded trained evaluator </w:t>
      </w:r>
      <w:r w:rsidRPr="00E43276">
        <w:t xml:space="preserve">(photos with the films were taken at all visits under standardised lighting conditions for later evaluation) using the </w:t>
      </w:r>
      <w:proofErr w:type="spellStart"/>
      <w:r w:rsidRPr="00E43276">
        <w:t>Merz</w:t>
      </w:r>
      <w:proofErr w:type="spellEnd"/>
      <w:r>
        <w:t xml:space="preserve"> </w:t>
      </w:r>
      <w:r w:rsidR="005E58CB">
        <w:t xml:space="preserve">Aesthetics Scale (a 5 </w:t>
      </w:r>
      <w:r w:rsidRPr="00E43276">
        <w:t xml:space="preserve">point </w:t>
      </w:r>
      <w:r w:rsidR="00100060">
        <w:t>wrinkle severity scale</w:t>
      </w:r>
      <w:r w:rsidRPr="00E43276">
        <w:t>),</w:t>
      </w:r>
      <w:r w:rsidR="005E58CB">
        <w:rPr>
          <w:rStyle w:val="FootnoteReference"/>
        </w:rPr>
        <w:footnoteReference w:id="14"/>
      </w:r>
      <w:r w:rsidRPr="00E43276">
        <w:t xml:space="preserve"> at rest and at maximum frown</w:t>
      </w:r>
      <w:r w:rsidR="00F36E3C">
        <w:t xml:space="preserve"> </w:t>
      </w:r>
      <w:r w:rsidRPr="002B7755">
        <w:t>(</w:t>
      </w:r>
      <w:r w:rsidR="005E58CB">
        <w:t>the ‘dynamic’</w:t>
      </w:r>
      <w:r w:rsidRPr="005E58CB">
        <w:t xml:space="preserve"> </w:t>
      </w:r>
      <w:r w:rsidR="00100060">
        <w:t>wrinkle severity score</w:t>
      </w:r>
      <w:r w:rsidRPr="005E58CB">
        <w:t>)</w:t>
      </w:r>
      <w:r w:rsidRPr="00E43276">
        <w:t>, at Baseli</w:t>
      </w:r>
      <w:r w:rsidR="00073267">
        <w:t>ne and at all follow-up visits.</w:t>
      </w:r>
    </w:p>
    <w:p w14:paraId="1876C5EB" w14:textId="2A899380" w:rsidR="00FA6BE1" w:rsidRDefault="00FA6BE1" w:rsidP="00073267">
      <w:pPr>
        <w:pStyle w:val="ListBullet"/>
      </w:pPr>
      <w:r>
        <w:t>Subject satisfaction (based on a questionnaire) at Baseline, Vi</w:t>
      </w:r>
      <w:r w:rsidR="005E58CB">
        <w:t>sit 5 (Month 1), Visit 6 (Month</w:t>
      </w:r>
      <w:r w:rsidR="00073267">
        <w:t xml:space="preserve"> 3) and Visit 8 (Month 6).</w:t>
      </w:r>
      <w:r w:rsidR="00073267">
        <w:rPr>
          <w:rStyle w:val="FootnoteReference"/>
        </w:rPr>
        <w:footnoteReference w:id="15"/>
      </w:r>
    </w:p>
    <w:p w14:paraId="52E39B69" w14:textId="216B0333" w:rsidR="00FA6BE1" w:rsidRDefault="00FA6BE1" w:rsidP="00073267">
      <w:pPr>
        <w:pStyle w:val="ListBullet"/>
      </w:pPr>
      <w:r>
        <w:t xml:space="preserve">The subject’s estimate of the day of onset of effect on </w:t>
      </w:r>
      <w:r w:rsidR="00073267">
        <w:t>the GFLs.</w:t>
      </w:r>
      <w:r w:rsidR="00073267">
        <w:rPr>
          <w:rStyle w:val="FootnoteReference"/>
        </w:rPr>
        <w:footnoteReference w:id="16"/>
      </w:r>
    </w:p>
    <w:p w14:paraId="16344A23" w14:textId="5AFBEFF0" w:rsidR="00FA6BE1" w:rsidRPr="00073267" w:rsidRDefault="00FA6BE1" w:rsidP="00073267">
      <w:pPr>
        <w:pStyle w:val="ListBullet"/>
      </w:pPr>
      <w:r w:rsidRPr="00073267">
        <w:t>CMAPs, measured</w:t>
      </w:r>
      <w:r w:rsidR="00073267" w:rsidRPr="00073267">
        <w:t xml:space="preserve"> using </w:t>
      </w:r>
      <w:proofErr w:type="spellStart"/>
      <w:r w:rsidR="00073267" w:rsidRPr="00073267">
        <w:t>electroneurography</w:t>
      </w:r>
      <w:proofErr w:type="spellEnd"/>
      <w:r w:rsidR="00073267" w:rsidRPr="00073267">
        <w:t xml:space="preserve"> (in a</w:t>
      </w:r>
      <w:r w:rsidRPr="00073267">
        <w:t xml:space="preserve"> subgroup of subjects only) at Baseline, Day 1, Day 3, Day </w:t>
      </w:r>
      <w:r w:rsidR="00073267" w:rsidRPr="00073267">
        <w:t xml:space="preserve">7, Month 1, Month 3, and Month 6. </w:t>
      </w:r>
      <w:r w:rsidRPr="00073267">
        <w:t xml:space="preserve">CMAPs were measured separately for each corrugator </w:t>
      </w:r>
      <w:proofErr w:type="spellStart"/>
      <w:r w:rsidRPr="00073267">
        <w:t>supe</w:t>
      </w:r>
      <w:r w:rsidR="00073267">
        <w:t>rcilii</w:t>
      </w:r>
      <w:proofErr w:type="spellEnd"/>
      <w:r w:rsidR="00073267">
        <w:t xml:space="preserve"> muscle in the forehead</w:t>
      </w:r>
      <w:r w:rsidRPr="00073267">
        <w:t xml:space="preserve"> using </w:t>
      </w:r>
      <w:proofErr w:type="spellStart"/>
      <w:r w:rsidRPr="00073267">
        <w:t>electroneurography</w:t>
      </w:r>
      <w:proofErr w:type="spellEnd"/>
      <w:r w:rsidRPr="00073267">
        <w:t xml:space="preserve"> in subjects at one of the study sites (n</w:t>
      </w:r>
      <w:r w:rsidR="00073267">
        <w:t xml:space="preserve"> </w:t>
      </w:r>
      <w:r w:rsidRPr="00073267">
        <w:t>=</w:t>
      </w:r>
      <w:r w:rsidR="00073267">
        <w:t xml:space="preserve"> </w:t>
      </w:r>
      <w:r w:rsidRPr="00073267">
        <w:t xml:space="preserve">31). The temporal branch of the facial nerve was stimulated with surface electrodes (4 cm lateral to the eye). Surface recording over the corrugator </w:t>
      </w:r>
      <w:proofErr w:type="spellStart"/>
      <w:r w:rsidRPr="00073267">
        <w:t>supercilii</w:t>
      </w:r>
      <w:proofErr w:type="spellEnd"/>
      <w:r w:rsidRPr="00073267">
        <w:t xml:space="preserve"> muscles examined the amplitude of the resulting CMAP, which indicates the degree of electrical activation of the muscle, measured in millivolts, and it would be expected that this would correlate with contraction. Successful weakening of the muscle with </w:t>
      </w:r>
      <w:proofErr w:type="spellStart"/>
      <w:r w:rsidRPr="00073267">
        <w:t>Dysport</w:t>
      </w:r>
      <w:proofErr w:type="spellEnd"/>
      <w:r w:rsidRPr="00073267">
        <w:t xml:space="preserve"> would be expected to reduce the CMAP amplitude</w:t>
      </w:r>
      <w:r w:rsidR="00073267">
        <w:t>. Measurements were made at B</w:t>
      </w:r>
      <w:r w:rsidRPr="00073267">
        <w:t>aseline (pre-treatment) and at Day 1, Day 3, Day 7, Month 1, Month 3, and Month 6, and were expressed as percentag</w:t>
      </w:r>
      <w:r w:rsidR="00073267">
        <w:t>e changes relative to B</w:t>
      </w:r>
      <w:r w:rsidR="00D55B16" w:rsidRPr="00073267">
        <w:t>aseline.</w:t>
      </w:r>
    </w:p>
    <w:p w14:paraId="606B6F6E" w14:textId="34BB442D" w:rsidR="00FA6BE1" w:rsidRPr="008B7EB6" w:rsidRDefault="00D55B16" w:rsidP="008B7EB6">
      <w:pPr>
        <w:rPr>
          <w:i/>
        </w:rPr>
      </w:pPr>
      <w:r w:rsidRPr="008B7EB6">
        <w:rPr>
          <w:i/>
        </w:rPr>
        <w:t>Results</w:t>
      </w:r>
      <w:r w:rsidR="00574DEA">
        <w:rPr>
          <w:i/>
        </w:rPr>
        <w:t>:</w:t>
      </w:r>
    </w:p>
    <w:p w14:paraId="149EB5D7" w14:textId="24E70B36" w:rsidR="00FA6BE1" w:rsidRDefault="00FA6BE1" w:rsidP="00073267">
      <w:pPr>
        <w:tabs>
          <w:tab w:val="left" w:pos="567"/>
        </w:tabs>
      </w:pPr>
      <w:r>
        <w:t xml:space="preserve">The </w:t>
      </w:r>
      <w:r w:rsidR="00073267">
        <w:t xml:space="preserve">clinical evaluator commented that the </w:t>
      </w:r>
      <w:r>
        <w:t xml:space="preserve">study had a large number of methodological flaws. It was a Phase IV study with largely </w:t>
      </w:r>
      <w:proofErr w:type="spellStart"/>
      <w:r>
        <w:t>unblinded</w:t>
      </w:r>
      <w:proofErr w:type="spellEnd"/>
      <w:r>
        <w:t xml:space="preserve"> efficacy assessments and an unclear statistical methodology. No clear statistical hypothesis was advanced, and the study lacked a primary endpoint. Power calculations were not presented, and the sample size (n</w:t>
      </w:r>
      <w:r w:rsidR="00073267">
        <w:t xml:space="preserve"> </w:t>
      </w:r>
      <w:r>
        <w:t>=</w:t>
      </w:r>
      <w:r w:rsidR="00073267">
        <w:t xml:space="preserve"> </w:t>
      </w:r>
      <w:r>
        <w:t>62) seemed small and arbitrary. Most of the statistical tests performed in this study were tests that would have been suitable for a superiority study, but the aim of this study was not to show superiority of the proposed dilution, but to show equivalence between the standard dilution and the proposed dilution;</w:t>
      </w:r>
    </w:p>
    <w:p w14:paraId="2BFC32E3" w14:textId="3A5BE612" w:rsidR="00FA6BE1" w:rsidRDefault="00FA6BE1" w:rsidP="00073267">
      <w:r>
        <w:t>Most endpoints showed no significant difference between the two treatment groups, but this could reflect its poor statistical power. Only one minor endpoint, changes in CMAP, explicitly addressed the need for a non-inferiority analysis, but details of how this endpoint was analysed were not provided, and the endpoint appeared to be a low-ranking endpoint; it was only assessed in a small subset of patients (n</w:t>
      </w:r>
      <w:r w:rsidR="00073267">
        <w:t xml:space="preserve"> </w:t>
      </w:r>
      <w:r>
        <w:t>=</w:t>
      </w:r>
      <w:r w:rsidR="00073267">
        <w:t xml:space="preserve"> </w:t>
      </w:r>
      <w:r>
        <w:t>31). Furthermore, the threshold for i</w:t>
      </w:r>
      <w:r w:rsidR="005E04A1">
        <w:t xml:space="preserve">nferring inferiority (a between </w:t>
      </w:r>
      <w:r>
        <w:t>group difference in CMAP change equal to at least 10% of baseline CMAP) appeared unambitious, exceeding a difference that could be</w:t>
      </w:r>
      <w:r w:rsidR="00073267">
        <w:t xml:space="preserve"> considered clinically relevant.</w:t>
      </w:r>
    </w:p>
    <w:p w14:paraId="760C4082" w14:textId="0A413C38" w:rsidR="006406E6" w:rsidRDefault="00FA6BE1" w:rsidP="00073267">
      <w:r>
        <w:t>The</w:t>
      </w:r>
      <w:r w:rsidR="00073267">
        <w:t xml:space="preserve"> only blinded efficacy endpoint</w:t>
      </w:r>
      <w:r>
        <w:t xml:space="preserve"> </w:t>
      </w:r>
      <w:r w:rsidR="00073267">
        <w:t>(</w:t>
      </w:r>
      <w:r w:rsidR="00100060">
        <w:t>wrinkle severity scores</w:t>
      </w:r>
      <w:r>
        <w:t>), showed nominal superiority for the proposed dilu</w:t>
      </w:r>
      <w:r w:rsidR="00073267">
        <w:t>tion at a couple of time points.</w:t>
      </w:r>
    </w:p>
    <w:p w14:paraId="4132D1EB" w14:textId="3D984D96" w:rsidR="006406E6" w:rsidRDefault="00073267" w:rsidP="00073267">
      <w:pPr>
        <w:tabs>
          <w:tab w:val="left" w:pos="284"/>
        </w:tabs>
      </w:pPr>
      <w:r w:rsidRPr="008B7EB6">
        <w:rPr>
          <w:i/>
        </w:rPr>
        <w:t>Mean c</w:t>
      </w:r>
      <w:r w:rsidR="006406E6" w:rsidRPr="008B7EB6">
        <w:rPr>
          <w:i/>
        </w:rPr>
        <w:t>hanges</w:t>
      </w:r>
      <w:r w:rsidR="006406E6">
        <w:t>:</w:t>
      </w:r>
      <w:r>
        <w:t xml:space="preserve"> </w:t>
      </w:r>
      <w:r w:rsidR="006406E6">
        <w:t xml:space="preserve">nominally significant differences between groups were observed </w:t>
      </w:r>
      <w:r w:rsidR="00100060">
        <w:t xml:space="preserve">as </w:t>
      </w:r>
      <w:r w:rsidR="00385938">
        <w:t xml:space="preserve">summarised in </w:t>
      </w:r>
      <w:r>
        <w:fldChar w:fldCharType="begin"/>
      </w:r>
      <w:r>
        <w:instrText xml:space="preserve"> REF _Ref66111261 \h </w:instrText>
      </w:r>
      <w:r>
        <w:fldChar w:fldCharType="separate"/>
      </w:r>
      <w:r w:rsidR="00F533BF" w:rsidRPr="00795DE7">
        <w:t xml:space="preserve">Table </w:t>
      </w:r>
      <w:r w:rsidR="00F533BF">
        <w:rPr>
          <w:noProof/>
        </w:rPr>
        <w:t>6</w:t>
      </w:r>
      <w:r>
        <w:fldChar w:fldCharType="end"/>
      </w:r>
      <w:r>
        <w:t xml:space="preserve"> </w:t>
      </w:r>
      <w:r w:rsidR="002B7ED3">
        <w:t xml:space="preserve">and </w:t>
      </w:r>
      <w:r w:rsidR="002B7ED3">
        <w:fldChar w:fldCharType="begin"/>
      </w:r>
      <w:r w:rsidR="002B7ED3">
        <w:instrText xml:space="preserve"> REF _Ref66111472 \h </w:instrText>
      </w:r>
      <w:r w:rsidR="002B7ED3">
        <w:fldChar w:fldCharType="separate"/>
      </w:r>
      <w:r w:rsidR="00F533BF" w:rsidRPr="00795DE7">
        <w:t xml:space="preserve">Figure </w:t>
      </w:r>
      <w:r w:rsidR="00F533BF">
        <w:rPr>
          <w:noProof/>
        </w:rPr>
        <w:t>3</w:t>
      </w:r>
      <w:r w:rsidR="002B7ED3">
        <w:fldChar w:fldCharType="end"/>
      </w:r>
      <w:r w:rsidR="00385938">
        <w:t xml:space="preserve"> shown</w:t>
      </w:r>
      <w:r w:rsidR="006406E6">
        <w:t xml:space="preserve"> below</w:t>
      </w:r>
      <w:r w:rsidR="00385938">
        <w:t>,</w:t>
      </w:r>
      <w:r w:rsidR="006406E6">
        <w:t xml:space="preserve"> in favour of the new dilution, at Day 1, Day 3 and Day 14, </w:t>
      </w:r>
      <w:r w:rsidR="002B7ED3">
        <w:t>and at Month 1 and Month 3 (p-</w:t>
      </w:r>
      <w:r w:rsidR="006406E6">
        <w:t>values: 0.018, 0.050, 0.015, 0.041 and 0.038, respectively).</w:t>
      </w:r>
    </w:p>
    <w:p w14:paraId="410ADD63" w14:textId="6D6486B3" w:rsidR="006406E6" w:rsidRPr="00795DE7" w:rsidRDefault="006406E6" w:rsidP="00073267">
      <w:pPr>
        <w:pStyle w:val="TableTitle"/>
      </w:pPr>
      <w:bookmarkStart w:id="49" w:name="_Ref66111261"/>
      <w:r w:rsidRPr="00795DE7">
        <w:t xml:space="preserve">Table </w:t>
      </w:r>
      <w:fldSimple w:instr=" SEQ Table \* ARABIC ">
        <w:r w:rsidR="00F533BF">
          <w:rPr>
            <w:noProof/>
          </w:rPr>
          <w:t>6</w:t>
        </w:r>
      </w:fldSimple>
      <w:bookmarkEnd w:id="49"/>
      <w:r w:rsidR="00073267">
        <w:t xml:space="preserve">: </w:t>
      </w:r>
      <w:r w:rsidR="00574DEA" w:rsidRPr="00D625B8">
        <w:t>S</w:t>
      </w:r>
      <w:r w:rsidR="00574DEA">
        <w:t xml:space="preserve">tudy 05PF1311 </w:t>
      </w:r>
      <w:r w:rsidR="00073267">
        <w:t>Difference (Group B minus</w:t>
      </w:r>
      <w:r w:rsidRPr="00795DE7">
        <w:t xml:space="preserve"> Group A) in mean change fr</w:t>
      </w:r>
      <w:r w:rsidR="00073267">
        <w:t xml:space="preserve">om Baseline in </w:t>
      </w:r>
      <w:r w:rsidR="00385938">
        <w:t xml:space="preserve">dynamic </w:t>
      </w:r>
      <w:r w:rsidR="00100060">
        <w:t>w</w:t>
      </w:r>
      <w:r w:rsidR="002B7ED3">
        <w:t xml:space="preserve">rinkle </w:t>
      </w:r>
      <w:r w:rsidR="00100060">
        <w:t>s</w:t>
      </w:r>
      <w:r w:rsidR="002B7ED3">
        <w:t xml:space="preserve">everity </w:t>
      </w:r>
      <w:r w:rsidR="00100060">
        <w:t>scores</w:t>
      </w:r>
      <w:r w:rsidR="00073267">
        <w:t>, intent to treat p</w:t>
      </w:r>
      <w:r w:rsidRPr="00795DE7">
        <w:t>opulation</w:t>
      </w:r>
    </w:p>
    <w:p w14:paraId="3FD21138" w14:textId="159BBB21" w:rsidR="006406E6" w:rsidRDefault="006406E6" w:rsidP="002B7ED3">
      <w:r>
        <w:rPr>
          <w:noProof/>
          <w:lang w:eastAsia="en-AU"/>
        </w:rPr>
        <w:drawing>
          <wp:inline distT="0" distB="0" distL="0" distR="0" wp14:anchorId="653BF5C3" wp14:editId="03264334">
            <wp:extent cx="4421875" cy="2344360"/>
            <wp:effectExtent l="0" t="0" r="0" b="0"/>
            <wp:docPr id="4523" name="Picture 4523" descr="Difference (Group B minus Group A) in mean change from Baseline in Wrinkle Severity Scale dynamic, intent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6390" cy="2468693"/>
                    </a:xfrm>
                    <a:prstGeom prst="rect">
                      <a:avLst/>
                    </a:prstGeom>
                    <a:noFill/>
                    <a:ln>
                      <a:noFill/>
                    </a:ln>
                  </pic:spPr>
                </pic:pic>
              </a:graphicData>
            </a:graphic>
          </wp:inline>
        </w:drawing>
      </w:r>
    </w:p>
    <w:p w14:paraId="1266AD0B" w14:textId="1893C0FA" w:rsidR="00574DEA" w:rsidRDefault="00574DEA" w:rsidP="008B7EB6">
      <w:pPr>
        <w:pStyle w:val="TableDescription"/>
      </w:pPr>
      <w:proofErr w:type="spellStart"/>
      <w:r>
        <w:t>Std</w:t>
      </w:r>
      <w:proofErr w:type="spellEnd"/>
      <w:r>
        <w:t xml:space="preserve"> = standard deviation</w:t>
      </w:r>
    </w:p>
    <w:p w14:paraId="775EF169" w14:textId="7792DD28" w:rsidR="00100060" w:rsidRPr="002B7ED3" w:rsidRDefault="00100060" w:rsidP="008B7EB6">
      <w:pPr>
        <w:pStyle w:val="TableDescription"/>
      </w:pPr>
      <w:r>
        <w:t xml:space="preserve">Wrinkle severity ratings scored according to </w:t>
      </w:r>
      <w:proofErr w:type="spellStart"/>
      <w:r w:rsidRPr="00100060">
        <w:t>Merz</w:t>
      </w:r>
      <w:proofErr w:type="spellEnd"/>
      <w:r w:rsidRPr="00100060">
        <w:t xml:space="preserve"> Aesthetics Scale for the upper face</w:t>
      </w:r>
      <w:r>
        <w:t>.</w:t>
      </w:r>
    </w:p>
    <w:p w14:paraId="78EB5C7E" w14:textId="0FA5574B" w:rsidR="006406E6" w:rsidRPr="00795DE7" w:rsidRDefault="006406E6" w:rsidP="002B7ED3">
      <w:pPr>
        <w:pStyle w:val="FigureTitle"/>
      </w:pPr>
      <w:bookmarkStart w:id="50" w:name="_Ref66111472"/>
      <w:r w:rsidRPr="00795DE7">
        <w:t xml:space="preserve">Figure </w:t>
      </w:r>
      <w:fldSimple w:instr=" SEQ Figure \* ARABIC ">
        <w:r w:rsidR="00F533BF">
          <w:rPr>
            <w:noProof/>
          </w:rPr>
          <w:t>3</w:t>
        </w:r>
      </w:fldSimple>
      <w:bookmarkEnd w:id="50"/>
      <w:r w:rsidR="002B7ED3">
        <w:t>:</w:t>
      </w:r>
      <w:r w:rsidRPr="00795DE7">
        <w:t xml:space="preserve"> </w:t>
      </w:r>
      <w:r w:rsidR="00385938" w:rsidRPr="00D625B8">
        <w:t>S</w:t>
      </w:r>
      <w:r w:rsidR="00385938">
        <w:t>tudy 05PF1311 Post-injection i</w:t>
      </w:r>
      <w:r w:rsidRPr="00795DE7">
        <w:t xml:space="preserve">ndependent </w:t>
      </w:r>
      <w:r w:rsidR="00100060">
        <w:t xml:space="preserve">mean </w:t>
      </w:r>
      <w:r w:rsidR="00385938">
        <w:t xml:space="preserve">dynamic </w:t>
      </w:r>
      <w:r w:rsidR="00100060">
        <w:t>w</w:t>
      </w:r>
      <w:r w:rsidR="002B7ED3">
        <w:t xml:space="preserve">rinkle </w:t>
      </w:r>
      <w:r w:rsidR="00100060">
        <w:t>s</w:t>
      </w:r>
      <w:r w:rsidR="002B7ED3">
        <w:t xml:space="preserve">everity </w:t>
      </w:r>
      <w:r w:rsidR="00100060">
        <w:t xml:space="preserve">scores </w:t>
      </w:r>
      <w:r w:rsidRPr="00795DE7">
        <w:t xml:space="preserve">at </w:t>
      </w:r>
      <w:r w:rsidR="002B7ED3" w:rsidRPr="00795DE7">
        <w:t>maximum frown</w:t>
      </w:r>
      <w:r w:rsidR="00385938">
        <w:t xml:space="preserve"> expression</w:t>
      </w:r>
    </w:p>
    <w:p w14:paraId="23D86398" w14:textId="7C52DDC8" w:rsidR="00FA6BE1" w:rsidRDefault="006406E6" w:rsidP="002B7ED3">
      <w:r>
        <w:rPr>
          <w:noProof/>
          <w:lang w:eastAsia="en-AU"/>
        </w:rPr>
        <w:drawing>
          <wp:inline distT="0" distB="0" distL="0" distR="0" wp14:anchorId="436BC7BF" wp14:editId="054D7D5F">
            <wp:extent cx="4590034" cy="2937352"/>
            <wp:effectExtent l="0" t="0" r="1270" b="0"/>
            <wp:docPr id="4524" name="Picture 4524" descr="Independent wrinkle severity scores at maximum frown, mean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1983" cy="2957797"/>
                    </a:xfrm>
                    <a:prstGeom prst="rect">
                      <a:avLst/>
                    </a:prstGeom>
                    <a:noFill/>
                    <a:ln>
                      <a:noFill/>
                    </a:ln>
                  </pic:spPr>
                </pic:pic>
              </a:graphicData>
            </a:graphic>
          </wp:inline>
        </w:drawing>
      </w:r>
    </w:p>
    <w:p w14:paraId="121347C8" w14:textId="3EAF35D4" w:rsidR="00100060" w:rsidRDefault="00100060" w:rsidP="0024140D">
      <w:pPr>
        <w:pStyle w:val="TableDescription"/>
      </w:pPr>
      <w:r>
        <w:t xml:space="preserve">Wrinkle severity ratings scored according to </w:t>
      </w:r>
      <w:proofErr w:type="spellStart"/>
      <w:r w:rsidRPr="00100060">
        <w:t>Merz</w:t>
      </w:r>
      <w:proofErr w:type="spellEnd"/>
      <w:r w:rsidRPr="00100060">
        <w:t xml:space="preserve"> Aesthetics Scale for the upper face</w:t>
      </w:r>
      <w:r>
        <w:t>.</w:t>
      </w:r>
    </w:p>
    <w:p w14:paraId="018A8428" w14:textId="15CD6390" w:rsidR="00FA6BE1" w:rsidRDefault="00FA6BE1" w:rsidP="002B7ED3">
      <w:r>
        <w:t>Despite these very substantial limitations, the two treatments appeared to be broadly equivalent, with several endpoints showing trends in favour of the proposed dilution, a few endpoints and time points showing trends in favour of the standard dilution, and scattered comparisons at isolated time points showing nominal superiorit</w:t>
      </w:r>
      <w:r w:rsidR="002B7ED3">
        <w:t>y of one treatment or the other.</w:t>
      </w:r>
    </w:p>
    <w:p w14:paraId="39FC9081" w14:textId="2F5B51FA" w:rsidR="00FA6BE1" w:rsidRDefault="00FA6BE1" w:rsidP="002B7ED3">
      <w:r w:rsidRPr="00FF638D">
        <w:t xml:space="preserve">Overall, the study should be formally rejected because of its inadequate methodology. </w:t>
      </w:r>
      <w:r>
        <w:t>However, g</w:t>
      </w:r>
      <w:r w:rsidRPr="00FF638D">
        <w:t>iven that the change</w:t>
      </w:r>
      <w:r w:rsidR="002B7ED3">
        <w:t xml:space="preserve"> proposed by the s</w:t>
      </w:r>
      <w:r w:rsidRPr="00FF638D">
        <w:t>ponsor is fairly minor (changing the recommended dilution while keeping the dose and indication unchanged), and that most of the trends favoured the proposed dilution, and the only non-inferiority analysis achieved a satisfactory outcome, the study can be interpreted as p</w:t>
      </w:r>
      <w:r w:rsidR="002B7ED3">
        <w:t>roviding some weak support for s</w:t>
      </w:r>
      <w:r w:rsidRPr="00FF638D">
        <w:t>ponsor’s proposed dilution.</w:t>
      </w:r>
    </w:p>
    <w:p w14:paraId="60571F45" w14:textId="77777777" w:rsidR="002B7ED3" w:rsidRDefault="00FA6BE1" w:rsidP="002B7ED3">
      <w:r>
        <w:t xml:space="preserve">No study directly assessed the proposed dilution in the treatment of </w:t>
      </w:r>
      <w:r w:rsidR="002B7ED3">
        <w:t>LCLs, but the clinical e</w:t>
      </w:r>
      <w:r>
        <w:t>valuator believes that this omission is acceptable given the relatively minor nature of the proposed change and the broad similarity of the safety and efficacy issues in LCL</w:t>
      </w:r>
      <w:r w:rsidR="002B7ED3">
        <w:t>s</w:t>
      </w:r>
      <w:r>
        <w:t xml:space="preserve"> and GFL</w:t>
      </w:r>
      <w:r w:rsidR="002B7ED3">
        <w:t>s.</w:t>
      </w:r>
    </w:p>
    <w:p w14:paraId="3F9C7030" w14:textId="036575D3" w:rsidR="00FA6BE1" w:rsidRPr="007B6EEB" w:rsidRDefault="002B7ED3" w:rsidP="002B7ED3">
      <w:r>
        <w:t>The Delegate commented that their</w:t>
      </w:r>
      <w:r w:rsidR="00FA6BE1" w:rsidRPr="007B6EEB">
        <w:t xml:space="preserve"> preference is to approve the proposed dilution while keeping the already approved standard</w:t>
      </w:r>
      <w:r>
        <w:t xml:space="preserve"> dilution. The choice</w:t>
      </w:r>
      <w:r w:rsidR="00FA6BE1" w:rsidRPr="007B6EEB">
        <w:t xml:space="preserve"> of which dilution to use is </w:t>
      </w:r>
      <w:r>
        <w:t>then dependent on the treating</w:t>
      </w:r>
      <w:r w:rsidR="00FA6BE1" w:rsidRPr="007B6EEB">
        <w:t xml:space="preserve"> p</w:t>
      </w:r>
      <w:r>
        <w:t xml:space="preserve">hysician, as agreed to by the </w:t>
      </w:r>
      <w:r w:rsidR="00FA6BE1" w:rsidRPr="007B6EEB">
        <w:t>consumer patient.</w:t>
      </w:r>
    </w:p>
    <w:p w14:paraId="6F88A9BE" w14:textId="77777777" w:rsidR="00D55B16" w:rsidRDefault="00FA6BE1" w:rsidP="00D55B16">
      <w:pPr>
        <w:pStyle w:val="Heading6"/>
      </w:pPr>
      <w:r w:rsidRPr="005632DC">
        <w:t xml:space="preserve">Study </w:t>
      </w:r>
      <w:r w:rsidR="00D55B16">
        <w:t>GLI.04.SRE.US10348</w:t>
      </w:r>
    </w:p>
    <w:p w14:paraId="57A9E851" w14:textId="02D41BAB" w:rsidR="00FA6BE1" w:rsidRDefault="00385938" w:rsidP="002B7ED3">
      <w:r>
        <w:t>This was a</w:t>
      </w:r>
      <w:r w:rsidR="002B7ED3">
        <w:t xml:space="preserve"> p</w:t>
      </w:r>
      <w:r w:rsidR="00FA6BE1" w:rsidRPr="00546DFC">
        <w:t xml:space="preserve">rospective, </w:t>
      </w:r>
      <w:r w:rsidR="002B7ED3" w:rsidRPr="00546DFC">
        <w:t>randomi</w:t>
      </w:r>
      <w:r w:rsidR="002B7ED3">
        <w:t xml:space="preserve">sed, multicentre, subject and evaluator </w:t>
      </w:r>
      <w:r w:rsidR="002B7ED3" w:rsidRPr="00546DFC">
        <w:t>blinded, parall</w:t>
      </w:r>
      <w:r w:rsidR="002B7ED3">
        <w:t xml:space="preserve">el comparison of </w:t>
      </w:r>
      <w:proofErr w:type="spellStart"/>
      <w:r w:rsidR="002B7ED3">
        <w:t>Dysport</w:t>
      </w:r>
      <w:proofErr w:type="spellEnd"/>
      <w:r w:rsidR="002B7ED3">
        <w:t>, when reconstituted at 1.5 mL</w:t>
      </w:r>
      <w:r w:rsidR="002B7ED3" w:rsidRPr="00546DFC">
        <w:t xml:space="preserve"> an</w:t>
      </w:r>
      <w:r w:rsidR="002B7ED3">
        <w:t>d 2.5 mL, for the treatment of</w:t>
      </w:r>
      <w:r w:rsidR="002B7ED3" w:rsidRPr="00546DFC">
        <w:t xml:space="preserve"> mode</w:t>
      </w:r>
      <w:r w:rsidR="002B7ED3">
        <w:t>rate to severe GLs.</w:t>
      </w:r>
    </w:p>
    <w:p w14:paraId="50FC3559" w14:textId="69A5FC97" w:rsidR="00FA6BE1" w:rsidRPr="001B3D19" w:rsidRDefault="002B7ED3" w:rsidP="002B7ED3">
      <w:pPr>
        <w:rPr>
          <w:lang w:eastAsia="ja-JP"/>
        </w:rPr>
      </w:pPr>
      <w:r>
        <w:rPr>
          <w:lang w:eastAsia="ja-JP"/>
        </w:rPr>
        <w:t>The clinical evaluator commented that i</w:t>
      </w:r>
      <w:r w:rsidR="00FA6BE1">
        <w:t>n principle, this study has limited relevance</w:t>
      </w:r>
      <w:r>
        <w:t xml:space="preserve"> to the current submission. </w:t>
      </w:r>
      <w:r w:rsidR="00FA6BE1">
        <w:t xml:space="preserve">The study did not assess the proposed dilution and injection volume (0.10 </w:t>
      </w:r>
      <w:r>
        <w:t>mL</w:t>
      </w:r>
      <w:r w:rsidR="00FA6BE1">
        <w:t>/injection site) but instead, assessed</w:t>
      </w:r>
      <w:r>
        <w:t xml:space="preserve"> a lower injection volume (0.08</w:t>
      </w:r>
      <w:r w:rsidR="00D55B16">
        <w:t xml:space="preserve"> mL/injection site).</w:t>
      </w:r>
    </w:p>
    <w:p w14:paraId="76976ACD" w14:textId="77777777" w:rsidR="0079120C" w:rsidRDefault="0079120C" w:rsidP="0079120C">
      <w:pPr>
        <w:pStyle w:val="Heading4"/>
      </w:pPr>
      <w:r>
        <w:t>Safety</w:t>
      </w:r>
    </w:p>
    <w:p w14:paraId="29E921A7" w14:textId="0DB3486C" w:rsidR="008049CB" w:rsidRDefault="008049CB" w:rsidP="008049CB">
      <w:pPr>
        <w:autoSpaceDE w:val="0"/>
        <w:autoSpaceDN w:val="0"/>
      </w:pPr>
      <w:r>
        <w:t xml:space="preserve">The safety of </w:t>
      </w:r>
      <w:proofErr w:type="spellStart"/>
      <w:r>
        <w:t>Dysport</w:t>
      </w:r>
      <w:proofErr w:type="spellEnd"/>
      <w:r>
        <w:t xml:space="preserve"> is acceptable and the proposed </w:t>
      </w:r>
      <w:r w:rsidR="002B7ED3">
        <w:t>extension of indications</w:t>
      </w:r>
      <w:r>
        <w:t xml:space="preserve"> and </w:t>
      </w:r>
      <w:r w:rsidR="00385938">
        <w:t xml:space="preserve">new </w:t>
      </w:r>
      <w:r>
        <w:t xml:space="preserve">dilution </w:t>
      </w:r>
      <w:r w:rsidR="00385938">
        <w:t xml:space="preserve">option </w:t>
      </w:r>
      <w:r>
        <w:t>do not raise any subs</w:t>
      </w:r>
      <w:r w:rsidR="00D55B16">
        <w:t>tantial new safety concerns.</w:t>
      </w:r>
    </w:p>
    <w:p w14:paraId="6FBCBBC9" w14:textId="3A9C21CD" w:rsidR="008049CB" w:rsidRPr="002B7ED3" w:rsidRDefault="008049CB" w:rsidP="002B7ED3">
      <w:pPr>
        <w:pStyle w:val="Heading5"/>
      </w:pPr>
      <w:r w:rsidRPr="002B7ED3">
        <w:t>Uppe</w:t>
      </w:r>
      <w:r w:rsidR="002B7ED3">
        <w:t>r limb spasticity in children (p</w:t>
      </w:r>
      <w:r w:rsidRPr="002B7ED3">
        <w:t>aediatric)</w:t>
      </w:r>
    </w:p>
    <w:p w14:paraId="5129DFEF" w14:textId="56518D73" w:rsidR="008049CB" w:rsidRDefault="005559DC" w:rsidP="002B7ED3">
      <w:r>
        <w:t>AEs</w:t>
      </w:r>
      <w:r w:rsidR="008049CB">
        <w:t xml:space="preserve"> occurred with a similar frequ</w:t>
      </w:r>
      <w:r w:rsidR="002B7ED3">
        <w:t>ency in subjects who received</w:t>
      </w:r>
      <w:r w:rsidR="008049CB">
        <w:t xml:space="preserve"> therapeutic dose (8 U/kg or 16 U/kg) or a </w:t>
      </w:r>
      <w:proofErr w:type="spellStart"/>
      <w:r w:rsidR="008049CB">
        <w:t>s</w:t>
      </w:r>
      <w:r w:rsidR="002B7ED3">
        <w:t>ubtherapeutic</w:t>
      </w:r>
      <w:proofErr w:type="spellEnd"/>
      <w:r w:rsidR="002B7ED3">
        <w:t xml:space="preserve"> control dose (2 U/kg).</w:t>
      </w:r>
    </w:p>
    <w:p w14:paraId="007E0660" w14:textId="5C80F3CA" w:rsidR="008049CB" w:rsidRDefault="008049CB" w:rsidP="002B7ED3">
      <w:r>
        <w:t xml:space="preserve">When used to treat limb spasticity, </w:t>
      </w:r>
      <w:proofErr w:type="spellStart"/>
      <w:r>
        <w:t>Dysport</w:t>
      </w:r>
      <w:proofErr w:type="spellEnd"/>
      <w:r>
        <w:t xml:space="preserve"> is associated with </w:t>
      </w:r>
      <w:r w:rsidR="002B7ED3">
        <w:t>a risk of</w:t>
      </w:r>
      <w:r>
        <w:t xml:space="preserve"> weakness in the treated limb, so the decisi</w:t>
      </w:r>
      <w:r w:rsidR="002B7ED3">
        <w:t xml:space="preserve">on to inject </w:t>
      </w:r>
      <w:proofErr w:type="spellStart"/>
      <w:r w:rsidR="002B7ED3">
        <w:t>Dysport</w:t>
      </w:r>
      <w:proofErr w:type="spellEnd"/>
      <w:r w:rsidR="002B7ED3">
        <w:t xml:space="preserve"> should be</w:t>
      </w:r>
      <w:r>
        <w:t xml:space="preserve"> made by an experienced clinician. This is alread</w:t>
      </w:r>
      <w:r w:rsidR="002B7ED3">
        <w:t xml:space="preserve">y a known issue in relation to treatment of </w:t>
      </w:r>
      <w:r>
        <w:t>lower limb spasticity; the proposed extension to includ</w:t>
      </w:r>
      <w:r w:rsidR="002B7ED3">
        <w:t>e upper limb spasticity in children carries no extra risk.</w:t>
      </w:r>
    </w:p>
    <w:p w14:paraId="7DC73609" w14:textId="77777777" w:rsidR="008049CB" w:rsidRDefault="008049CB" w:rsidP="002B7ED3">
      <w:r>
        <w:t xml:space="preserve">Weakness at sites distant from the treated muscle may occasionally be observed, suggesting some systemic spread of toxin. This was not evident in the submitted spasticity studies, but weakness has been noted with post-marketing surveillance, with some reports of dysphagia after treatment of limb spasticity. In the previously evaluated lower limb studies with </w:t>
      </w:r>
      <w:proofErr w:type="spellStart"/>
      <w:r>
        <w:t>Dysport</w:t>
      </w:r>
      <w:proofErr w:type="spellEnd"/>
      <w:r>
        <w:t>, there was also an overall excess of respiratory events. Treatment in the upper limbs, especially very proximal treatment, poses some risks related to local spread that are not present in the lower limbs, because local spread can involve the neck muscles, including those required for adequate airway protection. This did not emerge as an issue in the submitted studies, but the submitted PUL study was small, and extra vigilance might have resulted from the study situation; local spread to the neck could occur when larger numbers of children are treated in a real world environment. This issue is already covered in the PI, as follows:</w:t>
      </w:r>
    </w:p>
    <w:p w14:paraId="0823493D" w14:textId="43A5DEB9" w:rsidR="008049CB" w:rsidRDefault="002B7ED3" w:rsidP="002B7ED3">
      <w:pPr>
        <w:ind w:left="720"/>
      </w:pPr>
      <w:r w:rsidRPr="002B7ED3">
        <w:t>‘</w:t>
      </w:r>
      <w:r w:rsidR="008049CB" w:rsidRPr="002B7ED3">
        <w:t>There have been rare spontaneous reports of death sometimes associated with aspiration pneumonia in children with severe cerebral palsy after treatment with botulinum toxin, including following off label use (e.g. neck area). Extreme caution</w:t>
      </w:r>
      <w:r w:rsidRPr="002B7ED3">
        <w:t xml:space="preserve"> </w:t>
      </w:r>
      <w:r w:rsidR="008049CB" w:rsidRPr="002B7ED3">
        <w:t>should be exercised when treating paediatric patients who have significant neurologic debility, dysphagia, or have a recent history of aspiration pneumonia or lung disease</w:t>
      </w:r>
      <w:r w:rsidRPr="002B7ED3">
        <w:t>’</w:t>
      </w:r>
      <w:r w:rsidR="008049CB" w:rsidRPr="002B7ED3">
        <w:t>.</w:t>
      </w:r>
    </w:p>
    <w:p w14:paraId="30277DB2" w14:textId="705D1BA5" w:rsidR="008049CB" w:rsidRDefault="008049CB" w:rsidP="002B7ED3">
      <w:r>
        <w:t xml:space="preserve">Doses in the upper limb are generally lower than those used in the lower limb, suggesting that treatment of a single </w:t>
      </w:r>
      <w:r w:rsidR="002B7ED3">
        <w:t xml:space="preserve">upper limb would carry a lower risk of </w:t>
      </w:r>
      <w:r>
        <w:t xml:space="preserve">unwanted </w:t>
      </w:r>
      <w:r w:rsidRPr="00BA4059">
        <w:rPr>
          <w:i/>
        </w:rPr>
        <w:t>systemic</w:t>
      </w:r>
      <w:r>
        <w:t xml:space="preserve"> exposure, but</w:t>
      </w:r>
      <w:r w:rsidR="002B7ED3">
        <w:t xml:space="preserve"> the addition of an upper limb </w:t>
      </w:r>
      <w:r>
        <w:t>indication will lead to some children being tr</w:t>
      </w:r>
      <w:r w:rsidR="002B7ED3">
        <w:t xml:space="preserve">eated concurrently in the upper </w:t>
      </w:r>
      <w:r>
        <w:t>and lower limbs; this means that such children will receive a greater total dose</w:t>
      </w:r>
      <w:r w:rsidR="00347FDF">
        <w:t>.</w:t>
      </w:r>
    </w:p>
    <w:p w14:paraId="6B3D748F" w14:textId="27EFDEFC" w:rsidR="008049CB" w:rsidRPr="00FC0052" w:rsidRDefault="008049CB" w:rsidP="002B7ED3">
      <w:r>
        <w:t>Although doses up to 16 U/kg were adequately tested in the submitted study, higher total body doses were not adequately tested. The upper range of the proposed paediatric total body doses were not tested at all during the low-dose controlled phase of the pivotal spasticity cycle (</w:t>
      </w:r>
      <w:r w:rsidR="002B7ED3">
        <w:t>TC</w:t>
      </w:r>
      <w:r>
        <w:t>1), and relatively few children received doses at the upper end of the proposed total dose range in later cycles: onl</w:t>
      </w:r>
      <w:r w:rsidR="002B7ED3">
        <w:t>y 22 subjects received 30 U/kg (</w:t>
      </w:r>
      <w:r w:rsidRPr="002B7ED3">
        <w:t>allocat</w:t>
      </w:r>
      <w:r w:rsidR="002B7ED3" w:rsidRPr="002B7ED3">
        <w:t>ed for treatment of both upper and</w:t>
      </w:r>
      <w:r w:rsidRPr="002B7ED3">
        <w:t xml:space="preserve"> lower limbs</w:t>
      </w:r>
      <w:r w:rsidR="002B7ED3">
        <w:t>) in TC</w:t>
      </w:r>
      <w:r>
        <w:t xml:space="preserve">2; </w:t>
      </w:r>
      <w:r w:rsidRPr="00FC0052">
        <w:t xml:space="preserve">19 </w:t>
      </w:r>
      <w:r>
        <w:t xml:space="preserve">subjects </w:t>
      </w:r>
      <w:r w:rsidR="002B7ED3">
        <w:t>in TC</w:t>
      </w:r>
      <w:r w:rsidRPr="00FC0052">
        <w:t xml:space="preserve">3 and 8 </w:t>
      </w:r>
      <w:r w:rsidR="002B7ED3">
        <w:t>subjects in TC</w:t>
      </w:r>
      <w:r>
        <w:t>4</w:t>
      </w:r>
      <w:r w:rsidRPr="00FC0052">
        <w:t>.</w:t>
      </w:r>
    </w:p>
    <w:p w14:paraId="2C4C07DA" w14:textId="4B340923" w:rsidR="008049CB" w:rsidRPr="002B7ED3" w:rsidRDefault="008049CB" w:rsidP="002B7ED3">
      <w:r>
        <w:t xml:space="preserve">In adults, the </w:t>
      </w:r>
      <w:r w:rsidRPr="008B693A">
        <w:t xml:space="preserve">maximum </w:t>
      </w:r>
      <w:r>
        <w:t xml:space="preserve">recommended </w:t>
      </w:r>
      <w:r w:rsidRPr="008B693A">
        <w:t xml:space="preserve">dose for </w:t>
      </w:r>
      <w:r>
        <w:t xml:space="preserve">treatment of spasticity is </w:t>
      </w:r>
      <w:r w:rsidRPr="008B693A">
        <w:t>1</w:t>
      </w:r>
      <w:r>
        <w:t>,</w:t>
      </w:r>
      <w:r w:rsidRPr="008B693A">
        <w:t>000</w:t>
      </w:r>
      <w:r w:rsidR="002B7ED3">
        <w:t xml:space="preserve"> </w:t>
      </w:r>
      <w:r w:rsidRPr="008B693A">
        <w:t>U in a single treatment session</w:t>
      </w:r>
      <w:r>
        <w:t xml:space="preserve"> involving the upper limb without the lower limb, or 1,500 </w:t>
      </w:r>
      <w:r w:rsidR="00347FDF">
        <w:t xml:space="preserve">U </w:t>
      </w:r>
      <w:r>
        <w:t>when the upper limb and lower limb are both treated. The total body maximum dose for adults is therefore 21.4 U</w:t>
      </w:r>
      <w:r w:rsidR="00347FDF">
        <w:t>/kg</w:t>
      </w:r>
      <w:r>
        <w:t xml:space="preserve"> for a 70 kg subject</w:t>
      </w:r>
      <w:r w:rsidR="00347FDF">
        <w:t>,</w:t>
      </w:r>
      <w:r>
        <w:t xml:space="preserve"> or 25 </w:t>
      </w:r>
      <w:r w:rsidR="00347FDF">
        <w:t xml:space="preserve">U/kg </w:t>
      </w:r>
      <w:r>
        <w:t xml:space="preserve">for a 60 kg subject. </w:t>
      </w:r>
      <w:r w:rsidRPr="007B6EEB">
        <w:t>These calculations suggest that there is a discrepancy between the total session maximum recommended for adults (21.4 U/kg for a 70 kg patient) and the total session maximum recommend</w:t>
      </w:r>
      <w:r w:rsidR="00977534">
        <w:t>ed for children (30 U/kg). The s</w:t>
      </w:r>
      <w:r w:rsidRPr="007B6EEB">
        <w:t xml:space="preserve">ponsor </w:t>
      </w:r>
      <w:r w:rsidR="00977534">
        <w:t>was</w:t>
      </w:r>
      <w:r w:rsidRPr="007B6EEB">
        <w:t xml:space="preserve"> asked to comment on this discrepancy</w:t>
      </w:r>
      <w:r w:rsidR="00977534">
        <w:t xml:space="preserve"> (see ‘</w:t>
      </w:r>
      <w:r w:rsidR="00977534" w:rsidRPr="00977534">
        <w:rPr>
          <w:i/>
        </w:rPr>
        <w:fldChar w:fldCharType="begin"/>
      </w:r>
      <w:r w:rsidR="00977534" w:rsidRPr="00977534">
        <w:rPr>
          <w:i/>
        </w:rPr>
        <w:instrText xml:space="preserve"> REF _Ref66112075 \h </w:instrText>
      </w:r>
      <w:r w:rsidR="00977534">
        <w:rPr>
          <w:i/>
        </w:rPr>
        <w:instrText xml:space="preserve"> \* MERGEFORMAT </w:instrText>
      </w:r>
      <w:r w:rsidR="00977534" w:rsidRPr="00977534">
        <w:rPr>
          <w:i/>
        </w:rPr>
      </w:r>
      <w:r w:rsidR="00977534" w:rsidRPr="00977534">
        <w:rPr>
          <w:i/>
        </w:rPr>
        <w:fldChar w:fldCharType="separate"/>
      </w:r>
      <w:r w:rsidR="00F533BF" w:rsidRPr="00F533BF">
        <w:rPr>
          <w:i/>
        </w:rPr>
        <w:t>Dosage selection information for the pivotal study</w:t>
      </w:r>
      <w:r w:rsidR="00977534" w:rsidRPr="00977534">
        <w:rPr>
          <w:i/>
        </w:rPr>
        <w:fldChar w:fldCharType="end"/>
      </w:r>
      <w:r w:rsidR="00977534">
        <w:t>’ section, above)</w:t>
      </w:r>
      <w:r w:rsidRPr="007B6EEB">
        <w:t>.</w:t>
      </w:r>
    </w:p>
    <w:p w14:paraId="5AE7C0D5" w14:textId="28FE74DA" w:rsidR="008049CB" w:rsidRPr="00977534" w:rsidRDefault="00977534" w:rsidP="00977534">
      <w:pPr>
        <w:pStyle w:val="Heading5"/>
      </w:pPr>
      <w:r>
        <w:t>Proposed d</w:t>
      </w:r>
      <w:r w:rsidR="008049CB" w:rsidRPr="00977534">
        <w:t>ilution</w:t>
      </w:r>
    </w:p>
    <w:p w14:paraId="5AF8A83C" w14:textId="5C954DDE" w:rsidR="008049CB" w:rsidRDefault="00977534" w:rsidP="00977534">
      <w:r>
        <w:t>AEs</w:t>
      </w:r>
      <w:r w:rsidR="008049CB">
        <w:t xml:space="preserve"> appeared with a similar incidence with the standard and proposed dilutions in the pivotal GFL study. The proposed dilution for cosmetic indications has only been tested in 32 subjects who received it for </w:t>
      </w:r>
      <w:r>
        <w:t>GFLs</w:t>
      </w:r>
      <w:r w:rsidR="008049CB">
        <w:t>, however, and it has not been tested in any subjects for tre</w:t>
      </w:r>
      <w:r>
        <w:t>atment of LCLs.</w:t>
      </w:r>
    </w:p>
    <w:p w14:paraId="0BAF25F5" w14:textId="49A795C1" w:rsidR="008049CB" w:rsidRDefault="008049CB" w:rsidP="00977534">
      <w:r>
        <w:t>The proposed dilution does not affect the total dose administered, so the safety implications of the dilution are expected to be minimal, but the increased dilution c</w:t>
      </w:r>
      <w:r w:rsidR="00977534">
        <w:t>ould reasonably be expected to:</w:t>
      </w:r>
    </w:p>
    <w:p w14:paraId="66679D94" w14:textId="6CE7AC73" w:rsidR="008049CB" w:rsidRDefault="008049CB" w:rsidP="00977534">
      <w:pPr>
        <w:pStyle w:val="ListBullet"/>
      </w:pPr>
      <w:r>
        <w:t xml:space="preserve">increase the risk of local oedema (and this was observed </w:t>
      </w:r>
      <w:r w:rsidR="00977534">
        <w:t xml:space="preserve">in the pivotal GFL study, with approximately </w:t>
      </w:r>
      <w:r>
        <w:t>10% of the larger volume group and none of the standard</w:t>
      </w:r>
      <w:r w:rsidR="00977534">
        <w:t xml:space="preserve"> volume group reporting oedema);</w:t>
      </w:r>
      <w:r w:rsidR="00347FDF">
        <w:t xml:space="preserve"> and/or</w:t>
      </w:r>
    </w:p>
    <w:p w14:paraId="37CB26B3" w14:textId="2E7EC691" w:rsidR="008049CB" w:rsidRDefault="008049CB" w:rsidP="00977534">
      <w:pPr>
        <w:pStyle w:val="ListBullet"/>
      </w:pPr>
      <w:r>
        <w:t xml:space="preserve">increase the risk of local spread to non-targeted muscles, such as the </w:t>
      </w:r>
      <w:proofErr w:type="spellStart"/>
      <w:r>
        <w:t>levator</w:t>
      </w:r>
      <w:proofErr w:type="spellEnd"/>
      <w:r>
        <w:t xml:space="preserve"> </w:t>
      </w:r>
      <w:proofErr w:type="spellStart"/>
      <w:r>
        <w:t>palpebrae</w:t>
      </w:r>
      <w:proofErr w:type="spellEnd"/>
      <w:r>
        <w:t xml:space="preserve"> or the muscles involved in eye movements (leading to ptosis or diplopia, respectively).</w:t>
      </w:r>
    </w:p>
    <w:p w14:paraId="2C131AC8" w14:textId="7A7EF659" w:rsidR="008049CB" w:rsidRDefault="008049CB" w:rsidP="00977534">
      <w:pPr>
        <w:tabs>
          <w:tab w:val="left" w:pos="142"/>
          <w:tab w:val="left" w:pos="1418"/>
          <w:tab w:val="left" w:pos="1560"/>
          <w:tab w:val="left" w:pos="1843"/>
          <w:tab w:val="left" w:pos="1985"/>
        </w:tabs>
        <w:autoSpaceDE w:val="0"/>
        <w:autoSpaceDN w:val="0"/>
        <w:spacing w:before="0" w:after="0" w:line="240" w:lineRule="auto"/>
      </w:pPr>
      <w:r>
        <w:t>The small size of the pivotal GFL study, and the complete lack of an LCL study with the proposed dilution</w:t>
      </w:r>
      <w:r w:rsidR="00977534">
        <w:t xml:space="preserve">, means that this risk has not </w:t>
      </w:r>
      <w:r>
        <w:t>been fully characterised. Given the r</w:t>
      </w:r>
      <w:r w:rsidR="00977534">
        <w:t xml:space="preserve">eversible nature of the muscle </w:t>
      </w:r>
      <w:r>
        <w:t>weakness induced by botulinum toxin,</w:t>
      </w:r>
      <w:r w:rsidR="00977534">
        <w:t xml:space="preserve"> and the fact that diplopia and </w:t>
      </w:r>
      <w:r>
        <w:t>ptosis usually represents an inconvenie</w:t>
      </w:r>
      <w:r w:rsidR="00977534">
        <w:t>nce rather than a major hazard</w:t>
      </w:r>
      <w:r>
        <w:t xml:space="preserve"> to health, this</w:t>
      </w:r>
      <w:r w:rsidR="00977534">
        <w:t xml:space="preserve"> risk is considered acceptable.</w:t>
      </w:r>
    </w:p>
    <w:p w14:paraId="6AEFA8A6" w14:textId="46A9955B" w:rsidR="008049CB" w:rsidRPr="00977534" w:rsidRDefault="008049CB" w:rsidP="00977534">
      <w:pPr>
        <w:pStyle w:val="Heading5"/>
      </w:pPr>
      <w:r w:rsidRPr="00977534">
        <w:t xml:space="preserve">Other </w:t>
      </w:r>
      <w:r w:rsidR="00977534" w:rsidRPr="00977534">
        <w:t>safety issues (general)</w:t>
      </w:r>
    </w:p>
    <w:p w14:paraId="60B7723D" w14:textId="747BCE71" w:rsidR="008049CB" w:rsidRDefault="008049CB" w:rsidP="00977534">
      <w:pPr>
        <w:pStyle w:val="ListBullet"/>
      </w:pPr>
      <w:proofErr w:type="spellStart"/>
      <w:r>
        <w:t>Dysport</w:t>
      </w:r>
      <w:proofErr w:type="spellEnd"/>
      <w:r>
        <w:t xml:space="preserve"> use may be associated with hypersensitivity reactions, but this was not noted in the submitted studies and the pro</w:t>
      </w:r>
      <w:r w:rsidR="00977534">
        <w:t>posed extension of indications does not increase the risk.</w:t>
      </w:r>
    </w:p>
    <w:p w14:paraId="2806BF17" w14:textId="436320DD" w:rsidR="008049CB" w:rsidRDefault="008049CB" w:rsidP="00977534">
      <w:pPr>
        <w:pStyle w:val="ListBullet"/>
      </w:pPr>
      <w:r>
        <w:t xml:space="preserve">No deaths occurred in any </w:t>
      </w:r>
      <w:r w:rsidR="00977534">
        <w:t>of the newly submitted studies.</w:t>
      </w:r>
    </w:p>
    <w:p w14:paraId="02EC0D96" w14:textId="02C6E88E" w:rsidR="008049CB" w:rsidRDefault="008049CB" w:rsidP="00977534">
      <w:pPr>
        <w:pStyle w:val="ListBullet"/>
      </w:pPr>
      <w:proofErr w:type="spellStart"/>
      <w:r>
        <w:t>Dysport</w:t>
      </w:r>
      <w:proofErr w:type="spellEnd"/>
      <w:r>
        <w:t xml:space="preserve"> would be expected to cause synergistic weakness if it were combined with other agents that interfere with neuromus</w:t>
      </w:r>
      <w:r w:rsidR="00977534">
        <w:t xml:space="preserve">cular transmission, or if it </w:t>
      </w:r>
      <w:r>
        <w:t>were administered in the presence of myas</w:t>
      </w:r>
      <w:r w:rsidR="00977534">
        <w:t xml:space="preserve">thenia gravis or other disease </w:t>
      </w:r>
      <w:r>
        <w:t>affect</w:t>
      </w:r>
      <w:r w:rsidR="00977534">
        <w:t>ing neuromuscular transmission.</w:t>
      </w:r>
    </w:p>
    <w:p w14:paraId="7ACA0CEB" w14:textId="0A29C3CA" w:rsidR="008049CB" w:rsidRPr="00ED5853" w:rsidRDefault="00977534" w:rsidP="00D55B16">
      <w:pPr>
        <w:pStyle w:val="Heading5"/>
      </w:pPr>
      <w:r>
        <w:t>Change in adverse event frequency of ‘abnormal eye movements’</w:t>
      </w:r>
    </w:p>
    <w:p w14:paraId="335E09E6" w14:textId="7866C89C" w:rsidR="008049CB" w:rsidRDefault="008049CB" w:rsidP="00977534">
      <w:r>
        <w:t>On</w:t>
      </w:r>
      <w:r w:rsidRPr="001B435A">
        <w:t xml:space="preserve"> </w:t>
      </w:r>
      <w:r w:rsidR="00977534">
        <w:t xml:space="preserve">the proposal of </w:t>
      </w:r>
      <w:r w:rsidRPr="008643A2">
        <w:t>changing the listed f</w:t>
      </w:r>
      <w:r w:rsidR="00977534">
        <w:t>requency of the AE, ‘abnormal eye movements’</w:t>
      </w:r>
      <w:r w:rsidRPr="008643A2">
        <w:t>, as a complication of treatment of the GFLs indication,</w:t>
      </w:r>
      <w:r>
        <w:t xml:space="preserve"> the </w:t>
      </w:r>
      <w:r w:rsidR="00977534">
        <w:t>clinical evaluator</w:t>
      </w:r>
      <w:r>
        <w:t xml:space="preserve"> stated, especially in the light of t</w:t>
      </w:r>
      <w:r w:rsidR="00BC56E2">
        <w:t>he proposed diluted volume</w:t>
      </w:r>
      <w:r w:rsidR="00977534">
        <w:t>,</w:t>
      </w:r>
      <w:r w:rsidR="00BC56E2">
        <w:t xml:space="preserve"> that </w:t>
      </w:r>
      <w:r>
        <w:t>there is an increased risk of local spread t</w:t>
      </w:r>
      <w:r w:rsidR="00BC56E2">
        <w:t>o non-targeted muscles, such as</w:t>
      </w:r>
      <w:r>
        <w:t xml:space="preserve"> the </w:t>
      </w:r>
      <w:proofErr w:type="spellStart"/>
      <w:r>
        <w:t>levator</w:t>
      </w:r>
      <w:proofErr w:type="spellEnd"/>
      <w:r>
        <w:t xml:space="preserve"> </w:t>
      </w:r>
      <w:proofErr w:type="spellStart"/>
      <w:r>
        <w:t>palpebrae</w:t>
      </w:r>
      <w:proofErr w:type="spellEnd"/>
      <w:r>
        <w:t xml:space="preserve"> or the muscles involv</w:t>
      </w:r>
      <w:r w:rsidR="00BC56E2">
        <w:t>ed in eye movements (leading to</w:t>
      </w:r>
      <w:r>
        <w:t xml:space="preserve"> ptosis or diplopia, respectively).</w:t>
      </w:r>
      <w:r w:rsidRPr="004C5472">
        <w:t xml:space="preserve"> </w:t>
      </w:r>
      <w:r>
        <w:t>Given that this risk could increase with the new dilution,</w:t>
      </w:r>
      <w:r w:rsidRPr="004C5472">
        <w:t xml:space="preserve"> </w:t>
      </w:r>
      <w:r>
        <w:t>the ongoing risk of eye movement disorders, subsequent to that dilution, is unclear.</w:t>
      </w:r>
    </w:p>
    <w:p w14:paraId="39AE79B2" w14:textId="1638A307" w:rsidR="0079120C" w:rsidRPr="00BC56E2" w:rsidRDefault="00BC56E2" w:rsidP="00977534">
      <w:r>
        <w:t>F</w:t>
      </w:r>
      <w:r w:rsidR="00977534">
        <w:t>urthermore, the s</w:t>
      </w:r>
      <w:r w:rsidR="008049CB" w:rsidRPr="00860800">
        <w:t xml:space="preserve">ponsor’s proposed change to the PI would lead to eye movement disorders being listed as rare while diplopia was </w:t>
      </w:r>
      <w:r w:rsidR="008049CB">
        <w:t xml:space="preserve">already </w:t>
      </w:r>
      <w:r w:rsidR="008049CB" w:rsidRPr="00860800">
        <w:t>listed as uncommon</w:t>
      </w:r>
      <w:r w:rsidR="008049CB">
        <w:t xml:space="preserve">. </w:t>
      </w:r>
      <w:r w:rsidR="008049CB" w:rsidRPr="00977534">
        <w:t xml:space="preserve">Given that most diplopia is due to an abnormality of eye movement, and therefore represents a subset </w:t>
      </w:r>
      <w:r w:rsidR="00977534">
        <w:t>of eye movement disorders, the s</w:t>
      </w:r>
      <w:r w:rsidR="008049CB" w:rsidRPr="00977534">
        <w:t>ponsor’s proposed change is illogical</w:t>
      </w:r>
      <w:r w:rsidR="00977534">
        <w:t xml:space="preserve"> (see ‘</w:t>
      </w:r>
      <w:r w:rsidR="00977534" w:rsidRPr="00977534">
        <w:rPr>
          <w:i/>
        </w:rPr>
        <w:fldChar w:fldCharType="begin"/>
      </w:r>
      <w:r w:rsidR="00977534" w:rsidRPr="00977534">
        <w:rPr>
          <w:i/>
        </w:rPr>
        <w:instrText xml:space="preserve"> REF _Ref66112591 \h </w:instrText>
      </w:r>
      <w:r w:rsidR="00977534">
        <w:rPr>
          <w:i/>
        </w:rPr>
        <w:instrText xml:space="preserve"> \* MERGEFORMAT </w:instrText>
      </w:r>
      <w:r w:rsidR="00977534" w:rsidRPr="00977534">
        <w:rPr>
          <w:i/>
        </w:rPr>
      </w:r>
      <w:r w:rsidR="00977534" w:rsidRPr="00977534">
        <w:rPr>
          <w:i/>
        </w:rPr>
        <w:fldChar w:fldCharType="separate"/>
      </w:r>
      <w:r w:rsidR="00F533BF" w:rsidRPr="00F533BF">
        <w:rPr>
          <w:i/>
        </w:rPr>
        <w:t>Delegate’s considerations</w:t>
      </w:r>
      <w:r w:rsidR="00977534" w:rsidRPr="00977534">
        <w:rPr>
          <w:i/>
        </w:rPr>
        <w:fldChar w:fldCharType="end"/>
      </w:r>
      <w:r w:rsidR="00977534">
        <w:t>’ section, below</w:t>
      </w:r>
      <w:r w:rsidR="008E273B">
        <w:t xml:space="preserve"> for discussion and resolution of this issue</w:t>
      </w:r>
      <w:r w:rsidR="00977534">
        <w:t>).</w:t>
      </w:r>
    </w:p>
    <w:p w14:paraId="757F83E4" w14:textId="77777777" w:rsidR="007B6132" w:rsidRDefault="007B6132" w:rsidP="00555280">
      <w:pPr>
        <w:pStyle w:val="Heading4"/>
      </w:pPr>
      <w:r w:rsidRPr="007B6132">
        <w:t>Clinical evaluator’s recommendation</w:t>
      </w:r>
    </w:p>
    <w:p w14:paraId="37F3C70D" w14:textId="2627EE1F" w:rsidR="008049CB" w:rsidRPr="006B4296" w:rsidRDefault="008049CB" w:rsidP="006406E6">
      <w:pPr>
        <w:pStyle w:val="Heading5"/>
        <w:rPr>
          <w:lang w:eastAsia="ja-JP"/>
        </w:rPr>
      </w:pPr>
      <w:r w:rsidRPr="00EF7A16">
        <w:rPr>
          <w:lang w:eastAsia="ja-JP"/>
        </w:rPr>
        <w:t>Upp</w:t>
      </w:r>
      <w:r w:rsidRPr="006B4296">
        <w:rPr>
          <w:lang w:eastAsia="ja-JP"/>
        </w:rPr>
        <w:t>er limb spasticity</w:t>
      </w:r>
      <w:r w:rsidR="008E273B">
        <w:rPr>
          <w:lang w:eastAsia="ja-JP"/>
        </w:rPr>
        <w:t xml:space="preserve"> in children (p</w:t>
      </w:r>
      <w:r w:rsidR="006406E6">
        <w:rPr>
          <w:lang w:eastAsia="ja-JP"/>
        </w:rPr>
        <w:t>aediatric)</w:t>
      </w:r>
    </w:p>
    <w:p w14:paraId="1E281611" w14:textId="0FE22910" w:rsidR="008049CB" w:rsidRDefault="008049CB" w:rsidP="00BC56E2">
      <w:proofErr w:type="spellStart"/>
      <w:r>
        <w:t>Dysport</w:t>
      </w:r>
      <w:proofErr w:type="spellEnd"/>
      <w:r>
        <w:t xml:space="preserve"> should be approved for treatment of upper limb spasticity in children </w:t>
      </w:r>
      <w:r w:rsidR="005559DC">
        <w:t>aged 2 </w:t>
      </w:r>
      <w:r w:rsidRPr="00C55581">
        <w:t>years and older</w:t>
      </w:r>
      <w:r>
        <w:t>,</w:t>
      </w:r>
      <w:r w:rsidR="008E273B">
        <w:t xml:space="preserve"> for the doses proposed by the s</w:t>
      </w:r>
      <w:r>
        <w:t>ponsor:</w:t>
      </w:r>
    </w:p>
    <w:p w14:paraId="02E34393" w14:textId="79FBB922" w:rsidR="008049CB" w:rsidRPr="008E273B" w:rsidRDefault="008E273B" w:rsidP="008E273B">
      <w:pPr>
        <w:pStyle w:val="ListBullet"/>
      </w:pPr>
      <w:r>
        <w:t>Upper limb dosing: ‘</w:t>
      </w:r>
      <w:r w:rsidR="008049CB" w:rsidRPr="008E273B">
        <w:t xml:space="preserve">The maximum dose of </w:t>
      </w:r>
      <w:proofErr w:type="spellStart"/>
      <w:r w:rsidRPr="008E273B">
        <w:t>Dysport</w:t>
      </w:r>
      <w:proofErr w:type="spellEnd"/>
      <w:r w:rsidRPr="008E273B">
        <w:t xml:space="preserve"> </w:t>
      </w:r>
      <w:r w:rsidR="008049CB" w:rsidRPr="008E273B">
        <w:t xml:space="preserve">administered per treatment session when injecting unilaterally must not exceed 16 U/kg or 640 U whichever is lower. When injecting bilaterally, the maximum </w:t>
      </w:r>
      <w:proofErr w:type="spellStart"/>
      <w:r w:rsidRPr="008E273B">
        <w:t>Dysport</w:t>
      </w:r>
      <w:proofErr w:type="spellEnd"/>
      <w:r w:rsidR="008049CB" w:rsidRPr="008E273B">
        <w:t xml:space="preserve"> dose per treatment session must not exceed 21 U/kg or 840 U, whichever is lo</w:t>
      </w:r>
      <w:r>
        <w:t>wer.’</w:t>
      </w:r>
      <w:r w:rsidR="008049CB" w:rsidRPr="008E273B">
        <w:t xml:space="preserve"> (Proposed PI)</w:t>
      </w:r>
      <w:r>
        <w:t>.</w:t>
      </w:r>
    </w:p>
    <w:p w14:paraId="63A4171F" w14:textId="56EB3B31" w:rsidR="008049CB" w:rsidRPr="008E273B" w:rsidRDefault="008049CB" w:rsidP="008E273B">
      <w:pPr>
        <w:pStyle w:val="ListBullet"/>
      </w:pPr>
      <w:r w:rsidRPr="008E273B">
        <w:t>Combine</w:t>
      </w:r>
      <w:r w:rsidR="008E273B">
        <w:t>d upper and lower limb dosing: ‘</w:t>
      </w:r>
      <w:r w:rsidRPr="008E273B">
        <w:t xml:space="preserve">The dose of </w:t>
      </w:r>
      <w:proofErr w:type="spellStart"/>
      <w:r w:rsidR="008E273B" w:rsidRPr="008E273B">
        <w:t>Dysport</w:t>
      </w:r>
      <w:proofErr w:type="spellEnd"/>
      <w:r w:rsidRPr="008E273B">
        <w:t xml:space="preserve"> to be injected for concomitant treatment should not exceed a total d</w:t>
      </w:r>
      <w:r w:rsidR="008E273B">
        <w:t>ose per treatment session of 30 </w:t>
      </w:r>
      <w:r w:rsidRPr="008E273B">
        <w:t>U/kg</w:t>
      </w:r>
      <w:r w:rsidR="008E273B">
        <w:t xml:space="preserve"> or 1000 U, whichever is lower.’</w:t>
      </w:r>
      <w:r w:rsidRPr="008E273B">
        <w:t xml:space="preserve"> (Proposed PI).</w:t>
      </w:r>
    </w:p>
    <w:p w14:paraId="2917ED5D" w14:textId="2F7943BB" w:rsidR="008049CB" w:rsidRPr="00826108" w:rsidRDefault="008E273B" w:rsidP="00BC56E2">
      <w:r>
        <w:t>The s</w:t>
      </w:r>
      <w:r w:rsidR="008049CB" w:rsidRPr="00826108">
        <w:t>ponsor should continue to gather evidence, that total body doses of up to 30 U/kg remain safe, and this should be a priority in post-marketing surveillance.</w:t>
      </w:r>
    </w:p>
    <w:p w14:paraId="15F9BEE3" w14:textId="77777777" w:rsidR="008049CB" w:rsidRPr="006B4296" w:rsidRDefault="006406E6" w:rsidP="006406E6">
      <w:pPr>
        <w:pStyle w:val="Heading5"/>
        <w:rPr>
          <w:lang w:eastAsia="ja-JP"/>
        </w:rPr>
      </w:pPr>
      <w:r>
        <w:rPr>
          <w:lang w:eastAsia="ja-JP"/>
        </w:rPr>
        <w:t>Proposed d</w:t>
      </w:r>
      <w:r w:rsidR="008049CB" w:rsidRPr="006B4296">
        <w:rPr>
          <w:lang w:eastAsia="ja-JP"/>
        </w:rPr>
        <w:t>ilution</w:t>
      </w:r>
    </w:p>
    <w:p w14:paraId="291CC37D" w14:textId="0EDE35B6" w:rsidR="008049CB" w:rsidRPr="008E273B" w:rsidRDefault="008049CB" w:rsidP="008E273B">
      <w:r w:rsidRPr="008E273B">
        <w:t xml:space="preserve">The proposed dilution (10 U/0.1 mL) for treatment of </w:t>
      </w:r>
      <w:r w:rsidR="008E273B">
        <w:t>GFLs</w:t>
      </w:r>
      <w:r w:rsidRPr="008E273B">
        <w:t xml:space="preserve"> and </w:t>
      </w:r>
      <w:r w:rsidR="008E273B">
        <w:t>LCLs should be approved.</w:t>
      </w:r>
    </w:p>
    <w:p w14:paraId="4F844EA7" w14:textId="77777777" w:rsidR="00456765" w:rsidRPr="008E273B" w:rsidRDefault="008049CB" w:rsidP="008E273B">
      <w:r w:rsidRPr="008E273B">
        <w:t>Post marketing surveillance should include assessment of the incidence of diplopia and ptosis for this dilution, in comparison to the standard dilution.</w:t>
      </w:r>
    </w:p>
    <w:p w14:paraId="21CA3802" w14:textId="77777777" w:rsidR="008E7846" w:rsidRDefault="00386150" w:rsidP="007B6132">
      <w:pPr>
        <w:pStyle w:val="Heading3"/>
        <w:rPr>
          <w:lang w:eastAsia="en-AU"/>
        </w:rPr>
      </w:pPr>
      <w:bookmarkStart w:id="51" w:name="_Toc70942400"/>
      <w:r>
        <w:rPr>
          <w:lang w:eastAsia="en-AU"/>
        </w:rPr>
        <w:t>Risk m</w:t>
      </w:r>
      <w:r w:rsidR="008E7846">
        <w:rPr>
          <w:lang w:eastAsia="en-AU"/>
        </w:rPr>
        <w:t xml:space="preserve">anagement </w:t>
      </w:r>
      <w:r>
        <w:rPr>
          <w:lang w:eastAsia="en-AU"/>
        </w:rPr>
        <w:t>p</w:t>
      </w:r>
      <w:r w:rsidR="008E7846">
        <w:rPr>
          <w:lang w:eastAsia="en-AU"/>
        </w:rPr>
        <w:t>lan</w:t>
      </w:r>
      <w:bookmarkEnd w:id="40"/>
      <w:bookmarkEnd w:id="51"/>
    </w:p>
    <w:p w14:paraId="65D3684F" w14:textId="77777777" w:rsidR="008E7846" w:rsidRDefault="007D53B6" w:rsidP="007D53B6">
      <w:r>
        <w:t>There was no requirement for a risk management plan evaluation for a submission of this type.</w:t>
      </w:r>
      <w:r>
        <w:rPr>
          <w:rStyle w:val="FootnoteReference"/>
        </w:rPr>
        <w:footnoteReference w:id="17"/>
      </w:r>
    </w:p>
    <w:p w14:paraId="7A5598C1" w14:textId="77777777" w:rsidR="008E7846" w:rsidRDefault="00AA0ED0" w:rsidP="008E7846">
      <w:pPr>
        <w:pStyle w:val="Heading3"/>
      </w:pPr>
      <w:bookmarkStart w:id="52" w:name="_Toc247691531"/>
      <w:bookmarkStart w:id="53" w:name="_Toc314842515"/>
      <w:bookmarkStart w:id="54" w:name="_Toc196046505"/>
      <w:bookmarkStart w:id="55" w:name="_Toc196046949"/>
      <w:bookmarkStart w:id="56" w:name="_Toc70942401"/>
      <w:r>
        <w:t>Risk-benefit a</w:t>
      </w:r>
      <w:r w:rsidR="008E7846">
        <w:t>nalysis</w:t>
      </w:r>
      <w:bookmarkEnd w:id="52"/>
      <w:bookmarkEnd w:id="53"/>
      <w:bookmarkEnd w:id="56"/>
    </w:p>
    <w:p w14:paraId="40D22032" w14:textId="77777777" w:rsidR="00D23139" w:rsidRDefault="007D53B6" w:rsidP="00D23139">
      <w:pPr>
        <w:pStyle w:val="Heading4"/>
      </w:pPr>
      <w:bookmarkStart w:id="57" w:name="_Ref66112591"/>
      <w:r>
        <w:t>Delegate’s considerations</w:t>
      </w:r>
      <w:bookmarkEnd w:id="57"/>
    </w:p>
    <w:p w14:paraId="5829F036" w14:textId="67EB5D9C" w:rsidR="00E76AF6" w:rsidRPr="00F350C2" w:rsidRDefault="00E76AF6" w:rsidP="00E76AF6">
      <w:pPr>
        <w:spacing w:after="10"/>
        <w:ind w:left="-5" w:right="341"/>
        <w:rPr>
          <w:b/>
        </w:rPr>
      </w:pPr>
      <w:r>
        <w:t xml:space="preserve">The bacterial toxin, </w:t>
      </w:r>
      <w:r w:rsidRPr="0024140D">
        <w:rPr>
          <w:i/>
        </w:rPr>
        <w:t>Clostridium</w:t>
      </w:r>
      <w:r>
        <w:rPr>
          <w:i/>
        </w:rPr>
        <w:t xml:space="preserve"> botulinum</w:t>
      </w:r>
      <w:r>
        <w:t xml:space="preserve"> toxin, is pharmacologically classified as a neuromuscular blocker and </w:t>
      </w:r>
      <w:proofErr w:type="spellStart"/>
      <w:r>
        <w:t>Dysport</w:t>
      </w:r>
      <w:proofErr w:type="spellEnd"/>
      <w:r>
        <w:t>, like Botox</w:t>
      </w:r>
      <w:r w:rsidR="008E273B">
        <w:t>, is a derivative of the toxin (</w:t>
      </w:r>
      <w:r>
        <w:t xml:space="preserve">both classified as </w:t>
      </w:r>
      <w:r w:rsidRPr="00457712">
        <w:rPr>
          <w:i/>
        </w:rPr>
        <w:t>Botulinum toxin type A</w:t>
      </w:r>
      <w:r w:rsidR="008E273B">
        <w:t>)</w:t>
      </w:r>
      <w:r>
        <w:t xml:space="preserve">. </w:t>
      </w:r>
      <w:r w:rsidRPr="00C722FD">
        <w:t>The toxin has reversible neurotoxic effects on a range of neuron types, including motor neurons</w:t>
      </w:r>
      <w:r w:rsidRPr="000200F9">
        <w:t>. Remarkably, food contamination wi</w:t>
      </w:r>
      <w:r w:rsidR="008E273B">
        <w:t xml:space="preserve">th the Gram positive bacterium </w:t>
      </w:r>
      <w:r w:rsidRPr="008E273B">
        <w:rPr>
          <w:i/>
        </w:rPr>
        <w:t>Clostridium botulinum</w:t>
      </w:r>
      <w:r w:rsidR="008E273B">
        <w:t xml:space="preserve"> (</w:t>
      </w:r>
      <w:r w:rsidRPr="000200F9">
        <w:t>which produces</w:t>
      </w:r>
      <w:r>
        <w:t xml:space="preserve"> the neurotoxin botulinum)</w:t>
      </w:r>
      <w:r w:rsidRPr="00C722FD">
        <w:t xml:space="preserve"> </w:t>
      </w:r>
      <w:r w:rsidR="008E273B">
        <w:t xml:space="preserve">causes foodborne botulism, and </w:t>
      </w:r>
      <w:r w:rsidRPr="00C722FD">
        <w:t>general muscle weakness</w:t>
      </w:r>
      <w:r>
        <w:t xml:space="preserve"> is one of the </w:t>
      </w:r>
      <w:r w:rsidRPr="00C722FD">
        <w:t>complications.</w:t>
      </w:r>
    </w:p>
    <w:p w14:paraId="5BF11D7C" w14:textId="0424346C" w:rsidR="00E76AF6" w:rsidRDefault="00347FDF" w:rsidP="00E76AF6">
      <w:pPr>
        <w:spacing w:after="98" w:line="259" w:lineRule="auto"/>
      </w:pPr>
      <w:r>
        <w:t>Being s</w:t>
      </w:r>
      <w:r w:rsidR="00E76AF6" w:rsidRPr="00B4603B">
        <w:t xml:space="preserve">tructurally and pharmacologically similar, both Botox and </w:t>
      </w:r>
      <w:proofErr w:type="spellStart"/>
      <w:r w:rsidR="00E76AF6" w:rsidRPr="00B4603B">
        <w:t>Dysport</w:t>
      </w:r>
      <w:proofErr w:type="spellEnd"/>
      <w:r w:rsidR="00E76AF6" w:rsidRPr="00B4603B">
        <w:t xml:space="preserve"> are used therapeutically to produce partial, focal and reversible effects that functionally resemble partial denervation of muscle</w:t>
      </w:r>
      <w:r w:rsidR="00E76AF6">
        <w:t>, skeletal in particular</w:t>
      </w:r>
      <w:r w:rsidR="00A35A7C">
        <w:t>.</w:t>
      </w:r>
    </w:p>
    <w:p w14:paraId="4C04FE08" w14:textId="77777777" w:rsidR="00E76AF6" w:rsidRPr="00BC56E2" w:rsidRDefault="00E76AF6" w:rsidP="00A35A7C">
      <w:r w:rsidRPr="000B03C7">
        <w:t>The ma</w:t>
      </w:r>
      <w:r>
        <w:t>jor</w:t>
      </w:r>
      <w:r w:rsidRPr="000B03C7">
        <w:t xml:space="preserve"> </w:t>
      </w:r>
      <w:r>
        <w:t>themes</w:t>
      </w:r>
      <w:r w:rsidRPr="000B03C7">
        <w:t xml:space="preserve"> of the current submission </w:t>
      </w:r>
      <w:r>
        <w:t>are</w:t>
      </w:r>
      <w:r w:rsidRPr="000B03C7">
        <w:t>:</w:t>
      </w:r>
    </w:p>
    <w:p w14:paraId="76924687" w14:textId="68995DB1" w:rsidR="00E76AF6" w:rsidRDefault="00E76AF6" w:rsidP="00583901">
      <w:pPr>
        <w:pStyle w:val="ListBullet"/>
      </w:pPr>
      <w:r w:rsidRPr="000B03C7">
        <w:t>Extension of indications to</w:t>
      </w:r>
      <w:r>
        <w:t xml:space="preserve"> include</w:t>
      </w:r>
      <w:r w:rsidR="00583901">
        <w:t xml:space="preserve"> </w:t>
      </w:r>
      <w:r w:rsidRPr="000B03C7">
        <w:t>the treatment of upper</w:t>
      </w:r>
      <w:r w:rsidR="00BC56E2">
        <w:t xml:space="preserve"> </w:t>
      </w:r>
      <w:r>
        <w:t>l</w:t>
      </w:r>
      <w:r w:rsidRPr="000B03C7">
        <w:t>imb</w:t>
      </w:r>
      <w:r>
        <w:t xml:space="preserve"> </w:t>
      </w:r>
      <w:r w:rsidRPr="000B03C7">
        <w:t>spasticity in child</w:t>
      </w:r>
      <w:r w:rsidR="00583901">
        <w:t>ren.</w:t>
      </w:r>
    </w:p>
    <w:p w14:paraId="64A8B023" w14:textId="77777777" w:rsidR="00E76AF6" w:rsidRPr="00777408" w:rsidRDefault="00E76AF6" w:rsidP="00583901">
      <w:pPr>
        <w:pStyle w:val="ListBullet"/>
        <w:numPr>
          <w:ilvl w:val="0"/>
          <w:numId w:val="0"/>
        </w:numPr>
        <w:ind w:left="360"/>
      </w:pPr>
      <w:r w:rsidRPr="00777408">
        <w:t xml:space="preserve">The currently ARTG approved treatment indications for </w:t>
      </w:r>
      <w:proofErr w:type="spellStart"/>
      <w:r w:rsidRPr="00777408">
        <w:t>Dy</w:t>
      </w:r>
      <w:r w:rsidR="00583901">
        <w:t>sport</w:t>
      </w:r>
      <w:proofErr w:type="spellEnd"/>
      <w:r w:rsidR="00583901">
        <w:t>, as listed in the PI are:</w:t>
      </w:r>
    </w:p>
    <w:p w14:paraId="367A1BBD" w14:textId="77777777" w:rsidR="00583901" w:rsidRPr="004C75FA" w:rsidRDefault="00583901" w:rsidP="00583901">
      <w:pPr>
        <w:ind w:left="720"/>
        <w:rPr>
          <w:i/>
        </w:rPr>
      </w:pPr>
      <w:proofErr w:type="spellStart"/>
      <w:r w:rsidRPr="004C75FA">
        <w:rPr>
          <w:i/>
        </w:rPr>
        <w:t>Dysport</w:t>
      </w:r>
      <w:proofErr w:type="spellEnd"/>
      <w:r w:rsidRPr="004C75FA">
        <w:rPr>
          <w:i/>
        </w:rPr>
        <w:t xml:space="preserve"> is indicated for symptomatic treatment of focal spasticity of:</w:t>
      </w:r>
    </w:p>
    <w:p w14:paraId="0586E027" w14:textId="77777777" w:rsidR="00583901" w:rsidRPr="004C75FA" w:rsidRDefault="00583901" w:rsidP="00583901">
      <w:pPr>
        <w:pStyle w:val="ListBullet"/>
        <w:numPr>
          <w:ilvl w:val="0"/>
          <w:numId w:val="1"/>
        </w:numPr>
        <w:ind w:left="1080"/>
        <w:rPr>
          <w:i/>
        </w:rPr>
      </w:pPr>
      <w:r w:rsidRPr="004C75FA">
        <w:rPr>
          <w:i/>
        </w:rPr>
        <w:t>Upper limbs in adults</w:t>
      </w:r>
    </w:p>
    <w:p w14:paraId="2251FE61" w14:textId="77777777" w:rsidR="00583901" w:rsidRPr="004C75FA" w:rsidRDefault="00583901" w:rsidP="00583901">
      <w:pPr>
        <w:pStyle w:val="ListBullet"/>
        <w:numPr>
          <w:ilvl w:val="0"/>
          <w:numId w:val="1"/>
        </w:numPr>
        <w:ind w:left="1080"/>
        <w:rPr>
          <w:i/>
        </w:rPr>
      </w:pPr>
      <w:r w:rsidRPr="004C75FA">
        <w:rPr>
          <w:i/>
        </w:rPr>
        <w:t>Lower limbs in adults</w:t>
      </w:r>
    </w:p>
    <w:p w14:paraId="3E988A48" w14:textId="77777777" w:rsidR="00583901" w:rsidRPr="004C75FA" w:rsidRDefault="00583901" w:rsidP="00583901">
      <w:pPr>
        <w:pStyle w:val="ListBullet"/>
        <w:numPr>
          <w:ilvl w:val="0"/>
          <w:numId w:val="1"/>
        </w:numPr>
        <w:ind w:left="1080"/>
        <w:rPr>
          <w:i/>
        </w:rPr>
      </w:pPr>
      <w:r w:rsidRPr="004C75FA">
        <w:rPr>
          <w:i/>
        </w:rPr>
        <w:t>Lower limbs in children aged 2 years and older</w:t>
      </w:r>
    </w:p>
    <w:p w14:paraId="7CFDCB16" w14:textId="77777777" w:rsidR="00583901" w:rsidRPr="004C75FA" w:rsidRDefault="00583901" w:rsidP="00583901">
      <w:pPr>
        <w:ind w:left="720"/>
        <w:rPr>
          <w:i/>
        </w:rPr>
      </w:pPr>
      <w:proofErr w:type="spellStart"/>
      <w:r w:rsidRPr="004C75FA">
        <w:rPr>
          <w:i/>
        </w:rPr>
        <w:t>Dysport</w:t>
      </w:r>
      <w:proofErr w:type="spellEnd"/>
      <w:r w:rsidRPr="004C75FA">
        <w:rPr>
          <w:i/>
        </w:rPr>
        <w:t xml:space="preserve"> is indicated in adults for the treatment of:</w:t>
      </w:r>
    </w:p>
    <w:p w14:paraId="2F651084" w14:textId="77777777" w:rsidR="00583901" w:rsidRPr="004C75FA" w:rsidRDefault="00583901" w:rsidP="00583901">
      <w:pPr>
        <w:pStyle w:val="ListBullet"/>
        <w:numPr>
          <w:ilvl w:val="0"/>
          <w:numId w:val="1"/>
        </w:numPr>
        <w:ind w:left="1080"/>
        <w:rPr>
          <w:i/>
        </w:rPr>
      </w:pPr>
      <w:r w:rsidRPr="004C75FA">
        <w:rPr>
          <w:i/>
        </w:rPr>
        <w:t>Spasmodic torticollis</w:t>
      </w:r>
    </w:p>
    <w:p w14:paraId="533765CE" w14:textId="77777777" w:rsidR="00583901" w:rsidRPr="004C75FA" w:rsidRDefault="00583901" w:rsidP="00583901">
      <w:pPr>
        <w:pStyle w:val="ListBullet"/>
        <w:numPr>
          <w:ilvl w:val="0"/>
          <w:numId w:val="1"/>
        </w:numPr>
        <w:ind w:left="1080"/>
        <w:rPr>
          <w:i/>
        </w:rPr>
      </w:pPr>
      <w:proofErr w:type="spellStart"/>
      <w:r w:rsidRPr="004C75FA">
        <w:rPr>
          <w:i/>
        </w:rPr>
        <w:t>Blepharospasm</w:t>
      </w:r>
      <w:proofErr w:type="spellEnd"/>
    </w:p>
    <w:p w14:paraId="0F495F1D" w14:textId="77777777" w:rsidR="00583901" w:rsidRPr="004C75FA" w:rsidRDefault="00583901" w:rsidP="00583901">
      <w:pPr>
        <w:pStyle w:val="ListBullet"/>
        <w:numPr>
          <w:ilvl w:val="0"/>
          <w:numId w:val="1"/>
        </w:numPr>
        <w:ind w:left="1080"/>
        <w:rPr>
          <w:i/>
        </w:rPr>
      </w:pPr>
      <w:proofErr w:type="spellStart"/>
      <w:r w:rsidRPr="004C75FA">
        <w:rPr>
          <w:i/>
        </w:rPr>
        <w:t>Hemifacial</w:t>
      </w:r>
      <w:proofErr w:type="spellEnd"/>
      <w:r w:rsidRPr="004C75FA">
        <w:rPr>
          <w:i/>
        </w:rPr>
        <w:t xml:space="preserve"> spasm</w:t>
      </w:r>
    </w:p>
    <w:p w14:paraId="0CD295C2" w14:textId="77777777" w:rsidR="00E76AF6" w:rsidRPr="00583901" w:rsidRDefault="00583901" w:rsidP="00583901">
      <w:pPr>
        <w:pStyle w:val="ListBullet"/>
        <w:numPr>
          <w:ilvl w:val="0"/>
          <w:numId w:val="1"/>
        </w:numPr>
        <w:ind w:left="1080"/>
        <w:rPr>
          <w:i/>
        </w:rPr>
      </w:pPr>
      <w:r w:rsidRPr="004C75FA">
        <w:rPr>
          <w:i/>
        </w:rPr>
        <w:t xml:space="preserve">Moderate to severe glabellar lines and / or lateral </w:t>
      </w:r>
      <w:proofErr w:type="spellStart"/>
      <w:r w:rsidRPr="004C75FA">
        <w:rPr>
          <w:i/>
        </w:rPr>
        <w:t>canthal</w:t>
      </w:r>
      <w:proofErr w:type="spellEnd"/>
      <w:r w:rsidRPr="004C75FA">
        <w:rPr>
          <w:i/>
        </w:rPr>
        <w:t xml:space="preserve"> lines (crow’s feet)</w:t>
      </w:r>
    </w:p>
    <w:p w14:paraId="05C7EC20" w14:textId="28B7F1C8" w:rsidR="00E76AF6" w:rsidRDefault="00E76AF6" w:rsidP="00BC56E2">
      <w:pPr>
        <w:pStyle w:val="ListBullet"/>
      </w:pPr>
      <w:r>
        <w:t xml:space="preserve">A new dilution option for treatment of </w:t>
      </w:r>
      <w:r w:rsidR="008E273B">
        <w:t>GFLs</w:t>
      </w:r>
      <w:r>
        <w:t xml:space="preserve"> and </w:t>
      </w:r>
      <w:r w:rsidR="008E273B">
        <w:t>LCLs.</w:t>
      </w:r>
    </w:p>
    <w:p w14:paraId="61BA4763" w14:textId="71E94591" w:rsidR="00E76AF6" w:rsidRDefault="00E76AF6" w:rsidP="00BC56E2">
      <w:pPr>
        <w:pStyle w:val="ListBullet"/>
      </w:pPr>
      <w:r>
        <w:t>Changing the listed frequency of t</w:t>
      </w:r>
      <w:r w:rsidR="008E273B">
        <w:t>he AE, ‘abnormal eye movements’</w:t>
      </w:r>
      <w:r>
        <w:t>, as a complication of treatment of the GFLs indication.</w:t>
      </w:r>
    </w:p>
    <w:p w14:paraId="425190E8" w14:textId="77777777" w:rsidR="00E76AF6" w:rsidRDefault="00BC56E2" w:rsidP="00BC56E2">
      <w:r>
        <w:t>The minor themes are:</w:t>
      </w:r>
    </w:p>
    <w:p w14:paraId="4E30FC5B" w14:textId="5A769180" w:rsidR="00E76AF6" w:rsidRPr="00BC56E2" w:rsidRDefault="00E76AF6" w:rsidP="00BC56E2">
      <w:pPr>
        <w:pStyle w:val="ListBullet"/>
      </w:pPr>
      <w:r w:rsidRPr="00293D50">
        <w:t>Some mino</w:t>
      </w:r>
      <w:r w:rsidR="008E273B">
        <w:t>r editing or formatting changes.</w:t>
      </w:r>
    </w:p>
    <w:p w14:paraId="484E145D" w14:textId="2783FC90" w:rsidR="00E76AF6" w:rsidRPr="00E07E83" w:rsidRDefault="00E76AF6" w:rsidP="00BC56E2">
      <w:pPr>
        <w:pStyle w:val="ListBullet"/>
      </w:pPr>
      <w:r w:rsidRPr="00E07E83">
        <w:t xml:space="preserve">Flexibility in choice of needle gauge for the </w:t>
      </w:r>
      <w:r w:rsidR="00BC56E2">
        <w:t xml:space="preserve">cosmetic indications (changing </w:t>
      </w:r>
      <w:r w:rsidRPr="00E07E83">
        <w:t>references from</w:t>
      </w:r>
      <w:r w:rsidR="008E273B">
        <w:t xml:space="preserve"> a ’29 to 30 gauge needle’ to a ‘suitable gauge needle’</w:t>
      </w:r>
      <w:r w:rsidR="00BC56E2">
        <w:t>).</w:t>
      </w:r>
    </w:p>
    <w:p w14:paraId="766FFD70" w14:textId="0D87037F" w:rsidR="00E76AF6" w:rsidRDefault="008E273B" w:rsidP="00BC56E2">
      <w:r>
        <w:t>Study</w:t>
      </w:r>
      <w:r>
        <w:rPr>
          <w:spacing w:val="-4"/>
        </w:rPr>
        <w:t xml:space="preserve"> Y-52-52120-153 </w:t>
      </w:r>
      <w:r w:rsidR="00E76AF6">
        <w:t xml:space="preserve">for the </w:t>
      </w:r>
      <w:r w:rsidR="00BC56E2" w:rsidRPr="008E273B">
        <w:t xml:space="preserve">first major </w:t>
      </w:r>
      <w:r w:rsidR="00E76AF6" w:rsidRPr="008E273B">
        <w:t>theme</w:t>
      </w:r>
      <w:r>
        <w:t>, that is</w:t>
      </w:r>
      <w:r w:rsidR="00347FDF">
        <w:t>,</w:t>
      </w:r>
      <w:r>
        <w:t xml:space="preserve"> </w:t>
      </w:r>
      <w:r w:rsidR="00347FDF">
        <w:t xml:space="preserve">an </w:t>
      </w:r>
      <w:r>
        <w:t>extension of indications</w:t>
      </w:r>
      <w:r w:rsidR="00E76AF6">
        <w:t>, was</w:t>
      </w:r>
      <w:r w:rsidR="00E76AF6" w:rsidRPr="00DF6F80">
        <w:t xml:space="preserve"> positive for its primary endpoint, showing a modest but statistically significant benefit for the primary endpoint, reduction in MAS by Week 6, for doses of 8 U/kg</w:t>
      </w:r>
      <w:r w:rsidR="00E76AF6">
        <w:t xml:space="preserve"> (p-value = 0.0118)</w:t>
      </w:r>
      <w:r w:rsidR="00E76AF6" w:rsidRPr="00DF6F80">
        <w:t xml:space="preserve"> or 16 U/kg</w:t>
      </w:r>
      <w:r w:rsidR="00E76AF6">
        <w:t xml:space="preserve"> (p-value = &lt;</w:t>
      </w:r>
      <w:r w:rsidR="00ED4779">
        <w:t xml:space="preserve"> </w:t>
      </w:r>
      <w:r w:rsidR="00E76AF6">
        <w:t>0.0001)</w:t>
      </w:r>
      <w:r w:rsidR="00E76AF6" w:rsidRPr="00DF6F80">
        <w:t xml:space="preserve"> in comparison to 2 U/kg.</w:t>
      </w:r>
      <w:r w:rsidR="00ED4779">
        <w:t xml:space="preserve"> </w:t>
      </w:r>
      <w:r w:rsidR="00E76AF6">
        <w:t>The reduction in MAS extended to Week 16, for doses of 8</w:t>
      </w:r>
      <w:r w:rsidR="00ED4779">
        <w:t xml:space="preserve"> </w:t>
      </w:r>
      <w:r w:rsidR="00E76AF6">
        <w:t>U/kg (0.0428) or 16</w:t>
      </w:r>
      <w:r w:rsidR="00ED4779">
        <w:t xml:space="preserve"> </w:t>
      </w:r>
      <w:r w:rsidR="00E76AF6">
        <w:t>U/kg</w:t>
      </w:r>
      <w:r w:rsidR="00E76AF6" w:rsidRPr="00DF6F80">
        <w:t xml:space="preserve"> </w:t>
      </w:r>
      <w:r w:rsidR="00E76AF6">
        <w:t>(p-value = 0.0002) compared to 2</w:t>
      </w:r>
      <w:r w:rsidR="00347FDF">
        <w:t> </w:t>
      </w:r>
      <w:r w:rsidR="00E76AF6">
        <w:t xml:space="preserve">U/kg. </w:t>
      </w:r>
      <w:r w:rsidR="00E76AF6" w:rsidRPr="00DF6F80">
        <w:t>It was negative for most of its minor endpoint</w:t>
      </w:r>
      <w:r w:rsidR="00ED4779">
        <w:t>s, but overall it supports the s</w:t>
      </w:r>
      <w:r w:rsidR="00E76AF6" w:rsidRPr="00DF6F80">
        <w:t xml:space="preserve">ponsor’s claim that </w:t>
      </w:r>
      <w:proofErr w:type="spellStart"/>
      <w:r w:rsidR="00E76AF6" w:rsidRPr="00DF6F80">
        <w:t>Dysport</w:t>
      </w:r>
      <w:proofErr w:type="spellEnd"/>
      <w:r w:rsidR="00E76AF6" w:rsidRPr="00DF6F80">
        <w:t xml:space="preserve"> may reduce spasticity in the upper limb of paediatric subjects.</w:t>
      </w:r>
    </w:p>
    <w:p w14:paraId="415AA0BB" w14:textId="7BCB5F73" w:rsidR="00E76AF6" w:rsidRDefault="008E273B" w:rsidP="00BC56E2">
      <w:r>
        <w:t>Study 05PF1311</w:t>
      </w:r>
      <w:r w:rsidR="00E76AF6">
        <w:t xml:space="preserve"> was designed for the </w:t>
      </w:r>
      <w:r w:rsidR="00E76AF6" w:rsidRPr="00ED4779">
        <w:t>second major theme</w:t>
      </w:r>
      <w:r w:rsidR="00ED4779">
        <w:t xml:space="preserve">, that is, </w:t>
      </w:r>
      <w:r w:rsidR="00BC56E2">
        <w:t xml:space="preserve">a new dilution option for </w:t>
      </w:r>
      <w:r w:rsidR="00E76AF6">
        <w:t xml:space="preserve">treatment of </w:t>
      </w:r>
      <w:r w:rsidR="00ED4779">
        <w:t>GFLs</w:t>
      </w:r>
      <w:r w:rsidR="00E76AF6">
        <w:t xml:space="preserve"> and </w:t>
      </w:r>
      <w:r w:rsidR="00ED4779">
        <w:t>LCLs</w:t>
      </w:r>
      <w:r w:rsidR="00E76AF6">
        <w:t>. O</w:t>
      </w:r>
      <w:r w:rsidR="00E76AF6" w:rsidRPr="00FF638D">
        <w:t>verall</w:t>
      </w:r>
      <w:r w:rsidR="00E76AF6">
        <w:t xml:space="preserve"> as per the </w:t>
      </w:r>
      <w:r w:rsidR="00ED4779">
        <w:t>clinical evaluator</w:t>
      </w:r>
      <w:r w:rsidR="00E76AF6" w:rsidRPr="00FF638D">
        <w:t xml:space="preserve">, the study should be formally rejected because of its inadequate methodology. </w:t>
      </w:r>
      <w:r w:rsidR="00E76AF6">
        <w:t>However, g</w:t>
      </w:r>
      <w:r w:rsidR="00E76AF6" w:rsidRPr="00FF638D">
        <w:t>iven t</w:t>
      </w:r>
      <w:r w:rsidR="00ED4779">
        <w:t>hat the change proposed by the s</w:t>
      </w:r>
      <w:r w:rsidR="00E76AF6" w:rsidRPr="00FF638D">
        <w:t>ponsor is fairly minor (changing the recommended dilution while keeping the dose and indication unchanged), and that most of the trends favoured the proposed dilution, and the only non-inferiority analysis achieved a satisfactory outcome, the study can be interpreted as p</w:t>
      </w:r>
      <w:r w:rsidR="00ED4779">
        <w:t>roviding some weak support for s</w:t>
      </w:r>
      <w:r w:rsidR="00E76AF6" w:rsidRPr="00FF638D">
        <w:t>ponsor’s proposed dilution.</w:t>
      </w:r>
    </w:p>
    <w:p w14:paraId="4CD50744" w14:textId="77777777" w:rsidR="00E76AF6" w:rsidRPr="00774C13" w:rsidRDefault="00BC56E2" w:rsidP="00BC56E2">
      <w:r>
        <w:t>The Delegate’s</w:t>
      </w:r>
      <w:r w:rsidR="00E76AF6" w:rsidRPr="00774C13">
        <w:t xml:space="preserve"> preference is to approve the proposed dilution while keeping the already approved standard dilution. The choice of which dilution to use is then dependent on the treating physician, as agreed to by the consumer patient.</w:t>
      </w:r>
    </w:p>
    <w:p w14:paraId="238493AC" w14:textId="6498D372" w:rsidR="00E76AF6" w:rsidRDefault="00E76AF6" w:rsidP="00E76AF6">
      <w:pPr>
        <w:tabs>
          <w:tab w:val="left" w:pos="993"/>
        </w:tabs>
      </w:pPr>
      <w:r>
        <w:t xml:space="preserve">No study directly assessed the proposed dilution in </w:t>
      </w:r>
      <w:r w:rsidR="00ED4779">
        <w:t>the treatment of LCLs, but the c</w:t>
      </w:r>
      <w:r>
        <w:t>linical Evaluator believes that this omission is acceptable given the relatively minor nature of the proposed change and the broad similarity of the safety and efficacy issu</w:t>
      </w:r>
      <w:r w:rsidR="00BC56E2">
        <w:t>es in LCLs and GFLs</w:t>
      </w:r>
      <w:r>
        <w:t>.</w:t>
      </w:r>
    </w:p>
    <w:p w14:paraId="3021EA67" w14:textId="68DD1346" w:rsidR="00E76AF6" w:rsidRDefault="00E76AF6" w:rsidP="00BC56E2">
      <w:r>
        <w:t xml:space="preserve">Regarding the </w:t>
      </w:r>
      <w:r w:rsidRPr="00ED4779">
        <w:t>third major theme</w:t>
      </w:r>
      <w:r w:rsidR="00ED4779">
        <w:t>, c</w:t>
      </w:r>
      <w:r>
        <w:t xml:space="preserve">hanging the listed frequency of the </w:t>
      </w:r>
      <w:r w:rsidR="00ED4779">
        <w:t>AE, ‘abnormal eye movements’</w:t>
      </w:r>
      <w:r>
        <w:t>, as a complication of t</w:t>
      </w:r>
      <w:r w:rsidR="00ED4779">
        <w:t>reatment of the GFLs indication</w:t>
      </w:r>
      <w:r>
        <w:t xml:space="preserve">, the </w:t>
      </w:r>
      <w:r w:rsidR="00ED4779">
        <w:t>clinical evaluator was of the opinion</w:t>
      </w:r>
      <w:r>
        <w:t>, especially in the light of the proposed dilute</w:t>
      </w:r>
      <w:r w:rsidR="00ED4779">
        <w:t>d volume, that:</w:t>
      </w:r>
    </w:p>
    <w:p w14:paraId="202A3EBF" w14:textId="2A57589E" w:rsidR="00E76AF6" w:rsidRDefault="005559DC" w:rsidP="00BC56E2">
      <w:pPr>
        <w:pStyle w:val="ListBullet"/>
      </w:pPr>
      <w:r>
        <w:t>T</w:t>
      </w:r>
      <w:r w:rsidR="00E76AF6">
        <w:t xml:space="preserve">here is an increased risk of local spread to non-targeted muscles, such as the </w:t>
      </w:r>
      <w:proofErr w:type="spellStart"/>
      <w:r w:rsidR="00E76AF6">
        <w:t>levator</w:t>
      </w:r>
      <w:proofErr w:type="spellEnd"/>
      <w:r w:rsidR="00E76AF6">
        <w:t xml:space="preserve"> </w:t>
      </w:r>
      <w:proofErr w:type="spellStart"/>
      <w:r w:rsidR="00E76AF6">
        <w:t>palpebrae</w:t>
      </w:r>
      <w:proofErr w:type="spellEnd"/>
      <w:r w:rsidR="00E76AF6">
        <w:t xml:space="preserve"> or the muscles involved in eye m</w:t>
      </w:r>
      <w:r w:rsidR="00BC56E2">
        <w:t xml:space="preserve">ovements (leading to ptosis or </w:t>
      </w:r>
      <w:r w:rsidR="00E76AF6">
        <w:t>diplopia, respectively).</w:t>
      </w:r>
      <w:r w:rsidR="00E76AF6" w:rsidRPr="004C5472">
        <w:t xml:space="preserve"> </w:t>
      </w:r>
      <w:r w:rsidR="00E76AF6">
        <w:t>Given that this risk could increase with the new dilution,</w:t>
      </w:r>
      <w:r w:rsidR="00E76AF6" w:rsidRPr="004C5472">
        <w:t xml:space="preserve"> </w:t>
      </w:r>
      <w:r w:rsidR="00BC56E2">
        <w:t>the</w:t>
      </w:r>
      <w:r w:rsidR="00E76AF6">
        <w:t xml:space="preserve"> ongoing risk of eye movement disorders, subseque</w:t>
      </w:r>
      <w:r>
        <w:t>nt to that dilution, is unclear.</w:t>
      </w:r>
    </w:p>
    <w:p w14:paraId="0FB5EA40" w14:textId="6C63A310" w:rsidR="00E76AF6" w:rsidRPr="00ED4779" w:rsidRDefault="005559DC" w:rsidP="00ED4779">
      <w:pPr>
        <w:pStyle w:val="ListBullet"/>
      </w:pPr>
      <w:r>
        <w:t>F</w:t>
      </w:r>
      <w:r w:rsidR="00ED4779" w:rsidRPr="00ED4779">
        <w:t>urthermore, the s</w:t>
      </w:r>
      <w:r w:rsidR="00E76AF6" w:rsidRPr="00ED4779">
        <w:t xml:space="preserve">ponsor’s proposed change to the PI would lead to eye movement disorders being listed as rare while diplopia was already listed as uncommon. Given that most diplopia is due to an abnormality of eye movement, and therefore represents a subset </w:t>
      </w:r>
      <w:r w:rsidR="00ED4779">
        <w:t>of eye movement disorders, the s</w:t>
      </w:r>
      <w:r w:rsidR="00E76AF6" w:rsidRPr="00ED4779">
        <w:t>ponsor’s proposed change is illogical</w:t>
      </w:r>
      <w:r w:rsidR="00ED4779" w:rsidRPr="00ED4779">
        <w:t>.</w:t>
      </w:r>
    </w:p>
    <w:p w14:paraId="50E849F4" w14:textId="08A4653A" w:rsidR="00E76AF6" w:rsidRPr="00273BF7" w:rsidRDefault="00ED4779" w:rsidP="00750907">
      <w:pPr>
        <w:pageBreakBefore/>
        <w:rPr>
          <w:b/>
          <w:lang w:eastAsia="ja-JP"/>
        </w:rPr>
      </w:pPr>
      <w:r>
        <w:t>The s</w:t>
      </w:r>
      <w:r w:rsidR="00E76AF6" w:rsidRPr="00273BF7">
        <w:t>ponsor’s response to the above, which is now acceptable, is to vary the d</w:t>
      </w:r>
      <w:r>
        <w:t xml:space="preserve">raft </w:t>
      </w:r>
      <w:r w:rsidR="00E76AF6" w:rsidRPr="00273BF7">
        <w:t xml:space="preserve">PI to read, under </w:t>
      </w:r>
      <w:r>
        <w:t>‘</w:t>
      </w:r>
      <w:r w:rsidR="00E76AF6" w:rsidRPr="00ED4779">
        <w:rPr>
          <w:lang w:eastAsia="ja-JP"/>
        </w:rPr>
        <w:t>Eye disorders</w:t>
      </w:r>
      <w:r>
        <w:rPr>
          <w:lang w:eastAsia="ja-JP"/>
        </w:rPr>
        <w:t>’ for treatment of GFLs</w:t>
      </w:r>
      <w:r w:rsidR="00E76AF6" w:rsidRPr="00ED4779">
        <w:rPr>
          <w:lang w:eastAsia="ja-JP"/>
        </w:rPr>
        <w:t>:</w:t>
      </w:r>
    </w:p>
    <w:p w14:paraId="7A69F206" w14:textId="77777777" w:rsidR="00E76AF6" w:rsidRPr="009A5202" w:rsidRDefault="00BC56E2" w:rsidP="00BC56E2">
      <w:pPr>
        <w:ind w:left="720"/>
        <w:rPr>
          <w:lang w:eastAsia="ja-JP"/>
        </w:rPr>
      </w:pPr>
      <w:r>
        <w:rPr>
          <w:lang w:eastAsia="ja-JP"/>
        </w:rPr>
        <w:t>‘</w:t>
      </w:r>
      <w:r w:rsidR="00E76AF6" w:rsidRPr="009A5202">
        <w:rPr>
          <w:lang w:eastAsia="ja-JP"/>
        </w:rPr>
        <w:t xml:space="preserve">Common: </w:t>
      </w:r>
      <w:proofErr w:type="spellStart"/>
      <w:r w:rsidR="00E76AF6" w:rsidRPr="009A5202">
        <w:rPr>
          <w:lang w:eastAsia="ja-JP"/>
        </w:rPr>
        <w:t>Asthenopia</w:t>
      </w:r>
      <w:proofErr w:type="spellEnd"/>
      <w:r w:rsidR="00E76AF6" w:rsidRPr="009A5202">
        <w:rPr>
          <w:lang w:eastAsia="ja-JP"/>
        </w:rPr>
        <w:t>, ptosis, eyelid oedema, lacrimation increased, dry eye, muscle twitching</w:t>
      </w:r>
    </w:p>
    <w:p w14:paraId="4D76CEF5" w14:textId="77777777" w:rsidR="00E76AF6" w:rsidRPr="009A5202" w:rsidRDefault="00E76AF6" w:rsidP="00BC56E2">
      <w:pPr>
        <w:ind w:left="720"/>
        <w:rPr>
          <w:lang w:eastAsia="ja-JP"/>
        </w:rPr>
      </w:pPr>
      <w:r w:rsidRPr="009A5202">
        <w:rPr>
          <w:lang w:eastAsia="ja-JP"/>
        </w:rPr>
        <w:t>Uncommon: Visual impairment, vision blurred, diplopia</w:t>
      </w:r>
    </w:p>
    <w:p w14:paraId="61EE73BB" w14:textId="77777777" w:rsidR="00E76AF6" w:rsidRDefault="00E76AF6" w:rsidP="00BC56E2">
      <w:pPr>
        <w:ind w:left="720"/>
        <w:rPr>
          <w:lang w:eastAsia="ja-JP"/>
        </w:rPr>
      </w:pPr>
      <w:r w:rsidRPr="009A5202">
        <w:rPr>
          <w:lang w:eastAsia="ja-JP"/>
        </w:rPr>
        <w:t>Rare: eye movement disorders excluding diplopia</w:t>
      </w:r>
      <w:r w:rsidR="00BC56E2">
        <w:rPr>
          <w:lang w:eastAsia="ja-JP"/>
        </w:rPr>
        <w:t>’</w:t>
      </w:r>
    </w:p>
    <w:p w14:paraId="13DAA7E6" w14:textId="49299A4C" w:rsidR="00E76AF6" w:rsidRPr="00ED4779" w:rsidRDefault="00E76AF6" w:rsidP="00ED4779">
      <w:r w:rsidRPr="00ED4779">
        <w:t xml:space="preserve">For the first minor theme, </w:t>
      </w:r>
      <w:r w:rsidR="00ED4779">
        <w:t>s</w:t>
      </w:r>
      <w:r w:rsidRPr="00ED4779">
        <w:t>ome mino</w:t>
      </w:r>
      <w:r w:rsidR="00ED4779">
        <w:t>r editing or formatting changes, the clinical evaluator</w:t>
      </w:r>
      <w:r w:rsidRPr="00ED4779">
        <w:t xml:space="preserve"> stated that some minor formatting error has altered the spacing of bullet points in the listing of indications, producing excess vertical spacing between the third and fourth bullet points. It is suggested that the spacing error be corrected prior to the production of the final PI </w:t>
      </w:r>
      <w:r w:rsidR="00BC56E2" w:rsidRPr="00ED4779">
        <w:t>version.</w:t>
      </w:r>
    </w:p>
    <w:p w14:paraId="4667E9A9" w14:textId="0C4497A7" w:rsidR="00E76AF6" w:rsidRDefault="00E76AF6" w:rsidP="00BC56E2">
      <w:r w:rsidRPr="00E07E83">
        <w:t>The</w:t>
      </w:r>
      <w:r w:rsidR="00ED4779">
        <w:rPr>
          <w:b/>
        </w:rPr>
        <w:t xml:space="preserve"> </w:t>
      </w:r>
      <w:r w:rsidR="00ED4779" w:rsidRPr="00ED4779">
        <w:t>second minor theme</w:t>
      </w:r>
      <w:r w:rsidR="00ED4779">
        <w:rPr>
          <w:b/>
        </w:rPr>
        <w:t xml:space="preserve">, </w:t>
      </w:r>
      <w:r w:rsidR="00ED4779">
        <w:t>f</w:t>
      </w:r>
      <w:r w:rsidRPr="00E07E83">
        <w:t>lexibility in choice of needle gauge for the cosmetic indicatio</w:t>
      </w:r>
      <w:r w:rsidR="00ED4779">
        <w:t>ns (changing references from a ’29 to 30 gauge needle’ to a ‘suitable gauge needle’</w:t>
      </w:r>
      <w:r w:rsidRPr="00E07E83">
        <w:t>)</w:t>
      </w:r>
      <w:r>
        <w:t xml:space="preserve"> was without data</w:t>
      </w:r>
      <w:r w:rsidRPr="00E07E83">
        <w:t xml:space="preserve">. </w:t>
      </w:r>
      <w:r>
        <w:t>Given that t</w:t>
      </w:r>
      <w:r w:rsidR="00ED4779">
        <w:t xml:space="preserve">he theme is simply replacing a ’29 to </w:t>
      </w:r>
      <w:r>
        <w:t>30 gauge needle</w:t>
      </w:r>
      <w:r w:rsidR="00ED4779">
        <w:t>’ to a ‘suitable gauge needle’</w:t>
      </w:r>
      <w:r>
        <w:t>, it is considered as an acceptable minor alteration not requiring data.</w:t>
      </w:r>
    </w:p>
    <w:p w14:paraId="1B7BE0B3" w14:textId="5684E1E4" w:rsidR="00E76AF6" w:rsidRDefault="00E76AF6" w:rsidP="00BC56E2">
      <w:r>
        <w:t xml:space="preserve">While commenting that on balance, </w:t>
      </w:r>
      <w:r w:rsidRPr="00867DE9">
        <w:t xml:space="preserve">the safety profile of </w:t>
      </w:r>
      <w:proofErr w:type="spellStart"/>
      <w:r w:rsidRPr="00867DE9">
        <w:t>Dyspor</w:t>
      </w:r>
      <w:r w:rsidR="00583901">
        <w:t>t</w:t>
      </w:r>
      <w:proofErr w:type="spellEnd"/>
      <w:r w:rsidR="00583901">
        <w:t xml:space="preserve"> for the proposed </w:t>
      </w:r>
      <w:r w:rsidR="00ED4779">
        <w:t>extension of indication</w:t>
      </w:r>
      <w:r w:rsidR="00583901">
        <w:t xml:space="preserve"> and </w:t>
      </w:r>
      <w:r w:rsidRPr="00867DE9">
        <w:t>dilution paradigm is acceptable</w:t>
      </w:r>
      <w:r>
        <w:t xml:space="preserve">, the </w:t>
      </w:r>
      <w:r w:rsidR="00ED4779">
        <w:t>clinical evaluator’s</w:t>
      </w:r>
      <w:r>
        <w:t xml:space="preserve"> authorisation recommendation in</w:t>
      </w:r>
      <w:r w:rsidR="00ED4779">
        <w:t>clude</w:t>
      </w:r>
      <w:r w:rsidR="00AB3CC0">
        <w:t>s</w:t>
      </w:r>
      <w:r w:rsidR="00ED4779">
        <w:t xml:space="preserve"> the following statements:</w:t>
      </w:r>
    </w:p>
    <w:p w14:paraId="7A67E081" w14:textId="79875CE8" w:rsidR="00E76AF6" w:rsidRPr="00EA1169" w:rsidRDefault="00ED4779" w:rsidP="00583901">
      <w:pPr>
        <w:pStyle w:val="ListBullet"/>
      </w:pPr>
      <w:r>
        <w:t>The s</w:t>
      </w:r>
      <w:r w:rsidR="00E76AF6" w:rsidRPr="00EA1169">
        <w:t>ponsor should continue to gather evidence, that total body doses of up to</w:t>
      </w:r>
      <w:r w:rsidR="00583901">
        <w:t xml:space="preserve"> </w:t>
      </w:r>
      <w:r w:rsidR="00E76AF6" w:rsidRPr="00EA1169">
        <w:t xml:space="preserve">30 U/kg remain safe, and this should </w:t>
      </w:r>
      <w:r w:rsidR="00583901">
        <w:t xml:space="preserve">be a priority in post-marketing </w:t>
      </w:r>
      <w:r w:rsidR="00E76AF6">
        <w:t>s</w:t>
      </w:r>
      <w:r>
        <w:t>urveillance.</w:t>
      </w:r>
    </w:p>
    <w:p w14:paraId="7E1CBEE1" w14:textId="77777777" w:rsidR="00E76AF6" w:rsidRPr="00EA1169" w:rsidRDefault="00E76AF6" w:rsidP="00583901">
      <w:pPr>
        <w:pStyle w:val="ListBullet"/>
      </w:pPr>
      <w:r w:rsidRPr="00EA1169">
        <w:t xml:space="preserve">Post marketing surveillance should include </w:t>
      </w:r>
      <w:r w:rsidR="00583901">
        <w:t>assessment of the incidence of</w:t>
      </w:r>
      <w:r w:rsidRPr="00EA1169">
        <w:t xml:space="preserve"> diplopia and ptosis for this dilution, in comparison to the standard dilution.</w:t>
      </w:r>
    </w:p>
    <w:p w14:paraId="613928C0" w14:textId="77777777" w:rsidR="008E273B" w:rsidRDefault="00E76AF6" w:rsidP="008E273B">
      <w:pPr>
        <w:pStyle w:val="Heading5"/>
      </w:pPr>
      <w:r w:rsidRPr="00AD21EA">
        <w:t>Proposed indication</w:t>
      </w:r>
    </w:p>
    <w:p w14:paraId="7DA11BB7" w14:textId="6DA7BBD8" w:rsidR="008E273B" w:rsidRDefault="008E273B" w:rsidP="00583901">
      <w:r>
        <w:t>The proposed indication (</w:t>
      </w:r>
      <w:r w:rsidR="00E76AF6" w:rsidRPr="00AD21EA">
        <w:t xml:space="preserve">as per the sponsor and accepted by both the </w:t>
      </w:r>
      <w:r>
        <w:t>clinical evaluator</w:t>
      </w:r>
      <w:r w:rsidR="00E76AF6" w:rsidRPr="00AD21EA">
        <w:t xml:space="preserve"> and the</w:t>
      </w:r>
      <w:r>
        <w:t xml:space="preserve"> D</w:t>
      </w:r>
      <w:r w:rsidR="00E76AF6" w:rsidRPr="00AD21EA">
        <w:t>elegate):</w:t>
      </w:r>
    </w:p>
    <w:p w14:paraId="2FD3AE0F" w14:textId="7050B47B" w:rsidR="00E76AF6" w:rsidRPr="008E273B" w:rsidRDefault="00ED4779" w:rsidP="008E273B">
      <w:pPr>
        <w:ind w:left="720"/>
        <w:rPr>
          <w:b/>
          <w:i/>
        </w:rPr>
      </w:pPr>
      <w:proofErr w:type="spellStart"/>
      <w:r>
        <w:rPr>
          <w:i/>
        </w:rPr>
        <w:t>Dysport</w:t>
      </w:r>
      <w:proofErr w:type="spellEnd"/>
      <w:r>
        <w:rPr>
          <w:i/>
        </w:rPr>
        <w:t xml:space="preserve"> is indicated for </w:t>
      </w:r>
      <w:r w:rsidR="00E76AF6" w:rsidRPr="008E273B">
        <w:rPr>
          <w:i/>
        </w:rPr>
        <w:t>the treatment of upper limb</w:t>
      </w:r>
      <w:r w:rsidR="005559DC">
        <w:rPr>
          <w:i/>
        </w:rPr>
        <w:t xml:space="preserve"> spasticity in children, aged 2 </w:t>
      </w:r>
      <w:r w:rsidR="00E76AF6" w:rsidRPr="008E273B">
        <w:rPr>
          <w:i/>
        </w:rPr>
        <w:t>years and older</w:t>
      </w:r>
      <w:r w:rsidR="008E273B" w:rsidRPr="008E273B">
        <w:rPr>
          <w:i/>
        </w:rPr>
        <w:t>.</w:t>
      </w:r>
    </w:p>
    <w:p w14:paraId="60AC8DF6" w14:textId="46E2D0B4" w:rsidR="008E273B" w:rsidRDefault="00E76AF6" w:rsidP="008E273B">
      <w:pPr>
        <w:pStyle w:val="Heading5"/>
      </w:pPr>
      <w:r w:rsidRPr="00AD21EA">
        <w:t xml:space="preserve">Proposed </w:t>
      </w:r>
      <w:r w:rsidR="008E273B">
        <w:t xml:space="preserve">additional </w:t>
      </w:r>
      <w:r w:rsidRPr="00AD21EA">
        <w:t>dilution</w:t>
      </w:r>
    </w:p>
    <w:p w14:paraId="4EB237FD" w14:textId="77777777" w:rsidR="00ED4779" w:rsidRDefault="008E273B" w:rsidP="008E273B">
      <w:r>
        <w:t xml:space="preserve">The proposed additional dilution </w:t>
      </w:r>
      <w:r w:rsidR="00E76AF6" w:rsidRPr="00AD21EA">
        <w:t xml:space="preserve">(as per the sponsor and accepted by </w:t>
      </w:r>
      <w:r w:rsidR="00583901">
        <w:t xml:space="preserve">both the </w:t>
      </w:r>
      <w:r>
        <w:t>clinical evaluator and the D</w:t>
      </w:r>
      <w:r w:rsidR="00ED4779">
        <w:t>elegate):</w:t>
      </w:r>
    </w:p>
    <w:p w14:paraId="66C933B6" w14:textId="5B30BE9B" w:rsidR="00E76AF6" w:rsidRDefault="005559DC" w:rsidP="00ED4779">
      <w:pPr>
        <w:ind w:left="720"/>
      </w:pPr>
      <w:r>
        <w:t>‘</w:t>
      </w:r>
      <w:r w:rsidR="00E76AF6">
        <w:t xml:space="preserve">Dilution (10 U/0.1 mL) for treatment of Glabellar Facial Lines and Lateral </w:t>
      </w:r>
      <w:proofErr w:type="spellStart"/>
      <w:r w:rsidR="00E76AF6">
        <w:t>Canthal</w:t>
      </w:r>
      <w:proofErr w:type="spellEnd"/>
      <w:r w:rsidR="00E76AF6">
        <w:t xml:space="preserve"> Lines.</w:t>
      </w:r>
      <w:r>
        <w:t>’</w:t>
      </w:r>
    </w:p>
    <w:p w14:paraId="4FD1CB25" w14:textId="77777777" w:rsidR="00E76AF6" w:rsidRPr="00141DFE" w:rsidRDefault="00367C79" w:rsidP="00367C79">
      <w:pPr>
        <w:pStyle w:val="Heading5"/>
      </w:pPr>
      <w:r>
        <w:t>Proposed c</w:t>
      </w:r>
      <w:r w:rsidR="00E76AF6" w:rsidRPr="00141DFE">
        <w:t xml:space="preserve">onditions </w:t>
      </w:r>
      <w:r>
        <w:t>of registration</w:t>
      </w:r>
    </w:p>
    <w:p w14:paraId="3E6B3836" w14:textId="6AA98CFC" w:rsidR="00E76AF6" w:rsidRPr="00B34E1D" w:rsidRDefault="00367C79" w:rsidP="00367C79">
      <w:pPr>
        <w:pStyle w:val="ListBullet"/>
      </w:pPr>
      <w:r>
        <w:t>The s</w:t>
      </w:r>
      <w:r w:rsidR="00E76AF6" w:rsidRPr="00B34E1D">
        <w:t>ponsor should continue to gather evidence, that total body doses of up to</w:t>
      </w:r>
      <w:r>
        <w:t xml:space="preserve"> </w:t>
      </w:r>
      <w:r w:rsidR="00E76AF6" w:rsidRPr="00B34E1D">
        <w:t xml:space="preserve">30 U/kg remain safe, and this should be </w:t>
      </w:r>
      <w:r>
        <w:t>a priority in post-marketing</w:t>
      </w:r>
      <w:r w:rsidR="00ED4779">
        <w:t xml:space="preserve"> surveillance.</w:t>
      </w:r>
    </w:p>
    <w:p w14:paraId="32584D6E" w14:textId="77777777" w:rsidR="00E76AF6" w:rsidRPr="00E76AF6" w:rsidRDefault="00E76AF6" w:rsidP="00367C79">
      <w:pPr>
        <w:pStyle w:val="ListBullet"/>
      </w:pPr>
      <w:r w:rsidRPr="00B34E1D">
        <w:t>Post marketing surveillance should include assessment of the incidence of diplopia and ptosis for this dilution, in comparison to the standard dilution.</w:t>
      </w:r>
    </w:p>
    <w:p w14:paraId="009F3853" w14:textId="77777777" w:rsidR="00D23139" w:rsidRDefault="00D23139" w:rsidP="00D23139">
      <w:pPr>
        <w:pStyle w:val="Heading4"/>
      </w:pPr>
      <w:r w:rsidRPr="00D23139">
        <w:t>Proposed action</w:t>
      </w:r>
    </w:p>
    <w:p w14:paraId="774086F0" w14:textId="30F62498" w:rsidR="00456765" w:rsidRDefault="00367C79" w:rsidP="00E76AF6">
      <w:r>
        <w:t>The Delegate finds the submission to be a</w:t>
      </w:r>
      <w:r w:rsidR="00E76AF6">
        <w:t>pprovable, with the above stated condition</w:t>
      </w:r>
      <w:r>
        <w:t>s</w:t>
      </w:r>
      <w:r w:rsidR="00E76AF6">
        <w:t xml:space="preserve"> of registration.</w:t>
      </w:r>
    </w:p>
    <w:p w14:paraId="6DE6B235" w14:textId="33E4474D" w:rsidR="005559DC" w:rsidRPr="00456765" w:rsidRDefault="005559DC" w:rsidP="00E76AF6">
      <w:r>
        <w:t>The Delegate sought advice from the Advisory Committee (see ‘</w:t>
      </w:r>
      <w:r w:rsidRPr="005559DC">
        <w:rPr>
          <w:i/>
        </w:rPr>
        <w:fldChar w:fldCharType="begin"/>
      </w:r>
      <w:r w:rsidRPr="005559DC">
        <w:rPr>
          <w:i/>
        </w:rPr>
        <w:instrText xml:space="preserve"> REF _Ref66525659 \h </w:instrText>
      </w:r>
      <w:r>
        <w:rPr>
          <w:i/>
        </w:rPr>
        <w:instrText xml:space="preserve"> \* MERGEFORMAT </w:instrText>
      </w:r>
      <w:r w:rsidRPr="005559DC">
        <w:rPr>
          <w:i/>
        </w:rPr>
      </w:r>
      <w:r w:rsidRPr="005559DC">
        <w:rPr>
          <w:i/>
        </w:rPr>
        <w:fldChar w:fldCharType="separate"/>
      </w:r>
      <w:r w:rsidR="00F533BF" w:rsidRPr="00F533BF">
        <w:rPr>
          <w:i/>
        </w:rPr>
        <w:t>Advisory Committee considerations</w:t>
      </w:r>
      <w:r w:rsidRPr="005559DC">
        <w:rPr>
          <w:i/>
        </w:rPr>
        <w:fldChar w:fldCharType="end"/>
      </w:r>
      <w:r>
        <w:t>’ section, below).</w:t>
      </w:r>
    </w:p>
    <w:p w14:paraId="0185ADA3" w14:textId="77777777" w:rsidR="007D53B6" w:rsidRDefault="007D53B6" w:rsidP="007D53B6">
      <w:pPr>
        <w:pStyle w:val="Heading4"/>
      </w:pPr>
      <w:bookmarkStart w:id="58" w:name="_Ref66105074"/>
      <w:r>
        <w:t xml:space="preserve">Questions for </w:t>
      </w:r>
      <w:r w:rsidR="00744121">
        <w:t xml:space="preserve">the </w:t>
      </w:r>
      <w:r>
        <w:t>sponsor</w:t>
      </w:r>
      <w:bookmarkEnd w:id="58"/>
    </w:p>
    <w:p w14:paraId="0062FC64" w14:textId="77777777" w:rsidR="00744121" w:rsidRDefault="00744121" w:rsidP="00744121">
      <w:r>
        <w:t>The sponsor provided the following response to questions from the Delegate.</w:t>
      </w:r>
    </w:p>
    <w:p w14:paraId="70794851" w14:textId="77777777" w:rsidR="00E76AF6" w:rsidRPr="00B74CFE" w:rsidRDefault="00E76AF6" w:rsidP="00B74CFE">
      <w:pPr>
        <w:rPr>
          <w:b/>
          <w:i/>
        </w:rPr>
      </w:pPr>
      <w:r w:rsidRPr="00B74CFE">
        <w:rPr>
          <w:b/>
          <w:i/>
        </w:rPr>
        <w:t>Regardi</w:t>
      </w:r>
      <w:r w:rsidR="00B74CFE" w:rsidRPr="00B74CFE">
        <w:rPr>
          <w:b/>
          <w:i/>
        </w:rPr>
        <w:t>ng the extension of indications:</w:t>
      </w:r>
    </w:p>
    <w:p w14:paraId="77D83568" w14:textId="30291E44" w:rsidR="00E76AF6" w:rsidRPr="00B74CFE" w:rsidRDefault="00ED4779" w:rsidP="00B74CFE">
      <w:pPr>
        <w:pStyle w:val="Numberbullet0"/>
        <w:rPr>
          <w:b/>
          <w:i/>
        </w:rPr>
      </w:pPr>
      <w:r>
        <w:rPr>
          <w:b/>
          <w:i/>
        </w:rPr>
        <w:t>In its p</w:t>
      </w:r>
      <w:r w:rsidR="00E76AF6" w:rsidRPr="00B74CFE">
        <w:rPr>
          <w:b/>
          <w:i/>
        </w:rPr>
        <w:t>re-</w:t>
      </w:r>
      <w:r>
        <w:rPr>
          <w:b/>
          <w:i/>
        </w:rPr>
        <w:t>Advisory Committee on Medicines (</w:t>
      </w:r>
      <w:r w:rsidR="00E76AF6" w:rsidRPr="00B74CFE">
        <w:rPr>
          <w:b/>
          <w:i/>
        </w:rPr>
        <w:t>ACM</w:t>
      </w:r>
      <w:r>
        <w:rPr>
          <w:b/>
          <w:i/>
        </w:rPr>
        <w:t>)</w:t>
      </w:r>
      <w:r w:rsidR="00E76AF6" w:rsidRPr="00B74CFE">
        <w:rPr>
          <w:b/>
          <w:i/>
        </w:rPr>
        <w:t xml:space="preserve"> response, the sponsor should provide justification for injecting th</w:t>
      </w:r>
      <w:r w:rsidR="00B74CFE">
        <w:rPr>
          <w:b/>
          <w:i/>
        </w:rPr>
        <w:t xml:space="preserve">e </w:t>
      </w:r>
      <w:r>
        <w:rPr>
          <w:b/>
          <w:i/>
        </w:rPr>
        <w:t>lower limbs</w:t>
      </w:r>
      <w:r w:rsidR="00B74CFE">
        <w:rPr>
          <w:b/>
          <w:i/>
        </w:rPr>
        <w:t xml:space="preserve"> at TC2, TC3 and</w:t>
      </w:r>
      <w:r w:rsidR="00E76AF6" w:rsidRPr="00B74CFE">
        <w:rPr>
          <w:b/>
          <w:i/>
        </w:rPr>
        <w:t xml:space="preserve"> TC4 at all,</w:t>
      </w:r>
      <w:r w:rsidR="00583901">
        <w:rPr>
          <w:b/>
          <w:i/>
        </w:rPr>
        <w:t xml:space="preserve"> given the proposed indication.</w:t>
      </w:r>
    </w:p>
    <w:p w14:paraId="3C85D363" w14:textId="4C7F5BBA" w:rsidR="00E76AF6" w:rsidRDefault="00ED4779" w:rsidP="00B74CFE">
      <w:r>
        <w:t>While Study Y-52-52120-153</w:t>
      </w:r>
      <w:r w:rsidR="00E76AF6" w:rsidRPr="00E76AF6">
        <w:t xml:space="preserve"> was to support the treatment of </w:t>
      </w:r>
      <w:r>
        <w:t>PUL</w:t>
      </w:r>
      <w:r w:rsidR="00E76AF6" w:rsidRPr="00E76AF6">
        <w:t xml:space="preserve"> spasticity with </w:t>
      </w:r>
      <w:proofErr w:type="spellStart"/>
      <w:r w:rsidR="00B74CFE" w:rsidRPr="00E76AF6">
        <w:t>Dysport</w:t>
      </w:r>
      <w:proofErr w:type="spellEnd"/>
      <w:r w:rsidR="00E76AF6" w:rsidRPr="00E76AF6">
        <w:t xml:space="preserve"> and was designed with this in mind, it also needed to recognise the importance of treatment of lower limb spasticity in this population. This is particularly relevant for the growing paediatric population where treatment in the lower limb(s), when affected by spasticity, is key for optimisation of their development, including the ability to improve walking. The use of botulinum toxin type A for treating lower limb spasticity of children with cerebra</w:t>
      </w:r>
      <w:r w:rsidR="00B74CFE">
        <w:t>l palsy is now well established</w:t>
      </w:r>
      <w:r w:rsidR="00E76AF6" w:rsidRPr="00E76AF6">
        <w:t>.</w:t>
      </w:r>
      <w:bookmarkStart w:id="59" w:name="_Ref66027317"/>
      <w:r w:rsidR="00B74CFE" w:rsidRPr="00AB3CC0">
        <w:rPr>
          <w:rStyle w:val="FootnoteReference"/>
        </w:rPr>
        <w:footnoteReference w:id="18"/>
      </w:r>
      <w:bookmarkEnd w:id="59"/>
      <w:r w:rsidR="00AB3CC0" w:rsidRPr="0024140D">
        <w:rPr>
          <w:vertAlign w:val="superscript"/>
        </w:rPr>
        <w:t>,</w:t>
      </w:r>
      <w:bookmarkStart w:id="60" w:name="_Ref66027324"/>
      <w:r w:rsidR="00B74CFE" w:rsidRPr="00AB3CC0">
        <w:rPr>
          <w:rStyle w:val="FootnoteReference"/>
        </w:rPr>
        <w:footnoteReference w:id="19"/>
      </w:r>
      <w:bookmarkEnd w:id="60"/>
      <w:r w:rsidR="00AB3CC0" w:rsidRPr="0024140D">
        <w:rPr>
          <w:vertAlign w:val="superscript"/>
        </w:rPr>
        <w:t>,</w:t>
      </w:r>
      <w:bookmarkStart w:id="61" w:name="_Ref66027328"/>
      <w:r w:rsidR="00B74CFE" w:rsidRPr="00AB3CC0">
        <w:rPr>
          <w:rStyle w:val="FootnoteReference"/>
        </w:rPr>
        <w:footnoteReference w:id="20"/>
      </w:r>
      <w:bookmarkEnd w:id="61"/>
      <w:r w:rsidR="00AB3CC0" w:rsidRPr="0024140D">
        <w:rPr>
          <w:vertAlign w:val="superscript"/>
        </w:rPr>
        <w:t>,</w:t>
      </w:r>
      <w:bookmarkStart w:id="62" w:name="_Ref66027331"/>
      <w:r w:rsidR="00B74CFE" w:rsidRPr="00AB3CC0">
        <w:rPr>
          <w:rStyle w:val="FootnoteReference"/>
        </w:rPr>
        <w:footnoteReference w:id="21"/>
      </w:r>
      <w:bookmarkEnd w:id="62"/>
      <w:r w:rsidR="00B74CFE">
        <w:t xml:space="preserve"> </w:t>
      </w:r>
      <w:r w:rsidR="00E76AF6" w:rsidRPr="00E76AF6">
        <w:t xml:space="preserve">It was not considered feasible, nor ethical, to conduct a long-term </w:t>
      </w:r>
      <w:proofErr w:type="spellStart"/>
      <w:r w:rsidR="00B74CFE" w:rsidRPr="00E76AF6">
        <w:t>Dysport</w:t>
      </w:r>
      <w:proofErr w:type="spellEnd"/>
      <w:r w:rsidR="00E76AF6" w:rsidRPr="00E76AF6">
        <w:t xml:space="preserve"> repeat treatment study without addressing their lower limb spasticity, if clinically needed.</w:t>
      </w:r>
    </w:p>
    <w:p w14:paraId="750B5980" w14:textId="6B006D4B" w:rsidR="00E76AF6" w:rsidRPr="00E76AF6" w:rsidRDefault="00E76AF6" w:rsidP="00B74CFE">
      <w:r w:rsidRPr="00E76AF6">
        <w:t>This approach is supported by the profile of patients that were enrolle</w:t>
      </w:r>
      <w:r w:rsidR="00ED4779">
        <w:t>d in the study. At B</w:t>
      </w:r>
      <w:r w:rsidR="00B74CFE">
        <w:t>aseline</w:t>
      </w:r>
      <w:r w:rsidR="00ED4779">
        <w:t>,</w:t>
      </w:r>
      <w:r w:rsidR="00B74CFE">
        <w:t xml:space="preserve"> 160 out of 208 (76.9%) and 40 out of </w:t>
      </w:r>
      <w:r w:rsidRPr="00E76AF6">
        <w:t xml:space="preserve">208 (19.2%) of subjects presented with hemiparesis and </w:t>
      </w:r>
      <w:proofErr w:type="spellStart"/>
      <w:r w:rsidRPr="00E76AF6">
        <w:t>tetraparesis</w:t>
      </w:r>
      <w:proofErr w:type="spellEnd"/>
      <w:r w:rsidRPr="00E76AF6">
        <w:t>, respectively, meaning that the children’s cerebral palsy affected lower limbs in 96.2% of the study population, a</w:t>
      </w:r>
      <w:r w:rsidR="00B74CFE">
        <w:t>s displayed in the table below.</w:t>
      </w:r>
    </w:p>
    <w:p w14:paraId="4F7569DA" w14:textId="0D397DFB" w:rsidR="00E76AF6" w:rsidRDefault="00B74CFE" w:rsidP="00B74CFE">
      <w:pPr>
        <w:pStyle w:val="TableTitle"/>
      </w:pPr>
      <w:r>
        <w:t xml:space="preserve">Table </w:t>
      </w:r>
      <w:fldSimple w:instr=" SEQ Table \* ARABIC ">
        <w:r w:rsidR="00F533BF">
          <w:rPr>
            <w:noProof/>
          </w:rPr>
          <w:t>7</w:t>
        </w:r>
      </w:fldSimple>
      <w:r w:rsidR="00E76AF6" w:rsidRPr="00E76AF6">
        <w:t xml:space="preserve">: </w:t>
      </w:r>
      <w:r w:rsidR="00AB3CC0">
        <w:t>Study Y-52-52120-153</w:t>
      </w:r>
      <w:r w:rsidR="00AB3CC0" w:rsidRPr="00E76AF6">
        <w:t xml:space="preserve"> </w:t>
      </w:r>
      <w:r w:rsidR="00E76AF6" w:rsidRPr="00E76AF6">
        <w:t>Number (%) of subjects presenting with specified cerebral palsy paralysis</w:t>
      </w:r>
    </w:p>
    <w:p w14:paraId="666AAED4" w14:textId="77777777" w:rsidR="00E76AF6" w:rsidRDefault="00E76AF6" w:rsidP="00E76AF6">
      <w:r>
        <w:rPr>
          <w:noProof/>
          <w:lang w:eastAsia="en-AU"/>
        </w:rPr>
        <w:drawing>
          <wp:inline distT="0" distB="0" distL="0" distR="0" wp14:anchorId="512D1AA0" wp14:editId="4A634E35">
            <wp:extent cx="5400040" cy="1788795"/>
            <wp:effectExtent l="0" t="0" r="0" b="1905"/>
            <wp:docPr id="1" name="Picture 1" descr="Number (%) of subjects presenting with specified cerebral palsy par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00040" cy="1788795"/>
                    </a:xfrm>
                    <a:prstGeom prst="rect">
                      <a:avLst/>
                    </a:prstGeom>
                  </pic:spPr>
                </pic:pic>
              </a:graphicData>
            </a:graphic>
          </wp:inline>
        </w:drawing>
      </w:r>
    </w:p>
    <w:p w14:paraId="25C1E4AB" w14:textId="6C609053" w:rsidR="00E76AF6" w:rsidRDefault="00E76AF6" w:rsidP="00594800">
      <w:r>
        <w:t>While only the study upper limb could be treated in the initial treatment cycle and a treatment in the study upper limb was maintained in all treatment cycles, it is clear that such a population would require supplementary lower limb treatment in a significant proportion. Permitting such a multilevel treatment paradigm is also consistent with the available guidelines for the tre</w:t>
      </w:r>
      <w:r w:rsidR="00594800">
        <w:t>atment of paediatric spasticity</w:t>
      </w:r>
      <w:r>
        <w:t>.</w:t>
      </w:r>
      <w:r w:rsidR="00594800" w:rsidRPr="0024140D">
        <w:rPr>
          <w:vertAlign w:val="superscript"/>
        </w:rPr>
        <w:fldChar w:fldCharType="begin"/>
      </w:r>
      <w:r w:rsidR="00594800" w:rsidRPr="0024140D">
        <w:rPr>
          <w:vertAlign w:val="superscript"/>
        </w:rPr>
        <w:instrText xml:space="preserve"> NOTEREF _Ref66027317 \f \h </w:instrText>
      </w:r>
      <w:r w:rsidR="00AB3CC0">
        <w:rPr>
          <w:vertAlign w:val="superscript"/>
        </w:rPr>
        <w:instrText xml:space="preserve"> \* MERGEFORMAT </w:instrText>
      </w:r>
      <w:r w:rsidR="00594800" w:rsidRPr="0024140D">
        <w:rPr>
          <w:vertAlign w:val="superscript"/>
        </w:rPr>
      </w:r>
      <w:r w:rsidR="00594800" w:rsidRPr="0024140D">
        <w:rPr>
          <w:vertAlign w:val="superscript"/>
        </w:rPr>
        <w:fldChar w:fldCharType="separate"/>
      </w:r>
      <w:r w:rsidR="00F533BF" w:rsidRPr="00F533BF">
        <w:rPr>
          <w:rStyle w:val="FootnoteReference"/>
        </w:rPr>
        <w:t>18</w:t>
      </w:r>
      <w:r w:rsidR="00594800" w:rsidRPr="0024140D">
        <w:rPr>
          <w:vertAlign w:val="superscript"/>
        </w:rPr>
        <w:fldChar w:fldCharType="end"/>
      </w:r>
      <w:r w:rsidR="00AB3CC0" w:rsidRPr="0024140D">
        <w:rPr>
          <w:vertAlign w:val="superscript"/>
        </w:rPr>
        <w:t>,</w:t>
      </w:r>
      <w:r w:rsidR="00594800" w:rsidRPr="0024140D">
        <w:rPr>
          <w:vertAlign w:val="superscript"/>
        </w:rPr>
        <w:fldChar w:fldCharType="begin"/>
      </w:r>
      <w:r w:rsidR="00594800" w:rsidRPr="0024140D">
        <w:rPr>
          <w:vertAlign w:val="superscript"/>
        </w:rPr>
        <w:instrText xml:space="preserve"> NOTEREF _Ref66027324 \f \h </w:instrText>
      </w:r>
      <w:r w:rsidR="00AB3CC0">
        <w:rPr>
          <w:vertAlign w:val="superscript"/>
        </w:rPr>
        <w:instrText xml:space="preserve"> \* MERGEFORMAT </w:instrText>
      </w:r>
      <w:r w:rsidR="00594800" w:rsidRPr="0024140D">
        <w:rPr>
          <w:vertAlign w:val="superscript"/>
        </w:rPr>
      </w:r>
      <w:r w:rsidR="00594800" w:rsidRPr="0024140D">
        <w:rPr>
          <w:vertAlign w:val="superscript"/>
        </w:rPr>
        <w:fldChar w:fldCharType="separate"/>
      </w:r>
      <w:r w:rsidR="00F533BF" w:rsidRPr="00F533BF">
        <w:rPr>
          <w:rStyle w:val="FootnoteReference"/>
        </w:rPr>
        <w:t>19</w:t>
      </w:r>
      <w:r w:rsidR="00594800" w:rsidRPr="0024140D">
        <w:rPr>
          <w:vertAlign w:val="superscript"/>
        </w:rPr>
        <w:fldChar w:fldCharType="end"/>
      </w:r>
      <w:r w:rsidR="00AB3CC0" w:rsidRPr="0024140D">
        <w:rPr>
          <w:vertAlign w:val="superscript"/>
        </w:rPr>
        <w:t>,</w:t>
      </w:r>
      <w:r w:rsidR="00594800" w:rsidRPr="0024140D">
        <w:rPr>
          <w:vertAlign w:val="superscript"/>
        </w:rPr>
        <w:fldChar w:fldCharType="begin"/>
      </w:r>
      <w:r w:rsidR="00594800" w:rsidRPr="0024140D">
        <w:rPr>
          <w:vertAlign w:val="superscript"/>
        </w:rPr>
        <w:instrText xml:space="preserve"> NOTEREF _Ref66027328 \f \h </w:instrText>
      </w:r>
      <w:r w:rsidR="00AB3CC0">
        <w:rPr>
          <w:vertAlign w:val="superscript"/>
        </w:rPr>
        <w:instrText xml:space="preserve"> \* MERGEFORMAT </w:instrText>
      </w:r>
      <w:r w:rsidR="00594800" w:rsidRPr="0024140D">
        <w:rPr>
          <w:vertAlign w:val="superscript"/>
        </w:rPr>
      </w:r>
      <w:r w:rsidR="00594800" w:rsidRPr="0024140D">
        <w:rPr>
          <w:vertAlign w:val="superscript"/>
        </w:rPr>
        <w:fldChar w:fldCharType="separate"/>
      </w:r>
      <w:r w:rsidR="00F533BF" w:rsidRPr="00F533BF">
        <w:rPr>
          <w:rStyle w:val="FootnoteReference"/>
        </w:rPr>
        <w:t>20</w:t>
      </w:r>
      <w:r w:rsidR="00594800" w:rsidRPr="0024140D">
        <w:rPr>
          <w:vertAlign w:val="superscript"/>
        </w:rPr>
        <w:fldChar w:fldCharType="end"/>
      </w:r>
      <w:r w:rsidR="00AB3CC0" w:rsidRPr="0024140D">
        <w:rPr>
          <w:vertAlign w:val="superscript"/>
        </w:rPr>
        <w:t>,</w:t>
      </w:r>
      <w:r w:rsidR="00594800" w:rsidRPr="0024140D">
        <w:rPr>
          <w:vertAlign w:val="superscript"/>
        </w:rPr>
        <w:fldChar w:fldCharType="begin"/>
      </w:r>
      <w:r w:rsidR="00594800" w:rsidRPr="0024140D">
        <w:rPr>
          <w:vertAlign w:val="superscript"/>
        </w:rPr>
        <w:instrText xml:space="preserve"> NOTEREF _Ref66027331 \f \h </w:instrText>
      </w:r>
      <w:r w:rsidR="00AB3CC0">
        <w:rPr>
          <w:vertAlign w:val="superscript"/>
        </w:rPr>
        <w:instrText xml:space="preserve"> \* MERGEFORMAT </w:instrText>
      </w:r>
      <w:r w:rsidR="00594800" w:rsidRPr="0024140D">
        <w:rPr>
          <w:vertAlign w:val="superscript"/>
        </w:rPr>
      </w:r>
      <w:r w:rsidR="00594800" w:rsidRPr="0024140D">
        <w:rPr>
          <w:vertAlign w:val="superscript"/>
        </w:rPr>
        <w:fldChar w:fldCharType="separate"/>
      </w:r>
      <w:r w:rsidR="00F533BF" w:rsidRPr="00F533BF">
        <w:rPr>
          <w:rStyle w:val="FootnoteReference"/>
        </w:rPr>
        <w:t>21</w:t>
      </w:r>
      <w:r w:rsidR="00594800" w:rsidRPr="0024140D">
        <w:rPr>
          <w:vertAlign w:val="superscript"/>
        </w:rPr>
        <w:fldChar w:fldCharType="end"/>
      </w:r>
    </w:p>
    <w:p w14:paraId="1A6E2BF2" w14:textId="77777777" w:rsidR="00E76AF6" w:rsidRPr="00594800" w:rsidRDefault="00E76AF6" w:rsidP="00750907">
      <w:pPr>
        <w:pageBreakBefore/>
        <w:rPr>
          <w:b/>
          <w:i/>
        </w:rPr>
      </w:pPr>
      <w:r w:rsidRPr="00594800">
        <w:rPr>
          <w:b/>
          <w:i/>
        </w:rPr>
        <w:t xml:space="preserve">Regarding the proposed additional dilution of the 125 U product (for treatment of glabellar lines and lateral </w:t>
      </w:r>
      <w:proofErr w:type="spellStart"/>
      <w:r w:rsidRPr="00594800">
        <w:rPr>
          <w:b/>
          <w:i/>
        </w:rPr>
        <w:t>canthal</w:t>
      </w:r>
      <w:proofErr w:type="spellEnd"/>
      <w:r w:rsidRPr="00594800">
        <w:rPr>
          <w:b/>
          <w:i/>
        </w:rPr>
        <w:t xml:space="preserve"> lines </w:t>
      </w:r>
      <w:r w:rsidR="00594800" w:rsidRPr="00594800">
        <w:rPr>
          <w:b/>
          <w:i/>
        </w:rPr>
        <w:t>indications only):</w:t>
      </w:r>
    </w:p>
    <w:p w14:paraId="0F98A2C2" w14:textId="7C01A656" w:rsidR="00E76AF6" w:rsidRPr="00594800" w:rsidRDefault="00E76AF6" w:rsidP="00594800">
      <w:pPr>
        <w:pStyle w:val="Numberbullet0"/>
        <w:rPr>
          <w:b/>
          <w:i/>
        </w:rPr>
      </w:pPr>
      <w:r w:rsidRPr="00594800">
        <w:rPr>
          <w:b/>
          <w:i/>
        </w:rPr>
        <w:t>Given the fact that wrinkle severity was also carried out by a blinded off-site evaluator, the spo</w:t>
      </w:r>
      <w:r w:rsidR="00ED4779">
        <w:rPr>
          <w:b/>
          <w:i/>
        </w:rPr>
        <w:t>nsor ought to elaborate in its p</w:t>
      </w:r>
      <w:r w:rsidRPr="00594800">
        <w:rPr>
          <w:b/>
          <w:i/>
        </w:rPr>
        <w:t xml:space="preserve">re-ACM response as to why the treating clinician’s </w:t>
      </w:r>
      <w:proofErr w:type="spellStart"/>
      <w:r w:rsidRPr="00594800">
        <w:rPr>
          <w:b/>
          <w:i/>
        </w:rPr>
        <w:t>unblinded</w:t>
      </w:r>
      <w:proofErr w:type="spellEnd"/>
      <w:r w:rsidRPr="00594800">
        <w:rPr>
          <w:b/>
          <w:i/>
        </w:rPr>
        <w:t xml:space="preserve"> wrinkle severity was rated higher in the </w:t>
      </w:r>
      <w:r w:rsidR="00100060">
        <w:rPr>
          <w:b/>
          <w:i/>
        </w:rPr>
        <w:t xml:space="preserve">wrinkle severity </w:t>
      </w:r>
      <w:r w:rsidRPr="00594800">
        <w:rPr>
          <w:b/>
          <w:i/>
        </w:rPr>
        <w:t>scores. In addition, what was the sponsor’s rationale for basing most endpoints on assess</w:t>
      </w:r>
      <w:r w:rsidR="00ED4779">
        <w:rPr>
          <w:b/>
          <w:i/>
        </w:rPr>
        <w:t xml:space="preserve">ment by </w:t>
      </w:r>
      <w:proofErr w:type="spellStart"/>
      <w:r w:rsidR="00ED4779">
        <w:rPr>
          <w:b/>
          <w:i/>
        </w:rPr>
        <w:t>unblinded</w:t>
      </w:r>
      <w:proofErr w:type="spellEnd"/>
      <w:r w:rsidR="00ED4779">
        <w:rPr>
          <w:b/>
          <w:i/>
        </w:rPr>
        <w:t xml:space="preserve"> personnel that is,</w:t>
      </w:r>
      <w:r w:rsidRPr="00594800">
        <w:rPr>
          <w:b/>
          <w:i/>
        </w:rPr>
        <w:t xml:space="preserve"> the treating clinician and the treated subjects?</w:t>
      </w:r>
    </w:p>
    <w:p w14:paraId="6DA896A9" w14:textId="617C8AFE" w:rsidR="00E76AF6" w:rsidRPr="00594800" w:rsidRDefault="00E76AF6" w:rsidP="00594800">
      <w:pPr>
        <w:rPr>
          <w:i/>
        </w:rPr>
      </w:pPr>
      <w:r w:rsidRPr="00594800">
        <w:rPr>
          <w:i/>
        </w:rPr>
        <w:t xml:space="preserve">Discrepancy between photographic </w:t>
      </w:r>
      <w:r w:rsidR="00100060">
        <w:rPr>
          <w:i/>
        </w:rPr>
        <w:t>w</w:t>
      </w:r>
      <w:r w:rsidRPr="00594800">
        <w:rPr>
          <w:i/>
        </w:rPr>
        <w:t xml:space="preserve">rinkle </w:t>
      </w:r>
      <w:r w:rsidR="00100060">
        <w:rPr>
          <w:i/>
        </w:rPr>
        <w:t>s</w:t>
      </w:r>
      <w:r w:rsidRPr="00594800">
        <w:rPr>
          <w:i/>
        </w:rPr>
        <w:t xml:space="preserve">everity </w:t>
      </w:r>
      <w:r w:rsidR="00100060">
        <w:rPr>
          <w:i/>
        </w:rPr>
        <w:t>s</w:t>
      </w:r>
      <w:r w:rsidRPr="00594800">
        <w:rPr>
          <w:i/>
        </w:rPr>
        <w:t>core and investigato</w:t>
      </w:r>
      <w:r w:rsidR="00594800" w:rsidRPr="00594800">
        <w:rPr>
          <w:i/>
        </w:rPr>
        <w:t>r’s live assessment of severity</w:t>
      </w:r>
      <w:r w:rsidR="00AB3CC0">
        <w:rPr>
          <w:i/>
        </w:rPr>
        <w:t>:</w:t>
      </w:r>
    </w:p>
    <w:p w14:paraId="77A8B559" w14:textId="77777777" w:rsidR="00E76AF6" w:rsidRPr="00E76AF6" w:rsidRDefault="00594800" w:rsidP="00594800">
      <w:r>
        <w:t>The s</w:t>
      </w:r>
      <w:r w:rsidR="00E76AF6" w:rsidRPr="00E76AF6">
        <w:t>ponsor considers that there are significant challenges in accurately representing in a static two-dimensional photograph the three-dimensional and dynamic nature of facial wrinkles, an appreciation of which is required for an accurat</w:t>
      </w:r>
      <w:r>
        <w:t>e assessment of their severity.</w:t>
      </w:r>
    </w:p>
    <w:p w14:paraId="1E41FD29" w14:textId="6FBAD46A" w:rsidR="00E76AF6" w:rsidRDefault="00E76AF6" w:rsidP="00594800">
      <w:r w:rsidRPr="00E76AF6">
        <w:t xml:space="preserve">Indeed, the investigator’s live assessments of wrinkle severity were generally higher than the independent blinded </w:t>
      </w:r>
      <w:r w:rsidR="00100060">
        <w:t>wrinkle severity scores</w:t>
      </w:r>
      <w:r w:rsidR="00100060" w:rsidRPr="00E76AF6">
        <w:t xml:space="preserve"> </w:t>
      </w:r>
      <w:r w:rsidRPr="00E76AF6">
        <w:t>performed using photos. After discussions with the investigators at the end of the study it was concluded that the differences seen in the investigator’s live and the independent photographic assessments can be explained by lighting used during photography, which resulted in a highlighting of the facial creases to the extent that wrinkles were more difficult to see on the photographs. The wrinkles would therefore appear shallower on the photo than seen live where greater detail and nuances of the wrinkles could be appreciated.</w:t>
      </w:r>
    </w:p>
    <w:p w14:paraId="6499E209" w14:textId="77777777" w:rsidR="00E76AF6" w:rsidRPr="00E76AF6" w:rsidRDefault="00E76AF6" w:rsidP="00594800">
      <w:r w:rsidRPr="00E76AF6">
        <w:t>This, as expected, leads to a bias with photographic evaluation consistently under-appreciating the severity of wrinkles which leads to a discrepancy between the live evaluation</w:t>
      </w:r>
      <w:r w:rsidR="00594800">
        <w:t xml:space="preserve"> and a photographic evaluation.</w:t>
      </w:r>
    </w:p>
    <w:p w14:paraId="7E8172CB" w14:textId="557C1479" w:rsidR="00E76AF6" w:rsidRPr="00E76AF6" w:rsidRDefault="00ED4779" w:rsidP="00594800">
      <w:r>
        <w:t>This is consistent with the s</w:t>
      </w:r>
      <w:r w:rsidR="00E76AF6" w:rsidRPr="00E76AF6">
        <w:t>ponsor’s position that p</w:t>
      </w:r>
      <w:r>
        <w:t>hotographic assessment of three</w:t>
      </w:r>
      <w:r>
        <w:noBreakHyphen/>
      </w:r>
      <w:r w:rsidR="00E76AF6" w:rsidRPr="00E76AF6">
        <w:t>dimensional and d</w:t>
      </w:r>
      <w:r w:rsidR="00594800">
        <w:t>ynamic pathology is inaccurate.</w:t>
      </w:r>
    </w:p>
    <w:p w14:paraId="471DDBCB" w14:textId="5A134D0D" w:rsidR="00E76AF6" w:rsidRPr="00594800" w:rsidRDefault="00E76AF6" w:rsidP="00594800">
      <w:pPr>
        <w:rPr>
          <w:i/>
        </w:rPr>
      </w:pPr>
      <w:r w:rsidRPr="00594800">
        <w:rPr>
          <w:i/>
        </w:rPr>
        <w:t>Predominance of endpoints based on live inve</w:t>
      </w:r>
      <w:r w:rsidR="00594800">
        <w:rPr>
          <w:i/>
        </w:rPr>
        <w:t>stigator and subject assessment</w:t>
      </w:r>
      <w:r w:rsidR="00AB3CC0">
        <w:rPr>
          <w:i/>
        </w:rPr>
        <w:t>:</w:t>
      </w:r>
    </w:p>
    <w:p w14:paraId="5F85D2EF" w14:textId="285965E1" w:rsidR="00E76AF6" w:rsidRPr="00E76AF6" w:rsidRDefault="00E76AF6" w:rsidP="00594800">
      <w:r w:rsidRPr="00E76AF6">
        <w:t xml:space="preserve">As stated above, the use </w:t>
      </w:r>
      <w:r w:rsidR="00ED4779">
        <w:t xml:space="preserve">of </w:t>
      </w:r>
      <w:r w:rsidRPr="00E76AF6">
        <w:t xml:space="preserve">a live assessment is required </w:t>
      </w:r>
      <w:r w:rsidR="00ED4779">
        <w:t>to appropriately evaluate three</w:t>
      </w:r>
      <w:r w:rsidR="00ED4779">
        <w:noBreakHyphen/>
      </w:r>
      <w:r w:rsidRPr="00E76AF6">
        <w:t>dimensional dynamic endpoints such as those relating to wrinkles and thus endpoints that involve a direct live evaluation were considered most applicable for this study. Also, since the aim of glabellar line treatment is for the subject to experience a better appearance, endpoints that reflect their own self-assessment seem particularly</w:t>
      </w:r>
      <w:r w:rsidR="00ED4779">
        <w:t xml:space="preserve"> pertinent for this indication.</w:t>
      </w:r>
    </w:p>
    <w:p w14:paraId="2BFA1303" w14:textId="77777777" w:rsidR="00E76AF6" w:rsidRPr="00E76AF6" w:rsidRDefault="00E76AF6" w:rsidP="00594800">
      <w:r w:rsidRPr="00E76AF6">
        <w:t xml:space="preserve">The same active dose was administered in both treatment arms, with only the volume/concentration differing, so it could be reasonable to assume that any influence on the assessment post-treatment due to the knowledge of the allocated treatment arm may not be as great as would be the case if </w:t>
      </w:r>
      <w:proofErr w:type="spellStart"/>
      <w:r w:rsidRPr="00E76AF6">
        <w:t>unblinding</w:t>
      </w:r>
      <w:proofErr w:type="spellEnd"/>
      <w:r w:rsidRPr="00E76AF6">
        <w:t xml:space="preserve"> related to whether a subject was administered an active treatment or placebo. Furthermore, the participating subjects were partially blinded regarding treatment since they were prevented to view the syringes during administration of the product and the injector was not permitted to discuss treatments with the subjects, so their assessments were done without the kn</w:t>
      </w:r>
      <w:r w:rsidR="00594800">
        <w:t>owledge of the volume injected.</w:t>
      </w:r>
    </w:p>
    <w:p w14:paraId="33B81B0E" w14:textId="77777777" w:rsidR="00E76AF6" w:rsidRPr="00955A16" w:rsidRDefault="00E76AF6" w:rsidP="00E76AF6">
      <w:r w:rsidRPr="00E76AF6">
        <w:t>The results comparing the two treatment arms using the live investigator and subject assessments were in line with those obtained from both the photographic assessment and CMAP which further supports the applicability of the live assessments in evaluating the treatment effect between the</w:t>
      </w:r>
      <w:r w:rsidR="00594800">
        <w:t xml:space="preserve"> two different treatment arms.</w:t>
      </w:r>
    </w:p>
    <w:p w14:paraId="38F2AE12" w14:textId="3C749515" w:rsidR="008E7846" w:rsidRDefault="008E7846" w:rsidP="007D53B6">
      <w:pPr>
        <w:pStyle w:val="Heading4"/>
      </w:pPr>
      <w:bookmarkStart w:id="63" w:name="_Ref66525659"/>
      <w:r>
        <w:t xml:space="preserve">Advisory </w:t>
      </w:r>
      <w:r w:rsidR="00750907">
        <w:t>c</w:t>
      </w:r>
      <w:r>
        <w:t xml:space="preserve">ommittee </w:t>
      </w:r>
      <w:r w:rsidR="007D53B6">
        <w:t>c</w:t>
      </w:r>
      <w:r>
        <w:t>onsiderations</w:t>
      </w:r>
      <w:r w:rsidR="00456765">
        <w:rPr>
          <w:rStyle w:val="FootnoteReference"/>
        </w:rPr>
        <w:footnoteReference w:id="22"/>
      </w:r>
      <w:bookmarkEnd w:id="63"/>
    </w:p>
    <w:p w14:paraId="510CB50A" w14:textId="77777777" w:rsidR="00744121" w:rsidRDefault="00744121" w:rsidP="00744121">
      <w:pPr>
        <w:rPr>
          <w:bCs/>
        </w:rPr>
      </w:pPr>
      <w:bookmarkStart w:id="64" w:name="_Toc247691532"/>
      <w:bookmarkStart w:id="65" w:name="_Toc314842516"/>
      <w:bookmarkEnd w:id="30"/>
      <w:bookmarkEnd w:id="54"/>
      <w:bookmarkEnd w:id="55"/>
      <w:r w:rsidRPr="00456765">
        <w:rPr>
          <w:bCs/>
        </w:rPr>
        <w:t>The Advisory Committee on Medicines (ACM), having considered the evaluations and the Delegate’s overview, as well as the sponsor’s response to these documents, advised the following</w:t>
      </w:r>
      <w:r>
        <w:rPr>
          <w:bCs/>
        </w:rPr>
        <w:t>.</w:t>
      </w:r>
    </w:p>
    <w:p w14:paraId="6F8A2BED" w14:textId="1C146FA9" w:rsidR="00744121" w:rsidRDefault="00744121" w:rsidP="00744121">
      <w:pPr>
        <w:pStyle w:val="Heading5"/>
      </w:pPr>
      <w:r>
        <w:t xml:space="preserve">Specific advice to the </w:t>
      </w:r>
      <w:r w:rsidR="00750907">
        <w:t>d</w:t>
      </w:r>
      <w:r>
        <w:t>elegate</w:t>
      </w:r>
    </w:p>
    <w:p w14:paraId="22C42780" w14:textId="77777777" w:rsidR="00E76AF6" w:rsidRDefault="00E76AF6" w:rsidP="00E76AF6">
      <w:pPr>
        <w:pStyle w:val="Default"/>
        <w:rPr>
          <w:sz w:val="22"/>
          <w:szCs w:val="22"/>
        </w:rPr>
      </w:pPr>
      <w:r>
        <w:rPr>
          <w:sz w:val="22"/>
          <w:szCs w:val="22"/>
        </w:rPr>
        <w:t>The ACM advised the following in response to the Delegate’s specific request for advice.</w:t>
      </w:r>
    </w:p>
    <w:p w14:paraId="5A2C0B7A" w14:textId="77777777" w:rsidR="00E76AF6" w:rsidRPr="00594800" w:rsidRDefault="00E76AF6" w:rsidP="00A35A7C">
      <w:pPr>
        <w:pStyle w:val="Numberbullet0"/>
        <w:numPr>
          <w:ilvl w:val="0"/>
          <w:numId w:val="26"/>
        </w:numPr>
        <w:rPr>
          <w:b/>
          <w:i/>
        </w:rPr>
      </w:pPr>
      <w:r w:rsidRPr="00594800">
        <w:rPr>
          <w:b/>
          <w:i/>
        </w:rPr>
        <w:t>The ACM is requested to consider the approvability or not of the submission, based on the evaluated data and the sta</w:t>
      </w:r>
      <w:r w:rsidR="00594800">
        <w:rPr>
          <w:b/>
          <w:i/>
        </w:rPr>
        <w:t>ted conditions of registration.</w:t>
      </w:r>
    </w:p>
    <w:p w14:paraId="66C12714" w14:textId="77777777" w:rsidR="00E76AF6" w:rsidRPr="00E76AF6" w:rsidRDefault="00E76AF6" w:rsidP="00E76AF6">
      <w:r>
        <w:t>The ACM considered that the proposed extensio</w:t>
      </w:r>
      <w:r w:rsidR="00594800">
        <w:t xml:space="preserve">n of indication, the proposed 2 </w:t>
      </w:r>
      <w:r>
        <w:t>fold dilution and the other three minor proposed changes (that is, changing the listed frequency of the adverse event, ‘abnormal eye movements’, as a complication of the GFLs indication as subsequently modified by the sponsor, minor editorial /formatting changes to the PI and flexibility in choice of needle gau</w:t>
      </w:r>
      <w:r w:rsidR="00594800">
        <w:t>ge for the cosmetic indications)</w:t>
      </w:r>
      <w:r>
        <w:t xml:space="preserve"> associated with the submission were approvable.</w:t>
      </w:r>
    </w:p>
    <w:p w14:paraId="1B05095A" w14:textId="77777777" w:rsidR="00744121" w:rsidRDefault="00744121" w:rsidP="00744121">
      <w:pPr>
        <w:pStyle w:val="Heading5"/>
      </w:pPr>
      <w:r>
        <w:t>Conclusion</w:t>
      </w:r>
    </w:p>
    <w:p w14:paraId="2B44886E" w14:textId="77777777" w:rsidR="00E76AF6" w:rsidRDefault="00E76AF6" w:rsidP="00E76AF6">
      <w:pPr>
        <w:pStyle w:val="Default"/>
        <w:rPr>
          <w:sz w:val="22"/>
          <w:szCs w:val="22"/>
        </w:rPr>
      </w:pPr>
      <w:r>
        <w:rPr>
          <w:sz w:val="22"/>
          <w:szCs w:val="22"/>
        </w:rPr>
        <w:t>The ACM considered that this product had an overall positive benefit-risk profile for the indication:</w:t>
      </w:r>
    </w:p>
    <w:p w14:paraId="7F32A96A" w14:textId="77777777" w:rsidR="00744121" w:rsidRPr="00A322B3" w:rsidRDefault="00E76AF6" w:rsidP="00E76AF6">
      <w:pPr>
        <w:ind w:left="720"/>
      </w:pPr>
      <w:r>
        <w:rPr>
          <w:i/>
          <w:iCs/>
        </w:rPr>
        <w:t>For symptomatic treatment of focal spasticity of upper limbs in children aged 2 years and older.</w:t>
      </w:r>
    </w:p>
    <w:p w14:paraId="559A5652" w14:textId="77777777" w:rsidR="008E7846" w:rsidRPr="002E238E" w:rsidRDefault="008E7846" w:rsidP="008E7846">
      <w:pPr>
        <w:pStyle w:val="Heading3"/>
      </w:pPr>
      <w:bookmarkStart w:id="66" w:name="_Toc70942402"/>
      <w:r>
        <w:t>Outcome</w:t>
      </w:r>
      <w:bookmarkEnd w:id="64"/>
      <w:bookmarkEnd w:id="65"/>
      <w:bookmarkEnd w:id="66"/>
    </w:p>
    <w:p w14:paraId="1CEE69B9" w14:textId="10B86EE3" w:rsidR="00744121" w:rsidRDefault="00744121" w:rsidP="00744121">
      <w:bookmarkStart w:id="67" w:name="_Toc247691533"/>
      <w:bookmarkStart w:id="68" w:name="_Toc314842517"/>
      <w:r>
        <w:t>Based on a review of quality, safety and efficacy, the TGA approved the registration of</w:t>
      </w:r>
      <w:r w:rsidR="008049CB">
        <w:t xml:space="preserve"> </w:t>
      </w:r>
      <w:proofErr w:type="spellStart"/>
      <w:r w:rsidR="008049CB">
        <w:t>Dysport</w:t>
      </w:r>
      <w:proofErr w:type="spellEnd"/>
      <w:r w:rsidR="008049CB" w:rsidRPr="004C75FA">
        <w:t xml:space="preserve"> </w:t>
      </w:r>
      <w:r w:rsidR="00E12237">
        <w:t>(</w:t>
      </w:r>
      <w:r w:rsidR="00CF7B35">
        <w:rPr>
          <w:i/>
        </w:rPr>
        <w:t>C</w:t>
      </w:r>
      <w:r w:rsidR="00E12237" w:rsidRPr="001C79F5">
        <w:rPr>
          <w:i/>
        </w:rPr>
        <w:t>lostridium botulinum</w:t>
      </w:r>
      <w:r w:rsidR="00E12237">
        <w:t xml:space="preserve"> type A</w:t>
      </w:r>
      <w:r w:rsidR="008049CB">
        <w:t xml:space="preserve"> toxin-haemagglutinin complex)</w:t>
      </w:r>
      <w:r w:rsidR="008049CB" w:rsidRPr="00250271">
        <w:t xml:space="preserve"> </w:t>
      </w:r>
      <w:r w:rsidR="008049CB">
        <w:t xml:space="preserve">125 </w:t>
      </w:r>
      <w:r w:rsidR="001C79F5">
        <w:t>U</w:t>
      </w:r>
      <w:r w:rsidR="008049CB">
        <w:t>, 300 U and 500 U</w:t>
      </w:r>
      <w:r w:rsidR="008049CB" w:rsidRPr="004C75FA">
        <w:t xml:space="preserve"> </w:t>
      </w:r>
      <w:r w:rsidR="008049CB">
        <w:t xml:space="preserve">powder for injection vials, </w:t>
      </w:r>
      <w:r>
        <w:t>for the following extension of indications:</w:t>
      </w:r>
    </w:p>
    <w:p w14:paraId="015AA132" w14:textId="77777777" w:rsidR="007D53B6" w:rsidRDefault="004C75FA" w:rsidP="004C75FA">
      <w:pPr>
        <w:ind w:left="720"/>
      </w:pPr>
      <w:r w:rsidRPr="004C75FA">
        <w:rPr>
          <w:rFonts w:eastAsia="MS Mincho"/>
          <w:i/>
          <w:lang w:eastAsia="ja-JP"/>
        </w:rPr>
        <w:t>For symptomatic treatment of focal spasticity of upper limbs in children aged 2 years and older.</w:t>
      </w:r>
    </w:p>
    <w:p w14:paraId="0CE6BD7B" w14:textId="77777777" w:rsidR="007D53B6" w:rsidRDefault="007D53B6" w:rsidP="007D53B6">
      <w:r>
        <w:t>As such, the full indications at this time were:</w:t>
      </w:r>
    </w:p>
    <w:p w14:paraId="0AFFC1A6" w14:textId="77777777" w:rsidR="004C75FA" w:rsidRPr="004C75FA" w:rsidRDefault="004C75FA" w:rsidP="004C75FA">
      <w:pPr>
        <w:ind w:left="720"/>
        <w:rPr>
          <w:i/>
        </w:rPr>
      </w:pPr>
      <w:proofErr w:type="spellStart"/>
      <w:r w:rsidRPr="004C75FA">
        <w:rPr>
          <w:i/>
        </w:rPr>
        <w:t>Dysport</w:t>
      </w:r>
      <w:proofErr w:type="spellEnd"/>
      <w:r w:rsidRPr="004C75FA">
        <w:rPr>
          <w:i/>
        </w:rPr>
        <w:t xml:space="preserve"> is indicated for symptomatic treatment of focal spasticity of:</w:t>
      </w:r>
    </w:p>
    <w:p w14:paraId="10B4B17F" w14:textId="77777777" w:rsidR="004C75FA" w:rsidRPr="004C75FA" w:rsidRDefault="004C75FA" w:rsidP="004C75FA">
      <w:pPr>
        <w:pStyle w:val="ListBullet"/>
        <w:ind w:left="1080"/>
        <w:rPr>
          <w:i/>
        </w:rPr>
      </w:pPr>
      <w:r w:rsidRPr="004C75FA">
        <w:rPr>
          <w:i/>
        </w:rPr>
        <w:t>Upper limbs in adults</w:t>
      </w:r>
    </w:p>
    <w:p w14:paraId="7F0A0919" w14:textId="77777777" w:rsidR="004C75FA" w:rsidRPr="004C75FA" w:rsidRDefault="004C75FA" w:rsidP="004C75FA">
      <w:pPr>
        <w:pStyle w:val="ListBullet"/>
        <w:ind w:left="1080"/>
        <w:rPr>
          <w:i/>
        </w:rPr>
      </w:pPr>
      <w:r w:rsidRPr="004C75FA">
        <w:rPr>
          <w:i/>
        </w:rPr>
        <w:t>Lower limbs in adults</w:t>
      </w:r>
    </w:p>
    <w:p w14:paraId="3F0BEFDE" w14:textId="77777777" w:rsidR="004C75FA" w:rsidRPr="004C75FA" w:rsidRDefault="004C75FA" w:rsidP="004C75FA">
      <w:pPr>
        <w:pStyle w:val="ListBullet"/>
        <w:ind w:left="1080"/>
        <w:rPr>
          <w:i/>
        </w:rPr>
      </w:pPr>
      <w:r w:rsidRPr="004C75FA">
        <w:rPr>
          <w:i/>
        </w:rPr>
        <w:t>Upper limbs in children aged 2 years and older</w:t>
      </w:r>
    </w:p>
    <w:p w14:paraId="47FDE98B" w14:textId="77777777" w:rsidR="004C75FA" w:rsidRPr="004C75FA" w:rsidRDefault="004C75FA" w:rsidP="004C75FA">
      <w:pPr>
        <w:pStyle w:val="ListBullet"/>
        <w:ind w:left="1080"/>
        <w:rPr>
          <w:i/>
        </w:rPr>
      </w:pPr>
      <w:r w:rsidRPr="004C75FA">
        <w:rPr>
          <w:i/>
        </w:rPr>
        <w:t>Lower limbs in children aged 2 years and older</w:t>
      </w:r>
    </w:p>
    <w:p w14:paraId="72F567CA" w14:textId="77777777" w:rsidR="004C75FA" w:rsidRPr="004C75FA" w:rsidRDefault="004C75FA" w:rsidP="004C75FA">
      <w:pPr>
        <w:ind w:left="720"/>
        <w:rPr>
          <w:i/>
        </w:rPr>
      </w:pPr>
      <w:proofErr w:type="spellStart"/>
      <w:r w:rsidRPr="004C75FA">
        <w:rPr>
          <w:i/>
        </w:rPr>
        <w:t>Dysport</w:t>
      </w:r>
      <w:proofErr w:type="spellEnd"/>
      <w:r w:rsidRPr="004C75FA">
        <w:rPr>
          <w:i/>
        </w:rPr>
        <w:t xml:space="preserve"> is indicated in adults for the treatment of:</w:t>
      </w:r>
    </w:p>
    <w:p w14:paraId="4B9B989C" w14:textId="77777777" w:rsidR="004C75FA" w:rsidRPr="004C75FA" w:rsidRDefault="004C75FA" w:rsidP="004C75FA">
      <w:pPr>
        <w:pStyle w:val="ListBullet"/>
        <w:ind w:left="1080"/>
        <w:rPr>
          <w:i/>
        </w:rPr>
      </w:pPr>
      <w:r w:rsidRPr="004C75FA">
        <w:rPr>
          <w:i/>
        </w:rPr>
        <w:t>Spasmodic torticollis</w:t>
      </w:r>
    </w:p>
    <w:p w14:paraId="2B3A65A0" w14:textId="77777777" w:rsidR="004C75FA" w:rsidRPr="004C75FA" w:rsidRDefault="004C75FA" w:rsidP="004C75FA">
      <w:pPr>
        <w:pStyle w:val="ListBullet"/>
        <w:ind w:left="1080"/>
        <w:rPr>
          <w:i/>
        </w:rPr>
      </w:pPr>
      <w:proofErr w:type="spellStart"/>
      <w:r w:rsidRPr="004C75FA">
        <w:rPr>
          <w:i/>
        </w:rPr>
        <w:t>Blepharospasm</w:t>
      </w:r>
      <w:proofErr w:type="spellEnd"/>
    </w:p>
    <w:p w14:paraId="7A597381" w14:textId="77777777" w:rsidR="004C75FA" w:rsidRPr="004C75FA" w:rsidRDefault="004C75FA" w:rsidP="004C75FA">
      <w:pPr>
        <w:pStyle w:val="ListBullet"/>
        <w:ind w:left="1080"/>
        <w:rPr>
          <w:i/>
        </w:rPr>
      </w:pPr>
      <w:proofErr w:type="spellStart"/>
      <w:r w:rsidRPr="004C75FA">
        <w:rPr>
          <w:i/>
        </w:rPr>
        <w:t>Hemifacial</w:t>
      </w:r>
      <w:proofErr w:type="spellEnd"/>
      <w:r w:rsidRPr="004C75FA">
        <w:rPr>
          <w:i/>
        </w:rPr>
        <w:t xml:space="preserve"> spasm</w:t>
      </w:r>
    </w:p>
    <w:p w14:paraId="54B10789" w14:textId="77777777" w:rsidR="00D23139" w:rsidRDefault="004C75FA" w:rsidP="004C75FA">
      <w:pPr>
        <w:pStyle w:val="ListBullet"/>
        <w:ind w:left="1080"/>
        <w:rPr>
          <w:i/>
        </w:rPr>
      </w:pPr>
      <w:r w:rsidRPr="004C75FA">
        <w:rPr>
          <w:i/>
        </w:rPr>
        <w:t xml:space="preserve">Moderate to severe glabellar lines and / or lateral </w:t>
      </w:r>
      <w:proofErr w:type="spellStart"/>
      <w:r w:rsidRPr="004C75FA">
        <w:rPr>
          <w:i/>
        </w:rPr>
        <w:t>canthal</w:t>
      </w:r>
      <w:proofErr w:type="spellEnd"/>
      <w:r w:rsidRPr="004C75FA">
        <w:rPr>
          <w:i/>
        </w:rPr>
        <w:t xml:space="preserve"> lines (crow’s feet)</w:t>
      </w:r>
    </w:p>
    <w:p w14:paraId="72FC97CF" w14:textId="77777777" w:rsidR="00917F5C" w:rsidRDefault="00917F5C" w:rsidP="00A35A7C">
      <w:r>
        <w:t>In addition:</w:t>
      </w:r>
    </w:p>
    <w:p w14:paraId="267AED5C" w14:textId="306F4305" w:rsidR="00A35A7C" w:rsidRDefault="00917F5C" w:rsidP="00917F5C">
      <w:pPr>
        <w:pStyle w:val="ListBullet"/>
      </w:pPr>
      <w:r>
        <w:t>T</w:t>
      </w:r>
      <w:r w:rsidR="00A35A7C">
        <w:t>he</w:t>
      </w:r>
      <w:r w:rsidR="00A35A7C" w:rsidRPr="00A35A7C">
        <w:t xml:space="preserve"> alternative dilution for reconstitution</w:t>
      </w:r>
      <w:r w:rsidR="00A35A7C">
        <w:t xml:space="preserve"> (resulting in </w:t>
      </w:r>
      <w:r w:rsidR="00A35A7C" w:rsidRPr="00A35A7C">
        <w:t>10 U/0.1 mL</w:t>
      </w:r>
      <w:r w:rsidR="00A35A7C">
        <w:t xml:space="preserve"> solution)</w:t>
      </w:r>
      <w:r w:rsidR="00A35A7C" w:rsidRPr="00A35A7C">
        <w:t xml:space="preserve"> of the 125 U powder for injection product for the treatment of </w:t>
      </w:r>
      <w:r w:rsidR="00BC2C9D">
        <w:t>GFLs</w:t>
      </w:r>
      <w:r w:rsidR="00A35A7C" w:rsidRPr="00A35A7C">
        <w:t xml:space="preserve"> a</w:t>
      </w:r>
      <w:r w:rsidR="00BC2C9D">
        <w:t>nd LCLs</w:t>
      </w:r>
      <w:r w:rsidR="00A35A7C">
        <w:t xml:space="preserve"> was approved.</w:t>
      </w:r>
    </w:p>
    <w:p w14:paraId="0E16796A" w14:textId="777ED696" w:rsidR="00917F5C" w:rsidRDefault="00917F5C" w:rsidP="00917F5C">
      <w:pPr>
        <w:pStyle w:val="ListBullet"/>
      </w:pPr>
      <w:r>
        <w:t>In Section 4.8 A</w:t>
      </w:r>
      <w:r w:rsidRPr="00917F5C">
        <w:t>dverse effects (undesirable effects)</w:t>
      </w:r>
      <w:r>
        <w:t xml:space="preserve"> of the PI under ‘Glabellar lines: Eye disorders’, the frequency of adverse events related to eye movement was amended to</w:t>
      </w:r>
      <w:r w:rsidR="000166B3">
        <w:t xml:space="preserve"> read</w:t>
      </w:r>
      <w:r>
        <w:t>: ‘</w:t>
      </w:r>
      <w:r w:rsidRPr="00917F5C">
        <w:t>Rare: eye movement disorders excluding diplopia</w:t>
      </w:r>
      <w:r>
        <w:t>’.</w:t>
      </w:r>
    </w:p>
    <w:p w14:paraId="1D82ACD6" w14:textId="1955441C" w:rsidR="00917F5C" w:rsidRDefault="00917F5C" w:rsidP="00917F5C">
      <w:pPr>
        <w:pStyle w:val="ListBullet"/>
      </w:pPr>
      <w:r>
        <w:t xml:space="preserve">The recommended needle gauge for </w:t>
      </w:r>
      <w:r w:rsidR="00BC2C9D">
        <w:t>GFLs</w:t>
      </w:r>
      <w:r>
        <w:t xml:space="preserve"> and </w:t>
      </w:r>
      <w:r w:rsidR="00BC2C9D">
        <w:t>LCLs</w:t>
      </w:r>
      <w:r>
        <w:t xml:space="preserve"> was changed to a ‘suitable gauge needle’.</w:t>
      </w:r>
    </w:p>
    <w:p w14:paraId="1802FE99" w14:textId="600B5289" w:rsidR="00917F5C" w:rsidRPr="004C75FA" w:rsidRDefault="00917F5C" w:rsidP="00917F5C">
      <w:pPr>
        <w:pStyle w:val="ListBullet"/>
      </w:pPr>
      <w:r>
        <w:t>Minor formatting changes were made to the PI.</w:t>
      </w:r>
    </w:p>
    <w:p w14:paraId="54F0AD0D" w14:textId="77777777" w:rsidR="00D23139" w:rsidRPr="00D23139" w:rsidRDefault="00D23139" w:rsidP="00D23139">
      <w:pPr>
        <w:pStyle w:val="Heading4"/>
      </w:pPr>
      <w:r w:rsidRPr="00D23139">
        <w:t>Specific conditions of registration applying to these goods</w:t>
      </w:r>
    </w:p>
    <w:p w14:paraId="302BA244" w14:textId="77777777" w:rsidR="00456765" w:rsidRDefault="00367C79" w:rsidP="00367C79">
      <w:pPr>
        <w:pStyle w:val="ListBullet"/>
      </w:pPr>
      <w:r>
        <w:t xml:space="preserve">The sponsor should continue to gather evidence that total body doses of up to 30 U/kg in paediatric patients remain safe, and this should be a priority in </w:t>
      </w:r>
      <w:proofErr w:type="spellStart"/>
      <w:r>
        <w:t>postmarketing</w:t>
      </w:r>
      <w:proofErr w:type="spellEnd"/>
      <w:r>
        <w:t xml:space="preserve"> surveillance; post marketing surveillance should include assessment of the incidence of diplopia and ptosis for the additional dilution of the 125 U product, in comparison to the standard dilution.</w:t>
      </w:r>
    </w:p>
    <w:p w14:paraId="14FCDCAD" w14:textId="0FADB509" w:rsidR="00367C79" w:rsidRDefault="00367C79" w:rsidP="00367C79">
      <w:pPr>
        <w:pStyle w:val="ListBullet"/>
      </w:pPr>
      <w:r>
        <w:t xml:space="preserve">This approval does not impose any requirement for the submission </w:t>
      </w:r>
      <w:r w:rsidR="00E12237">
        <w:t>of periodic safety update reports (PSURs)</w:t>
      </w:r>
      <w:r>
        <w:t>. The sponsor should note that it is a requirement that all existing requirements for the submission of PSURs as a consequence of the initial registration or subsequent changes must be completed.</w:t>
      </w:r>
    </w:p>
    <w:p w14:paraId="43AAA7BF" w14:textId="41F1653F" w:rsidR="00367C79" w:rsidRDefault="00367C79" w:rsidP="00367C79">
      <w:pPr>
        <w:pStyle w:val="ListBullet"/>
      </w:pPr>
      <w:r>
        <w:t xml:space="preserve">For all injectable products the </w:t>
      </w:r>
      <w:r w:rsidR="00E12237">
        <w:t>PI</w:t>
      </w:r>
      <w:r>
        <w:t xml:space="preserve"> must be included with the product as a package insert.</w:t>
      </w:r>
    </w:p>
    <w:p w14:paraId="04F22E7F" w14:textId="77777777" w:rsidR="008E7846" w:rsidRDefault="00A80B5B" w:rsidP="00D23139">
      <w:pPr>
        <w:pStyle w:val="Heading2"/>
      </w:pPr>
      <w:bookmarkStart w:id="69" w:name="_Toc70942403"/>
      <w:r>
        <w:t xml:space="preserve">Attachment 1. </w:t>
      </w:r>
      <w:r w:rsidR="008E7846">
        <w:t xml:space="preserve">Product </w:t>
      </w:r>
      <w:r w:rsidR="00AA0ED0">
        <w:t>I</w:t>
      </w:r>
      <w:r w:rsidR="008E7846">
        <w:t>nformation</w:t>
      </w:r>
      <w:bookmarkEnd w:id="67"/>
      <w:bookmarkEnd w:id="68"/>
      <w:bookmarkEnd w:id="69"/>
    </w:p>
    <w:p w14:paraId="59EE6506" w14:textId="44D70668" w:rsidR="00291957" w:rsidRPr="00367C79" w:rsidRDefault="006136D7" w:rsidP="00367C79">
      <w:pPr>
        <w:rPr>
          <w:color w:val="000000"/>
          <w:lang w:eastAsia="en-AU"/>
        </w:rPr>
      </w:pPr>
      <w:r w:rsidRPr="002B3624">
        <w:t xml:space="preserve">The </w:t>
      </w:r>
      <w:r>
        <w:t>PI</w:t>
      </w:r>
      <w:r w:rsidRPr="002B3624">
        <w:t xml:space="preserve"> for </w:t>
      </w:r>
      <w:proofErr w:type="spellStart"/>
      <w:r w:rsidR="00367C79">
        <w:t>Dysport</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5" w:history="1">
        <w:r w:rsidR="007C6B9B" w:rsidRPr="007C6B9B">
          <w:rPr>
            <w:rStyle w:val="Hyperlink"/>
          </w:rPr>
          <w:t>https://www.tga.gov.au/product-information-pi</w:t>
        </w:r>
      </w:hyperlink>
      <w:r w:rsidR="00367C79">
        <w:t>&gt;.</w:t>
      </w:r>
    </w:p>
    <w:p w14:paraId="29A67B6F" w14:textId="77777777" w:rsidR="00744121" w:rsidRDefault="00744121" w:rsidP="00744121">
      <w:pPr>
        <w:rPr>
          <w:lang w:eastAsia="ja-JP"/>
        </w:rPr>
      </w:pPr>
    </w:p>
    <w:p w14:paraId="72DA2C82" w14:textId="77777777" w:rsidR="00C80137" w:rsidRPr="001D043B" w:rsidRDefault="00C80137" w:rsidP="003A7F6C">
      <w:pPr>
        <w:pStyle w:val="TableTitle"/>
        <w:sectPr w:rsidR="00C80137" w:rsidRPr="001D043B" w:rsidSect="00B452CE">
          <w:headerReference w:type="even" r:id="rId26"/>
          <w:headerReference w:type="default" r:id="rId27"/>
          <w:headerReference w:type="first" r:id="rId28"/>
          <w:footerReference w:type="first" r:id="rId2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C47E4E2" w14:textId="77777777" w:rsidTr="00A05FA4">
        <w:trPr>
          <w:trHeight w:hRule="exact" w:val="704"/>
        </w:trPr>
        <w:tc>
          <w:tcPr>
            <w:tcW w:w="9175" w:type="dxa"/>
          </w:tcPr>
          <w:p w14:paraId="36EA799A" w14:textId="77777777" w:rsidR="001C32CD" w:rsidRPr="00487162" w:rsidRDefault="001C32CD" w:rsidP="00A05FA4">
            <w:pPr>
              <w:pStyle w:val="TGASignoff"/>
            </w:pPr>
            <w:r w:rsidRPr="00487162">
              <w:t>Therapeutic Goods Administration</w:t>
            </w:r>
          </w:p>
        </w:tc>
      </w:tr>
      <w:tr w:rsidR="001C32CD" w:rsidRPr="004C239D" w14:paraId="327AE221" w14:textId="77777777" w:rsidTr="00A05FA4">
        <w:trPr>
          <w:trHeight w:val="1221"/>
        </w:trPr>
        <w:tc>
          <w:tcPr>
            <w:tcW w:w="9175" w:type="dxa"/>
            <w:tcMar>
              <w:top w:w="28" w:type="dxa"/>
            </w:tcMar>
          </w:tcPr>
          <w:p w14:paraId="4D248712" w14:textId="77777777" w:rsidR="001C32CD" w:rsidRPr="00487162" w:rsidRDefault="001C32CD" w:rsidP="00A05FA4">
            <w:pPr>
              <w:pStyle w:val="Address"/>
            </w:pPr>
            <w:r w:rsidRPr="00487162">
              <w:t>PO Box 100 Woden ACT 2606 Australia</w:t>
            </w:r>
          </w:p>
          <w:p w14:paraId="0D5E96A2" w14:textId="081D953B" w:rsidR="001C32CD" w:rsidRPr="00487162" w:rsidRDefault="001C32CD" w:rsidP="00A05FA4">
            <w:pPr>
              <w:pStyle w:val="Address"/>
            </w:pPr>
            <w:r w:rsidRPr="00487162">
              <w:t xml:space="preserve">Email: </w:t>
            </w:r>
            <w:hyperlink r:id="rId30" w:history="1">
              <w:r w:rsidRPr="004C239D">
                <w:rPr>
                  <w:rStyle w:val="Hyperlink"/>
                </w:rPr>
                <w:t>info@tga.gov.au</w:t>
              </w:r>
            </w:hyperlink>
            <w:r w:rsidRPr="00487162">
              <w:t xml:space="preserve">  Phone: 1800 020 653  Fax: 02 6232 8605</w:t>
            </w:r>
          </w:p>
          <w:p w14:paraId="00C57735" w14:textId="71F2BCEA" w:rsidR="001C32CD" w:rsidRPr="004C239D" w:rsidRDefault="0075687E" w:rsidP="00A05FA4">
            <w:pPr>
              <w:pStyle w:val="Address"/>
              <w:spacing w:line="260" w:lineRule="atLeast"/>
              <w:rPr>
                <w:b/>
                <w:color w:val="0000FF"/>
                <w:u w:val="single"/>
              </w:rPr>
            </w:pPr>
            <w:hyperlink r:id="rId31" w:history="1">
              <w:r w:rsidR="007C6B9B" w:rsidRPr="007C6B9B">
                <w:rPr>
                  <w:rStyle w:val="Hyperlink"/>
                  <w:b/>
                </w:rPr>
                <w:t>https://www.tga.gov.au</w:t>
              </w:r>
            </w:hyperlink>
          </w:p>
        </w:tc>
      </w:tr>
    </w:tbl>
    <w:p w14:paraId="2F41D678" w14:textId="6863FBFA" w:rsidR="00774E1D" w:rsidRPr="008A5E0B" w:rsidRDefault="00774E1D" w:rsidP="004C239D"/>
    <w:sectPr w:rsidR="00774E1D" w:rsidRPr="008A5E0B" w:rsidSect="001C32CD">
      <w:headerReference w:type="even" r:id="rId32"/>
      <w:headerReference w:type="default" r:id="rId33"/>
      <w:footerReference w:type="default" r:id="rId34"/>
      <w:headerReference w:type="first" r:id="rId35"/>
      <w:footerReference w:type="first" r:id="rId36"/>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543B8" w16cid:durableId="240481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87C01" w14:textId="77777777" w:rsidR="0075687E" w:rsidRDefault="0075687E" w:rsidP="00C40A36">
      <w:pPr>
        <w:spacing w:after="0"/>
      </w:pPr>
      <w:r>
        <w:separator/>
      </w:r>
    </w:p>
  </w:endnote>
  <w:endnote w:type="continuationSeparator" w:id="0">
    <w:p w14:paraId="2CF3B542" w14:textId="77777777" w:rsidR="0075687E" w:rsidRDefault="0075687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A32A" w14:textId="77777777" w:rsidR="0075687E" w:rsidRDefault="00756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5687E" w:rsidRPr="00487162" w14:paraId="65D62645" w14:textId="77777777" w:rsidTr="00DB750B">
      <w:trPr>
        <w:trHeight w:val="269"/>
      </w:trPr>
      <w:tc>
        <w:tcPr>
          <w:tcW w:w="7371" w:type="dxa"/>
          <w:tcMar>
            <w:top w:w="142" w:type="dxa"/>
            <w:bottom w:w="0" w:type="dxa"/>
          </w:tcMar>
        </w:tcPr>
        <w:p w14:paraId="6C888A9F" w14:textId="6B910551" w:rsidR="0075687E" w:rsidRPr="00487162" w:rsidRDefault="0075687E" w:rsidP="0024140D">
          <w:pPr>
            <w:pStyle w:val="Footer"/>
          </w:pPr>
          <w:r w:rsidRPr="00487162">
            <w:t>AusPA</w:t>
          </w:r>
          <w:r>
            <w:t xml:space="preserve">R - </w:t>
          </w:r>
          <w:r w:rsidRPr="00293E30">
            <w:t xml:space="preserve">DYSPORT - clostridium botulinum type A toxin-haemagglutinin complex - </w:t>
          </w:r>
          <w:proofErr w:type="spellStart"/>
          <w:r w:rsidRPr="00293E30">
            <w:t>Ipsen</w:t>
          </w:r>
          <w:proofErr w:type="spellEnd"/>
          <w:r w:rsidRPr="00293E30">
            <w:t xml:space="preserve"> Australia Pty Ltd - PM-2019-02645-1-1</w:t>
          </w:r>
          <w:r>
            <w:br/>
            <w:t>FINAL 8 April 2021</w:t>
          </w:r>
        </w:p>
      </w:tc>
      <w:tc>
        <w:tcPr>
          <w:tcW w:w="1490" w:type="dxa"/>
          <w:tcMar>
            <w:top w:w="142" w:type="dxa"/>
            <w:bottom w:w="0" w:type="dxa"/>
          </w:tcMar>
        </w:tcPr>
        <w:p w14:paraId="4D3ADA51" w14:textId="7389C818" w:rsidR="0075687E" w:rsidRPr="00487162" w:rsidRDefault="0075687E" w:rsidP="00DB750B">
          <w:pPr>
            <w:pStyle w:val="Footer"/>
            <w:jc w:val="right"/>
          </w:pPr>
          <w:r w:rsidRPr="00487162">
            <w:t xml:space="preserve">Page </w:t>
          </w:r>
          <w:r>
            <w:fldChar w:fldCharType="begin"/>
          </w:r>
          <w:r>
            <w:instrText xml:space="preserve"> PAGE  \* Arabic </w:instrText>
          </w:r>
          <w:r>
            <w:fldChar w:fldCharType="separate"/>
          </w:r>
          <w:r w:rsidR="00750907">
            <w:rPr>
              <w:noProof/>
            </w:rPr>
            <w:t>21</w:t>
          </w:r>
          <w:r>
            <w:fldChar w:fldCharType="end"/>
          </w:r>
          <w:r w:rsidRPr="00487162">
            <w:t xml:space="preserve"> of </w:t>
          </w:r>
          <w:fldSimple w:instr=" NUMPAGES  \* Arabic ">
            <w:r w:rsidR="00750907">
              <w:rPr>
                <w:noProof/>
              </w:rPr>
              <w:t>33</w:t>
            </w:r>
          </w:fldSimple>
        </w:p>
      </w:tc>
    </w:tr>
  </w:tbl>
  <w:p w14:paraId="638724E4" w14:textId="77777777" w:rsidR="0075687E" w:rsidRDefault="0075687E"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F777" w14:textId="77777777" w:rsidR="0075687E" w:rsidRDefault="007568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5687E" w:rsidRPr="00487162" w14:paraId="684181AA" w14:textId="77777777" w:rsidTr="00E45619">
      <w:trPr>
        <w:trHeight w:val="269"/>
      </w:trPr>
      <w:tc>
        <w:tcPr>
          <w:tcW w:w="4519" w:type="dxa"/>
          <w:tcBorders>
            <w:top w:val="single" w:sz="4" w:space="0" w:color="auto"/>
          </w:tcBorders>
          <w:tcMar>
            <w:top w:w="142" w:type="dxa"/>
            <w:bottom w:w="0" w:type="dxa"/>
          </w:tcMar>
        </w:tcPr>
        <w:p w14:paraId="6BA60284" w14:textId="77777777" w:rsidR="0075687E" w:rsidRPr="00487162" w:rsidRDefault="0075687E" w:rsidP="00FE1DEE">
          <w:pPr>
            <w:pStyle w:val="Footer"/>
          </w:pPr>
          <w:r w:rsidRPr="00487162">
            <w:t>Document title, Part #, Section # - Section title</w:t>
          </w:r>
        </w:p>
        <w:p w14:paraId="5ABB763E" w14:textId="77777777" w:rsidR="0075687E" w:rsidRPr="00487162" w:rsidRDefault="0075687E" w:rsidP="00FE1DEE">
          <w:pPr>
            <w:pStyle w:val="Footer"/>
          </w:pPr>
          <w:r w:rsidRPr="00487162">
            <w:t>V1.0 October 2010</w:t>
          </w:r>
        </w:p>
      </w:tc>
      <w:tc>
        <w:tcPr>
          <w:tcW w:w="4342" w:type="dxa"/>
          <w:tcBorders>
            <w:top w:val="single" w:sz="4" w:space="0" w:color="auto"/>
          </w:tcBorders>
          <w:tcMar>
            <w:top w:w="142" w:type="dxa"/>
            <w:bottom w:w="0" w:type="dxa"/>
          </w:tcMar>
        </w:tcPr>
        <w:p w14:paraId="64B3FEC4" w14:textId="77777777" w:rsidR="0075687E" w:rsidRPr="00487162" w:rsidRDefault="0075687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34183625" w14:textId="77777777" w:rsidR="0075687E" w:rsidRDefault="007568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827D" w14:textId="77777777" w:rsidR="0075687E" w:rsidRPr="001C32CD" w:rsidRDefault="0075687E"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5687E" w14:paraId="68B2D785" w14:textId="77777777" w:rsidTr="0010601F">
      <w:trPr>
        <w:trHeight w:val="108"/>
      </w:trPr>
      <w:tc>
        <w:tcPr>
          <w:tcW w:w="8875" w:type="dxa"/>
          <w:gridSpan w:val="2"/>
          <w:tcBorders>
            <w:bottom w:val="single" w:sz="4" w:space="0" w:color="auto"/>
          </w:tcBorders>
          <w:tcMar>
            <w:right w:w="284" w:type="dxa"/>
          </w:tcMar>
        </w:tcPr>
        <w:p w14:paraId="630E6618" w14:textId="77777777" w:rsidR="0075687E" w:rsidRDefault="0075687E" w:rsidP="006E08B3">
          <w:pPr>
            <w:pStyle w:val="Heading3"/>
          </w:pPr>
          <w:r>
            <w:t>Copyright</w:t>
          </w:r>
        </w:p>
        <w:p w14:paraId="3A6F995C" w14:textId="77777777" w:rsidR="0075687E" w:rsidRDefault="0075687E" w:rsidP="006E08B3">
          <w:r>
            <w:rPr>
              <w:rFonts w:cs="Arial"/>
            </w:rPr>
            <w:t>©</w:t>
          </w:r>
          <w:r>
            <w:t xml:space="preserve"> Commonwealth of Australia [add year]</w:t>
          </w:r>
        </w:p>
        <w:p w14:paraId="665B34D0" w14:textId="77777777" w:rsidR="0075687E" w:rsidRDefault="0075687E" w:rsidP="006E08B3"/>
        <w:p w14:paraId="5405F9F6" w14:textId="77777777" w:rsidR="0075687E" w:rsidRDefault="0075687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4532983" w14:textId="77777777" w:rsidR="0075687E" w:rsidRDefault="0075687E" w:rsidP="006E08B3"/>
        <w:p w14:paraId="056C4396" w14:textId="77777777" w:rsidR="0075687E" w:rsidRDefault="0075687E" w:rsidP="006E08B3">
          <w:pPr>
            <w:pStyle w:val="Heading3"/>
          </w:pPr>
          <w:r>
            <w:t>Confidentiality</w:t>
          </w:r>
        </w:p>
        <w:p w14:paraId="25697F6D" w14:textId="77777777" w:rsidR="0075687E" w:rsidRDefault="0075687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B4A3956" w14:textId="77777777" w:rsidR="0075687E" w:rsidRDefault="0075687E" w:rsidP="006E08B3"/>
        <w:p w14:paraId="49866FAF" w14:textId="77777777" w:rsidR="0075687E" w:rsidRDefault="0075687E" w:rsidP="006E08B3">
          <w:r>
            <w:t>For submission made by individuals, all personal details, other than your name, will be removed from your submission before it is published on the TGA’s Internet site.</w:t>
          </w:r>
        </w:p>
        <w:p w14:paraId="45776570" w14:textId="77777777" w:rsidR="0075687E" w:rsidRDefault="0075687E" w:rsidP="006E08B3"/>
        <w:p w14:paraId="107B63DD" w14:textId="77777777" w:rsidR="0075687E" w:rsidRDefault="0075687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5687E" w14:paraId="64B666AA" w14:textId="77777777" w:rsidTr="0010601F">
      <w:trPr>
        <w:trHeight w:val="417"/>
      </w:trPr>
      <w:tc>
        <w:tcPr>
          <w:tcW w:w="4519" w:type="dxa"/>
          <w:tcBorders>
            <w:top w:val="single" w:sz="4" w:space="0" w:color="auto"/>
          </w:tcBorders>
          <w:tcMar>
            <w:top w:w="142" w:type="dxa"/>
            <w:bottom w:w="0" w:type="dxa"/>
          </w:tcMar>
        </w:tcPr>
        <w:p w14:paraId="3002F909" w14:textId="77777777" w:rsidR="0075687E" w:rsidRDefault="0075687E" w:rsidP="006E08B3">
          <w:r>
            <w:t>Document title, Part #, Section # - Section title</w:t>
          </w:r>
        </w:p>
        <w:p w14:paraId="7D18A170" w14:textId="77777777" w:rsidR="0075687E" w:rsidRDefault="0075687E" w:rsidP="006E08B3">
          <w:r>
            <w:t>V1.0 October 2010</w:t>
          </w:r>
        </w:p>
      </w:tc>
      <w:tc>
        <w:tcPr>
          <w:tcW w:w="4356" w:type="dxa"/>
          <w:tcBorders>
            <w:top w:val="single" w:sz="4" w:space="0" w:color="auto"/>
          </w:tcBorders>
          <w:tcMar>
            <w:top w:w="142" w:type="dxa"/>
            <w:bottom w:w="0" w:type="dxa"/>
          </w:tcMar>
        </w:tcPr>
        <w:p w14:paraId="34F6375B" w14:textId="77777777" w:rsidR="0075687E" w:rsidRDefault="0075687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448D61F9" w14:textId="77777777" w:rsidR="0075687E" w:rsidRDefault="0075687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A609F" w14:textId="77777777" w:rsidR="0075687E" w:rsidRDefault="0075687E" w:rsidP="00C40A36">
      <w:pPr>
        <w:spacing w:after="0"/>
      </w:pPr>
      <w:r>
        <w:separator/>
      </w:r>
    </w:p>
  </w:footnote>
  <w:footnote w:type="continuationSeparator" w:id="0">
    <w:p w14:paraId="32A8F446" w14:textId="77777777" w:rsidR="0075687E" w:rsidRDefault="0075687E" w:rsidP="00C40A36">
      <w:pPr>
        <w:spacing w:after="0"/>
      </w:pPr>
      <w:r>
        <w:continuationSeparator/>
      </w:r>
    </w:p>
  </w:footnote>
  <w:footnote w:id="1">
    <w:p w14:paraId="70098540" w14:textId="77777777" w:rsidR="0075687E" w:rsidRDefault="0075687E">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1B399C4F" w14:textId="1CF954BF" w:rsidR="0075687E" w:rsidRDefault="0075687E">
      <w:pPr>
        <w:pStyle w:val="FootnoteText"/>
      </w:pPr>
      <w:r>
        <w:rPr>
          <w:rStyle w:val="FootnoteReference"/>
        </w:rPr>
        <w:footnoteRef/>
      </w:r>
      <w:r>
        <w:t xml:space="preserve"> One </w:t>
      </w:r>
      <w:proofErr w:type="spellStart"/>
      <w:r>
        <w:t>I</w:t>
      </w:r>
      <w:r w:rsidRPr="001C79F5">
        <w:t>psen</w:t>
      </w:r>
      <w:proofErr w:type="spellEnd"/>
      <w:r w:rsidRPr="001C79F5">
        <w:t xml:space="preserve"> unit is not equivalent to one unit of any other botulinum toxin preparation.</w:t>
      </w:r>
    </w:p>
  </w:footnote>
  <w:footnote w:id="3">
    <w:p w14:paraId="7AC054ED" w14:textId="089A7B03" w:rsidR="0075687E" w:rsidRDefault="0075687E" w:rsidP="00CF580A">
      <w:pPr>
        <w:pStyle w:val="FootnoteText"/>
      </w:pPr>
      <w:r>
        <w:rPr>
          <w:rStyle w:val="FootnoteReference"/>
        </w:rPr>
        <w:footnoteRef/>
      </w:r>
      <w:r>
        <w:t xml:space="preserve"> Botox (botulinum toxin type a) powder for injection vial, 50 U (AUST R 195530), 100 U (AUST R 67311), 200 U (AUST R 172264), is registered in Australia and sponsored by Allergan Australia Pty Ltd.</w:t>
      </w:r>
    </w:p>
  </w:footnote>
  <w:footnote w:id="4">
    <w:p w14:paraId="15216085" w14:textId="27C7DBCD" w:rsidR="0075687E" w:rsidRDefault="0075687E">
      <w:pPr>
        <w:pStyle w:val="FootnoteText"/>
      </w:pPr>
      <w:r>
        <w:rPr>
          <w:rStyle w:val="FootnoteReference"/>
        </w:rPr>
        <w:footnoteRef/>
      </w:r>
      <w:r>
        <w:t xml:space="preserve"> Sponsor clarification: identification of individual patients who received a total body dose of 30 U/kg was previously provided as an appendix to the clinical study report for Study Y-52-52120-153.</w:t>
      </w:r>
    </w:p>
  </w:footnote>
  <w:footnote w:id="5">
    <w:p w14:paraId="28D2AD40" w14:textId="5965CA88" w:rsidR="0075687E" w:rsidRDefault="0075687E">
      <w:pPr>
        <w:pStyle w:val="FootnoteText"/>
      </w:pPr>
      <w:r>
        <w:rPr>
          <w:rStyle w:val="FootnoteReference"/>
        </w:rPr>
        <w:footnoteRef/>
      </w:r>
      <w:r>
        <w:t xml:space="preserve"> </w:t>
      </w:r>
      <w:r w:rsidRPr="0084427C">
        <w:rPr>
          <w:b/>
        </w:rPr>
        <w:t>Modified Ashworth Scale (</w:t>
      </w:r>
      <w:r w:rsidRPr="00F533BF">
        <w:rPr>
          <w:b/>
        </w:rPr>
        <w:t>MAS):</w:t>
      </w:r>
    </w:p>
    <w:p w14:paraId="76A295FF" w14:textId="54688DD1" w:rsidR="0075687E" w:rsidRDefault="0075687E">
      <w:pPr>
        <w:pStyle w:val="FootnoteText"/>
      </w:pPr>
      <w:r>
        <w:t>0 = no increase in muscle tone</w:t>
      </w:r>
    </w:p>
    <w:p w14:paraId="4A155E65" w14:textId="4AA8FD7D" w:rsidR="0075687E" w:rsidRDefault="0075687E">
      <w:pPr>
        <w:pStyle w:val="FootnoteText"/>
      </w:pPr>
      <w:r>
        <w:t>1 = slight increase in muscle tone, manifested by a catch or by minimal resistance at the end of the range of motion (ROM) when the affected part(s) is (are) moved in flexion or extension</w:t>
      </w:r>
    </w:p>
    <w:p w14:paraId="50117C86" w14:textId="2D6706FF" w:rsidR="0075687E" w:rsidRDefault="0075687E">
      <w:pPr>
        <w:pStyle w:val="FootnoteText"/>
      </w:pPr>
      <w:r>
        <w:t>1+ = Slight increase in muscle tone, manifested by a catch, followed by minimal resistance throughout the remainder (less than half) of the ROM</w:t>
      </w:r>
    </w:p>
    <w:p w14:paraId="64843D33" w14:textId="75F34EDF" w:rsidR="0075687E" w:rsidRDefault="0075687E">
      <w:pPr>
        <w:pStyle w:val="FootnoteText"/>
      </w:pPr>
      <w:r>
        <w:t>2 = More marked increase in muscle tone through most of the ROM, but affected part(s) easily moved</w:t>
      </w:r>
    </w:p>
    <w:p w14:paraId="1225B3BB" w14:textId="3CF4A1F2" w:rsidR="0075687E" w:rsidRDefault="0075687E">
      <w:pPr>
        <w:pStyle w:val="FootnoteText"/>
      </w:pPr>
      <w:r>
        <w:t>3 = considerable increase in muscle tone, passive movement difficult</w:t>
      </w:r>
    </w:p>
    <w:p w14:paraId="0FF59FC7" w14:textId="170DADD0" w:rsidR="0075687E" w:rsidRDefault="0075687E">
      <w:pPr>
        <w:pStyle w:val="FootnoteText"/>
      </w:pPr>
      <w:r>
        <w:t>4 = affected part(s) rigid in flexion or extension</w:t>
      </w:r>
    </w:p>
  </w:footnote>
  <w:footnote w:id="6">
    <w:p w14:paraId="539A98A8" w14:textId="79BE796C" w:rsidR="0075687E" w:rsidRDefault="0075687E" w:rsidP="0084427C">
      <w:pPr>
        <w:pStyle w:val="FootnoteText"/>
      </w:pPr>
      <w:r>
        <w:rPr>
          <w:rStyle w:val="FootnoteReference"/>
        </w:rPr>
        <w:footnoteRef/>
      </w:r>
      <w:r>
        <w:t xml:space="preserve"> </w:t>
      </w:r>
      <w:r w:rsidRPr="0084427C">
        <w:rPr>
          <w:b/>
        </w:rPr>
        <w:t>Physician Global Assessment (PGA</w:t>
      </w:r>
      <w:r w:rsidRPr="00CF7B35">
        <w:rPr>
          <w:b/>
        </w:rPr>
        <w:t>)</w:t>
      </w:r>
      <w:r>
        <w:t xml:space="preserve"> was assessed by asking the investigator: ‘How would you rate the response to treatment in the subject’s upper limb since the start of the study?’ Answers were made on a nine point rating scale (-4: markedly worse, -3: much worse, -2: worse, -1: slightly worse, 0: no  change, +1: slightly improved, +2: improved, +3: much improved and +4: markedly improved).</w:t>
      </w:r>
    </w:p>
  </w:footnote>
  <w:footnote w:id="7">
    <w:p w14:paraId="587A71F6" w14:textId="40BE0C80" w:rsidR="0075687E" w:rsidRDefault="0075687E" w:rsidP="0084427C">
      <w:pPr>
        <w:pStyle w:val="FootnoteText"/>
      </w:pPr>
      <w:r>
        <w:rPr>
          <w:rStyle w:val="FootnoteReference"/>
        </w:rPr>
        <w:footnoteRef/>
      </w:r>
      <w:r>
        <w:t xml:space="preserve"> </w:t>
      </w:r>
      <w:r w:rsidRPr="00067F2A">
        <w:rPr>
          <w:b/>
        </w:rPr>
        <w:t>Goal Attainment Scale (GAS</w:t>
      </w:r>
      <w:r w:rsidRPr="00CF7B35">
        <w:rPr>
          <w:b/>
        </w:rPr>
        <w:t>)</w:t>
      </w:r>
      <w:r>
        <w:t>, originally described by Turner-Stokes (2009), is a functional scale intended to measure progress towards individual therapy goals, which were defined for each subject by the investigator and the child’s caregivers prior to each treatment. Between one and three individual goals were selected for each subject, and each of these was rated by importance and difficulty. For each treatment cycle, one of the selected goals was to be designated as the primary goal. In practice, most subjects had ‘involving the affected arm more in daily activities’ or ‘reaching’ as their primary goal. Following each treatment, the achievement of each of the subject’s goals was rated by the investigator on a five-point scale (+2: much more than expected outcome, +1: somewhat more than expected outcome, 0: expected outcome, -1: somewhat less than expected outcome and -2: much less than expected outcome). A total GAS score was calculated based on the importance, difficulty and level of achievement of all the selected goals.</w:t>
      </w:r>
    </w:p>
    <w:p w14:paraId="55F25AE6" w14:textId="3FF0FEA5" w:rsidR="0075687E" w:rsidRDefault="0075687E" w:rsidP="0084427C">
      <w:pPr>
        <w:pStyle w:val="FootnoteText"/>
      </w:pPr>
      <w:r w:rsidRPr="00067F2A">
        <w:t xml:space="preserve">Turner-Stokes L. Goal attainment scaling (GAS) in rehabilitation: a practical guide. </w:t>
      </w:r>
      <w:proofErr w:type="spellStart"/>
      <w:r w:rsidRPr="00067F2A">
        <w:rPr>
          <w:i/>
        </w:rPr>
        <w:t>Clin</w:t>
      </w:r>
      <w:proofErr w:type="spellEnd"/>
      <w:r w:rsidRPr="00067F2A">
        <w:rPr>
          <w:i/>
        </w:rPr>
        <w:t xml:space="preserve"> </w:t>
      </w:r>
      <w:proofErr w:type="spellStart"/>
      <w:r w:rsidRPr="00067F2A">
        <w:rPr>
          <w:i/>
        </w:rPr>
        <w:t>Rehabil</w:t>
      </w:r>
      <w:proofErr w:type="spellEnd"/>
      <w:r w:rsidRPr="00067F2A">
        <w:t>. 2009 Apr;23</w:t>
      </w:r>
      <w:r>
        <w:t xml:space="preserve"> </w:t>
      </w:r>
      <w:r w:rsidRPr="00067F2A">
        <w:t>(4):</w:t>
      </w:r>
      <w:r>
        <w:t xml:space="preserve"> </w:t>
      </w:r>
      <w:r w:rsidRPr="00067F2A">
        <w:t>362-</w:t>
      </w:r>
      <w:r>
        <w:t>370</w:t>
      </w:r>
      <w:r w:rsidRPr="00067F2A">
        <w:t>.</w:t>
      </w:r>
    </w:p>
  </w:footnote>
  <w:footnote w:id="8">
    <w:p w14:paraId="6640A1CD" w14:textId="6FB16AA7" w:rsidR="0075687E" w:rsidRDefault="0075687E">
      <w:pPr>
        <w:pStyle w:val="FootnoteText"/>
      </w:pPr>
      <w:r>
        <w:rPr>
          <w:rStyle w:val="FootnoteReference"/>
        </w:rPr>
        <w:footnoteRef/>
      </w:r>
      <w:r>
        <w:t xml:space="preserve"> </w:t>
      </w:r>
      <w:r w:rsidRPr="00067F2A">
        <w:rPr>
          <w:b/>
        </w:rPr>
        <w:t>Assisting Hand Assessment (AHA</w:t>
      </w:r>
      <w:r w:rsidRPr="00CF7B35">
        <w:rPr>
          <w:b/>
        </w:rPr>
        <w:t xml:space="preserve">) </w:t>
      </w:r>
      <w:r>
        <w:t xml:space="preserve">is a </w:t>
      </w:r>
      <w:r w:rsidRPr="00067F2A">
        <w:t xml:space="preserve">hand function </w:t>
      </w:r>
      <w:r>
        <w:t xml:space="preserve">evaluation assessment </w:t>
      </w:r>
      <w:r w:rsidRPr="00067F2A">
        <w:t>in children with diffic</w:t>
      </w:r>
      <w:r>
        <w:t>ulties using one of their hands, and describes how the child uses in the affected hand in collaboration with the non-affected hand in bimanual play;</w:t>
      </w:r>
    </w:p>
  </w:footnote>
  <w:footnote w:id="9">
    <w:p w14:paraId="3822ECE9" w14:textId="4F053F9F" w:rsidR="0075687E" w:rsidRDefault="0075687E">
      <w:pPr>
        <w:pStyle w:val="FootnoteText"/>
      </w:pPr>
      <w:r>
        <w:rPr>
          <w:rStyle w:val="FootnoteReference"/>
        </w:rPr>
        <w:footnoteRef/>
      </w:r>
      <w:r>
        <w:t xml:space="preserve"> The </w:t>
      </w:r>
      <w:r w:rsidRPr="00FA2527">
        <w:rPr>
          <w:b/>
        </w:rPr>
        <w:t>Faces Pain Scale (FPS</w:t>
      </w:r>
      <w:r w:rsidRPr="00CF7B35">
        <w:rPr>
          <w:b/>
        </w:rPr>
        <w:t>)</w:t>
      </w:r>
      <w:r>
        <w:t xml:space="preserve"> is a tool used to assess pain intensity</w:t>
      </w:r>
      <w:r w:rsidRPr="00067F2A">
        <w:t>, which utilises a pictorial to allow children to rate pain on</w:t>
      </w:r>
      <w:r>
        <w:t xml:space="preserve"> a 10 </w:t>
      </w:r>
      <w:r w:rsidRPr="00067F2A">
        <w:t>point scale, ranging from</w:t>
      </w:r>
      <w:r>
        <w:t xml:space="preserve"> ‘no’ pain’ to ‘very much’</w:t>
      </w:r>
      <w:r w:rsidRPr="00067F2A">
        <w:t xml:space="preserve"> pain.</w:t>
      </w:r>
    </w:p>
  </w:footnote>
  <w:footnote w:id="10">
    <w:p w14:paraId="4A2FBC1C" w14:textId="156A37F4" w:rsidR="0075687E" w:rsidRDefault="0075687E">
      <w:pPr>
        <w:pStyle w:val="FootnoteText"/>
      </w:pPr>
      <w:r>
        <w:rPr>
          <w:rStyle w:val="FootnoteReference"/>
        </w:rPr>
        <w:footnoteRef/>
      </w:r>
      <w:r>
        <w:t xml:space="preserve"> In the </w:t>
      </w:r>
      <w:r w:rsidRPr="00FA2527">
        <w:rPr>
          <w:b/>
        </w:rPr>
        <w:t>Paediatric Quality of Life Inventory (</w:t>
      </w:r>
      <w:proofErr w:type="spellStart"/>
      <w:r w:rsidRPr="00FA2527">
        <w:rPr>
          <w:b/>
        </w:rPr>
        <w:t>PedsQL</w:t>
      </w:r>
      <w:proofErr w:type="spellEnd"/>
      <w:r w:rsidRPr="00CF7B35">
        <w:rPr>
          <w:b/>
        </w:rPr>
        <w:t>)</w:t>
      </w:r>
      <w:r w:rsidRPr="00067F2A">
        <w:t xml:space="preserve">, parents or other primary guardians were asked to complete questionnaires on their child’s quality of life, using a standard </w:t>
      </w:r>
      <w:r>
        <w:t>quality of life</w:t>
      </w:r>
      <w:r w:rsidRPr="00067F2A">
        <w:t xml:space="preserve"> tool. The Generic Core Scales of the </w:t>
      </w:r>
      <w:proofErr w:type="spellStart"/>
      <w:r w:rsidRPr="00067F2A">
        <w:t>PedsQL</w:t>
      </w:r>
      <w:proofErr w:type="spellEnd"/>
      <w:r w:rsidRPr="00067F2A">
        <w:t xml:space="preserve"> cover four domains including physical, emotional, social and school aspects.</w:t>
      </w:r>
    </w:p>
  </w:footnote>
  <w:footnote w:id="11">
    <w:p w14:paraId="5C9F3D21" w14:textId="4488D8DD" w:rsidR="0075687E" w:rsidRDefault="0075687E">
      <w:pPr>
        <w:pStyle w:val="FootnoteText"/>
      </w:pPr>
      <w:r>
        <w:rPr>
          <w:rStyle w:val="FootnoteReference"/>
        </w:rPr>
        <w:footnoteRef/>
      </w:r>
      <w:r>
        <w:t xml:space="preserve"> The </w:t>
      </w:r>
      <w:r w:rsidRPr="00FB497D">
        <w:rPr>
          <w:b/>
        </w:rPr>
        <w:t>number needed to treat (NNT)</w:t>
      </w:r>
      <w:r>
        <w:t xml:space="preserve"> is the number of patients that need to be treated in order to prevent a certain adverse outcome or achieve a benefit in a single patient.</w:t>
      </w:r>
    </w:p>
  </w:footnote>
  <w:footnote w:id="12">
    <w:p w14:paraId="362CBC0D" w14:textId="000A08F5" w:rsidR="0075687E" w:rsidRPr="00FB497D" w:rsidRDefault="0075687E" w:rsidP="00FB497D">
      <w:pPr>
        <w:spacing w:before="0" w:after="0" w:line="240" w:lineRule="auto"/>
        <w:rPr>
          <w:rFonts w:eastAsia="Times New Roman" w:cs="Calibri"/>
          <w:color w:val="000000"/>
          <w:sz w:val="18"/>
          <w:szCs w:val="18"/>
          <w:lang w:eastAsia="en-AU"/>
        </w:rPr>
      </w:pPr>
      <w:r>
        <w:rPr>
          <w:rStyle w:val="FootnoteReference"/>
        </w:rPr>
        <w:footnoteRef/>
      </w:r>
      <w:r>
        <w:t xml:space="preserve"> </w:t>
      </w:r>
      <w:r w:rsidRPr="00FB497D">
        <w:rPr>
          <w:rFonts w:eastAsia="Times New Roman" w:cs="Calibri"/>
          <w:color w:val="000000"/>
          <w:sz w:val="18"/>
          <w:szCs w:val="18"/>
          <w:lang w:eastAsia="en-AU"/>
        </w:rPr>
        <w:t xml:space="preserve">The </w:t>
      </w:r>
      <w:r w:rsidRPr="00FB497D">
        <w:rPr>
          <w:rFonts w:eastAsia="Times New Roman" w:cs="Calibri"/>
          <w:b/>
          <w:bCs/>
          <w:color w:val="000000"/>
          <w:sz w:val="18"/>
          <w:szCs w:val="18"/>
          <w:lang w:eastAsia="en-AU"/>
        </w:rPr>
        <w:t>visual analogue scale (VAS)</w:t>
      </w:r>
      <w:r w:rsidRPr="00FB497D">
        <w:rPr>
          <w:rFonts w:eastAsia="Times New Roman" w:cs="Calibri"/>
          <w:color w:val="000000"/>
          <w:sz w:val="18"/>
          <w:szCs w:val="18"/>
          <w:lang w:eastAsia="en-AU"/>
        </w:rPr>
        <w:t xml:space="preserve"> is a psychometric response scale for characteristics or attitudes that range across a continuum of values and cannot easily be directly measured, such as pain, mood and appetite. The </w:t>
      </w:r>
      <w:r w:rsidRPr="00FB497D">
        <w:rPr>
          <w:rFonts w:eastAsia="Times New Roman" w:cs="Calibri"/>
          <w:b/>
          <w:bCs/>
          <w:color w:val="000000"/>
          <w:sz w:val="18"/>
          <w:szCs w:val="18"/>
          <w:lang w:eastAsia="en-AU"/>
        </w:rPr>
        <w:t>VAS pain scale</w:t>
      </w:r>
      <w:r w:rsidRPr="00FB497D">
        <w:rPr>
          <w:rFonts w:eastAsia="Times New Roman" w:cs="Calibri"/>
          <w:color w:val="000000"/>
          <w:sz w:val="18"/>
          <w:szCs w:val="18"/>
          <w:lang w:eastAsia="en-AU"/>
        </w:rPr>
        <w:t xml:space="preserve"> ranges along a 10 cm line from ‘no pain’ (0 cm) to ‘worst pain’ (10 cm), and patients mark a line at a point along the scale to indicate how they are feeling.</w:t>
      </w:r>
    </w:p>
  </w:footnote>
  <w:footnote w:id="13">
    <w:p w14:paraId="5CE20C53" w14:textId="69C573CD" w:rsidR="0075687E" w:rsidRDefault="0075687E">
      <w:pPr>
        <w:pStyle w:val="FootnoteText"/>
      </w:pPr>
      <w:r>
        <w:rPr>
          <w:rStyle w:val="FootnoteReference"/>
        </w:rPr>
        <w:footnoteRef/>
      </w:r>
      <w:r>
        <w:t xml:space="preserve"> </w:t>
      </w:r>
      <w:proofErr w:type="spellStart"/>
      <w:r>
        <w:t>Dysport</w:t>
      </w:r>
      <w:proofErr w:type="spellEnd"/>
      <w:r>
        <w:t xml:space="preserve"> is marketed under the tradename </w:t>
      </w:r>
      <w:proofErr w:type="spellStart"/>
      <w:r>
        <w:t>Azzalure</w:t>
      </w:r>
      <w:proofErr w:type="spellEnd"/>
      <w:r>
        <w:t xml:space="preserve"> in some countries.</w:t>
      </w:r>
    </w:p>
  </w:footnote>
  <w:footnote w:id="14">
    <w:p w14:paraId="390DE6DD" w14:textId="54E7EDED" w:rsidR="0075687E" w:rsidRDefault="0075687E" w:rsidP="005E58CB">
      <w:pPr>
        <w:pStyle w:val="FootnoteText"/>
      </w:pPr>
      <w:r>
        <w:rPr>
          <w:rStyle w:val="FootnoteReference"/>
        </w:rPr>
        <w:footnoteRef/>
      </w:r>
      <w:r>
        <w:t xml:space="preserve"> The </w:t>
      </w:r>
      <w:proofErr w:type="spellStart"/>
      <w:r w:rsidRPr="005E58CB">
        <w:rPr>
          <w:b/>
        </w:rPr>
        <w:t>Merz</w:t>
      </w:r>
      <w:proofErr w:type="spellEnd"/>
      <w:r w:rsidRPr="005E58CB">
        <w:rPr>
          <w:b/>
        </w:rPr>
        <w:t xml:space="preserve"> Aesthetics Scale</w:t>
      </w:r>
      <w:r>
        <w:t xml:space="preserve"> for the upper face, grades the severity of glabellar lines on a five point scale ranging from 0 to 4:</w:t>
      </w:r>
    </w:p>
    <w:p w14:paraId="655E750A" w14:textId="06DE34A2" w:rsidR="0075687E" w:rsidRDefault="0075687E" w:rsidP="005E58CB">
      <w:pPr>
        <w:pStyle w:val="FootnoteText"/>
      </w:pPr>
      <w:r>
        <w:t>0 - no glabellar lines</w:t>
      </w:r>
    </w:p>
    <w:p w14:paraId="73BCE8C8" w14:textId="4C019914" w:rsidR="0075687E" w:rsidRDefault="0075687E" w:rsidP="005E58CB">
      <w:pPr>
        <w:pStyle w:val="FootnoteText"/>
      </w:pPr>
      <w:r>
        <w:t>1 - mild glabellar lines</w:t>
      </w:r>
    </w:p>
    <w:p w14:paraId="313B2CEE" w14:textId="648DA4E7" w:rsidR="0075687E" w:rsidRDefault="0075687E" w:rsidP="005E58CB">
      <w:pPr>
        <w:pStyle w:val="FootnoteText"/>
      </w:pPr>
      <w:r>
        <w:t>2 - moderate glabellar lines</w:t>
      </w:r>
    </w:p>
    <w:p w14:paraId="46376C12" w14:textId="6492768E" w:rsidR="0075687E" w:rsidRDefault="0075687E" w:rsidP="005E58CB">
      <w:pPr>
        <w:pStyle w:val="FootnoteText"/>
      </w:pPr>
      <w:r>
        <w:t>3 - severe glabellar lines</w:t>
      </w:r>
    </w:p>
    <w:p w14:paraId="5D5073DA" w14:textId="18D9D216" w:rsidR="0075687E" w:rsidRDefault="0075687E" w:rsidP="005E58CB">
      <w:pPr>
        <w:pStyle w:val="FootnoteText"/>
      </w:pPr>
      <w:r>
        <w:t>4 - very severe glabellar lines</w:t>
      </w:r>
    </w:p>
    <w:p w14:paraId="7CF548ED" w14:textId="786E437E" w:rsidR="0075687E" w:rsidRDefault="0075687E" w:rsidP="005E58CB">
      <w:pPr>
        <w:pStyle w:val="FootnoteText"/>
      </w:pPr>
      <w:r>
        <w:t>The rating was based on sample photographs that were provided as part of the definition of the scale.</w:t>
      </w:r>
    </w:p>
  </w:footnote>
  <w:footnote w:id="15">
    <w:p w14:paraId="7AEC721C" w14:textId="437C4AD2" w:rsidR="0075687E" w:rsidRDefault="0075687E">
      <w:pPr>
        <w:pStyle w:val="FootnoteText"/>
      </w:pPr>
      <w:r>
        <w:rPr>
          <w:rStyle w:val="FootnoteReference"/>
        </w:rPr>
        <w:footnoteRef/>
      </w:r>
      <w:r>
        <w:t xml:space="preserve"> </w:t>
      </w:r>
      <w:r w:rsidRPr="00073267">
        <w:t xml:space="preserve">The </w:t>
      </w:r>
      <w:r w:rsidRPr="00073267">
        <w:rPr>
          <w:b/>
        </w:rPr>
        <w:t>Subject Satisfaction Questionnaire (SSQ)</w:t>
      </w:r>
      <w:r w:rsidRPr="00073267">
        <w:t xml:space="preserve"> consisted of a series of questions to be answered by the subject at each visit, directed at rating how content they were with the treatment and their own appearance</w:t>
      </w:r>
      <w:r>
        <w:t>.</w:t>
      </w:r>
    </w:p>
  </w:footnote>
  <w:footnote w:id="16">
    <w:p w14:paraId="6AAEA33D" w14:textId="48DBA4CF" w:rsidR="0075687E" w:rsidRDefault="0075687E">
      <w:pPr>
        <w:pStyle w:val="FootnoteText"/>
      </w:pPr>
      <w:r>
        <w:rPr>
          <w:rStyle w:val="FootnoteReference"/>
        </w:rPr>
        <w:footnoteRef/>
      </w:r>
      <w:r>
        <w:t xml:space="preserve"> </w:t>
      </w:r>
      <w:r w:rsidRPr="00073267">
        <w:t xml:space="preserve">The subjective </w:t>
      </w:r>
      <w:r w:rsidRPr="00073267">
        <w:rPr>
          <w:b/>
        </w:rPr>
        <w:t>Onset of Response</w:t>
      </w:r>
      <w:r w:rsidRPr="00073267">
        <w:t xml:space="preserve"> was defined as the</w:t>
      </w:r>
      <w:r>
        <w:t xml:space="preserve"> first day a subject responded ‘yes’ to the question ‘</w:t>
      </w:r>
      <w:r w:rsidRPr="00073267">
        <w:t>Since being injected, have you noticed any effect on the appearance of your glabellar</w:t>
      </w:r>
      <w:r>
        <w:t xml:space="preserve"> lines?’</w:t>
      </w:r>
    </w:p>
  </w:footnote>
  <w:footnote w:id="17">
    <w:p w14:paraId="06E03676" w14:textId="77777777" w:rsidR="0075687E" w:rsidRDefault="0075687E">
      <w:pPr>
        <w:pStyle w:val="FootnoteText"/>
      </w:pPr>
      <w:r>
        <w:rPr>
          <w:rStyle w:val="FootnoteReference"/>
        </w:rPr>
        <w:footnoteRef/>
      </w:r>
      <w:r>
        <w:t xml:space="preserve"> </w:t>
      </w:r>
      <w:r w:rsidRPr="007D53B6">
        <w:t>The sponsor must still comply with routine product vigilance and risk minimisation requirements.</w:t>
      </w:r>
    </w:p>
  </w:footnote>
  <w:footnote w:id="18">
    <w:p w14:paraId="6295F33B" w14:textId="77777777" w:rsidR="0075687E" w:rsidRDefault="0075687E">
      <w:pPr>
        <w:pStyle w:val="FootnoteText"/>
      </w:pPr>
      <w:r>
        <w:rPr>
          <w:rStyle w:val="FootnoteReference"/>
        </w:rPr>
        <w:footnoteRef/>
      </w:r>
      <w:r>
        <w:t xml:space="preserve"> </w:t>
      </w:r>
      <w:r w:rsidRPr="00B74CFE">
        <w:t>Simpson</w:t>
      </w:r>
      <w:r>
        <w:t>,</w:t>
      </w:r>
      <w:r w:rsidRPr="00B74CFE">
        <w:t xml:space="preserve"> D</w:t>
      </w:r>
      <w:r>
        <w:t>.</w:t>
      </w:r>
      <w:r w:rsidRPr="00B74CFE">
        <w:t>M</w:t>
      </w:r>
      <w:r>
        <w:t>.</w:t>
      </w:r>
      <w:r w:rsidRPr="00B74CFE">
        <w:t xml:space="preserve"> et al. Assessment: botulinum neurotoxin for the treatment of spasticity (an evidence-based review): Report of the Therapeutics and Technology Assessment Subcommittee of the American Academy of Neurology. </w:t>
      </w:r>
      <w:r w:rsidRPr="00B74CFE">
        <w:rPr>
          <w:i/>
        </w:rPr>
        <w:t>Neurology</w:t>
      </w:r>
      <w:r w:rsidRPr="00B74CFE">
        <w:t xml:space="preserve"> 2008;</w:t>
      </w:r>
      <w:r>
        <w:t xml:space="preserve"> </w:t>
      </w:r>
      <w:r w:rsidRPr="00B74CFE">
        <w:t>70(19):</w:t>
      </w:r>
      <w:r>
        <w:t xml:space="preserve"> </w:t>
      </w:r>
      <w:r w:rsidRPr="00B74CFE">
        <w:t>1691-</w:t>
      </w:r>
      <w:r>
        <w:t>169</w:t>
      </w:r>
      <w:r w:rsidRPr="00B74CFE">
        <w:t>8.</w:t>
      </w:r>
    </w:p>
  </w:footnote>
  <w:footnote w:id="19">
    <w:p w14:paraId="2DA0F846" w14:textId="77777777" w:rsidR="0075687E" w:rsidRDefault="0075687E">
      <w:pPr>
        <w:pStyle w:val="FootnoteText"/>
      </w:pPr>
      <w:r>
        <w:rPr>
          <w:rStyle w:val="FootnoteReference"/>
        </w:rPr>
        <w:footnoteRef/>
      </w:r>
      <w:r>
        <w:t xml:space="preserve"> Delgado, M.R.</w:t>
      </w:r>
      <w:r w:rsidRPr="00B74CFE">
        <w:t xml:space="preserve"> et al. Practice parameter: pharmacologic treatment of spasticity in children and adolescents with cerebral palsy (an evidence-based review): report of the Quality Standards Subcommittee of the American Academy of Neurology and the Practice Committee of the Child Neurology Society. </w:t>
      </w:r>
      <w:r w:rsidRPr="00B74CFE">
        <w:rPr>
          <w:i/>
        </w:rPr>
        <w:t xml:space="preserve">Neurology </w:t>
      </w:r>
      <w:r w:rsidRPr="00B74CFE">
        <w:t>2010; 74(4): 336-</w:t>
      </w:r>
      <w:r>
        <w:t>3</w:t>
      </w:r>
      <w:r w:rsidRPr="00B74CFE">
        <w:t>43.</w:t>
      </w:r>
    </w:p>
  </w:footnote>
  <w:footnote w:id="20">
    <w:p w14:paraId="1361671B" w14:textId="1CFAC6BE" w:rsidR="0075687E" w:rsidRDefault="0075687E">
      <w:pPr>
        <w:pStyle w:val="FootnoteText"/>
      </w:pPr>
      <w:r>
        <w:rPr>
          <w:rStyle w:val="FootnoteReference"/>
        </w:rPr>
        <w:footnoteRef/>
      </w:r>
      <w:r>
        <w:t xml:space="preserve"> National Institute for Health and Care Excellence (</w:t>
      </w:r>
      <w:r w:rsidRPr="00B74CFE">
        <w:t>NICE</w:t>
      </w:r>
      <w:r>
        <w:t>)</w:t>
      </w:r>
      <w:r w:rsidRPr="00B74CFE">
        <w:t xml:space="preserve">. Clinical guideline CG145. Spasticity in under 19s: management. </w:t>
      </w:r>
      <w:r>
        <w:t>Published date: 25 July 2012, l</w:t>
      </w:r>
      <w:r w:rsidRPr="005559DC">
        <w:t>ast updated: 29 November 2016</w:t>
      </w:r>
      <w:r>
        <w:t xml:space="preserve">. </w:t>
      </w:r>
      <w:r w:rsidRPr="00B74CFE">
        <w:t xml:space="preserve">Available </w:t>
      </w:r>
      <w:r>
        <w:t>from the NICE website</w:t>
      </w:r>
      <w:r w:rsidRPr="00B74CFE">
        <w:t>.</w:t>
      </w:r>
    </w:p>
  </w:footnote>
  <w:footnote w:id="21">
    <w:p w14:paraId="1ABD29D6" w14:textId="77777777" w:rsidR="0075687E" w:rsidRDefault="0075687E">
      <w:pPr>
        <w:pStyle w:val="FootnoteText"/>
      </w:pPr>
      <w:r>
        <w:rPr>
          <w:rStyle w:val="FootnoteReference"/>
        </w:rPr>
        <w:footnoteRef/>
      </w:r>
      <w:r>
        <w:t xml:space="preserve"> </w:t>
      </w:r>
      <w:proofErr w:type="spellStart"/>
      <w:r>
        <w:t>Strobl</w:t>
      </w:r>
      <w:proofErr w:type="spellEnd"/>
      <w:r>
        <w:t xml:space="preserve">, W. </w:t>
      </w:r>
      <w:r w:rsidRPr="00B74CFE">
        <w:t xml:space="preserve">et al. Best clinical practice in botulinum toxin treatment for children with cerebral palsy. </w:t>
      </w:r>
      <w:r w:rsidRPr="00B74CFE">
        <w:rPr>
          <w:i/>
        </w:rPr>
        <w:t>Toxins (Basel)</w:t>
      </w:r>
      <w:r w:rsidRPr="00B74CFE">
        <w:t xml:space="preserve"> 2015; 7(5): 1629-</w:t>
      </w:r>
      <w:r>
        <w:t>16</w:t>
      </w:r>
      <w:r w:rsidRPr="00B74CFE">
        <w:t>48.</w:t>
      </w:r>
    </w:p>
  </w:footnote>
  <w:footnote w:id="22">
    <w:p w14:paraId="65FAC4F7" w14:textId="77777777" w:rsidR="0075687E" w:rsidRDefault="0075687E"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06329D8" w14:textId="77777777" w:rsidR="0075687E" w:rsidRPr="00456765" w:rsidRDefault="0075687E"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87E1" w14:textId="77777777" w:rsidR="0075687E" w:rsidRDefault="00756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AEE9" w14:textId="77777777" w:rsidR="0075687E" w:rsidRDefault="0075687E"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FAF99" w14:textId="77777777" w:rsidR="0075687E" w:rsidRDefault="0075687E">
    <w:pPr>
      <w:rPr>
        <w:noProof/>
        <w:lang w:eastAsia="en-AU"/>
      </w:rPr>
    </w:pPr>
    <w:r w:rsidRPr="00347824">
      <w:rPr>
        <w:noProof/>
        <w:lang w:eastAsia="en-AU"/>
      </w:rPr>
      <w:drawing>
        <wp:anchor distT="0" distB="0" distL="114300" distR="114300" simplePos="0" relativeHeight="251659264" behindDoc="1" locked="0" layoutInCell="1" allowOverlap="1" wp14:anchorId="4EC83CC0" wp14:editId="72CF8044">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0504CEF" w14:textId="4A8EE158" w:rsidR="0075687E" w:rsidRDefault="0075687E"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ED35A" w14:textId="77777777" w:rsidR="0075687E" w:rsidRDefault="007568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2673" w14:textId="77777777" w:rsidR="0075687E" w:rsidRDefault="0075687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88124" w14:textId="77777777" w:rsidR="0075687E" w:rsidRDefault="0075687E">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45EA" w14:textId="77777777" w:rsidR="0075687E" w:rsidRDefault="007568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CBEB" w14:textId="77777777" w:rsidR="0075687E" w:rsidRDefault="0075687E"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A29E4" w14:textId="77777777" w:rsidR="0075687E" w:rsidRDefault="0075687E" w:rsidP="006E08B3">
    <w:r>
      <w:t>Therapeutic Goods Administration</w:t>
    </w:r>
  </w:p>
  <w:p w14:paraId="7945D9EE" w14:textId="77777777" w:rsidR="0075687E" w:rsidRDefault="0075687E"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D0D4"/>
      </v:shape>
    </w:pict>
  </w:numPicBullet>
  <w:abstractNum w:abstractNumId="0" w15:restartNumberingAfterBreak="0">
    <w:nsid w:val="0203548D"/>
    <w:multiLevelType w:val="hybridMultilevel"/>
    <w:tmpl w:val="D11EF23A"/>
    <w:lvl w:ilvl="0" w:tplc="E6F87B8E">
      <w:start w:val="1"/>
      <w:numFmt w:val="bullet"/>
      <w:lvlText w:val="-"/>
      <w:lvlJc w:val="left"/>
      <w:pPr>
        <w:ind w:left="2659" w:hanging="360"/>
      </w:pPr>
      <w:rPr>
        <w:rFonts w:ascii="Symbol" w:hAnsi="Symbol" w:hint="default"/>
      </w:rPr>
    </w:lvl>
    <w:lvl w:ilvl="1" w:tplc="0C090003" w:tentative="1">
      <w:start w:val="1"/>
      <w:numFmt w:val="bullet"/>
      <w:lvlText w:val="o"/>
      <w:lvlJc w:val="left"/>
      <w:pPr>
        <w:ind w:left="3379" w:hanging="360"/>
      </w:pPr>
      <w:rPr>
        <w:rFonts w:ascii="Courier New" w:hAnsi="Courier New" w:cs="Courier New" w:hint="default"/>
      </w:rPr>
    </w:lvl>
    <w:lvl w:ilvl="2" w:tplc="0C090005" w:tentative="1">
      <w:start w:val="1"/>
      <w:numFmt w:val="bullet"/>
      <w:lvlText w:val=""/>
      <w:lvlJc w:val="left"/>
      <w:pPr>
        <w:ind w:left="4099" w:hanging="360"/>
      </w:pPr>
      <w:rPr>
        <w:rFonts w:ascii="Wingdings" w:hAnsi="Wingdings" w:hint="default"/>
      </w:rPr>
    </w:lvl>
    <w:lvl w:ilvl="3" w:tplc="0C090001" w:tentative="1">
      <w:start w:val="1"/>
      <w:numFmt w:val="bullet"/>
      <w:lvlText w:val=""/>
      <w:lvlJc w:val="left"/>
      <w:pPr>
        <w:ind w:left="4819" w:hanging="360"/>
      </w:pPr>
      <w:rPr>
        <w:rFonts w:ascii="Symbol" w:hAnsi="Symbol" w:hint="default"/>
      </w:rPr>
    </w:lvl>
    <w:lvl w:ilvl="4" w:tplc="0C090003" w:tentative="1">
      <w:start w:val="1"/>
      <w:numFmt w:val="bullet"/>
      <w:lvlText w:val="o"/>
      <w:lvlJc w:val="left"/>
      <w:pPr>
        <w:ind w:left="5539" w:hanging="360"/>
      </w:pPr>
      <w:rPr>
        <w:rFonts w:ascii="Courier New" w:hAnsi="Courier New" w:cs="Courier New" w:hint="default"/>
      </w:rPr>
    </w:lvl>
    <w:lvl w:ilvl="5" w:tplc="0C090005" w:tentative="1">
      <w:start w:val="1"/>
      <w:numFmt w:val="bullet"/>
      <w:lvlText w:val=""/>
      <w:lvlJc w:val="left"/>
      <w:pPr>
        <w:ind w:left="6259" w:hanging="360"/>
      </w:pPr>
      <w:rPr>
        <w:rFonts w:ascii="Wingdings" w:hAnsi="Wingdings" w:hint="default"/>
      </w:rPr>
    </w:lvl>
    <w:lvl w:ilvl="6" w:tplc="0C090001" w:tentative="1">
      <w:start w:val="1"/>
      <w:numFmt w:val="bullet"/>
      <w:lvlText w:val=""/>
      <w:lvlJc w:val="left"/>
      <w:pPr>
        <w:ind w:left="6979" w:hanging="360"/>
      </w:pPr>
      <w:rPr>
        <w:rFonts w:ascii="Symbol" w:hAnsi="Symbol" w:hint="default"/>
      </w:rPr>
    </w:lvl>
    <w:lvl w:ilvl="7" w:tplc="0C090003" w:tentative="1">
      <w:start w:val="1"/>
      <w:numFmt w:val="bullet"/>
      <w:lvlText w:val="o"/>
      <w:lvlJc w:val="left"/>
      <w:pPr>
        <w:ind w:left="7699" w:hanging="360"/>
      </w:pPr>
      <w:rPr>
        <w:rFonts w:ascii="Courier New" w:hAnsi="Courier New" w:cs="Courier New" w:hint="default"/>
      </w:rPr>
    </w:lvl>
    <w:lvl w:ilvl="8" w:tplc="0C090005" w:tentative="1">
      <w:start w:val="1"/>
      <w:numFmt w:val="bullet"/>
      <w:lvlText w:val=""/>
      <w:lvlJc w:val="left"/>
      <w:pPr>
        <w:ind w:left="8419" w:hanging="360"/>
      </w:pPr>
      <w:rPr>
        <w:rFonts w:ascii="Wingdings" w:hAnsi="Wingdings" w:hint="default"/>
      </w:rPr>
    </w:lvl>
  </w:abstractNum>
  <w:abstractNum w:abstractNumId="1" w15:restartNumberingAfterBreak="0">
    <w:nsid w:val="08D21DD4"/>
    <w:multiLevelType w:val="hybridMultilevel"/>
    <w:tmpl w:val="44ACC702"/>
    <w:lvl w:ilvl="0" w:tplc="7B1C7300">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23662E6"/>
    <w:multiLevelType w:val="hybridMultilevel"/>
    <w:tmpl w:val="3F365C00"/>
    <w:lvl w:ilvl="0" w:tplc="C7A231C8">
      <w:start w:val="1"/>
      <w:numFmt w:val="bullet"/>
      <w:lvlText w:val="►"/>
      <w:lvlJc w:val="left"/>
      <w:pPr>
        <w:ind w:left="720" w:hanging="360"/>
      </w:pPr>
      <w:rPr>
        <w:rFonts w:ascii="Arial" w:eastAsia="Arial" w:hAnsi="Arial" w:hint="default"/>
        <w:color w:val="auto"/>
        <w:w w:val="105"/>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6C0CFA"/>
    <w:multiLevelType w:val="hybridMultilevel"/>
    <w:tmpl w:val="13E69F64"/>
    <w:lvl w:ilvl="0" w:tplc="0C090007">
      <w:start w:val="1"/>
      <w:numFmt w:val="bullet"/>
      <w:lvlText w:val=""/>
      <w:lvlPicBulletId w:val="0"/>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8F13E9"/>
    <w:multiLevelType w:val="multilevel"/>
    <w:tmpl w:val="E3C6C8B8"/>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6C23FD3"/>
    <w:multiLevelType w:val="hybridMultilevel"/>
    <w:tmpl w:val="FF448624"/>
    <w:lvl w:ilvl="0" w:tplc="7B1C7300">
      <w:start w:val="1"/>
      <w:numFmt w:val="bullet"/>
      <w:lvlText w:val="-"/>
      <w:lvlJc w:val="left"/>
      <w:pPr>
        <w:ind w:left="1637"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6A53AB"/>
    <w:multiLevelType w:val="hybridMultilevel"/>
    <w:tmpl w:val="98A8EAA4"/>
    <w:lvl w:ilvl="0" w:tplc="168C49C2">
      <w:start w:val="1"/>
      <w:numFmt w:val="bullet"/>
      <w:lvlText w:val="►"/>
      <w:lvlJc w:val="left"/>
      <w:pPr>
        <w:ind w:left="833" w:hanging="360"/>
      </w:pPr>
      <w:rPr>
        <w:rFonts w:ascii="Arial" w:hAnsi="Arial" w:hint="default"/>
        <w:color w:val="auto"/>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3403196C"/>
    <w:multiLevelType w:val="hybridMultilevel"/>
    <w:tmpl w:val="788CFBC4"/>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378479C3"/>
    <w:multiLevelType w:val="hybridMultilevel"/>
    <w:tmpl w:val="29388BE4"/>
    <w:lvl w:ilvl="0" w:tplc="7B1C7300">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8804E3"/>
    <w:multiLevelType w:val="hybridMultilevel"/>
    <w:tmpl w:val="10E806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C02909"/>
    <w:multiLevelType w:val="hybridMultilevel"/>
    <w:tmpl w:val="288AAC3A"/>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pStyle w:val="DrugEvalHeading2"/>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D1C10DE"/>
    <w:multiLevelType w:val="hybridMultilevel"/>
    <w:tmpl w:val="C7F6E71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3B33AC3"/>
    <w:multiLevelType w:val="hybridMultilevel"/>
    <w:tmpl w:val="2DA20676"/>
    <w:lvl w:ilvl="0" w:tplc="7B1C7300">
      <w:start w:val="1"/>
      <w:numFmt w:val="bullet"/>
      <w:lvlText w:val="-"/>
      <w:lvlJc w:val="left"/>
      <w:pPr>
        <w:ind w:left="1004" w:hanging="360"/>
      </w:pPr>
      <w:rPr>
        <w:rFonts w:ascii="Verdana" w:hAnsi="Verdana"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3BB7DB4"/>
    <w:multiLevelType w:val="hybridMultilevel"/>
    <w:tmpl w:val="AADAE7F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2230E1"/>
    <w:multiLevelType w:val="hybridMultilevel"/>
    <w:tmpl w:val="D298C0A2"/>
    <w:lvl w:ilvl="0" w:tplc="0C090005">
      <w:start w:val="1"/>
      <w:numFmt w:val="bullet"/>
      <w:lvlText w:val=""/>
      <w:lvlJc w:val="left"/>
      <w:pPr>
        <w:ind w:left="3504" w:hanging="360"/>
      </w:pPr>
      <w:rPr>
        <w:rFonts w:ascii="Wingdings" w:hAnsi="Wingdings" w:hint="default"/>
      </w:rPr>
    </w:lvl>
    <w:lvl w:ilvl="1" w:tplc="0C090003" w:tentative="1">
      <w:start w:val="1"/>
      <w:numFmt w:val="bullet"/>
      <w:lvlText w:val="o"/>
      <w:lvlJc w:val="left"/>
      <w:pPr>
        <w:ind w:left="4224" w:hanging="360"/>
      </w:pPr>
      <w:rPr>
        <w:rFonts w:ascii="Courier New" w:hAnsi="Courier New" w:cs="Courier New" w:hint="default"/>
      </w:rPr>
    </w:lvl>
    <w:lvl w:ilvl="2" w:tplc="0C090005" w:tentative="1">
      <w:start w:val="1"/>
      <w:numFmt w:val="bullet"/>
      <w:lvlText w:val=""/>
      <w:lvlJc w:val="left"/>
      <w:pPr>
        <w:ind w:left="4944" w:hanging="360"/>
      </w:pPr>
      <w:rPr>
        <w:rFonts w:ascii="Wingdings" w:hAnsi="Wingdings" w:hint="default"/>
      </w:rPr>
    </w:lvl>
    <w:lvl w:ilvl="3" w:tplc="0C090001" w:tentative="1">
      <w:start w:val="1"/>
      <w:numFmt w:val="bullet"/>
      <w:lvlText w:val=""/>
      <w:lvlJc w:val="left"/>
      <w:pPr>
        <w:ind w:left="5664" w:hanging="360"/>
      </w:pPr>
      <w:rPr>
        <w:rFonts w:ascii="Symbol" w:hAnsi="Symbol" w:hint="default"/>
      </w:rPr>
    </w:lvl>
    <w:lvl w:ilvl="4" w:tplc="0C090003" w:tentative="1">
      <w:start w:val="1"/>
      <w:numFmt w:val="bullet"/>
      <w:lvlText w:val="o"/>
      <w:lvlJc w:val="left"/>
      <w:pPr>
        <w:ind w:left="6384" w:hanging="360"/>
      </w:pPr>
      <w:rPr>
        <w:rFonts w:ascii="Courier New" w:hAnsi="Courier New" w:cs="Courier New" w:hint="default"/>
      </w:rPr>
    </w:lvl>
    <w:lvl w:ilvl="5" w:tplc="0C090005" w:tentative="1">
      <w:start w:val="1"/>
      <w:numFmt w:val="bullet"/>
      <w:lvlText w:val=""/>
      <w:lvlJc w:val="left"/>
      <w:pPr>
        <w:ind w:left="7104" w:hanging="360"/>
      </w:pPr>
      <w:rPr>
        <w:rFonts w:ascii="Wingdings" w:hAnsi="Wingdings" w:hint="default"/>
      </w:rPr>
    </w:lvl>
    <w:lvl w:ilvl="6" w:tplc="0C090001" w:tentative="1">
      <w:start w:val="1"/>
      <w:numFmt w:val="bullet"/>
      <w:lvlText w:val=""/>
      <w:lvlJc w:val="left"/>
      <w:pPr>
        <w:ind w:left="7824" w:hanging="360"/>
      </w:pPr>
      <w:rPr>
        <w:rFonts w:ascii="Symbol" w:hAnsi="Symbol" w:hint="default"/>
      </w:rPr>
    </w:lvl>
    <w:lvl w:ilvl="7" w:tplc="0C090003" w:tentative="1">
      <w:start w:val="1"/>
      <w:numFmt w:val="bullet"/>
      <w:lvlText w:val="o"/>
      <w:lvlJc w:val="left"/>
      <w:pPr>
        <w:ind w:left="8544" w:hanging="360"/>
      </w:pPr>
      <w:rPr>
        <w:rFonts w:ascii="Courier New" w:hAnsi="Courier New" w:cs="Courier New" w:hint="default"/>
      </w:rPr>
    </w:lvl>
    <w:lvl w:ilvl="8" w:tplc="0C090005" w:tentative="1">
      <w:start w:val="1"/>
      <w:numFmt w:val="bullet"/>
      <w:lvlText w:val=""/>
      <w:lvlJc w:val="left"/>
      <w:pPr>
        <w:ind w:left="9264" w:hanging="360"/>
      </w:pPr>
      <w:rPr>
        <w:rFonts w:ascii="Wingdings" w:hAnsi="Wingdings" w:hint="default"/>
      </w:rPr>
    </w:lvl>
  </w:abstractNum>
  <w:abstractNum w:abstractNumId="16" w15:restartNumberingAfterBreak="0">
    <w:nsid w:val="5BA04772"/>
    <w:multiLevelType w:val="hybridMultilevel"/>
    <w:tmpl w:val="8774FD9A"/>
    <w:lvl w:ilvl="0" w:tplc="7B1C7300">
      <w:start w:val="1"/>
      <w:numFmt w:val="bullet"/>
      <w:lvlText w:val="-"/>
      <w:lvlJc w:val="left"/>
      <w:pPr>
        <w:ind w:left="720"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F379F4"/>
    <w:multiLevelType w:val="hybridMultilevel"/>
    <w:tmpl w:val="CDEECE0E"/>
    <w:lvl w:ilvl="0" w:tplc="7B1C7300">
      <w:start w:val="1"/>
      <w:numFmt w:val="bullet"/>
      <w:lvlText w:val="-"/>
      <w:lvlJc w:val="left"/>
      <w:pPr>
        <w:ind w:left="2220" w:hanging="360"/>
      </w:pPr>
      <w:rPr>
        <w:rFonts w:ascii="Verdana" w:hAnsi="Verdana"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18" w15:restartNumberingAfterBreak="0">
    <w:nsid w:val="632A1613"/>
    <w:multiLevelType w:val="hybridMultilevel"/>
    <w:tmpl w:val="119E4A82"/>
    <w:lvl w:ilvl="0" w:tplc="0C090007">
      <w:start w:val="1"/>
      <w:numFmt w:val="bullet"/>
      <w:lvlText w:val=""/>
      <w:lvlPicBulletId w:val="0"/>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9" w15:restartNumberingAfterBreak="0">
    <w:nsid w:val="64485802"/>
    <w:multiLevelType w:val="hybridMultilevel"/>
    <w:tmpl w:val="D7987E16"/>
    <w:lvl w:ilvl="0" w:tplc="A9107CF0">
      <w:start w:val="1"/>
      <w:numFmt w:val="bullet"/>
      <w:lvlText w:val=""/>
      <w:lvlJc w:val="left"/>
      <w:pPr>
        <w:ind w:left="2490" w:hanging="360"/>
      </w:pPr>
      <w:rPr>
        <w:rFonts w:ascii="Wingdings" w:hAnsi="Wingdings" w:hint="default"/>
        <w:sz w:val="20"/>
        <w:szCs w:val="20"/>
      </w:rPr>
    </w:lvl>
    <w:lvl w:ilvl="1" w:tplc="0C090003" w:tentative="1">
      <w:start w:val="1"/>
      <w:numFmt w:val="bullet"/>
      <w:lvlText w:val="o"/>
      <w:lvlJc w:val="left"/>
      <w:pPr>
        <w:ind w:left="3210" w:hanging="360"/>
      </w:pPr>
      <w:rPr>
        <w:rFonts w:ascii="Courier New" w:hAnsi="Courier New" w:cs="Courier New" w:hint="default"/>
      </w:rPr>
    </w:lvl>
    <w:lvl w:ilvl="2" w:tplc="0C090005" w:tentative="1">
      <w:start w:val="1"/>
      <w:numFmt w:val="bullet"/>
      <w:lvlText w:val=""/>
      <w:lvlJc w:val="left"/>
      <w:pPr>
        <w:ind w:left="3930" w:hanging="360"/>
      </w:pPr>
      <w:rPr>
        <w:rFonts w:ascii="Wingdings" w:hAnsi="Wingdings" w:hint="default"/>
      </w:rPr>
    </w:lvl>
    <w:lvl w:ilvl="3" w:tplc="0C090001" w:tentative="1">
      <w:start w:val="1"/>
      <w:numFmt w:val="bullet"/>
      <w:lvlText w:val=""/>
      <w:lvlJc w:val="left"/>
      <w:pPr>
        <w:ind w:left="4650" w:hanging="360"/>
      </w:pPr>
      <w:rPr>
        <w:rFonts w:ascii="Symbol" w:hAnsi="Symbol" w:hint="default"/>
      </w:rPr>
    </w:lvl>
    <w:lvl w:ilvl="4" w:tplc="0C090003" w:tentative="1">
      <w:start w:val="1"/>
      <w:numFmt w:val="bullet"/>
      <w:lvlText w:val="o"/>
      <w:lvlJc w:val="left"/>
      <w:pPr>
        <w:ind w:left="5370" w:hanging="360"/>
      </w:pPr>
      <w:rPr>
        <w:rFonts w:ascii="Courier New" w:hAnsi="Courier New" w:cs="Courier New" w:hint="default"/>
      </w:rPr>
    </w:lvl>
    <w:lvl w:ilvl="5" w:tplc="0C090005" w:tentative="1">
      <w:start w:val="1"/>
      <w:numFmt w:val="bullet"/>
      <w:lvlText w:val=""/>
      <w:lvlJc w:val="left"/>
      <w:pPr>
        <w:ind w:left="6090" w:hanging="360"/>
      </w:pPr>
      <w:rPr>
        <w:rFonts w:ascii="Wingdings" w:hAnsi="Wingdings" w:hint="default"/>
      </w:rPr>
    </w:lvl>
    <w:lvl w:ilvl="6" w:tplc="0C090001" w:tentative="1">
      <w:start w:val="1"/>
      <w:numFmt w:val="bullet"/>
      <w:lvlText w:val=""/>
      <w:lvlJc w:val="left"/>
      <w:pPr>
        <w:ind w:left="6810" w:hanging="360"/>
      </w:pPr>
      <w:rPr>
        <w:rFonts w:ascii="Symbol" w:hAnsi="Symbol" w:hint="default"/>
      </w:rPr>
    </w:lvl>
    <w:lvl w:ilvl="7" w:tplc="0C090003" w:tentative="1">
      <w:start w:val="1"/>
      <w:numFmt w:val="bullet"/>
      <w:lvlText w:val="o"/>
      <w:lvlJc w:val="left"/>
      <w:pPr>
        <w:ind w:left="7530" w:hanging="360"/>
      </w:pPr>
      <w:rPr>
        <w:rFonts w:ascii="Courier New" w:hAnsi="Courier New" w:cs="Courier New" w:hint="default"/>
      </w:rPr>
    </w:lvl>
    <w:lvl w:ilvl="8" w:tplc="0C090005" w:tentative="1">
      <w:start w:val="1"/>
      <w:numFmt w:val="bullet"/>
      <w:lvlText w:val=""/>
      <w:lvlJc w:val="left"/>
      <w:pPr>
        <w:ind w:left="8250" w:hanging="360"/>
      </w:pPr>
      <w:rPr>
        <w:rFonts w:ascii="Wingdings" w:hAnsi="Wingdings" w:hint="default"/>
      </w:rPr>
    </w:lvl>
  </w:abstractNum>
  <w:abstractNum w:abstractNumId="20" w15:restartNumberingAfterBreak="0">
    <w:nsid w:val="6A3D61A0"/>
    <w:multiLevelType w:val="hybridMultilevel"/>
    <w:tmpl w:val="6F2EC87C"/>
    <w:lvl w:ilvl="0" w:tplc="D43A39AA">
      <w:start w:val="1"/>
      <w:numFmt w:val="bullet"/>
      <w:lvlText w:val="►"/>
      <w:lvlJc w:val="left"/>
      <w:pPr>
        <w:ind w:left="816" w:hanging="360"/>
      </w:pPr>
      <w:rPr>
        <w:rFonts w:ascii="Arial" w:hAnsi="Arial" w:hint="default"/>
        <w:sz w:val="22"/>
        <w:szCs w:val="22"/>
      </w:rPr>
    </w:lvl>
    <w:lvl w:ilvl="1" w:tplc="0C090003" w:tentative="1">
      <w:start w:val="1"/>
      <w:numFmt w:val="bullet"/>
      <w:lvlText w:val="o"/>
      <w:lvlJc w:val="left"/>
      <w:pPr>
        <w:ind w:left="1536" w:hanging="360"/>
      </w:pPr>
      <w:rPr>
        <w:rFonts w:ascii="Courier New" w:hAnsi="Courier New" w:cs="Courier New" w:hint="default"/>
      </w:rPr>
    </w:lvl>
    <w:lvl w:ilvl="2" w:tplc="0C090005" w:tentative="1">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21" w15:restartNumberingAfterBreak="0">
    <w:nsid w:val="6D0B1B75"/>
    <w:multiLevelType w:val="multilevel"/>
    <w:tmpl w:val="F6E07A32"/>
    <w:lvl w:ilvl="0">
      <w:start w:val="1"/>
      <w:numFmt w:val="decimal"/>
      <w:pStyle w:val="DrugEvalHeading1"/>
      <w:lvlText w:val="%1."/>
      <w:lvlJc w:val="left"/>
      <w:pPr>
        <w:tabs>
          <w:tab w:val="num" w:pos="567"/>
        </w:tabs>
        <w:ind w:left="567" w:hanging="567"/>
      </w:pPr>
      <w:rPr>
        <w:rFonts w:cs="Times New Roman" w:hint="default"/>
      </w:rPr>
    </w:lvl>
    <w:lvl w:ilvl="1">
      <w:start w:val="1"/>
      <w:numFmt w:val="decimal"/>
      <w:lvlText w:val="%1.%2."/>
      <w:lvlJc w:val="left"/>
      <w:pPr>
        <w:tabs>
          <w:tab w:val="num" w:pos="1135"/>
        </w:tabs>
        <w:ind w:left="1135" w:hanging="1022"/>
      </w:pPr>
      <w:rPr>
        <w:rFonts w:cs="Times New Roman" w:hint="default"/>
      </w:rPr>
    </w:lvl>
    <w:lvl w:ilvl="2">
      <w:start w:val="1"/>
      <w:numFmt w:val="decimal"/>
      <w:pStyle w:val="DrugEvalHeading3"/>
      <w:lvlText w:val="%1.%2.%3."/>
      <w:lvlJc w:val="left"/>
      <w:pPr>
        <w:tabs>
          <w:tab w:val="num" w:pos="1134"/>
        </w:tabs>
        <w:ind w:left="1134" w:hanging="964"/>
      </w:pPr>
      <w:rPr>
        <w:rFonts w:cs="Times New Roman" w:hint="default"/>
      </w:rPr>
    </w:lvl>
    <w:lvl w:ilvl="3">
      <w:start w:val="1"/>
      <w:numFmt w:val="decimal"/>
      <w:pStyle w:val="DrugEvalHeading4"/>
      <w:lvlText w:val="%1.%2.%3.%4."/>
      <w:lvlJc w:val="left"/>
      <w:pPr>
        <w:tabs>
          <w:tab w:val="num" w:pos="1418"/>
        </w:tabs>
        <w:ind w:left="1418" w:hanging="1191"/>
      </w:pPr>
      <w:rPr>
        <w:rFonts w:cs="Times New Roman" w:hint="default"/>
      </w:rPr>
    </w:lvl>
    <w:lvl w:ilvl="4">
      <w:start w:val="1"/>
      <w:numFmt w:val="decimal"/>
      <w:lvlText w:val="%1.%2.%3.%4.%5."/>
      <w:lvlJc w:val="left"/>
      <w:pPr>
        <w:tabs>
          <w:tab w:val="num" w:pos="1701"/>
        </w:tabs>
        <w:ind w:left="1701" w:hanging="1417"/>
      </w:pPr>
      <w:rPr>
        <w:rFonts w:cs="Times New Roman" w:hint="default"/>
      </w:rPr>
    </w:lvl>
    <w:lvl w:ilvl="5">
      <w:start w:val="1"/>
      <w:numFmt w:val="decimal"/>
      <w:lvlText w:val="%1.%2.%3.%4.%5.%6."/>
      <w:lvlJc w:val="left"/>
      <w:pPr>
        <w:tabs>
          <w:tab w:val="num" w:pos="1985"/>
        </w:tabs>
        <w:ind w:left="1985" w:hanging="1645"/>
      </w:pPr>
      <w:rPr>
        <w:rFonts w:cs="Times New Roman" w:hint="default"/>
      </w:rPr>
    </w:lvl>
    <w:lvl w:ilvl="6">
      <w:start w:val="1"/>
      <w:numFmt w:val="decimal"/>
      <w:lvlText w:val="%1.%2.%3.%4.%5.%6.%7."/>
      <w:lvlJc w:val="left"/>
      <w:pPr>
        <w:tabs>
          <w:tab w:val="num" w:pos="2268"/>
        </w:tabs>
        <w:ind w:left="2268" w:hanging="1871"/>
      </w:pPr>
      <w:rPr>
        <w:rFonts w:cs="Times New Roman" w:hint="default"/>
      </w:rPr>
    </w:lvl>
    <w:lvl w:ilvl="7">
      <w:start w:val="1"/>
      <w:numFmt w:val="none"/>
      <w:lvlText w:val=""/>
      <w:lvlJc w:val="left"/>
      <w:pPr>
        <w:tabs>
          <w:tab w:val="num" w:pos="510"/>
        </w:tabs>
        <w:ind w:left="0" w:firstLine="510"/>
      </w:pPr>
      <w:rPr>
        <w:rFonts w:cs="Times New Roman" w:hint="default"/>
      </w:rPr>
    </w:lvl>
    <w:lvl w:ilvl="8">
      <w:start w:val="1"/>
      <w:numFmt w:val="none"/>
      <w:lvlText w:val=""/>
      <w:lvlJc w:val="left"/>
      <w:pPr>
        <w:tabs>
          <w:tab w:val="num" w:pos="0"/>
        </w:tabs>
        <w:ind w:left="0" w:firstLine="567"/>
      </w:pPr>
      <w:rPr>
        <w:rFonts w:cs="Times New Roman" w:hint="default"/>
      </w:rPr>
    </w:lvl>
  </w:abstractNum>
  <w:abstractNum w:abstractNumId="22" w15:restartNumberingAfterBreak="0">
    <w:nsid w:val="7FB4731F"/>
    <w:multiLevelType w:val="hybridMultilevel"/>
    <w:tmpl w:val="730CEF48"/>
    <w:lvl w:ilvl="0" w:tplc="0C090001">
      <w:start w:val="1"/>
      <w:numFmt w:val="bullet"/>
      <w:lvlText w:val=""/>
      <w:lvlJc w:val="left"/>
      <w:pPr>
        <w:tabs>
          <w:tab w:val="num" w:pos="720"/>
        </w:tabs>
        <w:ind w:left="720" w:hanging="360"/>
      </w:pPr>
      <w:rPr>
        <w:rFonts w:ascii="Symbol" w:hAnsi="Symbol" w:hint="default"/>
      </w:rPr>
    </w:lvl>
    <w:lvl w:ilvl="1" w:tplc="30708984">
      <w:numFmt w:val="bullet"/>
      <w:lvlText w:val="-"/>
      <w:lvlJc w:val="left"/>
      <w:pPr>
        <w:tabs>
          <w:tab w:val="num" w:pos="1440"/>
        </w:tabs>
        <w:ind w:left="1440" w:hanging="360"/>
      </w:pPr>
      <w:rPr>
        <w:rFonts w:ascii="Cambria" w:eastAsia="Times New Roman" w:hAnsi="Cambria"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5"/>
  </w:num>
  <w:num w:numId="4">
    <w:abstractNumId w:val="2"/>
  </w:num>
  <w:num w:numId="5">
    <w:abstractNumId w:val="12"/>
  </w:num>
  <w:num w:numId="6">
    <w:abstractNumId w:val="13"/>
  </w:num>
  <w:num w:numId="7">
    <w:abstractNumId w:val="4"/>
  </w:num>
  <w:num w:numId="8">
    <w:abstractNumId w:val="1"/>
  </w:num>
  <w:num w:numId="9">
    <w:abstractNumId w:val="15"/>
  </w:num>
  <w:num w:numId="10">
    <w:abstractNumId w:val="20"/>
  </w:num>
  <w:num w:numId="11">
    <w:abstractNumId w:val="16"/>
  </w:num>
  <w:num w:numId="12">
    <w:abstractNumId w:val="11"/>
  </w:num>
  <w:num w:numId="13">
    <w:abstractNumId w:val="17"/>
  </w:num>
  <w:num w:numId="14">
    <w:abstractNumId w:val="14"/>
  </w:num>
  <w:num w:numId="15">
    <w:abstractNumId w:val="9"/>
  </w:num>
  <w:num w:numId="16">
    <w:abstractNumId w:val="22"/>
  </w:num>
  <w:num w:numId="17">
    <w:abstractNumId w:val="21"/>
  </w:num>
  <w:num w:numId="18">
    <w:abstractNumId w:val="8"/>
  </w:num>
  <w:num w:numId="19">
    <w:abstractNumId w:val="3"/>
  </w:num>
  <w:num w:numId="20">
    <w:abstractNumId w:val="19"/>
  </w:num>
  <w:num w:numId="21">
    <w:abstractNumId w:val="18"/>
  </w:num>
  <w:num w:numId="22">
    <w:abstractNumId w:val="0"/>
  </w:num>
  <w:num w:numId="23">
    <w:abstractNumId w:val="6"/>
  </w:num>
  <w:num w:numId="24">
    <w:abstractNumId w:val="7"/>
  </w:num>
  <w:num w:numId="25">
    <w:abstractNumId w:val="1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4B"/>
    <w:rsid w:val="00002031"/>
    <w:rsid w:val="00004734"/>
    <w:rsid w:val="00006B22"/>
    <w:rsid w:val="00006FAB"/>
    <w:rsid w:val="0001276A"/>
    <w:rsid w:val="000166B3"/>
    <w:rsid w:val="000222F0"/>
    <w:rsid w:val="000246AE"/>
    <w:rsid w:val="00025C67"/>
    <w:rsid w:val="00044772"/>
    <w:rsid w:val="0004541C"/>
    <w:rsid w:val="0005559E"/>
    <w:rsid w:val="00056A92"/>
    <w:rsid w:val="000604D6"/>
    <w:rsid w:val="00067F2A"/>
    <w:rsid w:val="00073267"/>
    <w:rsid w:val="000734D8"/>
    <w:rsid w:val="00077775"/>
    <w:rsid w:val="00080F3F"/>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0060"/>
    <w:rsid w:val="0010601F"/>
    <w:rsid w:val="0010788A"/>
    <w:rsid w:val="00107A31"/>
    <w:rsid w:val="00110EA5"/>
    <w:rsid w:val="00112F56"/>
    <w:rsid w:val="00121CFD"/>
    <w:rsid w:val="00122C2E"/>
    <w:rsid w:val="00124ACD"/>
    <w:rsid w:val="00125318"/>
    <w:rsid w:val="001305A2"/>
    <w:rsid w:val="00133238"/>
    <w:rsid w:val="00133A1B"/>
    <w:rsid w:val="0014197B"/>
    <w:rsid w:val="001447CD"/>
    <w:rsid w:val="001461F4"/>
    <w:rsid w:val="001516B1"/>
    <w:rsid w:val="00154EBB"/>
    <w:rsid w:val="00156316"/>
    <w:rsid w:val="00161181"/>
    <w:rsid w:val="00162D14"/>
    <w:rsid w:val="00163780"/>
    <w:rsid w:val="00165389"/>
    <w:rsid w:val="0017693F"/>
    <w:rsid w:val="0018110E"/>
    <w:rsid w:val="00181684"/>
    <w:rsid w:val="001843C6"/>
    <w:rsid w:val="001850E0"/>
    <w:rsid w:val="0019767C"/>
    <w:rsid w:val="001A03AF"/>
    <w:rsid w:val="001A2158"/>
    <w:rsid w:val="001A525F"/>
    <w:rsid w:val="001B09F9"/>
    <w:rsid w:val="001B3D19"/>
    <w:rsid w:val="001B5C90"/>
    <w:rsid w:val="001B6448"/>
    <w:rsid w:val="001C32CD"/>
    <w:rsid w:val="001C79F5"/>
    <w:rsid w:val="001D2984"/>
    <w:rsid w:val="001E07CF"/>
    <w:rsid w:val="001E59F1"/>
    <w:rsid w:val="001F2CEE"/>
    <w:rsid w:val="001F49EB"/>
    <w:rsid w:val="001F6CBA"/>
    <w:rsid w:val="00200A52"/>
    <w:rsid w:val="002011E4"/>
    <w:rsid w:val="00201D4E"/>
    <w:rsid w:val="002076C9"/>
    <w:rsid w:val="0021620E"/>
    <w:rsid w:val="00220B8A"/>
    <w:rsid w:val="002257F3"/>
    <w:rsid w:val="00233456"/>
    <w:rsid w:val="002339A5"/>
    <w:rsid w:val="0024140D"/>
    <w:rsid w:val="00250271"/>
    <w:rsid w:val="00257848"/>
    <w:rsid w:val="002578E8"/>
    <w:rsid w:val="00260817"/>
    <w:rsid w:val="00261FC8"/>
    <w:rsid w:val="0027084A"/>
    <w:rsid w:val="00280265"/>
    <w:rsid w:val="00286434"/>
    <w:rsid w:val="00286C59"/>
    <w:rsid w:val="00291957"/>
    <w:rsid w:val="00293E30"/>
    <w:rsid w:val="002942D1"/>
    <w:rsid w:val="0029501A"/>
    <w:rsid w:val="002A3721"/>
    <w:rsid w:val="002B1638"/>
    <w:rsid w:val="002B3624"/>
    <w:rsid w:val="002B5A3D"/>
    <w:rsid w:val="002B7ED3"/>
    <w:rsid w:val="002C2698"/>
    <w:rsid w:val="002D0952"/>
    <w:rsid w:val="002E40B3"/>
    <w:rsid w:val="002E4C9A"/>
    <w:rsid w:val="002F11F8"/>
    <w:rsid w:val="002F3F56"/>
    <w:rsid w:val="002F44B5"/>
    <w:rsid w:val="002F5122"/>
    <w:rsid w:val="00311AC0"/>
    <w:rsid w:val="003176FC"/>
    <w:rsid w:val="00324E45"/>
    <w:rsid w:val="0032583B"/>
    <w:rsid w:val="00327883"/>
    <w:rsid w:val="00333AAB"/>
    <w:rsid w:val="00335504"/>
    <w:rsid w:val="00340C18"/>
    <w:rsid w:val="003442FD"/>
    <w:rsid w:val="00347824"/>
    <w:rsid w:val="00347FDF"/>
    <w:rsid w:val="00350567"/>
    <w:rsid w:val="003521E8"/>
    <w:rsid w:val="00367C79"/>
    <w:rsid w:val="00370CE3"/>
    <w:rsid w:val="003728F3"/>
    <w:rsid w:val="003735BC"/>
    <w:rsid w:val="0037496E"/>
    <w:rsid w:val="00383221"/>
    <w:rsid w:val="00385938"/>
    <w:rsid w:val="00386150"/>
    <w:rsid w:val="003874CE"/>
    <w:rsid w:val="00390900"/>
    <w:rsid w:val="003931C0"/>
    <w:rsid w:val="003A7F6C"/>
    <w:rsid w:val="003B4D60"/>
    <w:rsid w:val="003B7E39"/>
    <w:rsid w:val="003C58DC"/>
    <w:rsid w:val="003D1E62"/>
    <w:rsid w:val="003D6FC5"/>
    <w:rsid w:val="003E0B99"/>
    <w:rsid w:val="003E2486"/>
    <w:rsid w:val="003E3208"/>
    <w:rsid w:val="003F0B04"/>
    <w:rsid w:val="0040134E"/>
    <w:rsid w:val="0040779A"/>
    <w:rsid w:val="004334C7"/>
    <w:rsid w:val="004408A6"/>
    <w:rsid w:val="00440A2D"/>
    <w:rsid w:val="00441C3F"/>
    <w:rsid w:val="00444D1A"/>
    <w:rsid w:val="0045186A"/>
    <w:rsid w:val="004564A7"/>
    <w:rsid w:val="00456765"/>
    <w:rsid w:val="00460036"/>
    <w:rsid w:val="004617BF"/>
    <w:rsid w:val="00463658"/>
    <w:rsid w:val="004637A0"/>
    <w:rsid w:val="004722CC"/>
    <w:rsid w:val="00490483"/>
    <w:rsid w:val="004936E4"/>
    <w:rsid w:val="00494E60"/>
    <w:rsid w:val="00497487"/>
    <w:rsid w:val="004A2771"/>
    <w:rsid w:val="004A6189"/>
    <w:rsid w:val="004A7390"/>
    <w:rsid w:val="004B7B76"/>
    <w:rsid w:val="004B7FC1"/>
    <w:rsid w:val="004C239D"/>
    <w:rsid w:val="004C2DCA"/>
    <w:rsid w:val="004C4FBE"/>
    <w:rsid w:val="004C61D2"/>
    <w:rsid w:val="004C75FA"/>
    <w:rsid w:val="004F0C4A"/>
    <w:rsid w:val="004F0F38"/>
    <w:rsid w:val="004F47D6"/>
    <w:rsid w:val="00500337"/>
    <w:rsid w:val="00501921"/>
    <w:rsid w:val="00530354"/>
    <w:rsid w:val="0053625B"/>
    <w:rsid w:val="005434C6"/>
    <w:rsid w:val="00543B39"/>
    <w:rsid w:val="00546154"/>
    <w:rsid w:val="00550096"/>
    <w:rsid w:val="00555280"/>
    <w:rsid w:val="005559DC"/>
    <w:rsid w:val="00557FF9"/>
    <w:rsid w:val="00560344"/>
    <w:rsid w:val="00561432"/>
    <w:rsid w:val="00562327"/>
    <w:rsid w:val="005711D5"/>
    <w:rsid w:val="00574DEA"/>
    <w:rsid w:val="00576378"/>
    <w:rsid w:val="00577130"/>
    <w:rsid w:val="00577945"/>
    <w:rsid w:val="00577E38"/>
    <w:rsid w:val="00583901"/>
    <w:rsid w:val="00585322"/>
    <w:rsid w:val="005857C6"/>
    <w:rsid w:val="00592F6E"/>
    <w:rsid w:val="00593AD1"/>
    <w:rsid w:val="00594800"/>
    <w:rsid w:val="005A68B6"/>
    <w:rsid w:val="005B5A6B"/>
    <w:rsid w:val="005C5570"/>
    <w:rsid w:val="005C5B66"/>
    <w:rsid w:val="005C79A4"/>
    <w:rsid w:val="005D5442"/>
    <w:rsid w:val="005D61DA"/>
    <w:rsid w:val="005E04A1"/>
    <w:rsid w:val="005E58CB"/>
    <w:rsid w:val="00603F32"/>
    <w:rsid w:val="00605AD4"/>
    <w:rsid w:val="006136D7"/>
    <w:rsid w:val="00625A6E"/>
    <w:rsid w:val="00632398"/>
    <w:rsid w:val="006406E6"/>
    <w:rsid w:val="00640FC3"/>
    <w:rsid w:val="00642020"/>
    <w:rsid w:val="006430EE"/>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121"/>
    <w:rsid w:val="0074429B"/>
    <w:rsid w:val="00746469"/>
    <w:rsid w:val="00750907"/>
    <w:rsid w:val="0075687E"/>
    <w:rsid w:val="007615BC"/>
    <w:rsid w:val="00762F05"/>
    <w:rsid w:val="007652FF"/>
    <w:rsid w:val="00770CAC"/>
    <w:rsid w:val="00770EF1"/>
    <w:rsid w:val="00773EF7"/>
    <w:rsid w:val="00774E1D"/>
    <w:rsid w:val="007765D8"/>
    <w:rsid w:val="0077675A"/>
    <w:rsid w:val="00780355"/>
    <w:rsid w:val="007819FD"/>
    <w:rsid w:val="00785717"/>
    <w:rsid w:val="00785721"/>
    <w:rsid w:val="0079120C"/>
    <w:rsid w:val="00793A59"/>
    <w:rsid w:val="007955F5"/>
    <w:rsid w:val="00796663"/>
    <w:rsid w:val="007A46F5"/>
    <w:rsid w:val="007A6505"/>
    <w:rsid w:val="007B6132"/>
    <w:rsid w:val="007B6E9F"/>
    <w:rsid w:val="007C1216"/>
    <w:rsid w:val="007C1AF7"/>
    <w:rsid w:val="007C6B9B"/>
    <w:rsid w:val="007D53B6"/>
    <w:rsid w:val="007D7E1F"/>
    <w:rsid w:val="007F7A26"/>
    <w:rsid w:val="008049CB"/>
    <w:rsid w:val="00805D27"/>
    <w:rsid w:val="00806DCB"/>
    <w:rsid w:val="00821776"/>
    <w:rsid w:val="008321F5"/>
    <w:rsid w:val="00832369"/>
    <w:rsid w:val="00834660"/>
    <w:rsid w:val="00836BC2"/>
    <w:rsid w:val="0084427C"/>
    <w:rsid w:val="0085156D"/>
    <w:rsid w:val="00852B28"/>
    <w:rsid w:val="008554C5"/>
    <w:rsid w:val="0085641B"/>
    <w:rsid w:val="00857136"/>
    <w:rsid w:val="00875A6B"/>
    <w:rsid w:val="00885B11"/>
    <w:rsid w:val="00885CA1"/>
    <w:rsid w:val="00886D15"/>
    <w:rsid w:val="00887DD8"/>
    <w:rsid w:val="00891BA9"/>
    <w:rsid w:val="00896018"/>
    <w:rsid w:val="008960DD"/>
    <w:rsid w:val="0089635C"/>
    <w:rsid w:val="008A2B9D"/>
    <w:rsid w:val="008A3D9F"/>
    <w:rsid w:val="008A5E0B"/>
    <w:rsid w:val="008A6D59"/>
    <w:rsid w:val="008B4B03"/>
    <w:rsid w:val="008B596F"/>
    <w:rsid w:val="008B7EB6"/>
    <w:rsid w:val="008C159F"/>
    <w:rsid w:val="008C1623"/>
    <w:rsid w:val="008C1850"/>
    <w:rsid w:val="008C4D0E"/>
    <w:rsid w:val="008C51A9"/>
    <w:rsid w:val="008E273B"/>
    <w:rsid w:val="008E6BA1"/>
    <w:rsid w:val="008E7846"/>
    <w:rsid w:val="008F02E5"/>
    <w:rsid w:val="008F1CCC"/>
    <w:rsid w:val="008F2967"/>
    <w:rsid w:val="008F6943"/>
    <w:rsid w:val="00902A21"/>
    <w:rsid w:val="0091523F"/>
    <w:rsid w:val="00917F5C"/>
    <w:rsid w:val="00920330"/>
    <w:rsid w:val="009219D7"/>
    <w:rsid w:val="00922D53"/>
    <w:rsid w:val="00923B70"/>
    <w:rsid w:val="00924482"/>
    <w:rsid w:val="00930237"/>
    <w:rsid w:val="00937C17"/>
    <w:rsid w:val="00940A89"/>
    <w:rsid w:val="00941F77"/>
    <w:rsid w:val="00946EA5"/>
    <w:rsid w:val="00960520"/>
    <w:rsid w:val="00963C08"/>
    <w:rsid w:val="009752A5"/>
    <w:rsid w:val="00977534"/>
    <w:rsid w:val="0098585A"/>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3246D"/>
    <w:rsid w:val="00A35A7C"/>
    <w:rsid w:val="00A36FA7"/>
    <w:rsid w:val="00A44DDB"/>
    <w:rsid w:val="00A475B7"/>
    <w:rsid w:val="00A47AF7"/>
    <w:rsid w:val="00A47C3E"/>
    <w:rsid w:val="00A50226"/>
    <w:rsid w:val="00A54F33"/>
    <w:rsid w:val="00A60BAD"/>
    <w:rsid w:val="00A77F87"/>
    <w:rsid w:val="00A80B5B"/>
    <w:rsid w:val="00A84E36"/>
    <w:rsid w:val="00A964D1"/>
    <w:rsid w:val="00AA0ED0"/>
    <w:rsid w:val="00AA3037"/>
    <w:rsid w:val="00AB3CC0"/>
    <w:rsid w:val="00AC2B40"/>
    <w:rsid w:val="00AC2BB2"/>
    <w:rsid w:val="00AC2C3C"/>
    <w:rsid w:val="00AC512D"/>
    <w:rsid w:val="00AD0083"/>
    <w:rsid w:val="00AD3935"/>
    <w:rsid w:val="00AE65EB"/>
    <w:rsid w:val="00AE67A7"/>
    <w:rsid w:val="00AF1D94"/>
    <w:rsid w:val="00AF60C5"/>
    <w:rsid w:val="00B009C6"/>
    <w:rsid w:val="00B01548"/>
    <w:rsid w:val="00B130C5"/>
    <w:rsid w:val="00B13EBD"/>
    <w:rsid w:val="00B21D29"/>
    <w:rsid w:val="00B25034"/>
    <w:rsid w:val="00B33588"/>
    <w:rsid w:val="00B33863"/>
    <w:rsid w:val="00B37D17"/>
    <w:rsid w:val="00B4175E"/>
    <w:rsid w:val="00B41C85"/>
    <w:rsid w:val="00B42267"/>
    <w:rsid w:val="00B452CE"/>
    <w:rsid w:val="00B54C25"/>
    <w:rsid w:val="00B609BD"/>
    <w:rsid w:val="00B74CFE"/>
    <w:rsid w:val="00B76B91"/>
    <w:rsid w:val="00B77EB1"/>
    <w:rsid w:val="00B811C6"/>
    <w:rsid w:val="00B855B0"/>
    <w:rsid w:val="00B92E08"/>
    <w:rsid w:val="00BC2C9D"/>
    <w:rsid w:val="00BC56E2"/>
    <w:rsid w:val="00BC622A"/>
    <w:rsid w:val="00BE0A78"/>
    <w:rsid w:val="00BE79F0"/>
    <w:rsid w:val="00BF046D"/>
    <w:rsid w:val="00BF1190"/>
    <w:rsid w:val="00BF3774"/>
    <w:rsid w:val="00BF5D04"/>
    <w:rsid w:val="00C009AA"/>
    <w:rsid w:val="00C1164D"/>
    <w:rsid w:val="00C16861"/>
    <w:rsid w:val="00C24184"/>
    <w:rsid w:val="00C346AB"/>
    <w:rsid w:val="00C400FE"/>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94CD4"/>
    <w:rsid w:val="00C9747E"/>
    <w:rsid w:val="00CB6BC0"/>
    <w:rsid w:val="00CC1B7C"/>
    <w:rsid w:val="00CC727F"/>
    <w:rsid w:val="00CD2D73"/>
    <w:rsid w:val="00CF15C3"/>
    <w:rsid w:val="00CF2B6F"/>
    <w:rsid w:val="00CF2F3E"/>
    <w:rsid w:val="00CF580A"/>
    <w:rsid w:val="00CF58B6"/>
    <w:rsid w:val="00CF5DAD"/>
    <w:rsid w:val="00CF7B35"/>
    <w:rsid w:val="00D0062D"/>
    <w:rsid w:val="00D017ED"/>
    <w:rsid w:val="00D040D3"/>
    <w:rsid w:val="00D04C65"/>
    <w:rsid w:val="00D153D8"/>
    <w:rsid w:val="00D201D2"/>
    <w:rsid w:val="00D224FE"/>
    <w:rsid w:val="00D23139"/>
    <w:rsid w:val="00D425BB"/>
    <w:rsid w:val="00D453FA"/>
    <w:rsid w:val="00D55B16"/>
    <w:rsid w:val="00D6493E"/>
    <w:rsid w:val="00D7195D"/>
    <w:rsid w:val="00D7301E"/>
    <w:rsid w:val="00D7564B"/>
    <w:rsid w:val="00D83AE1"/>
    <w:rsid w:val="00D855D4"/>
    <w:rsid w:val="00D902C9"/>
    <w:rsid w:val="00D93466"/>
    <w:rsid w:val="00DA1124"/>
    <w:rsid w:val="00DA64CB"/>
    <w:rsid w:val="00DB06B8"/>
    <w:rsid w:val="00DB6124"/>
    <w:rsid w:val="00DB67AA"/>
    <w:rsid w:val="00DB750B"/>
    <w:rsid w:val="00DB75B7"/>
    <w:rsid w:val="00DC0A2F"/>
    <w:rsid w:val="00DC1948"/>
    <w:rsid w:val="00DC6E02"/>
    <w:rsid w:val="00DD28CD"/>
    <w:rsid w:val="00DE02AE"/>
    <w:rsid w:val="00DE39D1"/>
    <w:rsid w:val="00DF1D7F"/>
    <w:rsid w:val="00DF4BE4"/>
    <w:rsid w:val="00E02382"/>
    <w:rsid w:val="00E02FB4"/>
    <w:rsid w:val="00E12237"/>
    <w:rsid w:val="00E12988"/>
    <w:rsid w:val="00E13FC7"/>
    <w:rsid w:val="00E20571"/>
    <w:rsid w:val="00E235F7"/>
    <w:rsid w:val="00E23659"/>
    <w:rsid w:val="00E239D4"/>
    <w:rsid w:val="00E26130"/>
    <w:rsid w:val="00E26332"/>
    <w:rsid w:val="00E33D42"/>
    <w:rsid w:val="00E40B22"/>
    <w:rsid w:val="00E437E9"/>
    <w:rsid w:val="00E44ED1"/>
    <w:rsid w:val="00E45619"/>
    <w:rsid w:val="00E4588F"/>
    <w:rsid w:val="00E46DA3"/>
    <w:rsid w:val="00E51BB1"/>
    <w:rsid w:val="00E55CB0"/>
    <w:rsid w:val="00E624A5"/>
    <w:rsid w:val="00E64BA4"/>
    <w:rsid w:val="00E7344E"/>
    <w:rsid w:val="00E76AF6"/>
    <w:rsid w:val="00E82665"/>
    <w:rsid w:val="00EA1D95"/>
    <w:rsid w:val="00EB0798"/>
    <w:rsid w:val="00EB40AD"/>
    <w:rsid w:val="00EB586E"/>
    <w:rsid w:val="00EB5FC8"/>
    <w:rsid w:val="00EC07C4"/>
    <w:rsid w:val="00EC463D"/>
    <w:rsid w:val="00EC54E7"/>
    <w:rsid w:val="00EC7A85"/>
    <w:rsid w:val="00ED2922"/>
    <w:rsid w:val="00ED3761"/>
    <w:rsid w:val="00ED3CAD"/>
    <w:rsid w:val="00ED4779"/>
    <w:rsid w:val="00ED5A41"/>
    <w:rsid w:val="00EE032E"/>
    <w:rsid w:val="00EE1DE8"/>
    <w:rsid w:val="00EE27C2"/>
    <w:rsid w:val="00EF4BAD"/>
    <w:rsid w:val="00EF59DC"/>
    <w:rsid w:val="00F033EC"/>
    <w:rsid w:val="00F04F68"/>
    <w:rsid w:val="00F06A5E"/>
    <w:rsid w:val="00F12670"/>
    <w:rsid w:val="00F14B27"/>
    <w:rsid w:val="00F3091E"/>
    <w:rsid w:val="00F3148D"/>
    <w:rsid w:val="00F325C5"/>
    <w:rsid w:val="00F32FE0"/>
    <w:rsid w:val="00F35298"/>
    <w:rsid w:val="00F36E3C"/>
    <w:rsid w:val="00F47333"/>
    <w:rsid w:val="00F47E37"/>
    <w:rsid w:val="00F533BF"/>
    <w:rsid w:val="00F53C07"/>
    <w:rsid w:val="00F54B65"/>
    <w:rsid w:val="00F63DBF"/>
    <w:rsid w:val="00F640B6"/>
    <w:rsid w:val="00F66DF2"/>
    <w:rsid w:val="00F7488D"/>
    <w:rsid w:val="00F80E40"/>
    <w:rsid w:val="00F848D9"/>
    <w:rsid w:val="00FA2527"/>
    <w:rsid w:val="00FA5069"/>
    <w:rsid w:val="00FA5B82"/>
    <w:rsid w:val="00FA639E"/>
    <w:rsid w:val="00FA6BE1"/>
    <w:rsid w:val="00FB497D"/>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A7452"/>
  <w15:docId w15:val="{254F23B5-1002-49C4-8C3E-6C732440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3901"/>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9"/>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link w:val="CaptionChar"/>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uiPriority w:val="9"/>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5687E"/>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A54F33"/>
    <w:pPr>
      <w:adjustRightInd w:val="0"/>
      <w:snapToGrid w:val="0"/>
      <w:spacing w:before="180" w:after="180"/>
      <w:ind w:left="720"/>
      <w:contextualSpacing/>
    </w:pPr>
    <w:rPr>
      <w:rFonts w:eastAsia="MS Mincho"/>
      <w:szCs w:val="20"/>
      <w:lang w:eastAsia="ja-JP"/>
    </w:rPr>
  </w:style>
  <w:style w:type="paragraph" w:styleId="BodyText">
    <w:name w:val="Body Text"/>
    <w:basedOn w:val="Normal"/>
    <w:link w:val="BodyTextChar"/>
    <w:uiPriority w:val="1"/>
    <w:qFormat/>
    <w:rsid w:val="00E76AF6"/>
    <w:pPr>
      <w:widowControl w:val="0"/>
      <w:autoSpaceDE w:val="0"/>
      <w:autoSpaceDN w:val="0"/>
      <w:spacing w:before="0" w:after="0" w:line="240" w:lineRule="auto"/>
    </w:pPr>
    <w:rPr>
      <w:rFonts w:cs="Cambria"/>
      <w:lang w:eastAsia="en-AU" w:bidi="en-AU"/>
    </w:rPr>
  </w:style>
  <w:style w:type="character" w:customStyle="1" w:styleId="BodyTextChar">
    <w:name w:val="Body Text Char"/>
    <w:basedOn w:val="DefaultParagraphFont"/>
    <w:link w:val="BodyText"/>
    <w:uiPriority w:val="1"/>
    <w:rsid w:val="00E76AF6"/>
    <w:rPr>
      <w:rFonts w:ascii="Cambria" w:eastAsia="Cambria" w:hAnsi="Cambria" w:cs="Cambria"/>
      <w:lang w:eastAsia="en-AU" w:bidi="en-AU"/>
    </w:rPr>
  </w:style>
  <w:style w:type="character" w:customStyle="1" w:styleId="CaptionChar">
    <w:name w:val="Caption Char"/>
    <w:link w:val="Caption"/>
    <w:rsid w:val="00E76AF6"/>
    <w:rPr>
      <w:rFonts w:ascii="Cambria" w:eastAsia="Cambria" w:hAnsi="Cambria" w:cs="Times New Roman"/>
      <w:sz w:val="19"/>
      <w:szCs w:val="18"/>
    </w:rPr>
  </w:style>
  <w:style w:type="paragraph" w:customStyle="1" w:styleId="Default">
    <w:name w:val="Default"/>
    <w:rsid w:val="00E76AF6"/>
    <w:pPr>
      <w:autoSpaceDE w:val="0"/>
      <w:autoSpaceDN w:val="0"/>
      <w:adjustRightInd w:val="0"/>
      <w:spacing w:after="0" w:line="240" w:lineRule="auto"/>
    </w:pPr>
    <w:rPr>
      <w:rFonts w:ascii="Cambria" w:hAnsi="Cambria" w:cs="Cambria"/>
      <w:color w:val="000000"/>
      <w:sz w:val="24"/>
      <w:szCs w:val="24"/>
    </w:rPr>
  </w:style>
  <w:style w:type="paragraph" w:customStyle="1" w:styleId="Bullet2">
    <w:name w:val="Bullet 2"/>
    <w:basedOn w:val="Normal"/>
    <w:rsid w:val="008049CB"/>
    <w:pPr>
      <w:numPr>
        <w:numId w:val="12"/>
      </w:numPr>
      <w:spacing w:after="0" w:line="240" w:lineRule="auto"/>
    </w:pPr>
    <w:rPr>
      <w:rFonts w:eastAsia="Times New Roman"/>
      <w:kern w:val="24"/>
      <w:szCs w:val="24"/>
      <w:lang w:eastAsia="en-AU"/>
    </w:rPr>
  </w:style>
  <w:style w:type="paragraph" w:customStyle="1" w:styleId="DrugEvalHeading2">
    <w:name w:val="Drug Eval Heading 2"/>
    <w:basedOn w:val="Heading3"/>
    <w:next w:val="Normal"/>
    <w:rsid w:val="008049CB"/>
    <w:pPr>
      <w:numPr>
        <w:ilvl w:val="1"/>
        <w:numId w:val="12"/>
      </w:numPr>
      <w:tabs>
        <w:tab w:val="clear" w:pos="1724"/>
        <w:tab w:val="num" w:pos="360"/>
      </w:tabs>
      <w:adjustRightInd w:val="0"/>
      <w:snapToGrid w:val="0"/>
      <w:spacing w:before="400" w:after="120"/>
      <w:ind w:left="0" w:firstLine="0"/>
    </w:pPr>
    <w:rPr>
      <w:rFonts w:eastAsia="Cambria"/>
      <w:lang w:eastAsia="ja-JP"/>
    </w:rPr>
  </w:style>
  <w:style w:type="paragraph" w:customStyle="1" w:styleId="DrugEvalHeading4">
    <w:name w:val="Drug Eval Heading 4"/>
    <w:basedOn w:val="Heading4"/>
    <w:next w:val="Normal"/>
    <w:rsid w:val="00FA6BE1"/>
    <w:pPr>
      <w:numPr>
        <w:ilvl w:val="3"/>
        <w:numId w:val="17"/>
      </w:numPr>
      <w:tabs>
        <w:tab w:val="clear" w:pos="1418"/>
        <w:tab w:val="num" w:pos="360"/>
      </w:tabs>
      <w:spacing w:before="0" w:after="120" w:line="240" w:lineRule="auto"/>
      <w:ind w:left="0" w:firstLine="0"/>
      <w:outlineLvl w:val="4"/>
    </w:pPr>
    <w:rPr>
      <w:rFonts w:eastAsia="MS Mincho"/>
      <w:lang w:eastAsia="ja-JP"/>
    </w:rPr>
  </w:style>
  <w:style w:type="paragraph" w:customStyle="1" w:styleId="DrugEvalHeading3">
    <w:name w:val="Drug Eval Heading 3"/>
    <w:basedOn w:val="DrugEvalHeading4"/>
    <w:rsid w:val="00FA6BE1"/>
    <w:pPr>
      <w:numPr>
        <w:ilvl w:val="2"/>
      </w:numPr>
      <w:tabs>
        <w:tab w:val="clear" w:pos="1134"/>
        <w:tab w:val="num" w:pos="360"/>
      </w:tabs>
      <w:ind w:left="0" w:firstLine="0"/>
      <w:outlineLvl w:val="2"/>
    </w:pPr>
    <w:rPr>
      <w:sz w:val="24"/>
      <w:szCs w:val="24"/>
    </w:rPr>
  </w:style>
  <w:style w:type="paragraph" w:customStyle="1" w:styleId="DrugEvalHeading1">
    <w:name w:val="Drug Eval Heading 1"/>
    <w:basedOn w:val="Heading2"/>
    <w:next w:val="Normal"/>
    <w:rsid w:val="00FA6BE1"/>
    <w:pPr>
      <w:numPr>
        <w:numId w:val="17"/>
      </w:numPr>
      <w:tabs>
        <w:tab w:val="clear" w:pos="567"/>
        <w:tab w:val="num" w:pos="360"/>
      </w:tabs>
      <w:adjustRightInd w:val="0"/>
      <w:snapToGrid w:val="0"/>
      <w:ind w:left="0" w:firstLine="0"/>
    </w:pPr>
    <w:rPr>
      <w:rFonts w:eastAsia="Cambr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8414">
      <w:bodyDiv w:val="1"/>
      <w:marLeft w:val="0"/>
      <w:marRight w:val="0"/>
      <w:marTop w:val="0"/>
      <w:marBottom w:val="0"/>
      <w:divBdr>
        <w:top w:val="none" w:sz="0" w:space="0" w:color="auto"/>
        <w:left w:val="none" w:sz="0" w:space="0" w:color="auto"/>
        <w:bottom w:val="none" w:sz="0" w:space="0" w:color="auto"/>
        <w:right w:val="none" w:sz="0" w:space="0" w:color="auto"/>
      </w:divBdr>
    </w:div>
    <w:div w:id="222451951">
      <w:bodyDiv w:val="1"/>
      <w:marLeft w:val="0"/>
      <w:marRight w:val="0"/>
      <w:marTop w:val="0"/>
      <w:marBottom w:val="0"/>
      <w:divBdr>
        <w:top w:val="none" w:sz="0" w:space="0" w:color="auto"/>
        <w:left w:val="none" w:sz="0" w:space="0" w:color="auto"/>
        <w:bottom w:val="none" w:sz="0" w:space="0" w:color="auto"/>
        <w:right w:val="none" w:sz="0" w:space="0" w:color="auto"/>
      </w:divBdr>
    </w:div>
    <w:div w:id="1138910716">
      <w:bodyDiv w:val="1"/>
      <w:marLeft w:val="0"/>
      <w:marRight w:val="0"/>
      <w:marTop w:val="0"/>
      <w:marBottom w:val="0"/>
      <w:divBdr>
        <w:top w:val="none" w:sz="0" w:space="0" w:color="auto"/>
        <w:left w:val="none" w:sz="0" w:space="0" w:color="auto"/>
        <w:bottom w:val="none" w:sz="0" w:space="0" w:color="auto"/>
        <w:right w:val="none" w:sz="0" w:space="0" w:color="auto"/>
      </w:divBdr>
    </w:div>
    <w:div w:id="1539707649">
      <w:bodyDiv w:val="1"/>
      <w:marLeft w:val="0"/>
      <w:marRight w:val="0"/>
      <w:marTop w:val="0"/>
      <w:marBottom w:val="0"/>
      <w:divBdr>
        <w:top w:val="none" w:sz="0" w:space="0" w:color="auto"/>
        <w:left w:val="none" w:sz="0" w:space="0" w:color="auto"/>
        <w:bottom w:val="none" w:sz="0" w:space="0" w:color="auto"/>
        <w:right w:val="none" w:sz="0" w:space="0" w:color="auto"/>
      </w:divBdr>
    </w:div>
    <w:div w:id="18817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4.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tga.gov.au/product-information-pi" TargetMode="External"/><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header" Target="header6.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hyperlink" Target="mailto:info@tga.gov.au" TargetMode="External"/><Relationship Id="rId35"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7089E-12AC-43F5-B844-C93AC921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33</Pages>
  <Words>10070</Words>
  <Characters>58612</Characters>
  <Application>Microsoft Office Word</Application>
  <DocSecurity>0</DocSecurity>
  <Lines>1172</Lines>
  <Paragraphs>654</Paragraphs>
  <ScaleCrop>false</ScaleCrop>
  <HeadingPairs>
    <vt:vector size="2" baseType="variant">
      <vt:variant>
        <vt:lpstr>Title</vt:lpstr>
      </vt:variant>
      <vt:variant>
        <vt:i4>1</vt:i4>
      </vt:variant>
    </vt:vector>
  </HeadingPairs>
  <TitlesOfParts>
    <vt:vector size="1" baseType="lpstr">
      <vt:lpstr>Australian public assessment report for Clostridium botulinum type A toxin-haemagglutinin complex</vt:lpstr>
    </vt:vector>
  </TitlesOfParts>
  <Company>Department of Health Therapeutic Goods Administration</Company>
  <LinksUpToDate>false</LinksUpToDate>
  <CharactersWithSpaces>68028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Clostridium botulinum type A toxin-haemagglutinin complex</dc:title>
  <dc:subject>prescription medicines</dc:subject>
  <dc:creator>Therapeutic Goods Administration</dc:creator>
  <cp:keywords/>
  <cp:lastPrinted>2019-08-14T04:30:00Z</cp:lastPrinted>
  <dcterms:created xsi:type="dcterms:W3CDTF">2021-05-03T02:26:00Z</dcterms:created>
  <dcterms:modified xsi:type="dcterms:W3CDTF">2021-05-03T03:53:00Z</dcterms:modified>
  <cp:category/>
</cp:coreProperties>
</file>