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67C03C4B" w14:textId="77777777" w:rsidTr="00BF1190">
        <w:trPr>
          <w:trHeight w:val="1863"/>
        </w:trPr>
        <w:tc>
          <w:tcPr>
            <w:tcW w:w="3652" w:type="dxa"/>
            <w:tcBorders>
              <w:top w:val="nil"/>
              <w:left w:val="nil"/>
              <w:bottom w:val="nil"/>
              <w:right w:val="nil"/>
            </w:tcBorders>
          </w:tcPr>
          <w:p w14:paraId="1589EFC6" w14:textId="68C39275" w:rsidR="008E7846" w:rsidRPr="003037A3" w:rsidRDefault="000635A6" w:rsidP="003037A3">
            <w:pPr>
              <w:pStyle w:val="Date"/>
              <w:framePr w:hSpace="0" w:wrap="auto" w:vAnchor="margin" w:hAnchor="text" w:yAlign="inline"/>
              <w:suppressOverlap w:val="0"/>
            </w:pPr>
            <w:r w:rsidRPr="003037A3">
              <w:t xml:space="preserve">June </w:t>
            </w:r>
            <w:r w:rsidR="001A773A" w:rsidRPr="003037A3">
              <w:t>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30D98219" w14:textId="77777777" w:rsidTr="0032583B">
        <w:trPr>
          <w:trHeight w:val="868"/>
        </w:trPr>
        <w:tc>
          <w:tcPr>
            <w:tcW w:w="9079" w:type="dxa"/>
          </w:tcPr>
          <w:p w14:paraId="54D60062" w14:textId="77777777" w:rsidR="0032583B" w:rsidRPr="00A964D1" w:rsidRDefault="0032583B" w:rsidP="003037A3">
            <w:pPr>
              <w:pStyle w:val="Title"/>
              <w:framePr w:hSpace="0" w:wrap="auto" w:vAnchor="margin" w:yAlign="inline"/>
            </w:pPr>
            <w:r w:rsidRPr="00A964D1">
              <w:t xml:space="preserve">Australian </w:t>
            </w:r>
            <w:r w:rsidRPr="003037A3">
              <w:t>Public</w:t>
            </w:r>
            <w:r w:rsidRPr="00A964D1">
              <w:t xml:space="preserve"> Assessment Report for </w:t>
            </w:r>
            <w:r w:rsidR="001A773A" w:rsidRPr="001A773A">
              <w:t>Cladribine</w:t>
            </w:r>
          </w:p>
        </w:tc>
      </w:tr>
      <w:tr w:rsidR="0032583B" w:rsidRPr="00B64760" w14:paraId="54745A50" w14:textId="77777777" w:rsidTr="0032583B">
        <w:tc>
          <w:tcPr>
            <w:tcW w:w="9079" w:type="dxa"/>
          </w:tcPr>
          <w:p w14:paraId="2360D266" w14:textId="31D67D5A" w:rsidR="0032583B" w:rsidRPr="008E7846" w:rsidRDefault="0032583B" w:rsidP="003037A3">
            <w:pPr>
              <w:pStyle w:val="Subtitle"/>
              <w:framePr w:hSpace="0" w:wrap="auto" w:vAnchor="margin" w:yAlign="inline"/>
            </w:pPr>
            <w:r w:rsidRPr="008E7846">
              <w:t xml:space="preserve">Proprietary Product </w:t>
            </w:r>
            <w:r w:rsidRPr="003037A3">
              <w:t>Name</w:t>
            </w:r>
            <w:r w:rsidRPr="008E7846">
              <w:t xml:space="preserve">: </w:t>
            </w:r>
            <w:r w:rsidR="001A773A">
              <w:t>M</w:t>
            </w:r>
            <w:r w:rsidR="00FA103D">
              <w:t>avenclad</w:t>
            </w:r>
          </w:p>
        </w:tc>
      </w:tr>
      <w:tr w:rsidR="0032583B" w:rsidRPr="00B64760" w14:paraId="7D4788C9" w14:textId="77777777" w:rsidTr="0032583B">
        <w:trPr>
          <w:trHeight w:val="486"/>
        </w:trPr>
        <w:tc>
          <w:tcPr>
            <w:tcW w:w="9079" w:type="dxa"/>
          </w:tcPr>
          <w:p w14:paraId="0EB97EF0" w14:textId="0C93C049" w:rsidR="0032583B" w:rsidRPr="008E7846" w:rsidRDefault="0032583B" w:rsidP="003037A3">
            <w:pPr>
              <w:pStyle w:val="Subtitle"/>
              <w:framePr w:hSpace="0" w:wrap="auto" w:vAnchor="margin" w:yAlign="inline"/>
            </w:pPr>
            <w:r w:rsidRPr="008E7846">
              <w:t xml:space="preserve">Sponsor: </w:t>
            </w:r>
            <w:r w:rsidR="001A773A" w:rsidRPr="001A773A">
              <w:t>Merck Serono Australia Pty Ltd</w:t>
            </w:r>
          </w:p>
        </w:tc>
      </w:tr>
    </w:tbl>
    <w:p w14:paraId="3C5791CA" w14:textId="77777777" w:rsidR="008E7846" w:rsidRPr="0085156D" w:rsidRDefault="008E7846" w:rsidP="0085156D">
      <w:r w:rsidRPr="0085156D">
        <w:br w:type="page"/>
      </w:r>
    </w:p>
    <w:p w14:paraId="0680B526" w14:textId="77777777" w:rsidR="008E7846" w:rsidRPr="001F6CBA" w:rsidRDefault="008E7846" w:rsidP="003037A3">
      <w:pPr>
        <w:pStyle w:val="NonTOCHeading2"/>
      </w:pPr>
      <w:r w:rsidRPr="001F6CBA">
        <w:lastRenderedPageBreak/>
        <w:t xml:space="preserve">About </w:t>
      </w:r>
      <w:r w:rsidRPr="003037A3">
        <w:t>the</w:t>
      </w:r>
      <w:r w:rsidRPr="001F6CBA">
        <w:t xml:space="preserve"> Therapeutic Goods Administration (TGA)</w:t>
      </w:r>
    </w:p>
    <w:p w14:paraId="12B22037"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568A944D"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1D684244"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43C2DA95"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25486298"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14:paraId="64FB1A3D" w14:textId="77777777" w:rsidR="008E7846" w:rsidRDefault="008E7846" w:rsidP="00875A6B">
      <w:pPr>
        <w:pStyle w:val="NonTOCHeading2"/>
      </w:pPr>
      <w:r>
        <w:t>About AusPARs</w:t>
      </w:r>
    </w:p>
    <w:p w14:paraId="102A78C5"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4867D28A" w14:textId="77777777" w:rsidR="008E7846" w:rsidRDefault="008E7846" w:rsidP="008E7846">
      <w:pPr>
        <w:pStyle w:val="ListBullet"/>
        <w:numPr>
          <w:ilvl w:val="0"/>
          <w:numId w:val="3"/>
        </w:numPr>
        <w:ind w:left="357" w:hanging="357"/>
      </w:pPr>
      <w:r>
        <w:t>AusPARs are prepared and published by the TGA.</w:t>
      </w:r>
    </w:p>
    <w:p w14:paraId="5204E215"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20621353"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6D8C2CDE"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35A2390F" w14:textId="77777777" w:rsidR="00924482" w:rsidRPr="00DF1D7F" w:rsidRDefault="00924482" w:rsidP="00F54B65">
      <w:pPr>
        <w:pStyle w:val="LegalSubheading"/>
        <w:spacing w:before="3120"/>
      </w:pPr>
      <w:r w:rsidRPr="00DF1D7F">
        <w:t>Copyright</w:t>
      </w:r>
    </w:p>
    <w:p w14:paraId="2B73CA65" w14:textId="159AF700" w:rsidR="00924482" w:rsidRDefault="00924482" w:rsidP="00924482">
      <w:pPr>
        <w:pStyle w:val="LegalCopy"/>
      </w:pPr>
      <w:r w:rsidRPr="00191B3B">
        <w:rPr>
          <w:rFonts w:cs="Arial"/>
          <w:lang w:val="en-GB"/>
        </w:rPr>
        <w:t>© Comm</w:t>
      </w:r>
      <w:r>
        <w:rPr>
          <w:rFonts w:cs="Arial"/>
          <w:lang w:val="en-GB"/>
        </w:rPr>
        <w:t>onwealth of Australia 201</w:t>
      </w:r>
      <w:r w:rsidR="003037A3">
        <w:rPr>
          <w:rFonts w:cs="Arial"/>
          <w:lang w:val="en-GB"/>
        </w:rPr>
        <w:t>8</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14:paraId="14284548"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4"/>
        </w:rPr>
      </w:sdtEndPr>
      <w:sdtContent>
        <w:p w14:paraId="67F6A4A9" w14:textId="77777777" w:rsidR="0089635C" w:rsidRPr="008F78AF" w:rsidRDefault="0089635C" w:rsidP="0010788A">
          <w:pPr>
            <w:pStyle w:val="Contents"/>
            <w:rPr>
              <w:sz w:val="44"/>
            </w:rPr>
          </w:pPr>
          <w:r w:rsidRPr="008F78AF">
            <w:rPr>
              <w:sz w:val="44"/>
            </w:rPr>
            <w:t>Contents</w:t>
          </w:r>
        </w:p>
        <w:bookmarkStart w:id="2" w:name="_GoBack"/>
        <w:bookmarkEnd w:id="2"/>
        <w:p w14:paraId="764169CA" w14:textId="77777777" w:rsidR="00F87F57" w:rsidRDefault="00DB6124">
          <w:pPr>
            <w:pStyle w:val="TOC2"/>
            <w:rPr>
              <w:rFonts w:asciiTheme="minorHAnsi" w:eastAsiaTheme="minorEastAsia" w:hAnsiTheme="minorHAnsi" w:cstheme="minorBidi"/>
              <w:b w:val="0"/>
              <w:noProof/>
              <w:sz w:val="22"/>
              <w:lang w:eastAsia="en-AU"/>
            </w:rPr>
          </w:pPr>
          <w:r w:rsidRPr="008F78AF">
            <w:rPr>
              <w:sz w:val="24"/>
            </w:rPr>
            <w:fldChar w:fldCharType="begin"/>
          </w:r>
          <w:r w:rsidR="0089635C" w:rsidRPr="008F78AF">
            <w:rPr>
              <w:sz w:val="24"/>
            </w:rPr>
            <w:instrText xml:space="preserve"> TOC \o "1-3" \h \z \u </w:instrText>
          </w:r>
          <w:r w:rsidRPr="008F78AF">
            <w:rPr>
              <w:sz w:val="24"/>
            </w:rPr>
            <w:fldChar w:fldCharType="separate"/>
          </w:r>
          <w:hyperlink w:anchor="_Toc519257418" w:history="1">
            <w:r w:rsidR="00F87F57" w:rsidRPr="00AD2F32">
              <w:rPr>
                <w:rStyle w:val="Hyperlink"/>
                <w:noProof/>
              </w:rPr>
              <w:t>Common abbreviations</w:t>
            </w:r>
            <w:r w:rsidR="00F87F57">
              <w:rPr>
                <w:noProof/>
                <w:webHidden/>
              </w:rPr>
              <w:tab/>
            </w:r>
            <w:r w:rsidR="00F87F57">
              <w:rPr>
                <w:noProof/>
                <w:webHidden/>
              </w:rPr>
              <w:fldChar w:fldCharType="begin"/>
            </w:r>
            <w:r w:rsidR="00F87F57">
              <w:rPr>
                <w:noProof/>
                <w:webHidden/>
              </w:rPr>
              <w:instrText xml:space="preserve"> PAGEREF _Toc519257418 \h </w:instrText>
            </w:r>
            <w:r w:rsidR="00F87F57">
              <w:rPr>
                <w:noProof/>
                <w:webHidden/>
              </w:rPr>
            </w:r>
            <w:r w:rsidR="00F87F57">
              <w:rPr>
                <w:noProof/>
                <w:webHidden/>
              </w:rPr>
              <w:fldChar w:fldCharType="separate"/>
            </w:r>
            <w:r w:rsidR="00F87F57">
              <w:rPr>
                <w:noProof/>
                <w:webHidden/>
              </w:rPr>
              <w:t>5</w:t>
            </w:r>
            <w:r w:rsidR="00F87F57">
              <w:rPr>
                <w:noProof/>
                <w:webHidden/>
              </w:rPr>
              <w:fldChar w:fldCharType="end"/>
            </w:r>
          </w:hyperlink>
        </w:p>
        <w:p w14:paraId="4684571B" w14:textId="77777777" w:rsidR="00F87F57" w:rsidRDefault="00F87F57">
          <w:pPr>
            <w:pStyle w:val="TOC2"/>
            <w:rPr>
              <w:rFonts w:asciiTheme="minorHAnsi" w:eastAsiaTheme="minorEastAsia" w:hAnsiTheme="minorHAnsi" w:cstheme="minorBidi"/>
              <w:b w:val="0"/>
              <w:noProof/>
              <w:sz w:val="22"/>
              <w:lang w:eastAsia="en-AU"/>
            </w:rPr>
          </w:pPr>
          <w:hyperlink w:anchor="_Toc519257419" w:history="1">
            <w:r w:rsidRPr="00AD2F32">
              <w:rPr>
                <w:rStyle w:val="Hyperlink"/>
                <w:noProof/>
              </w:rPr>
              <w:t>I. Introduction to product submission</w:t>
            </w:r>
            <w:r>
              <w:rPr>
                <w:noProof/>
                <w:webHidden/>
              </w:rPr>
              <w:tab/>
            </w:r>
            <w:r>
              <w:rPr>
                <w:noProof/>
                <w:webHidden/>
              </w:rPr>
              <w:fldChar w:fldCharType="begin"/>
            </w:r>
            <w:r>
              <w:rPr>
                <w:noProof/>
                <w:webHidden/>
              </w:rPr>
              <w:instrText xml:space="preserve"> PAGEREF _Toc519257419 \h </w:instrText>
            </w:r>
            <w:r>
              <w:rPr>
                <w:noProof/>
                <w:webHidden/>
              </w:rPr>
            </w:r>
            <w:r>
              <w:rPr>
                <w:noProof/>
                <w:webHidden/>
              </w:rPr>
              <w:fldChar w:fldCharType="separate"/>
            </w:r>
            <w:r>
              <w:rPr>
                <w:noProof/>
                <w:webHidden/>
              </w:rPr>
              <w:t>10</w:t>
            </w:r>
            <w:r>
              <w:rPr>
                <w:noProof/>
                <w:webHidden/>
              </w:rPr>
              <w:fldChar w:fldCharType="end"/>
            </w:r>
          </w:hyperlink>
        </w:p>
        <w:p w14:paraId="5E0E6FDD" w14:textId="77777777" w:rsidR="00F87F57" w:rsidRDefault="00F87F57">
          <w:pPr>
            <w:pStyle w:val="TOC3"/>
            <w:rPr>
              <w:rFonts w:asciiTheme="minorHAnsi" w:eastAsiaTheme="minorEastAsia" w:hAnsiTheme="minorHAnsi" w:cstheme="minorBidi"/>
              <w:noProof/>
              <w:lang w:eastAsia="en-AU"/>
            </w:rPr>
          </w:pPr>
          <w:hyperlink w:anchor="_Toc519257420" w:history="1">
            <w:r w:rsidRPr="00AD2F32">
              <w:rPr>
                <w:rStyle w:val="Hyperlink"/>
                <w:noProof/>
                <w:lang w:eastAsia="en-AU"/>
              </w:rPr>
              <w:t>Submission details</w:t>
            </w:r>
            <w:r>
              <w:rPr>
                <w:noProof/>
                <w:webHidden/>
              </w:rPr>
              <w:tab/>
            </w:r>
            <w:r>
              <w:rPr>
                <w:noProof/>
                <w:webHidden/>
              </w:rPr>
              <w:fldChar w:fldCharType="begin"/>
            </w:r>
            <w:r>
              <w:rPr>
                <w:noProof/>
                <w:webHidden/>
              </w:rPr>
              <w:instrText xml:space="preserve"> PAGEREF _Toc519257420 \h </w:instrText>
            </w:r>
            <w:r>
              <w:rPr>
                <w:noProof/>
                <w:webHidden/>
              </w:rPr>
            </w:r>
            <w:r>
              <w:rPr>
                <w:noProof/>
                <w:webHidden/>
              </w:rPr>
              <w:fldChar w:fldCharType="separate"/>
            </w:r>
            <w:r>
              <w:rPr>
                <w:noProof/>
                <w:webHidden/>
              </w:rPr>
              <w:t>10</w:t>
            </w:r>
            <w:r>
              <w:rPr>
                <w:noProof/>
                <w:webHidden/>
              </w:rPr>
              <w:fldChar w:fldCharType="end"/>
            </w:r>
          </w:hyperlink>
        </w:p>
        <w:p w14:paraId="6AE64EF1" w14:textId="77777777" w:rsidR="00F87F57" w:rsidRDefault="00F87F57">
          <w:pPr>
            <w:pStyle w:val="TOC3"/>
            <w:rPr>
              <w:rFonts w:asciiTheme="minorHAnsi" w:eastAsiaTheme="minorEastAsia" w:hAnsiTheme="minorHAnsi" w:cstheme="minorBidi"/>
              <w:noProof/>
              <w:lang w:eastAsia="en-AU"/>
            </w:rPr>
          </w:pPr>
          <w:hyperlink w:anchor="_Toc519257421" w:history="1">
            <w:r w:rsidRPr="00AD2F32">
              <w:rPr>
                <w:rStyle w:val="Hyperlink"/>
                <w:noProof/>
              </w:rPr>
              <w:t>Product background</w:t>
            </w:r>
            <w:r>
              <w:rPr>
                <w:noProof/>
                <w:webHidden/>
              </w:rPr>
              <w:tab/>
            </w:r>
            <w:r>
              <w:rPr>
                <w:noProof/>
                <w:webHidden/>
              </w:rPr>
              <w:fldChar w:fldCharType="begin"/>
            </w:r>
            <w:r>
              <w:rPr>
                <w:noProof/>
                <w:webHidden/>
              </w:rPr>
              <w:instrText xml:space="preserve"> PAGEREF _Toc519257421 \h </w:instrText>
            </w:r>
            <w:r>
              <w:rPr>
                <w:noProof/>
                <w:webHidden/>
              </w:rPr>
            </w:r>
            <w:r>
              <w:rPr>
                <w:noProof/>
                <w:webHidden/>
              </w:rPr>
              <w:fldChar w:fldCharType="separate"/>
            </w:r>
            <w:r>
              <w:rPr>
                <w:noProof/>
                <w:webHidden/>
              </w:rPr>
              <w:t>11</w:t>
            </w:r>
            <w:r>
              <w:rPr>
                <w:noProof/>
                <w:webHidden/>
              </w:rPr>
              <w:fldChar w:fldCharType="end"/>
            </w:r>
          </w:hyperlink>
        </w:p>
        <w:p w14:paraId="206F75B4" w14:textId="77777777" w:rsidR="00F87F57" w:rsidRDefault="00F87F57">
          <w:pPr>
            <w:pStyle w:val="TOC3"/>
            <w:rPr>
              <w:rFonts w:asciiTheme="minorHAnsi" w:eastAsiaTheme="minorEastAsia" w:hAnsiTheme="minorHAnsi" w:cstheme="minorBidi"/>
              <w:noProof/>
              <w:lang w:eastAsia="en-AU"/>
            </w:rPr>
          </w:pPr>
          <w:hyperlink w:anchor="_Toc519257422" w:history="1">
            <w:r w:rsidRPr="00AD2F32">
              <w:rPr>
                <w:rStyle w:val="Hyperlink"/>
                <w:noProof/>
              </w:rPr>
              <w:t>Regulatory status</w:t>
            </w:r>
            <w:r>
              <w:rPr>
                <w:noProof/>
                <w:webHidden/>
              </w:rPr>
              <w:tab/>
            </w:r>
            <w:r>
              <w:rPr>
                <w:noProof/>
                <w:webHidden/>
              </w:rPr>
              <w:fldChar w:fldCharType="begin"/>
            </w:r>
            <w:r>
              <w:rPr>
                <w:noProof/>
                <w:webHidden/>
              </w:rPr>
              <w:instrText xml:space="preserve"> PAGEREF _Toc519257422 \h </w:instrText>
            </w:r>
            <w:r>
              <w:rPr>
                <w:noProof/>
                <w:webHidden/>
              </w:rPr>
            </w:r>
            <w:r>
              <w:rPr>
                <w:noProof/>
                <w:webHidden/>
              </w:rPr>
              <w:fldChar w:fldCharType="separate"/>
            </w:r>
            <w:r>
              <w:rPr>
                <w:noProof/>
                <w:webHidden/>
              </w:rPr>
              <w:t>14</w:t>
            </w:r>
            <w:r>
              <w:rPr>
                <w:noProof/>
                <w:webHidden/>
              </w:rPr>
              <w:fldChar w:fldCharType="end"/>
            </w:r>
          </w:hyperlink>
        </w:p>
        <w:p w14:paraId="6F03417F" w14:textId="77777777" w:rsidR="00F87F57" w:rsidRDefault="00F87F57">
          <w:pPr>
            <w:pStyle w:val="TOC3"/>
            <w:rPr>
              <w:rFonts w:asciiTheme="minorHAnsi" w:eastAsiaTheme="minorEastAsia" w:hAnsiTheme="minorHAnsi" w:cstheme="minorBidi"/>
              <w:noProof/>
              <w:lang w:eastAsia="en-AU"/>
            </w:rPr>
          </w:pPr>
          <w:hyperlink w:anchor="_Toc519257423" w:history="1">
            <w:r w:rsidRPr="00AD2F32">
              <w:rPr>
                <w:rStyle w:val="Hyperlink"/>
                <w:noProof/>
              </w:rPr>
              <w:t>Product Information</w:t>
            </w:r>
            <w:r>
              <w:rPr>
                <w:noProof/>
                <w:webHidden/>
              </w:rPr>
              <w:tab/>
            </w:r>
            <w:r>
              <w:rPr>
                <w:noProof/>
                <w:webHidden/>
              </w:rPr>
              <w:fldChar w:fldCharType="begin"/>
            </w:r>
            <w:r>
              <w:rPr>
                <w:noProof/>
                <w:webHidden/>
              </w:rPr>
              <w:instrText xml:space="preserve"> PAGEREF _Toc519257423 \h </w:instrText>
            </w:r>
            <w:r>
              <w:rPr>
                <w:noProof/>
                <w:webHidden/>
              </w:rPr>
            </w:r>
            <w:r>
              <w:rPr>
                <w:noProof/>
                <w:webHidden/>
              </w:rPr>
              <w:fldChar w:fldCharType="separate"/>
            </w:r>
            <w:r>
              <w:rPr>
                <w:noProof/>
                <w:webHidden/>
              </w:rPr>
              <w:t>15</w:t>
            </w:r>
            <w:r>
              <w:rPr>
                <w:noProof/>
                <w:webHidden/>
              </w:rPr>
              <w:fldChar w:fldCharType="end"/>
            </w:r>
          </w:hyperlink>
        </w:p>
        <w:p w14:paraId="6AF48D6F" w14:textId="77777777" w:rsidR="00F87F57" w:rsidRDefault="00F87F57">
          <w:pPr>
            <w:pStyle w:val="TOC2"/>
            <w:rPr>
              <w:rFonts w:asciiTheme="minorHAnsi" w:eastAsiaTheme="minorEastAsia" w:hAnsiTheme="minorHAnsi" w:cstheme="minorBidi"/>
              <w:b w:val="0"/>
              <w:noProof/>
              <w:sz w:val="22"/>
              <w:lang w:eastAsia="en-AU"/>
            </w:rPr>
          </w:pPr>
          <w:hyperlink w:anchor="_Toc519257424" w:history="1">
            <w:r w:rsidRPr="00AD2F32">
              <w:rPr>
                <w:rStyle w:val="Hyperlink"/>
                <w:noProof/>
              </w:rPr>
              <w:t>II. Registration timeline</w:t>
            </w:r>
            <w:r>
              <w:rPr>
                <w:noProof/>
                <w:webHidden/>
              </w:rPr>
              <w:tab/>
            </w:r>
            <w:r>
              <w:rPr>
                <w:noProof/>
                <w:webHidden/>
              </w:rPr>
              <w:fldChar w:fldCharType="begin"/>
            </w:r>
            <w:r>
              <w:rPr>
                <w:noProof/>
                <w:webHidden/>
              </w:rPr>
              <w:instrText xml:space="preserve"> PAGEREF _Toc519257424 \h </w:instrText>
            </w:r>
            <w:r>
              <w:rPr>
                <w:noProof/>
                <w:webHidden/>
              </w:rPr>
            </w:r>
            <w:r>
              <w:rPr>
                <w:noProof/>
                <w:webHidden/>
              </w:rPr>
              <w:fldChar w:fldCharType="separate"/>
            </w:r>
            <w:r>
              <w:rPr>
                <w:noProof/>
                <w:webHidden/>
              </w:rPr>
              <w:t>15</w:t>
            </w:r>
            <w:r>
              <w:rPr>
                <w:noProof/>
                <w:webHidden/>
              </w:rPr>
              <w:fldChar w:fldCharType="end"/>
            </w:r>
          </w:hyperlink>
        </w:p>
        <w:p w14:paraId="42E2D588" w14:textId="77777777" w:rsidR="00F87F57" w:rsidRDefault="00F87F57">
          <w:pPr>
            <w:pStyle w:val="TOC2"/>
            <w:rPr>
              <w:rFonts w:asciiTheme="minorHAnsi" w:eastAsiaTheme="minorEastAsia" w:hAnsiTheme="minorHAnsi" w:cstheme="minorBidi"/>
              <w:b w:val="0"/>
              <w:noProof/>
              <w:sz w:val="22"/>
              <w:lang w:eastAsia="en-AU"/>
            </w:rPr>
          </w:pPr>
          <w:hyperlink w:anchor="_Toc519257425" w:history="1">
            <w:r w:rsidRPr="00AD2F32">
              <w:rPr>
                <w:rStyle w:val="Hyperlink"/>
                <w:noProof/>
              </w:rPr>
              <w:t>III. Quality findings</w:t>
            </w:r>
            <w:r>
              <w:rPr>
                <w:noProof/>
                <w:webHidden/>
              </w:rPr>
              <w:tab/>
            </w:r>
            <w:r>
              <w:rPr>
                <w:noProof/>
                <w:webHidden/>
              </w:rPr>
              <w:fldChar w:fldCharType="begin"/>
            </w:r>
            <w:r>
              <w:rPr>
                <w:noProof/>
                <w:webHidden/>
              </w:rPr>
              <w:instrText xml:space="preserve"> PAGEREF _Toc519257425 \h </w:instrText>
            </w:r>
            <w:r>
              <w:rPr>
                <w:noProof/>
                <w:webHidden/>
              </w:rPr>
            </w:r>
            <w:r>
              <w:rPr>
                <w:noProof/>
                <w:webHidden/>
              </w:rPr>
              <w:fldChar w:fldCharType="separate"/>
            </w:r>
            <w:r>
              <w:rPr>
                <w:noProof/>
                <w:webHidden/>
              </w:rPr>
              <w:t>15</w:t>
            </w:r>
            <w:r>
              <w:rPr>
                <w:noProof/>
                <w:webHidden/>
              </w:rPr>
              <w:fldChar w:fldCharType="end"/>
            </w:r>
          </w:hyperlink>
        </w:p>
        <w:p w14:paraId="1326A624" w14:textId="77777777" w:rsidR="00F87F57" w:rsidRDefault="00F87F57">
          <w:pPr>
            <w:pStyle w:val="TOC3"/>
            <w:rPr>
              <w:rFonts w:asciiTheme="minorHAnsi" w:eastAsiaTheme="minorEastAsia" w:hAnsiTheme="minorHAnsi" w:cstheme="minorBidi"/>
              <w:noProof/>
              <w:lang w:eastAsia="en-AU"/>
            </w:rPr>
          </w:pPr>
          <w:hyperlink w:anchor="_Toc519257426" w:history="1">
            <w:r w:rsidRPr="00AD2F32">
              <w:rPr>
                <w:rStyle w:val="Hyperlink"/>
                <w:noProof/>
                <w:lang w:eastAsia="ja-JP"/>
              </w:rPr>
              <w:t xml:space="preserve">Drug </w:t>
            </w:r>
            <w:r w:rsidRPr="00AD2F32">
              <w:rPr>
                <w:rStyle w:val="Hyperlink"/>
                <w:noProof/>
              </w:rPr>
              <w:t>substance</w:t>
            </w:r>
            <w:r>
              <w:rPr>
                <w:noProof/>
                <w:webHidden/>
              </w:rPr>
              <w:tab/>
            </w:r>
            <w:r>
              <w:rPr>
                <w:noProof/>
                <w:webHidden/>
              </w:rPr>
              <w:fldChar w:fldCharType="begin"/>
            </w:r>
            <w:r>
              <w:rPr>
                <w:noProof/>
                <w:webHidden/>
              </w:rPr>
              <w:instrText xml:space="preserve"> PAGEREF _Toc519257426 \h </w:instrText>
            </w:r>
            <w:r>
              <w:rPr>
                <w:noProof/>
                <w:webHidden/>
              </w:rPr>
            </w:r>
            <w:r>
              <w:rPr>
                <w:noProof/>
                <w:webHidden/>
              </w:rPr>
              <w:fldChar w:fldCharType="separate"/>
            </w:r>
            <w:r>
              <w:rPr>
                <w:noProof/>
                <w:webHidden/>
              </w:rPr>
              <w:t>15</w:t>
            </w:r>
            <w:r>
              <w:rPr>
                <w:noProof/>
                <w:webHidden/>
              </w:rPr>
              <w:fldChar w:fldCharType="end"/>
            </w:r>
          </w:hyperlink>
        </w:p>
        <w:p w14:paraId="4CC05D7D" w14:textId="77777777" w:rsidR="00F87F57" w:rsidRDefault="00F87F57">
          <w:pPr>
            <w:pStyle w:val="TOC3"/>
            <w:rPr>
              <w:rFonts w:asciiTheme="minorHAnsi" w:eastAsiaTheme="minorEastAsia" w:hAnsiTheme="minorHAnsi" w:cstheme="minorBidi"/>
              <w:noProof/>
              <w:lang w:eastAsia="en-AU"/>
            </w:rPr>
          </w:pPr>
          <w:hyperlink w:anchor="_Toc519257427" w:history="1">
            <w:r w:rsidRPr="00AD2F32">
              <w:rPr>
                <w:rStyle w:val="Hyperlink"/>
                <w:noProof/>
                <w:lang w:eastAsia="ja-JP"/>
              </w:rPr>
              <w:t>Drug product</w:t>
            </w:r>
            <w:r>
              <w:rPr>
                <w:noProof/>
                <w:webHidden/>
              </w:rPr>
              <w:tab/>
            </w:r>
            <w:r>
              <w:rPr>
                <w:noProof/>
                <w:webHidden/>
              </w:rPr>
              <w:fldChar w:fldCharType="begin"/>
            </w:r>
            <w:r>
              <w:rPr>
                <w:noProof/>
                <w:webHidden/>
              </w:rPr>
              <w:instrText xml:space="preserve"> PAGEREF _Toc519257427 \h </w:instrText>
            </w:r>
            <w:r>
              <w:rPr>
                <w:noProof/>
                <w:webHidden/>
              </w:rPr>
            </w:r>
            <w:r>
              <w:rPr>
                <w:noProof/>
                <w:webHidden/>
              </w:rPr>
              <w:fldChar w:fldCharType="separate"/>
            </w:r>
            <w:r>
              <w:rPr>
                <w:noProof/>
                <w:webHidden/>
              </w:rPr>
              <w:t>16</w:t>
            </w:r>
            <w:r>
              <w:rPr>
                <w:noProof/>
                <w:webHidden/>
              </w:rPr>
              <w:fldChar w:fldCharType="end"/>
            </w:r>
          </w:hyperlink>
        </w:p>
        <w:p w14:paraId="0ACF56E9" w14:textId="77777777" w:rsidR="00F87F57" w:rsidRDefault="00F87F57">
          <w:pPr>
            <w:pStyle w:val="TOC2"/>
            <w:rPr>
              <w:rFonts w:asciiTheme="minorHAnsi" w:eastAsiaTheme="minorEastAsia" w:hAnsiTheme="minorHAnsi" w:cstheme="minorBidi"/>
              <w:b w:val="0"/>
              <w:noProof/>
              <w:sz w:val="22"/>
              <w:lang w:eastAsia="en-AU"/>
            </w:rPr>
          </w:pPr>
          <w:hyperlink w:anchor="_Toc519257428" w:history="1">
            <w:r w:rsidRPr="00AD2F32">
              <w:rPr>
                <w:rStyle w:val="Hyperlink"/>
                <w:noProof/>
              </w:rPr>
              <w:t>IV. Nonclinical findings</w:t>
            </w:r>
            <w:r>
              <w:rPr>
                <w:noProof/>
                <w:webHidden/>
              </w:rPr>
              <w:tab/>
            </w:r>
            <w:r>
              <w:rPr>
                <w:noProof/>
                <w:webHidden/>
              </w:rPr>
              <w:fldChar w:fldCharType="begin"/>
            </w:r>
            <w:r>
              <w:rPr>
                <w:noProof/>
                <w:webHidden/>
              </w:rPr>
              <w:instrText xml:space="preserve"> PAGEREF _Toc519257428 \h </w:instrText>
            </w:r>
            <w:r>
              <w:rPr>
                <w:noProof/>
                <w:webHidden/>
              </w:rPr>
            </w:r>
            <w:r>
              <w:rPr>
                <w:noProof/>
                <w:webHidden/>
              </w:rPr>
              <w:fldChar w:fldCharType="separate"/>
            </w:r>
            <w:r>
              <w:rPr>
                <w:noProof/>
                <w:webHidden/>
              </w:rPr>
              <w:t>16</w:t>
            </w:r>
            <w:r>
              <w:rPr>
                <w:noProof/>
                <w:webHidden/>
              </w:rPr>
              <w:fldChar w:fldCharType="end"/>
            </w:r>
          </w:hyperlink>
        </w:p>
        <w:p w14:paraId="4F45DB98" w14:textId="77777777" w:rsidR="00F87F57" w:rsidRDefault="00F87F57">
          <w:pPr>
            <w:pStyle w:val="TOC3"/>
            <w:rPr>
              <w:rFonts w:asciiTheme="minorHAnsi" w:eastAsiaTheme="minorEastAsia" w:hAnsiTheme="minorHAnsi" w:cstheme="minorBidi"/>
              <w:noProof/>
              <w:lang w:eastAsia="en-AU"/>
            </w:rPr>
          </w:pPr>
          <w:hyperlink w:anchor="_Toc519257429" w:history="1">
            <w:r w:rsidRPr="00AD2F32">
              <w:rPr>
                <w:rStyle w:val="Hyperlink"/>
                <w:noProof/>
              </w:rPr>
              <w:t>Introduction</w:t>
            </w:r>
            <w:r>
              <w:rPr>
                <w:noProof/>
                <w:webHidden/>
              </w:rPr>
              <w:tab/>
            </w:r>
            <w:r>
              <w:rPr>
                <w:noProof/>
                <w:webHidden/>
              </w:rPr>
              <w:fldChar w:fldCharType="begin"/>
            </w:r>
            <w:r>
              <w:rPr>
                <w:noProof/>
                <w:webHidden/>
              </w:rPr>
              <w:instrText xml:space="preserve"> PAGEREF _Toc519257429 \h </w:instrText>
            </w:r>
            <w:r>
              <w:rPr>
                <w:noProof/>
                <w:webHidden/>
              </w:rPr>
            </w:r>
            <w:r>
              <w:rPr>
                <w:noProof/>
                <w:webHidden/>
              </w:rPr>
              <w:fldChar w:fldCharType="separate"/>
            </w:r>
            <w:r>
              <w:rPr>
                <w:noProof/>
                <w:webHidden/>
              </w:rPr>
              <w:t>16</w:t>
            </w:r>
            <w:r>
              <w:rPr>
                <w:noProof/>
                <w:webHidden/>
              </w:rPr>
              <w:fldChar w:fldCharType="end"/>
            </w:r>
          </w:hyperlink>
        </w:p>
        <w:p w14:paraId="460643D7" w14:textId="77777777" w:rsidR="00F87F57" w:rsidRDefault="00F87F57">
          <w:pPr>
            <w:pStyle w:val="TOC3"/>
            <w:rPr>
              <w:rFonts w:asciiTheme="minorHAnsi" w:eastAsiaTheme="minorEastAsia" w:hAnsiTheme="minorHAnsi" w:cstheme="minorBidi"/>
              <w:noProof/>
              <w:lang w:eastAsia="en-AU"/>
            </w:rPr>
          </w:pPr>
          <w:hyperlink w:anchor="_Toc519257430" w:history="1">
            <w:r w:rsidRPr="00AD2F32">
              <w:rPr>
                <w:rStyle w:val="Hyperlink"/>
                <w:noProof/>
              </w:rPr>
              <w:t>Pharmacokinetics</w:t>
            </w:r>
            <w:r>
              <w:rPr>
                <w:noProof/>
                <w:webHidden/>
              </w:rPr>
              <w:tab/>
            </w:r>
            <w:r>
              <w:rPr>
                <w:noProof/>
                <w:webHidden/>
              </w:rPr>
              <w:fldChar w:fldCharType="begin"/>
            </w:r>
            <w:r>
              <w:rPr>
                <w:noProof/>
                <w:webHidden/>
              </w:rPr>
              <w:instrText xml:space="preserve"> PAGEREF _Toc519257430 \h </w:instrText>
            </w:r>
            <w:r>
              <w:rPr>
                <w:noProof/>
                <w:webHidden/>
              </w:rPr>
            </w:r>
            <w:r>
              <w:rPr>
                <w:noProof/>
                <w:webHidden/>
              </w:rPr>
              <w:fldChar w:fldCharType="separate"/>
            </w:r>
            <w:r>
              <w:rPr>
                <w:noProof/>
                <w:webHidden/>
              </w:rPr>
              <w:t>16</w:t>
            </w:r>
            <w:r>
              <w:rPr>
                <w:noProof/>
                <w:webHidden/>
              </w:rPr>
              <w:fldChar w:fldCharType="end"/>
            </w:r>
          </w:hyperlink>
        </w:p>
        <w:p w14:paraId="79655EFA" w14:textId="77777777" w:rsidR="00F87F57" w:rsidRDefault="00F87F57">
          <w:pPr>
            <w:pStyle w:val="TOC3"/>
            <w:rPr>
              <w:rFonts w:asciiTheme="minorHAnsi" w:eastAsiaTheme="minorEastAsia" w:hAnsiTheme="minorHAnsi" w:cstheme="minorBidi"/>
              <w:noProof/>
              <w:lang w:eastAsia="en-AU"/>
            </w:rPr>
          </w:pPr>
          <w:hyperlink w:anchor="_Toc519257431" w:history="1">
            <w:r w:rsidRPr="00AD2F32">
              <w:rPr>
                <w:rStyle w:val="Hyperlink"/>
                <w:noProof/>
              </w:rPr>
              <w:t>Nonclinical summary and conclusions</w:t>
            </w:r>
            <w:r>
              <w:rPr>
                <w:noProof/>
                <w:webHidden/>
              </w:rPr>
              <w:tab/>
            </w:r>
            <w:r>
              <w:rPr>
                <w:noProof/>
                <w:webHidden/>
              </w:rPr>
              <w:fldChar w:fldCharType="begin"/>
            </w:r>
            <w:r>
              <w:rPr>
                <w:noProof/>
                <w:webHidden/>
              </w:rPr>
              <w:instrText xml:space="preserve"> PAGEREF _Toc519257431 \h </w:instrText>
            </w:r>
            <w:r>
              <w:rPr>
                <w:noProof/>
                <w:webHidden/>
              </w:rPr>
            </w:r>
            <w:r>
              <w:rPr>
                <w:noProof/>
                <w:webHidden/>
              </w:rPr>
              <w:fldChar w:fldCharType="separate"/>
            </w:r>
            <w:r>
              <w:rPr>
                <w:noProof/>
                <w:webHidden/>
              </w:rPr>
              <w:t>18</w:t>
            </w:r>
            <w:r>
              <w:rPr>
                <w:noProof/>
                <w:webHidden/>
              </w:rPr>
              <w:fldChar w:fldCharType="end"/>
            </w:r>
          </w:hyperlink>
        </w:p>
        <w:p w14:paraId="40F98EC9" w14:textId="77777777" w:rsidR="00F87F57" w:rsidRDefault="00F87F57">
          <w:pPr>
            <w:pStyle w:val="TOC2"/>
            <w:rPr>
              <w:rFonts w:asciiTheme="minorHAnsi" w:eastAsiaTheme="minorEastAsia" w:hAnsiTheme="minorHAnsi" w:cstheme="minorBidi"/>
              <w:b w:val="0"/>
              <w:noProof/>
              <w:sz w:val="22"/>
              <w:lang w:eastAsia="en-AU"/>
            </w:rPr>
          </w:pPr>
          <w:hyperlink w:anchor="_Toc519257432" w:history="1">
            <w:r w:rsidRPr="00AD2F32">
              <w:rPr>
                <w:rStyle w:val="Hyperlink"/>
                <w:noProof/>
              </w:rPr>
              <w:t>V. Clinical findings</w:t>
            </w:r>
            <w:r>
              <w:rPr>
                <w:noProof/>
                <w:webHidden/>
              </w:rPr>
              <w:tab/>
            </w:r>
            <w:r>
              <w:rPr>
                <w:noProof/>
                <w:webHidden/>
              </w:rPr>
              <w:fldChar w:fldCharType="begin"/>
            </w:r>
            <w:r>
              <w:rPr>
                <w:noProof/>
                <w:webHidden/>
              </w:rPr>
              <w:instrText xml:space="preserve"> PAGEREF _Toc519257432 \h </w:instrText>
            </w:r>
            <w:r>
              <w:rPr>
                <w:noProof/>
                <w:webHidden/>
              </w:rPr>
            </w:r>
            <w:r>
              <w:rPr>
                <w:noProof/>
                <w:webHidden/>
              </w:rPr>
              <w:fldChar w:fldCharType="separate"/>
            </w:r>
            <w:r>
              <w:rPr>
                <w:noProof/>
                <w:webHidden/>
              </w:rPr>
              <w:t>18</w:t>
            </w:r>
            <w:r>
              <w:rPr>
                <w:noProof/>
                <w:webHidden/>
              </w:rPr>
              <w:fldChar w:fldCharType="end"/>
            </w:r>
          </w:hyperlink>
        </w:p>
        <w:p w14:paraId="40E79980" w14:textId="77777777" w:rsidR="00F87F57" w:rsidRDefault="00F87F57">
          <w:pPr>
            <w:pStyle w:val="TOC3"/>
            <w:rPr>
              <w:rFonts w:asciiTheme="minorHAnsi" w:eastAsiaTheme="minorEastAsia" w:hAnsiTheme="minorHAnsi" w:cstheme="minorBidi"/>
              <w:noProof/>
              <w:lang w:eastAsia="en-AU"/>
            </w:rPr>
          </w:pPr>
          <w:hyperlink w:anchor="_Toc519257433" w:history="1">
            <w:r w:rsidRPr="00AD2F32">
              <w:rPr>
                <w:rStyle w:val="Hyperlink"/>
                <w:noProof/>
              </w:rPr>
              <w:t>Introduction</w:t>
            </w:r>
            <w:r>
              <w:rPr>
                <w:noProof/>
                <w:webHidden/>
              </w:rPr>
              <w:tab/>
            </w:r>
            <w:r>
              <w:rPr>
                <w:noProof/>
                <w:webHidden/>
              </w:rPr>
              <w:fldChar w:fldCharType="begin"/>
            </w:r>
            <w:r>
              <w:rPr>
                <w:noProof/>
                <w:webHidden/>
              </w:rPr>
              <w:instrText xml:space="preserve"> PAGEREF _Toc519257433 \h </w:instrText>
            </w:r>
            <w:r>
              <w:rPr>
                <w:noProof/>
                <w:webHidden/>
              </w:rPr>
            </w:r>
            <w:r>
              <w:rPr>
                <w:noProof/>
                <w:webHidden/>
              </w:rPr>
              <w:fldChar w:fldCharType="separate"/>
            </w:r>
            <w:r>
              <w:rPr>
                <w:noProof/>
                <w:webHidden/>
              </w:rPr>
              <w:t>18</w:t>
            </w:r>
            <w:r>
              <w:rPr>
                <w:noProof/>
                <w:webHidden/>
              </w:rPr>
              <w:fldChar w:fldCharType="end"/>
            </w:r>
          </w:hyperlink>
        </w:p>
        <w:p w14:paraId="0FF88D3C" w14:textId="77777777" w:rsidR="00F87F57" w:rsidRDefault="00F87F57">
          <w:pPr>
            <w:pStyle w:val="TOC3"/>
            <w:rPr>
              <w:rFonts w:asciiTheme="minorHAnsi" w:eastAsiaTheme="minorEastAsia" w:hAnsiTheme="minorHAnsi" w:cstheme="minorBidi"/>
              <w:noProof/>
              <w:lang w:eastAsia="en-AU"/>
            </w:rPr>
          </w:pPr>
          <w:hyperlink w:anchor="_Toc519257434" w:history="1">
            <w:r w:rsidRPr="00AD2F32">
              <w:rPr>
                <w:rStyle w:val="Hyperlink"/>
                <w:noProof/>
              </w:rPr>
              <w:t>Pharmacokinetics</w:t>
            </w:r>
            <w:r>
              <w:rPr>
                <w:noProof/>
                <w:webHidden/>
              </w:rPr>
              <w:tab/>
            </w:r>
            <w:r>
              <w:rPr>
                <w:noProof/>
                <w:webHidden/>
              </w:rPr>
              <w:fldChar w:fldCharType="begin"/>
            </w:r>
            <w:r>
              <w:rPr>
                <w:noProof/>
                <w:webHidden/>
              </w:rPr>
              <w:instrText xml:space="preserve"> PAGEREF _Toc519257434 \h </w:instrText>
            </w:r>
            <w:r>
              <w:rPr>
                <w:noProof/>
                <w:webHidden/>
              </w:rPr>
            </w:r>
            <w:r>
              <w:rPr>
                <w:noProof/>
                <w:webHidden/>
              </w:rPr>
              <w:fldChar w:fldCharType="separate"/>
            </w:r>
            <w:r>
              <w:rPr>
                <w:noProof/>
                <w:webHidden/>
              </w:rPr>
              <w:t>19</w:t>
            </w:r>
            <w:r>
              <w:rPr>
                <w:noProof/>
                <w:webHidden/>
              </w:rPr>
              <w:fldChar w:fldCharType="end"/>
            </w:r>
          </w:hyperlink>
        </w:p>
        <w:p w14:paraId="4D4EE015" w14:textId="77777777" w:rsidR="00F87F57" w:rsidRDefault="00F87F57">
          <w:pPr>
            <w:pStyle w:val="TOC3"/>
            <w:rPr>
              <w:rFonts w:asciiTheme="minorHAnsi" w:eastAsiaTheme="minorEastAsia" w:hAnsiTheme="minorHAnsi" w:cstheme="minorBidi"/>
              <w:noProof/>
              <w:lang w:eastAsia="en-AU"/>
            </w:rPr>
          </w:pPr>
          <w:hyperlink w:anchor="_Toc519257435" w:history="1">
            <w:r w:rsidRPr="00AD2F32">
              <w:rPr>
                <w:rStyle w:val="Hyperlink"/>
                <w:noProof/>
              </w:rPr>
              <w:t>Pharmacodynamics</w:t>
            </w:r>
            <w:r>
              <w:rPr>
                <w:noProof/>
                <w:webHidden/>
              </w:rPr>
              <w:tab/>
            </w:r>
            <w:r>
              <w:rPr>
                <w:noProof/>
                <w:webHidden/>
              </w:rPr>
              <w:fldChar w:fldCharType="begin"/>
            </w:r>
            <w:r>
              <w:rPr>
                <w:noProof/>
                <w:webHidden/>
              </w:rPr>
              <w:instrText xml:space="preserve"> PAGEREF _Toc519257435 \h </w:instrText>
            </w:r>
            <w:r>
              <w:rPr>
                <w:noProof/>
                <w:webHidden/>
              </w:rPr>
            </w:r>
            <w:r>
              <w:rPr>
                <w:noProof/>
                <w:webHidden/>
              </w:rPr>
              <w:fldChar w:fldCharType="separate"/>
            </w:r>
            <w:r>
              <w:rPr>
                <w:noProof/>
                <w:webHidden/>
              </w:rPr>
              <w:t>21</w:t>
            </w:r>
            <w:r>
              <w:rPr>
                <w:noProof/>
                <w:webHidden/>
              </w:rPr>
              <w:fldChar w:fldCharType="end"/>
            </w:r>
          </w:hyperlink>
        </w:p>
        <w:p w14:paraId="65F762B0" w14:textId="77777777" w:rsidR="00F87F57" w:rsidRDefault="00F87F57">
          <w:pPr>
            <w:pStyle w:val="TOC3"/>
            <w:rPr>
              <w:rFonts w:asciiTheme="minorHAnsi" w:eastAsiaTheme="minorEastAsia" w:hAnsiTheme="minorHAnsi" w:cstheme="minorBidi"/>
              <w:noProof/>
              <w:lang w:eastAsia="en-AU"/>
            </w:rPr>
          </w:pPr>
          <w:hyperlink w:anchor="_Toc519257436" w:history="1">
            <w:r w:rsidRPr="00AD2F32">
              <w:rPr>
                <w:rStyle w:val="Hyperlink"/>
                <w:noProof/>
              </w:rPr>
              <w:t>Dosage selection for the pivotal studies</w:t>
            </w:r>
            <w:r>
              <w:rPr>
                <w:noProof/>
                <w:webHidden/>
              </w:rPr>
              <w:tab/>
            </w:r>
            <w:r>
              <w:rPr>
                <w:noProof/>
                <w:webHidden/>
              </w:rPr>
              <w:fldChar w:fldCharType="begin"/>
            </w:r>
            <w:r>
              <w:rPr>
                <w:noProof/>
                <w:webHidden/>
              </w:rPr>
              <w:instrText xml:space="preserve"> PAGEREF _Toc519257436 \h </w:instrText>
            </w:r>
            <w:r>
              <w:rPr>
                <w:noProof/>
                <w:webHidden/>
              </w:rPr>
            </w:r>
            <w:r>
              <w:rPr>
                <w:noProof/>
                <w:webHidden/>
              </w:rPr>
              <w:fldChar w:fldCharType="separate"/>
            </w:r>
            <w:r>
              <w:rPr>
                <w:noProof/>
                <w:webHidden/>
              </w:rPr>
              <w:t>21</w:t>
            </w:r>
            <w:r>
              <w:rPr>
                <w:noProof/>
                <w:webHidden/>
              </w:rPr>
              <w:fldChar w:fldCharType="end"/>
            </w:r>
          </w:hyperlink>
        </w:p>
        <w:p w14:paraId="5E91EAB4" w14:textId="77777777" w:rsidR="00F87F57" w:rsidRDefault="00F87F57">
          <w:pPr>
            <w:pStyle w:val="TOC3"/>
            <w:rPr>
              <w:rFonts w:asciiTheme="minorHAnsi" w:eastAsiaTheme="minorEastAsia" w:hAnsiTheme="minorHAnsi" w:cstheme="minorBidi"/>
              <w:noProof/>
              <w:lang w:eastAsia="en-AU"/>
            </w:rPr>
          </w:pPr>
          <w:hyperlink w:anchor="_Toc519257437" w:history="1">
            <w:r w:rsidRPr="00AD2F32">
              <w:rPr>
                <w:rStyle w:val="Hyperlink"/>
                <w:noProof/>
              </w:rPr>
              <w:t>Efficacy</w:t>
            </w:r>
            <w:r>
              <w:rPr>
                <w:noProof/>
                <w:webHidden/>
              </w:rPr>
              <w:tab/>
            </w:r>
            <w:r>
              <w:rPr>
                <w:noProof/>
                <w:webHidden/>
              </w:rPr>
              <w:fldChar w:fldCharType="begin"/>
            </w:r>
            <w:r>
              <w:rPr>
                <w:noProof/>
                <w:webHidden/>
              </w:rPr>
              <w:instrText xml:space="preserve"> PAGEREF _Toc519257437 \h </w:instrText>
            </w:r>
            <w:r>
              <w:rPr>
                <w:noProof/>
                <w:webHidden/>
              </w:rPr>
            </w:r>
            <w:r>
              <w:rPr>
                <w:noProof/>
                <w:webHidden/>
              </w:rPr>
              <w:fldChar w:fldCharType="separate"/>
            </w:r>
            <w:r>
              <w:rPr>
                <w:noProof/>
                <w:webHidden/>
              </w:rPr>
              <w:t>22</w:t>
            </w:r>
            <w:r>
              <w:rPr>
                <w:noProof/>
                <w:webHidden/>
              </w:rPr>
              <w:fldChar w:fldCharType="end"/>
            </w:r>
          </w:hyperlink>
        </w:p>
        <w:p w14:paraId="1EE5E365" w14:textId="77777777" w:rsidR="00F87F57" w:rsidRDefault="00F87F57">
          <w:pPr>
            <w:pStyle w:val="TOC3"/>
            <w:rPr>
              <w:rFonts w:asciiTheme="minorHAnsi" w:eastAsiaTheme="minorEastAsia" w:hAnsiTheme="minorHAnsi" w:cstheme="minorBidi"/>
              <w:noProof/>
              <w:lang w:eastAsia="en-AU"/>
            </w:rPr>
          </w:pPr>
          <w:hyperlink w:anchor="_Toc519257438" w:history="1">
            <w:r w:rsidRPr="00AD2F32">
              <w:rPr>
                <w:rStyle w:val="Hyperlink"/>
                <w:noProof/>
              </w:rPr>
              <w:t>Safety</w:t>
            </w:r>
            <w:r>
              <w:rPr>
                <w:noProof/>
                <w:webHidden/>
              </w:rPr>
              <w:tab/>
            </w:r>
            <w:r>
              <w:rPr>
                <w:noProof/>
                <w:webHidden/>
              </w:rPr>
              <w:fldChar w:fldCharType="begin"/>
            </w:r>
            <w:r>
              <w:rPr>
                <w:noProof/>
                <w:webHidden/>
              </w:rPr>
              <w:instrText xml:space="preserve"> PAGEREF _Toc519257438 \h </w:instrText>
            </w:r>
            <w:r>
              <w:rPr>
                <w:noProof/>
                <w:webHidden/>
              </w:rPr>
            </w:r>
            <w:r>
              <w:rPr>
                <w:noProof/>
                <w:webHidden/>
              </w:rPr>
              <w:fldChar w:fldCharType="separate"/>
            </w:r>
            <w:r>
              <w:rPr>
                <w:noProof/>
                <w:webHidden/>
              </w:rPr>
              <w:t>23</w:t>
            </w:r>
            <w:r>
              <w:rPr>
                <w:noProof/>
                <w:webHidden/>
              </w:rPr>
              <w:fldChar w:fldCharType="end"/>
            </w:r>
          </w:hyperlink>
        </w:p>
        <w:p w14:paraId="745151A9" w14:textId="77777777" w:rsidR="00F87F57" w:rsidRDefault="00F87F57">
          <w:pPr>
            <w:pStyle w:val="TOC3"/>
            <w:rPr>
              <w:rFonts w:asciiTheme="minorHAnsi" w:eastAsiaTheme="minorEastAsia" w:hAnsiTheme="minorHAnsi" w:cstheme="minorBidi"/>
              <w:noProof/>
              <w:lang w:eastAsia="en-AU"/>
            </w:rPr>
          </w:pPr>
          <w:hyperlink w:anchor="_Toc519257439" w:history="1">
            <w:r w:rsidRPr="00AD2F32">
              <w:rPr>
                <w:rStyle w:val="Hyperlink"/>
                <w:noProof/>
              </w:rPr>
              <w:t>First round benefit-risk assessment</w:t>
            </w:r>
            <w:r>
              <w:rPr>
                <w:noProof/>
                <w:webHidden/>
              </w:rPr>
              <w:tab/>
            </w:r>
            <w:r>
              <w:rPr>
                <w:noProof/>
                <w:webHidden/>
              </w:rPr>
              <w:fldChar w:fldCharType="begin"/>
            </w:r>
            <w:r>
              <w:rPr>
                <w:noProof/>
                <w:webHidden/>
              </w:rPr>
              <w:instrText xml:space="preserve"> PAGEREF _Toc519257439 \h </w:instrText>
            </w:r>
            <w:r>
              <w:rPr>
                <w:noProof/>
                <w:webHidden/>
              </w:rPr>
            </w:r>
            <w:r>
              <w:rPr>
                <w:noProof/>
                <w:webHidden/>
              </w:rPr>
              <w:fldChar w:fldCharType="separate"/>
            </w:r>
            <w:r>
              <w:rPr>
                <w:noProof/>
                <w:webHidden/>
              </w:rPr>
              <w:t>27</w:t>
            </w:r>
            <w:r>
              <w:rPr>
                <w:noProof/>
                <w:webHidden/>
              </w:rPr>
              <w:fldChar w:fldCharType="end"/>
            </w:r>
          </w:hyperlink>
        </w:p>
        <w:p w14:paraId="6EB6B488" w14:textId="77777777" w:rsidR="00F87F57" w:rsidRDefault="00F87F57">
          <w:pPr>
            <w:pStyle w:val="TOC3"/>
            <w:rPr>
              <w:rFonts w:asciiTheme="minorHAnsi" w:eastAsiaTheme="minorEastAsia" w:hAnsiTheme="minorHAnsi" w:cstheme="minorBidi"/>
              <w:noProof/>
              <w:lang w:eastAsia="en-AU"/>
            </w:rPr>
          </w:pPr>
          <w:hyperlink w:anchor="_Toc519257440" w:history="1">
            <w:r w:rsidRPr="00AD2F32">
              <w:rPr>
                <w:rStyle w:val="Hyperlink"/>
                <w:noProof/>
              </w:rPr>
              <w:t>First round recommendation regarding authorisation</w:t>
            </w:r>
            <w:r>
              <w:rPr>
                <w:noProof/>
                <w:webHidden/>
              </w:rPr>
              <w:tab/>
            </w:r>
            <w:r>
              <w:rPr>
                <w:noProof/>
                <w:webHidden/>
              </w:rPr>
              <w:fldChar w:fldCharType="begin"/>
            </w:r>
            <w:r>
              <w:rPr>
                <w:noProof/>
                <w:webHidden/>
              </w:rPr>
              <w:instrText xml:space="preserve"> PAGEREF _Toc519257440 \h </w:instrText>
            </w:r>
            <w:r>
              <w:rPr>
                <w:noProof/>
                <w:webHidden/>
              </w:rPr>
            </w:r>
            <w:r>
              <w:rPr>
                <w:noProof/>
                <w:webHidden/>
              </w:rPr>
              <w:fldChar w:fldCharType="separate"/>
            </w:r>
            <w:r>
              <w:rPr>
                <w:noProof/>
                <w:webHidden/>
              </w:rPr>
              <w:t>28</w:t>
            </w:r>
            <w:r>
              <w:rPr>
                <w:noProof/>
                <w:webHidden/>
              </w:rPr>
              <w:fldChar w:fldCharType="end"/>
            </w:r>
          </w:hyperlink>
        </w:p>
        <w:p w14:paraId="7238B413" w14:textId="77777777" w:rsidR="00F87F57" w:rsidRDefault="00F87F57">
          <w:pPr>
            <w:pStyle w:val="TOC3"/>
            <w:rPr>
              <w:rFonts w:asciiTheme="minorHAnsi" w:eastAsiaTheme="minorEastAsia" w:hAnsiTheme="minorHAnsi" w:cstheme="minorBidi"/>
              <w:noProof/>
              <w:lang w:eastAsia="en-AU"/>
            </w:rPr>
          </w:pPr>
          <w:hyperlink w:anchor="_Toc519257441" w:history="1">
            <w:r w:rsidRPr="00AD2F32">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_Toc519257441 \h </w:instrText>
            </w:r>
            <w:r>
              <w:rPr>
                <w:noProof/>
                <w:webHidden/>
              </w:rPr>
            </w:r>
            <w:r>
              <w:rPr>
                <w:noProof/>
                <w:webHidden/>
              </w:rPr>
              <w:fldChar w:fldCharType="separate"/>
            </w:r>
            <w:r>
              <w:rPr>
                <w:noProof/>
                <w:webHidden/>
              </w:rPr>
              <w:t>28</w:t>
            </w:r>
            <w:r>
              <w:rPr>
                <w:noProof/>
                <w:webHidden/>
              </w:rPr>
              <w:fldChar w:fldCharType="end"/>
            </w:r>
          </w:hyperlink>
        </w:p>
        <w:p w14:paraId="046121AF" w14:textId="77777777" w:rsidR="00F87F57" w:rsidRDefault="00F87F57">
          <w:pPr>
            <w:pStyle w:val="TOC3"/>
            <w:rPr>
              <w:rFonts w:asciiTheme="minorHAnsi" w:eastAsiaTheme="minorEastAsia" w:hAnsiTheme="minorHAnsi" w:cstheme="minorBidi"/>
              <w:noProof/>
              <w:lang w:eastAsia="en-AU"/>
            </w:rPr>
          </w:pPr>
          <w:hyperlink w:anchor="_Toc519257442" w:history="1">
            <w:r w:rsidRPr="00AD2F32">
              <w:rPr>
                <w:rStyle w:val="Hyperlink"/>
                <w:noProof/>
              </w:rPr>
              <w:t>Second round benefit-risk assessment</w:t>
            </w:r>
            <w:r>
              <w:rPr>
                <w:noProof/>
                <w:webHidden/>
              </w:rPr>
              <w:tab/>
            </w:r>
            <w:r>
              <w:rPr>
                <w:noProof/>
                <w:webHidden/>
              </w:rPr>
              <w:fldChar w:fldCharType="begin"/>
            </w:r>
            <w:r>
              <w:rPr>
                <w:noProof/>
                <w:webHidden/>
              </w:rPr>
              <w:instrText xml:space="preserve"> PAGEREF _Toc519257442 \h </w:instrText>
            </w:r>
            <w:r>
              <w:rPr>
                <w:noProof/>
                <w:webHidden/>
              </w:rPr>
            </w:r>
            <w:r>
              <w:rPr>
                <w:noProof/>
                <w:webHidden/>
              </w:rPr>
              <w:fldChar w:fldCharType="separate"/>
            </w:r>
            <w:r>
              <w:rPr>
                <w:noProof/>
                <w:webHidden/>
              </w:rPr>
              <w:t>28</w:t>
            </w:r>
            <w:r>
              <w:rPr>
                <w:noProof/>
                <w:webHidden/>
              </w:rPr>
              <w:fldChar w:fldCharType="end"/>
            </w:r>
          </w:hyperlink>
        </w:p>
        <w:p w14:paraId="1D55F5E4" w14:textId="77777777" w:rsidR="00F87F57" w:rsidRDefault="00F87F57">
          <w:pPr>
            <w:pStyle w:val="TOC3"/>
            <w:rPr>
              <w:rFonts w:asciiTheme="minorHAnsi" w:eastAsiaTheme="minorEastAsia" w:hAnsiTheme="minorHAnsi" w:cstheme="minorBidi"/>
              <w:noProof/>
              <w:lang w:eastAsia="en-AU"/>
            </w:rPr>
          </w:pPr>
          <w:hyperlink w:anchor="_Toc519257443" w:history="1">
            <w:r w:rsidRPr="00AD2F32">
              <w:rPr>
                <w:rStyle w:val="Hyperlink"/>
                <w:noProof/>
              </w:rPr>
              <w:t>Second round assessment of risks</w:t>
            </w:r>
            <w:r>
              <w:rPr>
                <w:noProof/>
                <w:webHidden/>
              </w:rPr>
              <w:tab/>
            </w:r>
            <w:r>
              <w:rPr>
                <w:noProof/>
                <w:webHidden/>
              </w:rPr>
              <w:fldChar w:fldCharType="begin"/>
            </w:r>
            <w:r>
              <w:rPr>
                <w:noProof/>
                <w:webHidden/>
              </w:rPr>
              <w:instrText xml:space="preserve"> PAGEREF _Toc519257443 \h </w:instrText>
            </w:r>
            <w:r>
              <w:rPr>
                <w:noProof/>
                <w:webHidden/>
              </w:rPr>
            </w:r>
            <w:r>
              <w:rPr>
                <w:noProof/>
                <w:webHidden/>
              </w:rPr>
              <w:fldChar w:fldCharType="separate"/>
            </w:r>
            <w:r>
              <w:rPr>
                <w:noProof/>
                <w:webHidden/>
              </w:rPr>
              <w:t>28</w:t>
            </w:r>
            <w:r>
              <w:rPr>
                <w:noProof/>
                <w:webHidden/>
              </w:rPr>
              <w:fldChar w:fldCharType="end"/>
            </w:r>
          </w:hyperlink>
        </w:p>
        <w:p w14:paraId="05C6F1F7" w14:textId="77777777" w:rsidR="00F87F57" w:rsidRDefault="00F87F57">
          <w:pPr>
            <w:pStyle w:val="TOC3"/>
            <w:rPr>
              <w:rFonts w:asciiTheme="minorHAnsi" w:eastAsiaTheme="minorEastAsia" w:hAnsiTheme="minorHAnsi" w:cstheme="minorBidi"/>
              <w:noProof/>
              <w:lang w:eastAsia="en-AU"/>
            </w:rPr>
          </w:pPr>
          <w:hyperlink w:anchor="_Toc519257444" w:history="1">
            <w:r w:rsidRPr="00AD2F32">
              <w:rPr>
                <w:rStyle w:val="Hyperlink"/>
                <w:noProof/>
              </w:rPr>
              <w:t>Second round assessment of benefit-risk balance</w:t>
            </w:r>
            <w:r>
              <w:rPr>
                <w:noProof/>
                <w:webHidden/>
              </w:rPr>
              <w:tab/>
            </w:r>
            <w:r>
              <w:rPr>
                <w:noProof/>
                <w:webHidden/>
              </w:rPr>
              <w:fldChar w:fldCharType="begin"/>
            </w:r>
            <w:r>
              <w:rPr>
                <w:noProof/>
                <w:webHidden/>
              </w:rPr>
              <w:instrText xml:space="preserve"> PAGEREF _Toc519257444 \h </w:instrText>
            </w:r>
            <w:r>
              <w:rPr>
                <w:noProof/>
                <w:webHidden/>
              </w:rPr>
            </w:r>
            <w:r>
              <w:rPr>
                <w:noProof/>
                <w:webHidden/>
              </w:rPr>
              <w:fldChar w:fldCharType="separate"/>
            </w:r>
            <w:r>
              <w:rPr>
                <w:noProof/>
                <w:webHidden/>
              </w:rPr>
              <w:t>28</w:t>
            </w:r>
            <w:r>
              <w:rPr>
                <w:noProof/>
                <w:webHidden/>
              </w:rPr>
              <w:fldChar w:fldCharType="end"/>
            </w:r>
          </w:hyperlink>
        </w:p>
        <w:p w14:paraId="3C3D44CE" w14:textId="77777777" w:rsidR="00F87F57" w:rsidRDefault="00F87F57">
          <w:pPr>
            <w:pStyle w:val="TOC2"/>
            <w:rPr>
              <w:rFonts w:asciiTheme="minorHAnsi" w:eastAsiaTheme="minorEastAsia" w:hAnsiTheme="minorHAnsi" w:cstheme="minorBidi"/>
              <w:b w:val="0"/>
              <w:noProof/>
              <w:sz w:val="22"/>
              <w:lang w:eastAsia="en-AU"/>
            </w:rPr>
          </w:pPr>
          <w:hyperlink w:anchor="_Toc519257445" w:history="1">
            <w:r w:rsidRPr="00AD2F32">
              <w:rPr>
                <w:rStyle w:val="Hyperlink"/>
                <w:noProof/>
              </w:rPr>
              <w:t>VI. Pharmacovigilance findings</w:t>
            </w:r>
            <w:r>
              <w:rPr>
                <w:noProof/>
                <w:webHidden/>
              </w:rPr>
              <w:tab/>
            </w:r>
            <w:r>
              <w:rPr>
                <w:noProof/>
                <w:webHidden/>
              </w:rPr>
              <w:fldChar w:fldCharType="begin"/>
            </w:r>
            <w:r>
              <w:rPr>
                <w:noProof/>
                <w:webHidden/>
              </w:rPr>
              <w:instrText xml:space="preserve"> PAGEREF _Toc519257445 \h </w:instrText>
            </w:r>
            <w:r>
              <w:rPr>
                <w:noProof/>
                <w:webHidden/>
              </w:rPr>
            </w:r>
            <w:r>
              <w:rPr>
                <w:noProof/>
                <w:webHidden/>
              </w:rPr>
              <w:fldChar w:fldCharType="separate"/>
            </w:r>
            <w:r>
              <w:rPr>
                <w:noProof/>
                <w:webHidden/>
              </w:rPr>
              <w:t>29</w:t>
            </w:r>
            <w:r>
              <w:rPr>
                <w:noProof/>
                <w:webHidden/>
              </w:rPr>
              <w:fldChar w:fldCharType="end"/>
            </w:r>
          </w:hyperlink>
        </w:p>
        <w:p w14:paraId="158575E5" w14:textId="77777777" w:rsidR="00F87F57" w:rsidRDefault="00F87F57">
          <w:pPr>
            <w:pStyle w:val="TOC2"/>
            <w:rPr>
              <w:rFonts w:asciiTheme="minorHAnsi" w:eastAsiaTheme="minorEastAsia" w:hAnsiTheme="minorHAnsi" w:cstheme="minorBidi"/>
              <w:b w:val="0"/>
              <w:noProof/>
              <w:sz w:val="22"/>
              <w:lang w:eastAsia="en-AU"/>
            </w:rPr>
          </w:pPr>
          <w:hyperlink w:anchor="_Toc519257446" w:history="1">
            <w:r w:rsidRPr="00AD2F32">
              <w:rPr>
                <w:rStyle w:val="Hyperlink"/>
                <w:noProof/>
              </w:rPr>
              <w:t>VII. Overall conclusion and risk/benefit assessment</w:t>
            </w:r>
            <w:r>
              <w:rPr>
                <w:noProof/>
                <w:webHidden/>
              </w:rPr>
              <w:tab/>
            </w:r>
            <w:r>
              <w:rPr>
                <w:noProof/>
                <w:webHidden/>
              </w:rPr>
              <w:fldChar w:fldCharType="begin"/>
            </w:r>
            <w:r>
              <w:rPr>
                <w:noProof/>
                <w:webHidden/>
              </w:rPr>
              <w:instrText xml:space="preserve"> PAGEREF _Toc519257446 \h </w:instrText>
            </w:r>
            <w:r>
              <w:rPr>
                <w:noProof/>
                <w:webHidden/>
              </w:rPr>
            </w:r>
            <w:r>
              <w:rPr>
                <w:noProof/>
                <w:webHidden/>
              </w:rPr>
              <w:fldChar w:fldCharType="separate"/>
            </w:r>
            <w:r>
              <w:rPr>
                <w:noProof/>
                <w:webHidden/>
              </w:rPr>
              <w:t>30</w:t>
            </w:r>
            <w:r>
              <w:rPr>
                <w:noProof/>
                <w:webHidden/>
              </w:rPr>
              <w:fldChar w:fldCharType="end"/>
            </w:r>
          </w:hyperlink>
        </w:p>
        <w:p w14:paraId="3C088A9D" w14:textId="77777777" w:rsidR="00F87F57" w:rsidRDefault="00F87F57">
          <w:pPr>
            <w:pStyle w:val="TOC3"/>
            <w:rPr>
              <w:rFonts w:asciiTheme="minorHAnsi" w:eastAsiaTheme="minorEastAsia" w:hAnsiTheme="minorHAnsi" w:cstheme="minorBidi"/>
              <w:noProof/>
              <w:lang w:eastAsia="en-AU"/>
            </w:rPr>
          </w:pPr>
          <w:hyperlink w:anchor="_Toc519257447" w:history="1">
            <w:r w:rsidRPr="00AD2F32">
              <w:rPr>
                <w:rStyle w:val="Hyperlink"/>
                <w:noProof/>
              </w:rPr>
              <w:t>Quality</w:t>
            </w:r>
            <w:r>
              <w:rPr>
                <w:noProof/>
                <w:webHidden/>
              </w:rPr>
              <w:tab/>
            </w:r>
            <w:r>
              <w:rPr>
                <w:noProof/>
                <w:webHidden/>
              </w:rPr>
              <w:fldChar w:fldCharType="begin"/>
            </w:r>
            <w:r>
              <w:rPr>
                <w:noProof/>
                <w:webHidden/>
              </w:rPr>
              <w:instrText xml:space="preserve"> PAGEREF _Toc519257447 \h </w:instrText>
            </w:r>
            <w:r>
              <w:rPr>
                <w:noProof/>
                <w:webHidden/>
              </w:rPr>
            </w:r>
            <w:r>
              <w:rPr>
                <w:noProof/>
                <w:webHidden/>
              </w:rPr>
              <w:fldChar w:fldCharType="separate"/>
            </w:r>
            <w:r>
              <w:rPr>
                <w:noProof/>
                <w:webHidden/>
              </w:rPr>
              <w:t>31</w:t>
            </w:r>
            <w:r>
              <w:rPr>
                <w:noProof/>
                <w:webHidden/>
              </w:rPr>
              <w:fldChar w:fldCharType="end"/>
            </w:r>
          </w:hyperlink>
        </w:p>
        <w:p w14:paraId="2EBA7A42" w14:textId="77777777" w:rsidR="00F87F57" w:rsidRDefault="00F87F57">
          <w:pPr>
            <w:pStyle w:val="TOC3"/>
            <w:rPr>
              <w:rFonts w:asciiTheme="minorHAnsi" w:eastAsiaTheme="minorEastAsia" w:hAnsiTheme="minorHAnsi" w:cstheme="minorBidi"/>
              <w:noProof/>
              <w:lang w:eastAsia="en-AU"/>
            </w:rPr>
          </w:pPr>
          <w:hyperlink w:anchor="_Toc519257448" w:history="1">
            <w:r w:rsidRPr="00AD2F32">
              <w:rPr>
                <w:rStyle w:val="Hyperlink"/>
                <w:noProof/>
              </w:rPr>
              <w:t>Nonclinical</w:t>
            </w:r>
            <w:r>
              <w:rPr>
                <w:noProof/>
                <w:webHidden/>
              </w:rPr>
              <w:tab/>
            </w:r>
            <w:r>
              <w:rPr>
                <w:noProof/>
                <w:webHidden/>
              </w:rPr>
              <w:fldChar w:fldCharType="begin"/>
            </w:r>
            <w:r>
              <w:rPr>
                <w:noProof/>
                <w:webHidden/>
              </w:rPr>
              <w:instrText xml:space="preserve"> PAGEREF _Toc519257448 \h </w:instrText>
            </w:r>
            <w:r>
              <w:rPr>
                <w:noProof/>
                <w:webHidden/>
              </w:rPr>
            </w:r>
            <w:r>
              <w:rPr>
                <w:noProof/>
                <w:webHidden/>
              </w:rPr>
              <w:fldChar w:fldCharType="separate"/>
            </w:r>
            <w:r>
              <w:rPr>
                <w:noProof/>
                <w:webHidden/>
              </w:rPr>
              <w:t>31</w:t>
            </w:r>
            <w:r>
              <w:rPr>
                <w:noProof/>
                <w:webHidden/>
              </w:rPr>
              <w:fldChar w:fldCharType="end"/>
            </w:r>
          </w:hyperlink>
        </w:p>
        <w:p w14:paraId="42F10BEB" w14:textId="77777777" w:rsidR="00F87F57" w:rsidRDefault="00F87F57">
          <w:pPr>
            <w:pStyle w:val="TOC3"/>
            <w:rPr>
              <w:rFonts w:asciiTheme="minorHAnsi" w:eastAsiaTheme="minorEastAsia" w:hAnsiTheme="minorHAnsi" w:cstheme="minorBidi"/>
              <w:noProof/>
              <w:lang w:eastAsia="en-AU"/>
            </w:rPr>
          </w:pPr>
          <w:hyperlink w:anchor="_Toc519257449" w:history="1">
            <w:r w:rsidRPr="00AD2F32">
              <w:rPr>
                <w:rStyle w:val="Hyperlink"/>
                <w:noProof/>
              </w:rPr>
              <w:t>Clinical</w:t>
            </w:r>
            <w:r>
              <w:rPr>
                <w:noProof/>
                <w:webHidden/>
              </w:rPr>
              <w:tab/>
            </w:r>
            <w:r>
              <w:rPr>
                <w:noProof/>
                <w:webHidden/>
              </w:rPr>
              <w:fldChar w:fldCharType="begin"/>
            </w:r>
            <w:r>
              <w:rPr>
                <w:noProof/>
                <w:webHidden/>
              </w:rPr>
              <w:instrText xml:space="preserve"> PAGEREF _Toc519257449 \h </w:instrText>
            </w:r>
            <w:r>
              <w:rPr>
                <w:noProof/>
                <w:webHidden/>
              </w:rPr>
            </w:r>
            <w:r>
              <w:rPr>
                <w:noProof/>
                <w:webHidden/>
              </w:rPr>
              <w:fldChar w:fldCharType="separate"/>
            </w:r>
            <w:r>
              <w:rPr>
                <w:noProof/>
                <w:webHidden/>
              </w:rPr>
              <w:t>31</w:t>
            </w:r>
            <w:r>
              <w:rPr>
                <w:noProof/>
                <w:webHidden/>
              </w:rPr>
              <w:fldChar w:fldCharType="end"/>
            </w:r>
          </w:hyperlink>
        </w:p>
        <w:p w14:paraId="34631D53" w14:textId="77777777" w:rsidR="00F87F57" w:rsidRDefault="00F87F57">
          <w:pPr>
            <w:pStyle w:val="TOC3"/>
            <w:rPr>
              <w:rFonts w:asciiTheme="minorHAnsi" w:eastAsiaTheme="minorEastAsia" w:hAnsiTheme="minorHAnsi" w:cstheme="minorBidi"/>
              <w:noProof/>
              <w:lang w:eastAsia="en-AU"/>
            </w:rPr>
          </w:pPr>
          <w:hyperlink w:anchor="_Toc519257450" w:history="1">
            <w:r w:rsidRPr="00AD2F32">
              <w:rPr>
                <w:rStyle w:val="Hyperlink"/>
                <w:noProof/>
                <w:lang w:eastAsia="en-AU"/>
              </w:rPr>
              <w:t>Risk management plan</w:t>
            </w:r>
            <w:r>
              <w:rPr>
                <w:noProof/>
                <w:webHidden/>
              </w:rPr>
              <w:tab/>
            </w:r>
            <w:r>
              <w:rPr>
                <w:noProof/>
                <w:webHidden/>
              </w:rPr>
              <w:fldChar w:fldCharType="begin"/>
            </w:r>
            <w:r>
              <w:rPr>
                <w:noProof/>
                <w:webHidden/>
              </w:rPr>
              <w:instrText xml:space="preserve"> PAGEREF _Toc519257450 \h </w:instrText>
            </w:r>
            <w:r>
              <w:rPr>
                <w:noProof/>
                <w:webHidden/>
              </w:rPr>
            </w:r>
            <w:r>
              <w:rPr>
                <w:noProof/>
                <w:webHidden/>
              </w:rPr>
              <w:fldChar w:fldCharType="separate"/>
            </w:r>
            <w:r>
              <w:rPr>
                <w:noProof/>
                <w:webHidden/>
              </w:rPr>
              <w:t>36</w:t>
            </w:r>
            <w:r>
              <w:rPr>
                <w:noProof/>
                <w:webHidden/>
              </w:rPr>
              <w:fldChar w:fldCharType="end"/>
            </w:r>
          </w:hyperlink>
        </w:p>
        <w:p w14:paraId="5968C2A8" w14:textId="77777777" w:rsidR="00F87F57" w:rsidRDefault="00F87F57">
          <w:pPr>
            <w:pStyle w:val="TOC3"/>
            <w:rPr>
              <w:rFonts w:asciiTheme="minorHAnsi" w:eastAsiaTheme="minorEastAsia" w:hAnsiTheme="minorHAnsi" w:cstheme="minorBidi"/>
              <w:noProof/>
              <w:lang w:eastAsia="en-AU"/>
            </w:rPr>
          </w:pPr>
          <w:hyperlink w:anchor="_Toc519257451" w:history="1">
            <w:r w:rsidRPr="00AD2F32">
              <w:rPr>
                <w:rStyle w:val="Hyperlink"/>
                <w:noProof/>
              </w:rPr>
              <w:t>Risk-benefit analysis</w:t>
            </w:r>
            <w:r>
              <w:rPr>
                <w:noProof/>
                <w:webHidden/>
              </w:rPr>
              <w:tab/>
            </w:r>
            <w:r>
              <w:rPr>
                <w:noProof/>
                <w:webHidden/>
              </w:rPr>
              <w:fldChar w:fldCharType="begin"/>
            </w:r>
            <w:r>
              <w:rPr>
                <w:noProof/>
                <w:webHidden/>
              </w:rPr>
              <w:instrText xml:space="preserve"> PAGEREF _Toc519257451 \h </w:instrText>
            </w:r>
            <w:r>
              <w:rPr>
                <w:noProof/>
                <w:webHidden/>
              </w:rPr>
            </w:r>
            <w:r>
              <w:rPr>
                <w:noProof/>
                <w:webHidden/>
              </w:rPr>
              <w:fldChar w:fldCharType="separate"/>
            </w:r>
            <w:r>
              <w:rPr>
                <w:noProof/>
                <w:webHidden/>
              </w:rPr>
              <w:t>37</w:t>
            </w:r>
            <w:r>
              <w:rPr>
                <w:noProof/>
                <w:webHidden/>
              </w:rPr>
              <w:fldChar w:fldCharType="end"/>
            </w:r>
          </w:hyperlink>
        </w:p>
        <w:p w14:paraId="23008824" w14:textId="77777777" w:rsidR="00F87F57" w:rsidRDefault="00F87F57">
          <w:pPr>
            <w:pStyle w:val="TOC3"/>
            <w:rPr>
              <w:rFonts w:asciiTheme="minorHAnsi" w:eastAsiaTheme="minorEastAsia" w:hAnsiTheme="minorHAnsi" w:cstheme="minorBidi"/>
              <w:noProof/>
              <w:lang w:eastAsia="en-AU"/>
            </w:rPr>
          </w:pPr>
          <w:hyperlink w:anchor="_Toc519257452" w:history="1">
            <w:r w:rsidRPr="00AD2F32">
              <w:rPr>
                <w:rStyle w:val="Hyperlink"/>
                <w:noProof/>
              </w:rPr>
              <w:t>Outcome</w:t>
            </w:r>
            <w:r>
              <w:rPr>
                <w:noProof/>
                <w:webHidden/>
              </w:rPr>
              <w:tab/>
            </w:r>
            <w:r>
              <w:rPr>
                <w:noProof/>
                <w:webHidden/>
              </w:rPr>
              <w:fldChar w:fldCharType="begin"/>
            </w:r>
            <w:r>
              <w:rPr>
                <w:noProof/>
                <w:webHidden/>
              </w:rPr>
              <w:instrText xml:space="preserve"> PAGEREF _Toc519257452 \h </w:instrText>
            </w:r>
            <w:r>
              <w:rPr>
                <w:noProof/>
                <w:webHidden/>
              </w:rPr>
            </w:r>
            <w:r>
              <w:rPr>
                <w:noProof/>
                <w:webHidden/>
              </w:rPr>
              <w:fldChar w:fldCharType="separate"/>
            </w:r>
            <w:r>
              <w:rPr>
                <w:noProof/>
                <w:webHidden/>
              </w:rPr>
              <w:t>39</w:t>
            </w:r>
            <w:r>
              <w:rPr>
                <w:noProof/>
                <w:webHidden/>
              </w:rPr>
              <w:fldChar w:fldCharType="end"/>
            </w:r>
          </w:hyperlink>
        </w:p>
        <w:p w14:paraId="66739023" w14:textId="77777777" w:rsidR="00F87F57" w:rsidRDefault="00F87F57">
          <w:pPr>
            <w:pStyle w:val="TOC2"/>
            <w:rPr>
              <w:rFonts w:asciiTheme="minorHAnsi" w:eastAsiaTheme="minorEastAsia" w:hAnsiTheme="minorHAnsi" w:cstheme="minorBidi"/>
              <w:b w:val="0"/>
              <w:noProof/>
              <w:sz w:val="22"/>
              <w:lang w:eastAsia="en-AU"/>
            </w:rPr>
          </w:pPr>
          <w:hyperlink w:anchor="_Toc519257453" w:history="1">
            <w:r w:rsidRPr="00AD2F32">
              <w:rPr>
                <w:rStyle w:val="Hyperlink"/>
                <w:noProof/>
              </w:rPr>
              <w:t>Attachment 1. Product Information</w:t>
            </w:r>
            <w:r>
              <w:rPr>
                <w:noProof/>
                <w:webHidden/>
              </w:rPr>
              <w:tab/>
            </w:r>
            <w:r>
              <w:rPr>
                <w:noProof/>
                <w:webHidden/>
              </w:rPr>
              <w:fldChar w:fldCharType="begin"/>
            </w:r>
            <w:r>
              <w:rPr>
                <w:noProof/>
                <w:webHidden/>
              </w:rPr>
              <w:instrText xml:space="preserve"> PAGEREF _Toc519257453 \h </w:instrText>
            </w:r>
            <w:r>
              <w:rPr>
                <w:noProof/>
                <w:webHidden/>
              </w:rPr>
            </w:r>
            <w:r>
              <w:rPr>
                <w:noProof/>
                <w:webHidden/>
              </w:rPr>
              <w:fldChar w:fldCharType="separate"/>
            </w:r>
            <w:r>
              <w:rPr>
                <w:noProof/>
                <w:webHidden/>
              </w:rPr>
              <w:t>39</w:t>
            </w:r>
            <w:r>
              <w:rPr>
                <w:noProof/>
                <w:webHidden/>
              </w:rPr>
              <w:fldChar w:fldCharType="end"/>
            </w:r>
          </w:hyperlink>
        </w:p>
        <w:p w14:paraId="7A6D7E5B" w14:textId="77777777" w:rsidR="00F87F57" w:rsidRDefault="00F87F57">
          <w:pPr>
            <w:pStyle w:val="TOC2"/>
            <w:rPr>
              <w:rFonts w:asciiTheme="minorHAnsi" w:eastAsiaTheme="minorEastAsia" w:hAnsiTheme="minorHAnsi" w:cstheme="minorBidi"/>
              <w:b w:val="0"/>
              <w:noProof/>
              <w:sz w:val="22"/>
              <w:lang w:eastAsia="en-AU"/>
            </w:rPr>
          </w:pPr>
          <w:hyperlink w:anchor="_Toc519257454" w:history="1">
            <w:r w:rsidRPr="00AD2F32">
              <w:rPr>
                <w:rStyle w:val="Hyperlink"/>
                <w:noProof/>
                <w:lang w:eastAsia="en-AU"/>
              </w:rPr>
              <w:t xml:space="preserve">Attachment 2. </w:t>
            </w:r>
            <w:r w:rsidRPr="00AD2F32">
              <w:rPr>
                <w:rStyle w:val="Hyperlink"/>
                <w:noProof/>
              </w:rPr>
              <w:t>Extract</w:t>
            </w:r>
            <w:r w:rsidRPr="00AD2F32">
              <w:rPr>
                <w:rStyle w:val="Hyperlink"/>
                <w:noProof/>
                <w:lang w:eastAsia="en-AU"/>
              </w:rPr>
              <w:t xml:space="preserve"> from the Clinical Evaluation Report</w:t>
            </w:r>
            <w:r>
              <w:rPr>
                <w:noProof/>
                <w:webHidden/>
              </w:rPr>
              <w:tab/>
            </w:r>
            <w:r>
              <w:rPr>
                <w:noProof/>
                <w:webHidden/>
              </w:rPr>
              <w:fldChar w:fldCharType="begin"/>
            </w:r>
            <w:r>
              <w:rPr>
                <w:noProof/>
                <w:webHidden/>
              </w:rPr>
              <w:instrText xml:space="preserve"> PAGEREF _Toc519257454 \h </w:instrText>
            </w:r>
            <w:r>
              <w:rPr>
                <w:noProof/>
                <w:webHidden/>
              </w:rPr>
            </w:r>
            <w:r>
              <w:rPr>
                <w:noProof/>
                <w:webHidden/>
              </w:rPr>
              <w:fldChar w:fldCharType="separate"/>
            </w:r>
            <w:r>
              <w:rPr>
                <w:noProof/>
                <w:webHidden/>
              </w:rPr>
              <w:t>39</w:t>
            </w:r>
            <w:r>
              <w:rPr>
                <w:noProof/>
                <w:webHidden/>
              </w:rPr>
              <w:fldChar w:fldCharType="end"/>
            </w:r>
          </w:hyperlink>
        </w:p>
        <w:p w14:paraId="348140DF" w14:textId="77777777" w:rsidR="003A7F6C" w:rsidRPr="008F78AF" w:rsidRDefault="00DB6124" w:rsidP="00B811C6">
          <w:pPr>
            <w:pStyle w:val="TOC2"/>
            <w:rPr>
              <w:sz w:val="24"/>
            </w:rPr>
          </w:pPr>
          <w:r w:rsidRPr="008F78AF">
            <w:rPr>
              <w:sz w:val="24"/>
            </w:rPr>
            <w:fldChar w:fldCharType="end"/>
          </w:r>
        </w:p>
      </w:sdtContent>
    </w:sdt>
    <w:bookmarkStart w:id="3" w:name="_Toc314842482" w:displacedByCustomXml="prev"/>
    <w:p w14:paraId="5DA28BE4" w14:textId="77777777" w:rsidR="00FD119B" w:rsidRDefault="00FD119B">
      <w:pPr>
        <w:spacing w:before="0" w:after="200" w:line="0" w:lineRule="auto"/>
      </w:pPr>
      <w:r>
        <w:br w:type="page"/>
      </w:r>
    </w:p>
    <w:p w14:paraId="3FDDA4B6" w14:textId="77777777" w:rsidR="00FD119B" w:rsidRPr="00FD119B" w:rsidRDefault="00441C3F" w:rsidP="003037A3">
      <w:pPr>
        <w:pStyle w:val="Heading2"/>
      </w:pPr>
      <w:bookmarkStart w:id="4" w:name="_Toc351716269"/>
      <w:bookmarkStart w:id="5" w:name="_Toc351718881"/>
      <w:bookmarkStart w:id="6" w:name="_Toc355338616"/>
      <w:bookmarkStart w:id="7" w:name="_Toc356306144"/>
      <w:bookmarkStart w:id="8" w:name="_Toc519257418"/>
      <w:r>
        <w:lastRenderedPageBreak/>
        <w:t>Common</w:t>
      </w:r>
      <w:r w:rsidR="00FD119B" w:rsidRPr="00FD119B">
        <w:t xml:space="preserve"> </w:t>
      </w:r>
      <w:r w:rsidR="00FD119B" w:rsidRPr="003037A3">
        <w:t>abbreviations</w:t>
      </w:r>
      <w:bookmarkEnd w:id="4"/>
      <w:bookmarkEnd w:id="5"/>
      <w:bookmarkEnd w:id="6"/>
      <w:bookmarkEnd w:id="7"/>
      <w:bookmarkEnd w:id="8"/>
    </w:p>
    <w:tbl>
      <w:tblPr>
        <w:tblStyle w:val="TableTGAblue"/>
        <w:tblW w:w="8837" w:type="dxa"/>
        <w:tblLook w:val="04A0" w:firstRow="1" w:lastRow="0" w:firstColumn="1" w:lastColumn="0" w:noHBand="0" w:noVBand="1"/>
      </w:tblPr>
      <w:tblGrid>
        <w:gridCol w:w="1726"/>
        <w:gridCol w:w="7111"/>
      </w:tblGrid>
      <w:tr w:rsidR="0061798A" w:rsidRPr="00FD119B" w14:paraId="5CC58F5C" w14:textId="77777777" w:rsidTr="00A17D08">
        <w:trPr>
          <w:cnfStyle w:val="100000000000" w:firstRow="1" w:lastRow="0" w:firstColumn="0" w:lastColumn="0" w:oddVBand="0" w:evenVBand="0" w:oddHBand="0" w:evenHBand="0" w:firstRowFirstColumn="0" w:firstRowLastColumn="0" w:lastRowFirstColumn="0" w:lastRowLastColumn="0"/>
        </w:trPr>
        <w:tc>
          <w:tcPr>
            <w:tcW w:w="1726" w:type="dxa"/>
          </w:tcPr>
          <w:p w14:paraId="3504AFC3" w14:textId="77777777" w:rsidR="00FD119B" w:rsidRPr="00FD119B" w:rsidRDefault="00FD119B" w:rsidP="00FD119B">
            <w:pPr>
              <w:keepNext w:val="0"/>
              <w:ind w:left="0" w:right="0"/>
              <w:rPr>
                <w:szCs w:val="22"/>
                <w:lang w:eastAsia="en-US"/>
              </w:rPr>
            </w:pPr>
            <w:r w:rsidRPr="00FD119B">
              <w:rPr>
                <w:szCs w:val="22"/>
                <w:lang w:eastAsia="en-US"/>
              </w:rPr>
              <w:t>Abbreviation</w:t>
            </w:r>
          </w:p>
        </w:tc>
        <w:tc>
          <w:tcPr>
            <w:tcW w:w="7111" w:type="dxa"/>
          </w:tcPr>
          <w:p w14:paraId="0FD796EC" w14:textId="77777777" w:rsidR="00FD119B" w:rsidRPr="00FD119B" w:rsidRDefault="00FD119B" w:rsidP="00FD119B">
            <w:pPr>
              <w:keepNext w:val="0"/>
              <w:ind w:left="0" w:right="0"/>
              <w:rPr>
                <w:szCs w:val="22"/>
                <w:lang w:eastAsia="en-US"/>
              </w:rPr>
            </w:pPr>
            <w:r w:rsidRPr="00FD119B">
              <w:rPr>
                <w:szCs w:val="22"/>
                <w:lang w:eastAsia="en-US"/>
              </w:rPr>
              <w:t>Meaning</w:t>
            </w:r>
          </w:p>
        </w:tc>
      </w:tr>
      <w:tr w:rsidR="0061798A" w14:paraId="1605D810" w14:textId="77777777" w:rsidTr="008F78AF">
        <w:trPr>
          <w:trHeight w:val="425"/>
        </w:trPr>
        <w:tc>
          <w:tcPr>
            <w:tcW w:w="1726" w:type="dxa"/>
          </w:tcPr>
          <w:p w14:paraId="22199C08" w14:textId="77777777" w:rsidR="00C40306" w:rsidRDefault="00C40306" w:rsidP="00DE31FA">
            <w:r>
              <w:t>AE</w:t>
            </w:r>
          </w:p>
        </w:tc>
        <w:tc>
          <w:tcPr>
            <w:tcW w:w="7111" w:type="dxa"/>
          </w:tcPr>
          <w:p w14:paraId="4B83B00E" w14:textId="1B447B27" w:rsidR="00C40306" w:rsidRDefault="00C40306" w:rsidP="0061798A">
            <w:r>
              <w:t xml:space="preserve">Adverse </w:t>
            </w:r>
            <w:r w:rsidR="0061798A">
              <w:t>event</w:t>
            </w:r>
          </w:p>
        </w:tc>
      </w:tr>
      <w:tr w:rsidR="0061798A" w14:paraId="24B164D4" w14:textId="77777777" w:rsidTr="008F78AF">
        <w:trPr>
          <w:trHeight w:val="425"/>
        </w:trPr>
        <w:tc>
          <w:tcPr>
            <w:tcW w:w="1726" w:type="dxa"/>
          </w:tcPr>
          <w:p w14:paraId="793EA285" w14:textId="77777777" w:rsidR="00C40306" w:rsidRDefault="00C40306" w:rsidP="00DE31FA">
            <w:r>
              <w:t>ALC</w:t>
            </w:r>
          </w:p>
        </w:tc>
        <w:tc>
          <w:tcPr>
            <w:tcW w:w="7111" w:type="dxa"/>
          </w:tcPr>
          <w:p w14:paraId="72EDB7CF" w14:textId="77777777" w:rsidR="00C40306" w:rsidRDefault="00C40306" w:rsidP="00DE31FA">
            <w:r>
              <w:t>Absolute lymphocyte count</w:t>
            </w:r>
          </w:p>
        </w:tc>
      </w:tr>
      <w:tr w:rsidR="0061798A" w14:paraId="136D54E3" w14:textId="77777777" w:rsidTr="008F78AF">
        <w:trPr>
          <w:trHeight w:val="425"/>
        </w:trPr>
        <w:tc>
          <w:tcPr>
            <w:tcW w:w="1726" w:type="dxa"/>
          </w:tcPr>
          <w:p w14:paraId="4475F0C2" w14:textId="77777777" w:rsidR="00C40306" w:rsidRDefault="00C40306" w:rsidP="00DE31FA">
            <w:r>
              <w:t>ALT</w:t>
            </w:r>
          </w:p>
        </w:tc>
        <w:tc>
          <w:tcPr>
            <w:tcW w:w="7111" w:type="dxa"/>
          </w:tcPr>
          <w:p w14:paraId="7BA210D9" w14:textId="77777777" w:rsidR="00C40306" w:rsidRDefault="00C40306" w:rsidP="00DE31FA">
            <w:r>
              <w:t>Alanine aminotransferase</w:t>
            </w:r>
          </w:p>
        </w:tc>
      </w:tr>
      <w:tr w:rsidR="0061798A" w14:paraId="0BD7B644" w14:textId="77777777" w:rsidTr="008F78AF">
        <w:trPr>
          <w:trHeight w:val="425"/>
        </w:trPr>
        <w:tc>
          <w:tcPr>
            <w:tcW w:w="1726" w:type="dxa"/>
          </w:tcPr>
          <w:p w14:paraId="645E4C46" w14:textId="77777777" w:rsidR="00C40306" w:rsidRDefault="00C40306" w:rsidP="00DE31FA">
            <w:r>
              <w:t>AMC</w:t>
            </w:r>
          </w:p>
        </w:tc>
        <w:tc>
          <w:tcPr>
            <w:tcW w:w="7111" w:type="dxa"/>
          </w:tcPr>
          <w:p w14:paraId="10A10208" w14:textId="77777777" w:rsidR="00C40306" w:rsidRDefault="00C40306" w:rsidP="00DE31FA">
            <w:r>
              <w:t>Absolute monocyte count</w:t>
            </w:r>
          </w:p>
        </w:tc>
      </w:tr>
      <w:tr w:rsidR="0061798A" w14:paraId="128168CD" w14:textId="77777777" w:rsidTr="008F78AF">
        <w:trPr>
          <w:trHeight w:val="425"/>
        </w:trPr>
        <w:tc>
          <w:tcPr>
            <w:tcW w:w="1726" w:type="dxa"/>
          </w:tcPr>
          <w:p w14:paraId="6D77FB82" w14:textId="77777777" w:rsidR="00C40306" w:rsidRDefault="00C40306" w:rsidP="00DE31FA">
            <w:r>
              <w:t>AML</w:t>
            </w:r>
          </w:p>
        </w:tc>
        <w:tc>
          <w:tcPr>
            <w:tcW w:w="7111" w:type="dxa"/>
          </w:tcPr>
          <w:p w14:paraId="2EF89BE5" w14:textId="77777777" w:rsidR="00C40306" w:rsidRDefault="00C40306" w:rsidP="00DE31FA">
            <w:r>
              <w:t>Acute myelogenous leukaemia</w:t>
            </w:r>
          </w:p>
        </w:tc>
      </w:tr>
      <w:tr w:rsidR="0061798A" w14:paraId="5812CF1E" w14:textId="77777777" w:rsidTr="008F78AF">
        <w:trPr>
          <w:trHeight w:val="425"/>
        </w:trPr>
        <w:tc>
          <w:tcPr>
            <w:tcW w:w="1726" w:type="dxa"/>
          </w:tcPr>
          <w:p w14:paraId="099E3454" w14:textId="77777777" w:rsidR="00C40306" w:rsidRDefault="00C40306" w:rsidP="00DE31FA">
            <w:r>
              <w:t>ANC</w:t>
            </w:r>
          </w:p>
        </w:tc>
        <w:tc>
          <w:tcPr>
            <w:tcW w:w="7111" w:type="dxa"/>
          </w:tcPr>
          <w:p w14:paraId="154A224E" w14:textId="77777777" w:rsidR="00C40306" w:rsidRDefault="00C40306" w:rsidP="00DE31FA">
            <w:r>
              <w:t>Absolute neutrophil count</w:t>
            </w:r>
          </w:p>
        </w:tc>
      </w:tr>
      <w:tr w:rsidR="0061798A" w14:paraId="5F21CF80" w14:textId="77777777" w:rsidTr="008F78AF">
        <w:trPr>
          <w:trHeight w:val="425"/>
        </w:trPr>
        <w:tc>
          <w:tcPr>
            <w:tcW w:w="1726" w:type="dxa"/>
          </w:tcPr>
          <w:p w14:paraId="64A0A85C" w14:textId="77777777" w:rsidR="00C40306" w:rsidRDefault="00C40306" w:rsidP="00DE31FA">
            <w:r>
              <w:t>ANOVA</w:t>
            </w:r>
          </w:p>
        </w:tc>
        <w:tc>
          <w:tcPr>
            <w:tcW w:w="7111" w:type="dxa"/>
          </w:tcPr>
          <w:p w14:paraId="0267B1EF" w14:textId="77777777" w:rsidR="00C40306" w:rsidRDefault="00C40306" w:rsidP="00DE31FA">
            <w:r>
              <w:t>Analysis of variance</w:t>
            </w:r>
          </w:p>
        </w:tc>
      </w:tr>
      <w:tr w:rsidR="0061798A" w14:paraId="701C6D88" w14:textId="77777777" w:rsidTr="008F78AF">
        <w:trPr>
          <w:trHeight w:val="425"/>
        </w:trPr>
        <w:tc>
          <w:tcPr>
            <w:tcW w:w="1726" w:type="dxa"/>
          </w:tcPr>
          <w:p w14:paraId="2F224BC1" w14:textId="77777777" w:rsidR="00C40306" w:rsidRDefault="00C40306" w:rsidP="00DE31FA">
            <w:r>
              <w:t>ANCOVA</w:t>
            </w:r>
          </w:p>
        </w:tc>
        <w:tc>
          <w:tcPr>
            <w:tcW w:w="7111" w:type="dxa"/>
          </w:tcPr>
          <w:p w14:paraId="51C0E4F5" w14:textId="77777777" w:rsidR="00C40306" w:rsidRDefault="00C40306" w:rsidP="00DE31FA">
            <w:r>
              <w:t>Analysis of covariance</w:t>
            </w:r>
          </w:p>
        </w:tc>
      </w:tr>
      <w:tr w:rsidR="0061798A" w14:paraId="72260B14" w14:textId="77777777" w:rsidTr="008F78AF">
        <w:trPr>
          <w:trHeight w:val="425"/>
        </w:trPr>
        <w:tc>
          <w:tcPr>
            <w:tcW w:w="1726" w:type="dxa"/>
          </w:tcPr>
          <w:p w14:paraId="0DA2F524" w14:textId="77777777" w:rsidR="00C40306" w:rsidRDefault="00C40306" w:rsidP="00DE31FA">
            <w:r>
              <w:t>ARR</w:t>
            </w:r>
          </w:p>
        </w:tc>
        <w:tc>
          <w:tcPr>
            <w:tcW w:w="7111" w:type="dxa"/>
          </w:tcPr>
          <w:p w14:paraId="3FA32DEF" w14:textId="77777777" w:rsidR="00C40306" w:rsidRDefault="00C40306" w:rsidP="00DE31FA">
            <w:r>
              <w:t>Annualised relapse rate</w:t>
            </w:r>
          </w:p>
        </w:tc>
      </w:tr>
      <w:tr w:rsidR="0061798A" w14:paraId="076C01DE" w14:textId="77777777" w:rsidTr="008F78AF">
        <w:trPr>
          <w:trHeight w:val="425"/>
        </w:trPr>
        <w:tc>
          <w:tcPr>
            <w:tcW w:w="1726" w:type="dxa"/>
          </w:tcPr>
          <w:p w14:paraId="3883F5A1" w14:textId="77777777" w:rsidR="00C40306" w:rsidRDefault="00C40306" w:rsidP="00DE31FA">
            <w:r>
              <w:t>AST</w:t>
            </w:r>
          </w:p>
        </w:tc>
        <w:tc>
          <w:tcPr>
            <w:tcW w:w="7111" w:type="dxa"/>
          </w:tcPr>
          <w:p w14:paraId="3972E29A" w14:textId="77777777" w:rsidR="00C40306" w:rsidRDefault="00C40306" w:rsidP="00DE31FA">
            <w:r>
              <w:t>Aspartate aminotransferase</w:t>
            </w:r>
          </w:p>
        </w:tc>
      </w:tr>
      <w:tr w:rsidR="0061798A" w14:paraId="337CAA82" w14:textId="77777777" w:rsidTr="008F78AF">
        <w:trPr>
          <w:trHeight w:val="425"/>
        </w:trPr>
        <w:tc>
          <w:tcPr>
            <w:tcW w:w="1726" w:type="dxa"/>
          </w:tcPr>
          <w:p w14:paraId="559065E8" w14:textId="77777777" w:rsidR="00C40306" w:rsidRDefault="00C40306" w:rsidP="00DE31FA">
            <w:r>
              <w:t>ATC</w:t>
            </w:r>
          </w:p>
        </w:tc>
        <w:tc>
          <w:tcPr>
            <w:tcW w:w="7111" w:type="dxa"/>
          </w:tcPr>
          <w:p w14:paraId="1FA26155" w14:textId="77777777" w:rsidR="00C40306" w:rsidRDefault="00C40306" w:rsidP="00DE31FA">
            <w:r>
              <w:t>Anatomic Therapeutic Chemical classification</w:t>
            </w:r>
          </w:p>
        </w:tc>
      </w:tr>
      <w:tr w:rsidR="0061798A" w14:paraId="67B8CEAC" w14:textId="77777777" w:rsidTr="008F78AF">
        <w:trPr>
          <w:trHeight w:val="425"/>
        </w:trPr>
        <w:tc>
          <w:tcPr>
            <w:tcW w:w="1726" w:type="dxa"/>
          </w:tcPr>
          <w:p w14:paraId="50A612A5" w14:textId="77777777" w:rsidR="00C40306" w:rsidRDefault="00C40306" w:rsidP="00DE31FA">
            <w:r>
              <w:t>AUC</w:t>
            </w:r>
          </w:p>
        </w:tc>
        <w:tc>
          <w:tcPr>
            <w:tcW w:w="7111" w:type="dxa"/>
          </w:tcPr>
          <w:p w14:paraId="0E26207B" w14:textId="77777777" w:rsidR="00C40306" w:rsidRDefault="00C40306" w:rsidP="00DE31FA">
            <w:r>
              <w:t>Area under the plasma concentration time curve</w:t>
            </w:r>
          </w:p>
        </w:tc>
      </w:tr>
      <w:tr w:rsidR="0061798A" w14:paraId="4F0C6043" w14:textId="77777777" w:rsidTr="008F78AF">
        <w:trPr>
          <w:trHeight w:val="425"/>
        </w:trPr>
        <w:tc>
          <w:tcPr>
            <w:tcW w:w="1726" w:type="dxa"/>
          </w:tcPr>
          <w:p w14:paraId="37DD7AF8" w14:textId="77777777" w:rsidR="00C40306" w:rsidRDefault="00C40306" w:rsidP="00DE31FA">
            <w:r>
              <w:t>AUC</w:t>
            </w:r>
            <w:r w:rsidRPr="005F11F7">
              <w:rPr>
                <w:vertAlign w:val="subscript"/>
              </w:rPr>
              <w:t>0-inf</w:t>
            </w:r>
          </w:p>
        </w:tc>
        <w:tc>
          <w:tcPr>
            <w:tcW w:w="7111" w:type="dxa"/>
          </w:tcPr>
          <w:p w14:paraId="46C357CE" w14:textId="77777777" w:rsidR="00C40306" w:rsidRDefault="00C40306" w:rsidP="00DE31FA">
            <w:r>
              <w:t>Area under the plasma concentration time curve from time 0 to infinity</w:t>
            </w:r>
          </w:p>
        </w:tc>
      </w:tr>
      <w:tr w:rsidR="0061798A" w14:paraId="4075A80B" w14:textId="77777777" w:rsidTr="008F78AF">
        <w:trPr>
          <w:trHeight w:val="425"/>
        </w:trPr>
        <w:tc>
          <w:tcPr>
            <w:tcW w:w="1726" w:type="dxa"/>
          </w:tcPr>
          <w:p w14:paraId="28D5CFCB" w14:textId="77777777" w:rsidR="00C40306" w:rsidRDefault="00C40306" w:rsidP="00DE31FA">
            <w:r>
              <w:t>BPF</w:t>
            </w:r>
          </w:p>
        </w:tc>
        <w:tc>
          <w:tcPr>
            <w:tcW w:w="7111" w:type="dxa"/>
          </w:tcPr>
          <w:p w14:paraId="2D917657" w14:textId="77777777" w:rsidR="00C40306" w:rsidRDefault="00C40306" w:rsidP="00DE31FA">
            <w:r>
              <w:t>Brain parenchymal fraction</w:t>
            </w:r>
          </w:p>
        </w:tc>
      </w:tr>
      <w:tr w:rsidR="0061798A" w14:paraId="0282DE3E" w14:textId="77777777" w:rsidTr="008F78AF">
        <w:trPr>
          <w:trHeight w:val="425"/>
        </w:trPr>
        <w:tc>
          <w:tcPr>
            <w:tcW w:w="1726" w:type="dxa"/>
          </w:tcPr>
          <w:p w14:paraId="7CBC8FED" w14:textId="77777777" w:rsidR="00C40306" w:rsidRDefault="00C40306" w:rsidP="00DE31FA">
            <w:r>
              <w:t>BVMT-R</w:t>
            </w:r>
          </w:p>
        </w:tc>
        <w:tc>
          <w:tcPr>
            <w:tcW w:w="7111" w:type="dxa"/>
          </w:tcPr>
          <w:p w14:paraId="68EA6072" w14:textId="77777777" w:rsidR="00C40306" w:rsidRDefault="00C40306" w:rsidP="00DE31FA">
            <w:r>
              <w:t>Brief Visuospacial Memory Test Revised</w:t>
            </w:r>
          </w:p>
        </w:tc>
      </w:tr>
      <w:tr w:rsidR="0061798A" w14:paraId="06D7CF6E" w14:textId="77777777" w:rsidTr="008F78AF">
        <w:trPr>
          <w:trHeight w:val="425"/>
        </w:trPr>
        <w:tc>
          <w:tcPr>
            <w:tcW w:w="1726" w:type="dxa"/>
          </w:tcPr>
          <w:p w14:paraId="7194A86B" w14:textId="77777777" w:rsidR="00C40306" w:rsidRDefault="00C40306" w:rsidP="00DE31FA">
            <w:r>
              <w:t>CBC</w:t>
            </w:r>
          </w:p>
        </w:tc>
        <w:tc>
          <w:tcPr>
            <w:tcW w:w="7111" w:type="dxa"/>
          </w:tcPr>
          <w:p w14:paraId="6F0DFE0B" w14:textId="77777777" w:rsidR="00C40306" w:rsidRDefault="00C40306" w:rsidP="00DE31FA">
            <w:r>
              <w:t>Complete blood count</w:t>
            </w:r>
          </w:p>
        </w:tc>
      </w:tr>
      <w:tr w:rsidR="0061798A" w14:paraId="36C3CCA0" w14:textId="77777777" w:rsidTr="008F78AF">
        <w:trPr>
          <w:trHeight w:val="425"/>
        </w:trPr>
        <w:tc>
          <w:tcPr>
            <w:tcW w:w="1726" w:type="dxa"/>
          </w:tcPr>
          <w:p w14:paraId="203D63F0" w14:textId="77777777" w:rsidR="00C40306" w:rsidRDefault="00C40306" w:rsidP="00DE31FA">
            <w:r>
              <w:t>CDMS</w:t>
            </w:r>
          </w:p>
        </w:tc>
        <w:tc>
          <w:tcPr>
            <w:tcW w:w="7111" w:type="dxa"/>
          </w:tcPr>
          <w:p w14:paraId="6E2FB1C5" w14:textId="77777777" w:rsidR="00C40306" w:rsidRDefault="00C40306" w:rsidP="00DE31FA">
            <w:r>
              <w:t>Clinically definite multiple sclerosis</w:t>
            </w:r>
          </w:p>
        </w:tc>
      </w:tr>
      <w:tr w:rsidR="0061798A" w14:paraId="38DDFAB6" w14:textId="77777777" w:rsidTr="008F78AF">
        <w:trPr>
          <w:trHeight w:val="425"/>
        </w:trPr>
        <w:tc>
          <w:tcPr>
            <w:tcW w:w="1726" w:type="dxa"/>
          </w:tcPr>
          <w:p w14:paraId="108DEBEC" w14:textId="77777777" w:rsidR="00C40306" w:rsidRDefault="00C40306" w:rsidP="00DE31FA">
            <w:r>
              <w:t>CHMP</w:t>
            </w:r>
          </w:p>
        </w:tc>
        <w:tc>
          <w:tcPr>
            <w:tcW w:w="7111" w:type="dxa"/>
          </w:tcPr>
          <w:p w14:paraId="2FA06F63" w14:textId="77777777" w:rsidR="00C40306" w:rsidRDefault="00C40306" w:rsidP="00DE31FA">
            <w:r>
              <w:t>Committee for Medicinal Products for Human Use</w:t>
            </w:r>
          </w:p>
        </w:tc>
      </w:tr>
      <w:tr w:rsidR="0061798A" w14:paraId="784C63B9" w14:textId="77777777" w:rsidTr="008F78AF">
        <w:trPr>
          <w:trHeight w:val="425"/>
        </w:trPr>
        <w:tc>
          <w:tcPr>
            <w:tcW w:w="1726" w:type="dxa"/>
          </w:tcPr>
          <w:p w14:paraId="36E7F87A" w14:textId="77777777" w:rsidR="00C40306" w:rsidRDefault="00C40306" w:rsidP="00DE31FA">
            <w:r>
              <w:t>CI</w:t>
            </w:r>
          </w:p>
        </w:tc>
        <w:tc>
          <w:tcPr>
            <w:tcW w:w="7111" w:type="dxa"/>
          </w:tcPr>
          <w:p w14:paraId="7C342A6C" w14:textId="77777777" w:rsidR="00C40306" w:rsidRDefault="00C40306" w:rsidP="00DE31FA">
            <w:r>
              <w:t>Confidence interval</w:t>
            </w:r>
          </w:p>
        </w:tc>
      </w:tr>
      <w:tr w:rsidR="0061798A" w14:paraId="4C107D8D" w14:textId="77777777" w:rsidTr="008F78AF">
        <w:trPr>
          <w:trHeight w:val="425"/>
        </w:trPr>
        <w:tc>
          <w:tcPr>
            <w:tcW w:w="1726" w:type="dxa"/>
          </w:tcPr>
          <w:p w14:paraId="259A9F07" w14:textId="77777777" w:rsidR="00C40306" w:rsidRDefault="00C40306" w:rsidP="00DE31FA">
            <w:r>
              <w:t>CIS</w:t>
            </w:r>
          </w:p>
        </w:tc>
        <w:tc>
          <w:tcPr>
            <w:tcW w:w="7111" w:type="dxa"/>
          </w:tcPr>
          <w:p w14:paraId="37D39BE5" w14:textId="6D99234D" w:rsidR="00C40306" w:rsidRDefault="00C40306" w:rsidP="0061798A">
            <w:r>
              <w:t xml:space="preserve">Clinical </w:t>
            </w:r>
            <w:r w:rsidR="0061798A">
              <w:t>isolated s</w:t>
            </w:r>
            <w:r>
              <w:t>yndrome</w:t>
            </w:r>
          </w:p>
        </w:tc>
      </w:tr>
      <w:tr w:rsidR="0061798A" w14:paraId="41709749" w14:textId="77777777" w:rsidTr="008F78AF">
        <w:trPr>
          <w:trHeight w:val="425"/>
        </w:trPr>
        <w:tc>
          <w:tcPr>
            <w:tcW w:w="1726" w:type="dxa"/>
          </w:tcPr>
          <w:p w14:paraId="2FAD7080" w14:textId="77777777" w:rsidR="00C40306" w:rsidRDefault="00C40306" w:rsidP="00DE31FA">
            <w:r>
              <w:t>CLCR</w:t>
            </w:r>
          </w:p>
        </w:tc>
        <w:tc>
          <w:tcPr>
            <w:tcW w:w="7111" w:type="dxa"/>
          </w:tcPr>
          <w:p w14:paraId="2BC1B605" w14:textId="77777777" w:rsidR="00C40306" w:rsidRDefault="00C40306" w:rsidP="00DE31FA">
            <w:r>
              <w:t>Creatinine clearance</w:t>
            </w:r>
          </w:p>
        </w:tc>
      </w:tr>
      <w:tr w:rsidR="0061798A" w14:paraId="5B8CBA49" w14:textId="77777777" w:rsidTr="008F78AF">
        <w:trPr>
          <w:trHeight w:val="425"/>
        </w:trPr>
        <w:tc>
          <w:tcPr>
            <w:tcW w:w="1726" w:type="dxa"/>
          </w:tcPr>
          <w:p w14:paraId="1768B193" w14:textId="77777777" w:rsidR="00C40306" w:rsidRDefault="00C40306" w:rsidP="00DE31FA">
            <w:r>
              <w:t>CLL</w:t>
            </w:r>
          </w:p>
        </w:tc>
        <w:tc>
          <w:tcPr>
            <w:tcW w:w="7111" w:type="dxa"/>
          </w:tcPr>
          <w:p w14:paraId="26711704" w14:textId="77777777" w:rsidR="00C40306" w:rsidRDefault="00C40306" w:rsidP="00DE31FA">
            <w:r>
              <w:t>Chronic lymphocytic leukaemia</w:t>
            </w:r>
          </w:p>
        </w:tc>
      </w:tr>
      <w:tr w:rsidR="0061798A" w14:paraId="3C5134ED" w14:textId="77777777" w:rsidTr="008F78AF">
        <w:trPr>
          <w:trHeight w:val="425"/>
        </w:trPr>
        <w:tc>
          <w:tcPr>
            <w:tcW w:w="1726" w:type="dxa"/>
          </w:tcPr>
          <w:p w14:paraId="40D36773" w14:textId="77777777" w:rsidR="00C40306" w:rsidRDefault="00C40306" w:rsidP="00DE31FA">
            <w:r>
              <w:t>C</w:t>
            </w:r>
            <w:r w:rsidRPr="00AD5752">
              <w:rPr>
                <w:vertAlign w:val="subscript"/>
              </w:rPr>
              <w:t>max</w:t>
            </w:r>
          </w:p>
        </w:tc>
        <w:tc>
          <w:tcPr>
            <w:tcW w:w="7111" w:type="dxa"/>
          </w:tcPr>
          <w:p w14:paraId="093473F5" w14:textId="77777777" w:rsidR="00C40306" w:rsidRDefault="00C40306" w:rsidP="00DE31FA">
            <w:r>
              <w:t>Maximum plasma concentration</w:t>
            </w:r>
          </w:p>
        </w:tc>
      </w:tr>
      <w:tr w:rsidR="0061798A" w14:paraId="1682B455" w14:textId="77777777" w:rsidTr="008F78AF">
        <w:trPr>
          <w:trHeight w:val="425"/>
        </w:trPr>
        <w:tc>
          <w:tcPr>
            <w:tcW w:w="1726" w:type="dxa"/>
          </w:tcPr>
          <w:p w14:paraId="12684769" w14:textId="77777777" w:rsidR="00C40306" w:rsidRDefault="00C40306" w:rsidP="00DE31FA">
            <w:r>
              <w:t>CNS</w:t>
            </w:r>
          </w:p>
        </w:tc>
        <w:tc>
          <w:tcPr>
            <w:tcW w:w="7111" w:type="dxa"/>
          </w:tcPr>
          <w:p w14:paraId="45883C6B" w14:textId="77777777" w:rsidR="00C40306" w:rsidRDefault="00C40306" w:rsidP="00DE31FA">
            <w:r>
              <w:t>Central nervous system</w:t>
            </w:r>
          </w:p>
        </w:tc>
      </w:tr>
      <w:tr w:rsidR="0061798A" w14:paraId="5E96545C" w14:textId="77777777" w:rsidTr="008F78AF">
        <w:trPr>
          <w:trHeight w:val="425"/>
        </w:trPr>
        <w:tc>
          <w:tcPr>
            <w:tcW w:w="1726" w:type="dxa"/>
          </w:tcPr>
          <w:p w14:paraId="2F4CE417" w14:textId="77777777" w:rsidR="00F826F3" w:rsidRDefault="00F826F3" w:rsidP="00DE31FA">
            <w:r>
              <w:lastRenderedPageBreak/>
              <w:t>CPMS</w:t>
            </w:r>
          </w:p>
        </w:tc>
        <w:tc>
          <w:tcPr>
            <w:tcW w:w="7111" w:type="dxa"/>
          </w:tcPr>
          <w:p w14:paraId="33D71D93" w14:textId="4EE97FFA" w:rsidR="00F826F3" w:rsidRDefault="00F826F3" w:rsidP="0061798A">
            <w:r w:rsidRPr="00F826F3">
              <w:t xml:space="preserve">Chronic </w:t>
            </w:r>
            <w:r w:rsidR="0061798A">
              <w:t>p</w:t>
            </w:r>
            <w:r w:rsidR="0061798A" w:rsidRPr="00F826F3">
              <w:t xml:space="preserve">rogressive </w:t>
            </w:r>
            <w:r w:rsidR="0061798A">
              <w:t>multiple sclerosis</w:t>
            </w:r>
          </w:p>
        </w:tc>
      </w:tr>
      <w:tr w:rsidR="0061798A" w14:paraId="682C439A" w14:textId="77777777" w:rsidTr="008F78AF">
        <w:trPr>
          <w:trHeight w:val="425"/>
        </w:trPr>
        <w:tc>
          <w:tcPr>
            <w:tcW w:w="1726" w:type="dxa"/>
          </w:tcPr>
          <w:p w14:paraId="482F43F5" w14:textId="77777777" w:rsidR="00C40306" w:rsidRDefault="00C40306" w:rsidP="00DE31FA">
            <w:r>
              <w:t>CTCAE</w:t>
            </w:r>
          </w:p>
        </w:tc>
        <w:tc>
          <w:tcPr>
            <w:tcW w:w="7111" w:type="dxa"/>
          </w:tcPr>
          <w:p w14:paraId="584EF57B" w14:textId="77777777" w:rsidR="00C40306" w:rsidRDefault="00C40306" w:rsidP="00DE31FA">
            <w:r>
              <w:t>Common Terminology Criteria for Adverse Events</w:t>
            </w:r>
          </w:p>
        </w:tc>
      </w:tr>
      <w:tr w:rsidR="0061798A" w14:paraId="55609B33" w14:textId="77777777" w:rsidTr="008F78AF">
        <w:trPr>
          <w:trHeight w:val="425"/>
        </w:trPr>
        <w:tc>
          <w:tcPr>
            <w:tcW w:w="1726" w:type="dxa"/>
          </w:tcPr>
          <w:p w14:paraId="052A5592" w14:textId="77777777" w:rsidR="00C40306" w:rsidRDefault="00C40306" w:rsidP="00DE31FA">
            <w:r>
              <w:t>CU</w:t>
            </w:r>
          </w:p>
        </w:tc>
        <w:tc>
          <w:tcPr>
            <w:tcW w:w="7111" w:type="dxa"/>
          </w:tcPr>
          <w:p w14:paraId="442187B9" w14:textId="77777777" w:rsidR="00C40306" w:rsidRDefault="00C40306" w:rsidP="00DE31FA">
            <w:r>
              <w:t>Combined Unique</w:t>
            </w:r>
          </w:p>
        </w:tc>
      </w:tr>
      <w:tr w:rsidR="0061798A" w14:paraId="5319CA34" w14:textId="77777777" w:rsidTr="008F78AF">
        <w:trPr>
          <w:trHeight w:val="425"/>
        </w:trPr>
        <w:tc>
          <w:tcPr>
            <w:tcW w:w="1726" w:type="dxa"/>
          </w:tcPr>
          <w:p w14:paraId="762EC8F1" w14:textId="77777777" w:rsidR="00C40306" w:rsidRDefault="00C40306" w:rsidP="00DE31FA">
            <w:r>
              <w:t>DAE</w:t>
            </w:r>
          </w:p>
        </w:tc>
        <w:tc>
          <w:tcPr>
            <w:tcW w:w="7111" w:type="dxa"/>
          </w:tcPr>
          <w:p w14:paraId="7BDFC872" w14:textId="77777777" w:rsidR="00C40306" w:rsidRDefault="00C40306" w:rsidP="00DE31FA">
            <w:r>
              <w:t>Discontinuation due to adverse event</w:t>
            </w:r>
          </w:p>
        </w:tc>
      </w:tr>
      <w:tr w:rsidR="0061798A" w14:paraId="5B666BA4" w14:textId="77777777" w:rsidTr="008F78AF">
        <w:trPr>
          <w:trHeight w:val="425"/>
        </w:trPr>
        <w:tc>
          <w:tcPr>
            <w:tcW w:w="1726" w:type="dxa"/>
          </w:tcPr>
          <w:p w14:paraId="1F6F126C" w14:textId="77777777" w:rsidR="00C40306" w:rsidRDefault="00C40306" w:rsidP="00DE31FA">
            <w:r>
              <w:t>DCK</w:t>
            </w:r>
          </w:p>
        </w:tc>
        <w:tc>
          <w:tcPr>
            <w:tcW w:w="7111" w:type="dxa"/>
          </w:tcPr>
          <w:p w14:paraId="0322716F" w14:textId="77777777" w:rsidR="00C40306" w:rsidRDefault="00C40306" w:rsidP="00DE31FA">
            <w:r>
              <w:t>Deoxycytidine kinase</w:t>
            </w:r>
          </w:p>
        </w:tc>
      </w:tr>
      <w:tr w:rsidR="0061798A" w14:paraId="2FF3C1D5" w14:textId="77777777" w:rsidTr="008F78AF">
        <w:trPr>
          <w:trHeight w:val="425"/>
        </w:trPr>
        <w:tc>
          <w:tcPr>
            <w:tcW w:w="1726" w:type="dxa"/>
          </w:tcPr>
          <w:p w14:paraId="033C54E4" w14:textId="77777777" w:rsidR="00C40306" w:rsidRDefault="00C40306" w:rsidP="00DE31FA">
            <w:r>
              <w:t>DER</w:t>
            </w:r>
          </w:p>
        </w:tc>
        <w:tc>
          <w:tcPr>
            <w:tcW w:w="7111" w:type="dxa"/>
          </w:tcPr>
          <w:p w14:paraId="3C915EEF" w14:textId="0C8D55C5" w:rsidR="00C40306" w:rsidRDefault="00C40306" w:rsidP="00DE31FA">
            <w:r>
              <w:t xml:space="preserve">Drug </w:t>
            </w:r>
            <w:r w:rsidR="0061798A">
              <w:t>e</w:t>
            </w:r>
            <w:r>
              <w:t xml:space="preserve">vent </w:t>
            </w:r>
            <w:r w:rsidR="0061798A">
              <w:t>r</w:t>
            </w:r>
            <w:r>
              <w:t>eport</w:t>
            </w:r>
          </w:p>
        </w:tc>
      </w:tr>
      <w:tr w:rsidR="0061798A" w14:paraId="667E1334" w14:textId="77777777" w:rsidTr="008F78AF">
        <w:trPr>
          <w:trHeight w:val="425"/>
        </w:trPr>
        <w:tc>
          <w:tcPr>
            <w:tcW w:w="1726" w:type="dxa"/>
          </w:tcPr>
          <w:p w14:paraId="355FCC0A" w14:textId="77777777" w:rsidR="00C40306" w:rsidRDefault="00C40306" w:rsidP="00DE31FA">
            <w:r>
              <w:t>DMD</w:t>
            </w:r>
          </w:p>
        </w:tc>
        <w:tc>
          <w:tcPr>
            <w:tcW w:w="7111" w:type="dxa"/>
          </w:tcPr>
          <w:p w14:paraId="3723764C" w14:textId="5BD8E690" w:rsidR="00C40306" w:rsidRDefault="00C40306" w:rsidP="00DE31FA">
            <w:r>
              <w:t xml:space="preserve">Disease </w:t>
            </w:r>
            <w:r w:rsidR="0061798A">
              <w:t>m</w:t>
            </w:r>
            <w:r>
              <w:t xml:space="preserve">odifying </w:t>
            </w:r>
            <w:r w:rsidR="0061798A">
              <w:t>d</w:t>
            </w:r>
            <w:r>
              <w:t>rug</w:t>
            </w:r>
          </w:p>
        </w:tc>
      </w:tr>
      <w:tr w:rsidR="0061798A" w14:paraId="7514268A" w14:textId="77777777" w:rsidTr="008F78AF">
        <w:trPr>
          <w:trHeight w:val="425"/>
        </w:trPr>
        <w:tc>
          <w:tcPr>
            <w:tcW w:w="1726" w:type="dxa"/>
          </w:tcPr>
          <w:p w14:paraId="0DB3AAAE" w14:textId="77777777" w:rsidR="00C40306" w:rsidRDefault="00C40306" w:rsidP="00DE31FA">
            <w:r>
              <w:t>DNA</w:t>
            </w:r>
          </w:p>
        </w:tc>
        <w:tc>
          <w:tcPr>
            <w:tcW w:w="7111" w:type="dxa"/>
          </w:tcPr>
          <w:p w14:paraId="40A78132" w14:textId="2B120BE3" w:rsidR="00C40306" w:rsidRDefault="00C40306" w:rsidP="00DE31FA">
            <w:r>
              <w:t xml:space="preserve">Deoxyribonucleic </w:t>
            </w:r>
            <w:r w:rsidR="0061798A">
              <w:t>a</w:t>
            </w:r>
            <w:r>
              <w:t>cid</w:t>
            </w:r>
          </w:p>
        </w:tc>
      </w:tr>
      <w:tr w:rsidR="0061798A" w14:paraId="2848755C" w14:textId="77777777" w:rsidTr="008F78AF">
        <w:trPr>
          <w:trHeight w:val="425"/>
        </w:trPr>
        <w:tc>
          <w:tcPr>
            <w:tcW w:w="1726" w:type="dxa"/>
          </w:tcPr>
          <w:p w14:paraId="211771FF" w14:textId="77777777" w:rsidR="00C40306" w:rsidRDefault="00C40306" w:rsidP="00DE31FA">
            <w:r>
              <w:t>DSMB</w:t>
            </w:r>
          </w:p>
        </w:tc>
        <w:tc>
          <w:tcPr>
            <w:tcW w:w="7111" w:type="dxa"/>
          </w:tcPr>
          <w:p w14:paraId="1B7D12D7" w14:textId="77777777" w:rsidR="00C40306" w:rsidRDefault="00C40306" w:rsidP="00DE31FA">
            <w:r>
              <w:t>Data Safety Monitoring Board</w:t>
            </w:r>
          </w:p>
        </w:tc>
      </w:tr>
      <w:tr w:rsidR="0061798A" w14:paraId="175DFF0E" w14:textId="77777777" w:rsidTr="008F78AF">
        <w:trPr>
          <w:trHeight w:val="425"/>
        </w:trPr>
        <w:tc>
          <w:tcPr>
            <w:tcW w:w="1726" w:type="dxa"/>
          </w:tcPr>
          <w:p w14:paraId="7ECB072F" w14:textId="77777777" w:rsidR="00C40306" w:rsidRDefault="00C40306" w:rsidP="00DE31FA">
            <w:r>
              <w:t>ECG</w:t>
            </w:r>
          </w:p>
        </w:tc>
        <w:tc>
          <w:tcPr>
            <w:tcW w:w="7111" w:type="dxa"/>
          </w:tcPr>
          <w:p w14:paraId="4DDFA231" w14:textId="77777777" w:rsidR="00C40306" w:rsidRDefault="00C40306" w:rsidP="00DE31FA">
            <w:r>
              <w:t>Electrocardiogram</w:t>
            </w:r>
          </w:p>
        </w:tc>
      </w:tr>
      <w:tr w:rsidR="0061798A" w14:paraId="6232F3BD" w14:textId="77777777" w:rsidTr="008F78AF">
        <w:trPr>
          <w:trHeight w:val="425"/>
        </w:trPr>
        <w:tc>
          <w:tcPr>
            <w:tcW w:w="1726" w:type="dxa"/>
          </w:tcPr>
          <w:p w14:paraId="0C0E79FB" w14:textId="77777777" w:rsidR="00C40306" w:rsidRDefault="00C40306" w:rsidP="00DE31FA">
            <w:r>
              <w:t>EDSS</w:t>
            </w:r>
          </w:p>
        </w:tc>
        <w:tc>
          <w:tcPr>
            <w:tcW w:w="7111" w:type="dxa"/>
          </w:tcPr>
          <w:p w14:paraId="226A4703" w14:textId="77777777" w:rsidR="00C40306" w:rsidRDefault="00C40306" w:rsidP="00DE31FA">
            <w:r>
              <w:t>Expanded Disability Status Score</w:t>
            </w:r>
          </w:p>
        </w:tc>
      </w:tr>
      <w:tr w:rsidR="0061798A" w14:paraId="540D5150" w14:textId="77777777" w:rsidTr="008F78AF">
        <w:trPr>
          <w:trHeight w:val="425"/>
        </w:trPr>
        <w:tc>
          <w:tcPr>
            <w:tcW w:w="1726" w:type="dxa"/>
          </w:tcPr>
          <w:p w14:paraId="57BD7599" w14:textId="77777777" w:rsidR="00C40306" w:rsidRDefault="00C40306" w:rsidP="00DE31FA">
            <w:r>
              <w:t>EQ-5D</w:t>
            </w:r>
          </w:p>
        </w:tc>
        <w:tc>
          <w:tcPr>
            <w:tcW w:w="7111" w:type="dxa"/>
          </w:tcPr>
          <w:p w14:paraId="1A55438E" w14:textId="77777777" w:rsidR="00C40306" w:rsidRDefault="00C40306" w:rsidP="00DE31FA">
            <w:r>
              <w:t>EuroQuol 5-dimension</w:t>
            </w:r>
          </w:p>
        </w:tc>
      </w:tr>
      <w:tr w:rsidR="0061798A" w14:paraId="24C133E3" w14:textId="77777777" w:rsidTr="008F78AF">
        <w:trPr>
          <w:trHeight w:val="425"/>
        </w:trPr>
        <w:tc>
          <w:tcPr>
            <w:tcW w:w="1726" w:type="dxa"/>
          </w:tcPr>
          <w:p w14:paraId="1DF542C8" w14:textId="77777777" w:rsidR="00C40306" w:rsidRDefault="00C40306" w:rsidP="00DE31FA">
            <w:r>
              <w:t>EU</w:t>
            </w:r>
          </w:p>
        </w:tc>
        <w:tc>
          <w:tcPr>
            <w:tcW w:w="7111" w:type="dxa"/>
          </w:tcPr>
          <w:p w14:paraId="650FA887" w14:textId="77777777" w:rsidR="00C40306" w:rsidRDefault="00C40306" w:rsidP="00DE31FA">
            <w:r>
              <w:t>European Union</w:t>
            </w:r>
          </w:p>
        </w:tc>
      </w:tr>
      <w:tr w:rsidR="0061798A" w14:paraId="474D8A43" w14:textId="77777777" w:rsidTr="008F78AF">
        <w:trPr>
          <w:trHeight w:val="425"/>
        </w:trPr>
        <w:tc>
          <w:tcPr>
            <w:tcW w:w="1726" w:type="dxa"/>
          </w:tcPr>
          <w:p w14:paraId="22F05413" w14:textId="77777777" w:rsidR="00C40306" w:rsidRDefault="00C40306" w:rsidP="00DE31FA">
            <w:r>
              <w:t>FDA</w:t>
            </w:r>
          </w:p>
        </w:tc>
        <w:tc>
          <w:tcPr>
            <w:tcW w:w="7111" w:type="dxa"/>
          </w:tcPr>
          <w:p w14:paraId="78D610C0" w14:textId="77777777" w:rsidR="00C40306" w:rsidRDefault="00C40306" w:rsidP="00DE31FA">
            <w:r>
              <w:t>US Food and Drug Administration</w:t>
            </w:r>
          </w:p>
        </w:tc>
      </w:tr>
      <w:tr w:rsidR="0061798A" w14:paraId="4BB953A0" w14:textId="77777777" w:rsidTr="008F78AF">
        <w:trPr>
          <w:trHeight w:val="425"/>
        </w:trPr>
        <w:tc>
          <w:tcPr>
            <w:tcW w:w="1726" w:type="dxa"/>
          </w:tcPr>
          <w:p w14:paraId="04BE1791" w14:textId="77777777" w:rsidR="00C40306" w:rsidRDefault="00C40306" w:rsidP="00DE31FA">
            <w:r>
              <w:t>GCP</w:t>
            </w:r>
          </w:p>
        </w:tc>
        <w:tc>
          <w:tcPr>
            <w:tcW w:w="7111" w:type="dxa"/>
          </w:tcPr>
          <w:p w14:paraId="0B9AC662" w14:textId="77777777" w:rsidR="00C40306" w:rsidRDefault="00C40306" w:rsidP="00DE31FA">
            <w:r>
              <w:t>Good Clinical Practice</w:t>
            </w:r>
          </w:p>
        </w:tc>
      </w:tr>
      <w:tr w:rsidR="0061798A" w14:paraId="4BC217E2" w14:textId="77777777" w:rsidTr="008F78AF">
        <w:trPr>
          <w:trHeight w:val="425"/>
        </w:trPr>
        <w:tc>
          <w:tcPr>
            <w:tcW w:w="1726" w:type="dxa"/>
          </w:tcPr>
          <w:p w14:paraId="1FC9F98B" w14:textId="77777777" w:rsidR="00C40306" w:rsidRDefault="00C40306" w:rsidP="00DE31FA">
            <w:r>
              <w:t>Gd</w:t>
            </w:r>
          </w:p>
        </w:tc>
        <w:tc>
          <w:tcPr>
            <w:tcW w:w="7111" w:type="dxa"/>
          </w:tcPr>
          <w:p w14:paraId="227709DD" w14:textId="77777777" w:rsidR="00C40306" w:rsidRDefault="00C40306" w:rsidP="00DE31FA">
            <w:r>
              <w:t>Gadolinium</w:t>
            </w:r>
          </w:p>
        </w:tc>
      </w:tr>
      <w:tr w:rsidR="0061798A" w14:paraId="0AF1B874" w14:textId="77777777" w:rsidTr="008F78AF">
        <w:trPr>
          <w:trHeight w:val="425"/>
        </w:trPr>
        <w:tc>
          <w:tcPr>
            <w:tcW w:w="1726" w:type="dxa"/>
          </w:tcPr>
          <w:p w14:paraId="701B2692" w14:textId="77777777" w:rsidR="00C40306" w:rsidRDefault="00C40306" w:rsidP="00DE31FA">
            <w:r>
              <w:t>Gd+</w:t>
            </w:r>
          </w:p>
        </w:tc>
        <w:tc>
          <w:tcPr>
            <w:tcW w:w="7111" w:type="dxa"/>
          </w:tcPr>
          <w:p w14:paraId="5CA39756" w14:textId="77777777" w:rsidR="00C40306" w:rsidRDefault="00C40306" w:rsidP="00DE31FA">
            <w:r>
              <w:t>Gadolinium-enhancing</w:t>
            </w:r>
          </w:p>
        </w:tc>
      </w:tr>
      <w:tr w:rsidR="0061798A" w14:paraId="31CBF3AE" w14:textId="77777777" w:rsidTr="008F78AF">
        <w:trPr>
          <w:trHeight w:val="425"/>
        </w:trPr>
        <w:tc>
          <w:tcPr>
            <w:tcW w:w="1726" w:type="dxa"/>
          </w:tcPr>
          <w:p w14:paraId="763DF76E" w14:textId="77777777" w:rsidR="00C40306" w:rsidRDefault="00C40306" w:rsidP="00DE31FA">
            <w:r>
              <w:t>hCG</w:t>
            </w:r>
          </w:p>
        </w:tc>
        <w:tc>
          <w:tcPr>
            <w:tcW w:w="7111" w:type="dxa"/>
          </w:tcPr>
          <w:p w14:paraId="424A2721" w14:textId="47F82F89" w:rsidR="00C40306" w:rsidRDefault="00C40306" w:rsidP="00DE31FA">
            <w:r>
              <w:t xml:space="preserve">Human </w:t>
            </w:r>
            <w:r w:rsidR="0061798A">
              <w:t>c</w:t>
            </w:r>
            <w:r>
              <w:t xml:space="preserve">horionic </w:t>
            </w:r>
            <w:r w:rsidR="0061798A">
              <w:t>g</w:t>
            </w:r>
            <w:r>
              <w:t>onadotropin</w:t>
            </w:r>
          </w:p>
        </w:tc>
      </w:tr>
      <w:tr w:rsidR="0061798A" w14:paraId="7E35854C" w14:textId="77777777" w:rsidTr="008F78AF">
        <w:trPr>
          <w:trHeight w:val="425"/>
        </w:trPr>
        <w:tc>
          <w:tcPr>
            <w:tcW w:w="1726" w:type="dxa"/>
          </w:tcPr>
          <w:p w14:paraId="78503A1E" w14:textId="77777777" w:rsidR="00C40306" w:rsidRDefault="00C40306" w:rsidP="00DE31FA">
            <w:r>
              <w:t>HCL</w:t>
            </w:r>
          </w:p>
        </w:tc>
        <w:tc>
          <w:tcPr>
            <w:tcW w:w="7111" w:type="dxa"/>
          </w:tcPr>
          <w:p w14:paraId="38D27DEB" w14:textId="36CA66E6" w:rsidR="00C40306" w:rsidRDefault="00C40306" w:rsidP="00DE31FA">
            <w:r>
              <w:t xml:space="preserve">Hairy </w:t>
            </w:r>
            <w:r w:rsidR="0061798A">
              <w:t>c</w:t>
            </w:r>
            <w:r>
              <w:t xml:space="preserve">ell </w:t>
            </w:r>
            <w:r w:rsidR="0061798A">
              <w:t>l</w:t>
            </w:r>
            <w:r>
              <w:t>eukaemia</w:t>
            </w:r>
          </w:p>
        </w:tc>
      </w:tr>
      <w:tr w:rsidR="0061798A" w14:paraId="3F58EC68" w14:textId="77777777" w:rsidTr="008F78AF">
        <w:trPr>
          <w:trHeight w:val="425"/>
        </w:trPr>
        <w:tc>
          <w:tcPr>
            <w:tcW w:w="1726" w:type="dxa"/>
          </w:tcPr>
          <w:p w14:paraId="6647A826" w14:textId="77777777" w:rsidR="00C40306" w:rsidRDefault="00C40306" w:rsidP="00DE31FA">
            <w:r>
              <w:t>HDA</w:t>
            </w:r>
          </w:p>
        </w:tc>
        <w:tc>
          <w:tcPr>
            <w:tcW w:w="7111" w:type="dxa"/>
          </w:tcPr>
          <w:p w14:paraId="660A973D" w14:textId="77777777" w:rsidR="00C40306" w:rsidRDefault="00C40306" w:rsidP="00DE31FA">
            <w:r>
              <w:t>High disease activity</w:t>
            </w:r>
          </w:p>
        </w:tc>
      </w:tr>
      <w:tr w:rsidR="0061798A" w14:paraId="2DA69D1E" w14:textId="77777777" w:rsidTr="008F78AF">
        <w:trPr>
          <w:trHeight w:val="425"/>
        </w:trPr>
        <w:tc>
          <w:tcPr>
            <w:tcW w:w="1726" w:type="dxa"/>
          </w:tcPr>
          <w:p w14:paraId="5172252D" w14:textId="77777777" w:rsidR="00C40306" w:rsidRDefault="00C40306" w:rsidP="00DE31FA">
            <w:r>
              <w:t>HDPE</w:t>
            </w:r>
          </w:p>
        </w:tc>
        <w:tc>
          <w:tcPr>
            <w:tcW w:w="7111" w:type="dxa"/>
          </w:tcPr>
          <w:p w14:paraId="23090F8F" w14:textId="0C0948B2" w:rsidR="00C40306" w:rsidRDefault="00C40306" w:rsidP="00DE31FA">
            <w:r>
              <w:t xml:space="preserve">High </w:t>
            </w:r>
            <w:r w:rsidR="0061798A">
              <w:t>d</w:t>
            </w:r>
            <w:r>
              <w:t xml:space="preserve">ensity </w:t>
            </w:r>
            <w:r w:rsidR="0061798A">
              <w:t>p</w:t>
            </w:r>
            <w:r>
              <w:t>olyethylene</w:t>
            </w:r>
          </w:p>
        </w:tc>
      </w:tr>
      <w:tr w:rsidR="0061798A" w14:paraId="4ECEA153" w14:textId="77777777" w:rsidTr="008F78AF">
        <w:trPr>
          <w:trHeight w:val="425"/>
        </w:trPr>
        <w:tc>
          <w:tcPr>
            <w:tcW w:w="1726" w:type="dxa"/>
          </w:tcPr>
          <w:p w14:paraId="6BE65C44" w14:textId="77777777" w:rsidR="0019574F" w:rsidRDefault="0019574F" w:rsidP="00DE31FA">
            <w:r>
              <w:t>HLLL</w:t>
            </w:r>
          </w:p>
        </w:tc>
        <w:tc>
          <w:tcPr>
            <w:tcW w:w="7111" w:type="dxa"/>
          </w:tcPr>
          <w:p w14:paraId="7F6E8AC5" w14:textId="77777777" w:rsidR="0019574F" w:rsidRPr="0019574F" w:rsidRDefault="0019574F" w:rsidP="00DE31FA">
            <w:r w:rsidRPr="0019574F">
              <w:t>Cladribine high/low dose</w:t>
            </w:r>
          </w:p>
        </w:tc>
      </w:tr>
      <w:tr w:rsidR="0061798A" w14:paraId="294AE2E7" w14:textId="77777777" w:rsidTr="008F78AF">
        <w:trPr>
          <w:trHeight w:val="425"/>
        </w:trPr>
        <w:tc>
          <w:tcPr>
            <w:tcW w:w="1726" w:type="dxa"/>
          </w:tcPr>
          <w:p w14:paraId="680FCD6F" w14:textId="77777777" w:rsidR="0019574F" w:rsidRDefault="0019574F" w:rsidP="00DE31FA">
            <w:r>
              <w:t>HLPP</w:t>
            </w:r>
          </w:p>
        </w:tc>
        <w:tc>
          <w:tcPr>
            <w:tcW w:w="7111" w:type="dxa"/>
          </w:tcPr>
          <w:p w14:paraId="414904D3" w14:textId="77777777" w:rsidR="0019574F" w:rsidRDefault="0019574F" w:rsidP="00DE31FA">
            <w:r w:rsidRPr="0019574F">
              <w:t>Cladribine high dose/placebo</w:t>
            </w:r>
          </w:p>
        </w:tc>
      </w:tr>
      <w:tr w:rsidR="0061798A" w14:paraId="5B18301B" w14:textId="77777777" w:rsidTr="008F78AF">
        <w:trPr>
          <w:trHeight w:val="425"/>
        </w:trPr>
        <w:tc>
          <w:tcPr>
            <w:tcW w:w="1726" w:type="dxa"/>
          </w:tcPr>
          <w:p w14:paraId="38EF8000" w14:textId="77777777" w:rsidR="00C40306" w:rsidRDefault="00C40306" w:rsidP="00DE31FA">
            <w:r>
              <w:t>HPβCD</w:t>
            </w:r>
          </w:p>
        </w:tc>
        <w:tc>
          <w:tcPr>
            <w:tcW w:w="7111" w:type="dxa"/>
          </w:tcPr>
          <w:p w14:paraId="570E4FCC" w14:textId="77777777" w:rsidR="00C40306" w:rsidRDefault="00C40306" w:rsidP="00DE31FA">
            <w:r>
              <w:t>Hydroxypropyl betadex (2-hydroxypropyl-β-cyclodextrin)</w:t>
            </w:r>
          </w:p>
        </w:tc>
      </w:tr>
      <w:tr w:rsidR="0061798A" w14:paraId="4F606CC7" w14:textId="77777777" w:rsidTr="008F78AF">
        <w:trPr>
          <w:trHeight w:val="425"/>
        </w:trPr>
        <w:tc>
          <w:tcPr>
            <w:tcW w:w="1726" w:type="dxa"/>
          </w:tcPr>
          <w:p w14:paraId="49FA6455" w14:textId="77777777" w:rsidR="00C40306" w:rsidRDefault="00C40306" w:rsidP="00DE31FA">
            <w:r>
              <w:t>HR</w:t>
            </w:r>
          </w:p>
        </w:tc>
        <w:tc>
          <w:tcPr>
            <w:tcW w:w="7111" w:type="dxa"/>
          </w:tcPr>
          <w:p w14:paraId="25E7F9A1" w14:textId="77777777" w:rsidR="00C40306" w:rsidRDefault="00C40306" w:rsidP="00DE31FA">
            <w:r>
              <w:t>Hazard ratio</w:t>
            </w:r>
          </w:p>
        </w:tc>
      </w:tr>
      <w:tr w:rsidR="0061798A" w14:paraId="7C226158" w14:textId="77777777" w:rsidTr="008F78AF">
        <w:trPr>
          <w:trHeight w:val="425"/>
        </w:trPr>
        <w:tc>
          <w:tcPr>
            <w:tcW w:w="1726" w:type="dxa"/>
          </w:tcPr>
          <w:p w14:paraId="4139FF96" w14:textId="77777777" w:rsidR="00C40306" w:rsidRDefault="00C40306" w:rsidP="00DE31FA">
            <w:r>
              <w:t>HRQL</w:t>
            </w:r>
          </w:p>
        </w:tc>
        <w:tc>
          <w:tcPr>
            <w:tcW w:w="7111" w:type="dxa"/>
          </w:tcPr>
          <w:p w14:paraId="690EE98B" w14:textId="77777777" w:rsidR="00C40306" w:rsidRDefault="00C40306" w:rsidP="00DE31FA">
            <w:r>
              <w:t>Health Related Quality of Life</w:t>
            </w:r>
          </w:p>
        </w:tc>
      </w:tr>
      <w:tr w:rsidR="0061798A" w14:paraId="34978212" w14:textId="77777777" w:rsidTr="008F78AF">
        <w:trPr>
          <w:trHeight w:val="425"/>
        </w:trPr>
        <w:tc>
          <w:tcPr>
            <w:tcW w:w="1726" w:type="dxa"/>
          </w:tcPr>
          <w:p w14:paraId="4DFD63BB" w14:textId="77777777" w:rsidR="00C40306" w:rsidRDefault="00C40306" w:rsidP="00DE31FA">
            <w:r>
              <w:lastRenderedPageBreak/>
              <w:t>HRU</w:t>
            </w:r>
          </w:p>
        </w:tc>
        <w:tc>
          <w:tcPr>
            <w:tcW w:w="7111" w:type="dxa"/>
          </w:tcPr>
          <w:p w14:paraId="0CE7D308" w14:textId="77777777" w:rsidR="00C40306" w:rsidRDefault="00C40306" w:rsidP="00DE31FA">
            <w:r>
              <w:t>Health Resource Utilization</w:t>
            </w:r>
          </w:p>
        </w:tc>
      </w:tr>
      <w:tr w:rsidR="0061798A" w14:paraId="715A3FE5" w14:textId="77777777" w:rsidTr="008F78AF">
        <w:trPr>
          <w:trHeight w:val="425"/>
        </w:trPr>
        <w:tc>
          <w:tcPr>
            <w:tcW w:w="1726" w:type="dxa"/>
          </w:tcPr>
          <w:p w14:paraId="3365ADCD" w14:textId="77777777" w:rsidR="00C40306" w:rsidRDefault="00C40306" w:rsidP="00DE31FA">
            <w:r>
              <w:t>ICH</w:t>
            </w:r>
          </w:p>
        </w:tc>
        <w:tc>
          <w:tcPr>
            <w:tcW w:w="7111" w:type="dxa"/>
          </w:tcPr>
          <w:p w14:paraId="5EC97354" w14:textId="77777777" w:rsidR="00C40306" w:rsidRDefault="00C40306" w:rsidP="00DE31FA">
            <w:r>
              <w:t>International Conference on Harmonisation</w:t>
            </w:r>
          </w:p>
        </w:tc>
      </w:tr>
      <w:tr w:rsidR="0061798A" w14:paraId="642C1F7E" w14:textId="77777777" w:rsidTr="008F78AF">
        <w:trPr>
          <w:trHeight w:val="425"/>
        </w:trPr>
        <w:tc>
          <w:tcPr>
            <w:tcW w:w="1726" w:type="dxa"/>
          </w:tcPr>
          <w:p w14:paraId="2E5220FD" w14:textId="77777777" w:rsidR="00C40306" w:rsidRDefault="00C40306" w:rsidP="00DE31FA">
            <w:r>
              <w:t>IEC</w:t>
            </w:r>
          </w:p>
        </w:tc>
        <w:tc>
          <w:tcPr>
            <w:tcW w:w="7111" w:type="dxa"/>
          </w:tcPr>
          <w:p w14:paraId="1FC859DC" w14:textId="77777777" w:rsidR="00C40306" w:rsidRDefault="00C40306" w:rsidP="00DE31FA">
            <w:r>
              <w:t>Independent ethics committee</w:t>
            </w:r>
          </w:p>
        </w:tc>
      </w:tr>
      <w:tr w:rsidR="0061798A" w14:paraId="2020F1BE" w14:textId="77777777" w:rsidTr="008F78AF">
        <w:trPr>
          <w:trHeight w:val="425"/>
        </w:trPr>
        <w:tc>
          <w:tcPr>
            <w:tcW w:w="1726" w:type="dxa"/>
          </w:tcPr>
          <w:p w14:paraId="0BC1050F" w14:textId="77777777" w:rsidR="00C40306" w:rsidRDefault="00C40306" w:rsidP="00DE31FA">
            <w:r>
              <w:t>IFN</w:t>
            </w:r>
          </w:p>
        </w:tc>
        <w:tc>
          <w:tcPr>
            <w:tcW w:w="7111" w:type="dxa"/>
          </w:tcPr>
          <w:p w14:paraId="06EBD397" w14:textId="77777777" w:rsidR="00C40306" w:rsidRDefault="00C40306" w:rsidP="00DE31FA">
            <w:r>
              <w:t>Interferon</w:t>
            </w:r>
          </w:p>
        </w:tc>
      </w:tr>
      <w:tr w:rsidR="0061798A" w14:paraId="3813724F" w14:textId="77777777" w:rsidTr="008F78AF">
        <w:trPr>
          <w:trHeight w:val="425"/>
        </w:trPr>
        <w:tc>
          <w:tcPr>
            <w:tcW w:w="1726" w:type="dxa"/>
          </w:tcPr>
          <w:p w14:paraId="2AE6CE1B" w14:textId="77777777" w:rsidR="00C40306" w:rsidRDefault="00C40306" w:rsidP="00DE31FA">
            <w:r>
              <w:t>IMP</w:t>
            </w:r>
          </w:p>
        </w:tc>
        <w:tc>
          <w:tcPr>
            <w:tcW w:w="7111" w:type="dxa"/>
          </w:tcPr>
          <w:p w14:paraId="737DB19B" w14:textId="58450567" w:rsidR="00C40306" w:rsidRDefault="00C40306" w:rsidP="0061798A">
            <w:r>
              <w:t xml:space="preserve">Investigational </w:t>
            </w:r>
            <w:r w:rsidR="0061798A">
              <w:t>medicinal product</w:t>
            </w:r>
          </w:p>
        </w:tc>
      </w:tr>
      <w:tr w:rsidR="0061798A" w14:paraId="60098FC6" w14:textId="77777777" w:rsidTr="008F78AF">
        <w:trPr>
          <w:trHeight w:val="425"/>
        </w:trPr>
        <w:tc>
          <w:tcPr>
            <w:tcW w:w="1726" w:type="dxa"/>
          </w:tcPr>
          <w:p w14:paraId="5D1502DC" w14:textId="77777777" w:rsidR="00C40306" w:rsidRDefault="00C40306" w:rsidP="00DE31FA">
            <w:r>
              <w:t>ITP</w:t>
            </w:r>
          </w:p>
        </w:tc>
        <w:tc>
          <w:tcPr>
            <w:tcW w:w="7111" w:type="dxa"/>
          </w:tcPr>
          <w:p w14:paraId="0A1B9AAD" w14:textId="77777777" w:rsidR="00C40306" w:rsidRDefault="00C40306" w:rsidP="00DE31FA">
            <w:r>
              <w:t>Initial treatment period</w:t>
            </w:r>
          </w:p>
        </w:tc>
      </w:tr>
      <w:tr w:rsidR="0061798A" w14:paraId="3EF44854" w14:textId="77777777" w:rsidTr="008F78AF">
        <w:trPr>
          <w:trHeight w:val="425"/>
        </w:trPr>
        <w:tc>
          <w:tcPr>
            <w:tcW w:w="1726" w:type="dxa"/>
          </w:tcPr>
          <w:p w14:paraId="69DD9038" w14:textId="77777777" w:rsidR="00C40306" w:rsidRDefault="00C40306" w:rsidP="00DE31FA">
            <w:r>
              <w:t>IRB</w:t>
            </w:r>
          </w:p>
        </w:tc>
        <w:tc>
          <w:tcPr>
            <w:tcW w:w="7111" w:type="dxa"/>
          </w:tcPr>
          <w:p w14:paraId="73F2A6C2" w14:textId="77777777" w:rsidR="00C40306" w:rsidRDefault="00C40306" w:rsidP="00DE31FA">
            <w:r>
              <w:t>Institutional Review Board</w:t>
            </w:r>
          </w:p>
        </w:tc>
      </w:tr>
      <w:tr w:rsidR="0061798A" w14:paraId="009010E3" w14:textId="77777777" w:rsidTr="008F78AF">
        <w:trPr>
          <w:trHeight w:val="425"/>
        </w:trPr>
        <w:tc>
          <w:tcPr>
            <w:tcW w:w="1726" w:type="dxa"/>
          </w:tcPr>
          <w:p w14:paraId="3C878F10" w14:textId="77777777" w:rsidR="00C40306" w:rsidRDefault="00C40306" w:rsidP="00DE31FA">
            <w:r>
              <w:t>ITT</w:t>
            </w:r>
          </w:p>
        </w:tc>
        <w:tc>
          <w:tcPr>
            <w:tcW w:w="7111" w:type="dxa"/>
          </w:tcPr>
          <w:p w14:paraId="37883CC5" w14:textId="1244D46A" w:rsidR="00C40306" w:rsidRDefault="00C40306" w:rsidP="00DE31FA">
            <w:r>
              <w:t>Inten</w:t>
            </w:r>
            <w:r w:rsidR="0061798A">
              <w:t>t-</w:t>
            </w:r>
            <w:r>
              <w:t>to</w:t>
            </w:r>
            <w:r w:rsidR="0061798A">
              <w:t>-</w:t>
            </w:r>
            <w:r>
              <w:t>treat</w:t>
            </w:r>
          </w:p>
        </w:tc>
      </w:tr>
      <w:tr w:rsidR="0061798A" w14:paraId="1218785B" w14:textId="77777777" w:rsidTr="008F78AF">
        <w:trPr>
          <w:trHeight w:val="425"/>
        </w:trPr>
        <w:tc>
          <w:tcPr>
            <w:tcW w:w="1726" w:type="dxa"/>
          </w:tcPr>
          <w:p w14:paraId="31E4743C" w14:textId="77777777" w:rsidR="00C40306" w:rsidRDefault="00C40306" w:rsidP="00DE31FA">
            <w:r>
              <w:t>IV</w:t>
            </w:r>
          </w:p>
        </w:tc>
        <w:tc>
          <w:tcPr>
            <w:tcW w:w="7111" w:type="dxa"/>
          </w:tcPr>
          <w:p w14:paraId="244BFC3D" w14:textId="77777777" w:rsidR="00C40306" w:rsidRDefault="00C40306" w:rsidP="00DE31FA">
            <w:r>
              <w:t>Intravenous</w:t>
            </w:r>
          </w:p>
        </w:tc>
      </w:tr>
      <w:tr w:rsidR="0061798A" w14:paraId="51C425CF" w14:textId="77777777" w:rsidTr="008F78AF">
        <w:trPr>
          <w:trHeight w:val="425"/>
        </w:trPr>
        <w:tc>
          <w:tcPr>
            <w:tcW w:w="1726" w:type="dxa"/>
          </w:tcPr>
          <w:p w14:paraId="4FCE0221" w14:textId="77777777" w:rsidR="00C40306" w:rsidRDefault="00C40306" w:rsidP="00DE31FA">
            <w:r>
              <w:t>IVIG</w:t>
            </w:r>
          </w:p>
        </w:tc>
        <w:tc>
          <w:tcPr>
            <w:tcW w:w="7111" w:type="dxa"/>
          </w:tcPr>
          <w:p w14:paraId="2D347DA0" w14:textId="77777777" w:rsidR="00C40306" w:rsidRDefault="00C40306" w:rsidP="00DE31FA">
            <w:r>
              <w:t>Intravenous immunoglobulin</w:t>
            </w:r>
          </w:p>
        </w:tc>
      </w:tr>
      <w:tr w:rsidR="0061798A" w14:paraId="171B95C6" w14:textId="77777777" w:rsidTr="008F78AF">
        <w:trPr>
          <w:trHeight w:val="425"/>
        </w:trPr>
        <w:tc>
          <w:tcPr>
            <w:tcW w:w="1726" w:type="dxa"/>
          </w:tcPr>
          <w:p w14:paraId="6CEB695D" w14:textId="77777777" w:rsidR="00C40306" w:rsidRDefault="00C40306" w:rsidP="00DE31FA">
            <w:r>
              <w:t>IVRS</w:t>
            </w:r>
          </w:p>
        </w:tc>
        <w:tc>
          <w:tcPr>
            <w:tcW w:w="7111" w:type="dxa"/>
          </w:tcPr>
          <w:p w14:paraId="1E35F598" w14:textId="77777777" w:rsidR="00C40306" w:rsidRDefault="00C40306" w:rsidP="00DE31FA">
            <w:r>
              <w:t>Interactive voice response system</w:t>
            </w:r>
          </w:p>
        </w:tc>
      </w:tr>
      <w:tr w:rsidR="0061798A" w14:paraId="09CCBCA5" w14:textId="77777777" w:rsidTr="008F78AF">
        <w:trPr>
          <w:trHeight w:val="425"/>
        </w:trPr>
        <w:tc>
          <w:tcPr>
            <w:tcW w:w="1726" w:type="dxa"/>
          </w:tcPr>
          <w:p w14:paraId="184D8055" w14:textId="77777777" w:rsidR="00C40306" w:rsidRDefault="00C40306" w:rsidP="00DE31FA">
            <w:r>
              <w:t>JCV</w:t>
            </w:r>
          </w:p>
        </w:tc>
        <w:tc>
          <w:tcPr>
            <w:tcW w:w="7111" w:type="dxa"/>
          </w:tcPr>
          <w:p w14:paraId="70410794" w14:textId="7595A7FE" w:rsidR="00C40306" w:rsidRDefault="00C40306" w:rsidP="0061798A">
            <w:r>
              <w:t xml:space="preserve">John Cunningham </w:t>
            </w:r>
            <w:r w:rsidR="0061798A">
              <w:t>virus</w:t>
            </w:r>
          </w:p>
        </w:tc>
      </w:tr>
      <w:tr w:rsidR="0061798A" w14:paraId="2DB1F262" w14:textId="77777777" w:rsidTr="008F78AF">
        <w:trPr>
          <w:trHeight w:val="425"/>
        </w:trPr>
        <w:tc>
          <w:tcPr>
            <w:tcW w:w="1726" w:type="dxa"/>
          </w:tcPr>
          <w:p w14:paraId="0E6DAD6F" w14:textId="77777777" w:rsidR="00C40306" w:rsidRDefault="00C40306" w:rsidP="00DE31FA">
            <w:r>
              <w:t>KFS</w:t>
            </w:r>
          </w:p>
        </w:tc>
        <w:tc>
          <w:tcPr>
            <w:tcW w:w="7111" w:type="dxa"/>
          </w:tcPr>
          <w:p w14:paraId="20A3243D" w14:textId="77777777" w:rsidR="00C40306" w:rsidRDefault="00C40306" w:rsidP="00DE31FA">
            <w:r>
              <w:t>Kurtzke Functional Systems</w:t>
            </w:r>
          </w:p>
        </w:tc>
      </w:tr>
      <w:tr w:rsidR="0061798A" w14:paraId="3EEB6008" w14:textId="77777777" w:rsidTr="008F78AF">
        <w:trPr>
          <w:trHeight w:val="425"/>
        </w:trPr>
        <w:tc>
          <w:tcPr>
            <w:tcW w:w="1726" w:type="dxa"/>
          </w:tcPr>
          <w:p w14:paraId="1EAC5240" w14:textId="77777777" w:rsidR="00C40306" w:rsidRDefault="00C40306" w:rsidP="00DE31FA">
            <w:r>
              <w:t>LC-MS</w:t>
            </w:r>
          </w:p>
        </w:tc>
        <w:tc>
          <w:tcPr>
            <w:tcW w:w="7111" w:type="dxa"/>
          </w:tcPr>
          <w:p w14:paraId="53DC2103" w14:textId="77777777" w:rsidR="00C40306" w:rsidRDefault="00C40306" w:rsidP="00DE31FA">
            <w:r>
              <w:t>Liquid chromatography-mass spectrometry</w:t>
            </w:r>
          </w:p>
        </w:tc>
      </w:tr>
      <w:tr w:rsidR="0061798A" w14:paraId="46A20911" w14:textId="77777777" w:rsidTr="008F78AF">
        <w:trPr>
          <w:trHeight w:val="425"/>
        </w:trPr>
        <w:tc>
          <w:tcPr>
            <w:tcW w:w="1726" w:type="dxa"/>
          </w:tcPr>
          <w:p w14:paraId="66CFFAFB" w14:textId="77777777" w:rsidR="004300B2" w:rsidRDefault="004300B2" w:rsidP="00DE31FA">
            <w:r>
              <w:t>LLLL</w:t>
            </w:r>
          </w:p>
        </w:tc>
        <w:tc>
          <w:tcPr>
            <w:tcW w:w="7111" w:type="dxa"/>
          </w:tcPr>
          <w:p w14:paraId="53DC547C" w14:textId="77777777" w:rsidR="004300B2" w:rsidRDefault="004300B2" w:rsidP="00DE31FA">
            <w:r w:rsidRPr="004300B2">
              <w:t>Cladribine low/low dose</w:t>
            </w:r>
          </w:p>
        </w:tc>
      </w:tr>
      <w:tr w:rsidR="0061798A" w14:paraId="626E0E0D" w14:textId="77777777" w:rsidTr="008F78AF">
        <w:trPr>
          <w:trHeight w:val="425"/>
        </w:trPr>
        <w:tc>
          <w:tcPr>
            <w:tcW w:w="1726" w:type="dxa"/>
          </w:tcPr>
          <w:p w14:paraId="514299DB" w14:textId="77777777" w:rsidR="00C40306" w:rsidRDefault="00C40306" w:rsidP="00DE31FA">
            <w:r>
              <w:t>LLN</w:t>
            </w:r>
          </w:p>
        </w:tc>
        <w:tc>
          <w:tcPr>
            <w:tcW w:w="7111" w:type="dxa"/>
          </w:tcPr>
          <w:p w14:paraId="031547BF" w14:textId="77777777" w:rsidR="00C40306" w:rsidRDefault="00C40306" w:rsidP="00DE31FA">
            <w:r>
              <w:t>Lower limit of normal</w:t>
            </w:r>
          </w:p>
        </w:tc>
      </w:tr>
      <w:tr w:rsidR="0061798A" w14:paraId="0E5BD66F" w14:textId="77777777" w:rsidTr="008F78AF">
        <w:trPr>
          <w:trHeight w:val="425"/>
        </w:trPr>
        <w:tc>
          <w:tcPr>
            <w:tcW w:w="1726" w:type="dxa"/>
          </w:tcPr>
          <w:p w14:paraId="331DF440" w14:textId="77777777" w:rsidR="00C40306" w:rsidRDefault="00C40306" w:rsidP="00DE31FA">
            <w:r>
              <w:t>LTBI</w:t>
            </w:r>
          </w:p>
        </w:tc>
        <w:tc>
          <w:tcPr>
            <w:tcW w:w="7111" w:type="dxa"/>
          </w:tcPr>
          <w:p w14:paraId="1F2FF878" w14:textId="77777777" w:rsidR="00C40306" w:rsidRDefault="00C40306" w:rsidP="00DE31FA">
            <w:r>
              <w:t>Latent tuberculosis infection</w:t>
            </w:r>
          </w:p>
        </w:tc>
      </w:tr>
      <w:tr w:rsidR="0061798A" w14:paraId="617068AB" w14:textId="77777777" w:rsidTr="008F78AF">
        <w:trPr>
          <w:trHeight w:val="425"/>
        </w:trPr>
        <w:tc>
          <w:tcPr>
            <w:tcW w:w="1726" w:type="dxa"/>
          </w:tcPr>
          <w:p w14:paraId="743E14B2" w14:textId="77777777" w:rsidR="00C40306" w:rsidRDefault="00C40306" w:rsidP="00DE31FA">
            <w:r>
              <w:t>MCDA</w:t>
            </w:r>
          </w:p>
        </w:tc>
        <w:tc>
          <w:tcPr>
            <w:tcW w:w="7111" w:type="dxa"/>
          </w:tcPr>
          <w:p w14:paraId="0CACEF99" w14:textId="77777777" w:rsidR="00C40306" w:rsidRDefault="00C40306" w:rsidP="00DE31FA">
            <w:r>
              <w:t>Multi criteria decision analysis</w:t>
            </w:r>
          </w:p>
        </w:tc>
      </w:tr>
      <w:tr w:rsidR="0061798A" w14:paraId="7F189912" w14:textId="77777777" w:rsidTr="008F78AF">
        <w:trPr>
          <w:trHeight w:val="425"/>
        </w:trPr>
        <w:tc>
          <w:tcPr>
            <w:tcW w:w="1726" w:type="dxa"/>
          </w:tcPr>
          <w:p w14:paraId="306C48C8" w14:textId="77777777" w:rsidR="00C40306" w:rsidRDefault="00C40306" w:rsidP="00DE31FA">
            <w:r>
              <w:t>MedDRA</w:t>
            </w:r>
          </w:p>
        </w:tc>
        <w:tc>
          <w:tcPr>
            <w:tcW w:w="7111" w:type="dxa"/>
          </w:tcPr>
          <w:p w14:paraId="4530E045" w14:textId="77777777" w:rsidR="00C40306" w:rsidRDefault="00C40306" w:rsidP="00DE31FA">
            <w:r>
              <w:t>Medical Dictionary of Regulatory Activities</w:t>
            </w:r>
          </w:p>
        </w:tc>
      </w:tr>
      <w:tr w:rsidR="0061798A" w14:paraId="3996562E" w14:textId="77777777" w:rsidTr="008F78AF">
        <w:trPr>
          <w:trHeight w:val="425"/>
        </w:trPr>
        <w:tc>
          <w:tcPr>
            <w:tcW w:w="1726" w:type="dxa"/>
          </w:tcPr>
          <w:p w14:paraId="6DB537DB" w14:textId="77777777" w:rsidR="00C40306" w:rsidRDefault="00C40306" w:rsidP="00DE31FA">
            <w:r>
              <w:t>MRI</w:t>
            </w:r>
          </w:p>
        </w:tc>
        <w:tc>
          <w:tcPr>
            <w:tcW w:w="7111" w:type="dxa"/>
          </w:tcPr>
          <w:p w14:paraId="5C2CB130" w14:textId="77777777" w:rsidR="00C40306" w:rsidRDefault="00C40306" w:rsidP="00DE31FA">
            <w:r>
              <w:t>Magnetic resonance imaging</w:t>
            </w:r>
          </w:p>
        </w:tc>
      </w:tr>
      <w:tr w:rsidR="0061798A" w14:paraId="2540A750" w14:textId="77777777" w:rsidTr="008F78AF">
        <w:trPr>
          <w:trHeight w:val="425"/>
        </w:trPr>
        <w:tc>
          <w:tcPr>
            <w:tcW w:w="1726" w:type="dxa"/>
          </w:tcPr>
          <w:p w14:paraId="5774F116" w14:textId="77777777" w:rsidR="00C40306" w:rsidRDefault="00C40306" w:rsidP="00DE31FA">
            <w:r>
              <w:t>MS</w:t>
            </w:r>
          </w:p>
        </w:tc>
        <w:tc>
          <w:tcPr>
            <w:tcW w:w="7111" w:type="dxa"/>
          </w:tcPr>
          <w:p w14:paraId="3C51B2AF" w14:textId="77777777" w:rsidR="00C40306" w:rsidRDefault="00C40306" w:rsidP="00DE31FA">
            <w:r>
              <w:t>Multiple sclerosis</w:t>
            </w:r>
          </w:p>
        </w:tc>
      </w:tr>
      <w:tr w:rsidR="0061798A" w14:paraId="6DD952DA" w14:textId="77777777" w:rsidTr="008F78AF">
        <w:trPr>
          <w:trHeight w:val="425"/>
        </w:trPr>
        <w:tc>
          <w:tcPr>
            <w:tcW w:w="1726" w:type="dxa"/>
          </w:tcPr>
          <w:p w14:paraId="3C5F6355" w14:textId="77777777" w:rsidR="00C40306" w:rsidRDefault="00C40306" w:rsidP="00DE31FA">
            <w:r>
              <w:t>MSQOL-54</w:t>
            </w:r>
          </w:p>
        </w:tc>
        <w:tc>
          <w:tcPr>
            <w:tcW w:w="7111" w:type="dxa"/>
          </w:tcPr>
          <w:p w14:paraId="3272815B" w14:textId="77777777" w:rsidR="00C40306" w:rsidRDefault="00C40306" w:rsidP="00DE31FA">
            <w:r>
              <w:t>Multiple Sclerosis Quality of Life-54</w:t>
            </w:r>
          </w:p>
        </w:tc>
      </w:tr>
      <w:tr w:rsidR="0061798A" w14:paraId="74343A08" w14:textId="77777777" w:rsidTr="008F78AF">
        <w:trPr>
          <w:trHeight w:val="425"/>
        </w:trPr>
        <w:tc>
          <w:tcPr>
            <w:tcW w:w="1726" w:type="dxa"/>
          </w:tcPr>
          <w:p w14:paraId="454C6A62" w14:textId="77777777" w:rsidR="00C40306" w:rsidRDefault="00C40306" w:rsidP="00DE31FA">
            <w:r>
              <w:t>MSSS</w:t>
            </w:r>
          </w:p>
        </w:tc>
        <w:tc>
          <w:tcPr>
            <w:tcW w:w="7111" w:type="dxa"/>
          </w:tcPr>
          <w:p w14:paraId="1F9A0EBD" w14:textId="77777777" w:rsidR="00C40306" w:rsidRDefault="00C40306" w:rsidP="00DE31FA">
            <w:r>
              <w:t>Multiple sclerosis severity score</w:t>
            </w:r>
          </w:p>
        </w:tc>
      </w:tr>
      <w:tr w:rsidR="0061798A" w14:paraId="49FA010F" w14:textId="77777777" w:rsidTr="008F78AF">
        <w:trPr>
          <w:trHeight w:val="425"/>
        </w:trPr>
        <w:tc>
          <w:tcPr>
            <w:tcW w:w="1726" w:type="dxa"/>
          </w:tcPr>
          <w:p w14:paraId="12A328CA" w14:textId="77777777" w:rsidR="00C40306" w:rsidRDefault="00C40306" w:rsidP="00DE31FA">
            <w:r>
              <w:t>NONMEM</w:t>
            </w:r>
          </w:p>
        </w:tc>
        <w:tc>
          <w:tcPr>
            <w:tcW w:w="7111" w:type="dxa"/>
          </w:tcPr>
          <w:p w14:paraId="186085CE" w14:textId="77777777" w:rsidR="00C40306" w:rsidRDefault="00C40306" w:rsidP="00DE31FA">
            <w:r>
              <w:t>Nonlinear Mixed Effects Modelling</w:t>
            </w:r>
          </w:p>
        </w:tc>
      </w:tr>
      <w:tr w:rsidR="0061798A" w14:paraId="39ED8CA9" w14:textId="77777777" w:rsidTr="008F78AF">
        <w:trPr>
          <w:trHeight w:val="425"/>
        </w:trPr>
        <w:tc>
          <w:tcPr>
            <w:tcW w:w="1726" w:type="dxa"/>
          </w:tcPr>
          <w:p w14:paraId="17077265" w14:textId="77777777" w:rsidR="00C40306" w:rsidRDefault="00C40306" w:rsidP="00DE31FA">
            <w:r>
              <w:t>OR</w:t>
            </w:r>
          </w:p>
        </w:tc>
        <w:tc>
          <w:tcPr>
            <w:tcW w:w="7111" w:type="dxa"/>
          </w:tcPr>
          <w:p w14:paraId="13BC4D48" w14:textId="77777777" w:rsidR="00C40306" w:rsidRDefault="00C40306" w:rsidP="00DE31FA">
            <w:r>
              <w:t>Odds ratio</w:t>
            </w:r>
          </w:p>
        </w:tc>
      </w:tr>
      <w:tr w:rsidR="0061798A" w14:paraId="25A93861" w14:textId="77777777" w:rsidTr="008F78AF">
        <w:trPr>
          <w:trHeight w:val="425"/>
        </w:trPr>
        <w:tc>
          <w:tcPr>
            <w:tcW w:w="1726" w:type="dxa"/>
          </w:tcPr>
          <w:p w14:paraId="693A1080" w14:textId="77777777" w:rsidR="00C40306" w:rsidRDefault="00C40306" w:rsidP="00DE31FA">
            <w:r>
              <w:t>PASAT</w:t>
            </w:r>
          </w:p>
        </w:tc>
        <w:tc>
          <w:tcPr>
            <w:tcW w:w="7111" w:type="dxa"/>
          </w:tcPr>
          <w:p w14:paraId="7397E7EC" w14:textId="77777777" w:rsidR="00C40306" w:rsidRDefault="00C40306" w:rsidP="00DE31FA">
            <w:r>
              <w:t>Paced Auditory Serial Addition Test</w:t>
            </w:r>
          </w:p>
        </w:tc>
      </w:tr>
      <w:tr w:rsidR="0061798A" w14:paraId="34F2BF42" w14:textId="77777777" w:rsidTr="008F78AF">
        <w:trPr>
          <w:trHeight w:val="425"/>
        </w:trPr>
        <w:tc>
          <w:tcPr>
            <w:tcW w:w="1726" w:type="dxa"/>
          </w:tcPr>
          <w:p w14:paraId="67E4AD97" w14:textId="77777777" w:rsidR="00C40306" w:rsidRDefault="00C40306" w:rsidP="00DE31FA">
            <w:r>
              <w:lastRenderedPageBreak/>
              <w:t>PBVC</w:t>
            </w:r>
          </w:p>
        </w:tc>
        <w:tc>
          <w:tcPr>
            <w:tcW w:w="7111" w:type="dxa"/>
          </w:tcPr>
          <w:p w14:paraId="4AE45737" w14:textId="77777777" w:rsidR="00C40306" w:rsidRDefault="00C40306" w:rsidP="00DE31FA">
            <w:r>
              <w:t>Percentage brain volume change</w:t>
            </w:r>
          </w:p>
        </w:tc>
      </w:tr>
      <w:tr w:rsidR="0061798A" w14:paraId="5930CB5C" w14:textId="77777777" w:rsidTr="008F78AF">
        <w:trPr>
          <w:trHeight w:val="425"/>
        </w:trPr>
        <w:tc>
          <w:tcPr>
            <w:tcW w:w="1726" w:type="dxa"/>
          </w:tcPr>
          <w:p w14:paraId="5FA01E7E" w14:textId="77777777" w:rsidR="00C40306" w:rsidRDefault="00C40306" w:rsidP="00DE31FA">
            <w:r>
              <w:t>PD</w:t>
            </w:r>
          </w:p>
        </w:tc>
        <w:tc>
          <w:tcPr>
            <w:tcW w:w="7111" w:type="dxa"/>
          </w:tcPr>
          <w:p w14:paraId="1CBEA79C" w14:textId="77777777" w:rsidR="00C40306" w:rsidRDefault="00C40306" w:rsidP="00DE31FA">
            <w:r>
              <w:t>Pharmacodynamic</w:t>
            </w:r>
          </w:p>
        </w:tc>
      </w:tr>
      <w:tr w:rsidR="0061798A" w14:paraId="175FB865" w14:textId="77777777" w:rsidTr="008F78AF">
        <w:trPr>
          <w:trHeight w:val="425"/>
        </w:trPr>
        <w:tc>
          <w:tcPr>
            <w:tcW w:w="1726" w:type="dxa"/>
          </w:tcPr>
          <w:p w14:paraId="3FF67166" w14:textId="77777777" w:rsidR="00C40306" w:rsidRDefault="00C40306" w:rsidP="00DE31FA">
            <w:r>
              <w:t>PGx</w:t>
            </w:r>
          </w:p>
        </w:tc>
        <w:tc>
          <w:tcPr>
            <w:tcW w:w="7111" w:type="dxa"/>
          </w:tcPr>
          <w:p w14:paraId="6C691BE3" w14:textId="77777777" w:rsidR="00C40306" w:rsidRDefault="00C40306" w:rsidP="00DE31FA">
            <w:r>
              <w:t>Pharmacogenetics of pharmacogenomics</w:t>
            </w:r>
          </w:p>
        </w:tc>
      </w:tr>
      <w:tr w:rsidR="0061798A" w14:paraId="601F5606" w14:textId="77777777" w:rsidTr="008F78AF">
        <w:trPr>
          <w:trHeight w:val="425"/>
        </w:trPr>
        <w:tc>
          <w:tcPr>
            <w:tcW w:w="1726" w:type="dxa"/>
          </w:tcPr>
          <w:p w14:paraId="4E31C7F1" w14:textId="77777777" w:rsidR="00C40306" w:rsidRDefault="00C40306" w:rsidP="00DE31FA">
            <w:r>
              <w:t>PI</w:t>
            </w:r>
          </w:p>
        </w:tc>
        <w:tc>
          <w:tcPr>
            <w:tcW w:w="7111" w:type="dxa"/>
          </w:tcPr>
          <w:p w14:paraId="66D04CCE" w14:textId="095AB20A" w:rsidR="00C40306" w:rsidRDefault="00C40306" w:rsidP="00DE31FA">
            <w:r>
              <w:t xml:space="preserve">Product </w:t>
            </w:r>
            <w:r w:rsidR="0061798A">
              <w:t>I</w:t>
            </w:r>
            <w:r>
              <w:t>nformation</w:t>
            </w:r>
          </w:p>
        </w:tc>
      </w:tr>
      <w:tr w:rsidR="0061798A" w14:paraId="52E5AEA1" w14:textId="77777777" w:rsidTr="008F78AF">
        <w:trPr>
          <w:trHeight w:val="425"/>
        </w:trPr>
        <w:tc>
          <w:tcPr>
            <w:tcW w:w="1726" w:type="dxa"/>
          </w:tcPr>
          <w:p w14:paraId="2D340031" w14:textId="77777777" w:rsidR="00C40306" w:rsidRDefault="00C40306" w:rsidP="00DE31FA">
            <w:r>
              <w:t>PK</w:t>
            </w:r>
          </w:p>
        </w:tc>
        <w:tc>
          <w:tcPr>
            <w:tcW w:w="7111" w:type="dxa"/>
          </w:tcPr>
          <w:p w14:paraId="3EF833BD" w14:textId="77777777" w:rsidR="00C40306" w:rsidRDefault="00C40306" w:rsidP="00DE31FA">
            <w:r>
              <w:t>Pharmacokinetic</w:t>
            </w:r>
          </w:p>
        </w:tc>
      </w:tr>
      <w:tr w:rsidR="0061798A" w14:paraId="05055FED" w14:textId="77777777" w:rsidTr="008F78AF">
        <w:trPr>
          <w:trHeight w:val="425"/>
        </w:trPr>
        <w:tc>
          <w:tcPr>
            <w:tcW w:w="1726" w:type="dxa"/>
          </w:tcPr>
          <w:p w14:paraId="50692F94" w14:textId="77777777" w:rsidR="00C40306" w:rsidRDefault="00C40306" w:rsidP="00DE31FA">
            <w:r>
              <w:t>PML</w:t>
            </w:r>
          </w:p>
        </w:tc>
        <w:tc>
          <w:tcPr>
            <w:tcW w:w="7111" w:type="dxa"/>
          </w:tcPr>
          <w:p w14:paraId="6E53197A" w14:textId="77777777" w:rsidR="00C40306" w:rsidRDefault="00C40306" w:rsidP="00DE31FA">
            <w:r>
              <w:t>Progressive multifocal leukoencephalopathy</w:t>
            </w:r>
          </w:p>
        </w:tc>
      </w:tr>
      <w:tr w:rsidR="0061798A" w14:paraId="559B2F98" w14:textId="77777777" w:rsidTr="008F78AF">
        <w:trPr>
          <w:trHeight w:val="425"/>
        </w:trPr>
        <w:tc>
          <w:tcPr>
            <w:tcW w:w="1726" w:type="dxa"/>
          </w:tcPr>
          <w:p w14:paraId="3A3DAB4A" w14:textId="77777777" w:rsidR="00C40306" w:rsidRDefault="00C40306" w:rsidP="00DE31FA">
            <w:r>
              <w:t>p.o.</w:t>
            </w:r>
          </w:p>
        </w:tc>
        <w:tc>
          <w:tcPr>
            <w:tcW w:w="7111" w:type="dxa"/>
          </w:tcPr>
          <w:p w14:paraId="6AE10574" w14:textId="73AF2552" w:rsidR="00C40306" w:rsidRDefault="0061798A" w:rsidP="00DE31FA">
            <w:r>
              <w:t>O</w:t>
            </w:r>
            <w:r w:rsidR="00C40306">
              <w:t>ral</w:t>
            </w:r>
            <w:r>
              <w:t>/by mouth (per os)</w:t>
            </w:r>
          </w:p>
        </w:tc>
      </w:tr>
      <w:tr w:rsidR="0061798A" w14:paraId="7D38BC11" w14:textId="77777777" w:rsidTr="008F78AF">
        <w:trPr>
          <w:trHeight w:val="425"/>
        </w:trPr>
        <w:tc>
          <w:tcPr>
            <w:tcW w:w="1726" w:type="dxa"/>
          </w:tcPr>
          <w:p w14:paraId="3D7DCF2F" w14:textId="77777777" w:rsidR="00C40306" w:rsidRDefault="00C40306" w:rsidP="00DE31FA">
            <w:r>
              <w:t>PopPK</w:t>
            </w:r>
          </w:p>
        </w:tc>
        <w:tc>
          <w:tcPr>
            <w:tcW w:w="7111" w:type="dxa"/>
          </w:tcPr>
          <w:p w14:paraId="1E82064F" w14:textId="77777777" w:rsidR="00C40306" w:rsidRDefault="00C40306" w:rsidP="00DE31FA">
            <w:r>
              <w:t>Population pharmacokinetic</w:t>
            </w:r>
          </w:p>
        </w:tc>
      </w:tr>
      <w:tr w:rsidR="0061798A" w14:paraId="2CC906C4" w14:textId="77777777" w:rsidTr="008F78AF">
        <w:trPr>
          <w:trHeight w:val="425"/>
        </w:trPr>
        <w:tc>
          <w:tcPr>
            <w:tcW w:w="1726" w:type="dxa"/>
          </w:tcPr>
          <w:p w14:paraId="0493E14C" w14:textId="77777777" w:rsidR="004300B2" w:rsidRDefault="004300B2" w:rsidP="00DE31FA">
            <w:r>
              <w:t>PPLL</w:t>
            </w:r>
          </w:p>
        </w:tc>
        <w:tc>
          <w:tcPr>
            <w:tcW w:w="7111" w:type="dxa"/>
          </w:tcPr>
          <w:p w14:paraId="3836E3AC" w14:textId="77777777" w:rsidR="004300B2" w:rsidRDefault="004300B2" w:rsidP="00DE31FA">
            <w:r w:rsidRPr="004300B2">
              <w:t>Placebo/cladribine low dose</w:t>
            </w:r>
          </w:p>
        </w:tc>
      </w:tr>
      <w:tr w:rsidR="0061798A" w14:paraId="14DB4B6A" w14:textId="77777777" w:rsidTr="008F78AF">
        <w:trPr>
          <w:trHeight w:val="425"/>
        </w:trPr>
        <w:tc>
          <w:tcPr>
            <w:tcW w:w="1726" w:type="dxa"/>
          </w:tcPr>
          <w:p w14:paraId="37155968" w14:textId="77777777" w:rsidR="00C40306" w:rsidRDefault="00C40306" w:rsidP="00DE31FA">
            <w:r>
              <w:t>PPMS</w:t>
            </w:r>
          </w:p>
        </w:tc>
        <w:tc>
          <w:tcPr>
            <w:tcW w:w="7111" w:type="dxa"/>
          </w:tcPr>
          <w:p w14:paraId="4913BA34" w14:textId="2094269B" w:rsidR="00C40306" w:rsidRDefault="00C40306" w:rsidP="0061798A">
            <w:r>
              <w:t xml:space="preserve">Primary </w:t>
            </w:r>
            <w:r w:rsidR="0061798A">
              <w:t>progressive multiple s</w:t>
            </w:r>
            <w:r>
              <w:t>clerosis</w:t>
            </w:r>
          </w:p>
        </w:tc>
      </w:tr>
      <w:tr w:rsidR="0061798A" w14:paraId="6F9EDD37" w14:textId="77777777" w:rsidTr="008F78AF">
        <w:trPr>
          <w:trHeight w:val="425"/>
        </w:trPr>
        <w:tc>
          <w:tcPr>
            <w:tcW w:w="1726" w:type="dxa"/>
          </w:tcPr>
          <w:p w14:paraId="3BE8D1E9" w14:textId="77777777" w:rsidR="00C40306" w:rsidRDefault="00C40306" w:rsidP="00DE31FA">
            <w:r>
              <w:t>PY</w:t>
            </w:r>
          </w:p>
        </w:tc>
        <w:tc>
          <w:tcPr>
            <w:tcW w:w="7111" w:type="dxa"/>
          </w:tcPr>
          <w:p w14:paraId="6DC9BE85" w14:textId="77777777" w:rsidR="00C40306" w:rsidRDefault="00C40306" w:rsidP="00DE31FA">
            <w:r>
              <w:t>Patient years</w:t>
            </w:r>
          </w:p>
        </w:tc>
      </w:tr>
      <w:tr w:rsidR="0061798A" w14:paraId="773C5B01" w14:textId="77777777" w:rsidTr="008F78AF">
        <w:trPr>
          <w:trHeight w:val="425"/>
        </w:trPr>
        <w:tc>
          <w:tcPr>
            <w:tcW w:w="1726" w:type="dxa"/>
          </w:tcPr>
          <w:p w14:paraId="3C996C36" w14:textId="77777777" w:rsidR="00C40306" w:rsidRDefault="00C40306" w:rsidP="00DE31FA">
            <w:r>
              <w:t>RD</w:t>
            </w:r>
          </w:p>
        </w:tc>
        <w:tc>
          <w:tcPr>
            <w:tcW w:w="7111" w:type="dxa"/>
          </w:tcPr>
          <w:p w14:paraId="64D91660" w14:textId="77777777" w:rsidR="00C40306" w:rsidRDefault="00C40306" w:rsidP="00DE31FA">
            <w:r>
              <w:t>Risk difference</w:t>
            </w:r>
          </w:p>
        </w:tc>
      </w:tr>
      <w:tr w:rsidR="0061798A" w14:paraId="3E8C4070" w14:textId="77777777" w:rsidTr="008F78AF">
        <w:trPr>
          <w:trHeight w:val="425"/>
        </w:trPr>
        <w:tc>
          <w:tcPr>
            <w:tcW w:w="1726" w:type="dxa"/>
          </w:tcPr>
          <w:p w14:paraId="617C3869" w14:textId="77777777" w:rsidR="00C40306" w:rsidRDefault="00C40306" w:rsidP="00DE31FA">
            <w:r>
              <w:t>RI</w:t>
            </w:r>
          </w:p>
        </w:tc>
        <w:tc>
          <w:tcPr>
            <w:tcW w:w="7111" w:type="dxa"/>
          </w:tcPr>
          <w:p w14:paraId="758D0881" w14:textId="77777777" w:rsidR="00C40306" w:rsidRDefault="00C40306" w:rsidP="00DE31FA">
            <w:r>
              <w:t>Renal impairment</w:t>
            </w:r>
          </w:p>
        </w:tc>
      </w:tr>
      <w:tr w:rsidR="0061798A" w14:paraId="540CCE0E" w14:textId="77777777" w:rsidTr="008F78AF">
        <w:trPr>
          <w:trHeight w:val="425"/>
        </w:trPr>
        <w:tc>
          <w:tcPr>
            <w:tcW w:w="1726" w:type="dxa"/>
          </w:tcPr>
          <w:p w14:paraId="2590E108" w14:textId="77777777" w:rsidR="00C40306" w:rsidRDefault="00C40306" w:rsidP="00DE31FA">
            <w:r>
              <w:t>RRMS</w:t>
            </w:r>
          </w:p>
        </w:tc>
        <w:tc>
          <w:tcPr>
            <w:tcW w:w="7111" w:type="dxa"/>
          </w:tcPr>
          <w:p w14:paraId="4215A94D" w14:textId="77777777" w:rsidR="00C40306" w:rsidRDefault="00C40306" w:rsidP="00DE31FA">
            <w:r>
              <w:t>Relapsing Remitting Multiple Sclerosis</w:t>
            </w:r>
          </w:p>
        </w:tc>
      </w:tr>
      <w:tr w:rsidR="0061798A" w14:paraId="219D95DC" w14:textId="77777777" w:rsidTr="008F78AF">
        <w:trPr>
          <w:trHeight w:val="425"/>
        </w:trPr>
        <w:tc>
          <w:tcPr>
            <w:tcW w:w="1726" w:type="dxa"/>
          </w:tcPr>
          <w:p w14:paraId="0A49DC2F" w14:textId="77777777" w:rsidR="00C40306" w:rsidRDefault="00C40306" w:rsidP="00DE31FA">
            <w:r>
              <w:t>SAE</w:t>
            </w:r>
          </w:p>
        </w:tc>
        <w:tc>
          <w:tcPr>
            <w:tcW w:w="7111" w:type="dxa"/>
          </w:tcPr>
          <w:p w14:paraId="4E90BC88" w14:textId="77777777" w:rsidR="00C40306" w:rsidRDefault="00C40306" w:rsidP="00DE31FA">
            <w:r>
              <w:t>Serious adverse event</w:t>
            </w:r>
          </w:p>
        </w:tc>
      </w:tr>
      <w:tr w:rsidR="0061798A" w14:paraId="7FF82F5E" w14:textId="77777777" w:rsidTr="008F78AF">
        <w:trPr>
          <w:trHeight w:val="425"/>
        </w:trPr>
        <w:tc>
          <w:tcPr>
            <w:tcW w:w="1726" w:type="dxa"/>
          </w:tcPr>
          <w:p w14:paraId="358AD457" w14:textId="77777777" w:rsidR="00C40306" w:rsidRDefault="00C40306" w:rsidP="00DE31FA">
            <w:r>
              <w:t>SC</w:t>
            </w:r>
          </w:p>
        </w:tc>
        <w:tc>
          <w:tcPr>
            <w:tcW w:w="7111" w:type="dxa"/>
          </w:tcPr>
          <w:p w14:paraId="2A00E905" w14:textId="79F608BF" w:rsidR="00C40306" w:rsidRDefault="003037A3" w:rsidP="00DE31FA">
            <w:r>
              <w:t>Subcutaneous</w:t>
            </w:r>
          </w:p>
        </w:tc>
      </w:tr>
      <w:tr w:rsidR="0061798A" w14:paraId="2AA78B56" w14:textId="77777777" w:rsidTr="008F78AF">
        <w:trPr>
          <w:trHeight w:val="425"/>
        </w:trPr>
        <w:tc>
          <w:tcPr>
            <w:tcW w:w="1726" w:type="dxa"/>
          </w:tcPr>
          <w:p w14:paraId="6F3E1F15" w14:textId="77777777" w:rsidR="00C40306" w:rsidRDefault="00C40306" w:rsidP="00DE31FA">
            <w:r>
              <w:t>SD</w:t>
            </w:r>
          </w:p>
        </w:tc>
        <w:tc>
          <w:tcPr>
            <w:tcW w:w="7111" w:type="dxa"/>
          </w:tcPr>
          <w:p w14:paraId="3D3B653C" w14:textId="77777777" w:rsidR="00C40306" w:rsidRDefault="00C40306" w:rsidP="00DE31FA">
            <w:r>
              <w:t>Standard deviation</w:t>
            </w:r>
          </w:p>
        </w:tc>
      </w:tr>
      <w:tr w:rsidR="0061798A" w14:paraId="47468628" w14:textId="77777777" w:rsidTr="008F78AF">
        <w:trPr>
          <w:trHeight w:val="425"/>
        </w:trPr>
        <w:tc>
          <w:tcPr>
            <w:tcW w:w="1726" w:type="dxa"/>
          </w:tcPr>
          <w:p w14:paraId="7899223A" w14:textId="77777777" w:rsidR="00C40306" w:rsidRDefault="00C40306" w:rsidP="00DE31FA">
            <w:r>
              <w:t>SDMT</w:t>
            </w:r>
          </w:p>
        </w:tc>
        <w:tc>
          <w:tcPr>
            <w:tcW w:w="7111" w:type="dxa"/>
          </w:tcPr>
          <w:p w14:paraId="25C30FEC" w14:textId="77777777" w:rsidR="00C40306" w:rsidRDefault="00C40306" w:rsidP="00DE31FA">
            <w:r>
              <w:t>Symbol Digit Modalities Test</w:t>
            </w:r>
          </w:p>
        </w:tc>
      </w:tr>
      <w:tr w:rsidR="0061798A" w14:paraId="281A2601" w14:textId="77777777" w:rsidTr="008F78AF">
        <w:trPr>
          <w:trHeight w:val="425"/>
        </w:trPr>
        <w:tc>
          <w:tcPr>
            <w:tcW w:w="1726" w:type="dxa"/>
          </w:tcPr>
          <w:p w14:paraId="779599EC" w14:textId="77777777" w:rsidR="00C40306" w:rsidRDefault="00C40306" w:rsidP="00DE31FA">
            <w:r>
              <w:t>SIR</w:t>
            </w:r>
          </w:p>
        </w:tc>
        <w:tc>
          <w:tcPr>
            <w:tcW w:w="7111" w:type="dxa"/>
          </w:tcPr>
          <w:p w14:paraId="413EFA6E" w14:textId="77777777" w:rsidR="00C40306" w:rsidRDefault="00C40306" w:rsidP="00DE31FA">
            <w:r>
              <w:t>Standard incidence ratio</w:t>
            </w:r>
          </w:p>
        </w:tc>
      </w:tr>
      <w:tr w:rsidR="0061798A" w14:paraId="2897A5BD" w14:textId="77777777" w:rsidTr="008F78AF">
        <w:trPr>
          <w:trHeight w:val="425"/>
        </w:trPr>
        <w:tc>
          <w:tcPr>
            <w:tcW w:w="1726" w:type="dxa"/>
          </w:tcPr>
          <w:p w14:paraId="0E30B840" w14:textId="77777777" w:rsidR="00C40306" w:rsidRDefault="00C40306" w:rsidP="00DE31FA">
            <w:r>
              <w:t>SOC</w:t>
            </w:r>
          </w:p>
        </w:tc>
        <w:tc>
          <w:tcPr>
            <w:tcW w:w="7111" w:type="dxa"/>
          </w:tcPr>
          <w:p w14:paraId="7E193874" w14:textId="77777777" w:rsidR="00C40306" w:rsidRDefault="00C40306" w:rsidP="00DE31FA">
            <w:r>
              <w:t>System order class</w:t>
            </w:r>
          </w:p>
        </w:tc>
      </w:tr>
      <w:tr w:rsidR="0061798A" w14:paraId="5646778F" w14:textId="77777777" w:rsidTr="008F78AF">
        <w:trPr>
          <w:trHeight w:val="425"/>
        </w:trPr>
        <w:tc>
          <w:tcPr>
            <w:tcW w:w="1726" w:type="dxa"/>
          </w:tcPr>
          <w:p w14:paraId="5CBE1734" w14:textId="77777777" w:rsidR="00C40306" w:rsidRDefault="00C40306" w:rsidP="00DE31FA">
            <w:r>
              <w:t>SPMS</w:t>
            </w:r>
          </w:p>
        </w:tc>
        <w:tc>
          <w:tcPr>
            <w:tcW w:w="7111" w:type="dxa"/>
          </w:tcPr>
          <w:p w14:paraId="038D140A" w14:textId="77777777" w:rsidR="00C40306" w:rsidRDefault="00C40306" w:rsidP="00DE31FA">
            <w:r>
              <w:t>Secondary Progressive Multiple Sclerosis</w:t>
            </w:r>
          </w:p>
        </w:tc>
      </w:tr>
      <w:tr w:rsidR="0061798A" w14:paraId="2279505E" w14:textId="77777777" w:rsidTr="008F78AF">
        <w:trPr>
          <w:trHeight w:val="425"/>
        </w:trPr>
        <w:tc>
          <w:tcPr>
            <w:tcW w:w="1726" w:type="dxa"/>
          </w:tcPr>
          <w:p w14:paraId="68657E11" w14:textId="77777777" w:rsidR="00C40306" w:rsidRDefault="00C40306" w:rsidP="00DE31FA">
            <w:r>
              <w:t>SUSAR</w:t>
            </w:r>
          </w:p>
        </w:tc>
        <w:tc>
          <w:tcPr>
            <w:tcW w:w="7111" w:type="dxa"/>
          </w:tcPr>
          <w:p w14:paraId="18A23934" w14:textId="77777777" w:rsidR="00C40306" w:rsidRDefault="00C40306" w:rsidP="00DE31FA">
            <w:r>
              <w:t>Suspected Unexpected Serious Adverse Reaction</w:t>
            </w:r>
          </w:p>
        </w:tc>
      </w:tr>
      <w:tr w:rsidR="0061798A" w14:paraId="6D83EAE7" w14:textId="77777777" w:rsidTr="008F78AF">
        <w:trPr>
          <w:trHeight w:val="425"/>
        </w:trPr>
        <w:tc>
          <w:tcPr>
            <w:tcW w:w="1726" w:type="dxa"/>
          </w:tcPr>
          <w:p w14:paraId="230CDCC6" w14:textId="77777777" w:rsidR="00C40306" w:rsidRDefault="00C40306" w:rsidP="00DE31FA">
            <w:r>
              <w:t>TB</w:t>
            </w:r>
          </w:p>
        </w:tc>
        <w:tc>
          <w:tcPr>
            <w:tcW w:w="7111" w:type="dxa"/>
          </w:tcPr>
          <w:p w14:paraId="3F7E5B5E" w14:textId="77777777" w:rsidR="00C40306" w:rsidRDefault="00C40306" w:rsidP="00DE31FA">
            <w:r>
              <w:t>Tuberculosis</w:t>
            </w:r>
          </w:p>
        </w:tc>
      </w:tr>
      <w:tr w:rsidR="0061798A" w14:paraId="2B9FA805" w14:textId="77777777" w:rsidTr="008F78AF">
        <w:trPr>
          <w:trHeight w:val="425"/>
        </w:trPr>
        <w:tc>
          <w:tcPr>
            <w:tcW w:w="1726" w:type="dxa"/>
          </w:tcPr>
          <w:p w14:paraId="78D7A43D" w14:textId="77777777" w:rsidR="00C40306" w:rsidRDefault="00C40306" w:rsidP="00DE31FA">
            <w:r>
              <w:t>TEAE</w:t>
            </w:r>
          </w:p>
        </w:tc>
        <w:tc>
          <w:tcPr>
            <w:tcW w:w="7111" w:type="dxa"/>
          </w:tcPr>
          <w:p w14:paraId="03C4AFF9" w14:textId="77777777" w:rsidR="00C40306" w:rsidRDefault="00C40306" w:rsidP="00DE31FA">
            <w:r>
              <w:t>Treatment emergent adverse event</w:t>
            </w:r>
          </w:p>
        </w:tc>
      </w:tr>
      <w:tr w:rsidR="0061798A" w14:paraId="692A547F" w14:textId="77777777" w:rsidTr="008F78AF">
        <w:trPr>
          <w:trHeight w:val="425"/>
        </w:trPr>
        <w:tc>
          <w:tcPr>
            <w:tcW w:w="1726" w:type="dxa"/>
          </w:tcPr>
          <w:p w14:paraId="26FD8303" w14:textId="77777777" w:rsidR="00C40306" w:rsidRDefault="00C40306" w:rsidP="00DE31FA">
            <w:r>
              <w:t>t</w:t>
            </w:r>
            <w:r w:rsidRPr="00A22D45">
              <w:rPr>
                <w:vertAlign w:val="subscript"/>
              </w:rPr>
              <w:t>max</w:t>
            </w:r>
          </w:p>
        </w:tc>
        <w:tc>
          <w:tcPr>
            <w:tcW w:w="7111" w:type="dxa"/>
          </w:tcPr>
          <w:p w14:paraId="6697D098" w14:textId="77777777" w:rsidR="00C40306" w:rsidRDefault="00C40306" w:rsidP="00DE31FA">
            <w:r>
              <w:t>Time to maximum plasma concentration</w:t>
            </w:r>
          </w:p>
        </w:tc>
      </w:tr>
      <w:tr w:rsidR="0061798A" w14:paraId="15B118CE" w14:textId="77777777" w:rsidTr="008F78AF">
        <w:trPr>
          <w:trHeight w:val="425"/>
        </w:trPr>
        <w:tc>
          <w:tcPr>
            <w:tcW w:w="1726" w:type="dxa"/>
          </w:tcPr>
          <w:p w14:paraId="17F880F4" w14:textId="77777777" w:rsidR="00C40306" w:rsidRDefault="00C40306" w:rsidP="00DE31FA">
            <w:r>
              <w:t>ULN</w:t>
            </w:r>
          </w:p>
        </w:tc>
        <w:tc>
          <w:tcPr>
            <w:tcW w:w="7111" w:type="dxa"/>
          </w:tcPr>
          <w:p w14:paraId="3377CAF0" w14:textId="77777777" w:rsidR="00C40306" w:rsidRDefault="00C40306" w:rsidP="00DE31FA">
            <w:r>
              <w:t>Upper limit of normal</w:t>
            </w:r>
          </w:p>
        </w:tc>
      </w:tr>
      <w:tr w:rsidR="0061798A" w14:paraId="12F00BC6" w14:textId="77777777" w:rsidTr="008F78AF">
        <w:trPr>
          <w:trHeight w:val="425"/>
        </w:trPr>
        <w:tc>
          <w:tcPr>
            <w:tcW w:w="1726" w:type="dxa"/>
          </w:tcPr>
          <w:p w14:paraId="4611527B" w14:textId="77777777" w:rsidR="00C40306" w:rsidRDefault="00C40306" w:rsidP="00DE31FA">
            <w:r>
              <w:lastRenderedPageBreak/>
              <w:t>UTI</w:t>
            </w:r>
          </w:p>
        </w:tc>
        <w:tc>
          <w:tcPr>
            <w:tcW w:w="7111" w:type="dxa"/>
          </w:tcPr>
          <w:p w14:paraId="219602A4" w14:textId="77777777" w:rsidR="00C40306" w:rsidRDefault="00C40306" w:rsidP="00DE31FA">
            <w:r>
              <w:t>Urinary tract infection</w:t>
            </w:r>
          </w:p>
        </w:tc>
      </w:tr>
    </w:tbl>
    <w:p w14:paraId="0DD3DD3C" w14:textId="77777777" w:rsidR="008E7846" w:rsidRDefault="00F53C07" w:rsidP="003037A3">
      <w:pPr>
        <w:pStyle w:val="Heading2"/>
        <w:pageBreakBefore/>
        <w:spacing w:before="0"/>
      </w:pPr>
      <w:bookmarkStart w:id="9" w:name="_Toc519257419"/>
      <w:r>
        <w:lastRenderedPageBreak/>
        <w:t>I.</w:t>
      </w:r>
      <w:r w:rsidR="008E7846">
        <w:t xml:space="preserve"> Introduction to product submission</w:t>
      </w:r>
      <w:bookmarkEnd w:id="3"/>
      <w:bookmarkEnd w:id="0"/>
      <w:bookmarkEnd w:id="9"/>
    </w:p>
    <w:p w14:paraId="13DAFDDF" w14:textId="77777777" w:rsidR="008E7846" w:rsidRDefault="008E7846" w:rsidP="008E7846">
      <w:pPr>
        <w:pStyle w:val="Heading3"/>
        <w:rPr>
          <w:lang w:eastAsia="en-AU"/>
        </w:rPr>
      </w:pPr>
      <w:bookmarkStart w:id="10" w:name="_Toc247691502"/>
      <w:bookmarkStart w:id="11" w:name="_Toc314842483"/>
      <w:bookmarkStart w:id="12" w:name="_Toc519257420"/>
      <w:r>
        <w:rPr>
          <w:lang w:eastAsia="en-AU"/>
        </w:rPr>
        <w:t>Submission details</w:t>
      </w:r>
      <w:bookmarkEnd w:id="10"/>
      <w:bookmarkEnd w:id="11"/>
      <w:bookmarkEnd w:id="12"/>
    </w:p>
    <w:tbl>
      <w:tblPr>
        <w:tblW w:w="9497" w:type="dxa"/>
        <w:tblInd w:w="108" w:type="dxa"/>
        <w:tblLook w:val="01E0" w:firstRow="1" w:lastRow="1" w:firstColumn="1" w:lastColumn="1" w:noHBand="0" w:noVBand="0"/>
      </w:tblPr>
      <w:tblGrid>
        <w:gridCol w:w="2907"/>
        <w:gridCol w:w="6307"/>
        <w:gridCol w:w="283"/>
      </w:tblGrid>
      <w:tr w:rsidR="008E7846" w:rsidRPr="003D1E62" w14:paraId="7AFBD8B2" w14:textId="77777777" w:rsidTr="003037A3">
        <w:trPr>
          <w:trHeight w:hRule="exact" w:val="454"/>
        </w:trPr>
        <w:tc>
          <w:tcPr>
            <w:tcW w:w="2907" w:type="dxa"/>
          </w:tcPr>
          <w:p w14:paraId="534A1AE5" w14:textId="77777777" w:rsidR="008E7846" w:rsidRPr="003D1E62" w:rsidRDefault="001B5C90" w:rsidP="001B5C90">
            <w:pPr>
              <w:rPr>
                <w:i/>
              </w:rPr>
            </w:pPr>
            <w:r>
              <w:rPr>
                <w:i/>
              </w:rPr>
              <w:t>Type of s</w:t>
            </w:r>
            <w:r w:rsidR="008E7846" w:rsidRPr="003D1E62">
              <w:rPr>
                <w:i/>
              </w:rPr>
              <w:t>ubmission</w:t>
            </w:r>
            <w:r>
              <w:rPr>
                <w:i/>
              </w:rPr>
              <w:t>:</w:t>
            </w:r>
          </w:p>
        </w:tc>
        <w:tc>
          <w:tcPr>
            <w:tcW w:w="6590" w:type="dxa"/>
            <w:gridSpan w:val="2"/>
          </w:tcPr>
          <w:p w14:paraId="5CF69696" w14:textId="1F0A2E8D" w:rsidR="008E7846" w:rsidRPr="003D1E62" w:rsidRDefault="001A773A" w:rsidP="00A17D08">
            <w:r w:rsidRPr="001A773A">
              <w:t>Extension of Indications</w:t>
            </w:r>
          </w:p>
        </w:tc>
      </w:tr>
      <w:tr w:rsidR="008E7846" w:rsidRPr="003D1E62" w14:paraId="69D3405D" w14:textId="77777777" w:rsidTr="003037A3">
        <w:trPr>
          <w:trHeight w:hRule="exact" w:val="454"/>
        </w:trPr>
        <w:tc>
          <w:tcPr>
            <w:tcW w:w="2907" w:type="dxa"/>
          </w:tcPr>
          <w:p w14:paraId="2AB52D8F" w14:textId="77777777" w:rsidR="008E7846" w:rsidRPr="003D1E62" w:rsidRDefault="008E7846" w:rsidP="003D1E62">
            <w:r w:rsidRPr="003D1E62">
              <w:rPr>
                <w:i/>
              </w:rPr>
              <w:t>Decision</w:t>
            </w:r>
            <w:r w:rsidRPr="003D1E62">
              <w:t>:</w:t>
            </w:r>
          </w:p>
        </w:tc>
        <w:tc>
          <w:tcPr>
            <w:tcW w:w="6590" w:type="dxa"/>
            <w:gridSpan w:val="2"/>
          </w:tcPr>
          <w:p w14:paraId="03A19B66" w14:textId="64A89124" w:rsidR="008E7846" w:rsidRPr="003D1E62" w:rsidRDefault="008E7846" w:rsidP="001A773A">
            <w:r w:rsidRPr="003D1E62">
              <w:t>Approved</w:t>
            </w:r>
          </w:p>
        </w:tc>
      </w:tr>
      <w:tr w:rsidR="009755CB" w:rsidRPr="003D1E62" w14:paraId="2FFD470C" w14:textId="77777777" w:rsidTr="003037A3">
        <w:trPr>
          <w:trHeight w:hRule="exact" w:val="454"/>
        </w:trPr>
        <w:tc>
          <w:tcPr>
            <w:tcW w:w="2907" w:type="dxa"/>
          </w:tcPr>
          <w:p w14:paraId="68592558" w14:textId="77777777" w:rsidR="009755CB" w:rsidRPr="003D1E62" w:rsidRDefault="009755CB" w:rsidP="001B5C90">
            <w:pPr>
              <w:rPr>
                <w:i/>
              </w:rPr>
            </w:pPr>
            <w:r w:rsidRPr="003D1E62">
              <w:rPr>
                <w:i/>
              </w:rPr>
              <w:t xml:space="preserve">Date of </w:t>
            </w:r>
            <w:r>
              <w:rPr>
                <w:i/>
              </w:rPr>
              <w:t>d</w:t>
            </w:r>
            <w:r w:rsidRPr="003D1E62">
              <w:rPr>
                <w:i/>
              </w:rPr>
              <w:t>ecision:</w:t>
            </w:r>
          </w:p>
        </w:tc>
        <w:tc>
          <w:tcPr>
            <w:tcW w:w="6590" w:type="dxa"/>
            <w:gridSpan w:val="2"/>
          </w:tcPr>
          <w:p w14:paraId="3EFAA0F2" w14:textId="77777777" w:rsidR="009755CB" w:rsidRPr="00E74A4F" w:rsidRDefault="009755CB" w:rsidP="0057702F">
            <w:pPr>
              <w:rPr>
                <w:sz w:val="20"/>
                <w:szCs w:val="20"/>
              </w:rPr>
            </w:pPr>
            <w:r>
              <w:rPr>
                <w:sz w:val="20"/>
                <w:szCs w:val="20"/>
              </w:rPr>
              <w:t>5 December 2017</w:t>
            </w:r>
          </w:p>
        </w:tc>
      </w:tr>
      <w:tr w:rsidR="009755CB" w:rsidRPr="003D1E62" w14:paraId="29681184" w14:textId="77777777" w:rsidTr="003037A3">
        <w:trPr>
          <w:trHeight w:hRule="exact" w:val="454"/>
        </w:trPr>
        <w:tc>
          <w:tcPr>
            <w:tcW w:w="2907" w:type="dxa"/>
          </w:tcPr>
          <w:p w14:paraId="229B56C0" w14:textId="77777777" w:rsidR="009755CB" w:rsidRPr="00441C3F" w:rsidRDefault="009755CB" w:rsidP="001B5C90">
            <w:pPr>
              <w:rPr>
                <w:i/>
              </w:rPr>
            </w:pPr>
            <w:r w:rsidRPr="00441C3F">
              <w:rPr>
                <w:i/>
              </w:rPr>
              <w:t>Date of entry onto ARTG</w:t>
            </w:r>
          </w:p>
        </w:tc>
        <w:tc>
          <w:tcPr>
            <w:tcW w:w="6590" w:type="dxa"/>
            <w:gridSpan w:val="2"/>
          </w:tcPr>
          <w:p w14:paraId="3C5BD0DA" w14:textId="77777777" w:rsidR="009755CB" w:rsidRPr="00F01407" w:rsidRDefault="009755CB" w:rsidP="0057702F">
            <w:pPr>
              <w:rPr>
                <w:sz w:val="20"/>
                <w:szCs w:val="20"/>
              </w:rPr>
            </w:pPr>
            <w:r w:rsidRPr="00F01407">
              <w:rPr>
                <w:sz w:val="20"/>
                <w:szCs w:val="20"/>
              </w:rPr>
              <w:t>11 December 2017</w:t>
            </w:r>
          </w:p>
        </w:tc>
      </w:tr>
      <w:tr w:rsidR="008E7846" w:rsidRPr="00487162" w14:paraId="14DC8FB5" w14:textId="77777777" w:rsidTr="003037A3">
        <w:trPr>
          <w:gridAfter w:val="1"/>
          <w:wAfter w:w="283" w:type="dxa"/>
        </w:trPr>
        <w:tc>
          <w:tcPr>
            <w:tcW w:w="2907" w:type="dxa"/>
          </w:tcPr>
          <w:p w14:paraId="4FDE4514" w14:textId="31D4FB94" w:rsidR="008E7846" w:rsidRPr="00487162" w:rsidRDefault="001B5C90" w:rsidP="00E45619">
            <w:pPr>
              <w:rPr>
                <w:i/>
              </w:rPr>
            </w:pPr>
            <w:r>
              <w:rPr>
                <w:i/>
              </w:rPr>
              <w:t>Active ingredient:</w:t>
            </w:r>
          </w:p>
        </w:tc>
        <w:tc>
          <w:tcPr>
            <w:tcW w:w="6307" w:type="dxa"/>
          </w:tcPr>
          <w:p w14:paraId="1D0CF340" w14:textId="77777777" w:rsidR="008E7846" w:rsidRPr="00487162" w:rsidRDefault="001A773A" w:rsidP="00E45619">
            <w:r w:rsidRPr="001A773A">
              <w:t>Cladribine</w:t>
            </w:r>
          </w:p>
        </w:tc>
      </w:tr>
      <w:tr w:rsidR="008E7846" w:rsidRPr="00487162" w14:paraId="0B96EEE9" w14:textId="77777777" w:rsidTr="003037A3">
        <w:trPr>
          <w:gridAfter w:val="1"/>
          <w:wAfter w:w="283" w:type="dxa"/>
        </w:trPr>
        <w:tc>
          <w:tcPr>
            <w:tcW w:w="2907" w:type="dxa"/>
          </w:tcPr>
          <w:p w14:paraId="6C81C1BB" w14:textId="52C42D03" w:rsidR="008E7846" w:rsidRPr="00487162" w:rsidRDefault="008E7846" w:rsidP="001B5C90">
            <w:pPr>
              <w:rPr>
                <w:i/>
              </w:rPr>
            </w:pPr>
            <w:r w:rsidRPr="00487162">
              <w:rPr>
                <w:i/>
              </w:rPr>
              <w:t>Product</w:t>
            </w:r>
            <w:r w:rsidR="001B5C90">
              <w:rPr>
                <w:i/>
              </w:rPr>
              <w:t xml:space="preserve"> name:</w:t>
            </w:r>
          </w:p>
        </w:tc>
        <w:tc>
          <w:tcPr>
            <w:tcW w:w="6307" w:type="dxa"/>
          </w:tcPr>
          <w:p w14:paraId="48F21EDD" w14:textId="77777777" w:rsidR="008E7846" w:rsidRPr="00487162" w:rsidRDefault="009755CB" w:rsidP="00E45619">
            <w:r>
              <w:t>Mavenclad</w:t>
            </w:r>
          </w:p>
        </w:tc>
      </w:tr>
      <w:tr w:rsidR="008E7846" w:rsidRPr="00487162" w14:paraId="6A9AF97A" w14:textId="77777777" w:rsidTr="003037A3">
        <w:trPr>
          <w:gridAfter w:val="1"/>
          <w:wAfter w:w="283" w:type="dxa"/>
        </w:trPr>
        <w:tc>
          <w:tcPr>
            <w:tcW w:w="2907" w:type="dxa"/>
          </w:tcPr>
          <w:p w14:paraId="38582654"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28C33B82" w14:textId="77777777" w:rsidR="008E7846" w:rsidRDefault="001A773A" w:rsidP="00E45619">
            <w:r w:rsidRPr="001A773A">
              <w:t>Merck Serono Australia Pty Ltd</w:t>
            </w:r>
          </w:p>
          <w:p w14:paraId="64CEBFA5" w14:textId="4FA3E991" w:rsidR="00F01407" w:rsidRPr="00487162" w:rsidRDefault="00F01407" w:rsidP="00F01407">
            <w:r>
              <w:t>25 Frenchs Forest Road</w:t>
            </w:r>
            <w:r w:rsidR="007E5E88">
              <w:br/>
            </w:r>
            <w:r>
              <w:t>East Frenchs Forest</w:t>
            </w:r>
            <w:r w:rsidR="007E5E88">
              <w:br/>
            </w:r>
            <w:r>
              <w:t>NSW 2086</w:t>
            </w:r>
          </w:p>
        </w:tc>
      </w:tr>
      <w:tr w:rsidR="008E7846" w:rsidRPr="00487162" w14:paraId="399394CF" w14:textId="77777777" w:rsidTr="003037A3">
        <w:trPr>
          <w:gridAfter w:val="1"/>
          <w:wAfter w:w="283" w:type="dxa"/>
        </w:trPr>
        <w:tc>
          <w:tcPr>
            <w:tcW w:w="2907" w:type="dxa"/>
          </w:tcPr>
          <w:p w14:paraId="5661A3AC" w14:textId="5E444AAC" w:rsidR="008E7846" w:rsidRPr="00487162" w:rsidRDefault="001B5C90" w:rsidP="00E45619">
            <w:pPr>
              <w:rPr>
                <w:i/>
              </w:rPr>
            </w:pPr>
            <w:r>
              <w:rPr>
                <w:i/>
              </w:rPr>
              <w:t>Dose form:</w:t>
            </w:r>
          </w:p>
        </w:tc>
        <w:tc>
          <w:tcPr>
            <w:tcW w:w="6307" w:type="dxa"/>
          </w:tcPr>
          <w:p w14:paraId="7AD0DBF7" w14:textId="77777777" w:rsidR="008E7846" w:rsidRPr="00487162" w:rsidRDefault="001A773A" w:rsidP="001A773A">
            <w:r>
              <w:t>T</w:t>
            </w:r>
            <w:r w:rsidRPr="001A773A">
              <w:t>ablet</w:t>
            </w:r>
          </w:p>
        </w:tc>
      </w:tr>
      <w:tr w:rsidR="008E7846" w:rsidRPr="00487162" w14:paraId="624AA77C" w14:textId="77777777" w:rsidTr="003037A3">
        <w:trPr>
          <w:gridAfter w:val="1"/>
          <w:wAfter w:w="283" w:type="dxa"/>
        </w:trPr>
        <w:tc>
          <w:tcPr>
            <w:tcW w:w="2907" w:type="dxa"/>
          </w:tcPr>
          <w:p w14:paraId="6DC08943" w14:textId="357402D2" w:rsidR="008E7846" w:rsidRPr="00487162" w:rsidRDefault="003037A3" w:rsidP="00E45619">
            <w:pPr>
              <w:rPr>
                <w:i/>
              </w:rPr>
            </w:pPr>
            <w:r>
              <w:rPr>
                <w:i/>
              </w:rPr>
              <w:t>Strength:</w:t>
            </w:r>
          </w:p>
        </w:tc>
        <w:tc>
          <w:tcPr>
            <w:tcW w:w="6307" w:type="dxa"/>
          </w:tcPr>
          <w:p w14:paraId="0E5EB4CC" w14:textId="77777777" w:rsidR="008E7846" w:rsidRPr="00487162" w:rsidRDefault="001A773A" w:rsidP="00E45619">
            <w:r>
              <w:t>10 mg</w:t>
            </w:r>
          </w:p>
        </w:tc>
      </w:tr>
      <w:tr w:rsidR="008E7846" w:rsidRPr="00487162" w14:paraId="0868F5DB" w14:textId="77777777" w:rsidTr="003037A3">
        <w:trPr>
          <w:gridAfter w:val="1"/>
          <w:wAfter w:w="283" w:type="dxa"/>
        </w:trPr>
        <w:tc>
          <w:tcPr>
            <w:tcW w:w="2907" w:type="dxa"/>
          </w:tcPr>
          <w:p w14:paraId="650834C9" w14:textId="5A54E27A" w:rsidR="008E7846" w:rsidRPr="00487162" w:rsidRDefault="008E7846" w:rsidP="00E45619">
            <w:pPr>
              <w:rPr>
                <w:i/>
              </w:rPr>
            </w:pPr>
            <w:r w:rsidRPr="00487162">
              <w:rPr>
                <w:i/>
              </w:rPr>
              <w:t>Container:</w:t>
            </w:r>
          </w:p>
        </w:tc>
        <w:tc>
          <w:tcPr>
            <w:tcW w:w="6307" w:type="dxa"/>
          </w:tcPr>
          <w:p w14:paraId="06DDDCB6" w14:textId="77777777" w:rsidR="008E7846" w:rsidRPr="00834562" w:rsidRDefault="001A773A" w:rsidP="00E45619">
            <w:r w:rsidRPr="00834562">
              <w:t>Blister pack</w:t>
            </w:r>
          </w:p>
        </w:tc>
      </w:tr>
      <w:tr w:rsidR="008E7846" w:rsidRPr="00487162" w14:paraId="1B907392" w14:textId="77777777" w:rsidTr="003037A3">
        <w:trPr>
          <w:gridAfter w:val="1"/>
          <w:wAfter w:w="283" w:type="dxa"/>
        </w:trPr>
        <w:tc>
          <w:tcPr>
            <w:tcW w:w="2907" w:type="dxa"/>
          </w:tcPr>
          <w:p w14:paraId="3DAC8DD4" w14:textId="498C06F7" w:rsidR="008E7846" w:rsidRPr="00487162" w:rsidRDefault="008E7846" w:rsidP="00E45619">
            <w:pPr>
              <w:rPr>
                <w:i/>
              </w:rPr>
            </w:pPr>
            <w:r w:rsidRPr="00487162">
              <w:rPr>
                <w:i/>
              </w:rPr>
              <w:t>Pack sizes:</w:t>
            </w:r>
          </w:p>
        </w:tc>
        <w:tc>
          <w:tcPr>
            <w:tcW w:w="6307" w:type="dxa"/>
          </w:tcPr>
          <w:p w14:paraId="1FC9CB7E" w14:textId="77777777" w:rsidR="008E7846" w:rsidRPr="00487162" w:rsidRDefault="009755CB" w:rsidP="00E45619">
            <w:r>
              <w:t>P</w:t>
            </w:r>
            <w:r w:rsidRPr="009755CB">
              <w:t>acks of 1, 4, 5, 6, 7, 8, 9 or 10 tablets</w:t>
            </w:r>
          </w:p>
        </w:tc>
      </w:tr>
      <w:tr w:rsidR="008E7846" w:rsidRPr="00487162" w14:paraId="2DAE7F31" w14:textId="77777777" w:rsidTr="003037A3">
        <w:trPr>
          <w:gridAfter w:val="1"/>
          <w:wAfter w:w="283" w:type="dxa"/>
        </w:trPr>
        <w:tc>
          <w:tcPr>
            <w:tcW w:w="2907" w:type="dxa"/>
          </w:tcPr>
          <w:p w14:paraId="0FAE76DE"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3312D96C" w14:textId="77777777" w:rsidR="00F01407" w:rsidRPr="00F01407" w:rsidRDefault="00F01407" w:rsidP="00F01407">
            <w:pPr>
              <w:rPr>
                <w:i/>
              </w:rPr>
            </w:pPr>
            <w:r w:rsidRPr="00F01407">
              <w:rPr>
                <w:i/>
              </w:rPr>
              <w:t>(RRMS) to reduce the frequency of clinical relapses and to delay the progression of physical disability.</w:t>
            </w:r>
          </w:p>
          <w:p w14:paraId="752BD59B" w14:textId="77777777" w:rsidR="008E7846" w:rsidRPr="00F01407" w:rsidRDefault="00F01407" w:rsidP="00F01407">
            <w:pPr>
              <w:rPr>
                <w:rFonts w:eastAsia="MS Mincho"/>
                <w:i/>
                <w:lang w:eastAsia="ja-JP"/>
              </w:rPr>
            </w:pPr>
            <w:r w:rsidRPr="00F01407">
              <w:rPr>
                <w:i/>
              </w:rPr>
              <w:t>Following completion of the 2 treatment courses, no further cladribine treatment is required in years 3 and 4. Re-initiation of therapy after year 4 has not been studied.</w:t>
            </w:r>
          </w:p>
        </w:tc>
      </w:tr>
      <w:tr w:rsidR="008E7846" w:rsidRPr="00487162" w14:paraId="04A59A68" w14:textId="77777777" w:rsidTr="003037A3">
        <w:trPr>
          <w:gridAfter w:val="1"/>
          <w:wAfter w:w="283" w:type="dxa"/>
        </w:trPr>
        <w:tc>
          <w:tcPr>
            <w:tcW w:w="2907" w:type="dxa"/>
          </w:tcPr>
          <w:p w14:paraId="1A523339" w14:textId="763C1AEA" w:rsidR="008E7846" w:rsidRPr="00487162" w:rsidRDefault="008E7846" w:rsidP="003037A3">
            <w:pPr>
              <w:rPr>
                <w:i/>
              </w:rPr>
            </w:pPr>
            <w:r w:rsidRPr="00487162">
              <w:rPr>
                <w:i/>
              </w:rPr>
              <w:t>Route of administration:</w:t>
            </w:r>
          </w:p>
        </w:tc>
        <w:tc>
          <w:tcPr>
            <w:tcW w:w="6307" w:type="dxa"/>
          </w:tcPr>
          <w:p w14:paraId="5E83E2EE" w14:textId="77777777" w:rsidR="008E7846" w:rsidRPr="00487162" w:rsidRDefault="001A773A" w:rsidP="00E45619">
            <w:r>
              <w:t>Oral (PO)</w:t>
            </w:r>
          </w:p>
        </w:tc>
      </w:tr>
      <w:tr w:rsidR="008E7846" w:rsidRPr="00487162" w14:paraId="5DAFC75F" w14:textId="77777777" w:rsidTr="003037A3">
        <w:trPr>
          <w:gridAfter w:val="1"/>
          <w:wAfter w:w="283" w:type="dxa"/>
        </w:trPr>
        <w:tc>
          <w:tcPr>
            <w:tcW w:w="2907" w:type="dxa"/>
          </w:tcPr>
          <w:p w14:paraId="6021485E" w14:textId="77777777" w:rsidR="008E7846" w:rsidRPr="00487162" w:rsidRDefault="008E7846" w:rsidP="00E45619">
            <w:pPr>
              <w:rPr>
                <w:i/>
              </w:rPr>
            </w:pPr>
            <w:r w:rsidRPr="00487162">
              <w:rPr>
                <w:i/>
              </w:rPr>
              <w:t>Dosage:</w:t>
            </w:r>
          </w:p>
        </w:tc>
        <w:tc>
          <w:tcPr>
            <w:tcW w:w="6307" w:type="dxa"/>
          </w:tcPr>
          <w:p w14:paraId="77E22E03" w14:textId="1BF3FDC9" w:rsidR="00834562" w:rsidRDefault="00834562" w:rsidP="00834562">
            <w:r>
              <w:t xml:space="preserve">The recommended cumulative dose of </w:t>
            </w:r>
            <w:r w:rsidR="009755CB">
              <w:t xml:space="preserve">Mavenclad </w:t>
            </w:r>
            <w:r>
              <w:t>is 3.5 mg/kg body weight over 2 years, administered as 1 treatment course of 1.75 mg/kg per year. Each treatment course consists of 2</w:t>
            </w:r>
            <w:r w:rsidR="007E5E88">
              <w:t> </w:t>
            </w:r>
            <w:r>
              <w:t>treatment weeks, one at the beginning of the first month and one at the beginning of the second month of the respective year. Each treatment week consists of 4 or 5 days on which a patient receives 10 mg or 20 mg (one or two tablets) as a single daily dose, depending on body weight.</w:t>
            </w:r>
          </w:p>
          <w:p w14:paraId="3B0C3090" w14:textId="77777777" w:rsidR="008E7846" w:rsidRPr="00487162" w:rsidRDefault="00834562" w:rsidP="00834562">
            <w:r>
              <w:t xml:space="preserve">Patients should receive no more than 2 treatment courses over two consecutive years. The recommended dose should not be exceeded. Following completion of the 2 treatment courses, no further cladribine treatment is required in year 3 and year 4 (refer to </w:t>
            </w:r>
            <w:r w:rsidR="009755CB">
              <w:t>Clinical Trials</w:t>
            </w:r>
            <w:r>
              <w:t>). Reinitiation of therapy after year 4 has not been studied.</w:t>
            </w:r>
          </w:p>
        </w:tc>
      </w:tr>
      <w:tr w:rsidR="008E7846" w:rsidRPr="00487162" w14:paraId="13B0CCB9" w14:textId="77777777" w:rsidTr="003037A3">
        <w:trPr>
          <w:gridAfter w:val="1"/>
          <w:wAfter w:w="283" w:type="dxa"/>
        </w:trPr>
        <w:tc>
          <w:tcPr>
            <w:tcW w:w="2907" w:type="dxa"/>
          </w:tcPr>
          <w:p w14:paraId="3B807728" w14:textId="7A5BC981" w:rsidR="008E7846" w:rsidRPr="00487162" w:rsidRDefault="008E7846" w:rsidP="001B5C90">
            <w:pPr>
              <w:rPr>
                <w:i/>
              </w:rPr>
            </w:pPr>
            <w:r w:rsidRPr="00487162">
              <w:rPr>
                <w:i/>
              </w:rPr>
              <w:t xml:space="preserve">ARTG </w:t>
            </w:r>
            <w:r w:rsidR="001B5C90">
              <w:rPr>
                <w:i/>
              </w:rPr>
              <w:t>n</w:t>
            </w:r>
            <w:r w:rsidRPr="00487162">
              <w:rPr>
                <w:i/>
              </w:rPr>
              <w:t>umber</w:t>
            </w:r>
            <w:r w:rsidR="001B5C90">
              <w:rPr>
                <w:i/>
              </w:rPr>
              <w:t>:</w:t>
            </w:r>
          </w:p>
        </w:tc>
        <w:tc>
          <w:tcPr>
            <w:tcW w:w="6307" w:type="dxa"/>
          </w:tcPr>
          <w:p w14:paraId="4A6805BC" w14:textId="0D77E039" w:rsidR="008E7846" w:rsidRPr="00487162" w:rsidRDefault="001A773A" w:rsidP="001A773A">
            <w:r w:rsidRPr="001A773A">
              <w:t>166483</w:t>
            </w:r>
          </w:p>
        </w:tc>
      </w:tr>
    </w:tbl>
    <w:p w14:paraId="00AA9D5E" w14:textId="77777777" w:rsidR="008E7846" w:rsidRDefault="008E7846" w:rsidP="003037A3">
      <w:pPr>
        <w:pStyle w:val="Heading3"/>
      </w:pPr>
      <w:bookmarkStart w:id="13" w:name="_Toc247691503"/>
      <w:bookmarkStart w:id="14" w:name="_Toc314842484"/>
      <w:bookmarkStart w:id="15" w:name="_Toc519257421"/>
      <w:r>
        <w:lastRenderedPageBreak/>
        <w:t xml:space="preserve">Product </w:t>
      </w:r>
      <w:r w:rsidRPr="003037A3">
        <w:t>background</w:t>
      </w:r>
      <w:bookmarkEnd w:id="13"/>
      <w:bookmarkEnd w:id="14"/>
      <w:bookmarkEnd w:id="15"/>
    </w:p>
    <w:p w14:paraId="2C63CF8E" w14:textId="174AFD4A" w:rsidR="00D31B59" w:rsidRDefault="00940A89" w:rsidP="00D31B59">
      <w:r w:rsidRPr="00940A89">
        <w:t>This AusPAR describes the application by</w:t>
      </w:r>
      <w:r w:rsidR="00D31B59">
        <w:t xml:space="preserve"> </w:t>
      </w:r>
      <w:r w:rsidR="007E5E88">
        <w:t>the sponsor</w:t>
      </w:r>
      <w:r w:rsidR="00D31B59">
        <w:t>, the sponsor, to extend the indications of cladribine 10</w:t>
      </w:r>
      <w:r w:rsidR="0057702F">
        <w:t xml:space="preserve"> </w:t>
      </w:r>
      <w:r w:rsidR="00D31B59">
        <w:t xml:space="preserve">mg tablets (Mavenclad) </w:t>
      </w:r>
      <w:r w:rsidR="0057702F">
        <w:t>by the addition of</w:t>
      </w:r>
      <w:r w:rsidR="007E5E88">
        <w:t xml:space="preserve">: </w:t>
      </w:r>
      <w:r w:rsidR="0057702F">
        <w:t>‘</w:t>
      </w:r>
      <w:r w:rsidR="0057702F" w:rsidRPr="00A17D08">
        <w:rPr>
          <w:i/>
        </w:rPr>
        <w:t>to reduce the frequency of clinical relapses and to delay the progression of physical disability</w:t>
      </w:r>
      <w:r w:rsidR="0057702F">
        <w:t>’</w:t>
      </w:r>
      <w:r w:rsidR="007E5E88">
        <w:t xml:space="preserve"> </w:t>
      </w:r>
      <w:r w:rsidR="0057702F">
        <w:t>and removal of ‘</w:t>
      </w:r>
      <w:r w:rsidR="0057702F" w:rsidRPr="00A17D08">
        <w:rPr>
          <w:i/>
        </w:rPr>
        <w:t>for a maximum duration of 2 years</w:t>
      </w:r>
      <w:r w:rsidR="0057702F">
        <w:t>’ from the approved indication and update the Product Information (PI) per the revised Risk Management Plan (RMP) based on the updated clinical data set. The sponsor is</w:t>
      </w:r>
      <w:r w:rsidR="00D31B59">
        <w:t xml:space="preserve"> </w:t>
      </w:r>
      <w:r w:rsidR="0057702F">
        <w:t xml:space="preserve">also </w:t>
      </w:r>
      <w:r w:rsidR="00D31B59">
        <w:t>re-launch</w:t>
      </w:r>
      <w:r w:rsidR="0057702F">
        <w:t>ing</w:t>
      </w:r>
      <w:r w:rsidR="00D31B59">
        <w:t xml:space="preserve"> the product; it was first registered in Australia on 9 September 2010, for ‘</w:t>
      </w:r>
      <w:r w:rsidR="00D31B59" w:rsidRPr="00D31B59">
        <w:rPr>
          <w:i/>
        </w:rPr>
        <w:t>the treatment of Relapsing-Remitting Multiple Sclerosis (RRMS) for a maximum duration of 2 years’</w:t>
      </w:r>
      <w:r w:rsidR="00D31B59">
        <w:t xml:space="preserve"> but subsequently withdrawn from the market on 22 June 2011.</w:t>
      </w:r>
    </w:p>
    <w:p w14:paraId="0C1E3B1B" w14:textId="32E3BBE7" w:rsidR="0057702F" w:rsidRDefault="0057702F" w:rsidP="0057702F">
      <w:r>
        <w:t>A change in tradename was also approved by the TGA during the evaluation process.</w:t>
      </w:r>
      <w:r w:rsidR="007E5E88">
        <w:t xml:space="preserve"> </w:t>
      </w:r>
      <w:r>
        <w:t>The tradename Movectro has now been replaced with Mavenclad (application date 19 May 2017).</w:t>
      </w:r>
    </w:p>
    <w:p w14:paraId="7ECE227B" w14:textId="65AC5359" w:rsidR="00D31B59" w:rsidRDefault="00D31B59" w:rsidP="00D31B59">
      <w:r>
        <w:t>The proposed indication in this application is:</w:t>
      </w:r>
    </w:p>
    <w:p w14:paraId="450DBC8F" w14:textId="1F0673A5" w:rsidR="00D31B59" w:rsidRPr="0057702F" w:rsidRDefault="00FA103D" w:rsidP="0057702F">
      <w:pPr>
        <w:ind w:left="720"/>
        <w:rPr>
          <w:i/>
        </w:rPr>
      </w:pPr>
      <w:r w:rsidRPr="0057702F">
        <w:rPr>
          <w:i/>
        </w:rPr>
        <w:t>Mavenclad</w:t>
      </w:r>
      <w:r w:rsidR="00D31B59" w:rsidRPr="0057702F">
        <w:rPr>
          <w:i/>
        </w:rPr>
        <w:t xml:space="preserve"> is indicated for the treatment of relapsing-remitting multiple sclerosis (RRMS) to reduce the frequency of clinical relapses and to delay the progression of physical disability</w:t>
      </w:r>
      <w:r w:rsidR="0057702F" w:rsidRPr="0057702F">
        <w:rPr>
          <w:i/>
        </w:rPr>
        <w:t>.</w:t>
      </w:r>
    </w:p>
    <w:p w14:paraId="3B07A386" w14:textId="558F5383" w:rsidR="00D31B59" w:rsidRDefault="00D31B59" w:rsidP="00D31B59">
      <w:r>
        <w:t>It is administered orally over a 2 year period according to an interrupted short course protocol, followed by 2 year monitoring. The recommended total cumulative dose is 3.5</w:t>
      </w:r>
      <w:r w:rsidR="00C562AE">
        <w:t> </w:t>
      </w:r>
      <w:r>
        <w:t>mg/kg bodyweight over the 2 year treatment period. Daily doses during active treatment are 10 mg or 20 mg.</w:t>
      </w:r>
    </w:p>
    <w:p w14:paraId="2F1922E6" w14:textId="7683A8DF" w:rsidR="001A773A" w:rsidRDefault="001A773A" w:rsidP="001A773A">
      <w:r>
        <w:t xml:space="preserve">Cladribine is a nucleoside analogue of deoxyadenosine. It differs from deoxyadenosine by a chlorine substitution in the 2-position in the purine ring. Cladribine is a prodrug and is phosphorylated to its active form, 2-chlorodeoxyadenosine triphosphate. Cladribine is an immunomodulatory agent </w:t>
      </w:r>
      <w:r w:rsidR="0057702F">
        <w:t>which</w:t>
      </w:r>
      <w:r>
        <w:t xml:space="preserve"> increas</w:t>
      </w:r>
      <w:r w:rsidR="0057702F">
        <w:t>es</w:t>
      </w:r>
      <w:r>
        <w:t xml:space="preserve"> the rate of lymphocyte cell death which results in depleted lymphocyte populations.</w:t>
      </w:r>
    </w:p>
    <w:p w14:paraId="725C9583" w14:textId="73D3DDD6" w:rsidR="001A773A" w:rsidRDefault="001A773A" w:rsidP="001A773A">
      <w:r>
        <w:t>New data included the final reports of the 3 clinical studies which were ongoing at the time of the market withdrawal in 2011 (</w:t>
      </w:r>
      <w:r w:rsidR="009145B1">
        <w:t>Studies</w:t>
      </w:r>
      <w:r>
        <w:t xml:space="preserve"> CLARITY EXT, ORACLE MS and ONWARD),</w:t>
      </w:r>
      <w:r w:rsidR="0057702F">
        <w:t xml:space="preserve"> </w:t>
      </w:r>
      <w:r>
        <w:t xml:space="preserve">the final report of </w:t>
      </w:r>
      <w:r w:rsidR="009145B1">
        <w:t xml:space="preserve">the Study </w:t>
      </w:r>
      <w:r>
        <w:t>RECORD MS registry and interim data from a prospective long-term follow</w:t>
      </w:r>
      <w:r w:rsidR="00293B9C">
        <w:noBreakHyphen/>
      </w:r>
      <w:r>
        <w:t xml:space="preserve">up registry set up by </w:t>
      </w:r>
      <w:r w:rsidR="00FA103D">
        <w:t>the sponsor</w:t>
      </w:r>
      <w:r>
        <w:t xml:space="preserve"> (PREMIERE).</w:t>
      </w:r>
    </w:p>
    <w:p w14:paraId="64E0B920" w14:textId="77777777" w:rsidR="00C40306" w:rsidRDefault="00C40306" w:rsidP="003037A3">
      <w:pPr>
        <w:pStyle w:val="Heading4"/>
      </w:pPr>
      <w:r>
        <w:t xml:space="preserve">Information on the </w:t>
      </w:r>
      <w:r w:rsidRPr="003037A3">
        <w:t>condition</w:t>
      </w:r>
      <w:r>
        <w:t xml:space="preserve"> being treated</w:t>
      </w:r>
    </w:p>
    <w:p w14:paraId="1C2AE841" w14:textId="77777777" w:rsidR="00C40306" w:rsidRDefault="00C40306" w:rsidP="00C40306">
      <w:r>
        <w:t xml:space="preserve">Relapsing remitting multiple sclerosis (RRMS) is the most common variant of multiple sclerosis </w:t>
      </w:r>
      <w:r w:rsidR="0057702F">
        <w:t xml:space="preserve">(MS) </w:t>
      </w:r>
      <w:r>
        <w:t>and is characterised by recurrent acute exacerbations followed by partial or complete recovery.</w:t>
      </w:r>
      <w:r w:rsidR="0057702F">
        <w:t xml:space="preserve"> </w:t>
      </w:r>
      <w:r>
        <w:t xml:space="preserve">During the acute </w:t>
      </w:r>
      <w:r w:rsidR="0057702F">
        <w:t xml:space="preserve">MS </w:t>
      </w:r>
      <w:r>
        <w:t>exacerbations, inflammation occurs to myelin</w:t>
      </w:r>
      <w:r w:rsidR="0057702F">
        <w:t xml:space="preserve"> (</w:t>
      </w:r>
      <w:r>
        <w:t>the insulating layer on axons</w:t>
      </w:r>
      <w:r w:rsidR="0057702F">
        <w:t>)</w:t>
      </w:r>
      <w:r>
        <w:t xml:space="preserve"> and to the axons themselves in the central nervous system (CNS).</w:t>
      </w:r>
      <w:r w:rsidR="0057702F">
        <w:t xml:space="preserve"> </w:t>
      </w:r>
      <w:r>
        <w:t>The regions of damage are localised and vary between patients, resulting in a variable neurological presentation.</w:t>
      </w:r>
      <w:r w:rsidR="0057702F">
        <w:t xml:space="preserve"> </w:t>
      </w:r>
      <w:r>
        <w:t>The damage results in plaques or scars which can be detected by magnetic resonance imaging (MRI).</w:t>
      </w:r>
      <w:r w:rsidR="0057702F">
        <w:t xml:space="preserve"> </w:t>
      </w:r>
      <w:r>
        <w:t>The most common symptoms reported in RRMS include episodic bouts of fatigue, numbness, vision problems, spasticity or stiffness, bowel and bladder problems, and problems with cognition (learning and memory or information processing).</w:t>
      </w:r>
    </w:p>
    <w:p w14:paraId="351CC11B" w14:textId="6FE92FF9" w:rsidR="00C40306" w:rsidRDefault="00C40306" w:rsidP="00C40306">
      <w:r>
        <w:t>Overall, MS affects over 23,000 patients in Australia and more than two million diagnosed worldwide.</w:t>
      </w:r>
      <w:r w:rsidR="0057702F">
        <w:t xml:space="preserve"> </w:t>
      </w:r>
      <w:r>
        <w:t>Most people are diagnosed between the ages of 20</w:t>
      </w:r>
      <w:r w:rsidR="00293B9C">
        <w:t xml:space="preserve"> to </w:t>
      </w:r>
      <w:r>
        <w:t>40</w:t>
      </w:r>
      <w:r w:rsidR="00293B9C">
        <w:t xml:space="preserve"> years</w:t>
      </w:r>
      <w:r>
        <w:t xml:space="preserve"> but it can affect younger and older people too.</w:t>
      </w:r>
      <w:r w:rsidR="00AC4959">
        <w:rPr>
          <w:rStyle w:val="FootnoteReference"/>
        </w:rPr>
        <w:footnoteReference w:id="1"/>
      </w:r>
      <w:r w:rsidR="0057702F">
        <w:t xml:space="preserve"> </w:t>
      </w:r>
      <w:r>
        <w:t>Roughly three times as many women have MS as men.</w:t>
      </w:r>
      <w:r w:rsidR="0057702F">
        <w:t xml:space="preserve"> </w:t>
      </w:r>
      <w:r w:rsidR="00FB03A9">
        <w:t>70 to 75%</w:t>
      </w:r>
      <w:r>
        <w:t xml:space="preserve"> percent of people with MS initially begin with a relapsing</w:t>
      </w:r>
      <w:r w:rsidR="00FB03A9">
        <w:noBreakHyphen/>
      </w:r>
      <w:r>
        <w:t>remitting course.</w:t>
      </w:r>
    </w:p>
    <w:p w14:paraId="2B290B31" w14:textId="08CE9653" w:rsidR="00C40306" w:rsidRDefault="00C40306" w:rsidP="003037A3">
      <w:r>
        <w:lastRenderedPageBreak/>
        <w:t>MS reduces life</w:t>
      </w:r>
      <w:r w:rsidR="00FB03A9">
        <w:t xml:space="preserve"> </w:t>
      </w:r>
      <w:r>
        <w:t>expectancy by a few months and 15 years from diagnosis 60% of patients will be ambulatory without assistance (some of whom may have little disability); approximately 20% will be bedridden or institutionalised, and 20% may require a wheelchair, crutches or a cane to ambulate.</w:t>
      </w:r>
      <w:r w:rsidR="00AC4959">
        <w:rPr>
          <w:rStyle w:val="FootnoteReference"/>
        </w:rPr>
        <w:footnoteReference w:id="2"/>
      </w:r>
      <w:r w:rsidR="0057702F">
        <w:t xml:space="preserve"> </w:t>
      </w:r>
      <w:r>
        <w:t>Up to a third of patients will not develop persistent disability and will have only intermittent, transient episodes of symptoms.</w:t>
      </w:r>
    </w:p>
    <w:p w14:paraId="609F1D3B" w14:textId="77777777" w:rsidR="00C40306" w:rsidRDefault="00C40306" w:rsidP="003037A3">
      <w:pPr>
        <w:pStyle w:val="Heading4"/>
      </w:pPr>
      <w:r>
        <w:t xml:space="preserve">Current treatment </w:t>
      </w:r>
      <w:r w:rsidRPr="003037A3">
        <w:t>options</w:t>
      </w:r>
    </w:p>
    <w:p w14:paraId="533156BF" w14:textId="576A29F8" w:rsidR="00D444FC" w:rsidRDefault="00C40306" w:rsidP="00C40306">
      <w:r>
        <w:t>The management of RRMS involves rehabilitation, symptomatic treatments and disease modifying treatments.</w:t>
      </w:r>
      <w:r w:rsidR="0057702F">
        <w:t xml:space="preserve"> </w:t>
      </w:r>
      <w:r>
        <w:t>There are no curative treatments.</w:t>
      </w:r>
      <w:r w:rsidR="0057702F">
        <w:t xml:space="preserve"> </w:t>
      </w:r>
      <w:r>
        <w:t>Cladribine is classed as a disease modifying treatment.</w:t>
      </w:r>
      <w:r w:rsidR="0057702F">
        <w:t xml:space="preserve"> </w:t>
      </w:r>
      <w:r>
        <w:t>The alternative currently available disease modifying treatments for RRMS are</w:t>
      </w:r>
      <w:r w:rsidR="00D444FC">
        <w:t xml:space="preserve"> detailed in Table 1</w:t>
      </w:r>
      <w:r w:rsidR="00FB03A9">
        <w:t>, shown below</w:t>
      </w:r>
      <w:r w:rsidR="00D444FC">
        <w:t>.</w:t>
      </w:r>
    </w:p>
    <w:p w14:paraId="26D9AFF6" w14:textId="77777777" w:rsidR="00D444FC" w:rsidRDefault="00D444FC" w:rsidP="003037A3">
      <w:pPr>
        <w:pStyle w:val="Tabletitle0"/>
      </w:pPr>
      <w:r>
        <w:t xml:space="preserve">Table 1: Currently </w:t>
      </w:r>
      <w:r w:rsidRPr="003037A3">
        <w:t>available</w:t>
      </w:r>
      <w:r>
        <w:t xml:space="preserve"> disease modifying treatments for RRMS</w:t>
      </w:r>
    </w:p>
    <w:tbl>
      <w:tblPr>
        <w:tblStyle w:val="TableTGAblue"/>
        <w:tblW w:w="0" w:type="auto"/>
        <w:tblInd w:w="392" w:type="dxa"/>
        <w:tblLook w:val="04A0" w:firstRow="1" w:lastRow="0" w:firstColumn="1" w:lastColumn="0" w:noHBand="0" w:noVBand="1"/>
      </w:tblPr>
      <w:tblGrid>
        <w:gridCol w:w="2864"/>
        <w:gridCol w:w="3510"/>
      </w:tblGrid>
      <w:tr w:rsidR="00FB03A9" w14:paraId="2C76BC11" w14:textId="77777777" w:rsidTr="00A17D08">
        <w:trPr>
          <w:cnfStyle w:val="100000000000" w:firstRow="1" w:lastRow="0" w:firstColumn="0" w:lastColumn="0" w:oddVBand="0" w:evenVBand="0" w:oddHBand="0" w:evenHBand="0" w:firstRowFirstColumn="0" w:firstRowLastColumn="0" w:lastRowFirstColumn="0" w:lastRowLastColumn="0"/>
          <w:cantSplit/>
        </w:trPr>
        <w:tc>
          <w:tcPr>
            <w:tcW w:w="2864" w:type="dxa"/>
          </w:tcPr>
          <w:p w14:paraId="08402A4A" w14:textId="77777777" w:rsidR="00D444FC" w:rsidRPr="00D444FC" w:rsidRDefault="00D444FC" w:rsidP="00C40306">
            <w:pPr>
              <w:rPr>
                <w:sz w:val="20"/>
                <w:szCs w:val="20"/>
              </w:rPr>
            </w:pPr>
            <w:r w:rsidRPr="00D444FC">
              <w:rPr>
                <w:sz w:val="20"/>
                <w:szCs w:val="20"/>
              </w:rPr>
              <w:t>Type of treatment</w:t>
            </w:r>
          </w:p>
        </w:tc>
        <w:tc>
          <w:tcPr>
            <w:tcW w:w="3510" w:type="dxa"/>
          </w:tcPr>
          <w:p w14:paraId="20A31C05" w14:textId="77777777" w:rsidR="00D444FC" w:rsidRPr="00D444FC" w:rsidRDefault="00D444FC" w:rsidP="00D444FC">
            <w:pPr>
              <w:rPr>
                <w:sz w:val="20"/>
                <w:szCs w:val="20"/>
              </w:rPr>
            </w:pPr>
            <w:r w:rsidRPr="00D444FC">
              <w:rPr>
                <w:sz w:val="20"/>
                <w:szCs w:val="20"/>
              </w:rPr>
              <w:t>Available treatments</w:t>
            </w:r>
          </w:p>
        </w:tc>
      </w:tr>
      <w:tr w:rsidR="00FB03A9" w14:paraId="09ECC1E3" w14:textId="77777777" w:rsidTr="00A17D08">
        <w:tc>
          <w:tcPr>
            <w:tcW w:w="2864" w:type="dxa"/>
          </w:tcPr>
          <w:p w14:paraId="6219A041" w14:textId="77777777" w:rsidR="00D444FC" w:rsidRPr="00D444FC" w:rsidRDefault="00D444FC" w:rsidP="00C40306">
            <w:pPr>
              <w:rPr>
                <w:sz w:val="20"/>
                <w:szCs w:val="20"/>
              </w:rPr>
            </w:pPr>
            <w:r w:rsidRPr="00D444FC">
              <w:rPr>
                <w:sz w:val="20"/>
                <w:szCs w:val="20"/>
              </w:rPr>
              <w:t>Injectable therapies</w:t>
            </w:r>
          </w:p>
        </w:tc>
        <w:tc>
          <w:tcPr>
            <w:tcW w:w="3510" w:type="dxa"/>
          </w:tcPr>
          <w:p w14:paraId="0C25D3C7" w14:textId="77777777" w:rsidR="00D444FC" w:rsidRPr="00A17D08" w:rsidRDefault="00D444FC" w:rsidP="00A17D08">
            <w:pPr>
              <w:rPr>
                <w:sz w:val="20"/>
              </w:rPr>
            </w:pPr>
            <w:r w:rsidRPr="00A17D08">
              <w:rPr>
                <w:sz w:val="20"/>
              </w:rPr>
              <w:t>Interferon beta-1b</w:t>
            </w:r>
          </w:p>
          <w:p w14:paraId="223A3DEE" w14:textId="77777777" w:rsidR="00D444FC" w:rsidRPr="00A17D08" w:rsidRDefault="00D444FC" w:rsidP="00A17D08">
            <w:pPr>
              <w:rPr>
                <w:sz w:val="20"/>
              </w:rPr>
            </w:pPr>
            <w:r w:rsidRPr="00A17D08">
              <w:rPr>
                <w:sz w:val="20"/>
              </w:rPr>
              <w:t>Interferon beta-1a</w:t>
            </w:r>
          </w:p>
          <w:p w14:paraId="2F6695A0" w14:textId="77777777" w:rsidR="00D444FC" w:rsidRPr="00A17D08" w:rsidRDefault="00D444FC" w:rsidP="00A17D08">
            <w:pPr>
              <w:rPr>
                <w:sz w:val="20"/>
              </w:rPr>
            </w:pPr>
            <w:r w:rsidRPr="00A17D08">
              <w:rPr>
                <w:sz w:val="20"/>
              </w:rPr>
              <w:t>Glatiramer</w:t>
            </w:r>
          </w:p>
          <w:p w14:paraId="0D86DD84" w14:textId="77777777" w:rsidR="00D444FC" w:rsidRPr="00A17D08" w:rsidRDefault="00D444FC" w:rsidP="00A17D08">
            <w:pPr>
              <w:rPr>
                <w:sz w:val="20"/>
              </w:rPr>
            </w:pPr>
            <w:r w:rsidRPr="00A17D08">
              <w:rPr>
                <w:sz w:val="20"/>
              </w:rPr>
              <w:t>Daclizumab</w:t>
            </w:r>
          </w:p>
        </w:tc>
      </w:tr>
      <w:tr w:rsidR="00FB03A9" w14:paraId="410373C3" w14:textId="77777777" w:rsidTr="00A17D08">
        <w:tc>
          <w:tcPr>
            <w:tcW w:w="2864" w:type="dxa"/>
          </w:tcPr>
          <w:p w14:paraId="5AD6C607" w14:textId="77777777" w:rsidR="00D444FC" w:rsidRPr="00D444FC" w:rsidRDefault="00D444FC" w:rsidP="00C40306">
            <w:pPr>
              <w:rPr>
                <w:sz w:val="20"/>
                <w:szCs w:val="20"/>
              </w:rPr>
            </w:pPr>
            <w:r w:rsidRPr="00D444FC">
              <w:rPr>
                <w:sz w:val="20"/>
                <w:szCs w:val="20"/>
              </w:rPr>
              <w:t>Infusion therapies</w:t>
            </w:r>
          </w:p>
        </w:tc>
        <w:tc>
          <w:tcPr>
            <w:tcW w:w="3510" w:type="dxa"/>
          </w:tcPr>
          <w:p w14:paraId="7C77ECF5" w14:textId="77777777" w:rsidR="00D444FC" w:rsidRPr="00A17D08" w:rsidRDefault="00D444FC" w:rsidP="00A17D08">
            <w:pPr>
              <w:rPr>
                <w:sz w:val="20"/>
              </w:rPr>
            </w:pPr>
            <w:r w:rsidRPr="00A17D08">
              <w:rPr>
                <w:sz w:val="20"/>
              </w:rPr>
              <w:t>Natalizumab</w:t>
            </w:r>
          </w:p>
          <w:p w14:paraId="1FCA5ADB" w14:textId="77777777" w:rsidR="00D444FC" w:rsidRPr="00A17D08" w:rsidRDefault="00D444FC" w:rsidP="00A17D08">
            <w:pPr>
              <w:rPr>
                <w:sz w:val="20"/>
              </w:rPr>
            </w:pPr>
            <w:r w:rsidRPr="00A17D08">
              <w:rPr>
                <w:sz w:val="20"/>
              </w:rPr>
              <w:t>Alemtuzumab</w:t>
            </w:r>
          </w:p>
          <w:p w14:paraId="310C541C" w14:textId="77777777" w:rsidR="00D444FC" w:rsidRPr="00A17D08" w:rsidRDefault="00D444FC" w:rsidP="00A17D08">
            <w:pPr>
              <w:rPr>
                <w:sz w:val="20"/>
              </w:rPr>
            </w:pPr>
            <w:r w:rsidRPr="00A17D08">
              <w:rPr>
                <w:sz w:val="20"/>
              </w:rPr>
              <w:t>Mitoxantrone</w:t>
            </w:r>
          </w:p>
        </w:tc>
      </w:tr>
      <w:tr w:rsidR="00FB03A9" w14:paraId="31DBF40E" w14:textId="77777777" w:rsidTr="00A17D08">
        <w:tc>
          <w:tcPr>
            <w:tcW w:w="2864" w:type="dxa"/>
          </w:tcPr>
          <w:p w14:paraId="3C7CE585" w14:textId="77777777" w:rsidR="00D444FC" w:rsidRPr="00D444FC" w:rsidRDefault="00D444FC" w:rsidP="00C40306">
            <w:pPr>
              <w:rPr>
                <w:sz w:val="20"/>
                <w:szCs w:val="20"/>
              </w:rPr>
            </w:pPr>
            <w:r w:rsidRPr="00D444FC">
              <w:rPr>
                <w:sz w:val="20"/>
                <w:szCs w:val="20"/>
              </w:rPr>
              <w:t>Oral therapies</w:t>
            </w:r>
          </w:p>
        </w:tc>
        <w:tc>
          <w:tcPr>
            <w:tcW w:w="3510" w:type="dxa"/>
          </w:tcPr>
          <w:p w14:paraId="1E7DE574" w14:textId="77777777" w:rsidR="00D444FC" w:rsidRPr="00A17D08" w:rsidRDefault="00D444FC" w:rsidP="00A17D08">
            <w:pPr>
              <w:rPr>
                <w:sz w:val="20"/>
              </w:rPr>
            </w:pPr>
            <w:r w:rsidRPr="00A17D08">
              <w:rPr>
                <w:sz w:val="20"/>
              </w:rPr>
              <w:t>Dimethyl fumarate</w:t>
            </w:r>
          </w:p>
          <w:p w14:paraId="5ED84737" w14:textId="77777777" w:rsidR="00D444FC" w:rsidRPr="00A17D08" w:rsidRDefault="00D444FC" w:rsidP="00A17D08">
            <w:pPr>
              <w:rPr>
                <w:sz w:val="20"/>
              </w:rPr>
            </w:pPr>
            <w:r w:rsidRPr="00A17D08">
              <w:rPr>
                <w:sz w:val="20"/>
              </w:rPr>
              <w:t>Teriflunomide</w:t>
            </w:r>
          </w:p>
          <w:p w14:paraId="2A30EC0A" w14:textId="77777777" w:rsidR="00D444FC" w:rsidRPr="00A17D08" w:rsidRDefault="00D444FC" w:rsidP="00A17D08">
            <w:pPr>
              <w:rPr>
                <w:sz w:val="20"/>
              </w:rPr>
            </w:pPr>
            <w:r w:rsidRPr="00A17D08">
              <w:rPr>
                <w:sz w:val="20"/>
              </w:rPr>
              <w:t>Fingolimod</w:t>
            </w:r>
          </w:p>
        </w:tc>
      </w:tr>
      <w:tr w:rsidR="00FB03A9" w14:paraId="097F3A3F" w14:textId="77777777" w:rsidTr="00A17D08">
        <w:tc>
          <w:tcPr>
            <w:tcW w:w="2864" w:type="dxa"/>
          </w:tcPr>
          <w:p w14:paraId="5E2E8E4F" w14:textId="77777777" w:rsidR="00D444FC" w:rsidRPr="00D444FC" w:rsidRDefault="00D444FC" w:rsidP="00C40306">
            <w:pPr>
              <w:rPr>
                <w:sz w:val="20"/>
                <w:szCs w:val="20"/>
              </w:rPr>
            </w:pPr>
            <w:r w:rsidRPr="00D444FC">
              <w:rPr>
                <w:sz w:val="20"/>
                <w:szCs w:val="20"/>
              </w:rPr>
              <w:t>Other treatments</w:t>
            </w:r>
          </w:p>
        </w:tc>
        <w:tc>
          <w:tcPr>
            <w:tcW w:w="3510" w:type="dxa"/>
          </w:tcPr>
          <w:p w14:paraId="3B1642A5" w14:textId="77777777" w:rsidR="00D444FC" w:rsidRPr="00A17D08" w:rsidRDefault="00D444FC" w:rsidP="00A17D08">
            <w:pPr>
              <w:rPr>
                <w:sz w:val="20"/>
              </w:rPr>
            </w:pPr>
            <w:r w:rsidRPr="00A17D08">
              <w:rPr>
                <w:sz w:val="20"/>
              </w:rPr>
              <w:t>Azathioprine</w:t>
            </w:r>
          </w:p>
          <w:p w14:paraId="60077487" w14:textId="77777777" w:rsidR="00D444FC" w:rsidRPr="00A17D08" w:rsidRDefault="00D444FC" w:rsidP="00A17D08">
            <w:pPr>
              <w:rPr>
                <w:sz w:val="20"/>
              </w:rPr>
            </w:pPr>
            <w:r w:rsidRPr="00A17D08">
              <w:rPr>
                <w:sz w:val="20"/>
              </w:rPr>
              <w:t>CCSVI</w:t>
            </w:r>
          </w:p>
          <w:p w14:paraId="190E4EEA" w14:textId="77777777" w:rsidR="00D444FC" w:rsidRPr="00A17D08" w:rsidRDefault="00D444FC" w:rsidP="00A17D08">
            <w:pPr>
              <w:rPr>
                <w:sz w:val="20"/>
              </w:rPr>
            </w:pPr>
            <w:r w:rsidRPr="00A17D08">
              <w:rPr>
                <w:sz w:val="20"/>
              </w:rPr>
              <w:t>Cyclophosphamide</w:t>
            </w:r>
          </w:p>
          <w:p w14:paraId="54F621C0" w14:textId="77777777" w:rsidR="00D444FC" w:rsidRPr="00A17D08" w:rsidRDefault="00D444FC" w:rsidP="00A17D08">
            <w:pPr>
              <w:rPr>
                <w:sz w:val="20"/>
              </w:rPr>
            </w:pPr>
            <w:r w:rsidRPr="00A17D08">
              <w:rPr>
                <w:sz w:val="20"/>
              </w:rPr>
              <w:t>Dalfampridine</w:t>
            </w:r>
          </w:p>
          <w:p w14:paraId="0179AC2E" w14:textId="77777777" w:rsidR="00D444FC" w:rsidRPr="00A17D08" w:rsidRDefault="00D444FC" w:rsidP="00A17D08">
            <w:pPr>
              <w:rPr>
                <w:sz w:val="20"/>
              </w:rPr>
            </w:pPr>
            <w:r w:rsidRPr="00A17D08">
              <w:rPr>
                <w:sz w:val="20"/>
              </w:rPr>
              <w:t>Glucocorticoids</w:t>
            </w:r>
          </w:p>
          <w:p w14:paraId="33CF03A1" w14:textId="77777777" w:rsidR="00D444FC" w:rsidRPr="00A17D08" w:rsidRDefault="00D444FC" w:rsidP="00A17D08">
            <w:pPr>
              <w:rPr>
                <w:sz w:val="20"/>
              </w:rPr>
            </w:pPr>
            <w:r w:rsidRPr="00A17D08">
              <w:rPr>
                <w:sz w:val="20"/>
              </w:rPr>
              <w:t>Intravenous immunoglobulin</w:t>
            </w:r>
          </w:p>
          <w:p w14:paraId="27CB03B1" w14:textId="77777777" w:rsidR="00D444FC" w:rsidRPr="00A17D08" w:rsidRDefault="00D444FC" w:rsidP="00A17D08">
            <w:pPr>
              <w:rPr>
                <w:sz w:val="20"/>
              </w:rPr>
            </w:pPr>
            <w:r w:rsidRPr="00A17D08">
              <w:rPr>
                <w:sz w:val="20"/>
              </w:rPr>
              <w:t>Laquinimod</w:t>
            </w:r>
          </w:p>
          <w:p w14:paraId="3259783A" w14:textId="77777777" w:rsidR="00D444FC" w:rsidRPr="00A17D08" w:rsidRDefault="00D444FC" w:rsidP="00A17D08">
            <w:pPr>
              <w:rPr>
                <w:sz w:val="20"/>
              </w:rPr>
            </w:pPr>
            <w:r w:rsidRPr="00A17D08">
              <w:rPr>
                <w:sz w:val="20"/>
              </w:rPr>
              <w:t>Rituximab</w:t>
            </w:r>
          </w:p>
          <w:p w14:paraId="2D661FE0" w14:textId="77777777" w:rsidR="00D444FC" w:rsidRPr="00A17D08" w:rsidRDefault="00D444FC" w:rsidP="00A17D08">
            <w:pPr>
              <w:rPr>
                <w:sz w:val="20"/>
              </w:rPr>
            </w:pPr>
            <w:r w:rsidRPr="00A17D08">
              <w:rPr>
                <w:sz w:val="20"/>
              </w:rPr>
              <w:t>Ocrelizumab</w:t>
            </w:r>
          </w:p>
          <w:p w14:paraId="41E1AB8E" w14:textId="77777777" w:rsidR="00D444FC" w:rsidRPr="00A17D08" w:rsidRDefault="00D444FC" w:rsidP="00A17D08">
            <w:pPr>
              <w:rPr>
                <w:sz w:val="20"/>
              </w:rPr>
            </w:pPr>
            <w:r w:rsidRPr="00A17D08">
              <w:rPr>
                <w:sz w:val="20"/>
              </w:rPr>
              <w:t>Stem cell transplantation</w:t>
            </w:r>
          </w:p>
        </w:tc>
      </w:tr>
    </w:tbl>
    <w:p w14:paraId="70EA41F9" w14:textId="77A1B214" w:rsidR="00A13C7D" w:rsidRDefault="00C40306" w:rsidP="00A13C7D">
      <w:r>
        <w:t xml:space="preserve">A published comparison of efficacy for the disease modifying treatments for RRMS is extracted from Fogarty </w:t>
      </w:r>
      <w:r w:rsidR="00DD26FC">
        <w:t>(</w:t>
      </w:r>
      <w:r>
        <w:t>2016</w:t>
      </w:r>
      <w:r w:rsidR="00DD26FC">
        <w:t>);</w:t>
      </w:r>
      <w:r w:rsidR="00A13C7D">
        <w:rPr>
          <w:rStyle w:val="FootnoteReference"/>
        </w:rPr>
        <w:footnoteReference w:id="3"/>
      </w:r>
      <w:r>
        <w:t xml:space="preserve"> and displayed </w:t>
      </w:r>
      <w:r w:rsidR="00DD26FC">
        <w:t xml:space="preserve">below </w:t>
      </w:r>
      <w:r>
        <w:t xml:space="preserve">in Figure </w:t>
      </w:r>
      <w:r w:rsidR="00A13C7D">
        <w:t>1</w:t>
      </w:r>
      <w:r>
        <w:t>.</w:t>
      </w:r>
    </w:p>
    <w:p w14:paraId="65F1EB69" w14:textId="1139A81F" w:rsidR="00A13C7D" w:rsidRDefault="00A13C7D" w:rsidP="003037A3">
      <w:pPr>
        <w:pStyle w:val="FigureTitle"/>
        <w:rPr>
          <w:lang w:eastAsia="ja-JP"/>
        </w:rPr>
      </w:pPr>
      <w:bookmarkStart w:id="16" w:name="Figure_2_2_1"/>
      <w:r>
        <w:rPr>
          <w:lang w:eastAsia="ja-JP"/>
        </w:rPr>
        <w:lastRenderedPageBreak/>
        <w:t>Figure 1:</w:t>
      </w:r>
      <w:bookmarkEnd w:id="16"/>
      <w:r>
        <w:rPr>
          <w:lang w:eastAsia="ja-JP"/>
        </w:rPr>
        <w:t xml:space="preserve"> </w:t>
      </w:r>
      <w:r w:rsidRPr="003037A3">
        <w:t>Comparative</w:t>
      </w:r>
      <w:r>
        <w:rPr>
          <w:lang w:eastAsia="ja-JP"/>
        </w:rPr>
        <w:t xml:space="preserve"> efficacy for disease modifying treatments for RRMS</w:t>
      </w:r>
    </w:p>
    <w:p w14:paraId="0CE10206" w14:textId="77777777" w:rsidR="00A13C7D" w:rsidRDefault="00A13C7D" w:rsidP="00A13C7D">
      <w:pPr>
        <w:rPr>
          <w:lang w:eastAsia="ja-JP"/>
        </w:rPr>
      </w:pPr>
      <w:r w:rsidRPr="005225B8">
        <w:rPr>
          <w:noProof/>
          <w:lang w:eastAsia="en-AU"/>
        </w:rPr>
        <w:drawing>
          <wp:inline distT="0" distB="0" distL="0" distR="0" wp14:anchorId="571A73CE" wp14:editId="2525D1DF">
            <wp:extent cx="5262662" cy="6742827"/>
            <wp:effectExtent l="0" t="0" r="0" b="1270"/>
            <wp:docPr id="6" name="Picture 6" descr="Figure 1: Comparative efficacy for disease modifying treatments for R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lum bright="-20000" contrast="40000"/>
                      <a:extLst>
                        <a:ext uri="{28A0092B-C50C-407E-A947-70E740481C1C}">
                          <a14:useLocalDpi xmlns:a14="http://schemas.microsoft.com/office/drawing/2010/main" val="0"/>
                        </a:ext>
                      </a:extLst>
                    </a:blip>
                    <a:srcRect/>
                    <a:stretch>
                      <a:fillRect/>
                    </a:stretch>
                  </pic:blipFill>
                  <pic:spPr bwMode="auto">
                    <a:xfrm>
                      <a:off x="0" y="0"/>
                      <a:ext cx="5263401" cy="6743774"/>
                    </a:xfrm>
                    <a:prstGeom prst="rect">
                      <a:avLst/>
                    </a:prstGeom>
                    <a:noFill/>
                    <a:ln>
                      <a:noFill/>
                    </a:ln>
                  </pic:spPr>
                </pic:pic>
              </a:graphicData>
            </a:graphic>
          </wp:inline>
        </w:drawing>
      </w:r>
    </w:p>
    <w:p w14:paraId="2F32EBB6" w14:textId="6DBAFF92" w:rsidR="00A13C7D" w:rsidRPr="00F00F1E" w:rsidRDefault="00A13C7D" w:rsidP="00DD26FC">
      <w:pPr>
        <w:rPr>
          <w:lang w:eastAsia="ja-JP"/>
        </w:rPr>
      </w:pPr>
      <w:r>
        <w:t>Compared to placebo, a 50% reduction in annualised relapse rate can be achieved with alemtuzumab, natalizumab, fingolimod and dimethyl fumarate. Compared to placebo, the HR (95% CI) for 3 month disease progression is 0.32 (0.17 to 0.59) for alemtuzumab, 0.55</w:t>
      </w:r>
      <w:r w:rsidR="00DD26FC">
        <w:t> </w:t>
      </w:r>
      <w:r>
        <w:t>(0.42 to 0.73) for natalizumab, 0.62 (0.49 to 0.78) for dimethyl fumarate and 0.62</w:t>
      </w:r>
      <w:r w:rsidR="00DD26FC">
        <w:t> </w:t>
      </w:r>
      <w:r>
        <w:t>(0.41 to 0.93) for peg-IFN β-1a 125 μg. Compared to placebo, the HR (95% CI) for 6</w:t>
      </w:r>
      <w:r w:rsidR="00DD26FC">
        <w:t> </w:t>
      </w:r>
      <w:r>
        <w:t>month disease progression is 0.31 (0.15 to 0.62) for peg-IFN β-1b 250 μg, 0.41 (0.27 to 0.63) for alemtuzumab, 0.45 (0.26 to 0.75) for peg-IFN β-1a 125 μg, and 0.46 (0.33 to 0.63) for natalizumab.</w:t>
      </w:r>
    </w:p>
    <w:p w14:paraId="4F8967CE" w14:textId="39EB87EA" w:rsidR="00A13C7D" w:rsidRPr="00F00F1E" w:rsidRDefault="00A13C7D" w:rsidP="003037A3">
      <w:pPr>
        <w:pStyle w:val="Tabletitle0"/>
        <w:rPr>
          <w:lang w:eastAsia="ja-JP"/>
        </w:rPr>
      </w:pPr>
      <w:bookmarkStart w:id="17" w:name="Table_2_2_1"/>
      <w:bookmarkStart w:id="18" w:name="_Toc314842485"/>
      <w:bookmarkStart w:id="19" w:name="_Toc247691504"/>
      <w:r w:rsidRPr="00F00F1E">
        <w:rPr>
          <w:lang w:eastAsia="ja-JP"/>
        </w:rPr>
        <w:lastRenderedPageBreak/>
        <w:t>Table 2:</w:t>
      </w:r>
      <w:bookmarkEnd w:id="17"/>
      <w:r w:rsidRPr="00F00F1E">
        <w:rPr>
          <w:lang w:eastAsia="ja-JP"/>
        </w:rPr>
        <w:t xml:space="preserve"> </w:t>
      </w:r>
      <w:r w:rsidRPr="003037A3">
        <w:t>Comparative</w:t>
      </w:r>
      <w:r w:rsidRPr="00F00F1E">
        <w:rPr>
          <w:lang w:eastAsia="ja-JP"/>
        </w:rPr>
        <w:t xml:space="preserve"> efficacy of cladribine</w:t>
      </w:r>
    </w:p>
    <w:p w14:paraId="656016A3" w14:textId="77777777" w:rsidR="00A13C7D" w:rsidRDefault="00A13C7D" w:rsidP="00A13C7D">
      <w:pPr>
        <w:rPr>
          <w:lang w:eastAsia="ja-JP"/>
        </w:rPr>
      </w:pPr>
      <w:r w:rsidRPr="00F00F1E">
        <w:rPr>
          <w:noProof/>
          <w:lang w:eastAsia="en-AU"/>
        </w:rPr>
        <w:drawing>
          <wp:inline distT="0" distB="0" distL="0" distR="0" wp14:anchorId="08E9E0AD" wp14:editId="5963AB4C">
            <wp:extent cx="4968506" cy="2429093"/>
            <wp:effectExtent l="0" t="0" r="3810" b="9525"/>
            <wp:docPr id="7" name="Picture 7" descr="Table 2: Comparative efficacy of cladri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lum bright="-20000" contrast="40000"/>
                      <a:extLst>
                        <a:ext uri="{28A0092B-C50C-407E-A947-70E740481C1C}">
                          <a14:useLocalDpi xmlns:a14="http://schemas.microsoft.com/office/drawing/2010/main" val="0"/>
                        </a:ext>
                      </a:extLst>
                    </a:blip>
                    <a:srcRect/>
                    <a:stretch>
                      <a:fillRect/>
                    </a:stretch>
                  </pic:blipFill>
                  <pic:spPr bwMode="auto">
                    <a:xfrm>
                      <a:off x="0" y="0"/>
                      <a:ext cx="4973979" cy="2431769"/>
                    </a:xfrm>
                    <a:prstGeom prst="rect">
                      <a:avLst/>
                    </a:prstGeom>
                    <a:noFill/>
                    <a:ln>
                      <a:noFill/>
                    </a:ln>
                  </pic:spPr>
                </pic:pic>
              </a:graphicData>
            </a:graphic>
          </wp:inline>
        </w:drawing>
      </w:r>
    </w:p>
    <w:p w14:paraId="08B044D9" w14:textId="7C449C9F" w:rsidR="009145B1" w:rsidRDefault="009145B1" w:rsidP="003037A3">
      <w:pPr>
        <w:pStyle w:val="TableDescription"/>
        <w:rPr>
          <w:lang w:eastAsia="ja-JP"/>
        </w:rPr>
      </w:pPr>
      <w:r>
        <w:rPr>
          <w:lang w:eastAsia="ja-JP"/>
        </w:rPr>
        <w:t xml:space="preserve">Note: Table </w:t>
      </w:r>
      <w:r w:rsidRPr="003037A3">
        <w:t>copied</w:t>
      </w:r>
      <w:r w:rsidRPr="009145B1">
        <w:rPr>
          <w:lang w:eastAsia="ja-JP"/>
        </w:rPr>
        <w:t xml:space="preserve"> from statement of foreign registration status</w:t>
      </w:r>
    </w:p>
    <w:p w14:paraId="32514C06" w14:textId="77777777" w:rsidR="008E7846" w:rsidRPr="003F31A2" w:rsidRDefault="00386150" w:rsidP="003037A3">
      <w:pPr>
        <w:pStyle w:val="Heading3"/>
      </w:pPr>
      <w:bookmarkStart w:id="20" w:name="_Toc519257422"/>
      <w:r>
        <w:t xml:space="preserve">Regulatory </w:t>
      </w:r>
      <w:r w:rsidRPr="003037A3">
        <w:t>s</w:t>
      </w:r>
      <w:r w:rsidR="008E7846" w:rsidRPr="003037A3">
        <w:t>tatus</w:t>
      </w:r>
      <w:bookmarkEnd w:id="18"/>
      <w:bookmarkEnd w:id="19"/>
      <w:bookmarkEnd w:id="20"/>
    </w:p>
    <w:p w14:paraId="73DE4FBA" w14:textId="6D39B8D1" w:rsidR="00D31B59" w:rsidRDefault="00FA103D" w:rsidP="00940A89">
      <w:bookmarkStart w:id="21" w:name="_Toc247691505"/>
      <w:bookmarkStart w:id="22" w:name="_Toc314842486"/>
      <w:r>
        <w:t>Movectro</w:t>
      </w:r>
      <w:r w:rsidR="00D31B59" w:rsidRPr="00D31B59">
        <w:t xml:space="preserve"> was registered in July 2012 after its approval in September 2010.</w:t>
      </w:r>
      <w:r w:rsidR="0057702F">
        <w:t xml:space="preserve"> </w:t>
      </w:r>
      <w:r w:rsidR="00D31B59" w:rsidRPr="00D31B59">
        <w:t>The approved indication was treatment of relapsing-remitting multiple sclerosis (</w:t>
      </w:r>
      <w:r w:rsidR="00A13C7D">
        <w:t>RR</w:t>
      </w:r>
      <w:r w:rsidR="00D31B59" w:rsidRPr="00D31B59">
        <w:t>MS) for a maximum of two years. It has not been marketed</w:t>
      </w:r>
      <w:r w:rsidR="00A13C7D">
        <w:t xml:space="preserve"> in Australia</w:t>
      </w:r>
      <w:r w:rsidR="00D31B59" w:rsidRPr="00D31B59">
        <w:t xml:space="preserve"> and there was a worldwide withdrawal of </w:t>
      </w:r>
      <w:r>
        <w:t>Movectro</w:t>
      </w:r>
      <w:r w:rsidR="00D31B59" w:rsidRPr="00D31B59">
        <w:t xml:space="preserve"> in 2011.</w:t>
      </w:r>
    </w:p>
    <w:p w14:paraId="32A592B3" w14:textId="5A7419DE" w:rsidR="00D31B59" w:rsidRDefault="00D31B59" w:rsidP="00D31B59">
      <w:r>
        <w:t>Two other products containing cladribine are registered</w:t>
      </w:r>
      <w:r w:rsidR="00A13C7D">
        <w:t>:</w:t>
      </w:r>
      <w:r w:rsidR="0057702F">
        <w:t xml:space="preserve"> </w:t>
      </w:r>
      <w:r>
        <w:t>Leustatin, sponsored by Janssen</w:t>
      </w:r>
      <w:r w:rsidR="00C51372">
        <w:noBreakHyphen/>
      </w:r>
      <w:r>
        <w:t>Cilag was registered in 1994 and Litak, sponsored by Orphan Australia</w:t>
      </w:r>
      <w:r w:rsidR="00A13C7D">
        <w:t>,</w:t>
      </w:r>
      <w:r>
        <w:t xml:space="preserve"> was registered in June 2004.</w:t>
      </w:r>
      <w:r w:rsidR="0057702F">
        <w:t xml:space="preserve"> </w:t>
      </w:r>
      <w:r>
        <w:t>Both are indicated for the treatment of hairy cell leukaemia and second line treatment of patients with B-cell chronic lymphocytic leukaemia in whom treatment with alkylating agents has failed.</w:t>
      </w:r>
      <w:r w:rsidR="0057702F">
        <w:t xml:space="preserve"> </w:t>
      </w:r>
      <w:r>
        <w:t xml:space="preserve">Leustatin is given intravenously </w:t>
      </w:r>
      <w:r w:rsidR="002A3ED4">
        <w:t xml:space="preserve">(IV) </w:t>
      </w:r>
      <w:r>
        <w:t xml:space="preserve">and Litak by subcutaneous </w:t>
      </w:r>
      <w:r w:rsidR="002A3ED4">
        <w:t xml:space="preserve">(SC) </w:t>
      </w:r>
      <w:r>
        <w:t>injection.</w:t>
      </w:r>
    </w:p>
    <w:p w14:paraId="14F9A7E2" w14:textId="77777777" w:rsidR="00D31B59" w:rsidRDefault="00D31B59" w:rsidP="00D31B59">
      <w:r>
        <w:t xml:space="preserve">An application was made for approval of oral cladribine tablets for the treatment of RRMS to the </w:t>
      </w:r>
      <w:r w:rsidR="002A3ED4">
        <w:t>European Medicines Agency (</w:t>
      </w:r>
      <w:r>
        <w:t>EMA</w:t>
      </w:r>
      <w:r w:rsidR="002A3ED4">
        <w:t>)</w:t>
      </w:r>
      <w:r>
        <w:t xml:space="preserve"> in 2009, which was rejected in 2010, and an appeal was denied in 2011.</w:t>
      </w:r>
      <w:r w:rsidR="0057702F">
        <w:t xml:space="preserve"> </w:t>
      </w:r>
      <w:r>
        <w:t>A similar application was rejected by the FDA in 2011.</w:t>
      </w:r>
      <w:r w:rsidR="0057702F">
        <w:t xml:space="preserve"> </w:t>
      </w:r>
      <w:r>
        <w:t xml:space="preserve">The concerns of the </w:t>
      </w:r>
      <w:r w:rsidR="002A3ED4" w:rsidRPr="002A3ED4">
        <w:t>Committee for Medicinal Products for Human Use (CHMP)</w:t>
      </w:r>
      <w:r>
        <w:t xml:space="preserve"> leading to rejection were:</w:t>
      </w:r>
    </w:p>
    <w:p w14:paraId="48AA4E2F" w14:textId="331141BA" w:rsidR="00D31B59" w:rsidRDefault="00D31B59" w:rsidP="003037A3">
      <w:pPr>
        <w:pStyle w:val="ListBullet"/>
      </w:pPr>
      <w:r>
        <w:t>The disproportionate numbers of patients developing malignancies in the cladribine treatment arms of clinical studies, compared with placebo</w:t>
      </w:r>
      <w:r w:rsidR="00547BA6">
        <w:t>.</w:t>
      </w:r>
    </w:p>
    <w:p w14:paraId="48864D0C" w14:textId="38133B83" w:rsidR="00D31B59" w:rsidRDefault="00D31B59" w:rsidP="00D31B59">
      <w:pPr>
        <w:pStyle w:val="ListBullet"/>
      </w:pPr>
      <w:r>
        <w:t>The risk of developing Grade 3 or 4 lympho</w:t>
      </w:r>
      <w:r w:rsidR="002A3ED4">
        <w:t>paenia</w:t>
      </w:r>
      <w:r>
        <w:t>, which was thought to be associated with an increased risk of infection.</w:t>
      </w:r>
      <w:r w:rsidR="0057702F">
        <w:t xml:space="preserve"> </w:t>
      </w:r>
      <w:r>
        <w:t>The prolonged recovery time from lympho</w:t>
      </w:r>
      <w:r w:rsidR="002A3ED4">
        <w:t>paenia</w:t>
      </w:r>
      <w:r>
        <w:t xml:space="preserve"> in some patients was thought to expose these patients to risks</w:t>
      </w:r>
      <w:r w:rsidR="00547BA6">
        <w:t>.</w:t>
      </w:r>
    </w:p>
    <w:p w14:paraId="63469562" w14:textId="54DEDA3E" w:rsidR="00D31B59" w:rsidRDefault="00D31B59" w:rsidP="00D31B59">
      <w:pPr>
        <w:pStyle w:val="ListBullet"/>
      </w:pPr>
      <w:r>
        <w:t>The subsequently proposed patient population (patients with high disease activity) consisted of what the committee considered to be too small a proportion of the patients who had been studied in the clinical development programme</w:t>
      </w:r>
      <w:r w:rsidR="00547BA6">
        <w:t>.</w:t>
      </w:r>
    </w:p>
    <w:p w14:paraId="25DDAA25" w14:textId="04676B92" w:rsidR="00D31B59" w:rsidRDefault="00D31B59" w:rsidP="00D31B59">
      <w:pPr>
        <w:pStyle w:val="ListBullet"/>
      </w:pPr>
      <w:r>
        <w:t>In the above context, it was considered that the optimal dose and the revised treatment regimen had not been adequately investigated in the target patient population.</w:t>
      </w:r>
    </w:p>
    <w:p w14:paraId="43D5033D" w14:textId="77777777" w:rsidR="00D31B59" w:rsidRDefault="00D31B59" w:rsidP="003037A3">
      <w:r>
        <w:t>Similar applications to the original New Drug Application were withdrawn in Switzerland in 2010, Canada in 2011 and New Zealand in 2011.</w:t>
      </w:r>
    </w:p>
    <w:p w14:paraId="5DEA2508" w14:textId="3AD17451" w:rsidR="002A3ED4" w:rsidRDefault="00D31B59" w:rsidP="00D31B59">
      <w:r>
        <w:lastRenderedPageBreak/>
        <w:t xml:space="preserve">Applications similar to the present application were submitted in the </w:t>
      </w:r>
      <w:r w:rsidR="00547BA6">
        <w:t>European Union (</w:t>
      </w:r>
      <w:r>
        <w:t>EU</w:t>
      </w:r>
      <w:r w:rsidR="00547BA6">
        <w:t>)</w:t>
      </w:r>
      <w:r>
        <w:t xml:space="preserve"> (June 2016) and Canada (December 2016).</w:t>
      </w:r>
      <w:r w:rsidR="0057702F">
        <w:t xml:space="preserve"> </w:t>
      </w:r>
      <w:r w:rsidR="00FA103D">
        <w:t>The sponsor</w:t>
      </w:r>
      <w:r>
        <w:t xml:space="preserve"> intends to submit similar applications in the US in 2018 and</w:t>
      </w:r>
      <w:r w:rsidR="002A3ED4">
        <w:t xml:space="preserve"> Switzerland in 2017.</w:t>
      </w:r>
    </w:p>
    <w:p w14:paraId="7A9B96FE" w14:textId="525F510C" w:rsidR="00940A89" w:rsidRDefault="00D31B59" w:rsidP="00D31B59">
      <w:r>
        <w:t xml:space="preserve">In the EU cladribine was recommended for approval by the CHMP in June 2017 with the indication of </w:t>
      </w:r>
      <w:r w:rsidR="009145B1">
        <w:t>‘</w:t>
      </w:r>
      <w:r w:rsidR="009145B1">
        <w:rPr>
          <w:i/>
        </w:rPr>
        <w:t>t</w:t>
      </w:r>
      <w:r w:rsidR="009145B1" w:rsidRPr="002A3ED4">
        <w:rPr>
          <w:i/>
        </w:rPr>
        <w:t xml:space="preserve">reatment </w:t>
      </w:r>
      <w:r w:rsidRPr="002A3ED4">
        <w:rPr>
          <w:i/>
        </w:rPr>
        <w:t>of adult patients with highly active relapsing multiple sclerosis (MS) as defined by clinical or imaging features</w:t>
      </w:r>
      <w:r w:rsidR="009145B1">
        <w:rPr>
          <w:i/>
        </w:rPr>
        <w:t>’</w:t>
      </w:r>
      <w:r>
        <w:t>.</w:t>
      </w:r>
    </w:p>
    <w:p w14:paraId="3DFC8E7A" w14:textId="77777777" w:rsidR="008E7846" w:rsidRDefault="008E7846" w:rsidP="003037A3">
      <w:pPr>
        <w:pStyle w:val="Heading3"/>
      </w:pPr>
      <w:bookmarkStart w:id="23" w:name="_Toc519257423"/>
      <w:r>
        <w:t xml:space="preserve">Product </w:t>
      </w:r>
      <w:r w:rsidRPr="003037A3">
        <w:t>Information</w:t>
      </w:r>
      <w:bookmarkEnd w:id="21"/>
      <w:bookmarkEnd w:id="22"/>
      <w:bookmarkEnd w:id="23"/>
    </w:p>
    <w:p w14:paraId="1CF2B012" w14:textId="77777777" w:rsidR="00940A89" w:rsidRDefault="006136D7" w:rsidP="00940A89">
      <w:bookmarkStart w:id="24" w:name="_Toc247691506"/>
      <w:bookmarkStart w:id="25"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6" w:history="1">
        <w:r w:rsidR="00A13C7D" w:rsidRPr="00AD10E8">
          <w:rPr>
            <w:rStyle w:val="Hyperlink"/>
          </w:rPr>
          <w:t>https://www.tga.gov.au/product-information-pi</w:t>
        </w:r>
      </w:hyperlink>
      <w:r w:rsidR="00441C3F">
        <w:t>&gt;</w:t>
      </w:r>
      <w:r w:rsidR="00940A89" w:rsidRPr="00940A89">
        <w:t>.</w:t>
      </w:r>
    </w:p>
    <w:p w14:paraId="25595C89" w14:textId="77777777" w:rsidR="00DE31FA" w:rsidRDefault="00F01407" w:rsidP="003037A3">
      <w:pPr>
        <w:pStyle w:val="Heading2"/>
      </w:pPr>
      <w:bookmarkStart w:id="26" w:name="_Toc519257424"/>
      <w:r>
        <w:t xml:space="preserve">II. </w:t>
      </w:r>
      <w:r w:rsidR="00DE31FA">
        <w:t xml:space="preserve">Registration </w:t>
      </w:r>
      <w:r w:rsidR="00DE31FA" w:rsidRPr="003037A3">
        <w:t>timeline</w:t>
      </w:r>
      <w:bookmarkEnd w:id="26"/>
    </w:p>
    <w:p w14:paraId="703FBDDF" w14:textId="77777777" w:rsidR="00DE31FA" w:rsidRDefault="00DE31FA" w:rsidP="003037A3">
      <w:pPr>
        <w:pStyle w:val="Tabletitle0"/>
      </w:pPr>
      <w:r>
        <w:t xml:space="preserve">Table </w:t>
      </w:r>
      <w:r w:rsidR="00B6471F">
        <w:t>3</w:t>
      </w:r>
      <w:r>
        <w:t xml:space="preserve">: </w:t>
      </w:r>
      <w:r w:rsidRPr="003037A3">
        <w:t>Registration</w:t>
      </w:r>
      <w:r>
        <w:t xml:space="preserve"> timeline for Submission PM-</w:t>
      </w:r>
      <w:r w:rsidR="00F01407" w:rsidRPr="00F01407">
        <w:t>2016-03923-1-1</w:t>
      </w:r>
    </w:p>
    <w:tbl>
      <w:tblPr>
        <w:tblStyle w:val="TableTGAblue"/>
        <w:tblW w:w="9286" w:type="dxa"/>
        <w:tblLook w:val="04A0" w:firstRow="1" w:lastRow="0" w:firstColumn="1" w:lastColumn="0" w:noHBand="0" w:noVBand="1"/>
      </w:tblPr>
      <w:tblGrid>
        <w:gridCol w:w="7036"/>
        <w:gridCol w:w="2250"/>
      </w:tblGrid>
      <w:tr w:rsidR="00547BA6" w:rsidRPr="00C633D6" w14:paraId="73085510" w14:textId="77777777" w:rsidTr="00A17D08">
        <w:trPr>
          <w:cnfStyle w:val="100000000000" w:firstRow="1" w:lastRow="0" w:firstColumn="0" w:lastColumn="0" w:oddVBand="0" w:evenVBand="0" w:oddHBand="0" w:evenHBand="0" w:firstRowFirstColumn="0" w:firstRowLastColumn="0" w:lastRowFirstColumn="0" w:lastRowLastColumn="0"/>
          <w:cantSplit/>
        </w:trPr>
        <w:tc>
          <w:tcPr>
            <w:tcW w:w="7036" w:type="dxa"/>
          </w:tcPr>
          <w:p w14:paraId="58640680" w14:textId="77777777" w:rsidR="00DE31FA" w:rsidRPr="002A3ED4" w:rsidRDefault="00DE31FA" w:rsidP="002A3ED4">
            <w:pPr>
              <w:rPr>
                <w:sz w:val="20"/>
                <w:szCs w:val="20"/>
              </w:rPr>
            </w:pPr>
            <w:r w:rsidRPr="002A3ED4">
              <w:rPr>
                <w:sz w:val="20"/>
                <w:szCs w:val="20"/>
              </w:rPr>
              <w:t>Description</w:t>
            </w:r>
          </w:p>
        </w:tc>
        <w:tc>
          <w:tcPr>
            <w:tcW w:w="2250" w:type="dxa"/>
          </w:tcPr>
          <w:p w14:paraId="105A4B52" w14:textId="77777777" w:rsidR="00DE31FA" w:rsidRPr="002A3ED4" w:rsidRDefault="00DE31FA" w:rsidP="002A3ED4">
            <w:pPr>
              <w:rPr>
                <w:sz w:val="20"/>
                <w:szCs w:val="20"/>
              </w:rPr>
            </w:pPr>
            <w:r w:rsidRPr="002A3ED4">
              <w:rPr>
                <w:sz w:val="20"/>
                <w:szCs w:val="20"/>
              </w:rPr>
              <w:t>Date</w:t>
            </w:r>
          </w:p>
        </w:tc>
      </w:tr>
      <w:tr w:rsidR="00547BA6" w:rsidRPr="008D5479" w14:paraId="24261BEB" w14:textId="77777777" w:rsidTr="00A17D08">
        <w:tc>
          <w:tcPr>
            <w:tcW w:w="7036" w:type="dxa"/>
          </w:tcPr>
          <w:p w14:paraId="21B44392" w14:textId="2DB52BA0" w:rsidR="00DE31FA" w:rsidRPr="002A3ED4" w:rsidRDefault="00DE31FA" w:rsidP="00547BA6">
            <w:pPr>
              <w:rPr>
                <w:sz w:val="20"/>
                <w:szCs w:val="20"/>
              </w:rPr>
            </w:pPr>
            <w:r w:rsidRPr="002A3ED4">
              <w:rPr>
                <w:sz w:val="20"/>
                <w:szCs w:val="20"/>
              </w:rPr>
              <w:t xml:space="preserve">Submission dossier accepted and </w:t>
            </w:r>
            <w:r w:rsidR="00547BA6">
              <w:rPr>
                <w:sz w:val="20"/>
                <w:szCs w:val="20"/>
              </w:rPr>
              <w:t>first</w:t>
            </w:r>
            <w:r w:rsidR="00547BA6" w:rsidRPr="002A3ED4">
              <w:rPr>
                <w:sz w:val="20"/>
                <w:szCs w:val="20"/>
              </w:rPr>
              <w:t xml:space="preserve"> </w:t>
            </w:r>
            <w:r w:rsidRPr="002A3ED4">
              <w:rPr>
                <w:sz w:val="20"/>
                <w:szCs w:val="20"/>
              </w:rPr>
              <w:t>round evaluation commenced</w:t>
            </w:r>
          </w:p>
        </w:tc>
        <w:tc>
          <w:tcPr>
            <w:tcW w:w="2250" w:type="dxa"/>
          </w:tcPr>
          <w:p w14:paraId="1B90FC27" w14:textId="77777777" w:rsidR="00DE31FA" w:rsidRPr="002A3ED4" w:rsidRDefault="007B6334" w:rsidP="002A3ED4">
            <w:pPr>
              <w:rPr>
                <w:color w:val="auto"/>
                <w:sz w:val="20"/>
                <w:szCs w:val="20"/>
              </w:rPr>
            </w:pPr>
            <w:r w:rsidRPr="002A3ED4">
              <w:rPr>
                <w:color w:val="auto"/>
                <w:sz w:val="20"/>
                <w:szCs w:val="20"/>
              </w:rPr>
              <w:t>31 January 2017</w:t>
            </w:r>
          </w:p>
        </w:tc>
      </w:tr>
      <w:tr w:rsidR="00547BA6" w:rsidRPr="008D5479" w14:paraId="42617561" w14:textId="77777777" w:rsidTr="00A17D08">
        <w:tc>
          <w:tcPr>
            <w:tcW w:w="7036" w:type="dxa"/>
          </w:tcPr>
          <w:p w14:paraId="6509BF3D" w14:textId="1A57730B" w:rsidR="00DE31FA" w:rsidRPr="002A3ED4" w:rsidRDefault="00547BA6" w:rsidP="002A3ED4">
            <w:pPr>
              <w:rPr>
                <w:sz w:val="20"/>
                <w:szCs w:val="20"/>
              </w:rPr>
            </w:pPr>
            <w:r>
              <w:rPr>
                <w:sz w:val="20"/>
                <w:szCs w:val="20"/>
              </w:rPr>
              <w:t>First</w:t>
            </w:r>
            <w:r w:rsidRPr="002A3ED4">
              <w:rPr>
                <w:sz w:val="20"/>
                <w:szCs w:val="20"/>
              </w:rPr>
              <w:t xml:space="preserve"> </w:t>
            </w:r>
            <w:r w:rsidR="00DE31FA" w:rsidRPr="002A3ED4">
              <w:rPr>
                <w:sz w:val="20"/>
                <w:szCs w:val="20"/>
              </w:rPr>
              <w:t>round evaluation completed</w:t>
            </w:r>
          </w:p>
        </w:tc>
        <w:tc>
          <w:tcPr>
            <w:tcW w:w="2250" w:type="dxa"/>
          </w:tcPr>
          <w:p w14:paraId="41FA8231" w14:textId="77777777" w:rsidR="00DE31FA" w:rsidRPr="002A3ED4" w:rsidRDefault="007B6334" w:rsidP="002A3ED4">
            <w:pPr>
              <w:rPr>
                <w:color w:val="auto"/>
                <w:sz w:val="20"/>
                <w:szCs w:val="20"/>
              </w:rPr>
            </w:pPr>
            <w:r w:rsidRPr="002A3ED4">
              <w:rPr>
                <w:color w:val="auto"/>
                <w:sz w:val="20"/>
                <w:szCs w:val="20"/>
              </w:rPr>
              <w:t>6 July 2017</w:t>
            </w:r>
          </w:p>
        </w:tc>
      </w:tr>
      <w:tr w:rsidR="00547BA6" w:rsidRPr="00F0799B" w14:paraId="53193029" w14:textId="77777777" w:rsidTr="00A17D08">
        <w:tc>
          <w:tcPr>
            <w:tcW w:w="7036" w:type="dxa"/>
          </w:tcPr>
          <w:p w14:paraId="2FE0F370" w14:textId="27E51F46" w:rsidR="00DE31FA" w:rsidRPr="002A3ED4" w:rsidRDefault="00DE31FA" w:rsidP="00547BA6">
            <w:pPr>
              <w:rPr>
                <w:sz w:val="20"/>
                <w:szCs w:val="20"/>
              </w:rPr>
            </w:pPr>
            <w:r w:rsidRPr="002A3ED4">
              <w:rPr>
                <w:sz w:val="20"/>
                <w:szCs w:val="20"/>
              </w:rPr>
              <w:t xml:space="preserve">Sponsor provides responses on questions raised in </w:t>
            </w:r>
            <w:r w:rsidR="00547BA6">
              <w:rPr>
                <w:sz w:val="20"/>
                <w:szCs w:val="20"/>
              </w:rPr>
              <w:t>first</w:t>
            </w:r>
            <w:r w:rsidR="00547BA6" w:rsidRPr="002A3ED4">
              <w:rPr>
                <w:sz w:val="20"/>
                <w:szCs w:val="20"/>
              </w:rPr>
              <w:t xml:space="preserve"> </w:t>
            </w:r>
            <w:r w:rsidRPr="002A3ED4">
              <w:rPr>
                <w:sz w:val="20"/>
                <w:szCs w:val="20"/>
              </w:rPr>
              <w:t>round evaluation</w:t>
            </w:r>
          </w:p>
        </w:tc>
        <w:tc>
          <w:tcPr>
            <w:tcW w:w="2250" w:type="dxa"/>
          </w:tcPr>
          <w:p w14:paraId="63E7EA6C" w14:textId="77777777" w:rsidR="00DE31FA" w:rsidRPr="002A3ED4" w:rsidRDefault="007B6334" w:rsidP="002A3ED4">
            <w:pPr>
              <w:rPr>
                <w:color w:val="auto"/>
                <w:sz w:val="20"/>
                <w:szCs w:val="20"/>
              </w:rPr>
            </w:pPr>
            <w:r w:rsidRPr="002A3ED4">
              <w:rPr>
                <w:color w:val="auto"/>
                <w:sz w:val="20"/>
                <w:szCs w:val="20"/>
              </w:rPr>
              <w:t>1 August 2017</w:t>
            </w:r>
          </w:p>
        </w:tc>
      </w:tr>
      <w:tr w:rsidR="00547BA6" w:rsidRPr="00F0799B" w14:paraId="6B895F57" w14:textId="77777777" w:rsidTr="00A17D08">
        <w:tc>
          <w:tcPr>
            <w:tcW w:w="7036" w:type="dxa"/>
          </w:tcPr>
          <w:p w14:paraId="08598990" w14:textId="1BED95B3" w:rsidR="00DE31FA" w:rsidRPr="002A3ED4" w:rsidRDefault="00547BA6" w:rsidP="002A3ED4">
            <w:pPr>
              <w:rPr>
                <w:sz w:val="20"/>
                <w:szCs w:val="20"/>
              </w:rPr>
            </w:pPr>
            <w:r>
              <w:rPr>
                <w:sz w:val="20"/>
                <w:szCs w:val="20"/>
              </w:rPr>
              <w:t xml:space="preserve">Second </w:t>
            </w:r>
            <w:r w:rsidR="00DE31FA" w:rsidRPr="002A3ED4">
              <w:rPr>
                <w:sz w:val="20"/>
                <w:szCs w:val="20"/>
              </w:rPr>
              <w:t>round evaluation completed</w:t>
            </w:r>
          </w:p>
        </w:tc>
        <w:tc>
          <w:tcPr>
            <w:tcW w:w="2250" w:type="dxa"/>
          </w:tcPr>
          <w:p w14:paraId="6DFF05AB" w14:textId="77777777" w:rsidR="00DE31FA" w:rsidRPr="002A3ED4" w:rsidRDefault="007B6334" w:rsidP="002A3ED4">
            <w:pPr>
              <w:rPr>
                <w:color w:val="auto"/>
                <w:sz w:val="20"/>
                <w:szCs w:val="20"/>
              </w:rPr>
            </w:pPr>
            <w:r w:rsidRPr="002A3ED4">
              <w:rPr>
                <w:color w:val="auto"/>
                <w:sz w:val="20"/>
                <w:szCs w:val="20"/>
              </w:rPr>
              <w:t>13 October 2017</w:t>
            </w:r>
          </w:p>
        </w:tc>
      </w:tr>
      <w:tr w:rsidR="00547BA6" w:rsidRPr="00F0799B" w14:paraId="728C6351" w14:textId="77777777" w:rsidTr="00A17D08">
        <w:tc>
          <w:tcPr>
            <w:tcW w:w="7036" w:type="dxa"/>
          </w:tcPr>
          <w:p w14:paraId="101B6DF1" w14:textId="77777777" w:rsidR="00DE31FA" w:rsidRPr="002A3ED4" w:rsidRDefault="00DE31FA" w:rsidP="002A3ED4">
            <w:pPr>
              <w:rPr>
                <w:sz w:val="20"/>
                <w:szCs w:val="20"/>
              </w:rPr>
            </w:pPr>
            <w:r w:rsidRPr="002A3ED4">
              <w:rPr>
                <w:sz w:val="20"/>
                <w:szCs w:val="20"/>
              </w:rPr>
              <w:t>Delegate’s Overview</w:t>
            </w:r>
          </w:p>
        </w:tc>
        <w:tc>
          <w:tcPr>
            <w:tcW w:w="2250" w:type="dxa"/>
          </w:tcPr>
          <w:p w14:paraId="0755683B" w14:textId="77777777" w:rsidR="00DE31FA" w:rsidRPr="002A3ED4" w:rsidRDefault="007B6334" w:rsidP="002A3ED4">
            <w:pPr>
              <w:rPr>
                <w:color w:val="auto"/>
                <w:sz w:val="20"/>
                <w:szCs w:val="20"/>
              </w:rPr>
            </w:pPr>
            <w:r w:rsidRPr="002A3ED4">
              <w:rPr>
                <w:color w:val="auto"/>
                <w:sz w:val="20"/>
                <w:szCs w:val="20"/>
              </w:rPr>
              <w:t>25</w:t>
            </w:r>
            <w:r w:rsidR="00F01407" w:rsidRPr="002A3ED4">
              <w:rPr>
                <w:color w:val="auto"/>
                <w:sz w:val="20"/>
                <w:szCs w:val="20"/>
              </w:rPr>
              <w:t xml:space="preserve"> October 2017</w:t>
            </w:r>
          </w:p>
        </w:tc>
      </w:tr>
      <w:tr w:rsidR="00547BA6" w:rsidRPr="00F0799B" w14:paraId="48075E6D" w14:textId="77777777" w:rsidTr="00A17D08">
        <w:tc>
          <w:tcPr>
            <w:tcW w:w="7036" w:type="dxa"/>
          </w:tcPr>
          <w:p w14:paraId="0ECB09FF" w14:textId="77777777" w:rsidR="00DE31FA" w:rsidRPr="002A3ED4" w:rsidRDefault="00DE31FA" w:rsidP="002A3ED4">
            <w:pPr>
              <w:rPr>
                <w:sz w:val="20"/>
                <w:szCs w:val="20"/>
              </w:rPr>
            </w:pPr>
            <w:r w:rsidRPr="002A3ED4">
              <w:rPr>
                <w:sz w:val="20"/>
                <w:szCs w:val="20"/>
              </w:rPr>
              <w:t>Sponsor’s response to Delegate’s Overview</w:t>
            </w:r>
          </w:p>
        </w:tc>
        <w:tc>
          <w:tcPr>
            <w:tcW w:w="2250" w:type="dxa"/>
          </w:tcPr>
          <w:p w14:paraId="1E4B40F3" w14:textId="77777777" w:rsidR="00DE31FA" w:rsidRPr="002A3ED4" w:rsidRDefault="007B6334" w:rsidP="002A3ED4">
            <w:pPr>
              <w:rPr>
                <w:color w:val="auto"/>
                <w:sz w:val="20"/>
                <w:szCs w:val="20"/>
              </w:rPr>
            </w:pPr>
            <w:r w:rsidRPr="002A3ED4">
              <w:rPr>
                <w:color w:val="auto"/>
                <w:sz w:val="20"/>
                <w:szCs w:val="20"/>
              </w:rPr>
              <w:t>3 November 2017</w:t>
            </w:r>
          </w:p>
        </w:tc>
      </w:tr>
      <w:tr w:rsidR="00547BA6" w:rsidRPr="00F0799B" w14:paraId="6F52AA31" w14:textId="77777777" w:rsidTr="00A17D08">
        <w:trPr>
          <w:trHeight w:val="361"/>
        </w:trPr>
        <w:tc>
          <w:tcPr>
            <w:tcW w:w="7036" w:type="dxa"/>
          </w:tcPr>
          <w:p w14:paraId="5DBE659F" w14:textId="77777777" w:rsidR="00DE31FA" w:rsidRPr="002A3ED4" w:rsidRDefault="00DE31FA" w:rsidP="002A3ED4">
            <w:pPr>
              <w:rPr>
                <w:sz w:val="20"/>
                <w:szCs w:val="20"/>
              </w:rPr>
            </w:pPr>
            <w:r w:rsidRPr="002A3ED4">
              <w:rPr>
                <w:sz w:val="20"/>
                <w:szCs w:val="20"/>
              </w:rPr>
              <w:t>Advisory Committee meeting</w:t>
            </w:r>
          </w:p>
        </w:tc>
        <w:tc>
          <w:tcPr>
            <w:tcW w:w="2250" w:type="dxa"/>
          </w:tcPr>
          <w:p w14:paraId="6C4D5F6C" w14:textId="77777777" w:rsidR="00DE31FA" w:rsidRPr="002A3ED4" w:rsidRDefault="00F01407" w:rsidP="002A3ED4">
            <w:pPr>
              <w:rPr>
                <w:color w:val="auto"/>
                <w:sz w:val="20"/>
                <w:szCs w:val="20"/>
              </w:rPr>
            </w:pPr>
            <w:r w:rsidRPr="002A3ED4">
              <w:rPr>
                <w:color w:val="auto"/>
                <w:sz w:val="20"/>
                <w:szCs w:val="20"/>
              </w:rPr>
              <w:t>Not applicable</w:t>
            </w:r>
          </w:p>
        </w:tc>
      </w:tr>
      <w:tr w:rsidR="00547BA6" w:rsidRPr="00F0799B" w14:paraId="74010B3E" w14:textId="77777777" w:rsidTr="00A17D08">
        <w:tc>
          <w:tcPr>
            <w:tcW w:w="7036" w:type="dxa"/>
          </w:tcPr>
          <w:p w14:paraId="515812A9" w14:textId="77777777" w:rsidR="00DE31FA" w:rsidRPr="002A3ED4" w:rsidRDefault="00DE31FA" w:rsidP="002A3ED4">
            <w:pPr>
              <w:rPr>
                <w:sz w:val="20"/>
                <w:szCs w:val="20"/>
              </w:rPr>
            </w:pPr>
            <w:r w:rsidRPr="002A3ED4">
              <w:rPr>
                <w:sz w:val="20"/>
                <w:szCs w:val="20"/>
              </w:rPr>
              <w:t>Registration decision</w:t>
            </w:r>
          </w:p>
        </w:tc>
        <w:tc>
          <w:tcPr>
            <w:tcW w:w="2250" w:type="dxa"/>
          </w:tcPr>
          <w:p w14:paraId="3AD0B6C9" w14:textId="77777777" w:rsidR="00DE31FA" w:rsidRPr="002A3ED4" w:rsidRDefault="00F01407" w:rsidP="002A3ED4">
            <w:pPr>
              <w:rPr>
                <w:sz w:val="20"/>
                <w:szCs w:val="20"/>
              </w:rPr>
            </w:pPr>
            <w:r w:rsidRPr="002A3ED4">
              <w:rPr>
                <w:sz w:val="20"/>
                <w:szCs w:val="20"/>
              </w:rPr>
              <w:t>5 December 2017</w:t>
            </w:r>
          </w:p>
        </w:tc>
      </w:tr>
      <w:tr w:rsidR="00547BA6" w:rsidRPr="00F0799B" w14:paraId="1C30DE57" w14:textId="77777777" w:rsidTr="00A17D08">
        <w:tc>
          <w:tcPr>
            <w:tcW w:w="7036" w:type="dxa"/>
          </w:tcPr>
          <w:p w14:paraId="67193BA3" w14:textId="77777777" w:rsidR="00DE31FA" w:rsidRPr="002A3ED4" w:rsidRDefault="00DE31FA" w:rsidP="002A3ED4">
            <w:pPr>
              <w:rPr>
                <w:sz w:val="20"/>
                <w:szCs w:val="20"/>
              </w:rPr>
            </w:pPr>
            <w:r w:rsidRPr="002A3ED4">
              <w:rPr>
                <w:sz w:val="20"/>
                <w:szCs w:val="20"/>
              </w:rPr>
              <w:t>Entry onto ARTG</w:t>
            </w:r>
          </w:p>
        </w:tc>
        <w:tc>
          <w:tcPr>
            <w:tcW w:w="2250" w:type="dxa"/>
          </w:tcPr>
          <w:p w14:paraId="4E11CEA1" w14:textId="77777777" w:rsidR="00DE31FA" w:rsidRPr="002A3ED4" w:rsidRDefault="00F01407" w:rsidP="002A3ED4">
            <w:pPr>
              <w:rPr>
                <w:sz w:val="20"/>
                <w:szCs w:val="20"/>
              </w:rPr>
            </w:pPr>
            <w:r w:rsidRPr="002A3ED4">
              <w:rPr>
                <w:sz w:val="20"/>
                <w:szCs w:val="20"/>
              </w:rPr>
              <w:t>11 December 2017</w:t>
            </w:r>
          </w:p>
        </w:tc>
      </w:tr>
      <w:tr w:rsidR="00547BA6" w:rsidRPr="008D5479" w14:paraId="13DD8329" w14:textId="77777777" w:rsidTr="00A17D08">
        <w:tc>
          <w:tcPr>
            <w:tcW w:w="7036" w:type="dxa"/>
          </w:tcPr>
          <w:p w14:paraId="19CE8002" w14:textId="63F38314" w:rsidR="00DE31FA" w:rsidRPr="002A3ED4" w:rsidRDefault="00DE31FA" w:rsidP="002A3ED4">
            <w:pPr>
              <w:keepNext/>
              <w:rPr>
                <w:sz w:val="20"/>
                <w:szCs w:val="20"/>
              </w:rPr>
            </w:pPr>
            <w:r w:rsidRPr="002A3ED4">
              <w:rPr>
                <w:sz w:val="20"/>
                <w:szCs w:val="20"/>
              </w:rPr>
              <w:t>Number of TGA working days from commencement of evaluation</w:t>
            </w:r>
            <w:r w:rsidR="0057702F" w:rsidRPr="002A3ED4">
              <w:rPr>
                <w:sz w:val="20"/>
                <w:szCs w:val="20"/>
              </w:rPr>
              <w:t xml:space="preserve"> </w:t>
            </w:r>
            <w:r w:rsidR="003037A3">
              <w:rPr>
                <w:sz w:val="20"/>
                <w:szCs w:val="20"/>
              </w:rPr>
              <w:t>to registration decision</w:t>
            </w:r>
            <w:r w:rsidRPr="002A3ED4">
              <w:rPr>
                <w:sz w:val="20"/>
                <w:szCs w:val="20"/>
              </w:rPr>
              <w:t>*</w:t>
            </w:r>
          </w:p>
        </w:tc>
        <w:tc>
          <w:tcPr>
            <w:tcW w:w="2250" w:type="dxa"/>
          </w:tcPr>
          <w:p w14:paraId="22117C62" w14:textId="77777777" w:rsidR="00DE31FA" w:rsidRPr="002A3ED4" w:rsidRDefault="007B6334" w:rsidP="002A3ED4">
            <w:pPr>
              <w:keepNext/>
              <w:rPr>
                <w:color w:val="auto"/>
                <w:sz w:val="20"/>
                <w:szCs w:val="20"/>
              </w:rPr>
            </w:pPr>
            <w:r w:rsidRPr="002A3ED4">
              <w:rPr>
                <w:color w:val="auto"/>
                <w:sz w:val="20"/>
                <w:szCs w:val="20"/>
              </w:rPr>
              <w:t>176</w:t>
            </w:r>
          </w:p>
        </w:tc>
      </w:tr>
    </w:tbl>
    <w:p w14:paraId="33FD8147" w14:textId="77777777" w:rsidR="00DE31FA" w:rsidRPr="003037A3" w:rsidRDefault="00DE31FA" w:rsidP="003037A3">
      <w:pPr>
        <w:pStyle w:val="TableDescription"/>
      </w:pPr>
      <w:r>
        <w:t>* Statutory timeframe: 255 working days.</w:t>
      </w:r>
    </w:p>
    <w:p w14:paraId="1F556247" w14:textId="77777777" w:rsidR="008E7846" w:rsidRPr="003602A9" w:rsidRDefault="008E7846" w:rsidP="008E7846">
      <w:pPr>
        <w:pStyle w:val="Heading2"/>
        <w:ind w:left="-11"/>
      </w:pPr>
      <w:bookmarkStart w:id="27" w:name="_Toc519257425"/>
      <w:r>
        <w:t>II</w:t>
      </w:r>
      <w:r w:rsidR="00F01407">
        <w:t>I</w:t>
      </w:r>
      <w:r>
        <w:t>. Quality</w:t>
      </w:r>
      <w:bookmarkEnd w:id="1"/>
      <w:r>
        <w:t xml:space="preserve"> f</w:t>
      </w:r>
      <w:r w:rsidRPr="003037A3">
        <w:t>i</w:t>
      </w:r>
      <w:r>
        <w:t>ndings</w:t>
      </w:r>
      <w:bookmarkEnd w:id="24"/>
      <w:bookmarkEnd w:id="25"/>
      <w:bookmarkEnd w:id="27"/>
    </w:p>
    <w:p w14:paraId="29A7FD55" w14:textId="77777777" w:rsidR="00940A89" w:rsidRDefault="00940A89" w:rsidP="00940A89">
      <w:bookmarkStart w:id="28" w:name="_Toc247691507"/>
      <w:bookmarkStart w:id="29" w:name="_Toc314842488"/>
      <w:r w:rsidRPr="00940A89">
        <w:t>There was no requirement for a quality evaluation in a submission of this type.</w:t>
      </w:r>
    </w:p>
    <w:p w14:paraId="2CAE80EB" w14:textId="77777777" w:rsidR="001707F7" w:rsidRDefault="001707F7" w:rsidP="003037A3">
      <w:pPr>
        <w:pStyle w:val="Heading3"/>
        <w:rPr>
          <w:lang w:eastAsia="ja-JP"/>
        </w:rPr>
      </w:pPr>
      <w:bookmarkStart w:id="30" w:name="_Toc519257426"/>
      <w:r>
        <w:rPr>
          <w:lang w:eastAsia="ja-JP"/>
        </w:rPr>
        <w:t xml:space="preserve">Drug </w:t>
      </w:r>
      <w:r w:rsidRPr="003037A3">
        <w:t>substance</w:t>
      </w:r>
      <w:bookmarkEnd w:id="30"/>
    </w:p>
    <w:p w14:paraId="3D948572" w14:textId="241AF87D" w:rsidR="001707F7" w:rsidRDefault="001707F7" w:rsidP="001707F7">
      <w:pPr>
        <w:rPr>
          <w:lang w:eastAsia="ja-JP"/>
        </w:rPr>
      </w:pPr>
      <w:r>
        <w:rPr>
          <w:lang w:eastAsia="ja-JP"/>
        </w:rPr>
        <w:t>Cladribine is a nucleoside analogue of deoxyadenosine. It differs from deoxyadenosine by a chlorine substitution in the 2-position in the purine ring</w:t>
      </w:r>
      <w:r w:rsidR="00547BA6">
        <w:rPr>
          <w:lang w:eastAsia="ja-JP"/>
        </w:rPr>
        <w:t>.</w:t>
      </w:r>
      <w:r w:rsidRPr="001707F7">
        <w:rPr>
          <w:lang w:eastAsia="ja-JP"/>
        </w:rPr>
        <w:t xml:space="preserve"> </w:t>
      </w:r>
      <w:r>
        <w:rPr>
          <w:lang w:eastAsia="ja-JP"/>
        </w:rPr>
        <w:t>Cladribine is a prodrug and is phosphorylated to its active form, 2-chlorodeoxyadenosine triphosphate. It has the following chemical structure</w:t>
      </w:r>
      <w:r w:rsidR="00547BA6">
        <w:rPr>
          <w:lang w:eastAsia="ja-JP"/>
        </w:rPr>
        <w:t>, as shown in Figure 1.</w:t>
      </w:r>
    </w:p>
    <w:p w14:paraId="05D04A99" w14:textId="39BB86E3" w:rsidR="001707F7" w:rsidRDefault="001707F7" w:rsidP="003037A3">
      <w:pPr>
        <w:pStyle w:val="FigureTitle"/>
        <w:rPr>
          <w:lang w:eastAsia="ja-JP"/>
        </w:rPr>
      </w:pPr>
      <w:r>
        <w:rPr>
          <w:lang w:eastAsia="ja-JP"/>
        </w:rPr>
        <w:lastRenderedPageBreak/>
        <w:t xml:space="preserve">Figure 1: Chemical structure of </w:t>
      </w:r>
      <w:r w:rsidR="00547BA6">
        <w:rPr>
          <w:lang w:eastAsia="ja-JP"/>
        </w:rPr>
        <w:t>c</w:t>
      </w:r>
      <w:r>
        <w:rPr>
          <w:lang w:eastAsia="ja-JP"/>
        </w:rPr>
        <w:t>ladribine</w:t>
      </w:r>
    </w:p>
    <w:p w14:paraId="22CA7D71" w14:textId="77777777" w:rsidR="001707F7" w:rsidRDefault="001707F7" w:rsidP="001707F7">
      <w:pPr>
        <w:rPr>
          <w:lang w:eastAsia="ja-JP"/>
        </w:rPr>
      </w:pPr>
      <w:r w:rsidRPr="00D927E6">
        <w:rPr>
          <w:noProof/>
          <w:lang w:eastAsia="en-AU"/>
        </w:rPr>
        <w:drawing>
          <wp:inline distT="0" distB="0" distL="0" distR="0" wp14:anchorId="0E2CFB1B" wp14:editId="6EAA018A">
            <wp:extent cx="2273315" cy="2219688"/>
            <wp:effectExtent l="0" t="0" r="0" b="9525"/>
            <wp:docPr id="2" name="Picture 2" descr="Chemical structure of Cladri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lum bright="-20000" contrast="40000"/>
                      <a:extLst>
                        <a:ext uri="{28A0092B-C50C-407E-A947-70E740481C1C}">
                          <a14:useLocalDpi xmlns:a14="http://schemas.microsoft.com/office/drawing/2010/main" val="0"/>
                        </a:ext>
                      </a:extLst>
                    </a:blip>
                    <a:srcRect r="72993"/>
                    <a:stretch/>
                  </pic:blipFill>
                  <pic:spPr bwMode="auto">
                    <a:xfrm>
                      <a:off x="0" y="0"/>
                      <a:ext cx="2280395" cy="2226601"/>
                    </a:xfrm>
                    <a:prstGeom prst="rect">
                      <a:avLst/>
                    </a:prstGeom>
                    <a:noFill/>
                    <a:ln>
                      <a:noFill/>
                    </a:ln>
                    <a:extLst>
                      <a:ext uri="{53640926-AAD7-44D8-BBD7-CCE9431645EC}">
                        <a14:shadowObscured xmlns:a14="http://schemas.microsoft.com/office/drawing/2010/main"/>
                      </a:ext>
                    </a:extLst>
                  </pic:spPr>
                </pic:pic>
              </a:graphicData>
            </a:graphic>
          </wp:inline>
        </w:drawing>
      </w:r>
    </w:p>
    <w:p w14:paraId="4D3B11D2" w14:textId="77777777" w:rsidR="001707F7" w:rsidRDefault="001707F7" w:rsidP="001707F7">
      <w:r>
        <w:t>Decomposition increases over time at acidic pH. The ionisation behaviour of the molecule over the pH range 0 to 12 is characterised by a single pKa of approximately 1.21.</w:t>
      </w:r>
    </w:p>
    <w:p w14:paraId="6E2780D9" w14:textId="77777777" w:rsidR="001707F7" w:rsidRDefault="001707F7" w:rsidP="003037A3">
      <w:pPr>
        <w:pStyle w:val="Heading3"/>
        <w:rPr>
          <w:lang w:eastAsia="ja-JP"/>
        </w:rPr>
      </w:pPr>
      <w:bookmarkStart w:id="31" w:name="_Toc519257427"/>
      <w:r>
        <w:rPr>
          <w:lang w:eastAsia="ja-JP"/>
        </w:rPr>
        <w:t>Drug product</w:t>
      </w:r>
      <w:bookmarkEnd w:id="31"/>
    </w:p>
    <w:p w14:paraId="7C8703AF" w14:textId="77777777" w:rsidR="001707F7" w:rsidRPr="001707F7" w:rsidRDefault="001707F7" w:rsidP="001707F7">
      <w:pPr>
        <w:rPr>
          <w:lang w:eastAsia="ja-JP"/>
        </w:rPr>
      </w:pPr>
      <w:r w:rsidRPr="001707F7">
        <w:rPr>
          <w:lang w:eastAsia="ja-JP"/>
        </w:rPr>
        <w:t>Mavenclad tablets are uncoated, white, round and biconvex, and engraved with 'C' on one side and '10' on the other side. Each tablet of Mavenclad contains 10 mg cladribine. The tablets also contain hydroxypropylbetadex, sorbitol and magnesium stearate.</w:t>
      </w:r>
    </w:p>
    <w:p w14:paraId="62A53E58" w14:textId="77777777" w:rsidR="008E7846" w:rsidRDefault="00FA103D" w:rsidP="003037A3">
      <w:pPr>
        <w:pStyle w:val="Heading2"/>
      </w:pPr>
      <w:bookmarkStart w:id="32" w:name="_Toc196046439"/>
      <w:bookmarkStart w:id="33" w:name="_Toc247691510"/>
      <w:bookmarkStart w:id="34" w:name="_Toc314842494"/>
      <w:bookmarkStart w:id="35" w:name="_Toc519257428"/>
      <w:bookmarkEnd w:id="28"/>
      <w:bookmarkEnd w:id="29"/>
      <w:r>
        <w:t>IV</w:t>
      </w:r>
      <w:r w:rsidR="008E7846">
        <w:t xml:space="preserve">. </w:t>
      </w:r>
      <w:r w:rsidR="008E7846" w:rsidRPr="003037A3">
        <w:t>Nonclinical</w:t>
      </w:r>
      <w:bookmarkEnd w:id="32"/>
      <w:r w:rsidR="008E7846">
        <w:t xml:space="preserve"> findings</w:t>
      </w:r>
      <w:bookmarkEnd w:id="33"/>
      <w:bookmarkEnd w:id="34"/>
      <w:bookmarkEnd w:id="35"/>
    </w:p>
    <w:p w14:paraId="785593DA" w14:textId="77777777" w:rsidR="00347420" w:rsidRPr="00347420" w:rsidRDefault="00347420" w:rsidP="003037A3">
      <w:pPr>
        <w:pStyle w:val="Heading3"/>
      </w:pPr>
      <w:bookmarkStart w:id="36" w:name="_Toc519257429"/>
      <w:r w:rsidRPr="003037A3">
        <w:t>Introduction</w:t>
      </w:r>
      <w:bookmarkEnd w:id="36"/>
    </w:p>
    <w:p w14:paraId="061602E4" w14:textId="6A328422" w:rsidR="00347420" w:rsidRDefault="009755CB" w:rsidP="00347420">
      <w:pPr>
        <w:rPr>
          <w:b/>
          <w:bCs/>
        </w:rPr>
      </w:pPr>
      <w:bookmarkStart w:id="37" w:name="_Toc196046462"/>
      <w:bookmarkStart w:id="38" w:name="_Toc247691516"/>
      <w:bookmarkStart w:id="39" w:name="_Toc314842500"/>
      <w:bookmarkStart w:id="40" w:name="_Toc163441353"/>
      <w:bookmarkStart w:id="41" w:name="_Toc163441348"/>
      <w:r>
        <w:t>The nonclinical submission</w:t>
      </w:r>
      <w:r w:rsidR="00347420" w:rsidRPr="00347420">
        <w:t xml:space="preserve"> comprised only of pharmacokinetics studies and did not provide direct nonclinical data to support the extension of indication request. Thus, the suitability of the extension of indication </w:t>
      </w:r>
      <w:r w:rsidR="002A3ED4">
        <w:t>was to</w:t>
      </w:r>
      <w:r w:rsidR="00347420" w:rsidRPr="00347420">
        <w:t xml:space="preserve"> be based on the accompanying clinical data.</w:t>
      </w:r>
    </w:p>
    <w:p w14:paraId="15799F80" w14:textId="77777777" w:rsidR="00347420" w:rsidRPr="00347420" w:rsidRDefault="00347420" w:rsidP="003037A3">
      <w:pPr>
        <w:pStyle w:val="Heading3"/>
        <w:rPr>
          <w:rFonts w:eastAsia="Cambria"/>
        </w:rPr>
      </w:pPr>
      <w:bookmarkStart w:id="42" w:name="_Toc519257430"/>
      <w:r w:rsidRPr="003037A3">
        <w:rPr>
          <w:rFonts w:eastAsia="Cambria"/>
        </w:rPr>
        <w:t>Pharmacokinetics</w:t>
      </w:r>
      <w:bookmarkEnd w:id="42"/>
    </w:p>
    <w:p w14:paraId="75E8AD97" w14:textId="77777777" w:rsidR="00347420" w:rsidRPr="00347420" w:rsidRDefault="00347420" w:rsidP="00347420">
      <w:r w:rsidRPr="00347420">
        <w:t>The sponsor submitted 11 new studies which included permeability and absorption and metabolism and interaction data.</w:t>
      </w:r>
    </w:p>
    <w:p w14:paraId="7A586D9E" w14:textId="77777777" w:rsidR="00347420" w:rsidRPr="00347420" w:rsidRDefault="00347420" w:rsidP="003037A3">
      <w:pPr>
        <w:pStyle w:val="Heading4"/>
      </w:pPr>
      <w:r w:rsidRPr="00347420">
        <w:t xml:space="preserve">Absorption and </w:t>
      </w:r>
      <w:r w:rsidRPr="003037A3">
        <w:t>distribution</w:t>
      </w:r>
    </w:p>
    <w:p w14:paraId="2D7238AA" w14:textId="618EAA4D" w:rsidR="00347420" w:rsidRPr="00347420" w:rsidRDefault="00347420" w:rsidP="00347420">
      <w:r w:rsidRPr="00347420">
        <w:t>The sponsor submitted two in vitro studies demonstrating the uptake of cladribine by cryopreserved human hepatocytes and human lymphocyte isolates. The uptake of cladribine by hepatocytes was not concentration dependent and unaffected by transport inhibitors and therefore appeared to be a passive process. The study also found a concentration related increase in cytotoxicity, particularly at the highest dose (251 µM).</w:t>
      </w:r>
      <w:r w:rsidR="0057702F">
        <w:t xml:space="preserve"> </w:t>
      </w:r>
      <w:r w:rsidRPr="00347420">
        <w:t>In contrast, the kinetics of cladribine uptake into human lymphocytes was related to the concentration in the cell suspension (at least up to 3</w:t>
      </w:r>
      <w:r w:rsidR="00402A3A">
        <w:t xml:space="preserve"> </w:t>
      </w:r>
      <w:r w:rsidRPr="00347420">
        <w:t>h), with a high initial uptake (&lt;</w:t>
      </w:r>
      <w:r w:rsidR="00547BA6">
        <w:t xml:space="preserve"> </w:t>
      </w:r>
      <w:r w:rsidRPr="00347420">
        <w:t>1</w:t>
      </w:r>
      <w:r w:rsidR="00402A3A">
        <w:t xml:space="preserve"> </w:t>
      </w:r>
      <w:r w:rsidRPr="00347420">
        <w:t>h) followed by a plateau and subsequent decrease past 3</w:t>
      </w:r>
      <w:r w:rsidR="00402A3A">
        <w:t xml:space="preserve"> </w:t>
      </w:r>
      <w:r w:rsidRPr="00347420">
        <w:t>h post-exposure. This study demonstrated that the 30</w:t>
      </w:r>
      <w:r w:rsidR="00402A3A">
        <w:t xml:space="preserve"> to </w:t>
      </w:r>
      <w:r w:rsidRPr="00347420">
        <w:t>40</w:t>
      </w:r>
      <w:r w:rsidR="00402A3A">
        <w:t xml:space="preserve"> </w:t>
      </w:r>
      <w:r w:rsidRPr="00347420">
        <w:t xml:space="preserve">fold increase in intracellular </w:t>
      </w:r>
      <w:r w:rsidR="00402A3A">
        <w:t>radioactively labelled (</w:t>
      </w:r>
      <w:r w:rsidRPr="00347420">
        <w:t>[</w:t>
      </w:r>
      <w:r w:rsidRPr="00402A3A">
        <w:rPr>
          <w:vertAlign w:val="superscript"/>
        </w:rPr>
        <w:t>14</w:t>
      </w:r>
      <w:r w:rsidRPr="00347420">
        <w:t>C]</w:t>
      </w:r>
      <w:r w:rsidR="00402A3A">
        <w:t>)</w:t>
      </w:r>
      <w:r w:rsidR="00E358D2">
        <w:noBreakHyphen/>
      </w:r>
      <w:r w:rsidRPr="00347420">
        <w:t>cladribine observed at anticipated clinical concentrations (0.1</w:t>
      </w:r>
      <w:r w:rsidR="00402A3A">
        <w:t xml:space="preserve"> </w:t>
      </w:r>
      <w:r w:rsidRPr="00347420">
        <w:t>µM) decreased in magnitude with increasing extracellular [</w:t>
      </w:r>
      <w:r w:rsidRPr="00402A3A">
        <w:rPr>
          <w:vertAlign w:val="superscript"/>
        </w:rPr>
        <w:t>14</w:t>
      </w:r>
      <w:r w:rsidRPr="00347420">
        <w:t xml:space="preserve">C]-cladribine. No inhibition studies were </w:t>
      </w:r>
      <w:r w:rsidRPr="00347420">
        <w:lastRenderedPageBreak/>
        <w:t>conducted to determine the impact of transporters on cladribine upt</w:t>
      </w:r>
      <w:r w:rsidR="003037A3">
        <w:t>ake into the human lymphocytes.</w:t>
      </w:r>
    </w:p>
    <w:p w14:paraId="11F4ABC0" w14:textId="77777777" w:rsidR="00347420" w:rsidRPr="00347420" w:rsidRDefault="00347420" w:rsidP="00A5516F">
      <w:pPr>
        <w:pStyle w:val="Heading4"/>
      </w:pPr>
      <w:r w:rsidRPr="00347420">
        <w:t xml:space="preserve">Metabolism </w:t>
      </w:r>
      <w:r w:rsidRPr="00A5516F">
        <w:t>studies</w:t>
      </w:r>
    </w:p>
    <w:p w14:paraId="726D9DFE" w14:textId="61AC7DE4" w:rsidR="00347420" w:rsidRPr="00347420" w:rsidRDefault="00347420" w:rsidP="00347420">
      <w:r w:rsidRPr="00347420">
        <w:t>The sponsor submitted one new metabolism study, profiling the metabolites in plasma and whole blood of mice, monkeys and humans. Of the 13 detected metabolites, 8</w:t>
      </w:r>
      <w:r w:rsidR="00872165">
        <w:t> </w:t>
      </w:r>
      <w:r w:rsidRPr="00347420">
        <w:t>remained unidentified. The remaining 5 identified metabolites and pathways were as follows: 2-</w:t>
      </w:r>
      <w:r w:rsidR="00872165">
        <w:t>c</w:t>
      </w:r>
      <w:r w:rsidR="00872165" w:rsidRPr="00347420">
        <w:t xml:space="preserve">hloroadenine </w:t>
      </w:r>
      <w:r w:rsidRPr="00347420">
        <w:t>(M169) produced by oxidative cleavage</w:t>
      </w:r>
      <w:r w:rsidR="00872165">
        <w:t>;</w:t>
      </w:r>
      <w:r w:rsidRPr="00347420">
        <w:t xml:space="preserve"> </w:t>
      </w:r>
      <w:r w:rsidR="00872165">
        <w:t>hydroxyl</w:t>
      </w:r>
      <w:r w:rsidR="00872165">
        <w:noBreakHyphen/>
      </w:r>
      <w:r w:rsidRPr="00347420">
        <w:t>2</w:t>
      </w:r>
      <w:r w:rsidR="00872165">
        <w:noBreakHyphen/>
      </w:r>
      <w:r w:rsidRPr="00347420">
        <w:t>chloroadenine or N-oxide of 2-chloroadenine (M185) produced by N-oxidation or hydroxylation of M169</w:t>
      </w:r>
      <w:r w:rsidR="00872165">
        <w:t>;</w:t>
      </w:r>
      <w:r w:rsidRPr="00347420">
        <w:t xml:space="preserve"> </w:t>
      </w:r>
      <w:r w:rsidR="00872165">
        <w:t>h</w:t>
      </w:r>
      <w:r w:rsidR="00872165" w:rsidRPr="00347420">
        <w:t>ydroxy</w:t>
      </w:r>
      <w:r w:rsidRPr="00347420">
        <w:t>-</w:t>
      </w:r>
      <w:r w:rsidR="00D67525">
        <w:t>c</w:t>
      </w:r>
      <w:r w:rsidRPr="00347420">
        <w:t xml:space="preserve">ladribine (M301-1) formed by mono-hydroxylation of </w:t>
      </w:r>
      <w:r w:rsidR="00D67525">
        <w:t>c</w:t>
      </w:r>
      <w:r w:rsidRPr="00347420">
        <w:t>ladribine</w:t>
      </w:r>
      <w:r w:rsidR="00872165">
        <w:t>;</w:t>
      </w:r>
      <w:r w:rsidRPr="00347420">
        <w:t xml:space="preserve"> 2-</w:t>
      </w:r>
      <w:r w:rsidR="00872165">
        <w:t>c</w:t>
      </w:r>
      <w:r w:rsidRPr="00347420">
        <w:t>hloro-hypoxanthine (M170) formed by oxidative cleavage of 2-</w:t>
      </w:r>
      <w:r w:rsidR="00872165">
        <w:t>c</w:t>
      </w:r>
      <w:r w:rsidR="00872165" w:rsidRPr="00347420">
        <w:t>hloro</w:t>
      </w:r>
      <w:r w:rsidRPr="00347420">
        <w:t xml:space="preserve">-inosine (M286), which in turn is an oxidative product of </w:t>
      </w:r>
      <w:r w:rsidR="00D67525">
        <w:t>c</w:t>
      </w:r>
      <w:r w:rsidRPr="00347420">
        <w:t>ladribine. While the levels of metabolites in plasma and blood cells were comparable between monkey and human (despite variability between the two fractions), 2-</w:t>
      </w:r>
      <w:r w:rsidR="00872165">
        <w:t>c</w:t>
      </w:r>
      <w:r w:rsidR="00872165" w:rsidRPr="00347420">
        <w:t>hlorohypoxanthine</w:t>
      </w:r>
      <w:r w:rsidRPr="00347420">
        <w:t>, 2-</w:t>
      </w:r>
      <w:r w:rsidR="00872165">
        <w:t>c</w:t>
      </w:r>
      <w:r w:rsidR="00872165" w:rsidRPr="00347420">
        <w:t xml:space="preserve">hloroinosine </w:t>
      </w:r>
      <w:r w:rsidRPr="00347420">
        <w:t xml:space="preserve">and </w:t>
      </w:r>
      <w:r w:rsidR="00872165">
        <w:t>h</w:t>
      </w:r>
      <w:r w:rsidR="00872165" w:rsidRPr="00347420">
        <w:t>ydroxy</w:t>
      </w:r>
      <w:r w:rsidRPr="00347420">
        <w:t>-</w:t>
      </w:r>
      <w:r w:rsidR="00D67525">
        <w:t>c</w:t>
      </w:r>
      <w:r w:rsidRPr="00347420">
        <w:t xml:space="preserve">ladribine were largely not detected in mouse samples (a small amount of </w:t>
      </w:r>
      <w:r w:rsidR="00872165">
        <w:t>h</w:t>
      </w:r>
      <w:r w:rsidR="00872165" w:rsidRPr="00347420">
        <w:t>ydroxy</w:t>
      </w:r>
      <w:r w:rsidRPr="00347420">
        <w:t>-</w:t>
      </w:r>
      <w:r w:rsidR="00D67525">
        <w:t>c</w:t>
      </w:r>
      <w:r w:rsidRPr="00347420">
        <w:t>ladribine was however reported in mouse blood cells).</w:t>
      </w:r>
    </w:p>
    <w:p w14:paraId="725310C8" w14:textId="71F0D8A2" w:rsidR="00347420" w:rsidRPr="00347420" w:rsidRDefault="00347420" w:rsidP="00347420">
      <w:r w:rsidRPr="00347420">
        <w:t xml:space="preserve">Of the five identified metabolites, 2-chloroadenine was previously detected in plasma of mice and monkeys, and </w:t>
      </w:r>
      <w:r w:rsidR="00872165">
        <w:t>h</w:t>
      </w:r>
      <w:r w:rsidR="00872165" w:rsidRPr="00347420">
        <w:t>ydroxy</w:t>
      </w:r>
      <w:r w:rsidRPr="00347420">
        <w:t>-</w:t>
      </w:r>
      <w:r w:rsidR="00D67525">
        <w:t>c</w:t>
      </w:r>
      <w:r w:rsidRPr="00347420">
        <w:t>ladribine was detected during metabolite profiling of the human hepatic S9 fractions</w:t>
      </w:r>
      <w:r w:rsidR="00872165">
        <w:t>;</w:t>
      </w:r>
      <w:r w:rsidR="0079705A">
        <w:rPr>
          <w:rStyle w:val="FootnoteReference"/>
        </w:rPr>
        <w:footnoteReference w:id="4"/>
      </w:r>
      <w:r w:rsidRPr="00347420">
        <w:t xml:space="preserve"> and microsomes. The estimated levels of these metabolites were comparable with those reported in the previous evaluation. In addition, the sponsor also proposed that the metabolism of 2-</w:t>
      </w:r>
      <w:r w:rsidR="00872165">
        <w:t>c</w:t>
      </w:r>
      <w:r w:rsidR="00872165" w:rsidRPr="00347420">
        <w:t xml:space="preserve">hloroinosine </w:t>
      </w:r>
      <w:r w:rsidRPr="00347420">
        <w:t>(M-286) to 2-</w:t>
      </w:r>
      <w:r w:rsidR="00872165">
        <w:t>c</w:t>
      </w:r>
      <w:r w:rsidR="00872165" w:rsidRPr="00347420">
        <w:t xml:space="preserve">hlorohypoxanthine </w:t>
      </w:r>
      <w:r w:rsidRPr="00347420">
        <w:t xml:space="preserve">(M170) was driven by </w:t>
      </w:r>
      <w:r w:rsidR="00872165">
        <w:t>a</w:t>
      </w:r>
      <w:r w:rsidR="00872165" w:rsidRPr="00347420">
        <w:t xml:space="preserve">denosine </w:t>
      </w:r>
      <w:r w:rsidRPr="00347420">
        <w:t>deaminase (ADA), a metabolic pathway reported by Bierau et al</w:t>
      </w:r>
      <w:r w:rsidR="00481814">
        <w:t>.</w:t>
      </w:r>
      <w:r w:rsidR="00D67525">
        <w:rPr>
          <w:rStyle w:val="FootnoteReference"/>
        </w:rPr>
        <w:footnoteReference w:id="5"/>
      </w:r>
      <w:r w:rsidR="0057702F">
        <w:t xml:space="preserve"> </w:t>
      </w:r>
      <w:r w:rsidRPr="00347420">
        <w:t>that was not previously associated with cladribine metabolism.</w:t>
      </w:r>
    </w:p>
    <w:p w14:paraId="77B7BE11" w14:textId="2D39AA86" w:rsidR="00347420" w:rsidRPr="00347420" w:rsidRDefault="00A5516F" w:rsidP="00347420">
      <w:pPr>
        <w:pStyle w:val="Heading4"/>
      </w:pPr>
      <w:r>
        <w:t>Interaction s</w:t>
      </w:r>
      <w:r w:rsidR="00347420" w:rsidRPr="00347420">
        <w:t>tudies</w:t>
      </w:r>
    </w:p>
    <w:p w14:paraId="5F03844A" w14:textId="77777777" w:rsidR="00347420" w:rsidRPr="00347420" w:rsidRDefault="00347420" w:rsidP="00347420">
      <w:r w:rsidRPr="00347420">
        <w:t>The sponsor presented several studies showing cladribine</w:t>
      </w:r>
      <w:r w:rsidR="00D67525">
        <w:t xml:space="preserve"> </w:t>
      </w:r>
      <w:r w:rsidRPr="00347420">
        <w:t xml:space="preserve">mediated inhibition or induction of </w:t>
      </w:r>
      <w:r w:rsidR="00D67525">
        <w:t>cytochrome P450 (</w:t>
      </w:r>
      <w:r w:rsidRPr="00347420">
        <w:t>CYP450</w:t>
      </w:r>
      <w:r w:rsidR="00D67525">
        <w:t>)</w:t>
      </w:r>
      <w:r w:rsidRPr="00347420">
        <w:t xml:space="preserve"> enzymes. Weak inhibition of CYP2B6 and CYP3A4 was reported in preparations of cultured human hepatocytes at doses up to 250 µM as determined by reduced </w:t>
      </w:r>
      <w:r w:rsidR="0079705A">
        <w:t xml:space="preserve">messenger </w:t>
      </w:r>
      <w:r w:rsidR="0079705A" w:rsidRPr="0079705A">
        <w:t>ribonucleic acid</w:t>
      </w:r>
      <w:r w:rsidR="0079705A">
        <w:t xml:space="preserve"> (</w:t>
      </w:r>
      <w:r w:rsidRPr="00347420">
        <w:t>mRNA</w:t>
      </w:r>
      <w:r w:rsidR="0079705A">
        <w:t>)</w:t>
      </w:r>
      <w:r w:rsidRPr="00347420">
        <w:t xml:space="preserve"> expression. However, the levels of inhibition were not significant and comparable with those observed for the same enzymes in previously evaluated studies. Similarly, weak induction of CYP1A2 was reported in cultured human hepatocytes at high doses (</w:t>
      </w:r>
      <w:r w:rsidR="00D67525">
        <w:t>compared to the</w:t>
      </w:r>
      <w:r w:rsidRPr="00347420">
        <w:t xml:space="preserve"> positive control). The level of induction of CYP1A2 was comparable with the levels reported in studies evaluated </w:t>
      </w:r>
      <w:r w:rsidR="00D67525">
        <w:t>by the TGA previously.</w:t>
      </w:r>
    </w:p>
    <w:p w14:paraId="24F6FD4D" w14:textId="77777777" w:rsidR="00347420" w:rsidRDefault="00347420" w:rsidP="00347420">
      <w:pPr>
        <w:rPr>
          <w:b/>
          <w:bCs/>
        </w:rPr>
      </w:pPr>
      <w:r w:rsidRPr="00347420">
        <w:t>Transporter interaction studies demonstrated that cladribine was a substrate for the breast cancer resistance protein (BCRP) in Caco-2 and CPT-B1 cells lines (up to 50 µM concentrations). Cladribine also acted as a minor inhibitor of BCRP (</w:t>
      </w:r>
      <w:r w:rsidR="00D67525">
        <w:t>50% inhibitory concentration (</w:t>
      </w:r>
      <w:r w:rsidRPr="00347420">
        <w:t>IC</w:t>
      </w:r>
      <w:r w:rsidRPr="00D67525">
        <w:rPr>
          <w:vertAlign w:val="subscript"/>
        </w:rPr>
        <w:t>50</w:t>
      </w:r>
      <w:r w:rsidR="00D67525">
        <w:t>)</w:t>
      </w:r>
      <w:r w:rsidRPr="00347420">
        <w:t xml:space="preserve"> 150 µM). Inhibition was also noted in renal transporters </w:t>
      </w:r>
      <w:r w:rsidR="00D67525">
        <w:t>(multidrug resistance protein 5 (</w:t>
      </w:r>
      <w:r w:rsidRPr="00347420">
        <w:t>MRP5</w:t>
      </w:r>
      <w:r w:rsidR="00D67525">
        <w:t>)</w:t>
      </w:r>
      <w:r w:rsidRPr="00347420">
        <w:t xml:space="preserve"> and </w:t>
      </w:r>
      <w:r w:rsidR="00D67525" w:rsidRPr="00D67525">
        <w:t>organic anion transporter 3</w:t>
      </w:r>
      <w:r w:rsidR="00D67525">
        <w:t xml:space="preserve"> (</w:t>
      </w:r>
      <w:r w:rsidRPr="00347420">
        <w:t>OAT3</w:t>
      </w:r>
      <w:r w:rsidR="00D67525">
        <w:t>))</w:t>
      </w:r>
      <w:r w:rsidRPr="00347420">
        <w:t xml:space="preserve"> at an IC</w:t>
      </w:r>
      <w:r w:rsidRPr="00D67525">
        <w:rPr>
          <w:vertAlign w:val="subscript"/>
        </w:rPr>
        <w:t>50</w:t>
      </w:r>
      <w:r w:rsidRPr="00347420">
        <w:t xml:space="preserve"> of 64 µM for MRP5 and 39% inhibition for OAT3 at 100 µM, respectively.</w:t>
      </w:r>
      <w:r w:rsidR="0057702F">
        <w:t xml:space="preserve"> </w:t>
      </w:r>
      <w:r w:rsidRPr="00347420">
        <w:t xml:space="preserve">The clinical significance of these inhibitory interactions are likely to be minimal given the highest inhibition was reported at a concentrations significantly greater than the clinical </w:t>
      </w:r>
      <w:r w:rsidR="00D67525">
        <w:t xml:space="preserve">peal </w:t>
      </w:r>
      <w:r w:rsidRPr="00347420">
        <w:t xml:space="preserve">plasma </w:t>
      </w:r>
      <w:r w:rsidR="0079705A">
        <w:t>concentration (</w:t>
      </w:r>
      <w:r w:rsidRPr="00347420">
        <w:t>C</w:t>
      </w:r>
      <w:r w:rsidRPr="0079705A">
        <w:rPr>
          <w:vertAlign w:val="subscript"/>
        </w:rPr>
        <w:t>max</w:t>
      </w:r>
      <w:r w:rsidR="0079705A">
        <w:t>)</w:t>
      </w:r>
      <w:r w:rsidRPr="00347420">
        <w:t>. A small dose</w:t>
      </w:r>
      <w:r w:rsidR="0079705A">
        <w:t xml:space="preserve"> </w:t>
      </w:r>
      <w:r w:rsidRPr="00347420">
        <w:t xml:space="preserve">related increase in </w:t>
      </w:r>
      <w:r w:rsidR="0079705A">
        <w:t>organic cation transporter 2 (</w:t>
      </w:r>
      <w:r w:rsidRPr="00347420">
        <w:t>OCT2</w:t>
      </w:r>
      <w:r w:rsidR="0079705A">
        <w:t xml:space="preserve">) </w:t>
      </w:r>
      <w:r w:rsidRPr="00347420">
        <w:t>mediated transport was reported. No transporter interactions were noted with MRP2, MRP4, OAT1 or OCT4.</w:t>
      </w:r>
    </w:p>
    <w:p w14:paraId="32603476" w14:textId="77777777" w:rsidR="00347420" w:rsidRDefault="00347420" w:rsidP="000B38AD">
      <w:pPr>
        <w:pStyle w:val="Heading3"/>
      </w:pPr>
      <w:bookmarkStart w:id="43" w:name="_Toc519257431"/>
      <w:r>
        <w:lastRenderedPageBreak/>
        <w:t xml:space="preserve">Nonclinical </w:t>
      </w:r>
      <w:r w:rsidRPr="000B38AD">
        <w:t>summary</w:t>
      </w:r>
      <w:r>
        <w:t xml:space="preserve"> and conclusions</w:t>
      </w:r>
      <w:bookmarkEnd w:id="43"/>
    </w:p>
    <w:p w14:paraId="2FC96344" w14:textId="58422EDF" w:rsidR="00347420" w:rsidRDefault="009755CB" w:rsidP="00347420">
      <w:pPr>
        <w:pStyle w:val="ListBullet"/>
      </w:pPr>
      <w:r>
        <w:t>The nonclinical submission</w:t>
      </w:r>
      <w:r w:rsidR="00347420">
        <w:t xml:space="preserve"> comprised of pharmacokinetic studies related to permeability and absorption, and metabolism and transporter interaction. No nonclinical data related directly to the extension of indication were submitted.</w:t>
      </w:r>
    </w:p>
    <w:p w14:paraId="5BF1FDB8" w14:textId="77777777" w:rsidR="00347420" w:rsidRDefault="00347420" w:rsidP="00347420">
      <w:pPr>
        <w:pStyle w:val="ListBullet"/>
      </w:pPr>
      <w:r>
        <w:t>Two in vitro studies demonstrated uptake of cladribine into human hepatocytes and lymphocytes. Hepatocyte uptake was passive and independent of known transport processes. Lymphocyte uptake was time</w:t>
      </w:r>
      <w:r w:rsidR="0079705A">
        <w:t xml:space="preserve"> </w:t>
      </w:r>
      <w:r>
        <w:t>dependent and related to concentration of cladribine in culture.</w:t>
      </w:r>
    </w:p>
    <w:p w14:paraId="6D9F69C3" w14:textId="53A147A0" w:rsidR="00347420" w:rsidRDefault="00347420" w:rsidP="00347420">
      <w:pPr>
        <w:pStyle w:val="ListBullet"/>
      </w:pPr>
      <w:r>
        <w:t>Metabolite profiling in mouse, monkey and human whole blood reported 13</w:t>
      </w:r>
      <w:r w:rsidR="00E843C5">
        <w:t> </w:t>
      </w:r>
      <w:r>
        <w:t>metabolites of which 8 were unidentified and 2 were reported in previously evaluate</w:t>
      </w:r>
      <w:r w:rsidR="0079705A">
        <w:t>d</w:t>
      </w:r>
      <w:r>
        <w:t xml:space="preserve"> studies. Overall, levels of metabolites were comparable between monkey and human whol</w:t>
      </w:r>
      <w:r w:rsidR="0079705A">
        <w:t xml:space="preserve">e blood </w:t>
      </w:r>
      <w:r w:rsidR="00E843C5">
        <w:t>compared with</w:t>
      </w:r>
      <w:r w:rsidR="0079705A">
        <w:t xml:space="preserve"> mouse. No new human </w:t>
      </w:r>
      <w:r>
        <w:t>specific metabolites were identified.</w:t>
      </w:r>
    </w:p>
    <w:p w14:paraId="17A94997" w14:textId="6D459DEA" w:rsidR="00347420" w:rsidRDefault="00347420" w:rsidP="00347420">
      <w:pPr>
        <w:pStyle w:val="ListBullet"/>
      </w:pPr>
      <w:r>
        <w:t>No significant induction or inhibition of human CYP450 isozymes was observed. However, cladribine was however found be a substrate for the BCRP in Caco-2 and CPT-B1 cells lines, and a weak inhibitor of BCRP. Inhibition of the renal transporters MRP5 and OAT3, as well as a slight stimulation of OCT2</w:t>
      </w:r>
      <w:r w:rsidR="0079705A">
        <w:t xml:space="preserve"> </w:t>
      </w:r>
      <w:r>
        <w:t>mediated transport was also noted. The concentrations at which all of the interactions were observed were of limited clinical significance.</w:t>
      </w:r>
    </w:p>
    <w:p w14:paraId="5478E11F" w14:textId="22C7FD37" w:rsidR="00347420" w:rsidRDefault="00347420" w:rsidP="00347420">
      <w:pPr>
        <w:pStyle w:val="ListBullet"/>
      </w:pPr>
      <w:r>
        <w:t>As no nonclinical data directly related to the extension of indication was submitted, the decision to approve such a request will rely on the clinical data.</w:t>
      </w:r>
    </w:p>
    <w:p w14:paraId="3C61561A" w14:textId="6D49ED56" w:rsidR="00347420" w:rsidRPr="00347420" w:rsidRDefault="00DC07C5" w:rsidP="00347420">
      <w:pPr>
        <w:pStyle w:val="ListBullet"/>
      </w:pPr>
      <w:r>
        <w:t>Amendments to th</w:t>
      </w:r>
      <w:r w:rsidR="00347420">
        <w:t xml:space="preserve">e draft </w:t>
      </w:r>
      <w:r w:rsidR="00CE7B5B">
        <w:t>PI</w:t>
      </w:r>
      <w:r w:rsidR="00347420">
        <w:t xml:space="preserve"> </w:t>
      </w:r>
      <w:r>
        <w:t>were also recommended</w:t>
      </w:r>
      <w:r w:rsidR="00347420">
        <w:t>.</w:t>
      </w:r>
    </w:p>
    <w:p w14:paraId="7D30F63D" w14:textId="77777777" w:rsidR="008E7846" w:rsidRPr="00254787" w:rsidRDefault="008E7846" w:rsidP="000B38AD">
      <w:pPr>
        <w:pStyle w:val="Heading2"/>
      </w:pPr>
      <w:bookmarkStart w:id="44" w:name="_Toc519257432"/>
      <w:r>
        <w:t xml:space="preserve">V. </w:t>
      </w:r>
      <w:r w:rsidRPr="00254787">
        <w:t>Clinical</w:t>
      </w:r>
      <w:bookmarkEnd w:id="37"/>
      <w:r>
        <w:t xml:space="preserve"> </w:t>
      </w:r>
      <w:r w:rsidR="003A7F6C">
        <w:t>f</w:t>
      </w:r>
      <w:r>
        <w:t>indings</w:t>
      </w:r>
      <w:bookmarkEnd w:id="38"/>
      <w:bookmarkEnd w:id="39"/>
      <w:bookmarkEnd w:id="44"/>
    </w:p>
    <w:p w14:paraId="5A637759" w14:textId="77777777" w:rsidR="00C80137" w:rsidRDefault="00C80137" w:rsidP="00D425BB">
      <w:bookmarkStart w:id="45"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14:paraId="34E66E78" w14:textId="77777777" w:rsidR="008E7846" w:rsidRDefault="008E7846" w:rsidP="000B38AD">
      <w:pPr>
        <w:pStyle w:val="Heading3"/>
      </w:pPr>
      <w:bookmarkStart w:id="46" w:name="_Toc247691517"/>
      <w:bookmarkStart w:id="47" w:name="_Toc314842501"/>
      <w:bookmarkStart w:id="48" w:name="_Toc519257433"/>
      <w:r w:rsidRPr="000B38AD">
        <w:t>Introduction</w:t>
      </w:r>
      <w:bookmarkEnd w:id="45"/>
      <w:bookmarkEnd w:id="46"/>
      <w:bookmarkEnd w:id="47"/>
      <w:bookmarkEnd w:id="48"/>
    </w:p>
    <w:p w14:paraId="0728C2F8" w14:textId="77777777" w:rsidR="00605AD4" w:rsidRDefault="00605AD4" w:rsidP="000B38AD">
      <w:pPr>
        <w:pStyle w:val="Heading4"/>
      </w:pPr>
      <w:bookmarkStart w:id="49" w:name="_Toc196046464"/>
      <w:bookmarkStart w:id="50" w:name="_Toc247691518"/>
      <w:bookmarkStart w:id="51" w:name="_Toc314842502"/>
      <w:r w:rsidRPr="00605AD4">
        <w:t xml:space="preserve">Clinical </w:t>
      </w:r>
      <w:r w:rsidR="00EF59DC">
        <w:t>r</w:t>
      </w:r>
      <w:r w:rsidRPr="00605AD4">
        <w:t>ationale</w:t>
      </w:r>
    </w:p>
    <w:p w14:paraId="344AD85C" w14:textId="77777777" w:rsidR="00CE7B5B" w:rsidRDefault="00042509" w:rsidP="00FA103D">
      <w:r>
        <w:t xml:space="preserve">The </w:t>
      </w:r>
      <w:r w:rsidR="00B6471F">
        <w:t xml:space="preserve">sponsor </w:t>
      </w:r>
      <w:r>
        <w:t xml:space="preserve">stated </w:t>
      </w:r>
      <w:r w:rsidR="00B6471F">
        <w:t xml:space="preserve">the following </w:t>
      </w:r>
      <w:r>
        <w:t>clinical rationale for developing cladribine for the treatment of MS:</w:t>
      </w:r>
    </w:p>
    <w:p w14:paraId="41CC619C" w14:textId="4822EB96" w:rsidR="00042509" w:rsidRDefault="00D31B59" w:rsidP="00A17D08">
      <w:pPr>
        <w:ind w:left="720"/>
      </w:pPr>
      <w:r>
        <w:t>‘</w:t>
      </w:r>
      <w:r w:rsidR="00042509" w:rsidRPr="00B6471F">
        <w:rPr>
          <w:i/>
        </w:rPr>
        <w:t>Because of cladribine’s actions on the immune system, a potential clinical utility in the treatment of multiple sclerosis (MS) was postulated.</w:t>
      </w:r>
      <w:r w:rsidR="0057702F" w:rsidRPr="00B6471F">
        <w:rPr>
          <w:i/>
        </w:rPr>
        <w:t xml:space="preserve"> </w:t>
      </w:r>
      <w:r w:rsidR="00042509" w:rsidRPr="00B6471F">
        <w:rPr>
          <w:i/>
        </w:rPr>
        <w:t>Initial clinical studies on MS were performed by the Scripps Research Institute, using a parenteral formulation and, based on observations from these, Merck developed an oral cladribine formulation for the treatment of MS</w:t>
      </w:r>
      <w:r w:rsidR="00042509">
        <w:t>.</w:t>
      </w:r>
      <w:r>
        <w:t>’</w:t>
      </w:r>
    </w:p>
    <w:p w14:paraId="58C97C61" w14:textId="77777777" w:rsidR="00C40306" w:rsidRPr="00C40306" w:rsidRDefault="00042509" w:rsidP="00FA103D">
      <w:r>
        <w:t xml:space="preserve">The rationale for the present application is that additional data are now available that </w:t>
      </w:r>
      <w:r w:rsidR="00FA103D">
        <w:t>the sponsor</w:t>
      </w:r>
      <w:r>
        <w:t xml:space="preserve"> considers support the longer term efficacy and safety of cladribine.</w:t>
      </w:r>
    </w:p>
    <w:p w14:paraId="44B585DB" w14:textId="77777777" w:rsidR="00605AD4" w:rsidRDefault="00605AD4" w:rsidP="000B38AD">
      <w:pPr>
        <w:pStyle w:val="Heading4"/>
      </w:pPr>
      <w:r w:rsidRPr="000B38AD">
        <w:t>Guidance</w:t>
      </w:r>
    </w:p>
    <w:p w14:paraId="02DCFCA0" w14:textId="77777777" w:rsidR="00042509" w:rsidRPr="00621B0F" w:rsidRDefault="00042509" w:rsidP="00042509">
      <w:r w:rsidRPr="00621B0F">
        <w:t>The following regulatory guidance applies to the present application:</w:t>
      </w:r>
    </w:p>
    <w:p w14:paraId="72D44656" w14:textId="3CC17477" w:rsidR="00042509" w:rsidRDefault="00042509" w:rsidP="00E164C2">
      <w:pPr>
        <w:pStyle w:val="ListBullet"/>
      </w:pPr>
      <w:r w:rsidRPr="00621B0F">
        <w:t xml:space="preserve">Guideline on clinical investigation of medicinal products for the treatment of </w:t>
      </w:r>
      <w:r w:rsidR="000E4BFF">
        <w:t>m</w:t>
      </w:r>
      <w:r w:rsidR="000E4BFF" w:rsidRPr="00621B0F">
        <w:t xml:space="preserve">ultiple </w:t>
      </w:r>
      <w:r w:rsidR="000E4BFF">
        <w:t>s</w:t>
      </w:r>
      <w:r w:rsidR="000E4BFF" w:rsidRPr="00621B0F">
        <w:t>clerosis</w:t>
      </w:r>
      <w:r w:rsidRPr="00621B0F">
        <w:t>.</w:t>
      </w:r>
      <w:r w:rsidR="0057702F">
        <w:t xml:space="preserve"> </w:t>
      </w:r>
      <w:r w:rsidRPr="00621B0F">
        <w:t>Committee for Medicinal Products for Human Use (CHMP).</w:t>
      </w:r>
      <w:r w:rsidR="0057702F">
        <w:t xml:space="preserve"> </w:t>
      </w:r>
      <w:r w:rsidRPr="00621B0F">
        <w:t>EMA/CHMP/771815/2011, Rev 2</w:t>
      </w:r>
      <w:r w:rsidR="000E4BFF">
        <w:t>;</w:t>
      </w:r>
      <w:r w:rsidR="0057702F">
        <w:t xml:space="preserve"> </w:t>
      </w:r>
      <w:r w:rsidRPr="00621B0F">
        <w:t>26 March 2015</w:t>
      </w:r>
      <w:r w:rsidR="000E4BFF">
        <w:t>.</w:t>
      </w:r>
    </w:p>
    <w:p w14:paraId="549B44A2" w14:textId="77777777" w:rsidR="00042509" w:rsidRPr="00621B0F" w:rsidRDefault="00042509" w:rsidP="00E164C2">
      <w:pPr>
        <w:pStyle w:val="ListBullet"/>
      </w:pPr>
      <w:r>
        <w:lastRenderedPageBreak/>
        <w:t>Guideline on Reporting the Results of Population Pharmacokinetic Analyses.</w:t>
      </w:r>
      <w:r w:rsidR="0057702F">
        <w:t xml:space="preserve"> </w:t>
      </w:r>
      <w:r>
        <w:t>CHMP/EWP/185990/06</w:t>
      </w:r>
    </w:p>
    <w:p w14:paraId="63A4E147" w14:textId="77777777" w:rsidR="00605AD4" w:rsidRDefault="00605AD4" w:rsidP="000B38AD">
      <w:pPr>
        <w:pStyle w:val="Heading4"/>
      </w:pPr>
      <w:r w:rsidRPr="00605AD4">
        <w:t xml:space="preserve">Contents of the </w:t>
      </w:r>
      <w:r w:rsidRPr="000B38AD">
        <w:t>clinical</w:t>
      </w:r>
      <w:r w:rsidRPr="00605AD4">
        <w:t xml:space="preserve"> dossier</w:t>
      </w:r>
    </w:p>
    <w:p w14:paraId="4763463F" w14:textId="77777777" w:rsidR="00042509" w:rsidRDefault="00042509" w:rsidP="000B38AD">
      <w:pPr>
        <w:pStyle w:val="Heading5"/>
      </w:pPr>
      <w:r>
        <w:t xml:space="preserve">Scope of the clinical </w:t>
      </w:r>
      <w:r w:rsidRPr="000B38AD">
        <w:t>dossier</w:t>
      </w:r>
    </w:p>
    <w:p w14:paraId="468AB67A" w14:textId="7104AF83" w:rsidR="00042509" w:rsidRDefault="000B38AD" w:rsidP="00042509">
      <w:r>
        <w:t>The new clinical data are:</w:t>
      </w:r>
    </w:p>
    <w:p w14:paraId="52874D1F" w14:textId="649DD684" w:rsidR="00042509" w:rsidRPr="00E164C2" w:rsidRDefault="00042509" w:rsidP="000B38AD">
      <w:pPr>
        <w:pStyle w:val="ListBullet"/>
      </w:pPr>
      <w:r w:rsidRPr="00E164C2">
        <w:t>CLARITY EXT, ORACLE MS and ONWARD</w:t>
      </w:r>
    </w:p>
    <w:p w14:paraId="2BA68032" w14:textId="163B6544" w:rsidR="00042509" w:rsidRPr="00E164C2" w:rsidRDefault="00042509" w:rsidP="00E164C2">
      <w:pPr>
        <w:pStyle w:val="ListBullet"/>
      </w:pPr>
      <w:r w:rsidRPr="00E164C2">
        <w:t>The final report of RECORD MS registry</w:t>
      </w:r>
    </w:p>
    <w:p w14:paraId="2D90C127" w14:textId="77777777" w:rsidR="00042509" w:rsidRPr="00E164C2" w:rsidRDefault="00042509" w:rsidP="00E164C2">
      <w:pPr>
        <w:pStyle w:val="ListBullet"/>
      </w:pPr>
      <w:r w:rsidRPr="00E164C2">
        <w:t xml:space="preserve">Interim data from a prospective long-term follow-up registry set up by </w:t>
      </w:r>
      <w:r w:rsidR="00FA103D">
        <w:t>the sponsor</w:t>
      </w:r>
      <w:r w:rsidRPr="00E164C2">
        <w:t xml:space="preserve"> (PREMIERE)</w:t>
      </w:r>
    </w:p>
    <w:p w14:paraId="254EB77B" w14:textId="77777777" w:rsidR="00042509" w:rsidRDefault="00042509" w:rsidP="00042509">
      <w:r>
        <w:t>Previously submitted data included:</w:t>
      </w:r>
    </w:p>
    <w:p w14:paraId="57E1BA01" w14:textId="77777777" w:rsidR="00042509" w:rsidRDefault="00042509" w:rsidP="00E164C2">
      <w:pPr>
        <w:pStyle w:val="ListBullet"/>
      </w:pPr>
      <w:r>
        <w:t>Nine clinical pharmacology studies: Study IXR-102-09-186, Study 25803, Study 26127, Study IXR-101-09-186, Study 6226/6414, Study 93-220, Study JK-6251-1, Study 26486 and Study 27967.</w:t>
      </w:r>
    </w:p>
    <w:p w14:paraId="09A9ADC8" w14:textId="50E2B2CF" w:rsidR="00042509" w:rsidRDefault="00042509" w:rsidP="00E164C2">
      <w:pPr>
        <w:pStyle w:val="ListBullet"/>
      </w:pPr>
      <w:r>
        <w:t>One population pharmacokinetic study (dated May 2009 and assumed to have been included in the original dossier): Study 700568-013</w:t>
      </w:r>
      <w:r w:rsidR="000E4BFF">
        <w:t>.</w:t>
      </w:r>
    </w:p>
    <w:p w14:paraId="4D7C76F8" w14:textId="768BDBE8" w:rsidR="00042509" w:rsidRDefault="00042509" w:rsidP="00E164C2">
      <w:pPr>
        <w:pStyle w:val="ListBullet"/>
      </w:pPr>
      <w:r>
        <w:t xml:space="preserve">Three </w:t>
      </w:r>
      <w:r w:rsidR="00B6471F">
        <w:t>P</w:t>
      </w:r>
      <w:r>
        <w:t>hase II efficacy studies: Study 2-CdA-MS-SCRIPC, Study 2-CdA-MS-001, and Study 2-CdA-MS-SCRIPP</w:t>
      </w:r>
      <w:r w:rsidR="000E4BFF">
        <w:t>.</w:t>
      </w:r>
    </w:p>
    <w:p w14:paraId="3AECF377" w14:textId="4DC60E6C" w:rsidR="00042509" w:rsidRDefault="00042509" w:rsidP="00E164C2">
      <w:pPr>
        <w:pStyle w:val="ListBullet"/>
      </w:pPr>
      <w:r>
        <w:t>One pivotal efficacy study: Study 25643 CLARITY</w:t>
      </w:r>
      <w:r w:rsidR="000E4BFF">
        <w:t>.</w:t>
      </w:r>
    </w:p>
    <w:p w14:paraId="2F45013C" w14:textId="3862C77A" w:rsidR="00042509" w:rsidRDefault="00042509" w:rsidP="00E164C2">
      <w:pPr>
        <w:pStyle w:val="ListBullet"/>
      </w:pPr>
      <w:r>
        <w:t>Two studies evaluable for safety only: Study 2-CdA-MS-SCRIPB and Study 2-CdA-MS-SCRIPA</w:t>
      </w:r>
      <w:r w:rsidR="000E4BFF">
        <w:t>.</w:t>
      </w:r>
    </w:p>
    <w:p w14:paraId="054D2EF2" w14:textId="7FA896F9" w:rsidR="00042509" w:rsidRDefault="00605AD4" w:rsidP="000B38AD">
      <w:pPr>
        <w:pStyle w:val="Heading4"/>
      </w:pPr>
      <w:r w:rsidRPr="000B38AD">
        <w:t>Paediatric</w:t>
      </w:r>
      <w:r w:rsidRPr="00605AD4">
        <w:t xml:space="preserve"> data</w:t>
      </w:r>
    </w:p>
    <w:p w14:paraId="7D0EACB6" w14:textId="77777777" w:rsidR="00042509" w:rsidRDefault="00042509" w:rsidP="00042509">
      <w:r>
        <w:t>There are no paediatric data in the submission.</w:t>
      </w:r>
      <w:r w:rsidR="0057702F">
        <w:t xml:space="preserve"> </w:t>
      </w:r>
      <w:r w:rsidR="00FA103D">
        <w:t>The sponsor</w:t>
      </w:r>
      <w:r>
        <w:t xml:space="preserve"> has a waiver for a Paediatric Investigation Plan from the </w:t>
      </w:r>
      <w:r w:rsidR="00B6471F">
        <w:t>EMA</w:t>
      </w:r>
      <w:r>
        <w:t>.</w:t>
      </w:r>
      <w:r w:rsidR="0057702F">
        <w:t xml:space="preserve"> </w:t>
      </w:r>
      <w:r w:rsidR="00FA103D">
        <w:t>The sponsor</w:t>
      </w:r>
      <w:r>
        <w:t xml:space="preserve"> provides the following statements:</w:t>
      </w:r>
    </w:p>
    <w:p w14:paraId="3704C82A" w14:textId="6D05C951" w:rsidR="00042509" w:rsidRPr="00B6471F" w:rsidRDefault="000E4BFF" w:rsidP="00B6471F">
      <w:pPr>
        <w:ind w:left="720"/>
        <w:rPr>
          <w:i/>
        </w:rPr>
      </w:pPr>
      <w:r>
        <w:rPr>
          <w:i/>
        </w:rPr>
        <w:t>‘</w:t>
      </w:r>
      <w:r w:rsidR="00042509" w:rsidRPr="00B6471F">
        <w:rPr>
          <w:i/>
        </w:rPr>
        <w:t>In 2009, a waiver for the condition multiple sclerosis was granted for cladribine (EMEA-000383-PIP01-08, A). The waiver applies to all subsets of the paediatric population from birth to less than 18 years of age for tablet, oral use, on the grounds that the specific medicinal product is likely to be unsafe in the paediatric population.</w:t>
      </w:r>
    </w:p>
    <w:p w14:paraId="4D7FCB73" w14:textId="511E18A0" w:rsidR="00042509" w:rsidRDefault="00042509" w:rsidP="00B6471F">
      <w:pPr>
        <w:ind w:left="720"/>
      </w:pPr>
      <w:r w:rsidRPr="00B6471F">
        <w:rPr>
          <w:i/>
        </w:rPr>
        <w:t>In an E-mail on 15April 2015, the EMA has confirmed that the Decision P/101/2009 of 19 May 2009 is still valid, and, as the Opinion granted for PIP EMEA-000383- PIP01-08 is a full waiver, no PIP compliance check would be required prior to the Marketing Authorisation Application</w:t>
      </w:r>
      <w:r w:rsidR="000E4BFF">
        <w:rPr>
          <w:i/>
        </w:rPr>
        <w:t>’</w:t>
      </w:r>
      <w:r>
        <w:t>.</w:t>
      </w:r>
    </w:p>
    <w:p w14:paraId="3AACCC9A" w14:textId="77777777" w:rsidR="00605AD4" w:rsidRDefault="00605AD4" w:rsidP="000B38AD">
      <w:pPr>
        <w:pStyle w:val="Heading4"/>
      </w:pPr>
      <w:r w:rsidRPr="00605AD4">
        <w:t xml:space="preserve">Good </w:t>
      </w:r>
      <w:r w:rsidRPr="000B38AD">
        <w:t>clinical</w:t>
      </w:r>
      <w:r w:rsidRPr="00605AD4">
        <w:t xml:space="preserve"> practice</w:t>
      </w:r>
    </w:p>
    <w:p w14:paraId="1231F0E9" w14:textId="77777777" w:rsidR="00042509" w:rsidRPr="00042509" w:rsidRDefault="00042509" w:rsidP="00042509">
      <w:r>
        <w:t>The studies submitted in the clinical dossier are stated to have conformed to Good Clinical Practice</w:t>
      </w:r>
      <w:r w:rsidR="00B6471F">
        <w:t xml:space="preserve"> (GCP)</w:t>
      </w:r>
      <w:r>
        <w:t xml:space="preserve"> and appear to have conformed to </w:t>
      </w:r>
      <w:r w:rsidR="00B6471F">
        <w:t>GCP</w:t>
      </w:r>
      <w:r>
        <w:t>.</w:t>
      </w:r>
    </w:p>
    <w:p w14:paraId="20F3E0A1" w14:textId="77777777" w:rsidR="008E7846" w:rsidRDefault="008E7846" w:rsidP="000B38AD">
      <w:pPr>
        <w:pStyle w:val="Heading3"/>
      </w:pPr>
      <w:bookmarkStart w:id="52" w:name="_Toc519257434"/>
      <w:r w:rsidRPr="000B38AD">
        <w:t>Pharmacokinetics</w:t>
      </w:r>
      <w:bookmarkEnd w:id="40"/>
      <w:bookmarkEnd w:id="49"/>
      <w:bookmarkEnd w:id="50"/>
      <w:bookmarkEnd w:id="51"/>
      <w:bookmarkEnd w:id="52"/>
    </w:p>
    <w:p w14:paraId="46FD4CFD" w14:textId="075CF733" w:rsidR="00605AD4" w:rsidRDefault="00605AD4" w:rsidP="000B38AD">
      <w:pPr>
        <w:pStyle w:val="Heading4"/>
      </w:pPr>
      <w:r>
        <w:t xml:space="preserve">Studies providing </w:t>
      </w:r>
      <w:r w:rsidRPr="000B38AD">
        <w:t>pharmacokinetic</w:t>
      </w:r>
      <w:r>
        <w:t xml:space="preserve"> data</w:t>
      </w:r>
    </w:p>
    <w:p w14:paraId="7E7F7134" w14:textId="14840871" w:rsidR="00042509" w:rsidRDefault="00E164C2" w:rsidP="00042509">
      <w:r>
        <w:t>S</w:t>
      </w:r>
      <w:r w:rsidR="00042509">
        <w:t xml:space="preserve">tudies providing pharmacokinetic </w:t>
      </w:r>
      <w:r w:rsidR="00B6471F">
        <w:t xml:space="preserve">(PK) </w:t>
      </w:r>
      <w:r w:rsidR="00042509">
        <w:t>information</w:t>
      </w:r>
      <w:r w:rsidR="00B6471F">
        <w:t xml:space="preserve"> are outlined in the </w:t>
      </w:r>
      <w:r w:rsidR="000E4BFF">
        <w:t xml:space="preserve">Table 4, </w:t>
      </w:r>
      <w:r w:rsidR="00B6471F">
        <w:t>below.</w:t>
      </w:r>
    </w:p>
    <w:p w14:paraId="7A26DC49" w14:textId="77777777" w:rsidR="00042509" w:rsidRDefault="00042509" w:rsidP="000B38AD">
      <w:pPr>
        <w:pStyle w:val="Tabletitle0"/>
      </w:pPr>
      <w:r>
        <w:lastRenderedPageBreak/>
        <w:t xml:space="preserve">Table </w:t>
      </w:r>
      <w:r w:rsidR="00B6471F">
        <w:t>4</w:t>
      </w:r>
      <w:r w:rsidR="009755CB">
        <w:t>:</w:t>
      </w:r>
      <w:r>
        <w:t xml:space="preserve"> Su</w:t>
      </w:r>
      <w:r w:rsidR="009755CB">
        <w:t xml:space="preserve">bmitted </w:t>
      </w:r>
      <w:r w:rsidR="009755CB" w:rsidRPr="000B38AD">
        <w:t>pharmacokinetic</w:t>
      </w:r>
      <w:r w:rsidR="009755CB">
        <w:t xml:space="preserve"> studies</w:t>
      </w:r>
    </w:p>
    <w:tbl>
      <w:tblPr>
        <w:tblStyle w:val="TableTGAblue"/>
        <w:tblW w:w="8613" w:type="dxa"/>
        <w:tblLayout w:type="fixed"/>
        <w:tblLook w:val="04A0" w:firstRow="1" w:lastRow="0" w:firstColumn="1" w:lastColumn="0" w:noHBand="0" w:noVBand="1"/>
      </w:tblPr>
      <w:tblGrid>
        <w:gridCol w:w="2093"/>
        <w:gridCol w:w="3260"/>
        <w:gridCol w:w="2693"/>
        <w:gridCol w:w="567"/>
      </w:tblGrid>
      <w:tr w:rsidR="00042509" w:rsidRPr="00C37A1D" w14:paraId="529F6DA1" w14:textId="77777777" w:rsidTr="00B6471F">
        <w:trPr>
          <w:cnfStyle w:val="100000000000" w:firstRow="1" w:lastRow="0" w:firstColumn="0" w:lastColumn="0" w:oddVBand="0" w:evenVBand="0" w:oddHBand="0" w:evenHBand="0" w:firstRowFirstColumn="0" w:firstRowLastColumn="0" w:lastRowFirstColumn="0" w:lastRowLastColumn="0"/>
        </w:trPr>
        <w:tc>
          <w:tcPr>
            <w:tcW w:w="2093" w:type="dxa"/>
          </w:tcPr>
          <w:p w14:paraId="3FDDDB39" w14:textId="77777777" w:rsidR="00042509" w:rsidRPr="00C37A1D" w:rsidRDefault="00042509" w:rsidP="00DE31FA">
            <w:pPr>
              <w:pStyle w:val="Tabletext"/>
              <w:rPr>
                <w:b w:val="0"/>
              </w:rPr>
            </w:pPr>
            <w:r w:rsidRPr="00C37A1D">
              <w:t>PK topic</w:t>
            </w:r>
          </w:p>
        </w:tc>
        <w:tc>
          <w:tcPr>
            <w:tcW w:w="3260" w:type="dxa"/>
          </w:tcPr>
          <w:p w14:paraId="3D2FF98A" w14:textId="77777777" w:rsidR="00042509" w:rsidRPr="00C37A1D" w:rsidRDefault="00042509" w:rsidP="00DE31FA">
            <w:pPr>
              <w:pStyle w:val="Tabletext"/>
              <w:rPr>
                <w:b w:val="0"/>
              </w:rPr>
            </w:pPr>
            <w:r w:rsidRPr="00C37A1D">
              <w:t>Subtopic</w:t>
            </w:r>
          </w:p>
        </w:tc>
        <w:tc>
          <w:tcPr>
            <w:tcW w:w="2693" w:type="dxa"/>
          </w:tcPr>
          <w:p w14:paraId="7485092F" w14:textId="77777777" w:rsidR="00042509" w:rsidRPr="00C37A1D" w:rsidRDefault="00042509" w:rsidP="00DE31FA">
            <w:pPr>
              <w:pStyle w:val="Tabletext"/>
              <w:rPr>
                <w:b w:val="0"/>
              </w:rPr>
            </w:pPr>
            <w:r w:rsidRPr="00C37A1D">
              <w:t>Study ID</w:t>
            </w:r>
          </w:p>
        </w:tc>
        <w:tc>
          <w:tcPr>
            <w:tcW w:w="567" w:type="dxa"/>
          </w:tcPr>
          <w:p w14:paraId="2EBE390D" w14:textId="77777777" w:rsidR="00042509" w:rsidRPr="00C37A1D" w:rsidRDefault="00042509" w:rsidP="00DE31FA">
            <w:pPr>
              <w:pStyle w:val="Tabletext"/>
              <w:jc w:val="center"/>
              <w:rPr>
                <w:b w:val="0"/>
              </w:rPr>
            </w:pPr>
            <w:r w:rsidRPr="00C37A1D">
              <w:t>*</w:t>
            </w:r>
          </w:p>
        </w:tc>
      </w:tr>
      <w:tr w:rsidR="00042509" w:rsidRPr="00C37A1D" w14:paraId="63CB2234" w14:textId="77777777" w:rsidTr="00B6471F">
        <w:tc>
          <w:tcPr>
            <w:tcW w:w="2093" w:type="dxa"/>
            <w:vMerge w:val="restart"/>
          </w:tcPr>
          <w:p w14:paraId="493DA563" w14:textId="77777777" w:rsidR="00042509" w:rsidRPr="00C37A1D" w:rsidRDefault="00042509" w:rsidP="00DE31FA">
            <w:pPr>
              <w:pStyle w:val="Tabletext"/>
              <w:keepNext/>
              <w:rPr>
                <w:b/>
              </w:rPr>
            </w:pPr>
            <w:r>
              <w:rPr>
                <w:b/>
              </w:rPr>
              <w:t>PK in healthy adults</w:t>
            </w:r>
          </w:p>
        </w:tc>
        <w:tc>
          <w:tcPr>
            <w:tcW w:w="3260" w:type="dxa"/>
          </w:tcPr>
          <w:p w14:paraId="5CFE9005" w14:textId="77777777" w:rsidR="00042509" w:rsidRPr="00C37A1D" w:rsidRDefault="00042509" w:rsidP="00B6471F">
            <w:pPr>
              <w:pStyle w:val="Tabletext"/>
              <w:keepNext/>
            </w:pPr>
            <w:r w:rsidRPr="00C37A1D">
              <w:t>General PK- Single dose</w:t>
            </w:r>
          </w:p>
        </w:tc>
        <w:tc>
          <w:tcPr>
            <w:tcW w:w="2693" w:type="dxa"/>
          </w:tcPr>
          <w:p w14:paraId="2CE7ED7A" w14:textId="77777777" w:rsidR="00042509" w:rsidRPr="00C37A1D" w:rsidRDefault="00042509" w:rsidP="00DE31FA">
            <w:pPr>
              <w:pStyle w:val="Tabletext"/>
              <w:keepNext/>
            </w:pPr>
            <w:r>
              <w:rPr>
                <w:lang w:eastAsia="ja-JP"/>
              </w:rPr>
              <w:t>Study 6226 / Study 6414</w:t>
            </w:r>
          </w:p>
        </w:tc>
        <w:tc>
          <w:tcPr>
            <w:tcW w:w="567" w:type="dxa"/>
          </w:tcPr>
          <w:p w14:paraId="588E3D1B" w14:textId="77777777" w:rsidR="00042509" w:rsidRPr="00C37A1D" w:rsidRDefault="00042509" w:rsidP="00DE31FA">
            <w:pPr>
              <w:pStyle w:val="Tabletext"/>
              <w:keepNext/>
              <w:jc w:val="center"/>
            </w:pPr>
          </w:p>
        </w:tc>
      </w:tr>
      <w:tr w:rsidR="00B6471F" w:rsidRPr="00C37A1D" w14:paraId="4DA31B90" w14:textId="77777777" w:rsidTr="00B6471F">
        <w:tc>
          <w:tcPr>
            <w:tcW w:w="2093" w:type="dxa"/>
            <w:vMerge/>
          </w:tcPr>
          <w:p w14:paraId="02EC063A" w14:textId="77777777" w:rsidR="00B6471F" w:rsidRPr="00C37A1D" w:rsidRDefault="00B6471F" w:rsidP="00DE31FA">
            <w:pPr>
              <w:pStyle w:val="Tabletext"/>
              <w:keepNext/>
            </w:pPr>
          </w:p>
        </w:tc>
        <w:tc>
          <w:tcPr>
            <w:tcW w:w="3260" w:type="dxa"/>
            <w:vMerge w:val="restart"/>
          </w:tcPr>
          <w:p w14:paraId="33B790AD" w14:textId="77777777" w:rsidR="00B6471F" w:rsidRPr="00C37A1D" w:rsidRDefault="00B6471F" w:rsidP="00B6471F">
            <w:pPr>
              <w:pStyle w:val="Tabletext"/>
              <w:keepNext/>
              <w:tabs>
                <w:tab w:val="left" w:pos="1447"/>
              </w:tabs>
            </w:pPr>
            <w:r w:rsidRPr="00C37A1D">
              <w:t>-Multi-dose</w:t>
            </w:r>
          </w:p>
        </w:tc>
        <w:tc>
          <w:tcPr>
            <w:tcW w:w="2693" w:type="dxa"/>
          </w:tcPr>
          <w:p w14:paraId="2435F9C5" w14:textId="77777777" w:rsidR="00B6471F" w:rsidRPr="00C37A1D" w:rsidRDefault="00B6471F" w:rsidP="00DE31FA">
            <w:pPr>
              <w:pStyle w:val="Tabletext"/>
              <w:keepNext/>
            </w:pPr>
            <w:r>
              <w:rPr>
                <w:lang w:eastAsia="ja-JP"/>
              </w:rPr>
              <w:t>Study 93-220</w:t>
            </w:r>
          </w:p>
        </w:tc>
        <w:tc>
          <w:tcPr>
            <w:tcW w:w="567" w:type="dxa"/>
          </w:tcPr>
          <w:p w14:paraId="45BBB888" w14:textId="77777777" w:rsidR="00B6471F" w:rsidRPr="00C37A1D" w:rsidRDefault="00B6471F" w:rsidP="00DE31FA">
            <w:pPr>
              <w:pStyle w:val="Tabletext"/>
              <w:keepNext/>
              <w:jc w:val="center"/>
            </w:pPr>
          </w:p>
        </w:tc>
      </w:tr>
      <w:tr w:rsidR="00B6471F" w:rsidRPr="00C37A1D" w14:paraId="77A00CF1" w14:textId="77777777" w:rsidTr="00B6471F">
        <w:tc>
          <w:tcPr>
            <w:tcW w:w="2093" w:type="dxa"/>
            <w:vMerge/>
          </w:tcPr>
          <w:p w14:paraId="05653B35" w14:textId="77777777" w:rsidR="00B6471F" w:rsidRPr="00C37A1D" w:rsidRDefault="00B6471F" w:rsidP="00DE31FA">
            <w:pPr>
              <w:pStyle w:val="Tabletext"/>
              <w:keepNext/>
            </w:pPr>
          </w:p>
        </w:tc>
        <w:tc>
          <w:tcPr>
            <w:tcW w:w="3260" w:type="dxa"/>
            <w:vMerge/>
          </w:tcPr>
          <w:p w14:paraId="179D1634" w14:textId="77777777" w:rsidR="00B6471F" w:rsidRDefault="00B6471F" w:rsidP="00DE31FA">
            <w:pPr>
              <w:pStyle w:val="Tabletext"/>
              <w:keepNext/>
              <w:tabs>
                <w:tab w:val="left" w:pos="1447"/>
              </w:tabs>
            </w:pPr>
          </w:p>
        </w:tc>
        <w:tc>
          <w:tcPr>
            <w:tcW w:w="2693" w:type="dxa"/>
          </w:tcPr>
          <w:p w14:paraId="00699A58" w14:textId="77777777" w:rsidR="00B6471F" w:rsidRDefault="00B6471F" w:rsidP="00DE31FA">
            <w:pPr>
              <w:pStyle w:val="Tabletext"/>
              <w:keepNext/>
              <w:rPr>
                <w:lang w:eastAsia="ja-JP"/>
              </w:rPr>
            </w:pPr>
            <w:r>
              <w:rPr>
                <w:lang w:eastAsia="ja-JP"/>
              </w:rPr>
              <w:t>Study JK-6251-1</w:t>
            </w:r>
          </w:p>
        </w:tc>
        <w:tc>
          <w:tcPr>
            <w:tcW w:w="567" w:type="dxa"/>
          </w:tcPr>
          <w:p w14:paraId="6E52C016" w14:textId="77777777" w:rsidR="00B6471F" w:rsidRPr="00C37A1D" w:rsidRDefault="00B6471F" w:rsidP="00DE31FA">
            <w:pPr>
              <w:pStyle w:val="Tabletext"/>
              <w:keepNext/>
              <w:jc w:val="center"/>
            </w:pPr>
          </w:p>
        </w:tc>
      </w:tr>
      <w:tr w:rsidR="00042509" w:rsidRPr="00C37A1D" w14:paraId="780542C6" w14:textId="77777777" w:rsidTr="00B6471F">
        <w:tc>
          <w:tcPr>
            <w:tcW w:w="2093" w:type="dxa"/>
            <w:vMerge/>
          </w:tcPr>
          <w:p w14:paraId="521D7901" w14:textId="77777777" w:rsidR="00042509" w:rsidRPr="00C37A1D" w:rsidRDefault="00042509" w:rsidP="00DE31FA">
            <w:pPr>
              <w:pStyle w:val="Tabletext"/>
              <w:keepNext/>
            </w:pPr>
          </w:p>
        </w:tc>
        <w:tc>
          <w:tcPr>
            <w:tcW w:w="3260" w:type="dxa"/>
          </w:tcPr>
          <w:p w14:paraId="4FB7F427" w14:textId="77777777" w:rsidR="00042509" w:rsidRPr="00C37A1D" w:rsidRDefault="00042509" w:rsidP="00DE31FA">
            <w:pPr>
              <w:pStyle w:val="Tabletext"/>
              <w:keepNext/>
            </w:pPr>
            <w:r w:rsidRPr="00C37A1D">
              <w:t>Food effect</w:t>
            </w:r>
          </w:p>
        </w:tc>
        <w:tc>
          <w:tcPr>
            <w:tcW w:w="2693" w:type="dxa"/>
          </w:tcPr>
          <w:p w14:paraId="5F1E5F5F" w14:textId="77777777" w:rsidR="00042509" w:rsidRPr="00C37A1D" w:rsidRDefault="00042509" w:rsidP="00DE31FA">
            <w:pPr>
              <w:pStyle w:val="Tabletext"/>
              <w:keepNext/>
            </w:pPr>
            <w:r>
              <w:rPr>
                <w:lang w:eastAsia="ja-JP"/>
              </w:rPr>
              <w:t>Study 26127</w:t>
            </w:r>
          </w:p>
        </w:tc>
        <w:tc>
          <w:tcPr>
            <w:tcW w:w="567" w:type="dxa"/>
          </w:tcPr>
          <w:p w14:paraId="2B3DAC3C" w14:textId="77777777" w:rsidR="00042509" w:rsidRPr="00C37A1D" w:rsidRDefault="00042509" w:rsidP="00DE31FA">
            <w:pPr>
              <w:pStyle w:val="Tabletext"/>
              <w:keepNext/>
              <w:jc w:val="center"/>
            </w:pPr>
          </w:p>
        </w:tc>
      </w:tr>
      <w:tr w:rsidR="00B6471F" w:rsidRPr="00C37A1D" w14:paraId="6F32030C" w14:textId="77777777" w:rsidTr="00B6471F">
        <w:tc>
          <w:tcPr>
            <w:tcW w:w="2093" w:type="dxa"/>
            <w:vMerge w:val="restart"/>
          </w:tcPr>
          <w:p w14:paraId="7CDFA2FB" w14:textId="77777777" w:rsidR="00B6471F" w:rsidRPr="00C37A1D" w:rsidRDefault="00B6471F" w:rsidP="00DE31FA">
            <w:pPr>
              <w:pStyle w:val="Tabletext"/>
              <w:keepNext/>
              <w:rPr>
                <w:b/>
              </w:rPr>
            </w:pPr>
            <w:r>
              <w:rPr>
                <w:b/>
              </w:rPr>
              <w:t>PK in special populations</w:t>
            </w:r>
          </w:p>
        </w:tc>
        <w:tc>
          <w:tcPr>
            <w:tcW w:w="3260" w:type="dxa"/>
            <w:vMerge w:val="restart"/>
          </w:tcPr>
          <w:p w14:paraId="2A7C7D88" w14:textId="77777777" w:rsidR="00B6471F" w:rsidRPr="00C37A1D" w:rsidRDefault="00B6471F" w:rsidP="00B6471F">
            <w:pPr>
              <w:pStyle w:val="Tabletext"/>
              <w:keepNext/>
              <w:tabs>
                <w:tab w:val="left" w:pos="1877"/>
              </w:tabs>
            </w:pPr>
            <w:r>
              <w:t>Target population §</w:t>
            </w:r>
            <w:r w:rsidRPr="00C37A1D">
              <w:t>- Single dose</w:t>
            </w:r>
          </w:p>
        </w:tc>
        <w:tc>
          <w:tcPr>
            <w:tcW w:w="2693" w:type="dxa"/>
          </w:tcPr>
          <w:p w14:paraId="04E8981C" w14:textId="77777777" w:rsidR="00B6471F" w:rsidRPr="00C37A1D" w:rsidRDefault="00B6471F" w:rsidP="00DE31FA">
            <w:pPr>
              <w:pStyle w:val="Tabletext"/>
              <w:keepNext/>
            </w:pPr>
            <w:r>
              <w:t>Study IXR-109-09-186</w:t>
            </w:r>
          </w:p>
        </w:tc>
        <w:tc>
          <w:tcPr>
            <w:tcW w:w="567" w:type="dxa"/>
          </w:tcPr>
          <w:p w14:paraId="6A202B82" w14:textId="77777777" w:rsidR="00B6471F" w:rsidRPr="00C37A1D" w:rsidRDefault="00B6471F" w:rsidP="00DE31FA">
            <w:pPr>
              <w:pStyle w:val="Tabletext"/>
              <w:keepNext/>
              <w:jc w:val="center"/>
            </w:pPr>
          </w:p>
        </w:tc>
      </w:tr>
      <w:tr w:rsidR="00B6471F" w:rsidRPr="00C37A1D" w14:paraId="3728B454" w14:textId="77777777" w:rsidTr="00B6471F">
        <w:tc>
          <w:tcPr>
            <w:tcW w:w="2093" w:type="dxa"/>
            <w:vMerge/>
          </w:tcPr>
          <w:p w14:paraId="6CABE7FB" w14:textId="77777777" w:rsidR="00B6471F" w:rsidRPr="00C37A1D" w:rsidRDefault="00B6471F" w:rsidP="00DE31FA">
            <w:pPr>
              <w:pStyle w:val="Tabletext"/>
              <w:keepNext/>
            </w:pPr>
          </w:p>
        </w:tc>
        <w:tc>
          <w:tcPr>
            <w:tcW w:w="3260" w:type="dxa"/>
            <w:vMerge/>
          </w:tcPr>
          <w:p w14:paraId="19EF7582" w14:textId="77777777" w:rsidR="00B6471F" w:rsidRDefault="00B6471F" w:rsidP="00DE31FA">
            <w:pPr>
              <w:pStyle w:val="Tabletext"/>
              <w:keepNext/>
              <w:tabs>
                <w:tab w:val="left" w:pos="1877"/>
              </w:tabs>
            </w:pPr>
          </w:p>
        </w:tc>
        <w:tc>
          <w:tcPr>
            <w:tcW w:w="2693" w:type="dxa"/>
          </w:tcPr>
          <w:p w14:paraId="127BB04E" w14:textId="77777777" w:rsidR="00B6471F" w:rsidRPr="00C37A1D" w:rsidRDefault="00B6471F" w:rsidP="00DE31FA">
            <w:pPr>
              <w:pStyle w:val="Tabletext"/>
              <w:keepNext/>
            </w:pPr>
            <w:r>
              <w:rPr>
                <w:lang w:eastAsia="ja-JP"/>
              </w:rPr>
              <w:t xml:space="preserve">Study 25803 </w:t>
            </w:r>
          </w:p>
        </w:tc>
        <w:tc>
          <w:tcPr>
            <w:tcW w:w="567" w:type="dxa"/>
          </w:tcPr>
          <w:p w14:paraId="2E275D07" w14:textId="77777777" w:rsidR="00B6471F" w:rsidRPr="00C37A1D" w:rsidRDefault="00B6471F" w:rsidP="00DE31FA">
            <w:pPr>
              <w:pStyle w:val="Tabletext"/>
              <w:keepNext/>
              <w:jc w:val="center"/>
            </w:pPr>
          </w:p>
        </w:tc>
      </w:tr>
      <w:tr w:rsidR="00B6471F" w:rsidRPr="00C37A1D" w14:paraId="0FCB8A8F" w14:textId="77777777" w:rsidTr="00B6471F">
        <w:tc>
          <w:tcPr>
            <w:tcW w:w="2093" w:type="dxa"/>
            <w:vMerge/>
          </w:tcPr>
          <w:p w14:paraId="2F9ACBBD" w14:textId="77777777" w:rsidR="00B6471F" w:rsidRPr="00C37A1D" w:rsidRDefault="00B6471F" w:rsidP="00DE31FA">
            <w:pPr>
              <w:pStyle w:val="Tabletext"/>
              <w:keepNext/>
            </w:pPr>
          </w:p>
        </w:tc>
        <w:tc>
          <w:tcPr>
            <w:tcW w:w="3260" w:type="dxa"/>
            <w:vMerge/>
          </w:tcPr>
          <w:p w14:paraId="6086E79A" w14:textId="77777777" w:rsidR="00B6471F" w:rsidRDefault="00B6471F" w:rsidP="00DE31FA">
            <w:pPr>
              <w:pStyle w:val="Tabletext"/>
              <w:keepNext/>
              <w:tabs>
                <w:tab w:val="left" w:pos="1877"/>
              </w:tabs>
            </w:pPr>
          </w:p>
        </w:tc>
        <w:tc>
          <w:tcPr>
            <w:tcW w:w="2693" w:type="dxa"/>
          </w:tcPr>
          <w:p w14:paraId="326FE5E6" w14:textId="77777777" w:rsidR="00B6471F" w:rsidRDefault="00B6471F" w:rsidP="00DE31FA">
            <w:pPr>
              <w:pStyle w:val="Tabletext"/>
              <w:keepNext/>
              <w:rPr>
                <w:lang w:eastAsia="ja-JP"/>
              </w:rPr>
            </w:pPr>
            <w:r>
              <w:rPr>
                <w:lang w:eastAsia="ja-JP"/>
              </w:rPr>
              <w:t>Study IXR-101-09-186</w:t>
            </w:r>
          </w:p>
        </w:tc>
        <w:tc>
          <w:tcPr>
            <w:tcW w:w="567" w:type="dxa"/>
          </w:tcPr>
          <w:p w14:paraId="09D37210" w14:textId="77777777" w:rsidR="00B6471F" w:rsidRPr="00C37A1D" w:rsidRDefault="00B6471F" w:rsidP="00DE31FA">
            <w:pPr>
              <w:pStyle w:val="Tabletext"/>
              <w:keepNext/>
              <w:jc w:val="center"/>
            </w:pPr>
          </w:p>
        </w:tc>
      </w:tr>
      <w:tr w:rsidR="00042509" w:rsidRPr="00C37A1D" w14:paraId="663A326F" w14:textId="77777777" w:rsidTr="00B6471F">
        <w:tc>
          <w:tcPr>
            <w:tcW w:w="2093" w:type="dxa"/>
            <w:vMerge w:val="restart"/>
          </w:tcPr>
          <w:p w14:paraId="0E8F5303" w14:textId="77777777" w:rsidR="00042509" w:rsidRPr="00C37A1D" w:rsidRDefault="00042509" w:rsidP="00DE31FA">
            <w:pPr>
              <w:pStyle w:val="Tabletext"/>
              <w:keepNext/>
              <w:rPr>
                <w:b/>
              </w:rPr>
            </w:pPr>
            <w:r w:rsidRPr="00C37A1D">
              <w:rPr>
                <w:b/>
              </w:rPr>
              <w:t>PK interactions</w:t>
            </w:r>
          </w:p>
        </w:tc>
        <w:tc>
          <w:tcPr>
            <w:tcW w:w="3260" w:type="dxa"/>
          </w:tcPr>
          <w:p w14:paraId="2B70635F" w14:textId="77777777" w:rsidR="00042509" w:rsidRPr="00C37A1D" w:rsidRDefault="00042509" w:rsidP="00DE31FA">
            <w:pPr>
              <w:pStyle w:val="Tabletext"/>
              <w:keepNext/>
            </w:pPr>
            <w:r>
              <w:t>IFN-β-1a</w:t>
            </w:r>
          </w:p>
        </w:tc>
        <w:tc>
          <w:tcPr>
            <w:tcW w:w="2693" w:type="dxa"/>
          </w:tcPr>
          <w:p w14:paraId="11A0FFB8" w14:textId="77777777" w:rsidR="00042509" w:rsidRPr="00C37A1D" w:rsidRDefault="00042509" w:rsidP="00DE31FA">
            <w:pPr>
              <w:pStyle w:val="Tabletext"/>
              <w:keepNext/>
            </w:pPr>
            <w:r>
              <w:t>Study 26486</w:t>
            </w:r>
          </w:p>
        </w:tc>
        <w:tc>
          <w:tcPr>
            <w:tcW w:w="567" w:type="dxa"/>
          </w:tcPr>
          <w:p w14:paraId="687EDEE7" w14:textId="77777777" w:rsidR="00042509" w:rsidRPr="00C37A1D" w:rsidRDefault="00042509" w:rsidP="00DE31FA">
            <w:pPr>
              <w:pStyle w:val="Tabletext"/>
              <w:keepNext/>
              <w:jc w:val="center"/>
            </w:pPr>
          </w:p>
        </w:tc>
      </w:tr>
      <w:tr w:rsidR="00042509" w:rsidRPr="00C37A1D" w14:paraId="39201BC9" w14:textId="77777777" w:rsidTr="00B6471F">
        <w:tc>
          <w:tcPr>
            <w:tcW w:w="2093" w:type="dxa"/>
            <w:vMerge/>
          </w:tcPr>
          <w:p w14:paraId="61ADC974" w14:textId="77777777" w:rsidR="00042509" w:rsidRPr="00C37A1D" w:rsidRDefault="00042509" w:rsidP="00DE31FA">
            <w:pPr>
              <w:pStyle w:val="Tabletext"/>
              <w:keepNext/>
            </w:pPr>
          </w:p>
        </w:tc>
        <w:tc>
          <w:tcPr>
            <w:tcW w:w="3260" w:type="dxa"/>
          </w:tcPr>
          <w:p w14:paraId="63164E04" w14:textId="77777777" w:rsidR="00042509" w:rsidRPr="00C37A1D" w:rsidRDefault="00042509" w:rsidP="00DE31FA">
            <w:pPr>
              <w:pStyle w:val="Tabletext"/>
              <w:keepNext/>
            </w:pPr>
            <w:r>
              <w:t>Pantoprazole</w:t>
            </w:r>
          </w:p>
        </w:tc>
        <w:tc>
          <w:tcPr>
            <w:tcW w:w="2693" w:type="dxa"/>
          </w:tcPr>
          <w:p w14:paraId="69BBD85A" w14:textId="77777777" w:rsidR="00042509" w:rsidRPr="00C37A1D" w:rsidRDefault="00042509" w:rsidP="00DE31FA">
            <w:pPr>
              <w:pStyle w:val="Tabletext"/>
              <w:keepNext/>
            </w:pPr>
            <w:r>
              <w:rPr>
                <w:lang w:eastAsia="ja-JP"/>
              </w:rPr>
              <w:t>Study 27967</w:t>
            </w:r>
          </w:p>
        </w:tc>
        <w:tc>
          <w:tcPr>
            <w:tcW w:w="567" w:type="dxa"/>
          </w:tcPr>
          <w:p w14:paraId="6667D9EC" w14:textId="77777777" w:rsidR="00042509" w:rsidRPr="00C37A1D" w:rsidRDefault="00042509" w:rsidP="00DE31FA">
            <w:pPr>
              <w:pStyle w:val="Tabletext"/>
              <w:keepNext/>
              <w:jc w:val="center"/>
            </w:pPr>
          </w:p>
        </w:tc>
      </w:tr>
      <w:tr w:rsidR="00042509" w:rsidRPr="00C37A1D" w14:paraId="11449B1B" w14:textId="77777777" w:rsidTr="00B6471F">
        <w:tc>
          <w:tcPr>
            <w:tcW w:w="2093" w:type="dxa"/>
          </w:tcPr>
          <w:p w14:paraId="1FD6BAD3" w14:textId="77777777" w:rsidR="00042509" w:rsidRPr="00C37A1D" w:rsidRDefault="00042509" w:rsidP="00DE31FA">
            <w:pPr>
              <w:pStyle w:val="Tabletext"/>
              <w:keepNext/>
              <w:rPr>
                <w:b/>
              </w:rPr>
            </w:pPr>
            <w:r w:rsidRPr="00C37A1D">
              <w:rPr>
                <w:b/>
              </w:rPr>
              <w:t>Population PK analyses</w:t>
            </w:r>
          </w:p>
        </w:tc>
        <w:tc>
          <w:tcPr>
            <w:tcW w:w="3260" w:type="dxa"/>
          </w:tcPr>
          <w:p w14:paraId="0BC9EB1A" w14:textId="77777777" w:rsidR="00042509" w:rsidRPr="00C37A1D" w:rsidRDefault="00042509" w:rsidP="00DE31FA">
            <w:pPr>
              <w:pStyle w:val="Tabletext"/>
              <w:keepNext/>
            </w:pPr>
            <w:r w:rsidRPr="00C37A1D">
              <w:t>Target population</w:t>
            </w:r>
          </w:p>
        </w:tc>
        <w:tc>
          <w:tcPr>
            <w:tcW w:w="2693" w:type="dxa"/>
          </w:tcPr>
          <w:p w14:paraId="5C4CEBA2" w14:textId="77777777" w:rsidR="00042509" w:rsidRPr="00C37A1D" w:rsidRDefault="00042509" w:rsidP="00DE31FA">
            <w:pPr>
              <w:pStyle w:val="Tabletext"/>
              <w:keepNext/>
            </w:pPr>
            <w:r>
              <w:t>Study 700568-013</w:t>
            </w:r>
          </w:p>
        </w:tc>
        <w:tc>
          <w:tcPr>
            <w:tcW w:w="567" w:type="dxa"/>
          </w:tcPr>
          <w:p w14:paraId="0DF87F9E" w14:textId="77777777" w:rsidR="00042509" w:rsidRPr="00C37A1D" w:rsidRDefault="00042509" w:rsidP="00DE31FA">
            <w:pPr>
              <w:pStyle w:val="Tabletext"/>
              <w:keepNext/>
              <w:jc w:val="center"/>
            </w:pPr>
          </w:p>
        </w:tc>
      </w:tr>
    </w:tbl>
    <w:p w14:paraId="4760B1DB" w14:textId="24F16F20" w:rsidR="00042509" w:rsidRPr="00042509" w:rsidRDefault="00042509" w:rsidP="000B38AD">
      <w:pPr>
        <w:pStyle w:val="TableDescription"/>
      </w:pPr>
      <w:r>
        <w:t>* Indicates the primary PK aim of the study</w:t>
      </w:r>
      <w:r w:rsidR="000E4BFF">
        <w:t>;</w:t>
      </w:r>
      <w:r w:rsidR="00E164C2">
        <w:t xml:space="preserve"> </w:t>
      </w:r>
      <w:r>
        <w:t xml:space="preserve">† </w:t>
      </w:r>
      <w:r w:rsidR="000E4BFF">
        <w:t xml:space="preserve">bioequivalence </w:t>
      </w:r>
      <w:r>
        <w:t>of different formulations</w:t>
      </w:r>
      <w:r w:rsidR="000E4BFF">
        <w:t xml:space="preserve">; </w:t>
      </w:r>
      <w:r>
        <w:t xml:space="preserve">§ </w:t>
      </w:r>
      <w:r w:rsidR="000E4BFF">
        <w:t>s</w:t>
      </w:r>
      <w:r>
        <w:t xml:space="preserve">ubjects who would be </w:t>
      </w:r>
      <w:r w:rsidRPr="000B38AD">
        <w:t>eligible</w:t>
      </w:r>
      <w:r>
        <w:t xml:space="preserve"> to receive the drug if approved for the proposed indication.</w:t>
      </w:r>
    </w:p>
    <w:p w14:paraId="6393EDD5" w14:textId="77777777" w:rsidR="00605AD4" w:rsidRDefault="00605AD4" w:rsidP="000B38AD">
      <w:pPr>
        <w:pStyle w:val="Heading4"/>
      </w:pPr>
      <w:r w:rsidRPr="000B38AD">
        <w:t>Evaluator’s</w:t>
      </w:r>
      <w:r>
        <w:t xml:space="preserve"> conclusions on pharmacokinetics</w:t>
      </w:r>
    </w:p>
    <w:p w14:paraId="3D17E4F6" w14:textId="5E53DB49" w:rsidR="00042509" w:rsidRDefault="00042509" w:rsidP="00042509">
      <w:r>
        <w:t>The original data submission did not include PK data for patients with renal impairment, hepatic impairment, age &lt;</w:t>
      </w:r>
      <w:r w:rsidR="000E4BFF">
        <w:t xml:space="preserve"> </w:t>
      </w:r>
      <w:r>
        <w:t>18 years or age &gt;</w:t>
      </w:r>
      <w:r w:rsidR="000E4BFF">
        <w:t xml:space="preserve"> </w:t>
      </w:r>
      <w:r>
        <w:t>65 years.</w:t>
      </w:r>
      <w:r w:rsidR="0057702F">
        <w:t xml:space="preserve"> </w:t>
      </w:r>
      <w:r>
        <w:t>No new data for these populations has been included in the current application.</w:t>
      </w:r>
    </w:p>
    <w:p w14:paraId="58B79060" w14:textId="77777777" w:rsidR="00042509" w:rsidRDefault="00042509" w:rsidP="00042509">
      <w:r>
        <w:t>In the opinion of the evaluator there are statements in the PI that are not supported by the data these statements are:</w:t>
      </w:r>
    </w:p>
    <w:p w14:paraId="152A9901" w14:textId="34C92931" w:rsidR="00042509" w:rsidRDefault="00042509" w:rsidP="00E164C2">
      <w:pPr>
        <w:pStyle w:val="ListBullet"/>
      </w:pPr>
      <w:r>
        <w:t xml:space="preserve">The statement </w:t>
      </w:r>
      <w:r w:rsidR="00D31B59">
        <w:t>‘</w:t>
      </w:r>
      <w:r w:rsidRPr="00B6471F">
        <w:rPr>
          <w:i/>
        </w:rPr>
        <w:t>A population pharmacokinetic analysis did not show any effect of age (range 18 to 65 years) or gender on cladribine pharmacokinetics</w:t>
      </w:r>
      <w:r>
        <w:t>.</w:t>
      </w:r>
      <w:r w:rsidR="00D31B59">
        <w:t>’</w:t>
      </w:r>
      <w:r w:rsidR="00B6471F">
        <w:t xml:space="preserve"> i</w:t>
      </w:r>
      <w:r>
        <w:t>s included in the pharmacokinetics section relating to special populations.</w:t>
      </w:r>
      <w:r w:rsidR="0057702F">
        <w:t xml:space="preserve"> </w:t>
      </w:r>
      <w:r>
        <w:t xml:space="preserve">The statement is ambiguous and should be rephrased as: </w:t>
      </w:r>
      <w:r w:rsidRPr="00074B3F">
        <w:rPr>
          <w:i/>
        </w:rPr>
        <w:t>The effects of age &lt;</w:t>
      </w:r>
      <w:r w:rsidR="000E4BFF">
        <w:rPr>
          <w:i/>
        </w:rPr>
        <w:t xml:space="preserve"> </w:t>
      </w:r>
      <w:r w:rsidRPr="00074B3F">
        <w:rPr>
          <w:i/>
        </w:rPr>
        <w:t>18 years or &gt;</w:t>
      </w:r>
      <w:r w:rsidR="000E4BFF">
        <w:rPr>
          <w:i/>
        </w:rPr>
        <w:t xml:space="preserve"> </w:t>
      </w:r>
      <w:r w:rsidRPr="00074B3F">
        <w:rPr>
          <w:i/>
        </w:rPr>
        <w:t>65 years on cladribine pharmacokinetics has not been studied</w:t>
      </w:r>
      <w:r>
        <w:t>.</w:t>
      </w:r>
    </w:p>
    <w:p w14:paraId="1E3C84F2" w14:textId="79738BC2" w:rsidR="00042509" w:rsidRPr="00042509" w:rsidRDefault="00042509" w:rsidP="00E164C2">
      <w:pPr>
        <w:pStyle w:val="ListBullet"/>
      </w:pPr>
      <w:r>
        <w:t xml:space="preserve">The following statement also appears in the pharmacokinetics section: </w:t>
      </w:r>
      <w:r w:rsidR="00D31B59">
        <w:t>‘</w:t>
      </w:r>
      <w:r w:rsidRPr="00074B3F">
        <w:rPr>
          <w:i/>
        </w:rPr>
        <w:t>Based on a population pharmacokinetic analysis including patients with normal renal function and with mild renal impairment, total clearance in patients with mild renal impairment (CLCR = 65 mL/min) is estimated to decrease by 18%. The predicted decrease in cladribine clearance is 30% in patients with moderate renal impairment (CLCR</w:t>
      </w:r>
      <w:r w:rsidR="009C6854">
        <w:rPr>
          <w:i/>
        </w:rPr>
        <w:t> </w:t>
      </w:r>
      <w:r w:rsidRPr="00074B3F">
        <w:rPr>
          <w:i/>
        </w:rPr>
        <w:t>=</w:t>
      </w:r>
      <w:r w:rsidR="009C6854">
        <w:rPr>
          <w:i/>
        </w:rPr>
        <w:t> </w:t>
      </w:r>
      <w:r w:rsidRPr="00074B3F">
        <w:rPr>
          <w:i/>
        </w:rPr>
        <w:t>40</w:t>
      </w:r>
      <w:r w:rsidR="009C6854">
        <w:rPr>
          <w:i/>
        </w:rPr>
        <w:t> </w:t>
      </w:r>
      <w:r w:rsidRPr="00074B3F">
        <w:rPr>
          <w:i/>
        </w:rPr>
        <w:t>mL/min) and 40% in patients with severe renal impairment (CLCR</w:t>
      </w:r>
      <w:r w:rsidR="009C6854">
        <w:rPr>
          <w:i/>
        </w:rPr>
        <w:t> </w:t>
      </w:r>
      <w:r w:rsidRPr="00074B3F">
        <w:rPr>
          <w:i/>
        </w:rPr>
        <w:t>=</w:t>
      </w:r>
      <w:r w:rsidR="009C6854">
        <w:rPr>
          <w:i/>
        </w:rPr>
        <w:t> </w:t>
      </w:r>
      <w:r w:rsidRPr="00074B3F">
        <w:rPr>
          <w:i/>
        </w:rPr>
        <w:t>20</w:t>
      </w:r>
      <w:r w:rsidR="009C6854">
        <w:rPr>
          <w:i/>
        </w:rPr>
        <w:t> </w:t>
      </w:r>
      <w:r w:rsidRPr="00074B3F">
        <w:rPr>
          <w:i/>
        </w:rPr>
        <w:t>mL/min)</w:t>
      </w:r>
      <w:r>
        <w:t>.</w:t>
      </w:r>
      <w:r w:rsidR="00D31B59">
        <w:t>’</w:t>
      </w:r>
      <w:r w:rsidR="0057702F">
        <w:t xml:space="preserve"> </w:t>
      </w:r>
      <w:r>
        <w:t>In the opinio</w:t>
      </w:r>
      <w:r w:rsidR="00074B3F">
        <w:t>n of the e</w:t>
      </w:r>
      <w:r>
        <w:t>valuator this statement is not supported by the data in the submission because the model used in the population pharmacokinetic study was not validated sufficiently to support simulations, particularly in populations that were not represented in the covariate data.</w:t>
      </w:r>
    </w:p>
    <w:p w14:paraId="12C4F9A1" w14:textId="77777777" w:rsidR="008E7846" w:rsidRDefault="008E7846" w:rsidP="000B38AD">
      <w:pPr>
        <w:pStyle w:val="Heading3"/>
      </w:pPr>
      <w:bookmarkStart w:id="53" w:name="_Toc196046481"/>
      <w:bookmarkStart w:id="54" w:name="_Toc247691520"/>
      <w:bookmarkStart w:id="55" w:name="_Toc314842503"/>
      <w:bookmarkStart w:id="56" w:name="_Toc519257435"/>
      <w:r w:rsidRPr="000B38AD">
        <w:lastRenderedPageBreak/>
        <w:t>Pharmacodynamics</w:t>
      </w:r>
      <w:bookmarkEnd w:id="41"/>
      <w:bookmarkEnd w:id="53"/>
      <w:bookmarkEnd w:id="54"/>
      <w:bookmarkEnd w:id="55"/>
      <w:bookmarkEnd w:id="56"/>
    </w:p>
    <w:p w14:paraId="29A9546E" w14:textId="77777777" w:rsidR="00605AD4" w:rsidRDefault="00605AD4" w:rsidP="000B38AD">
      <w:pPr>
        <w:pStyle w:val="Heading4"/>
      </w:pPr>
      <w:r>
        <w:t xml:space="preserve">Studies </w:t>
      </w:r>
      <w:r w:rsidRPr="000B38AD">
        <w:t>providing</w:t>
      </w:r>
      <w:r>
        <w:t xml:space="preserve"> pharmacodynamic data</w:t>
      </w:r>
    </w:p>
    <w:p w14:paraId="6018C99D" w14:textId="77777777" w:rsidR="00042509" w:rsidRDefault="00FA103D" w:rsidP="00042509">
      <w:pPr>
        <w:rPr>
          <w:lang w:eastAsia="ja-JP"/>
        </w:rPr>
      </w:pPr>
      <w:r>
        <w:rPr>
          <w:lang w:eastAsia="ja-JP"/>
        </w:rPr>
        <w:t>The sponsor</w:t>
      </w:r>
      <w:r w:rsidR="00042509">
        <w:rPr>
          <w:lang w:eastAsia="ja-JP"/>
        </w:rPr>
        <w:t xml:space="preserve"> provided one modelling and simulation study in support of pharmacodynamics</w:t>
      </w:r>
      <w:r w:rsidR="00074B3F">
        <w:rPr>
          <w:lang w:eastAsia="ja-JP"/>
        </w:rPr>
        <w:t xml:space="preserve"> (PD) (Table 5)</w:t>
      </w:r>
      <w:r w:rsidR="009755CB">
        <w:rPr>
          <w:lang w:eastAsia="ja-JP"/>
        </w:rPr>
        <w:t>.</w:t>
      </w:r>
    </w:p>
    <w:p w14:paraId="31FB7B14" w14:textId="77777777" w:rsidR="009755CB" w:rsidRDefault="00074B3F" w:rsidP="000B38AD">
      <w:pPr>
        <w:pStyle w:val="Tabletitle0"/>
        <w:rPr>
          <w:lang w:eastAsia="ja-JP"/>
        </w:rPr>
      </w:pPr>
      <w:r>
        <w:rPr>
          <w:lang w:eastAsia="ja-JP"/>
        </w:rPr>
        <w:t>Table 5</w:t>
      </w:r>
      <w:r w:rsidR="009755CB">
        <w:rPr>
          <w:lang w:eastAsia="ja-JP"/>
        </w:rPr>
        <w:t xml:space="preserve">: </w:t>
      </w:r>
      <w:r>
        <w:t xml:space="preserve">Submitted </w:t>
      </w:r>
      <w:r w:rsidRPr="000B38AD">
        <w:t>pharmacodynamic</w:t>
      </w:r>
      <w:r>
        <w:t xml:space="preserve"> studies</w:t>
      </w:r>
    </w:p>
    <w:tbl>
      <w:tblPr>
        <w:tblStyle w:val="TableTGAblue"/>
        <w:tblW w:w="7905" w:type="dxa"/>
        <w:tblLayout w:type="fixed"/>
        <w:tblLook w:val="04A0" w:firstRow="1" w:lastRow="0" w:firstColumn="1" w:lastColumn="0" w:noHBand="0" w:noVBand="1"/>
      </w:tblPr>
      <w:tblGrid>
        <w:gridCol w:w="2235"/>
        <w:gridCol w:w="2693"/>
        <w:gridCol w:w="2410"/>
        <w:gridCol w:w="567"/>
      </w:tblGrid>
      <w:tr w:rsidR="00E164C2" w:rsidRPr="00C37A1D" w14:paraId="69389BC5" w14:textId="77777777" w:rsidTr="00E164C2">
        <w:trPr>
          <w:cnfStyle w:val="100000000000" w:firstRow="1" w:lastRow="0" w:firstColumn="0" w:lastColumn="0" w:oddVBand="0" w:evenVBand="0" w:oddHBand="0" w:evenHBand="0" w:firstRowFirstColumn="0" w:firstRowLastColumn="0" w:lastRowFirstColumn="0" w:lastRowLastColumn="0"/>
        </w:trPr>
        <w:tc>
          <w:tcPr>
            <w:tcW w:w="2235" w:type="dxa"/>
          </w:tcPr>
          <w:p w14:paraId="17AD8F73" w14:textId="77777777" w:rsidR="00E164C2" w:rsidRPr="00C37A1D" w:rsidRDefault="00E164C2" w:rsidP="00DE31FA">
            <w:pPr>
              <w:pStyle w:val="Tabletext"/>
              <w:rPr>
                <w:b w:val="0"/>
              </w:rPr>
            </w:pPr>
            <w:r w:rsidRPr="00C37A1D">
              <w:t>PD Topic</w:t>
            </w:r>
          </w:p>
        </w:tc>
        <w:tc>
          <w:tcPr>
            <w:tcW w:w="2693" w:type="dxa"/>
          </w:tcPr>
          <w:p w14:paraId="7864F8CE" w14:textId="77777777" w:rsidR="00E164C2" w:rsidRPr="00C37A1D" w:rsidRDefault="00E164C2" w:rsidP="00DE31FA">
            <w:pPr>
              <w:pStyle w:val="Tabletext"/>
              <w:rPr>
                <w:b w:val="0"/>
              </w:rPr>
            </w:pPr>
            <w:r w:rsidRPr="00C37A1D">
              <w:t>Subtopic</w:t>
            </w:r>
          </w:p>
        </w:tc>
        <w:tc>
          <w:tcPr>
            <w:tcW w:w="2410" w:type="dxa"/>
          </w:tcPr>
          <w:p w14:paraId="54A9E25B" w14:textId="77777777" w:rsidR="00E164C2" w:rsidRPr="00C37A1D" w:rsidRDefault="00E164C2" w:rsidP="00DE31FA">
            <w:pPr>
              <w:pStyle w:val="Tabletext"/>
              <w:rPr>
                <w:b w:val="0"/>
              </w:rPr>
            </w:pPr>
            <w:r w:rsidRPr="00C37A1D">
              <w:t>Study ID</w:t>
            </w:r>
          </w:p>
        </w:tc>
        <w:tc>
          <w:tcPr>
            <w:tcW w:w="567" w:type="dxa"/>
          </w:tcPr>
          <w:p w14:paraId="145DB014" w14:textId="77777777" w:rsidR="00E164C2" w:rsidRPr="00C37A1D" w:rsidRDefault="00E164C2" w:rsidP="00DE31FA">
            <w:pPr>
              <w:pStyle w:val="Tabletext"/>
              <w:rPr>
                <w:b w:val="0"/>
              </w:rPr>
            </w:pPr>
            <w:r w:rsidRPr="00C37A1D">
              <w:t>*</w:t>
            </w:r>
          </w:p>
        </w:tc>
      </w:tr>
      <w:tr w:rsidR="00E164C2" w:rsidRPr="00C37A1D" w14:paraId="6C4BD8C0" w14:textId="77777777" w:rsidTr="00E164C2">
        <w:tc>
          <w:tcPr>
            <w:tcW w:w="2235" w:type="dxa"/>
          </w:tcPr>
          <w:p w14:paraId="3BBCD0B9" w14:textId="77777777" w:rsidR="00E164C2" w:rsidRPr="00C37A1D" w:rsidRDefault="00E164C2" w:rsidP="00DE31FA">
            <w:pPr>
              <w:pStyle w:val="Tabletext"/>
              <w:keepNext/>
              <w:rPr>
                <w:b/>
              </w:rPr>
            </w:pPr>
            <w:r w:rsidRPr="00C37A1D">
              <w:rPr>
                <w:b/>
              </w:rPr>
              <w:t>Population PD and PK-PD analyses</w:t>
            </w:r>
          </w:p>
        </w:tc>
        <w:tc>
          <w:tcPr>
            <w:tcW w:w="2693" w:type="dxa"/>
          </w:tcPr>
          <w:p w14:paraId="55A02239" w14:textId="77777777" w:rsidR="00E164C2" w:rsidRPr="00C37A1D" w:rsidRDefault="00E164C2" w:rsidP="00DE31FA">
            <w:pPr>
              <w:pStyle w:val="Tabletext"/>
              <w:keepNext/>
            </w:pPr>
            <w:r w:rsidRPr="00C37A1D">
              <w:t>Target population</w:t>
            </w:r>
          </w:p>
        </w:tc>
        <w:tc>
          <w:tcPr>
            <w:tcW w:w="2410" w:type="dxa"/>
          </w:tcPr>
          <w:p w14:paraId="7B4DB673" w14:textId="77777777" w:rsidR="00E164C2" w:rsidRPr="00C37A1D" w:rsidRDefault="00E164C2" w:rsidP="00DE31FA">
            <w:pPr>
              <w:pStyle w:val="Tabletext"/>
              <w:keepNext/>
            </w:pPr>
            <w:r w:rsidRPr="009258CB">
              <w:t>M&amp;S Population Analysis Report Trial No.: 25643 (CLARITY), 27820 (CLARITY EXT); 28821 (ORACLE-MS)</w:t>
            </w:r>
            <w:r>
              <w:t>:</w:t>
            </w:r>
          </w:p>
        </w:tc>
        <w:tc>
          <w:tcPr>
            <w:tcW w:w="567" w:type="dxa"/>
          </w:tcPr>
          <w:p w14:paraId="6F5D607F" w14:textId="77777777" w:rsidR="00E164C2" w:rsidRPr="00C37A1D" w:rsidRDefault="00E164C2" w:rsidP="00DE31FA">
            <w:pPr>
              <w:pStyle w:val="Tabletext"/>
              <w:keepNext/>
              <w:jc w:val="center"/>
            </w:pPr>
            <w:r>
              <w:t>*</w:t>
            </w:r>
          </w:p>
        </w:tc>
      </w:tr>
    </w:tbl>
    <w:p w14:paraId="34C73E41" w14:textId="77777777" w:rsidR="00074B3F" w:rsidRDefault="00074B3F" w:rsidP="000B38AD">
      <w:pPr>
        <w:pStyle w:val="TableDescription"/>
      </w:pPr>
      <w:r>
        <w:t xml:space="preserve">* Indicates </w:t>
      </w:r>
      <w:r w:rsidRPr="000B38AD">
        <w:t>the</w:t>
      </w:r>
      <w:r>
        <w:t xml:space="preserve"> primary PD aim of the study.</w:t>
      </w:r>
    </w:p>
    <w:p w14:paraId="5AAC0ADE" w14:textId="77777777" w:rsidR="00605AD4" w:rsidRDefault="00605AD4" w:rsidP="000B38AD">
      <w:pPr>
        <w:pStyle w:val="Heading4"/>
      </w:pPr>
      <w:r>
        <w:t xml:space="preserve">Evaluator’s </w:t>
      </w:r>
      <w:r w:rsidRPr="000B38AD">
        <w:t>conclusions</w:t>
      </w:r>
      <w:r>
        <w:t xml:space="preserve"> on pharmacodynamics</w:t>
      </w:r>
    </w:p>
    <w:p w14:paraId="1529DCE3" w14:textId="77777777" w:rsidR="00042509" w:rsidRPr="00042509" w:rsidRDefault="00FA103D" w:rsidP="00042509">
      <w:r>
        <w:t>The sponsor</w:t>
      </w:r>
      <w:r w:rsidR="00042509">
        <w:t xml:space="preserve"> has not provided sufficient data to enable reliable conclusions of the dose effect relationship.</w:t>
      </w:r>
      <w:r w:rsidR="0057702F">
        <w:t xml:space="preserve"> </w:t>
      </w:r>
      <w:r w:rsidR="00042509">
        <w:t>In</w:t>
      </w:r>
      <w:r w:rsidR="00074B3F">
        <w:t xml:space="preserve"> the opinion of the e</w:t>
      </w:r>
      <w:r w:rsidR="00042509">
        <w:t>valuator this is because the dose effect relationship cannot be reliably described with only high dose and placebo data.</w:t>
      </w:r>
      <w:r w:rsidR="0057702F">
        <w:t xml:space="preserve"> </w:t>
      </w:r>
      <w:r w:rsidR="00042509">
        <w:t>Maximum effect appears to have been achieved at the 3.5 mg/kg dose level.</w:t>
      </w:r>
      <w:r w:rsidR="0057702F">
        <w:t xml:space="preserve"> </w:t>
      </w:r>
      <w:r w:rsidR="00042509">
        <w:t>Hence, in order to adequately describe the dose effect relationship, PD outcome data from lower doses are required.</w:t>
      </w:r>
    </w:p>
    <w:p w14:paraId="020BBC12" w14:textId="77777777" w:rsidR="008E7846" w:rsidRDefault="00605AD4" w:rsidP="000B38AD">
      <w:pPr>
        <w:pStyle w:val="Heading3"/>
      </w:pPr>
      <w:bookmarkStart w:id="57" w:name="_Toc519257436"/>
      <w:r>
        <w:t xml:space="preserve">Dosage </w:t>
      </w:r>
      <w:r w:rsidRPr="000B38AD">
        <w:t>selection</w:t>
      </w:r>
      <w:r>
        <w:t xml:space="preserve"> for the pivotal studies</w:t>
      </w:r>
      <w:bookmarkEnd w:id="57"/>
    </w:p>
    <w:p w14:paraId="173ABC95" w14:textId="77777777" w:rsidR="00042509" w:rsidRDefault="00042509" w:rsidP="00E164C2">
      <w:pPr>
        <w:pStyle w:val="Heading4"/>
      </w:pPr>
      <w:r>
        <w:t>Dosage selection for the pivotal studies</w:t>
      </w:r>
    </w:p>
    <w:p w14:paraId="436162E4" w14:textId="77777777" w:rsidR="00042509" w:rsidRDefault="00042509" w:rsidP="00E164C2">
      <w:pPr>
        <w:pStyle w:val="Heading5"/>
      </w:pPr>
      <w:r>
        <w:t>Phase III pivotal studies investigating more than one dose regimen</w:t>
      </w:r>
    </w:p>
    <w:p w14:paraId="0A1BAF9B" w14:textId="77777777" w:rsidR="00042509" w:rsidRDefault="00042509" w:rsidP="00042509">
      <w:r>
        <w:t xml:space="preserve">Study 27820 CLARITY Extension has examined extended dosing regimens and is discussed in </w:t>
      </w:r>
      <w:r w:rsidR="00074B3F">
        <w:t xml:space="preserve">Attachment 2 under </w:t>
      </w:r>
      <w:r>
        <w:t>Section 7.</w:t>
      </w:r>
      <w:r w:rsidR="0057702F">
        <w:t xml:space="preserve"> </w:t>
      </w:r>
      <w:r>
        <w:t>The study examined cumulative doses of 7 mg/kg and 8.25 mg/kg.</w:t>
      </w:r>
    </w:p>
    <w:p w14:paraId="632C7A90" w14:textId="77777777" w:rsidR="00042509" w:rsidRDefault="00042509" w:rsidP="000B38AD">
      <w:pPr>
        <w:pStyle w:val="Heading4"/>
      </w:pPr>
      <w:r w:rsidRPr="000B38AD">
        <w:t>Evaluator’s</w:t>
      </w:r>
      <w:r>
        <w:t xml:space="preserve"> conclusions on dose finding for the pivotal studies</w:t>
      </w:r>
    </w:p>
    <w:p w14:paraId="3C66DB6D" w14:textId="1620A229" w:rsidR="00042509" w:rsidRDefault="00FA103D" w:rsidP="00042509">
      <w:r>
        <w:t>The sponsor</w:t>
      </w:r>
      <w:r w:rsidR="00042509">
        <w:t xml:space="preserve"> provided a modelling and simulation report using data from the clinical studies using the 3.5 mg/kg and 5.25 mg/kg dose levels (M&amp;S Population Analysis Report Trial No</w:t>
      </w:r>
      <w:r w:rsidR="00BC7DAC">
        <w:t>s.</w:t>
      </w:r>
      <w:r w:rsidR="00042509">
        <w:t xml:space="preserve"> 25643 (CLARITY), 27820 (CLARITY EXT); 28821 (ORACLE-MS)).</w:t>
      </w:r>
      <w:r w:rsidR="0057702F">
        <w:t xml:space="preserve"> </w:t>
      </w:r>
      <w:r w:rsidR="00074B3F">
        <w:t>In the opinion of the e</w:t>
      </w:r>
      <w:r w:rsidR="00042509">
        <w:t>valuator, the population PK</w:t>
      </w:r>
      <w:r w:rsidR="00BC7DAC">
        <w:t>-</w:t>
      </w:r>
      <w:r w:rsidR="00042509">
        <w:t>PD modelling was not sufficiently robust to simulate lower doses.</w:t>
      </w:r>
    </w:p>
    <w:p w14:paraId="50FCBAC4" w14:textId="60C5846A" w:rsidR="00042509" w:rsidRPr="00042509" w:rsidRDefault="00042509" w:rsidP="00042509">
      <w:r>
        <w:t xml:space="preserve">The </w:t>
      </w:r>
      <w:r w:rsidR="00074B3F">
        <w:t xml:space="preserve">TGA’s Advisory Committee </w:t>
      </w:r>
      <w:r w:rsidR="00D21502">
        <w:t>on</w:t>
      </w:r>
      <w:r w:rsidR="00074B3F">
        <w:t xml:space="preserve"> Prescription Medicines (</w:t>
      </w:r>
      <w:r>
        <w:t>ACPM</w:t>
      </w:r>
      <w:r w:rsidR="00074B3F">
        <w:t>; now called Advisory Committee on Medicines (ACM))</w:t>
      </w:r>
      <w:r>
        <w:t xml:space="preserve"> considered that the lowest effecti</w:t>
      </w:r>
      <w:r w:rsidR="00074B3F">
        <w:t>ve dose had not been determined</w:t>
      </w:r>
      <w:r>
        <w:t>.</w:t>
      </w:r>
      <w:r w:rsidR="0057702F">
        <w:t xml:space="preserve"> </w:t>
      </w:r>
      <w:r w:rsidR="00FA103D">
        <w:t>The sponsor</w:t>
      </w:r>
      <w:r>
        <w:t xml:space="preserve"> has not provided any new data examining lower doses in clinical trials.</w:t>
      </w:r>
    </w:p>
    <w:p w14:paraId="0A95C6B3" w14:textId="77777777" w:rsidR="008E7846" w:rsidRPr="00254787" w:rsidRDefault="008E7846" w:rsidP="000B38AD">
      <w:pPr>
        <w:pStyle w:val="Heading3"/>
      </w:pPr>
      <w:bookmarkStart w:id="58" w:name="_Toc163441372"/>
      <w:bookmarkStart w:id="59" w:name="_Toc196046485"/>
      <w:bookmarkStart w:id="60" w:name="_Toc247691521"/>
      <w:bookmarkStart w:id="61" w:name="_Toc314842504"/>
      <w:bookmarkStart w:id="62" w:name="_Toc519257437"/>
      <w:r w:rsidRPr="000B38AD">
        <w:lastRenderedPageBreak/>
        <w:t>Efficacy</w:t>
      </w:r>
      <w:bookmarkEnd w:id="58"/>
      <w:bookmarkEnd w:id="59"/>
      <w:bookmarkEnd w:id="60"/>
      <w:bookmarkEnd w:id="61"/>
      <w:bookmarkEnd w:id="62"/>
    </w:p>
    <w:p w14:paraId="2EF47E2C" w14:textId="77777777" w:rsidR="00605AD4" w:rsidRDefault="00605AD4" w:rsidP="000B38AD">
      <w:pPr>
        <w:pStyle w:val="Heading4"/>
      </w:pPr>
      <w:bookmarkStart w:id="63" w:name="_Toc184439992"/>
      <w:bookmarkStart w:id="64" w:name="_Toc184440279"/>
      <w:bookmarkStart w:id="65" w:name="_Toc184444657"/>
      <w:bookmarkStart w:id="66" w:name="_Toc196046487"/>
      <w:r>
        <w:t>Studies providing efficacy data</w:t>
      </w:r>
    </w:p>
    <w:p w14:paraId="749919D9" w14:textId="05A42DD9" w:rsidR="00042509" w:rsidRDefault="00042509" w:rsidP="00042509">
      <w:r>
        <w:t>There were two pivotal studies conducted in patients with the proposed indication</w:t>
      </w:r>
      <w:r w:rsidR="00BC7DAC">
        <w:t xml:space="preserve"> of</w:t>
      </w:r>
      <w:r>
        <w:t xml:space="preserve"> RRMS</w:t>
      </w:r>
      <w:r w:rsidR="00BC7DAC">
        <w:t xml:space="preserve">, </w:t>
      </w:r>
      <w:r>
        <w:t>Study 25643 CLARITY and Study 27820 CLARITY Extension.</w:t>
      </w:r>
    </w:p>
    <w:p w14:paraId="30819F0E" w14:textId="77777777" w:rsidR="00042509" w:rsidRDefault="00042509" w:rsidP="00042509">
      <w:r>
        <w:t>There were five other efficacy studies:</w:t>
      </w:r>
    </w:p>
    <w:p w14:paraId="77BFB46C" w14:textId="067F901D" w:rsidR="00042509" w:rsidRDefault="00042509" w:rsidP="00E164C2">
      <w:pPr>
        <w:pStyle w:val="ListBullet"/>
      </w:pPr>
      <w:r>
        <w:t>Study 2-CdA-MS-SCRIPC, a Phase II study in patients with RRMS.</w:t>
      </w:r>
    </w:p>
    <w:p w14:paraId="1079995C" w14:textId="66C85770" w:rsidR="00042509" w:rsidRDefault="00042509" w:rsidP="00E164C2">
      <w:pPr>
        <w:pStyle w:val="ListBullet"/>
      </w:pPr>
      <w:r>
        <w:t>Study 2-CdA-MS-001, a Phase III study in patients with PPMS.</w:t>
      </w:r>
    </w:p>
    <w:p w14:paraId="23FD174B" w14:textId="77777777" w:rsidR="00042509" w:rsidRDefault="00042509" w:rsidP="00E164C2">
      <w:pPr>
        <w:pStyle w:val="ListBullet"/>
      </w:pPr>
      <w:r>
        <w:t>Study 2-CdA-MS-SCRIPP, a Phase II study in patients with Chronic Progressive MS (CPMS).</w:t>
      </w:r>
    </w:p>
    <w:p w14:paraId="3F736CEA" w14:textId="2ECF58A7" w:rsidR="00042509" w:rsidRDefault="00042509" w:rsidP="00E164C2">
      <w:pPr>
        <w:pStyle w:val="ListBullet"/>
      </w:pPr>
      <w:r>
        <w:t>Study 28821 ORACLE, a Phase III study in patients with a first clinical event at high risk of converting to MS.</w:t>
      </w:r>
    </w:p>
    <w:p w14:paraId="4A263096" w14:textId="77777777" w:rsidR="00042509" w:rsidRPr="00042509" w:rsidRDefault="00042509" w:rsidP="00E164C2">
      <w:pPr>
        <w:pStyle w:val="ListBullet"/>
      </w:pPr>
      <w:r>
        <w:t>Study 26593 ONWARD, a Phase IIb in patients with active MS.</w:t>
      </w:r>
    </w:p>
    <w:p w14:paraId="3622D3B1" w14:textId="77777777" w:rsidR="008E7846" w:rsidRDefault="00605AD4" w:rsidP="000B38AD">
      <w:pPr>
        <w:pStyle w:val="Heading4"/>
      </w:pPr>
      <w:r>
        <w:t>Evaluator’s conclusions on efficacy</w:t>
      </w:r>
    </w:p>
    <w:p w14:paraId="71200809" w14:textId="36887258" w:rsidR="00042509" w:rsidRDefault="00FA103D" w:rsidP="00042509">
      <w:r>
        <w:t>The sponsor</w:t>
      </w:r>
      <w:r w:rsidR="00042509">
        <w:t xml:space="preserve"> has demonstrated efficacy compared to placebo in Study 25643 CLARITY which has been previously submitted and evaluated</w:t>
      </w:r>
      <w:r w:rsidR="009C6854">
        <w:t>.</w:t>
      </w:r>
    </w:p>
    <w:p w14:paraId="74E14032" w14:textId="77777777" w:rsidR="00042509" w:rsidRDefault="00042509" w:rsidP="00042509">
      <w:r>
        <w:t>Efficacy was demonstrated using qualifying relapse rate as the primary efficacy outcome measure.</w:t>
      </w:r>
      <w:r w:rsidR="0057702F">
        <w:t xml:space="preserve"> </w:t>
      </w:r>
      <w:r>
        <w:t>Disability progression was measured using EDSS.</w:t>
      </w:r>
      <w:r w:rsidR="0057702F">
        <w:t xml:space="preserve"> </w:t>
      </w:r>
      <w:r>
        <w:t>There was a statistically and clinically significant benefit for cladribine in comparison with placebo for both of these outcome measures.</w:t>
      </w:r>
      <w:r w:rsidR="0057702F">
        <w:t xml:space="preserve"> </w:t>
      </w:r>
      <w:r>
        <w:t xml:space="preserve">Hence there are sufficient data to support: </w:t>
      </w:r>
      <w:r w:rsidR="00D31B59">
        <w:t>‘</w:t>
      </w:r>
      <w:r w:rsidRPr="00074B3F">
        <w:rPr>
          <w:i/>
        </w:rPr>
        <w:t>to reduce the frequency of clinical relapses and to delay the progression of physical disability</w:t>
      </w:r>
      <w:r w:rsidR="00D31B59" w:rsidRPr="00074B3F">
        <w:rPr>
          <w:i/>
        </w:rPr>
        <w:t>’</w:t>
      </w:r>
      <w:r>
        <w:t xml:space="preserve"> being included in the indication.</w:t>
      </w:r>
    </w:p>
    <w:p w14:paraId="0068B2FB" w14:textId="6A965123" w:rsidR="00042509" w:rsidRDefault="00042509" w:rsidP="00042509">
      <w:r>
        <w:t>There are limited data in support of removing the 2</w:t>
      </w:r>
      <w:r w:rsidR="00074B3F">
        <w:t xml:space="preserve"> </w:t>
      </w:r>
      <w:r>
        <w:t>year limit on treatment.</w:t>
      </w:r>
      <w:r w:rsidR="0057702F">
        <w:t xml:space="preserve"> </w:t>
      </w:r>
      <w:r>
        <w:t xml:space="preserve">Although Study 27820 CLARITY Extension is supportive of the </w:t>
      </w:r>
      <w:r w:rsidR="00BC7DAC">
        <w:t>c</w:t>
      </w:r>
      <w:r w:rsidR="00BC7DAC" w:rsidRPr="0019574F">
        <w:t xml:space="preserve">ladribine </w:t>
      </w:r>
      <w:r w:rsidR="0019574F" w:rsidRPr="0019574F">
        <w:t xml:space="preserve">low/low dose </w:t>
      </w:r>
      <w:r w:rsidR="0019574F">
        <w:t>(</w:t>
      </w:r>
      <w:r>
        <w:t>LLLL</w:t>
      </w:r>
      <w:r w:rsidR="0019574F">
        <w:t>)</w:t>
      </w:r>
      <w:r>
        <w:t xml:space="preserve"> (total dose 7 mg/kg over 4 years) treatment group over the </w:t>
      </w:r>
      <w:r w:rsidR="00BC7DAC">
        <w:t>c</w:t>
      </w:r>
      <w:r w:rsidR="00BC7DAC" w:rsidRPr="0019574F">
        <w:t xml:space="preserve">ladribine </w:t>
      </w:r>
      <w:r w:rsidR="0019574F" w:rsidRPr="0019574F">
        <w:t xml:space="preserve">high/low dose </w:t>
      </w:r>
      <w:r w:rsidR="0019574F">
        <w:t>(</w:t>
      </w:r>
      <w:r>
        <w:t>HLLL</w:t>
      </w:r>
      <w:r w:rsidR="0019574F">
        <w:t>)</w:t>
      </w:r>
      <w:r>
        <w:t xml:space="preserve"> (8.5 mg/kg over 4 years) and does provide some support for extending the duration of treatment and total exposure to 7 mg/kg over 4 years, there are a number of limitations to the study.</w:t>
      </w:r>
      <w:r w:rsidR="0057702F">
        <w:t xml:space="preserve"> </w:t>
      </w:r>
      <w:r>
        <w:t>These limitations are:</w:t>
      </w:r>
    </w:p>
    <w:p w14:paraId="4BA7018D" w14:textId="23B3ABB2" w:rsidR="00042509" w:rsidRDefault="00042509" w:rsidP="00E164C2">
      <w:pPr>
        <w:pStyle w:val="ListBullet"/>
      </w:pPr>
      <w:r>
        <w:t>Study 27820 CLARITY Extension did not have a primary efficacy outcome measure and was not designed primarily to demonstrate efficacy.</w:t>
      </w:r>
    </w:p>
    <w:p w14:paraId="60F36B2B" w14:textId="3ECE886E" w:rsidR="00042509" w:rsidRDefault="00FA103D" w:rsidP="00E164C2">
      <w:pPr>
        <w:pStyle w:val="ListBullet"/>
      </w:pPr>
      <w:r>
        <w:t>The sponsor</w:t>
      </w:r>
      <w:r w:rsidR="00042509">
        <w:t xml:space="preserve"> argues for efficacy based on a post</w:t>
      </w:r>
      <w:r w:rsidR="00074B3F">
        <w:t xml:space="preserve"> </w:t>
      </w:r>
      <w:r w:rsidR="00042509">
        <w:t xml:space="preserve">hoc selection of </w:t>
      </w:r>
      <w:r w:rsidR="00D31B59">
        <w:t>‘</w:t>
      </w:r>
      <w:r w:rsidR="00042509">
        <w:t>key</w:t>
      </w:r>
      <w:r w:rsidR="00D31B59">
        <w:t>’</w:t>
      </w:r>
      <w:r w:rsidR="00042509">
        <w:t xml:space="preserve"> efficacy variables.</w:t>
      </w:r>
    </w:p>
    <w:p w14:paraId="75633CE4" w14:textId="1454C9B7" w:rsidR="00042509" w:rsidRDefault="00042509" w:rsidP="00E164C2">
      <w:pPr>
        <w:pStyle w:val="ListBullet"/>
      </w:pPr>
      <w:r>
        <w:t>The overall efficacy results were inconsistent and the statistically significant findings were not clearly of clinical significance.</w:t>
      </w:r>
    </w:p>
    <w:p w14:paraId="7B23E2B9" w14:textId="13CB3E96" w:rsidR="00042509" w:rsidRDefault="00042509" w:rsidP="00E164C2">
      <w:pPr>
        <w:pStyle w:val="ListBullet"/>
      </w:pPr>
      <w:r>
        <w:t>The MRI outcome measures were more convincing of efficacy than the clinical outcome measures.</w:t>
      </w:r>
    </w:p>
    <w:p w14:paraId="2ABDC2A1" w14:textId="0BB89474" w:rsidR="00042509" w:rsidRPr="00042509" w:rsidRDefault="00FA103D" w:rsidP="000B38AD">
      <w:r>
        <w:t>The sponsor</w:t>
      </w:r>
      <w:r w:rsidR="00042509">
        <w:t xml:space="preserve"> has not provided any data that explores the lowest effective dose.</w:t>
      </w:r>
      <w:r w:rsidR="0057702F">
        <w:t xml:space="preserve"> </w:t>
      </w:r>
      <w:r w:rsidR="00042509">
        <w:t xml:space="preserve">This was identified as a major issue at the time of initial approval but has not subsequently been addressed by </w:t>
      </w:r>
      <w:r>
        <w:t>the sponsor</w:t>
      </w:r>
      <w:r w:rsidR="00BC7DAC">
        <w:t>.</w:t>
      </w:r>
    </w:p>
    <w:p w14:paraId="4CE051DC" w14:textId="77777777" w:rsidR="008E7846" w:rsidRPr="002E238E" w:rsidRDefault="008E7846" w:rsidP="000B38AD">
      <w:pPr>
        <w:pStyle w:val="Heading3"/>
      </w:pPr>
      <w:bookmarkStart w:id="67" w:name="_Toc163441378"/>
      <w:bookmarkStart w:id="68" w:name="_Toc196046495"/>
      <w:bookmarkStart w:id="69" w:name="_Toc247691522"/>
      <w:bookmarkStart w:id="70" w:name="_Toc314842505"/>
      <w:bookmarkStart w:id="71" w:name="_Toc519257438"/>
      <w:bookmarkEnd w:id="63"/>
      <w:bookmarkEnd w:id="64"/>
      <w:bookmarkEnd w:id="65"/>
      <w:bookmarkEnd w:id="66"/>
      <w:r w:rsidRPr="000B38AD">
        <w:lastRenderedPageBreak/>
        <w:t>Safety</w:t>
      </w:r>
      <w:bookmarkEnd w:id="67"/>
      <w:bookmarkEnd w:id="68"/>
      <w:bookmarkEnd w:id="69"/>
      <w:bookmarkEnd w:id="70"/>
      <w:bookmarkEnd w:id="71"/>
    </w:p>
    <w:p w14:paraId="54B147AD" w14:textId="77777777" w:rsidR="00605AD4" w:rsidRDefault="00605AD4" w:rsidP="000B38AD">
      <w:pPr>
        <w:pStyle w:val="Heading4"/>
      </w:pPr>
      <w:bookmarkStart w:id="72" w:name="_Toc247691524"/>
      <w:bookmarkStart w:id="73" w:name="_Toc314842508"/>
      <w:bookmarkStart w:id="74" w:name="_Toc196046504"/>
      <w:bookmarkStart w:id="75" w:name="_Toc163441390"/>
      <w:r w:rsidRPr="00605AD4">
        <w:t xml:space="preserve">Studies </w:t>
      </w:r>
      <w:r w:rsidRPr="000B38AD">
        <w:t>providing</w:t>
      </w:r>
      <w:r w:rsidRPr="00605AD4">
        <w:t xml:space="preserve"> safety data</w:t>
      </w:r>
    </w:p>
    <w:p w14:paraId="3017A120" w14:textId="77777777" w:rsidR="00042509" w:rsidRDefault="00042509" w:rsidP="000B38AD">
      <w:pPr>
        <w:pStyle w:val="Heading5"/>
      </w:pPr>
      <w:r>
        <w:t>Pivotal studies that assessed safety as the sole primary outcome</w:t>
      </w:r>
    </w:p>
    <w:p w14:paraId="158D03F9" w14:textId="77777777" w:rsidR="00042509" w:rsidRDefault="00042509" w:rsidP="00042509">
      <w:r>
        <w:t>There were no pivotal studies that assessed safety as the sole primary outcome.</w:t>
      </w:r>
    </w:p>
    <w:p w14:paraId="5DDE1589" w14:textId="77777777" w:rsidR="00042509" w:rsidRDefault="00042509" w:rsidP="00074B3F">
      <w:pPr>
        <w:pStyle w:val="Heading5"/>
      </w:pPr>
      <w:r>
        <w:t>Pivotal and/or main efficacy studies</w:t>
      </w:r>
    </w:p>
    <w:p w14:paraId="2BED1DCF" w14:textId="0879E8D9" w:rsidR="00042509" w:rsidRDefault="00042509" w:rsidP="00042509">
      <w:r>
        <w:t>There were two pivotal studies conducted in patients with the proposed indication</w:t>
      </w:r>
      <w:r w:rsidR="00BC7DAC">
        <w:t xml:space="preserve"> of</w:t>
      </w:r>
      <w:r>
        <w:t xml:space="preserve"> RRMS</w:t>
      </w:r>
      <w:r w:rsidR="00BC7DAC">
        <w:t>,</w:t>
      </w:r>
      <w:r>
        <w:t xml:space="preserve"> Study 25643 CLARITY and Study 27820 CLARITY Extension.</w:t>
      </w:r>
    </w:p>
    <w:p w14:paraId="429D5D66" w14:textId="77777777" w:rsidR="00042509" w:rsidRDefault="00042509" w:rsidP="000B38AD">
      <w:r>
        <w:t>There were five other efficacy studies:</w:t>
      </w:r>
    </w:p>
    <w:p w14:paraId="2A14EBAC" w14:textId="47E681CE" w:rsidR="00042509" w:rsidRDefault="00042509" w:rsidP="00F04821">
      <w:pPr>
        <w:pStyle w:val="ListBullet"/>
      </w:pPr>
      <w:r>
        <w:t>Study 2-CdA-MS-SCRIPC, a Phase II study in patients with RRMS.</w:t>
      </w:r>
    </w:p>
    <w:p w14:paraId="7FA1E23F" w14:textId="710EA5C8" w:rsidR="00042509" w:rsidRDefault="00042509" w:rsidP="00F04821">
      <w:pPr>
        <w:pStyle w:val="ListBullet"/>
      </w:pPr>
      <w:r>
        <w:t>Study 2-CdA-MS-001, a Phase III study in patients with PPMS.</w:t>
      </w:r>
    </w:p>
    <w:p w14:paraId="00719702" w14:textId="08FEB947" w:rsidR="00042509" w:rsidRDefault="00042509" w:rsidP="00F04821">
      <w:pPr>
        <w:pStyle w:val="ListBullet"/>
      </w:pPr>
      <w:r>
        <w:t xml:space="preserve">Study 2-CdA-MS-SCRIPP, a Phase II study in patients with </w:t>
      </w:r>
      <w:r w:rsidR="00BC7DAC">
        <w:t xml:space="preserve">chronic progressive </w:t>
      </w:r>
      <w:r>
        <w:t>MS (CPMS).</w:t>
      </w:r>
    </w:p>
    <w:p w14:paraId="20BACE9E" w14:textId="2F168B72" w:rsidR="00042509" w:rsidRDefault="00042509" w:rsidP="00F04821">
      <w:pPr>
        <w:pStyle w:val="ListBullet"/>
      </w:pPr>
      <w:r>
        <w:t>Study 28821 ORACLE, a Phase III study in patients with a first clinical event at high risk of converting to MS.</w:t>
      </w:r>
    </w:p>
    <w:p w14:paraId="3995414B" w14:textId="77777777" w:rsidR="00042509" w:rsidRDefault="00042509" w:rsidP="00F04821">
      <w:pPr>
        <w:pStyle w:val="ListBullet"/>
      </w:pPr>
      <w:r>
        <w:t>Study 26593 ONWARD, a Phase IIb in patients with active MS.</w:t>
      </w:r>
    </w:p>
    <w:p w14:paraId="2DF69A93" w14:textId="0CB5D092" w:rsidR="00042509" w:rsidRDefault="00042509" w:rsidP="00F04821">
      <w:pPr>
        <w:pStyle w:val="Heading5"/>
      </w:pPr>
      <w:r>
        <w:t>Studies with evaluable safety data</w:t>
      </w:r>
      <w:r w:rsidR="000B38AD">
        <w:t>: dose finding and pharmacology</w:t>
      </w:r>
    </w:p>
    <w:p w14:paraId="6894BDBC" w14:textId="77777777" w:rsidR="00042509" w:rsidRDefault="00042509" w:rsidP="00042509">
      <w:r>
        <w:t>There were nine clinical pharmacology studies: Study IXR-102-09-186, Study 25803, Study 26127, Study IXR-101-09-186, Study 6226/6414, Study 93-220, Study JK-6251-1, Study 26486 and Study 27967.</w:t>
      </w:r>
    </w:p>
    <w:p w14:paraId="2D3FC850" w14:textId="77777777" w:rsidR="00042509" w:rsidRDefault="00042509" w:rsidP="00042509">
      <w:r>
        <w:t>The safety data from the clinical pharmacology studies are limited by the short duration of drug exposure and follow-up.</w:t>
      </w:r>
    </w:p>
    <w:p w14:paraId="02F477F0" w14:textId="77777777" w:rsidR="00042509" w:rsidRDefault="00042509" w:rsidP="00F04821">
      <w:pPr>
        <w:pStyle w:val="Heading5"/>
      </w:pPr>
      <w:r>
        <w:t>Studies evaluable for safety only</w:t>
      </w:r>
    </w:p>
    <w:p w14:paraId="77A9E19D" w14:textId="77777777" w:rsidR="00042509" w:rsidRDefault="00042509" w:rsidP="00F04821">
      <w:pPr>
        <w:pStyle w:val="Heading6"/>
      </w:pPr>
      <w:r>
        <w:t>Study 2-CdA-MS-SCRIPB</w:t>
      </w:r>
    </w:p>
    <w:p w14:paraId="4B41436A" w14:textId="60008539" w:rsidR="00042509" w:rsidRDefault="00042509" w:rsidP="00042509">
      <w:r>
        <w:t xml:space="preserve">Study 2-CdA-MS-SCRIPB was a Phase II, double blind, placebo controlled, </w:t>
      </w:r>
      <w:r w:rsidR="00F04821">
        <w:t>p</w:t>
      </w:r>
      <w:r>
        <w:t xml:space="preserve">arallel group crossover study in patients with </w:t>
      </w:r>
      <w:r w:rsidR="00F04821">
        <w:t xml:space="preserve">primary </w:t>
      </w:r>
      <w:r>
        <w:t>progressive MS (PPMS).</w:t>
      </w:r>
      <w:r w:rsidR="0057702F">
        <w:t xml:space="preserve"> </w:t>
      </w:r>
      <w:r>
        <w:t>The study was of 12</w:t>
      </w:r>
      <w:r w:rsidR="00BC7DAC">
        <w:t> </w:t>
      </w:r>
      <w:r>
        <w:t>months duration and was conducted in 11 patients.</w:t>
      </w:r>
      <w:r w:rsidR="0057702F">
        <w:t xml:space="preserve"> </w:t>
      </w:r>
      <w:r>
        <w:t>The study included patients with PPMS, aged between 21 and 55 years age and able to ambulate a minimum of 25 feet.</w:t>
      </w:r>
      <w:r w:rsidR="0057702F">
        <w:t xml:space="preserve"> </w:t>
      </w:r>
      <w:r>
        <w:t>The study treatments were:</w:t>
      </w:r>
    </w:p>
    <w:p w14:paraId="21C42256" w14:textId="77777777" w:rsidR="00042509" w:rsidRDefault="00042509" w:rsidP="00F04821">
      <w:pPr>
        <w:pStyle w:val="Numberbullet0"/>
      </w:pPr>
      <w:r>
        <w:t xml:space="preserve">Cladribine 2.1 mg/kg (0.07 mg/kg/day </w:t>
      </w:r>
      <w:r w:rsidR="00F04821">
        <w:t>SC</w:t>
      </w:r>
      <w:r>
        <w:t xml:space="preserve"> for 5 days per course, for 6 courses)</w:t>
      </w:r>
    </w:p>
    <w:p w14:paraId="7C65F523" w14:textId="77777777" w:rsidR="00042509" w:rsidRDefault="00042509" w:rsidP="00F04821">
      <w:pPr>
        <w:pStyle w:val="Numberbullet0"/>
      </w:pPr>
      <w:r>
        <w:t xml:space="preserve">Cladribine 0.7 mg/kg (0.07 mg/kg/day </w:t>
      </w:r>
      <w:r w:rsidR="00F04821">
        <w:t>SC</w:t>
      </w:r>
      <w:r>
        <w:t xml:space="preserve"> for 5 days per course, for 2 courses), followed by an additional four courses in the second phase</w:t>
      </w:r>
    </w:p>
    <w:p w14:paraId="6E7A2CE2" w14:textId="08E70D37" w:rsidR="00042509" w:rsidRDefault="00042509" w:rsidP="00F04821">
      <w:pPr>
        <w:pStyle w:val="Numberbullet0"/>
      </w:pPr>
      <w:r>
        <w:t xml:space="preserve">Placebo, followed by cladribine 2.1 mg/kg (0.07 mg/kg/day </w:t>
      </w:r>
      <w:r w:rsidR="00F04821">
        <w:t>SC</w:t>
      </w:r>
      <w:r>
        <w:t xml:space="preserve"> for 5 days per course, for 6 courses) in the second phase</w:t>
      </w:r>
      <w:r w:rsidR="00425339">
        <w:t>.</w:t>
      </w:r>
    </w:p>
    <w:p w14:paraId="6018CCF7" w14:textId="378C1341" w:rsidR="00042509" w:rsidRDefault="00042509" w:rsidP="00042509">
      <w:r>
        <w:t xml:space="preserve">The efficacy outcome measures were </w:t>
      </w:r>
      <w:r w:rsidR="00425339">
        <w:t xml:space="preserve">the </w:t>
      </w:r>
      <w:r w:rsidR="00F04821" w:rsidRPr="00F04821">
        <w:t xml:space="preserve">Expanded Disability Status Scale </w:t>
      </w:r>
      <w:r w:rsidR="00F04821">
        <w:t>(</w:t>
      </w:r>
      <w:r>
        <w:t>EDSS</w:t>
      </w:r>
      <w:r w:rsidR="00F04821">
        <w:t>)</w:t>
      </w:r>
      <w:r w:rsidR="00425339">
        <w:t>,</w:t>
      </w:r>
      <w:r>
        <w:t xml:space="preserve"> </w:t>
      </w:r>
      <w:r w:rsidR="00F04821" w:rsidRPr="00F04821">
        <w:t xml:space="preserve">Scripps </w:t>
      </w:r>
      <w:r w:rsidR="00425339" w:rsidRPr="00F04821">
        <w:t xml:space="preserve">Neurological Rating Scale </w:t>
      </w:r>
      <w:r w:rsidR="00F04821">
        <w:t>(</w:t>
      </w:r>
      <w:r>
        <w:t>SNRS</w:t>
      </w:r>
      <w:r w:rsidR="00F04821">
        <w:t>)</w:t>
      </w:r>
      <w:r>
        <w:t xml:space="preserve"> and MRI brain scan at the end of each 6 month phase.</w:t>
      </w:r>
      <w:r w:rsidR="0057702F">
        <w:t xml:space="preserve"> </w:t>
      </w:r>
      <w:r>
        <w:t>The safety outcome measures included AEs, clinical laboratory tests and vital signs.</w:t>
      </w:r>
      <w:r w:rsidR="0057702F">
        <w:t xml:space="preserve"> </w:t>
      </w:r>
      <w:r>
        <w:t>There were 11 patients entered into the study, ten entered the second phase and a further two discontinued during the second phase.</w:t>
      </w:r>
      <w:r w:rsidR="0057702F">
        <w:t xml:space="preserve"> </w:t>
      </w:r>
      <w:r>
        <w:t>There were eight females, three males and the age range was 35 to 55 years.</w:t>
      </w:r>
    </w:p>
    <w:p w14:paraId="327C0B1B" w14:textId="77777777" w:rsidR="00042509" w:rsidRDefault="00042509" w:rsidP="00042509">
      <w:r>
        <w:t xml:space="preserve">During the initial phase </w:t>
      </w:r>
      <w:r w:rsidR="00F04821">
        <w:t>treatment-emergent adverse events (</w:t>
      </w:r>
      <w:r>
        <w:t>TEAEs</w:t>
      </w:r>
      <w:r w:rsidR="00F04821">
        <w:t>)</w:t>
      </w:r>
      <w:r>
        <w:t xml:space="preserve"> were reported in seven (87.5%) patients treated with cladribine and three (100%) treated with placebo.</w:t>
      </w:r>
      <w:r w:rsidR="0057702F">
        <w:t xml:space="preserve"> </w:t>
      </w:r>
      <w:r>
        <w:t>The commonest TEAE was urinary tract infection in four subjects in the cladribine group.</w:t>
      </w:r>
      <w:r w:rsidR="0057702F">
        <w:t xml:space="preserve"> </w:t>
      </w:r>
      <w:r>
        <w:t>Lympho</w:t>
      </w:r>
      <w:r w:rsidR="002A3ED4">
        <w:t>paenia</w:t>
      </w:r>
      <w:r>
        <w:t xml:space="preserve"> occurred in all the cladribine treated patients.</w:t>
      </w:r>
      <w:r w:rsidR="0057702F">
        <w:t xml:space="preserve"> </w:t>
      </w:r>
      <w:r>
        <w:t xml:space="preserve">TEAEs were reported in all </w:t>
      </w:r>
      <w:r>
        <w:lastRenderedPageBreak/>
        <w:t>patients in the retreatment phase.</w:t>
      </w:r>
      <w:r w:rsidR="0057702F">
        <w:t xml:space="preserve"> </w:t>
      </w:r>
      <w:r>
        <w:t>One patient developed herpes zoster infection.</w:t>
      </w:r>
      <w:r w:rsidR="0057702F">
        <w:t xml:space="preserve"> </w:t>
      </w:r>
      <w:r>
        <w:t xml:space="preserve">There were no deaths or </w:t>
      </w:r>
      <w:r w:rsidR="00F04821">
        <w:t>serious adverse events (</w:t>
      </w:r>
      <w:r>
        <w:t>SAEs</w:t>
      </w:r>
      <w:r w:rsidR="00F04821">
        <w:t>)</w:t>
      </w:r>
      <w:r>
        <w:t>.</w:t>
      </w:r>
      <w:r w:rsidR="0057702F">
        <w:t xml:space="preserve"> </w:t>
      </w:r>
      <w:r>
        <w:t>No hypothesis tests were performed on the efficacy data.</w:t>
      </w:r>
    </w:p>
    <w:p w14:paraId="5BC2C973" w14:textId="77777777" w:rsidR="00042509" w:rsidRDefault="00042509" w:rsidP="00F04821">
      <w:pPr>
        <w:pStyle w:val="Heading6"/>
      </w:pPr>
      <w:r>
        <w:t>Study 2-CdA-MS-SCRIPA</w:t>
      </w:r>
    </w:p>
    <w:p w14:paraId="5AB714EC" w14:textId="7E6354F8" w:rsidR="00042509" w:rsidRDefault="00042509" w:rsidP="00042509">
      <w:r>
        <w:t xml:space="preserve">Study 2-CdA-MS-SCRIPA was an open label, Phase II, </w:t>
      </w:r>
      <w:r w:rsidR="00D31B59">
        <w:t>‘</w:t>
      </w:r>
      <w:r>
        <w:t>proof-of-concept</w:t>
      </w:r>
      <w:r w:rsidR="00D31B59">
        <w:t>’</w:t>
      </w:r>
      <w:r>
        <w:t xml:space="preserve"> study in patients with PPMS.</w:t>
      </w:r>
      <w:r w:rsidR="0057702F">
        <w:t xml:space="preserve"> </w:t>
      </w:r>
      <w:r>
        <w:t>The study was conducted at a single centre in the US from December 1989 to May 1998.</w:t>
      </w:r>
      <w:r w:rsidR="0057702F">
        <w:t xml:space="preserve"> </w:t>
      </w:r>
      <w:r>
        <w:t>The study included male or female patients</w:t>
      </w:r>
      <w:r w:rsidR="00425339">
        <w:t>,</w:t>
      </w:r>
      <w:r>
        <w:t xml:space="preserve"> aged 21 to 55 years</w:t>
      </w:r>
      <w:r w:rsidR="00425339">
        <w:t>,</w:t>
      </w:r>
      <w:r>
        <w:t xml:space="preserve"> with PPMS</w:t>
      </w:r>
      <w:r w:rsidR="00425339">
        <w:t xml:space="preserve"> and</w:t>
      </w:r>
      <w:r>
        <w:t xml:space="preserve"> who were not severely disabled or wheelchair bound.</w:t>
      </w:r>
      <w:r w:rsidR="0057702F">
        <w:t xml:space="preserve"> </w:t>
      </w:r>
      <w:r>
        <w:t>The study treatment was</w:t>
      </w:r>
      <w:r w:rsidR="00425339">
        <w:t xml:space="preserve"> </w:t>
      </w:r>
      <w:r>
        <w:t>cladribine 3.65 mg/kg (0.87 mg/kg/day over 7 days as a continuous infusion, for six courses, monthly).</w:t>
      </w:r>
      <w:r w:rsidR="0057702F">
        <w:t xml:space="preserve"> </w:t>
      </w:r>
      <w:r>
        <w:t>Three patients received half of this dose.</w:t>
      </w:r>
      <w:r w:rsidR="0057702F">
        <w:t xml:space="preserve"> </w:t>
      </w:r>
      <w:r>
        <w:t>The efficacy outcome measures were neurological symptoms and disability scores: EDSS and SNRS scales.</w:t>
      </w:r>
      <w:r w:rsidR="0057702F">
        <w:t xml:space="preserve"> </w:t>
      </w:r>
      <w:r>
        <w:t>The study included seven patients: five females and two males.</w:t>
      </w:r>
      <w:r w:rsidR="0057702F">
        <w:t xml:space="preserve"> </w:t>
      </w:r>
      <w:r>
        <w:t>Total exposure ranged from 1.21 to 5.10 mg/kg.</w:t>
      </w:r>
      <w:r w:rsidR="0057702F">
        <w:t xml:space="preserve"> </w:t>
      </w:r>
      <w:r>
        <w:t>The most commonly reported TEAE was nausea in four (57.1%) patients and insomnia was reported in four (66.7%) of six patients who entered the follow-up phase.</w:t>
      </w:r>
      <w:r w:rsidR="0057702F">
        <w:t xml:space="preserve"> </w:t>
      </w:r>
      <w:r>
        <w:t>There was one death due to cardiac arrest 3 years after last dose of cladribine.</w:t>
      </w:r>
      <w:r w:rsidR="0057702F">
        <w:t xml:space="preserve"> </w:t>
      </w:r>
      <w:r>
        <w:t>SAEs were reported in three patients (pancyto</w:t>
      </w:r>
      <w:r w:rsidR="002A3ED4">
        <w:t>paenia</w:t>
      </w:r>
      <w:r>
        <w:t>, gastrointestinal haemorrhage, bronchitis, pneumonia, pyelonephritis, sinusitis, haemoglobin decreased, MS, haemangioma</w:t>
      </w:r>
      <w:r w:rsidR="00455A38">
        <w:t xml:space="preserve"> and</w:t>
      </w:r>
      <w:r>
        <w:t xml:space="preserve"> skin lesion).</w:t>
      </w:r>
      <w:r w:rsidR="0057702F">
        <w:t xml:space="preserve"> </w:t>
      </w:r>
      <w:r>
        <w:t>Three patients discontinued study treatment</w:t>
      </w:r>
      <w:r w:rsidR="00455A38">
        <w:t>;</w:t>
      </w:r>
      <w:r>
        <w:t xml:space="preserve"> one because of AE.</w:t>
      </w:r>
      <w:r w:rsidR="0057702F">
        <w:t xml:space="preserve"> </w:t>
      </w:r>
      <w:r>
        <w:t>Lymphocyte count shifted from normal to low in four (57.1%) patients and Grade 3/4 lymphocyte toxicity was recorded in six (85.7%) patients.</w:t>
      </w:r>
    </w:p>
    <w:p w14:paraId="3CAA7AE6" w14:textId="43BF9CEA" w:rsidR="00042509" w:rsidRDefault="009C6854" w:rsidP="00455A38">
      <w:pPr>
        <w:pStyle w:val="Heading6"/>
      </w:pPr>
      <w:r>
        <w:t xml:space="preserve">Study </w:t>
      </w:r>
      <w:r w:rsidR="00042509">
        <w:t xml:space="preserve">PREMIERE </w:t>
      </w:r>
      <w:r>
        <w:t>registry</w:t>
      </w:r>
    </w:p>
    <w:p w14:paraId="7339A93C" w14:textId="076C5671" w:rsidR="00042509" w:rsidRDefault="009C6854" w:rsidP="00042509">
      <w:r>
        <w:t xml:space="preserve">The Study </w:t>
      </w:r>
      <w:r w:rsidR="00042509">
        <w:t xml:space="preserve">PREMIERE </w:t>
      </w:r>
      <w:r>
        <w:t xml:space="preserve">registry </w:t>
      </w:r>
      <w:r w:rsidR="00042509">
        <w:t>was a long</w:t>
      </w:r>
      <w:r w:rsidR="00455A38">
        <w:t xml:space="preserve"> </w:t>
      </w:r>
      <w:r w:rsidR="00042509">
        <w:t>term safety monitoring study.</w:t>
      </w:r>
      <w:r w:rsidR="0057702F">
        <w:t xml:space="preserve"> </w:t>
      </w:r>
      <w:r w:rsidR="00042509">
        <w:t>The study included patients who had participated in CLARITY, CLARITY Extension, ONWARD, ORACLE and Study</w:t>
      </w:r>
      <w:r w:rsidR="00425339">
        <w:t> </w:t>
      </w:r>
      <w:r w:rsidR="00042509">
        <w:t>27967.</w:t>
      </w:r>
      <w:r w:rsidR="0057702F">
        <w:t xml:space="preserve"> </w:t>
      </w:r>
      <w:r w:rsidR="00042509">
        <w:t>The study is ongoing and the report providing interim data is dated May</w:t>
      </w:r>
      <w:r w:rsidR="00425339">
        <w:t> </w:t>
      </w:r>
      <w:r w:rsidR="00042509">
        <w:t>2016.</w:t>
      </w:r>
      <w:r w:rsidR="0057702F">
        <w:t xml:space="preserve"> </w:t>
      </w:r>
      <w:r w:rsidR="00042509">
        <w:t>The data were collected using telephone contacts every 3 months for 2 years</w:t>
      </w:r>
      <w:r w:rsidR="00455A38">
        <w:t xml:space="preserve"> and</w:t>
      </w:r>
      <w:r w:rsidR="00042509">
        <w:t xml:space="preserve"> then yearly.</w:t>
      </w:r>
      <w:r w:rsidR="0057702F">
        <w:t xml:space="preserve"> </w:t>
      </w:r>
      <w:r w:rsidR="00042509">
        <w:t>Data from 1153 patients are included in the registry but patients from Study 27967 and those with non-matching record numbers are excluded from the safety analysis, leaving 1,133 patients in the safety analysis.</w:t>
      </w:r>
      <w:r w:rsidR="0057702F">
        <w:t xml:space="preserve"> </w:t>
      </w:r>
      <w:r w:rsidR="00042509">
        <w:t>There were 941 patients who had received at least one dose of cladribine with a mean (SD)</w:t>
      </w:r>
      <w:r w:rsidR="0057702F">
        <w:t xml:space="preserve"> </w:t>
      </w:r>
      <w:r w:rsidR="00042509">
        <w:t>total dose of 4.742</w:t>
      </w:r>
      <w:r w:rsidR="00425339">
        <w:t> </w:t>
      </w:r>
      <w:r w:rsidR="00042509">
        <w:t>(2.082)</w:t>
      </w:r>
      <w:r w:rsidR="00425339">
        <w:t> </w:t>
      </w:r>
      <w:r w:rsidR="00042509">
        <w:t>mg/kg.</w:t>
      </w:r>
      <w:r w:rsidR="0057702F">
        <w:t xml:space="preserve"> </w:t>
      </w:r>
      <w:r w:rsidR="00042509">
        <w:t>There were 192 patients who had received placebo with no cladribine exposure.</w:t>
      </w:r>
      <w:r w:rsidR="0057702F">
        <w:t xml:space="preserve"> </w:t>
      </w:r>
      <w:r w:rsidR="00042509">
        <w:t>In the cladribine group, 319 (33.9%) patients were subsequently exposed to other disease modifying drugs, predominantly IFN-β.</w:t>
      </w:r>
    </w:p>
    <w:p w14:paraId="061E6148" w14:textId="4DAE089D" w:rsidR="00042509" w:rsidRDefault="009C6854" w:rsidP="00455A38">
      <w:pPr>
        <w:pStyle w:val="Heading6"/>
      </w:pPr>
      <w:r>
        <w:t xml:space="preserve">Study </w:t>
      </w:r>
      <w:r w:rsidR="00042509">
        <w:t xml:space="preserve">RECORD MS registry </w:t>
      </w:r>
    </w:p>
    <w:p w14:paraId="5686ABA5" w14:textId="623CECBD" w:rsidR="00042509" w:rsidRDefault="00455A38" w:rsidP="00042509">
      <w:r>
        <w:t>A</w:t>
      </w:r>
      <w:r w:rsidR="00042509">
        <w:t xml:space="preserve"> prospective, observational, post-authorisation study of cladribine tablets in cladribine-naïve patients in the Australian Patient Familiarisation Program</w:t>
      </w:r>
      <w:r>
        <w:t>. It is discussed in Attachment 2</w:t>
      </w:r>
      <w:r w:rsidR="00425339">
        <w:t xml:space="preserve">, </w:t>
      </w:r>
      <w:r>
        <w:t>Section 8</w:t>
      </w:r>
      <w:r w:rsidR="00042509">
        <w:t>.</w:t>
      </w:r>
    </w:p>
    <w:p w14:paraId="0773C464" w14:textId="77777777" w:rsidR="00605AD4" w:rsidRDefault="00605AD4" w:rsidP="00605AD4">
      <w:pPr>
        <w:pStyle w:val="Heading4"/>
      </w:pPr>
      <w:r w:rsidRPr="00605AD4">
        <w:t>Patient exposure</w:t>
      </w:r>
    </w:p>
    <w:p w14:paraId="7F41F5EF" w14:textId="77777777" w:rsidR="00042509" w:rsidRDefault="00042509" w:rsidP="00455A38">
      <w:pPr>
        <w:pStyle w:val="Heading5"/>
      </w:pPr>
      <w:r>
        <w:t>Integrated safety analysis</w:t>
      </w:r>
    </w:p>
    <w:p w14:paraId="2084C837" w14:textId="227FB7F8" w:rsidR="00042509" w:rsidRDefault="00042509" w:rsidP="00042509">
      <w:r>
        <w:t xml:space="preserve">In the integrated safety analysis there were 1976 patients exposed to cladribine for a total of 8650.16 patient years of follow-up and 802 patients exposed to placebo for a total of 2361.13 patient years </w:t>
      </w:r>
      <w:r w:rsidR="00455A38">
        <w:t xml:space="preserve">of </w:t>
      </w:r>
      <w:r>
        <w:t>follow-up.</w:t>
      </w:r>
      <w:r w:rsidR="0057702F">
        <w:t xml:space="preserve"> </w:t>
      </w:r>
      <w:r>
        <w:t>Cumulative dose was in the range &gt;</w:t>
      </w:r>
      <w:r w:rsidR="00425339">
        <w:t> </w:t>
      </w:r>
      <w:r>
        <w:t>0 to 3.5 mg/kg for 439 patients, &gt;</w:t>
      </w:r>
      <w:r w:rsidR="00425339">
        <w:t> </w:t>
      </w:r>
      <w:r>
        <w:t>3.5 to 5.25 mg/kg for 759, &gt;</w:t>
      </w:r>
      <w:r w:rsidR="00425339">
        <w:t> </w:t>
      </w:r>
      <w:r>
        <w:t>5.25 to 7.0 mg/kg for 418, &gt;</w:t>
      </w:r>
      <w:r w:rsidR="00425339">
        <w:t> </w:t>
      </w:r>
      <w:r>
        <w:t>7.0 to 8.75 mg/kg for 213 and &gt;</w:t>
      </w:r>
      <w:r w:rsidR="00425339">
        <w:t> </w:t>
      </w:r>
      <w:r>
        <w:t>8.75 mg/kg for 147</w:t>
      </w:r>
      <w:r w:rsidR="00455A38">
        <w:t xml:space="preserve"> patients</w:t>
      </w:r>
      <w:r>
        <w:t>.</w:t>
      </w:r>
    </w:p>
    <w:p w14:paraId="21019929" w14:textId="77777777" w:rsidR="00042509" w:rsidRDefault="00455A38" w:rsidP="00455A38">
      <w:pPr>
        <w:pStyle w:val="Heading5"/>
      </w:pPr>
      <w:r>
        <w:t>Clinical pharmacology studies</w:t>
      </w:r>
    </w:p>
    <w:p w14:paraId="555D6FB1" w14:textId="77777777" w:rsidR="00042509" w:rsidRDefault="00042509" w:rsidP="00042509">
      <w:r>
        <w:t>In Study IXR-102-09-186 there were 26 patients with MS exposed to single doses of three treatments: cladribine 3 mg orally, cladribine 10 mg orally and cladribine 3 mg IV.</w:t>
      </w:r>
    </w:p>
    <w:p w14:paraId="7C92C32C" w14:textId="77777777" w:rsidR="00042509" w:rsidRDefault="00042509" w:rsidP="00042509">
      <w:r>
        <w:t>In Study 25803 there were 16 patients with MS exposed to a single oral 10 mg dose and a single 3 mg IV dose.</w:t>
      </w:r>
    </w:p>
    <w:p w14:paraId="25566214" w14:textId="77777777" w:rsidR="00042509" w:rsidRDefault="00042509" w:rsidP="00042509">
      <w:r>
        <w:lastRenderedPageBreak/>
        <w:t>In Study 26127 there were 16 subjects exposed to two single 10 mg doses of cladribine, one each in the fed and fasted states.</w:t>
      </w:r>
    </w:p>
    <w:p w14:paraId="7DFD4CBD" w14:textId="77777777" w:rsidR="00042509" w:rsidRDefault="00042509" w:rsidP="00042509">
      <w:r>
        <w:t>In Study IXR-101-09-186 there were 12 patients exposed to three oral and one IV single doses of 3 mg cladribine.</w:t>
      </w:r>
    </w:p>
    <w:p w14:paraId="7975E6B1" w14:textId="47F2EE0C" w:rsidR="00042509" w:rsidRDefault="00042509" w:rsidP="00042509">
      <w:r>
        <w:t xml:space="preserve">In Study 6226/Study 6414 there were 61 patients with haematological malignancies or solid tumours exposed to </w:t>
      </w:r>
      <w:r w:rsidR="00455A38">
        <w:t>IV</w:t>
      </w:r>
      <w:r>
        <w:t xml:space="preserve"> doses in the range of 2.5 to 21.5 mg/m2/day.</w:t>
      </w:r>
    </w:p>
    <w:p w14:paraId="3B201434" w14:textId="4DA3274A" w:rsidR="00042509" w:rsidRDefault="00042509" w:rsidP="00042509">
      <w:r>
        <w:t>In Study 93-220</w:t>
      </w:r>
      <w:r w:rsidR="00842A49">
        <w:t>,</w:t>
      </w:r>
      <w:r>
        <w:t xml:space="preserve"> ten patients with advanced malignancy were exposed to cladribine 1</w:t>
      </w:r>
      <w:r w:rsidR="00842A49">
        <w:t> </w:t>
      </w:r>
      <w:r>
        <w:t xml:space="preserve">mg/mL oral solution, 0.28 mg/kg/day for 5 days, followed by a month break, then cladribine 1 mg/mL IV solution (Leustatin), 0.14 mg/kg/day administered </w:t>
      </w:r>
      <w:r w:rsidR="00455A38">
        <w:t>IV</w:t>
      </w:r>
      <w:r>
        <w:t xml:space="preserve"> over 2 hours, daily for 5 days.</w:t>
      </w:r>
    </w:p>
    <w:p w14:paraId="58B3EB20" w14:textId="4BF55431" w:rsidR="00042509" w:rsidRDefault="00842A49" w:rsidP="00042509">
      <w:r>
        <w:t xml:space="preserve">In </w:t>
      </w:r>
      <w:r w:rsidR="00042509">
        <w:t>Study JK-6251-1 there were nine patients with lymphoid malignancies exposed to cladribine 1 mg/mL solution, 0.06 to 0.09 mg/kg/day continuous IV infusion for 7 days, for up to three courses.</w:t>
      </w:r>
    </w:p>
    <w:p w14:paraId="09501B78" w14:textId="07270F10" w:rsidR="00042509" w:rsidRDefault="00042509" w:rsidP="00042509">
      <w:r>
        <w:t>In Study 26486 there were 17 patients with MS exposed to the combination of IFN-β-1a 44</w:t>
      </w:r>
      <w:r w:rsidR="00842A49">
        <w:t> μg</w:t>
      </w:r>
      <w:r>
        <w:t xml:space="preserve"> every second day and cladribine 10 to 20 mg daily for 5 days.</w:t>
      </w:r>
      <w:r w:rsidR="0057702F">
        <w:t xml:space="preserve"> </w:t>
      </w:r>
    </w:p>
    <w:p w14:paraId="613A9333" w14:textId="77777777" w:rsidR="00042509" w:rsidRDefault="00042509" w:rsidP="00042509">
      <w:r>
        <w:t>In Study 27967</w:t>
      </w:r>
      <w:r w:rsidR="00D21502">
        <w:t>,</w:t>
      </w:r>
      <w:r>
        <w:t xml:space="preserve"> 18 subjects received up to two single doses of cladribine 10 mg orally.</w:t>
      </w:r>
    </w:p>
    <w:p w14:paraId="1F2DE5BE" w14:textId="77777777" w:rsidR="00042509" w:rsidRDefault="00042509" w:rsidP="000B38AD">
      <w:pPr>
        <w:pStyle w:val="Heading5"/>
      </w:pPr>
      <w:r>
        <w:t xml:space="preserve">Pivotal </w:t>
      </w:r>
      <w:r w:rsidRPr="000B38AD">
        <w:t>studies</w:t>
      </w:r>
    </w:p>
    <w:p w14:paraId="3ED3782D" w14:textId="77777777" w:rsidR="00042509" w:rsidRDefault="00042509" w:rsidP="00042509">
      <w:r>
        <w:t xml:space="preserve">In Study 25643 CLARITY there were 454 subjects enrolled to have 5.25 mg/kg, and 390 (85.9%) </w:t>
      </w:r>
      <w:r w:rsidR="00055658">
        <w:t xml:space="preserve">patients </w:t>
      </w:r>
      <w:r>
        <w:t xml:space="preserve">received the full course of treatment; 430 subjects enrolled to have 3.5 mg/kg, and 395 (91.9%) </w:t>
      </w:r>
      <w:r w:rsidR="00055658">
        <w:t xml:space="preserve">patients </w:t>
      </w:r>
      <w:r>
        <w:t xml:space="preserve">received the full course of treatment; and 435 </w:t>
      </w:r>
      <w:r w:rsidR="00055658">
        <w:t xml:space="preserve">patients </w:t>
      </w:r>
      <w:r>
        <w:t>enrolled to receive placebo.</w:t>
      </w:r>
    </w:p>
    <w:p w14:paraId="51B61B22" w14:textId="77777777" w:rsidR="00042509" w:rsidRDefault="00042509" w:rsidP="00042509">
      <w:r>
        <w:t xml:space="preserve">In Study 27820 CLARITY Extension there were 98 patients exposed to LLPP (total dose 3.5 mg/kg), 92 to </w:t>
      </w:r>
      <w:r w:rsidR="0019574F" w:rsidRPr="0019574F">
        <w:t xml:space="preserve">Cladribine high dose/placebo </w:t>
      </w:r>
      <w:r w:rsidR="0019574F">
        <w:t>(</w:t>
      </w:r>
      <w:r>
        <w:t>HLPP</w:t>
      </w:r>
      <w:r w:rsidR="0019574F">
        <w:t>)</w:t>
      </w:r>
      <w:r>
        <w:t xml:space="preserve"> (total dose 5.25 mg/kg), 186 to LLLL (total dose 7 mg/kg), 186 to HLLL (total dose 8.25 mg/kg) and 244 to </w:t>
      </w:r>
      <w:r w:rsidR="0019574F" w:rsidRPr="0019574F">
        <w:t xml:space="preserve">Placebo/cladribine low dose </w:t>
      </w:r>
      <w:r w:rsidR="0019574F">
        <w:t>(</w:t>
      </w:r>
      <w:r>
        <w:t>PPLL</w:t>
      </w:r>
      <w:r w:rsidR="0019574F">
        <w:t>)</w:t>
      </w:r>
      <w:r>
        <w:t xml:space="preserve"> (total dose 3.5 mg/kg).</w:t>
      </w:r>
    </w:p>
    <w:p w14:paraId="523BB773" w14:textId="77777777" w:rsidR="00042509" w:rsidRDefault="00055658" w:rsidP="00055658">
      <w:pPr>
        <w:pStyle w:val="Heading5"/>
      </w:pPr>
      <w:r>
        <w:t>Other efficacy studies</w:t>
      </w:r>
    </w:p>
    <w:p w14:paraId="57F99749" w14:textId="77777777" w:rsidR="00042509" w:rsidRDefault="00042509" w:rsidP="00042509">
      <w:r>
        <w:t>In Study 2-CdA-MS-SCRIPC there were 26 patients with RRMS exposed to 2.1 mg/kg over an 8 month period, and 23 exposed to placebo.</w:t>
      </w:r>
      <w:r w:rsidR="0057702F">
        <w:t xml:space="preserve"> </w:t>
      </w:r>
      <w:r>
        <w:t>Twelve patients were entered into an open</w:t>
      </w:r>
      <w:r w:rsidR="00055658">
        <w:t xml:space="preserve"> </w:t>
      </w:r>
      <w:r>
        <w:t>label extension study and received a mean dose of 1.38 mg/kg over a mean duration of 22.8 months.</w:t>
      </w:r>
    </w:p>
    <w:p w14:paraId="1D2DA390" w14:textId="77777777" w:rsidR="00042509" w:rsidRDefault="00042509" w:rsidP="00055658">
      <w:pPr>
        <w:pStyle w:val="Heading5"/>
      </w:pPr>
      <w:r>
        <w:t>Studies for other indications</w:t>
      </w:r>
    </w:p>
    <w:p w14:paraId="7AE88F32" w14:textId="528BFE9B" w:rsidR="00042509" w:rsidRDefault="00042509" w:rsidP="00042509">
      <w:r>
        <w:t>In Study 2-CdA-MS-001 there were 52 patients with PPMS exposed to cladribine 2.1</w:t>
      </w:r>
      <w:r w:rsidR="00387396">
        <w:t> </w:t>
      </w:r>
      <w:r>
        <w:t xml:space="preserve">mg/kg, 53 </w:t>
      </w:r>
      <w:r w:rsidR="00055658">
        <w:t xml:space="preserve">patients exposed </w:t>
      </w:r>
      <w:r>
        <w:t xml:space="preserve">to cladribine 0.7 mg/kg and 54 </w:t>
      </w:r>
      <w:r w:rsidR="00055658">
        <w:t>patients given</w:t>
      </w:r>
      <w:r>
        <w:t xml:space="preserve"> placebo.</w:t>
      </w:r>
    </w:p>
    <w:p w14:paraId="46CA60BB" w14:textId="77777777" w:rsidR="00042509" w:rsidRDefault="00042509" w:rsidP="00042509">
      <w:r>
        <w:t>In Study 2-CdA-MS-SCRIPP there were 48 patients with CP</w:t>
      </w:r>
      <w:r w:rsidR="00F826F3">
        <w:t>M</w:t>
      </w:r>
      <w:r>
        <w:t>S exposed to cladribine: 25 to cladribine 2.8 mg/kg and 23 to cladribine 1.4 mg/kg.</w:t>
      </w:r>
    </w:p>
    <w:p w14:paraId="5CEDD19B" w14:textId="77777777" w:rsidR="00042509" w:rsidRDefault="00042509" w:rsidP="00042509">
      <w:r>
        <w:t>In Study 28821 ORACLE there were 204 patients with a first clinical event at high risk of converting to MS randomised to cladribine 5.25 mg/kg, 206 to 3.5 mg/kg and 206 to placebo.</w:t>
      </w:r>
      <w:r w:rsidR="0057702F">
        <w:t xml:space="preserve"> </w:t>
      </w:r>
      <w:r>
        <w:t>There were 99 (48.5%) who completed the f</w:t>
      </w:r>
      <w:r w:rsidR="00055658">
        <w:t>u</w:t>
      </w:r>
      <w:r>
        <w:t xml:space="preserve">ll course for 5.25 mg/kg and 131 (63.6%) </w:t>
      </w:r>
      <w:r w:rsidR="00055658">
        <w:t xml:space="preserve">patients who completed </w:t>
      </w:r>
      <w:r>
        <w:t>for 3.5 mg/kg.</w:t>
      </w:r>
    </w:p>
    <w:p w14:paraId="2A8F01D3" w14:textId="5FB35BF2" w:rsidR="00042509" w:rsidRPr="00042509" w:rsidRDefault="00042509" w:rsidP="00042509">
      <w:r>
        <w:t>Study 26593 ONWARD there were 124 patients with active MS exposed to cladribine 3.5</w:t>
      </w:r>
      <w:r w:rsidR="00EE3405">
        <w:t> </w:t>
      </w:r>
      <w:r>
        <w:t xml:space="preserve">mg in combinations with IFN-β, and 48 </w:t>
      </w:r>
      <w:r w:rsidR="00055658">
        <w:t xml:space="preserve">patients </w:t>
      </w:r>
      <w:r>
        <w:t>exposed to placebo.</w:t>
      </w:r>
    </w:p>
    <w:p w14:paraId="4B45BF50" w14:textId="77777777" w:rsidR="00605AD4" w:rsidRDefault="00605AD4" w:rsidP="00605AD4">
      <w:pPr>
        <w:pStyle w:val="Heading4"/>
      </w:pPr>
      <w:r w:rsidRPr="00605AD4">
        <w:t>Safety issues with the potential for major regulatory impact</w:t>
      </w:r>
    </w:p>
    <w:p w14:paraId="4DC93ABA" w14:textId="6A765199" w:rsidR="00042509" w:rsidRDefault="005A0D87" w:rsidP="00042509">
      <w:r>
        <w:t xml:space="preserve">For a discussion of </w:t>
      </w:r>
      <w:r w:rsidR="00EE3405">
        <w:t xml:space="preserve">lymphocyte </w:t>
      </w:r>
      <w:r w:rsidR="00BC1A2C">
        <w:t xml:space="preserve">suppression, </w:t>
      </w:r>
      <w:r w:rsidR="00EE3405">
        <w:t xml:space="preserve">liver </w:t>
      </w:r>
      <w:r>
        <w:t xml:space="preserve">toxicity, </w:t>
      </w:r>
      <w:r w:rsidR="00BC1A2C">
        <w:t xml:space="preserve">other </w:t>
      </w:r>
      <w:r w:rsidR="00EE3405">
        <w:t xml:space="preserve">haematology </w:t>
      </w:r>
      <w:r w:rsidR="00042509">
        <w:t>and haematological toxicity</w:t>
      </w:r>
      <w:r w:rsidR="00EE3405">
        <w:t>,</w:t>
      </w:r>
      <w:r>
        <w:t xml:space="preserve"> and </w:t>
      </w:r>
      <w:r w:rsidR="00EE3405">
        <w:t>i</w:t>
      </w:r>
      <w:r>
        <w:t>mmunogenicity and immunological events see Attachment 2</w:t>
      </w:r>
      <w:r w:rsidR="00BC1A2C">
        <w:t xml:space="preserve"> </w:t>
      </w:r>
      <w:r w:rsidR="00BC1A2C">
        <w:lastRenderedPageBreak/>
        <w:t xml:space="preserve">as well as </w:t>
      </w:r>
      <w:r w:rsidR="00EE3405">
        <w:t xml:space="preserve">the </w:t>
      </w:r>
      <w:r w:rsidR="00BC1A2C" w:rsidRPr="00BC1A2C">
        <w:rPr>
          <w:i/>
        </w:rPr>
        <w:t>Evaluator’s conclusion on safety</w:t>
      </w:r>
      <w:r w:rsidR="00BC1A2C">
        <w:t xml:space="preserve"> and the Delegate’s summary of </w:t>
      </w:r>
      <w:r w:rsidR="00BC1A2C">
        <w:rPr>
          <w:i/>
        </w:rPr>
        <w:t>S</w:t>
      </w:r>
      <w:r w:rsidR="00BC1A2C" w:rsidRPr="00BC1A2C">
        <w:rPr>
          <w:i/>
        </w:rPr>
        <w:t>afety</w:t>
      </w:r>
      <w:r w:rsidR="00BC1A2C">
        <w:t xml:space="preserve"> and </w:t>
      </w:r>
      <w:r w:rsidR="00BC1A2C" w:rsidRPr="00BC1A2C">
        <w:rPr>
          <w:i/>
        </w:rPr>
        <w:t>Discussion</w:t>
      </w:r>
      <w:r w:rsidR="00BC1A2C">
        <w:t xml:space="preserve"> below</w:t>
      </w:r>
      <w:r>
        <w:t>.</w:t>
      </w:r>
    </w:p>
    <w:p w14:paraId="3BDEC32B" w14:textId="77777777" w:rsidR="00605AD4" w:rsidRDefault="00605AD4" w:rsidP="00605AD4">
      <w:pPr>
        <w:pStyle w:val="Heading4"/>
      </w:pPr>
      <w:r w:rsidRPr="00605AD4">
        <w:t>Postmarketing data</w:t>
      </w:r>
    </w:p>
    <w:p w14:paraId="6BF21B0A" w14:textId="2A63B65A" w:rsidR="00042509" w:rsidRDefault="00FA103D" w:rsidP="00042509">
      <w:r>
        <w:t>The s</w:t>
      </w:r>
      <w:r w:rsidR="00042509">
        <w:t>ponsor submitted one post-marketing study.</w:t>
      </w:r>
      <w:r w:rsidR="0057702F">
        <w:t xml:space="preserve"> </w:t>
      </w:r>
      <w:r w:rsidR="00042509">
        <w:t>Study EMR700568_015 Record MS was a prospective, observational, post-authorisation study of cladribine tablets in cladribine</w:t>
      </w:r>
      <w:r w:rsidR="00886079">
        <w:noBreakHyphen/>
      </w:r>
      <w:r w:rsidR="00042509">
        <w:t>naïve patients in the Australian Patient Familiarisation Program.</w:t>
      </w:r>
      <w:r w:rsidR="0057702F">
        <w:t xml:space="preserve"> </w:t>
      </w:r>
      <w:r w:rsidR="00042509">
        <w:t>The study was conducted at seven centres in Australia from February 2011 to September 2014.</w:t>
      </w:r>
      <w:r w:rsidR="0057702F">
        <w:t xml:space="preserve"> </w:t>
      </w:r>
      <w:r w:rsidR="00042509">
        <w:t>The study included patients with relapsing forms of MS.</w:t>
      </w:r>
      <w:r w:rsidR="0057702F">
        <w:t xml:space="preserve"> </w:t>
      </w:r>
      <w:r w:rsidR="00042509">
        <w:t>The outcome measures were serious adverse drug reactions and Grade 3/4 lympho</w:t>
      </w:r>
      <w:r w:rsidR="002A3ED4">
        <w:t>paenia</w:t>
      </w:r>
      <w:r w:rsidR="00042509">
        <w:t>.</w:t>
      </w:r>
      <w:r w:rsidR="0057702F">
        <w:t xml:space="preserve"> </w:t>
      </w:r>
      <w:r w:rsidR="00042509">
        <w:t>There were 35 patients included in the study.</w:t>
      </w:r>
      <w:r w:rsidR="0057702F">
        <w:t xml:space="preserve"> </w:t>
      </w:r>
      <w:r w:rsidR="00042509">
        <w:t>There were 31 (88.6%) females, four (11.4%) males, the age range was 23 to 69 years and the time since diagnosis ranged from 1 to 42 years.</w:t>
      </w:r>
      <w:r w:rsidR="0057702F">
        <w:t xml:space="preserve"> </w:t>
      </w:r>
      <w:r w:rsidR="00042509">
        <w:t>The majority had previously received disease modifying treatment: 30 (85.7%) patients.</w:t>
      </w:r>
      <w:r w:rsidR="0057702F">
        <w:t xml:space="preserve"> </w:t>
      </w:r>
      <w:r w:rsidR="00042509">
        <w:t>Twelve patients received concomitant disease modifying treatment: three (8.6%) with natalizumab, two (5.7%) with fingolimod, two (5.7%) with dimethyl fumarate, two with interferon-β-1a and two (5.7%) with glatiramer acetate.</w:t>
      </w:r>
      <w:r w:rsidR="0057702F">
        <w:t xml:space="preserve"> </w:t>
      </w:r>
      <w:r w:rsidR="00042509">
        <w:t>The total dose of cladribine ranged from 0.9 to 2.5 mg/kg (patients only received a maximum of two courses due to withdrawal of cladribine from the Australian market).</w:t>
      </w:r>
    </w:p>
    <w:p w14:paraId="42044758" w14:textId="77777777" w:rsidR="005A0D87" w:rsidRDefault="00042509" w:rsidP="00042509">
      <w:r>
        <w:t>Two serious adverse drug reactions were reported, both in the same patient: lympho</w:t>
      </w:r>
      <w:r w:rsidR="002A3ED4">
        <w:t>paenia</w:t>
      </w:r>
      <w:r>
        <w:t xml:space="preserve"> and prostatic cancer.</w:t>
      </w:r>
      <w:r w:rsidR="0057702F">
        <w:t xml:space="preserve"> </w:t>
      </w:r>
      <w:r>
        <w:t>The prostate cancer was reported 490 days after the last dose.</w:t>
      </w:r>
      <w:r w:rsidR="0057702F">
        <w:t xml:space="preserve"> </w:t>
      </w:r>
      <w:r>
        <w:t>The patient was a 61 year old male, who was also reported with hip fracture and acute myocardial infarction.</w:t>
      </w:r>
    </w:p>
    <w:p w14:paraId="3931C66C" w14:textId="77777777" w:rsidR="00042509" w:rsidRPr="00042509" w:rsidRDefault="00042509" w:rsidP="00042509">
      <w:r>
        <w:t>There were no deaths.</w:t>
      </w:r>
      <w:r w:rsidR="0057702F">
        <w:t xml:space="preserve"> </w:t>
      </w:r>
      <w:r>
        <w:t xml:space="preserve">Four patients were reported with </w:t>
      </w:r>
      <w:r w:rsidR="005A0D87">
        <w:t>G</w:t>
      </w:r>
      <w:r>
        <w:t>rade 3 lympho</w:t>
      </w:r>
      <w:r w:rsidR="002A3ED4">
        <w:t>paenia</w:t>
      </w:r>
      <w:r>
        <w:t>.</w:t>
      </w:r>
    </w:p>
    <w:p w14:paraId="4595F3B4" w14:textId="77777777" w:rsidR="00605AD4" w:rsidRPr="000635A6" w:rsidRDefault="00605AD4" w:rsidP="00605AD4">
      <w:pPr>
        <w:pStyle w:val="Heading4"/>
      </w:pPr>
      <w:r w:rsidRPr="000635A6">
        <w:t>Evaluator’s conclusions on safety</w:t>
      </w:r>
    </w:p>
    <w:p w14:paraId="24B30B65" w14:textId="4603B01E" w:rsidR="00042509" w:rsidRPr="000635A6" w:rsidRDefault="00042509" w:rsidP="00042509">
      <w:pPr>
        <w:rPr>
          <w:lang w:eastAsia="ja-JP"/>
        </w:rPr>
      </w:pPr>
      <w:r w:rsidRPr="000635A6">
        <w:rPr>
          <w:lang w:eastAsia="ja-JP"/>
        </w:rPr>
        <w:t>The safety data confirm a higher rate of adverse events in the cladribine treated population compared with placebo.</w:t>
      </w:r>
      <w:r w:rsidR="0057702F" w:rsidRPr="000635A6">
        <w:rPr>
          <w:lang w:eastAsia="ja-JP"/>
        </w:rPr>
        <w:t xml:space="preserve"> </w:t>
      </w:r>
      <w:r w:rsidRPr="000635A6">
        <w:rPr>
          <w:lang w:eastAsia="ja-JP"/>
        </w:rPr>
        <w:t>Lympho</w:t>
      </w:r>
      <w:r w:rsidR="002A3ED4" w:rsidRPr="000635A6">
        <w:rPr>
          <w:lang w:eastAsia="ja-JP"/>
        </w:rPr>
        <w:t>paenia</w:t>
      </w:r>
      <w:r w:rsidRPr="00085C61">
        <w:rPr>
          <w:lang w:eastAsia="ja-JP"/>
        </w:rPr>
        <w:t xml:space="preserve"> is a very common adverse event and is dose related.</w:t>
      </w:r>
      <w:r w:rsidR="0057702F" w:rsidRPr="000635A6">
        <w:rPr>
          <w:lang w:eastAsia="ja-JP"/>
        </w:rPr>
        <w:t xml:space="preserve"> </w:t>
      </w:r>
      <w:r w:rsidRPr="000635A6">
        <w:rPr>
          <w:lang w:eastAsia="ja-JP"/>
        </w:rPr>
        <w:t>Lympho</w:t>
      </w:r>
      <w:r w:rsidR="002A3ED4" w:rsidRPr="000635A6">
        <w:rPr>
          <w:lang w:eastAsia="ja-JP"/>
        </w:rPr>
        <w:t>paenia</w:t>
      </w:r>
      <w:r w:rsidRPr="000635A6">
        <w:rPr>
          <w:lang w:eastAsia="ja-JP"/>
        </w:rPr>
        <w:t xml:space="preserve"> is related to the mode of action of cladribine.</w:t>
      </w:r>
      <w:r w:rsidR="0057702F" w:rsidRPr="000635A6">
        <w:rPr>
          <w:lang w:eastAsia="ja-JP"/>
        </w:rPr>
        <w:t xml:space="preserve"> </w:t>
      </w:r>
      <w:r w:rsidRPr="000635A6">
        <w:rPr>
          <w:lang w:eastAsia="ja-JP"/>
        </w:rPr>
        <w:t>Infections and infestations are more common with cladribine.</w:t>
      </w:r>
      <w:r w:rsidR="0057702F" w:rsidRPr="000635A6">
        <w:rPr>
          <w:lang w:eastAsia="ja-JP"/>
        </w:rPr>
        <w:t xml:space="preserve"> </w:t>
      </w:r>
      <w:r w:rsidRPr="000635A6">
        <w:rPr>
          <w:lang w:eastAsia="ja-JP"/>
        </w:rPr>
        <w:t xml:space="preserve">Herpes infections are </w:t>
      </w:r>
      <w:r w:rsidR="003B6F41" w:rsidRPr="000635A6">
        <w:rPr>
          <w:lang w:eastAsia="ja-JP"/>
        </w:rPr>
        <w:t xml:space="preserve">also </w:t>
      </w:r>
      <w:r w:rsidRPr="000635A6">
        <w:rPr>
          <w:lang w:eastAsia="ja-JP"/>
        </w:rPr>
        <w:t>more common with cladribine.</w:t>
      </w:r>
    </w:p>
    <w:p w14:paraId="03C8F4B7" w14:textId="77777777" w:rsidR="00042509" w:rsidRDefault="00042509" w:rsidP="00042509">
      <w:pPr>
        <w:rPr>
          <w:lang w:eastAsia="ja-JP"/>
        </w:rPr>
      </w:pPr>
      <w:r w:rsidRPr="000635A6">
        <w:rPr>
          <w:lang w:eastAsia="ja-JP"/>
        </w:rPr>
        <w:t>There appears to be a higher</w:t>
      </w:r>
      <w:r>
        <w:rPr>
          <w:lang w:eastAsia="ja-JP"/>
        </w:rPr>
        <w:t xml:space="preserve"> rate of malignancy with cladribine but there is an insufficient sample size in the reported data to establish statistical significance.</w:t>
      </w:r>
      <w:r w:rsidR="0057702F">
        <w:rPr>
          <w:lang w:eastAsia="ja-JP"/>
        </w:rPr>
        <w:t xml:space="preserve"> </w:t>
      </w:r>
      <w:r>
        <w:rPr>
          <w:lang w:eastAsia="ja-JP"/>
        </w:rPr>
        <w:t>The relationship between total dose/exposure and malignancy remains to be determined.</w:t>
      </w:r>
    </w:p>
    <w:p w14:paraId="4F60CDD9" w14:textId="77777777" w:rsidR="00042509" w:rsidRDefault="00FA103D" w:rsidP="00042509">
      <w:pPr>
        <w:rPr>
          <w:lang w:eastAsia="ja-JP"/>
        </w:rPr>
      </w:pPr>
      <w:r>
        <w:rPr>
          <w:lang w:eastAsia="ja-JP"/>
        </w:rPr>
        <w:t>The sponsor</w:t>
      </w:r>
      <w:r w:rsidR="00042509">
        <w:rPr>
          <w:lang w:eastAsia="ja-JP"/>
        </w:rPr>
        <w:t xml:space="preserve"> proposes extensive changes to the Risk Management Plan, but as discussed in </w:t>
      </w:r>
      <w:r w:rsidR="003B6F41">
        <w:rPr>
          <w:lang w:eastAsia="ja-JP"/>
        </w:rPr>
        <w:t>Attachment 2</w:t>
      </w:r>
      <w:r w:rsidR="00042509">
        <w:rPr>
          <w:lang w:eastAsia="ja-JP"/>
        </w:rPr>
        <w:t>, many of the proposed changes are not supported by any new data.</w:t>
      </w:r>
    </w:p>
    <w:p w14:paraId="4FC5CE9B" w14:textId="77777777" w:rsidR="00042509" w:rsidRDefault="00FA103D" w:rsidP="00042509">
      <w:pPr>
        <w:rPr>
          <w:lang w:eastAsia="ja-JP"/>
        </w:rPr>
      </w:pPr>
      <w:r>
        <w:rPr>
          <w:lang w:eastAsia="ja-JP"/>
        </w:rPr>
        <w:t>The sponsor</w:t>
      </w:r>
      <w:r w:rsidR="00042509">
        <w:rPr>
          <w:lang w:eastAsia="ja-JP"/>
        </w:rPr>
        <w:t xml:space="preserve"> has not submitted new clinical data exploring the minimum effective dose, so it is not possible to comment whether the adverse event profile may be improved by dose reduction.</w:t>
      </w:r>
      <w:r w:rsidR="0057702F">
        <w:rPr>
          <w:lang w:eastAsia="ja-JP"/>
        </w:rPr>
        <w:t xml:space="preserve"> </w:t>
      </w:r>
      <w:r w:rsidR="00042509">
        <w:rPr>
          <w:lang w:eastAsia="ja-JP"/>
        </w:rPr>
        <w:t>There were few patients treated with more than four years of treatment (total dose 7 mg/kg) and long-term treatment (beyond four years) has not been sufficiently investigated.</w:t>
      </w:r>
    </w:p>
    <w:p w14:paraId="7293E2CD" w14:textId="77777777" w:rsidR="00042509" w:rsidRDefault="00042509" w:rsidP="00042509">
      <w:pPr>
        <w:rPr>
          <w:lang w:eastAsia="ja-JP"/>
        </w:rPr>
      </w:pPr>
      <w:r>
        <w:rPr>
          <w:lang w:eastAsia="ja-JP"/>
        </w:rPr>
        <w:t xml:space="preserve">In the </w:t>
      </w:r>
      <w:r w:rsidR="003B6F41">
        <w:rPr>
          <w:lang w:eastAsia="ja-JP"/>
        </w:rPr>
        <w:t xml:space="preserve">draft </w:t>
      </w:r>
      <w:r>
        <w:rPr>
          <w:lang w:eastAsia="ja-JP"/>
        </w:rPr>
        <w:t xml:space="preserve">PI document </w:t>
      </w:r>
      <w:r w:rsidR="00FA103D">
        <w:rPr>
          <w:lang w:eastAsia="ja-JP"/>
        </w:rPr>
        <w:t>the sponsor</w:t>
      </w:r>
      <w:r>
        <w:rPr>
          <w:lang w:eastAsia="ja-JP"/>
        </w:rPr>
        <w:t xml:space="preserve"> has changed the recommendations with regard the waiting time following administration of live vaccines to commencement of cladribine, from 3 months to 4 to 6 weeks.</w:t>
      </w:r>
      <w:r w:rsidR="0057702F">
        <w:rPr>
          <w:lang w:eastAsia="ja-JP"/>
        </w:rPr>
        <w:t xml:space="preserve"> </w:t>
      </w:r>
      <w:r w:rsidR="00FA103D">
        <w:rPr>
          <w:lang w:eastAsia="ja-JP"/>
        </w:rPr>
        <w:t>The sponsor</w:t>
      </w:r>
      <w:r>
        <w:rPr>
          <w:lang w:eastAsia="ja-JP"/>
        </w:rPr>
        <w:t xml:space="preserve"> has not provided any data in support of this change.</w:t>
      </w:r>
    </w:p>
    <w:p w14:paraId="2E70D227" w14:textId="1CB4E157" w:rsidR="00605AD4" w:rsidRPr="00605AD4" w:rsidRDefault="000B38AD" w:rsidP="00605AD4">
      <w:pPr>
        <w:pStyle w:val="Heading3"/>
        <w:rPr>
          <w:rFonts w:eastAsia="Cambria"/>
        </w:rPr>
      </w:pPr>
      <w:bookmarkStart w:id="76" w:name="_Toc519257439"/>
      <w:r>
        <w:rPr>
          <w:rFonts w:eastAsia="Cambria"/>
        </w:rPr>
        <w:lastRenderedPageBreak/>
        <w:t>First r</w:t>
      </w:r>
      <w:r w:rsidR="00605AD4" w:rsidRPr="00605AD4">
        <w:rPr>
          <w:rFonts w:eastAsia="Cambria"/>
        </w:rPr>
        <w:t xml:space="preserve">ound </w:t>
      </w:r>
      <w:r>
        <w:rPr>
          <w:rFonts w:eastAsia="Cambria"/>
        </w:rPr>
        <w:t>b</w:t>
      </w:r>
      <w:r w:rsidR="00605AD4" w:rsidRPr="00605AD4">
        <w:rPr>
          <w:rFonts w:eastAsia="Cambria"/>
        </w:rPr>
        <w:t>enefit-</w:t>
      </w:r>
      <w:r>
        <w:rPr>
          <w:rFonts w:eastAsia="Cambria"/>
        </w:rPr>
        <w:t>r</w:t>
      </w:r>
      <w:r w:rsidR="00605AD4" w:rsidRPr="00605AD4">
        <w:rPr>
          <w:rFonts w:eastAsia="Cambria"/>
        </w:rPr>
        <w:t xml:space="preserve">isk </w:t>
      </w:r>
      <w:r>
        <w:rPr>
          <w:rFonts w:eastAsia="Cambria"/>
        </w:rPr>
        <w:t>a</w:t>
      </w:r>
      <w:r w:rsidR="00605AD4" w:rsidRPr="00605AD4">
        <w:rPr>
          <w:rFonts w:eastAsia="Cambria"/>
        </w:rPr>
        <w:t>ssessment</w:t>
      </w:r>
      <w:bookmarkEnd w:id="76"/>
    </w:p>
    <w:p w14:paraId="393AE96D" w14:textId="77777777" w:rsidR="009755CB" w:rsidRPr="009755CB" w:rsidRDefault="00605AD4" w:rsidP="005D3C83">
      <w:pPr>
        <w:pStyle w:val="Heading4"/>
        <w:spacing w:before="0"/>
      </w:pPr>
      <w:r w:rsidRPr="00605AD4">
        <w:t>First round assessment of benefits</w:t>
      </w:r>
    </w:p>
    <w:tbl>
      <w:tblPr>
        <w:tblStyle w:val="TableGrid"/>
        <w:tblW w:w="9094" w:type="dxa"/>
        <w:tblInd w:w="108" w:type="dxa"/>
        <w:tblLook w:val="04A0" w:firstRow="1" w:lastRow="0" w:firstColumn="1" w:lastColumn="0" w:noHBand="0" w:noVBand="1"/>
      </w:tblPr>
      <w:tblGrid>
        <w:gridCol w:w="4504"/>
        <w:gridCol w:w="4590"/>
      </w:tblGrid>
      <w:tr w:rsidR="003F55B8" w:rsidRPr="00C37A1D" w14:paraId="0C794F90" w14:textId="77777777" w:rsidTr="00D20AA2">
        <w:trPr>
          <w:cantSplit/>
          <w:tblHeader/>
        </w:trPr>
        <w:tc>
          <w:tcPr>
            <w:tcW w:w="9094" w:type="dxa"/>
            <w:gridSpan w:val="2"/>
            <w:shd w:val="clear" w:color="auto" w:fill="006DA7" w:themeFill="accent3"/>
          </w:tcPr>
          <w:p w14:paraId="2419CA79" w14:textId="77777777" w:rsidR="003F55B8" w:rsidRPr="0013182D" w:rsidRDefault="003F55B8" w:rsidP="003B6F41">
            <w:pPr>
              <w:keepNext/>
              <w:rPr>
                <w:rFonts w:asciiTheme="minorHAnsi" w:hAnsiTheme="minorHAnsi"/>
                <w:b/>
                <w:color w:val="FFFFFF" w:themeColor="background1"/>
              </w:rPr>
            </w:pPr>
            <w:r w:rsidRPr="0013182D">
              <w:rPr>
                <w:rFonts w:asciiTheme="minorHAnsi" w:hAnsiTheme="minorHAnsi"/>
                <w:b/>
                <w:color w:val="FFFFFF" w:themeColor="background1"/>
              </w:rPr>
              <w:t>Indication</w:t>
            </w:r>
          </w:p>
        </w:tc>
      </w:tr>
      <w:tr w:rsidR="0082400F" w:rsidRPr="00C37A1D" w14:paraId="5253EA0F" w14:textId="77777777" w:rsidTr="00D20AA2">
        <w:trPr>
          <w:cantSplit/>
          <w:tblHeader/>
        </w:trPr>
        <w:tc>
          <w:tcPr>
            <w:tcW w:w="4504" w:type="dxa"/>
            <w:shd w:val="clear" w:color="auto" w:fill="00517D" w:themeFill="accent3" w:themeFillShade="BF"/>
          </w:tcPr>
          <w:p w14:paraId="24EE055B" w14:textId="77777777" w:rsidR="003F55B8" w:rsidRPr="0013182D" w:rsidRDefault="003F55B8" w:rsidP="003B6F41">
            <w:pPr>
              <w:keepNext/>
              <w:rPr>
                <w:rFonts w:asciiTheme="minorHAnsi" w:hAnsiTheme="minorHAnsi"/>
                <w:b/>
                <w:color w:val="FFFFFF" w:themeColor="background1"/>
              </w:rPr>
            </w:pPr>
            <w:r w:rsidRPr="0013182D">
              <w:rPr>
                <w:rFonts w:asciiTheme="minorHAnsi" w:hAnsiTheme="minorHAnsi"/>
                <w:b/>
                <w:color w:val="FFFFFF" w:themeColor="background1"/>
              </w:rPr>
              <w:t>Benefits</w:t>
            </w:r>
          </w:p>
        </w:tc>
        <w:tc>
          <w:tcPr>
            <w:tcW w:w="4590" w:type="dxa"/>
            <w:shd w:val="clear" w:color="auto" w:fill="00517D" w:themeFill="accent3" w:themeFillShade="BF"/>
          </w:tcPr>
          <w:p w14:paraId="5A5036D2" w14:textId="77777777" w:rsidR="003F55B8" w:rsidRPr="0013182D" w:rsidRDefault="003F55B8" w:rsidP="003B6F41">
            <w:pPr>
              <w:keepNext/>
              <w:rPr>
                <w:rFonts w:asciiTheme="minorHAnsi" w:hAnsiTheme="minorHAnsi"/>
                <w:b/>
                <w:color w:val="FFFFFF" w:themeColor="background1"/>
              </w:rPr>
            </w:pPr>
            <w:r w:rsidRPr="0013182D">
              <w:rPr>
                <w:rFonts w:asciiTheme="minorHAnsi" w:hAnsiTheme="minorHAnsi"/>
                <w:b/>
                <w:color w:val="FFFFFF" w:themeColor="background1"/>
              </w:rPr>
              <w:t>Strengths and Uncertainties</w:t>
            </w:r>
          </w:p>
        </w:tc>
      </w:tr>
      <w:tr w:rsidR="0082400F" w:rsidRPr="00C37A1D" w14:paraId="222577B0" w14:textId="77777777" w:rsidTr="00560830">
        <w:tc>
          <w:tcPr>
            <w:tcW w:w="4504" w:type="dxa"/>
          </w:tcPr>
          <w:p w14:paraId="78471E22" w14:textId="3BC3E4D5" w:rsidR="003F55B8" w:rsidRDefault="00FA103D" w:rsidP="003B6F41">
            <w:pPr>
              <w:keepNext/>
              <w:rPr>
                <w:lang w:eastAsia="ja-JP"/>
              </w:rPr>
            </w:pPr>
            <w:r>
              <w:rPr>
                <w:lang w:eastAsia="ja-JP"/>
              </w:rPr>
              <w:t>The sponsor</w:t>
            </w:r>
            <w:r w:rsidR="003F55B8">
              <w:rPr>
                <w:lang w:eastAsia="ja-JP"/>
              </w:rPr>
              <w:t xml:space="preserve"> has demonstrated efficacy compared to placebo in </w:t>
            </w:r>
            <w:r w:rsidR="003F55B8" w:rsidRPr="00CA3DA3">
              <w:t xml:space="preserve">Study 25643 CLARITY </w:t>
            </w:r>
            <w:r w:rsidR="003F55B8">
              <w:t>which has been previously submitted and evaluated.</w:t>
            </w:r>
          </w:p>
          <w:p w14:paraId="5B5BF2A4" w14:textId="77777777" w:rsidR="003F55B8" w:rsidRDefault="003F55B8" w:rsidP="003B6F41">
            <w:pPr>
              <w:keepNext/>
              <w:rPr>
                <w:lang w:eastAsia="ja-JP"/>
              </w:rPr>
            </w:pPr>
            <w:r>
              <w:rPr>
                <w:lang w:eastAsia="ja-JP"/>
              </w:rPr>
              <w:t>Efficacy was demonstrated using qualifying relapse rate as the primary efficacy outcome measure.</w:t>
            </w:r>
            <w:r w:rsidR="0057702F">
              <w:rPr>
                <w:lang w:eastAsia="ja-JP"/>
              </w:rPr>
              <w:t xml:space="preserve"> </w:t>
            </w:r>
            <w:r w:rsidRPr="000F1D8B">
              <w:t xml:space="preserve">Disability progression </w:t>
            </w:r>
            <w:r>
              <w:t xml:space="preserve">was measured using </w:t>
            </w:r>
            <w:r w:rsidRPr="000F1D8B">
              <w:t>EDSS</w:t>
            </w:r>
            <w:r>
              <w:t>.</w:t>
            </w:r>
            <w:r w:rsidR="0057702F">
              <w:t xml:space="preserve"> </w:t>
            </w:r>
            <w:r>
              <w:t>There was a statistically and clinically significant benefit for cladribine in comparison with placebo for both of these outcome measures.</w:t>
            </w:r>
            <w:r w:rsidR="0057702F">
              <w:t xml:space="preserve"> </w:t>
            </w:r>
            <w:r>
              <w:t xml:space="preserve">Hence </w:t>
            </w:r>
            <w:r>
              <w:rPr>
                <w:lang w:eastAsia="ja-JP"/>
              </w:rPr>
              <w:t xml:space="preserve">there are sufficient data to support: </w:t>
            </w:r>
            <w:r w:rsidR="00D31B59">
              <w:rPr>
                <w:lang w:eastAsia="ja-JP"/>
              </w:rPr>
              <w:t>‘</w:t>
            </w:r>
            <w:r w:rsidRPr="00F3068E">
              <w:rPr>
                <w:i/>
              </w:rPr>
              <w:t>to reduce the frequency of clinical relapses and to delay the progression of physical disability</w:t>
            </w:r>
            <w:r w:rsidR="00D31B59">
              <w:rPr>
                <w:lang w:eastAsia="ja-JP"/>
              </w:rPr>
              <w:t>’</w:t>
            </w:r>
            <w:r>
              <w:rPr>
                <w:lang w:eastAsia="ja-JP"/>
              </w:rPr>
              <w:t xml:space="preserve"> being included in the indication.</w:t>
            </w:r>
          </w:p>
          <w:p w14:paraId="717853D1" w14:textId="77777777" w:rsidR="003F55B8" w:rsidRPr="00111D0E" w:rsidRDefault="003F55B8" w:rsidP="003B6F41">
            <w:pPr>
              <w:keepNext/>
              <w:rPr>
                <w:rFonts w:asciiTheme="minorHAnsi" w:hAnsiTheme="minorHAnsi" w:cstheme="minorHAnsi"/>
                <w:i/>
              </w:rPr>
            </w:pPr>
            <w:r>
              <w:rPr>
                <w:lang w:eastAsia="ja-JP"/>
              </w:rPr>
              <w:t>There are limited data in support of removing the 2</w:t>
            </w:r>
            <w:r w:rsidR="003B6F41">
              <w:rPr>
                <w:lang w:eastAsia="ja-JP"/>
              </w:rPr>
              <w:t xml:space="preserve"> </w:t>
            </w:r>
            <w:r>
              <w:rPr>
                <w:lang w:eastAsia="ja-JP"/>
              </w:rPr>
              <w:t>year limit on treatment.</w:t>
            </w:r>
            <w:r w:rsidR="0057702F">
              <w:rPr>
                <w:lang w:eastAsia="ja-JP"/>
              </w:rPr>
              <w:t xml:space="preserve"> </w:t>
            </w:r>
            <w:r>
              <w:rPr>
                <w:lang w:eastAsia="ja-JP"/>
              </w:rPr>
              <w:t>Study 27820 CLARITY Extension provides some support for extending the duration of treatment, and total exposure, to 7 mg/kg over 4 years.</w:t>
            </w:r>
          </w:p>
        </w:tc>
        <w:tc>
          <w:tcPr>
            <w:tcW w:w="4590" w:type="dxa"/>
          </w:tcPr>
          <w:p w14:paraId="30347BC0" w14:textId="77777777" w:rsidR="003F55B8" w:rsidRDefault="003F55B8" w:rsidP="003B6F41">
            <w:pPr>
              <w:keepNext/>
              <w:rPr>
                <w:lang w:eastAsia="ja-JP"/>
              </w:rPr>
            </w:pPr>
            <w:r>
              <w:rPr>
                <w:lang w:eastAsia="ja-JP"/>
              </w:rPr>
              <w:t>The data in support of removing the 2</w:t>
            </w:r>
            <w:r w:rsidR="003B6F41">
              <w:rPr>
                <w:lang w:eastAsia="ja-JP"/>
              </w:rPr>
              <w:t xml:space="preserve"> </w:t>
            </w:r>
            <w:r>
              <w:rPr>
                <w:lang w:eastAsia="ja-JP"/>
              </w:rPr>
              <w:t>year limit on treatment are limited.</w:t>
            </w:r>
            <w:r w:rsidR="0057702F">
              <w:rPr>
                <w:lang w:eastAsia="ja-JP"/>
              </w:rPr>
              <w:t xml:space="preserve"> </w:t>
            </w:r>
            <w:r>
              <w:rPr>
                <w:lang w:eastAsia="ja-JP"/>
              </w:rPr>
              <w:t>Although Study 27820 CLARITY Extension is supportive of the LLLL (total dose 7 mg/kg over 4 years) treatment group over the HLLL (8.5 mg/kg over 4 years) and does provide some support for extending the duration of treatment and total exposure to 7 mg/kg over 4 years, there are a number of limitations to the study.</w:t>
            </w:r>
            <w:r w:rsidR="0057702F">
              <w:rPr>
                <w:lang w:eastAsia="ja-JP"/>
              </w:rPr>
              <w:t xml:space="preserve"> </w:t>
            </w:r>
            <w:r>
              <w:rPr>
                <w:lang w:eastAsia="ja-JP"/>
              </w:rPr>
              <w:t>These limitations are:</w:t>
            </w:r>
          </w:p>
          <w:p w14:paraId="687C5448" w14:textId="7401AFDA" w:rsidR="003F55B8" w:rsidRDefault="003F55B8" w:rsidP="003B6F41">
            <w:pPr>
              <w:pStyle w:val="ListBullet"/>
              <w:keepNext/>
              <w:rPr>
                <w:lang w:eastAsia="ja-JP"/>
              </w:rPr>
            </w:pPr>
            <w:r>
              <w:rPr>
                <w:lang w:eastAsia="ja-JP"/>
              </w:rPr>
              <w:t>Study 27820 CLARITY Extension did not have a primary efficacy outcome measure and was not designed primarily to demonstrate efficacy.</w:t>
            </w:r>
          </w:p>
          <w:p w14:paraId="04BA3EB4" w14:textId="7FC42871" w:rsidR="003F55B8" w:rsidRDefault="00FA103D" w:rsidP="003B6F41">
            <w:pPr>
              <w:pStyle w:val="ListBullet"/>
              <w:keepNext/>
              <w:rPr>
                <w:lang w:eastAsia="ja-JP"/>
              </w:rPr>
            </w:pPr>
            <w:r>
              <w:rPr>
                <w:lang w:eastAsia="ja-JP"/>
              </w:rPr>
              <w:t>The sponsor</w:t>
            </w:r>
            <w:r w:rsidR="003F55B8">
              <w:rPr>
                <w:lang w:eastAsia="ja-JP"/>
              </w:rPr>
              <w:t xml:space="preserve"> argues for efficacy based on a post</w:t>
            </w:r>
            <w:r w:rsidR="003B6F41">
              <w:rPr>
                <w:lang w:eastAsia="ja-JP"/>
              </w:rPr>
              <w:t xml:space="preserve"> </w:t>
            </w:r>
            <w:r w:rsidR="003F55B8">
              <w:rPr>
                <w:lang w:eastAsia="ja-JP"/>
              </w:rPr>
              <w:t xml:space="preserve">hoc selection of </w:t>
            </w:r>
            <w:r w:rsidR="00D31B59">
              <w:rPr>
                <w:lang w:eastAsia="ja-JP"/>
              </w:rPr>
              <w:t>‘</w:t>
            </w:r>
            <w:r w:rsidR="003F55B8">
              <w:rPr>
                <w:lang w:eastAsia="ja-JP"/>
              </w:rPr>
              <w:t>key</w:t>
            </w:r>
            <w:r w:rsidR="00D31B59">
              <w:rPr>
                <w:lang w:eastAsia="ja-JP"/>
              </w:rPr>
              <w:t>’</w:t>
            </w:r>
            <w:r w:rsidR="003F55B8">
              <w:rPr>
                <w:lang w:eastAsia="ja-JP"/>
              </w:rPr>
              <w:t xml:space="preserve"> efficacy variables.</w:t>
            </w:r>
          </w:p>
          <w:p w14:paraId="78042C1F" w14:textId="2350669F" w:rsidR="003F55B8" w:rsidRDefault="003F55B8" w:rsidP="003B6F41">
            <w:pPr>
              <w:pStyle w:val="ListBullet"/>
              <w:keepNext/>
              <w:rPr>
                <w:lang w:eastAsia="ja-JP"/>
              </w:rPr>
            </w:pPr>
            <w:r>
              <w:rPr>
                <w:lang w:eastAsia="ja-JP"/>
              </w:rPr>
              <w:t>The overall efficacy results were inconsistent and the statistically significant findings were not clearly of clinical significance.</w:t>
            </w:r>
          </w:p>
          <w:p w14:paraId="531D8BF5" w14:textId="157F380E" w:rsidR="003F55B8" w:rsidRDefault="003F55B8" w:rsidP="003B6F41">
            <w:pPr>
              <w:pStyle w:val="ListBullet"/>
              <w:keepNext/>
              <w:rPr>
                <w:lang w:eastAsia="ja-JP"/>
              </w:rPr>
            </w:pPr>
            <w:r>
              <w:rPr>
                <w:lang w:eastAsia="ja-JP"/>
              </w:rPr>
              <w:t>The MRI outcome measures were more convincing of efficacy than</w:t>
            </w:r>
            <w:r w:rsidR="00671E70">
              <w:rPr>
                <w:lang w:eastAsia="ja-JP"/>
              </w:rPr>
              <w:t xml:space="preserve"> the clinical outcome measures.</w:t>
            </w:r>
          </w:p>
          <w:p w14:paraId="2F8F2905" w14:textId="0153CFF8" w:rsidR="003F55B8" w:rsidRPr="0055323E" w:rsidRDefault="00FA103D" w:rsidP="003B6F41">
            <w:pPr>
              <w:keepNext/>
              <w:rPr>
                <w:lang w:eastAsia="ja-JP"/>
              </w:rPr>
            </w:pPr>
            <w:r>
              <w:rPr>
                <w:lang w:eastAsia="ja-JP"/>
              </w:rPr>
              <w:t>The sponsor</w:t>
            </w:r>
            <w:r w:rsidR="003F55B8">
              <w:rPr>
                <w:lang w:eastAsia="ja-JP"/>
              </w:rPr>
              <w:t xml:space="preserve"> has not provided any data that explores the lowest effective dose.</w:t>
            </w:r>
            <w:r w:rsidR="0057702F">
              <w:rPr>
                <w:lang w:eastAsia="ja-JP"/>
              </w:rPr>
              <w:t xml:space="preserve"> </w:t>
            </w:r>
            <w:r w:rsidR="003F55B8">
              <w:rPr>
                <w:lang w:eastAsia="ja-JP"/>
              </w:rPr>
              <w:t xml:space="preserve">This was identified as a major issue at the time of initial approval but has not subsequently been addressed by </w:t>
            </w:r>
            <w:r>
              <w:rPr>
                <w:lang w:eastAsia="ja-JP"/>
              </w:rPr>
              <w:t>the sponsor</w:t>
            </w:r>
            <w:r w:rsidR="008E4CBF">
              <w:rPr>
                <w:lang w:eastAsia="ja-JP"/>
              </w:rPr>
              <w:t>.</w:t>
            </w:r>
          </w:p>
        </w:tc>
      </w:tr>
    </w:tbl>
    <w:p w14:paraId="52A3CB63" w14:textId="70BE81D5" w:rsidR="009721F9" w:rsidRPr="009721F9" w:rsidRDefault="00605AD4" w:rsidP="005D3C83">
      <w:pPr>
        <w:pStyle w:val="Heading4"/>
        <w:spacing w:before="120"/>
      </w:pPr>
      <w:r w:rsidRPr="00605AD4">
        <w:t>First round assessment of risks</w:t>
      </w:r>
    </w:p>
    <w:tbl>
      <w:tblPr>
        <w:tblStyle w:val="TableGrid"/>
        <w:tblW w:w="9094" w:type="dxa"/>
        <w:tblInd w:w="108" w:type="dxa"/>
        <w:tblLook w:val="04A0" w:firstRow="1" w:lastRow="0" w:firstColumn="1" w:lastColumn="0" w:noHBand="0" w:noVBand="1"/>
      </w:tblPr>
      <w:tblGrid>
        <w:gridCol w:w="4504"/>
        <w:gridCol w:w="4590"/>
      </w:tblGrid>
      <w:tr w:rsidR="0082400F" w:rsidRPr="0013182D" w14:paraId="1778108A" w14:textId="77777777" w:rsidTr="00560830">
        <w:trPr>
          <w:cantSplit/>
          <w:tblHeader/>
        </w:trPr>
        <w:tc>
          <w:tcPr>
            <w:tcW w:w="4504" w:type="dxa"/>
            <w:shd w:val="clear" w:color="auto" w:fill="006DA7" w:themeFill="accent3"/>
          </w:tcPr>
          <w:p w14:paraId="0B8A8EF4" w14:textId="77777777" w:rsidR="003F55B8" w:rsidRPr="0013182D" w:rsidRDefault="003F55B8" w:rsidP="0082400F">
            <w:pPr>
              <w:keepNext/>
              <w:rPr>
                <w:rFonts w:asciiTheme="minorHAnsi" w:hAnsiTheme="minorHAnsi"/>
                <w:b/>
                <w:color w:val="FFFFFF" w:themeColor="background1"/>
              </w:rPr>
            </w:pPr>
            <w:r w:rsidRPr="0013182D">
              <w:rPr>
                <w:rFonts w:asciiTheme="minorHAnsi" w:hAnsiTheme="minorHAnsi"/>
                <w:b/>
                <w:color w:val="FFFFFF" w:themeColor="background1"/>
              </w:rPr>
              <w:t>Risks</w:t>
            </w:r>
          </w:p>
        </w:tc>
        <w:tc>
          <w:tcPr>
            <w:tcW w:w="4590" w:type="dxa"/>
            <w:shd w:val="clear" w:color="auto" w:fill="006DA7" w:themeFill="accent3"/>
          </w:tcPr>
          <w:p w14:paraId="5D9AD206" w14:textId="77777777" w:rsidR="003F55B8" w:rsidRPr="0013182D" w:rsidRDefault="003F55B8" w:rsidP="00560830">
            <w:pPr>
              <w:keepNext/>
              <w:rPr>
                <w:rFonts w:asciiTheme="minorHAnsi" w:hAnsiTheme="minorHAnsi"/>
                <w:b/>
                <w:color w:val="FFFFFF" w:themeColor="background1"/>
              </w:rPr>
            </w:pPr>
            <w:r w:rsidRPr="0013182D">
              <w:rPr>
                <w:rFonts w:asciiTheme="minorHAnsi" w:hAnsiTheme="minorHAnsi"/>
                <w:b/>
                <w:color w:val="FFFFFF" w:themeColor="background1"/>
              </w:rPr>
              <w:t>Strengths and Uncertainties</w:t>
            </w:r>
          </w:p>
        </w:tc>
      </w:tr>
      <w:tr w:rsidR="0082400F" w:rsidRPr="008D23C3" w14:paraId="27009F68" w14:textId="77777777" w:rsidTr="00560830">
        <w:tc>
          <w:tcPr>
            <w:tcW w:w="4504" w:type="dxa"/>
          </w:tcPr>
          <w:p w14:paraId="741F483C" w14:textId="7CE3BBCB" w:rsidR="003F55B8" w:rsidRDefault="003F55B8" w:rsidP="00560830">
            <w:pPr>
              <w:keepNext/>
              <w:rPr>
                <w:lang w:eastAsia="ja-JP"/>
              </w:rPr>
            </w:pPr>
            <w:r>
              <w:rPr>
                <w:lang w:eastAsia="ja-JP"/>
              </w:rPr>
              <w:t>The safety data confirm a higher rate of adverse events in the cladribine treated population compared with placebo.</w:t>
            </w:r>
            <w:r w:rsidR="0057702F">
              <w:rPr>
                <w:lang w:eastAsia="ja-JP"/>
              </w:rPr>
              <w:t xml:space="preserve"> </w:t>
            </w:r>
            <w:r>
              <w:rPr>
                <w:lang w:eastAsia="ja-JP"/>
              </w:rPr>
              <w:t>Lympho</w:t>
            </w:r>
            <w:r w:rsidR="002A3ED4">
              <w:rPr>
                <w:lang w:eastAsia="ja-JP"/>
              </w:rPr>
              <w:t>paenia</w:t>
            </w:r>
            <w:r>
              <w:rPr>
                <w:lang w:eastAsia="ja-JP"/>
              </w:rPr>
              <w:t xml:space="preserve"> is a very common adverse event and is dose related.</w:t>
            </w:r>
            <w:r w:rsidR="0057702F">
              <w:rPr>
                <w:lang w:eastAsia="ja-JP"/>
              </w:rPr>
              <w:t xml:space="preserve"> </w:t>
            </w:r>
            <w:r>
              <w:rPr>
                <w:lang w:eastAsia="ja-JP"/>
              </w:rPr>
              <w:t>Lympho</w:t>
            </w:r>
            <w:r w:rsidR="002A3ED4">
              <w:rPr>
                <w:lang w:eastAsia="ja-JP"/>
              </w:rPr>
              <w:t>paenia</w:t>
            </w:r>
            <w:r>
              <w:rPr>
                <w:lang w:eastAsia="ja-JP"/>
              </w:rPr>
              <w:t xml:space="preserve"> is related to the mode of action of cladribine.</w:t>
            </w:r>
            <w:r w:rsidR="0057702F">
              <w:rPr>
                <w:lang w:eastAsia="ja-JP"/>
              </w:rPr>
              <w:t xml:space="preserve"> </w:t>
            </w:r>
            <w:r>
              <w:rPr>
                <w:lang w:eastAsia="ja-JP"/>
              </w:rPr>
              <w:t>Infections and infestations are more common with cladribine.</w:t>
            </w:r>
            <w:r w:rsidR="0057702F">
              <w:rPr>
                <w:lang w:eastAsia="ja-JP"/>
              </w:rPr>
              <w:t xml:space="preserve"> </w:t>
            </w:r>
            <w:r>
              <w:rPr>
                <w:lang w:eastAsia="ja-JP"/>
              </w:rPr>
              <w:t>Herpes infections are more common with cladribine.</w:t>
            </w:r>
          </w:p>
          <w:p w14:paraId="6F231849" w14:textId="24C3901D" w:rsidR="003F55B8" w:rsidRPr="00C3783E" w:rsidRDefault="003F55B8" w:rsidP="00560830">
            <w:pPr>
              <w:keepNext/>
              <w:rPr>
                <w:lang w:eastAsia="ja-JP"/>
              </w:rPr>
            </w:pPr>
            <w:r>
              <w:rPr>
                <w:lang w:eastAsia="ja-JP"/>
              </w:rPr>
              <w:t>There appears to be a higher rate of malignancy with cladribine.</w:t>
            </w:r>
          </w:p>
        </w:tc>
        <w:tc>
          <w:tcPr>
            <w:tcW w:w="4590" w:type="dxa"/>
          </w:tcPr>
          <w:p w14:paraId="30679757" w14:textId="51DB0390" w:rsidR="003F55B8" w:rsidRDefault="00FA103D" w:rsidP="00560830">
            <w:pPr>
              <w:keepNext/>
              <w:rPr>
                <w:lang w:eastAsia="ja-JP"/>
              </w:rPr>
            </w:pPr>
            <w:r>
              <w:rPr>
                <w:lang w:eastAsia="ja-JP"/>
              </w:rPr>
              <w:t>The sponsor</w:t>
            </w:r>
            <w:r w:rsidR="003F55B8">
              <w:rPr>
                <w:lang w:eastAsia="ja-JP"/>
              </w:rPr>
              <w:t xml:space="preserve"> has not submitted new clinical data exploring the minimum effective dose, so it is not possible to comment whether the adverse event profile may be improved by dose reduction.</w:t>
            </w:r>
          </w:p>
          <w:p w14:paraId="1125B0F6" w14:textId="77777777" w:rsidR="003F55B8" w:rsidRDefault="003F55B8" w:rsidP="00560830">
            <w:pPr>
              <w:keepNext/>
              <w:rPr>
                <w:lang w:eastAsia="ja-JP"/>
              </w:rPr>
            </w:pPr>
            <w:r>
              <w:rPr>
                <w:lang w:eastAsia="ja-JP"/>
              </w:rPr>
              <w:t>There were few patients treated with more than four years of treatment (total dose 7 mg/kg) and long</w:t>
            </w:r>
            <w:r w:rsidR="003B6F41">
              <w:rPr>
                <w:lang w:eastAsia="ja-JP"/>
              </w:rPr>
              <w:t xml:space="preserve"> </w:t>
            </w:r>
            <w:r>
              <w:rPr>
                <w:lang w:eastAsia="ja-JP"/>
              </w:rPr>
              <w:t>term treatment (beyond four years) has not been sufficiently investigated.</w:t>
            </w:r>
          </w:p>
          <w:p w14:paraId="6E02845D" w14:textId="77777777" w:rsidR="003F55B8" w:rsidRPr="005D3C83" w:rsidRDefault="003F55B8" w:rsidP="00560830">
            <w:pPr>
              <w:keepNext/>
            </w:pPr>
            <w:r>
              <w:rPr>
                <w:lang w:eastAsia="ja-JP"/>
              </w:rPr>
              <w:t>There is an insufficient sample size in the reported data to establish statistical significance for a higher rate of malignancy with cladribine.</w:t>
            </w:r>
          </w:p>
          <w:p w14:paraId="719CCA0F" w14:textId="77777777" w:rsidR="003F55B8" w:rsidRPr="008D23C3" w:rsidRDefault="003F55B8" w:rsidP="00560830">
            <w:pPr>
              <w:keepNext/>
              <w:rPr>
                <w:rFonts w:cstheme="minorHAnsi"/>
                <w:i/>
                <w:u w:val="single"/>
              </w:rPr>
            </w:pPr>
            <w:r>
              <w:rPr>
                <w:lang w:eastAsia="ja-JP"/>
              </w:rPr>
              <w:t>The relationship between total dose/exposure and malignancy remains to be determined.</w:t>
            </w:r>
          </w:p>
        </w:tc>
      </w:tr>
    </w:tbl>
    <w:p w14:paraId="5DF0194B" w14:textId="77777777" w:rsidR="00605AD4" w:rsidRPr="00605AD4" w:rsidRDefault="00605AD4" w:rsidP="00605AD4">
      <w:pPr>
        <w:pStyle w:val="Heading4"/>
      </w:pPr>
      <w:r w:rsidRPr="00605AD4">
        <w:lastRenderedPageBreak/>
        <w:t>First round assessment of benefit-risk balance</w:t>
      </w:r>
    </w:p>
    <w:p w14:paraId="5F073B25" w14:textId="77777777" w:rsidR="003F55B8" w:rsidRDefault="003F55B8" w:rsidP="003F55B8">
      <w:pPr>
        <w:rPr>
          <w:lang w:eastAsia="ja-JP"/>
        </w:rPr>
      </w:pPr>
      <w:r>
        <w:rPr>
          <w:lang w:eastAsia="ja-JP"/>
        </w:rPr>
        <w:t>The risk benefit for cladribine is favourable for the currently approved treatment regimen.</w:t>
      </w:r>
      <w:r w:rsidR="0057702F">
        <w:rPr>
          <w:lang w:eastAsia="ja-JP"/>
        </w:rPr>
        <w:t xml:space="preserve"> </w:t>
      </w:r>
      <w:r>
        <w:rPr>
          <w:lang w:eastAsia="ja-JP"/>
        </w:rPr>
        <w:t>The duration of treatment could be extended to four years but there are insufficient data to support a favourable risk-benefit balance for treatment beyond this.</w:t>
      </w:r>
    </w:p>
    <w:p w14:paraId="3374DFAC" w14:textId="63ECF5AA" w:rsidR="00605AD4" w:rsidRPr="00605AD4" w:rsidRDefault="00605AD4" w:rsidP="00605AD4">
      <w:pPr>
        <w:pStyle w:val="Heading3"/>
        <w:rPr>
          <w:rFonts w:eastAsia="Cambria"/>
        </w:rPr>
      </w:pPr>
      <w:bookmarkStart w:id="77" w:name="_Toc519257440"/>
      <w:r w:rsidRPr="00605AD4">
        <w:rPr>
          <w:rFonts w:eastAsia="Cambria"/>
        </w:rPr>
        <w:t xml:space="preserve">First </w:t>
      </w:r>
      <w:r w:rsidR="00FC10E7">
        <w:rPr>
          <w:rFonts w:eastAsia="Cambria"/>
        </w:rPr>
        <w:t>r</w:t>
      </w:r>
      <w:r w:rsidRPr="00605AD4">
        <w:rPr>
          <w:rFonts w:eastAsia="Cambria"/>
        </w:rPr>
        <w:t xml:space="preserve">ound </w:t>
      </w:r>
      <w:r w:rsidR="00FC10E7">
        <w:rPr>
          <w:rFonts w:eastAsia="Cambria"/>
        </w:rPr>
        <w:t>r</w:t>
      </w:r>
      <w:r w:rsidRPr="00605AD4">
        <w:rPr>
          <w:rFonts w:eastAsia="Cambria"/>
        </w:rPr>
        <w:t xml:space="preserve">ecommendation </w:t>
      </w:r>
      <w:r w:rsidR="00FC10E7">
        <w:rPr>
          <w:rFonts w:eastAsia="Cambria"/>
        </w:rPr>
        <w:t>r</w:t>
      </w:r>
      <w:r w:rsidRPr="00605AD4">
        <w:rPr>
          <w:rFonts w:eastAsia="Cambria"/>
        </w:rPr>
        <w:t xml:space="preserve">egarding </w:t>
      </w:r>
      <w:r w:rsidR="00FC10E7">
        <w:rPr>
          <w:rFonts w:eastAsia="Cambria"/>
        </w:rPr>
        <w:t>a</w:t>
      </w:r>
      <w:r w:rsidRPr="00605AD4">
        <w:rPr>
          <w:rFonts w:eastAsia="Cambria"/>
        </w:rPr>
        <w:t>uthorisation</w:t>
      </w:r>
      <w:bookmarkEnd w:id="77"/>
    </w:p>
    <w:p w14:paraId="25B58C2C" w14:textId="77777777" w:rsidR="003F55B8" w:rsidRDefault="003F55B8" w:rsidP="003F55B8">
      <w:pPr>
        <w:rPr>
          <w:lang w:eastAsia="ja-JP"/>
        </w:rPr>
      </w:pPr>
      <w:r>
        <w:rPr>
          <w:lang w:eastAsia="ja-JP"/>
        </w:rPr>
        <w:t xml:space="preserve">The application to amend to indication for </w:t>
      </w:r>
      <w:r w:rsidR="00FA103D">
        <w:rPr>
          <w:lang w:eastAsia="ja-JP"/>
        </w:rPr>
        <w:t>M</w:t>
      </w:r>
      <w:r w:rsidR="003B6F41">
        <w:rPr>
          <w:lang w:eastAsia="ja-JP"/>
        </w:rPr>
        <w:t>avenclad</w:t>
      </w:r>
      <w:r>
        <w:rPr>
          <w:lang w:eastAsia="ja-JP"/>
        </w:rPr>
        <w:t xml:space="preserve"> to:</w:t>
      </w:r>
    </w:p>
    <w:p w14:paraId="40CF40C9" w14:textId="77777777" w:rsidR="003F55B8" w:rsidRPr="00A32F3B" w:rsidRDefault="00FA103D" w:rsidP="008022DA">
      <w:pPr>
        <w:ind w:left="720"/>
        <w:rPr>
          <w:i/>
        </w:rPr>
      </w:pPr>
      <w:r>
        <w:rPr>
          <w:i/>
        </w:rPr>
        <w:t>M</w:t>
      </w:r>
      <w:r w:rsidR="003B6F41">
        <w:rPr>
          <w:i/>
        </w:rPr>
        <w:t>avenclad</w:t>
      </w:r>
      <w:r w:rsidR="003F55B8" w:rsidRPr="00F3068E">
        <w:rPr>
          <w:i/>
        </w:rPr>
        <w:t xml:space="preserve"> is indicated for the treatment of relapsing-remitting multiple sclerosis (RRMS) to reduce the frequency of clinical relapses and to delay the progression of physical disability.</w:t>
      </w:r>
    </w:p>
    <w:p w14:paraId="69F53FD3" w14:textId="77777777" w:rsidR="003F55B8" w:rsidRDefault="003F55B8" w:rsidP="003F55B8">
      <w:pPr>
        <w:rPr>
          <w:lang w:eastAsia="ja-JP"/>
        </w:rPr>
      </w:pPr>
      <w:r>
        <w:rPr>
          <w:lang w:eastAsia="ja-JP"/>
        </w:rPr>
        <w:t>should be rejected.</w:t>
      </w:r>
    </w:p>
    <w:p w14:paraId="009E7592" w14:textId="59C23E14" w:rsidR="008022DA" w:rsidRDefault="003F55B8" w:rsidP="008022DA">
      <w:r>
        <w:rPr>
          <w:lang w:eastAsia="ja-JP"/>
        </w:rPr>
        <w:t xml:space="preserve">In the opinion of the </w:t>
      </w:r>
      <w:r w:rsidR="003B6F41">
        <w:rPr>
          <w:lang w:eastAsia="ja-JP"/>
        </w:rPr>
        <w:t>clinical e</w:t>
      </w:r>
      <w:r>
        <w:rPr>
          <w:lang w:eastAsia="ja-JP"/>
        </w:rPr>
        <w:t xml:space="preserve">valuator there are sufficient data to support </w:t>
      </w:r>
      <w:r w:rsidR="00FC10E7">
        <w:t>the addition of</w:t>
      </w:r>
    </w:p>
    <w:p w14:paraId="5A111570" w14:textId="77777777" w:rsidR="008022DA" w:rsidRDefault="00D31B59" w:rsidP="008022DA">
      <w:pPr>
        <w:ind w:left="720"/>
      </w:pPr>
      <w:r>
        <w:t>‘</w:t>
      </w:r>
      <w:r w:rsidR="003F55B8" w:rsidRPr="00F3068E">
        <w:rPr>
          <w:i/>
        </w:rPr>
        <w:t>to reduce the frequency of clinical relapses and to delay the progression of physical disability</w:t>
      </w:r>
      <w:r>
        <w:t>’</w:t>
      </w:r>
      <w:r w:rsidR="003F55B8" w:rsidRPr="00F3068E">
        <w:t xml:space="preserve"> </w:t>
      </w:r>
    </w:p>
    <w:p w14:paraId="5C705AC1" w14:textId="77777777" w:rsidR="008022DA" w:rsidRDefault="003F55B8" w:rsidP="003F55B8">
      <w:r>
        <w:t>but not the</w:t>
      </w:r>
      <w:r w:rsidR="00D21502">
        <w:t xml:space="preserve"> removal of</w:t>
      </w:r>
    </w:p>
    <w:p w14:paraId="5D568716" w14:textId="77777777" w:rsidR="008022DA" w:rsidRDefault="00D21502" w:rsidP="008022DA">
      <w:pPr>
        <w:ind w:firstLine="720"/>
      </w:pPr>
      <w:r>
        <w:rPr>
          <w:i/>
        </w:rPr>
        <w:t>‘</w:t>
      </w:r>
      <w:r w:rsidR="003F55B8" w:rsidRPr="00F3068E">
        <w:rPr>
          <w:i/>
        </w:rPr>
        <w:t>for a maximum duration of 2 years</w:t>
      </w:r>
      <w:r w:rsidR="00D31B59">
        <w:t>’</w:t>
      </w:r>
      <w:r w:rsidR="003F55B8">
        <w:t>.</w:t>
      </w:r>
    </w:p>
    <w:p w14:paraId="5B894330" w14:textId="77777777" w:rsidR="003F55B8" w:rsidRDefault="00FA103D" w:rsidP="003F55B8">
      <w:pPr>
        <w:rPr>
          <w:lang w:eastAsia="ja-JP"/>
        </w:rPr>
      </w:pPr>
      <w:r>
        <w:t>The sponsor</w:t>
      </w:r>
      <w:r w:rsidR="003F55B8">
        <w:t xml:space="preserve"> needs to clarify the proposed dosing regimen before the treatment duration can be determined, but in the opinion of the </w:t>
      </w:r>
      <w:r w:rsidR="003B6F41">
        <w:t>clinical e</w:t>
      </w:r>
      <w:r w:rsidR="003F55B8">
        <w:t>valuator it should not exceed four years.</w:t>
      </w:r>
    </w:p>
    <w:p w14:paraId="3BE36D5E" w14:textId="5E46813C" w:rsidR="00605AD4" w:rsidRPr="00605AD4" w:rsidRDefault="00FC10E7" w:rsidP="00605AD4">
      <w:pPr>
        <w:pStyle w:val="Heading3"/>
        <w:rPr>
          <w:rFonts w:eastAsia="Cambria"/>
        </w:rPr>
      </w:pPr>
      <w:bookmarkStart w:id="78" w:name="_Toc519257441"/>
      <w:r>
        <w:rPr>
          <w:rFonts w:eastAsia="Cambria"/>
        </w:rPr>
        <w:t>Second r</w:t>
      </w:r>
      <w:r w:rsidR="00605AD4" w:rsidRPr="00605AD4">
        <w:rPr>
          <w:rFonts w:eastAsia="Cambria"/>
        </w:rPr>
        <w:t xml:space="preserve">ound </w:t>
      </w:r>
      <w:r>
        <w:rPr>
          <w:rFonts w:eastAsia="Cambria"/>
        </w:rPr>
        <w:t>e</w:t>
      </w:r>
      <w:r w:rsidR="00605AD4" w:rsidRPr="00605AD4">
        <w:rPr>
          <w:rFonts w:eastAsia="Cambria"/>
        </w:rPr>
        <w:t>valuation of clinical data submitted in response to questions</w:t>
      </w:r>
      <w:bookmarkEnd w:id="78"/>
    </w:p>
    <w:p w14:paraId="1EE77C54" w14:textId="77777777" w:rsidR="006136D7" w:rsidRPr="00605AD4" w:rsidRDefault="006136D7" w:rsidP="006136D7">
      <w:r>
        <w:t xml:space="preserve">For details of the sponsor’s responses </w:t>
      </w:r>
      <w:r w:rsidR="008022DA">
        <w:t xml:space="preserve">to Clinical questions raised </w:t>
      </w:r>
      <w:r>
        <w:t>and the evaluation of these responses please see Attachment 2.</w:t>
      </w:r>
    </w:p>
    <w:p w14:paraId="31995970" w14:textId="1753BE3F" w:rsidR="00605AD4" w:rsidRPr="00605AD4" w:rsidRDefault="00605AD4" w:rsidP="00546154">
      <w:pPr>
        <w:pStyle w:val="Heading3"/>
        <w:rPr>
          <w:rFonts w:eastAsia="Cambria"/>
        </w:rPr>
      </w:pPr>
      <w:bookmarkStart w:id="79" w:name="_Toc519257442"/>
      <w:r w:rsidRPr="00605AD4">
        <w:rPr>
          <w:rFonts w:eastAsia="Cambria"/>
        </w:rPr>
        <w:t xml:space="preserve">Second </w:t>
      </w:r>
      <w:r w:rsidR="00FC10E7">
        <w:rPr>
          <w:rFonts w:eastAsia="Cambria"/>
        </w:rPr>
        <w:t>r</w:t>
      </w:r>
      <w:r w:rsidRPr="00605AD4">
        <w:rPr>
          <w:rFonts w:eastAsia="Cambria"/>
        </w:rPr>
        <w:t xml:space="preserve">ound </w:t>
      </w:r>
      <w:r w:rsidR="00FC10E7">
        <w:rPr>
          <w:rFonts w:eastAsia="Cambria"/>
        </w:rPr>
        <w:t>b</w:t>
      </w:r>
      <w:r w:rsidRPr="00605AD4">
        <w:rPr>
          <w:rFonts w:eastAsia="Cambria"/>
        </w:rPr>
        <w:t>enefit-</w:t>
      </w:r>
      <w:r w:rsidR="00FC10E7">
        <w:rPr>
          <w:rFonts w:eastAsia="Cambria"/>
        </w:rPr>
        <w:t>r</w:t>
      </w:r>
      <w:r w:rsidRPr="00605AD4">
        <w:rPr>
          <w:rFonts w:eastAsia="Cambria"/>
        </w:rPr>
        <w:t xml:space="preserve">isk </w:t>
      </w:r>
      <w:r w:rsidR="00FC10E7">
        <w:rPr>
          <w:rFonts w:eastAsia="Cambria"/>
        </w:rPr>
        <w:t>a</w:t>
      </w:r>
      <w:r w:rsidRPr="00605AD4">
        <w:rPr>
          <w:rFonts w:eastAsia="Cambria"/>
        </w:rPr>
        <w:t>ssessment</w:t>
      </w:r>
      <w:bookmarkEnd w:id="79"/>
    </w:p>
    <w:p w14:paraId="6308FCFF" w14:textId="77777777" w:rsidR="00EE7AFF" w:rsidRPr="00500C5C" w:rsidRDefault="00EE7AFF" w:rsidP="008022DA">
      <w:pPr>
        <w:pStyle w:val="Heading4"/>
      </w:pPr>
      <w:bookmarkStart w:id="80" w:name="_Toc272414709"/>
      <w:bookmarkStart w:id="81" w:name="_Toc290888575"/>
      <w:bookmarkStart w:id="82" w:name="_Toc416353792"/>
      <w:bookmarkStart w:id="83" w:name="_Toc421005334"/>
      <w:bookmarkStart w:id="84" w:name="_Toc432079207"/>
      <w:bookmarkStart w:id="85" w:name="_Toc432080780"/>
      <w:bookmarkStart w:id="86" w:name="_Toc494651774"/>
      <w:r w:rsidRPr="00500C5C">
        <w:t>Second round assessment of benefits</w:t>
      </w:r>
      <w:bookmarkEnd w:id="80"/>
      <w:bookmarkEnd w:id="81"/>
      <w:bookmarkEnd w:id="82"/>
      <w:bookmarkEnd w:id="83"/>
      <w:bookmarkEnd w:id="84"/>
      <w:bookmarkEnd w:id="85"/>
      <w:bookmarkEnd w:id="86"/>
    </w:p>
    <w:p w14:paraId="6ADE9E46" w14:textId="77777777" w:rsidR="00EE7AFF" w:rsidRDefault="00EE7AFF" w:rsidP="00EE7AFF">
      <w:r w:rsidRPr="00DB2DAE">
        <w:t xml:space="preserve">After consideration of the responses to clinical questions, the benefits of </w:t>
      </w:r>
      <w:r>
        <w:t>cladribine (</w:t>
      </w:r>
      <w:r w:rsidR="00FA103D">
        <w:t>Mavenclad</w:t>
      </w:r>
      <w:r>
        <w:t>)</w:t>
      </w:r>
      <w:r w:rsidRPr="00DB2DAE">
        <w:t xml:space="preserve"> in the proposed usage are unchanged from those identified in </w:t>
      </w:r>
      <w:r w:rsidR="008022DA">
        <w:t>the first round evaluation</w:t>
      </w:r>
      <w:r>
        <w:t>.</w:t>
      </w:r>
    </w:p>
    <w:p w14:paraId="796AC2E3" w14:textId="77777777" w:rsidR="00EE7AFF" w:rsidRPr="00500C5C" w:rsidRDefault="00EE7AFF" w:rsidP="00EE7AFF">
      <w:pPr>
        <w:pStyle w:val="Heading3"/>
      </w:pPr>
      <w:bookmarkStart w:id="87" w:name="_Toc272414710"/>
      <w:bookmarkStart w:id="88" w:name="_Toc290888576"/>
      <w:bookmarkStart w:id="89" w:name="_Toc416353793"/>
      <w:bookmarkStart w:id="90" w:name="_Toc421005335"/>
      <w:bookmarkStart w:id="91" w:name="_Toc432079208"/>
      <w:bookmarkStart w:id="92" w:name="_Toc432080781"/>
      <w:bookmarkStart w:id="93" w:name="_Toc494651775"/>
      <w:bookmarkStart w:id="94" w:name="_Toc519257443"/>
      <w:r w:rsidRPr="00500C5C">
        <w:t>Second round assessment of risks</w:t>
      </w:r>
      <w:bookmarkEnd w:id="87"/>
      <w:bookmarkEnd w:id="88"/>
      <w:bookmarkEnd w:id="89"/>
      <w:bookmarkEnd w:id="90"/>
      <w:bookmarkEnd w:id="91"/>
      <w:bookmarkEnd w:id="92"/>
      <w:bookmarkEnd w:id="93"/>
      <w:bookmarkEnd w:id="94"/>
    </w:p>
    <w:p w14:paraId="0FC36831" w14:textId="77777777" w:rsidR="00EE7AFF" w:rsidRDefault="00EE7AFF" w:rsidP="00EE7AFF">
      <w:r w:rsidRPr="00DB2DAE">
        <w:t xml:space="preserve">After consideration of the responses to clinical questions, the </w:t>
      </w:r>
      <w:r>
        <w:t>risks</w:t>
      </w:r>
      <w:r w:rsidRPr="00DB2DAE">
        <w:t xml:space="preserve"> of </w:t>
      </w:r>
      <w:r>
        <w:t>cladribine (</w:t>
      </w:r>
      <w:r w:rsidR="00FA103D">
        <w:t>Mavenclad</w:t>
      </w:r>
      <w:r>
        <w:t>)</w:t>
      </w:r>
      <w:r w:rsidRPr="00DB2DAE">
        <w:t xml:space="preserve"> in the proposed usage are unchanged from those identified </w:t>
      </w:r>
      <w:r w:rsidR="008022DA">
        <w:t>the first round evaluation</w:t>
      </w:r>
      <w:r>
        <w:t>.</w:t>
      </w:r>
    </w:p>
    <w:p w14:paraId="5680DEAA" w14:textId="77777777" w:rsidR="00EE7AFF" w:rsidRPr="00545B14" w:rsidRDefault="00EE7AFF" w:rsidP="00EE7AFF">
      <w:pPr>
        <w:pStyle w:val="Heading3"/>
      </w:pPr>
      <w:bookmarkStart w:id="95" w:name="_Toc272414711"/>
      <w:bookmarkStart w:id="96" w:name="_Toc290888577"/>
      <w:bookmarkStart w:id="97" w:name="_Toc416353794"/>
      <w:bookmarkStart w:id="98" w:name="_Toc421005336"/>
      <w:bookmarkStart w:id="99" w:name="_Toc432079209"/>
      <w:bookmarkStart w:id="100" w:name="_Toc432080782"/>
      <w:bookmarkStart w:id="101" w:name="_Toc494651776"/>
      <w:bookmarkStart w:id="102" w:name="_Toc519257444"/>
      <w:r w:rsidRPr="00545B14">
        <w:t xml:space="preserve">Second round assessment of benefit-risk </w:t>
      </w:r>
      <w:bookmarkEnd w:id="95"/>
      <w:bookmarkEnd w:id="96"/>
      <w:bookmarkEnd w:id="97"/>
      <w:bookmarkEnd w:id="98"/>
      <w:r>
        <w:t>balance</w:t>
      </w:r>
      <w:bookmarkEnd w:id="99"/>
      <w:bookmarkEnd w:id="100"/>
      <w:bookmarkEnd w:id="101"/>
      <w:bookmarkEnd w:id="102"/>
    </w:p>
    <w:p w14:paraId="28EB08CF" w14:textId="23DFA84D" w:rsidR="008022DA" w:rsidRDefault="00EE7AFF" w:rsidP="00EE7AFF">
      <w:pPr>
        <w:rPr>
          <w:lang w:eastAsia="ja-JP"/>
        </w:rPr>
      </w:pPr>
      <w:r>
        <w:rPr>
          <w:lang w:eastAsia="ja-JP"/>
        </w:rPr>
        <w:t>The risk benefit for cladribine is favourable for proposed am</w:t>
      </w:r>
      <w:r w:rsidR="00FC10E7">
        <w:rPr>
          <w:lang w:eastAsia="ja-JP"/>
        </w:rPr>
        <w:t>ended dosing regimen, which is:</w:t>
      </w:r>
    </w:p>
    <w:p w14:paraId="5BBDBA00" w14:textId="5A24988F" w:rsidR="00EE7AFF" w:rsidRDefault="00D31B59" w:rsidP="008022DA">
      <w:pPr>
        <w:ind w:left="720"/>
        <w:rPr>
          <w:lang w:eastAsia="ja-JP"/>
        </w:rPr>
      </w:pPr>
      <w:r>
        <w:t>‘</w:t>
      </w:r>
      <w:r w:rsidR="00FA103D" w:rsidRPr="008022DA">
        <w:rPr>
          <w:i/>
        </w:rPr>
        <w:t>Mavenclad</w:t>
      </w:r>
      <w:r w:rsidR="00EE7AFF" w:rsidRPr="008022DA">
        <w:rPr>
          <w:i/>
        </w:rPr>
        <w:t xml:space="preserve"> therapy comprises of 2 treatment courses over 2 years (Year 1 and Year</w:t>
      </w:r>
      <w:r w:rsidR="0082400F">
        <w:rPr>
          <w:i/>
        </w:rPr>
        <w:t> </w:t>
      </w:r>
      <w:r w:rsidR="00EE7AFF" w:rsidRPr="008022DA">
        <w:rPr>
          <w:i/>
        </w:rPr>
        <w:t>2; cumulative dose of 3.5 mg/kg over 2 years).</w:t>
      </w:r>
      <w:r w:rsidR="0057702F" w:rsidRPr="008022DA">
        <w:rPr>
          <w:i/>
        </w:rPr>
        <w:t xml:space="preserve"> </w:t>
      </w:r>
      <w:r w:rsidR="00EE7AFF" w:rsidRPr="008022DA">
        <w:rPr>
          <w:i/>
        </w:rPr>
        <w:t xml:space="preserve">Patients should receive no more </w:t>
      </w:r>
      <w:r w:rsidR="00EE7AFF" w:rsidRPr="008022DA">
        <w:rPr>
          <w:i/>
        </w:rPr>
        <w:lastRenderedPageBreak/>
        <w:t>than 2 treatment courses over two consecutive years.</w:t>
      </w:r>
      <w:r w:rsidR="0057702F" w:rsidRPr="008022DA">
        <w:rPr>
          <w:i/>
        </w:rPr>
        <w:t xml:space="preserve"> </w:t>
      </w:r>
      <w:r w:rsidR="00EE7AFF" w:rsidRPr="008022DA">
        <w:rPr>
          <w:i/>
        </w:rPr>
        <w:t>The recommended dose should not be exceeded.</w:t>
      </w:r>
      <w:r w:rsidR="0057702F" w:rsidRPr="008022DA">
        <w:rPr>
          <w:i/>
        </w:rPr>
        <w:t xml:space="preserve"> </w:t>
      </w:r>
      <w:r w:rsidR="00EE7AFF" w:rsidRPr="008022DA">
        <w:rPr>
          <w:i/>
        </w:rPr>
        <w:t>Following completion of these 2 treatment courses, no additional treatment is needed in the subsequent 2 years (Year 3 and Year 4).</w:t>
      </w:r>
      <w:r w:rsidR="0057702F" w:rsidRPr="008022DA">
        <w:rPr>
          <w:i/>
        </w:rPr>
        <w:t xml:space="preserve"> </w:t>
      </w:r>
      <w:r w:rsidR="00EE7AFF" w:rsidRPr="008022DA">
        <w:rPr>
          <w:i/>
        </w:rPr>
        <w:t>Re-initiation of treatment with cladribine after Year 4 has not been studied</w:t>
      </w:r>
      <w:r w:rsidR="00EE7AFF" w:rsidRPr="0003479A">
        <w:t>.</w:t>
      </w:r>
      <w:r>
        <w:t>’</w:t>
      </w:r>
    </w:p>
    <w:p w14:paraId="189572CF" w14:textId="77777777" w:rsidR="008E7846" w:rsidRPr="00E41208" w:rsidRDefault="008E7846" w:rsidP="00FC10E7">
      <w:pPr>
        <w:pStyle w:val="Heading2"/>
      </w:pPr>
      <w:bookmarkStart w:id="103" w:name="_Toc519257445"/>
      <w:r w:rsidRPr="00E41208">
        <w:t>V</w:t>
      </w:r>
      <w:r w:rsidR="00FA103D">
        <w:t>I</w:t>
      </w:r>
      <w:r w:rsidRPr="00E41208">
        <w:t xml:space="preserve">. </w:t>
      </w:r>
      <w:r w:rsidRPr="00FC10E7">
        <w:t>Pharmacovigilance</w:t>
      </w:r>
      <w:r w:rsidRPr="00E41208">
        <w:t xml:space="preserve"> </w:t>
      </w:r>
      <w:r>
        <w:t>f</w:t>
      </w:r>
      <w:r w:rsidRPr="00E41208">
        <w:t>indings</w:t>
      </w:r>
      <w:bookmarkEnd w:id="72"/>
      <w:bookmarkEnd w:id="73"/>
      <w:bookmarkEnd w:id="103"/>
    </w:p>
    <w:p w14:paraId="38623CC0" w14:textId="77777777" w:rsidR="00502A39" w:rsidRPr="00D31B59" w:rsidRDefault="00502A39" w:rsidP="00D31B59">
      <w:pPr>
        <w:pStyle w:val="ListBullet"/>
        <w:rPr>
          <w:rStyle w:val="BulletlistChar"/>
          <w:rFonts w:eastAsia="Cambria"/>
          <w:snapToGrid/>
          <w:kern w:val="0"/>
          <w:sz w:val="22"/>
          <w:szCs w:val="22"/>
        </w:rPr>
      </w:pPr>
      <w:bookmarkStart w:id="104" w:name="_Toc247691527"/>
      <w:r w:rsidRPr="00D31B59">
        <w:rPr>
          <w:rStyle w:val="BulletlistChar"/>
          <w:rFonts w:eastAsia="Cambria"/>
          <w:snapToGrid/>
          <w:kern w:val="0"/>
          <w:sz w:val="22"/>
          <w:szCs w:val="22"/>
        </w:rPr>
        <w:t>Merk Serono Australia Pty Ltd has submitted EU-RMP version 1.3 (18 June 2017; DLP 31 December 2016) and ASA version 6.0 (17 August 2017) in support of this application.</w:t>
      </w:r>
    </w:p>
    <w:p w14:paraId="2BC16B84" w14:textId="77777777" w:rsidR="00502A39" w:rsidRDefault="00502A39" w:rsidP="00D31B59">
      <w:pPr>
        <w:pStyle w:val="ListBullet"/>
      </w:pPr>
      <w:r w:rsidRPr="00D31B59">
        <w:t>The proposed Summary of Safety Concerns and their associated risk monitoring and mitigation strategies are summarised below:</w:t>
      </w:r>
    </w:p>
    <w:p w14:paraId="364671A8" w14:textId="77777777" w:rsidR="009755CB" w:rsidRPr="00D31B59" w:rsidRDefault="009755CB" w:rsidP="00FC10E7">
      <w:pPr>
        <w:pStyle w:val="Tabletitle0"/>
      </w:pPr>
      <w:r>
        <w:t xml:space="preserve">Table </w:t>
      </w:r>
      <w:r w:rsidR="008022DA">
        <w:t>6</w:t>
      </w:r>
      <w:r>
        <w:t>: Summary of ongoing safety concerns</w:t>
      </w:r>
    </w:p>
    <w:p w14:paraId="4783178B" w14:textId="77777777" w:rsidR="007A7272" w:rsidRPr="002C2245" w:rsidRDefault="007A7272" w:rsidP="007A7272">
      <w:pPr>
        <w:pStyle w:val="TableDescription"/>
      </w:pPr>
      <w:r>
        <w:t>R=routine and A=additional</w:t>
      </w:r>
    </w:p>
    <w:tbl>
      <w:tblPr>
        <w:tblStyle w:val="TableTGAblue"/>
        <w:tblW w:w="9108" w:type="dxa"/>
        <w:tblLayout w:type="fixed"/>
        <w:tblLook w:val="04A0" w:firstRow="1" w:lastRow="0" w:firstColumn="1" w:lastColumn="0" w:noHBand="0" w:noVBand="1"/>
      </w:tblPr>
      <w:tblGrid>
        <w:gridCol w:w="1458"/>
        <w:gridCol w:w="3420"/>
        <w:gridCol w:w="1080"/>
        <w:gridCol w:w="1080"/>
        <w:gridCol w:w="1080"/>
        <w:gridCol w:w="990"/>
      </w:tblGrid>
      <w:tr w:rsidR="0082400F" w:rsidRPr="008022DA" w14:paraId="577F79D6" w14:textId="77777777" w:rsidTr="0082400F">
        <w:trPr>
          <w:cnfStyle w:val="100000000000" w:firstRow="1" w:lastRow="0" w:firstColumn="0" w:lastColumn="0" w:oddVBand="0" w:evenVBand="0" w:oddHBand="0" w:evenHBand="0" w:firstRowFirstColumn="0" w:firstRowLastColumn="0" w:lastRowFirstColumn="0" w:lastRowLastColumn="0"/>
          <w:cantSplit/>
          <w:trHeight w:val="523"/>
        </w:trPr>
        <w:tc>
          <w:tcPr>
            <w:tcW w:w="4878" w:type="dxa"/>
            <w:gridSpan w:val="2"/>
            <w:vMerge w:val="restart"/>
          </w:tcPr>
          <w:p w14:paraId="0B2AFD5A" w14:textId="77777777" w:rsidR="00502A39" w:rsidRPr="008022DA" w:rsidRDefault="00502A39" w:rsidP="008022DA">
            <w:pPr>
              <w:rPr>
                <w:sz w:val="20"/>
                <w:szCs w:val="20"/>
              </w:rPr>
            </w:pPr>
            <w:r w:rsidRPr="008022DA">
              <w:rPr>
                <w:sz w:val="20"/>
                <w:szCs w:val="20"/>
              </w:rPr>
              <w:t>Summary of safety concerns (ASA v6.0)</w:t>
            </w:r>
          </w:p>
        </w:tc>
        <w:tc>
          <w:tcPr>
            <w:tcW w:w="2160" w:type="dxa"/>
            <w:gridSpan w:val="2"/>
          </w:tcPr>
          <w:p w14:paraId="0B460E9C" w14:textId="77777777" w:rsidR="00502A39" w:rsidRPr="008022DA" w:rsidRDefault="00502A39" w:rsidP="00560830">
            <w:pPr>
              <w:ind w:left="0"/>
              <w:rPr>
                <w:sz w:val="20"/>
                <w:szCs w:val="20"/>
              </w:rPr>
            </w:pPr>
            <w:r w:rsidRPr="008022DA">
              <w:rPr>
                <w:sz w:val="20"/>
                <w:szCs w:val="20"/>
              </w:rPr>
              <w:t>Pharmacovigilance</w:t>
            </w:r>
          </w:p>
        </w:tc>
        <w:tc>
          <w:tcPr>
            <w:tcW w:w="2070" w:type="dxa"/>
            <w:gridSpan w:val="2"/>
          </w:tcPr>
          <w:p w14:paraId="19AB30E5" w14:textId="77777777" w:rsidR="00502A39" w:rsidRPr="008022DA" w:rsidRDefault="00502A39" w:rsidP="00560830">
            <w:pPr>
              <w:ind w:left="0"/>
              <w:rPr>
                <w:sz w:val="20"/>
                <w:szCs w:val="20"/>
              </w:rPr>
            </w:pPr>
            <w:r w:rsidRPr="008022DA">
              <w:rPr>
                <w:sz w:val="20"/>
                <w:szCs w:val="20"/>
              </w:rPr>
              <w:t>Risk Minimisation</w:t>
            </w:r>
          </w:p>
        </w:tc>
      </w:tr>
      <w:tr w:rsidR="0082400F" w:rsidRPr="008022DA" w14:paraId="537F279A" w14:textId="77777777" w:rsidTr="00560830">
        <w:trPr>
          <w:cantSplit/>
          <w:trHeight w:val="150"/>
        </w:trPr>
        <w:tc>
          <w:tcPr>
            <w:tcW w:w="4878" w:type="dxa"/>
            <w:gridSpan w:val="2"/>
            <w:vMerge/>
          </w:tcPr>
          <w:p w14:paraId="5071ECDE" w14:textId="77777777" w:rsidR="00502A39" w:rsidRPr="008022DA" w:rsidRDefault="00502A39" w:rsidP="008022DA">
            <w:pPr>
              <w:rPr>
                <w:sz w:val="20"/>
                <w:szCs w:val="20"/>
              </w:rPr>
            </w:pPr>
          </w:p>
        </w:tc>
        <w:tc>
          <w:tcPr>
            <w:tcW w:w="1080" w:type="dxa"/>
          </w:tcPr>
          <w:p w14:paraId="3D98F097" w14:textId="77777777" w:rsidR="00502A39" w:rsidRPr="008022DA" w:rsidRDefault="00502A39" w:rsidP="008F78AF">
            <w:pPr>
              <w:jc w:val="center"/>
              <w:rPr>
                <w:sz w:val="20"/>
                <w:szCs w:val="20"/>
              </w:rPr>
            </w:pPr>
            <w:r w:rsidRPr="008022DA">
              <w:rPr>
                <w:sz w:val="20"/>
                <w:szCs w:val="20"/>
              </w:rPr>
              <w:t>R</w:t>
            </w:r>
          </w:p>
        </w:tc>
        <w:tc>
          <w:tcPr>
            <w:tcW w:w="1080" w:type="dxa"/>
          </w:tcPr>
          <w:p w14:paraId="2F52B8EF" w14:textId="77777777" w:rsidR="00502A39" w:rsidRPr="008022DA" w:rsidRDefault="00502A39" w:rsidP="008F78AF">
            <w:pPr>
              <w:jc w:val="center"/>
              <w:rPr>
                <w:sz w:val="20"/>
                <w:szCs w:val="20"/>
              </w:rPr>
            </w:pPr>
            <w:r w:rsidRPr="008022DA">
              <w:rPr>
                <w:sz w:val="20"/>
                <w:szCs w:val="20"/>
              </w:rPr>
              <w:t>A</w:t>
            </w:r>
          </w:p>
        </w:tc>
        <w:tc>
          <w:tcPr>
            <w:tcW w:w="1080" w:type="dxa"/>
          </w:tcPr>
          <w:p w14:paraId="138D67C4" w14:textId="77777777" w:rsidR="00502A39" w:rsidRPr="008022DA" w:rsidRDefault="00502A39" w:rsidP="008F78AF">
            <w:pPr>
              <w:jc w:val="center"/>
              <w:rPr>
                <w:sz w:val="20"/>
                <w:szCs w:val="20"/>
              </w:rPr>
            </w:pPr>
            <w:r w:rsidRPr="008022DA">
              <w:rPr>
                <w:sz w:val="20"/>
                <w:szCs w:val="20"/>
              </w:rPr>
              <w:t>R</w:t>
            </w:r>
          </w:p>
        </w:tc>
        <w:tc>
          <w:tcPr>
            <w:tcW w:w="990" w:type="dxa"/>
          </w:tcPr>
          <w:p w14:paraId="32D293DC" w14:textId="77777777" w:rsidR="00502A39" w:rsidRPr="008022DA" w:rsidRDefault="00502A39" w:rsidP="008F78AF">
            <w:pPr>
              <w:jc w:val="center"/>
              <w:rPr>
                <w:sz w:val="20"/>
                <w:szCs w:val="20"/>
              </w:rPr>
            </w:pPr>
            <w:r w:rsidRPr="008022DA">
              <w:rPr>
                <w:sz w:val="20"/>
                <w:szCs w:val="20"/>
              </w:rPr>
              <w:t>A</w:t>
            </w:r>
          </w:p>
        </w:tc>
      </w:tr>
      <w:tr w:rsidR="0082400F" w:rsidRPr="008022DA" w14:paraId="6D5E5302" w14:textId="77777777" w:rsidTr="00560830">
        <w:trPr>
          <w:trHeight w:val="275"/>
        </w:trPr>
        <w:tc>
          <w:tcPr>
            <w:tcW w:w="1458" w:type="dxa"/>
            <w:vMerge w:val="restart"/>
          </w:tcPr>
          <w:p w14:paraId="501F2020" w14:textId="77777777" w:rsidR="00502A39" w:rsidRPr="008022DA" w:rsidRDefault="00502A39" w:rsidP="00560830">
            <w:pPr>
              <w:ind w:left="0"/>
              <w:rPr>
                <w:sz w:val="20"/>
                <w:szCs w:val="20"/>
              </w:rPr>
            </w:pPr>
            <w:r w:rsidRPr="008022DA">
              <w:rPr>
                <w:sz w:val="20"/>
                <w:szCs w:val="20"/>
              </w:rPr>
              <w:t>Important identified risks</w:t>
            </w:r>
          </w:p>
        </w:tc>
        <w:tc>
          <w:tcPr>
            <w:tcW w:w="3420" w:type="dxa"/>
          </w:tcPr>
          <w:p w14:paraId="55205C04" w14:textId="271644A1" w:rsidR="00502A39" w:rsidRPr="008022DA" w:rsidRDefault="00502A39" w:rsidP="008022DA">
            <w:pPr>
              <w:rPr>
                <w:sz w:val="20"/>
                <w:szCs w:val="20"/>
              </w:rPr>
            </w:pPr>
            <w:r w:rsidRPr="008022DA">
              <w:rPr>
                <w:sz w:val="20"/>
                <w:szCs w:val="20"/>
              </w:rPr>
              <w:t>Severe (Grade ≥</w:t>
            </w:r>
            <w:r w:rsidR="0082400F">
              <w:rPr>
                <w:sz w:val="20"/>
                <w:szCs w:val="20"/>
              </w:rPr>
              <w:t xml:space="preserve"> </w:t>
            </w:r>
            <w:r w:rsidRPr="008022DA">
              <w:rPr>
                <w:sz w:val="20"/>
                <w:szCs w:val="20"/>
              </w:rPr>
              <w:t>3) lympho</w:t>
            </w:r>
            <w:r w:rsidR="002A3ED4" w:rsidRPr="008022DA">
              <w:rPr>
                <w:sz w:val="20"/>
                <w:szCs w:val="20"/>
              </w:rPr>
              <w:t>paenia</w:t>
            </w:r>
          </w:p>
        </w:tc>
        <w:tc>
          <w:tcPr>
            <w:tcW w:w="1080" w:type="dxa"/>
          </w:tcPr>
          <w:p w14:paraId="5576F0F9" w14:textId="77777777" w:rsidR="00502A39" w:rsidRPr="008022DA" w:rsidRDefault="00502A39" w:rsidP="008F78AF">
            <w:pPr>
              <w:jc w:val="center"/>
              <w:rPr>
                <w:sz w:val="20"/>
                <w:szCs w:val="20"/>
              </w:rPr>
            </w:pPr>
            <w:r w:rsidRPr="008022DA">
              <w:rPr>
                <w:sz w:val="20"/>
                <w:szCs w:val="20"/>
              </w:rPr>
              <w:sym w:font="Wingdings" w:char="F0FC"/>
            </w:r>
          </w:p>
        </w:tc>
        <w:tc>
          <w:tcPr>
            <w:tcW w:w="1080" w:type="dxa"/>
          </w:tcPr>
          <w:p w14:paraId="4F077365" w14:textId="77777777" w:rsidR="00502A39" w:rsidRPr="008022DA" w:rsidRDefault="00502A39" w:rsidP="008F78AF">
            <w:pPr>
              <w:jc w:val="center"/>
              <w:rPr>
                <w:sz w:val="20"/>
                <w:szCs w:val="20"/>
              </w:rPr>
            </w:pPr>
            <w:r w:rsidRPr="008022DA">
              <w:rPr>
                <w:sz w:val="20"/>
                <w:szCs w:val="20"/>
              </w:rPr>
              <w:sym w:font="Wingdings" w:char="F0FC"/>
            </w:r>
          </w:p>
        </w:tc>
        <w:tc>
          <w:tcPr>
            <w:tcW w:w="1080" w:type="dxa"/>
          </w:tcPr>
          <w:p w14:paraId="6BE2DBF4" w14:textId="77777777" w:rsidR="00502A39" w:rsidRPr="008022DA" w:rsidRDefault="00502A39" w:rsidP="008F78AF">
            <w:pPr>
              <w:jc w:val="center"/>
              <w:rPr>
                <w:sz w:val="20"/>
                <w:szCs w:val="20"/>
              </w:rPr>
            </w:pPr>
            <w:r w:rsidRPr="008022DA">
              <w:rPr>
                <w:sz w:val="20"/>
                <w:szCs w:val="20"/>
              </w:rPr>
              <w:sym w:font="Wingdings" w:char="F0FC"/>
            </w:r>
          </w:p>
        </w:tc>
        <w:tc>
          <w:tcPr>
            <w:tcW w:w="990" w:type="dxa"/>
          </w:tcPr>
          <w:p w14:paraId="791D1FEA" w14:textId="77777777" w:rsidR="00502A39" w:rsidRPr="008022DA" w:rsidRDefault="00502A39" w:rsidP="008F78AF">
            <w:pPr>
              <w:jc w:val="center"/>
              <w:rPr>
                <w:sz w:val="20"/>
                <w:szCs w:val="20"/>
              </w:rPr>
            </w:pPr>
            <w:r w:rsidRPr="008022DA">
              <w:rPr>
                <w:sz w:val="20"/>
                <w:szCs w:val="20"/>
              </w:rPr>
              <w:sym w:font="Wingdings" w:char="F0FC"/>
            </w:r>
          </w:p>
        </w:tc>
      </w:tr>
      <w:tr w:rsidR="0082400F" w:rsidRPr="008022DA" w14:paraId="4229F421" w14:textId="77777777" w:rsidTr="00560830">
        <w:trPr>
          <w:trHeight w:val="292"/>
        </w:trPr>
        <w:tc>
          <w:tcPr>
            <w:tcW w:w="1458" w:type="dxa"/>
            <w:vMerge/>
          </w:tcPr>
          <w:p w14:paraId="56A36F6F" w14:textId="77777777" w:rsidR="00502A39" w:rsidRPr="008022DA" w:rsidRDefault="00502A39" w:rsidP="008022DA">
            <w:pPr>
              <w:rPr>
                <w:sz w:val="20"/>
                <w:szCs w:val="20"/>
              </w:rPr>
            </w:pPr>
          </w:p>
        </w:tc>
        <w:tc>
          <w:tcPr>
            <w:tcW w:w="3420" w:type="dxa"/>
          </w:tcPr>
          <w:p w14:paraId="56F6CAF7" w14:textId="77777777" w:rsidR="00502A39" w:rsidRPr="008022DA" w:rsidRDefault="00502A39" w:rsidP="008022DA">
            <w:pPr>
              <w:rPr>
                <w:sz w:val="20"/>
                <w:szCs w:val="20"/>
              </w:rPr>
            </w:pPr>
            <w:r w:rsidRPr="008022DA">
              <w:rPr>
                <w:sz w:val="20"/>
                <w:szCs w:val="20"/>
              </w:rPr>
              <w:t>Herpes zoster infection</w:t>
            </w:r>
          </w:p>
        </w:tc>
        <w:tc>
          <w:tcPr>
            <w:tcW w:w="1080" w:type="dxa"/>
          </w:tcPr>
          <w:p w14:paraId="54D5572C" w14:textId="77777777" w:rsidR="00502A39" w:rsidRPr="008022DA" w:rsidRDefault="00502A39" w:rsidP="008F78AF">
            <w:pPr>
              <w:jc w:val="center"/>
              <w:rPr>
                <w:sz w:val="20"/>
                <w:szCs w:val="20"/>
              </w:rPr>
            </w:pPr>
            <w:r w:rsidRPr="008022DA">
              <w:rPr>
                <w:sz w:val="20"/>
                <w:szCs w:val="20"/>
              </w:rPr>
              <w:sym w:font="Wingdings" w:char="F0FC"/>
            </w:r>
          </w:p>
        </w:tc>
        <w:tc>
          <w:tcPr>
            <w:tcW w:w="1080" w:type="dxa"/>
          </w:tcPr>
          <w:p w14:paraId="177E0CFA" w14:textId="77777777" w:rsidR="00502A39" w:rsidRPr="008022DA" w:rsidRDefault="00502A39" w:rsidP="008F78AF">
            <w:pPr>
              <w:jc w:val="center"/>
              <w:rPr>
                <w:sz w:val="20"/>
                <w:szCs w:val="20"/>
              </w:rPr>
            </w:pPr>
            <w:r w:rsidRPr="008022DA">
              <w:rPr>
                <w:sz w:val="20"/>
                <w:szCs w:val="20"/>
              </w:rPr>
              <w:sym w:font="Wingdings" w:char="F0FC"/>
            </w:r>
          </w:p>
        </w:tc>
        <w:tc>
          <w:tcPr>
            <w:tcW w:w="1080" w:type="dxa"/>
          </w:tcPr>
          <w:p w14:paraId="59C48C10" w14:textId="77777777" w:rsidR="00502A39" w:rsidRPr="008022DA" w:rsidRDefault="00502A39" w:rsidP="008F78AF">
            <w:pPr>
              <w:jc w:val="center"/>
              <w:rPr>
                <w:sz w:val="20"/>
                <w:szCs w:val="20"/>
              </w:rPr>
            </w:pPr>
            <w:r w:rsidRPr="008022DA">
              <w:rPr>
                <w:sz w:val="20"/>
                <w:szCs w:val="20"/>
              </w:rPr>
              <w:sym w:font="Wingdings" w:char="F0FC"/>
            </w:r>
          </w:p>
        </w:tc>
        <w:tc>
          <w:tcPr>
            <w:tcW w:w="990" w:type="dxa"/>
          </w:tcPr>
          <w:p w14:paraId="643E3952" w14:textId="77777777" w:rsidR="00502A39" w:rsidRPr="008022DA" w:rsidRDefault="00502A39" w:rsidP="008F78AF">
            <w:pPr>
              <w:jc w:val="center"/>
              <w:rPr>
                <w:sz w:val="20"/>
                <w:szCs w:val="20"/>
              </w:rPr>
            </w:pPr>
            <w:r w:rsidRPr="008022DA">
              <w:rPr>
                <w:sz w:val="20"/>
                <w:szCs w:val="20"/>
              </w:rPr>
              <w:sym w:font="Wingdings" w:char="F0FC"/>
            </w:r>
          </w:p>
        </w:tc>
      </w:tr>
      <w:tr w:rsidR="0082400F" w:rsidRPr="008022DA" w14:paraId="66346843" w14:textId="77777777" w:rsidTr="00560830">
        <w:trPr>
          <w:trHeight w:val="197"/>
        </w:trPr>
        <w:tc>
          <w:tcPr>
            <w:tcW w:w="1458" w:type="dxa"/>
            <w:vMerge/>
          </w:tcPr>
          <w:p w14:paraId="5E875AB2" w14:textId="77777777" w:rsidR="00502A39" w:rsidRPr="008022DA" w:rsidRDefault="00502A39" w:rsidP="008022DA">
            <w:pPr>
              <w:rPr>
                <w:sz w:val="20"/>
                <w:szCs w:val="20"/>
              </w:rPr>
            </w:pPr>
          </w:p>
        </w:tc>
        <w:tc>
          <w:tcPr>
            <w:tcW w:w="3420" w:type="dxa"/>
          </w:tcPr>
          <w:p w14:paraId="09AF4E29" w14:textId="77777777" w:rsidR="00502A39" w:rsidRPr="008022DA" w:rsidRDefault="00502A39" w:rsidP="008022DA">
            <w:pPr>
              <w:rPr>
                <w:sz w:val="20"/>
                <w:szCs w:val="20"/>
              </w:rPr>
            </w:pPr>
            <w:r w:rsidRPr="008022DA">
              <w:rPr>
                <w:sz w:val="20"/>
                <w:szCs w:val="20"/>
              </w:rPr>
              <w:t>Tuberculosis</w:t>
            </w:r>
          </w:p>
        </w:tc>
        <w:tc>
          <w:tcPr>
            <w:tcW w:w="1080" w:type="dxa"/>
          </w:tcPr>
          <w:p w14:paraId="25563929" w14:textId="77777777" w:rsidR="00502A39" w:rsidRPr="008022DA" w:rsidRDefault="00502A39" w:rsidP="008F78AF">
            <w:pPr>
              <w:jc w:val="center"/>
              <w:rPr>
                <w:sz w:val="20"/>
                <w:szCs w:val="20"/>
              </w:rPr>
            </w:pPr>
            <w:r w:rsidRPr="008022DA">
              <w:rPr>
                <w:sz w:val="20"/>
                <w:szCs w:val="20"/>
              </w:rPr>
              <w:sym w:font="Wingdings" w:char="F0FC"/>
            </w:r>
          </w:p>
        </w:tc>
        <w:tc>
          <w:tcPr>
            <w:tcW w:w="1080" w:type="dxa"/>
          </w:tcPr>
          <w:p w14:paraId="77DBB18F" w14:textId="77777777" w:rsidR="00502A39" w:rsidRPr="008022DA" w:rsidRDefault="00502A39" w:rsidP="008F78AF">
            <w:pPr>
              <w:jc w:val="center"/>
              <w:rPr>
                <w:sz w:val="20"/>
                <w:szCs w:val="20"/>
              </w:rPr>
            </w:pPr>
            <w:r w:rsidRPr="008022DA">
              <w:rPr>
                <w:sz w:val="20"/>
                <w:szCs w:val="20"/>
              </w:rPr>
              <w:sym w:font="Wingdings" w:char="F0FC"/>
            </w:r>
          </w:p>
        </w:tc>
        <w:tc>
          <w:tcPr>
            <w:tcW w:w="1080" w:type="dxa"/>
          </w:tcPr>
          <w:p w14:paraId="4237A8B8" w14:textId="77777777" w:rsidR="00502A39" w:rsidRPr="008022DA" w:rsidRDefault="00502A39" w:rsidP="008F78AF">
            <w:pPr>
              <w:jc w:val="center"/>
              <w:rPr>
                <w:sz w:val="20"/>
                <w:szCs w:val="20"/>
              </w:rPr>
            </w:pPr>
            <w:r w:rsidRPr="008022DA">
              <w:rPr>
                <w:sz w:val="20"/>
                <w:szCs w:val="20"/>
              </w:rPr>
              <w:sym w:font="Wingdings" w:char="F0FC"/>
            </w:r>
          </w:p>
        </w:tc>
        <w:tc>
          <w:tcPr>
            <w:tcW w:w="990" w:type="dxa"/>
          </w:tcPr>
          <w:p w14:paraId="6C5078BA" w14:textId="77777777" w:rsidR="00502A39" w:rsidRPr="008022DA" w:rsidRDefault="00502A39" w:rsidP="008F78AF">
            <w:pPr>
              <w:jc w:val="center"/>
              <w:rPr>
                <w:sz w:val="20"/>
                <w:szCs w:val="20"/>
              </w:rPr>
            </w:pPr>
            <w:r w:rsidRPr="008022DA">
              <w:rPr>
                <w:sz w:val="20"/>
                <w:szCs w:val="20"/>
              </w:rPr>
              <w:sym w:font="Wingdings" w:char="F0FC"/>
            </w:r>
          </w:p>
        </w:tc>
      </w:tr>
      <w:tr w:rsidR="0082400F" w:rsidRPr="008022DA" w14:paraId="54874791" w14:textId="77777777" w:rsidTr="00560830">
        <w:trPr>
          <w:trHeight w:val="159"/>
        </w:trPr>
        <w:tc>
          <w:tcPr>
            <w:tcW w:w="1458" w:type="dxa"/>
            <w:vMerge w:val="restart"/>
          </w:tcPr>
          <w:p w14:paraId="0390B360" w14:textId="77777777" w:rsidR="00502A39" w:rsidRPr="008022DA" w:rsidRDefault="00502A39" w:rsidP="00560830">
            <w:pPr>
              <w:ind w:left="0"/>
              <w:rPr>
                <w:sz w:val="20"/>
                <w:szCs w:val="20"/>
              </w:rPr>
            </w:pPr>
            <w:r w:rsidRPr="008022DA">
              <w:rPr>
                <w:sz w:val="20"/>
                <w:szCs w:val="20"/>
              </w:rPr>
              <w:t>Important potential risks</w:t>
            </w:r>
          </w:p>
        </w:tc>
        <w:tc>
          <w:tcPr>
            <w:tcW w:w="3420" w:type="dxa"/>
          </w:tcPr>
          <w:p w14:paraId="613E25F7" w14:textId="77777777" w:rsidR="00502A39" w:rsidRPr="008022DA" w:rsidRDefault="00502A39" w:rsidP="008022DA">
            <w:pPr>
              <w:rPr>
                <w:sz w:val="20"/>
                <w:szCs w:val="20"/>
              </w:rPr>
            </w:pPr>
            <w:r w:rsidRPr="008022DA">
              <w:rPr>
                <w:sz w:val="20"/>
                <w:szCs w:val="20"/>
              </w:rPr>
              <w:t>Severe infections (including severe viral infections)</w:t>
            </w:r>
          </w:p>
        </w:tc>
        <w:tc>
          <w:tcPr>
            <w:tcW w:w="1080" w:type="dxa"/>
          </w:tcPr>
          <w:p w14:paraId="2843687F" w14:textId="77777777" w:rsidR="00502A39" w:rsidRPr="008022DA" w:rsidRDefault="00502A39" w:rsidP="008F78AF">
            <w:pPr>
              <w:jc w:val="center"/>
              <w:rPr>
                <w:sz w:val="20"/>
                <w:szCs w:val="20"/>
              </w:rPr>
            </w:pPr>
            <w:r w:rsidRPr="008022DA">
              <w:rPr>
                <w:sz w:val="20"/>
                <w:szCs w:val="20"/>
              </w:rPr>
              <w:sym w:font="Wingdings" w:char="F0FC"/>
            </w:r>
          </w:p>
        </w:tc>
        <w:tc>
          <w:tcPr>
            <w:tcW w:w="1080" w:type="dxa"/>
          </w:tcPr>
          <w:p w14:paraId="3D0C9BF7" w14:textId="77777777" w:rsidR="00502A39" w:rsidRPr="008022DA" w:rsidRDefault="00502A39" w:rsidP="008F78AF">
            <w:pPr>
              <w:jc w:val="center"/>
              <w:rPr>
                <w:sz w:val="20"/>
                <w:szCs w:val="20"/>
              </w:rPr>
            </w:pPr>
            <w:r w:rsidRPr="008022DA">
              <w:rPr>
                <w:sz w:val="20"/>
                <w:szCs w:val="20"/>
              </w:rPr>
              <w:sym w:font="Wingdings" w:char="F0FC"/>
            </w:r>
          </w:p>
        </w:tc>
        <w:tc>
          <w:tcPr>
            <w:tcW w:w="1080" w:type="dxa"/>
          </w:tcPr>
          <w:p w14:paraId="27C825AE" w14:textId="77777777" w:rsidR="00502A39" w:rsidRPr="008022DA" w:rsidRDefault="00502A39" w:rsidP="008F78AF">
            <w:pPr>
              <w:jc w:val="center"/>
              <w:rPr>
                <w:sz w:val="20"/>
                <w:szCs w:val="20"/>
              </w:rPr>
            </w:pPr>
            <w:r w:rsidRPr="008022DA">
              <w:rPr>
                <w:sz w:val="20"/>
                <w:szCs w:val="20"/>
              </w:rPr>
              <w:sym w:font="Wingdings" w:char="F0FC"/>
            </w:r>
          </w:p>
        </w:tc>
        <w:tc>
          <w:tcPr>
            <w:tcW w:w="990" w:type="dxa"/>
          </w:tcPr>
          <w:p w14:paraId="445A3A9C" w14:textId="77777777" w:rsidR="00502A39" w:rsidRPr="008022DA" w:rsidRDefault="00502A39" w:rsidP="008F78AF">
            <w:pPr>
              <w:jc w:val="center"/>
              <w:rPr>
                <w:sz w:val="20"/>
                <w:szCs w:val="20"/>
              </w:rPr>
            </w:pPr>
            <w:r w:rsidRPr="008022DA">
              <w:rPr>
                <w:sz w:val="20"/>
                <w:szCs w:val="20"/>
              </w:rPr>
              <w:sym w:font="Wingdings" w:char="F0FC"/>
            </w:r>
          </w:p>
        </w:tc>
      </w:tr>
      <w:tr w:rsidR="0082400F" w:rsidRPr="008022DA" w14:paraId="6C1B4C3A" w14:textId="77777777" w:rsidTr="00560830">
        <w:trPr>
          <w:trHeight w:val="274"/>
        </w:trPr>
        <w:tc>
          <w:tcPr>
            <w:tcW w:w="1458" w:type="dxa"/>
            <w:vMerge/>
          </w:tcPr>
          <w:p w14:paraId="64D157CC" w14:textId="77777777" w:rsidR="00502A39" w:rsidRPr="008022DA" w:rsidRDefault="00502A39" w:rsidP="008022DA">
            <w:pPr>
              <w:rPr>
                <w:sz w:val="20"/>
                <w:szCs w:val="20"/>
              </w:rPr>
            </w:pPr>
          </w:p>
        </w:tc>
        <w:tc>
          <w:tcPr>
            <w:tcW w:w="3420" w:type="dxa"/>
          </w:tcPr>
          <w:p w14:paraId="4E2209F2" w14:textId="3F25052D" w:rsidR="00502A39" w:rsidRPr="008022DA" w:rsidRDefault="00502A39" w:rsidP="0082400F">
            <w:pPr>
              <w:rPr>
                <w:sz w:val="20"/>
                <w:szCs w:val="20"/>
              </w:rPr>
            </w:pPr>
            <w:r w:rsidRPr="008022DA">
              <w:rPr>
                <w:sz w:val="20"/>
                <w:szCs w:val="20"/>
              </w:rPr>
              <w:t xml:space="preserve">Progressive </w:t>
            </w:r>
            <w:r w:rsidR="0082400F">
              <w:rPr>
                <w:sz w:val="20"/>
                <w:szCs w:val="20"/>
              </w:rPr>
              <w:t>m</w:t>
            </w:r>
            <w:r w:rsidR="0082400F" w:rsidRPr="008022DA">
              <w:rPr>
                <w:sz w:val="20"/>
                <w:szCs w:val="20"/>
              </w:rPr>
              <w:t xml:space="preserve">ultifocal </w:t>
            </w:r>
            <w:r w:rsidR="0082400F">
              <w:rPr>
                <w:sz w:val="20"/>
                <w:szCs w:val="20"/>
              </w:rPr>
              <w:t>l</w:t>
            </w:r>
            <w:r w:rsidR="0082400F" w:rsidRPr="008022DA">
              <w:rPr>
                <w:sz w:val="20"/>
                <w:szCs w:val="20"/>
              </w:rPr>
              <w:t xml:space="preserve">eukoencephalopathy </w:t>
            </w:r>
          </w:p>
        </w:tc>
        <w:tc>
          <w:tcPr>
            <w:tcW w:w="1080" w:type="dxa"/>
          </w:tcPr>
          <w:p w14:paraId="0AE464C8" w14:textId="1F8FEF05" w:rsidR="00502A39" w:rsidRPr="008022DA" w:rsidRDefault="008F78AF" w:rsidP="008F78AF">
            <w:pPr>
              <w:jc w:val="center"/>
              <w:rPr>
                <w:sz w:val="20"/>
                <w:szCs w:val="20"/>
              </w:rPr>
            </w:pPr>
            <w:r>
              <w:rPr>
                <w:sz w:val="20"/>
                <w:szCs w:val="20"/>
              </w:rPr>
              <w:t xml:space="preserve"> </w:t>
            </w:r>
            <w:r w:rsidR="00502A39" w:rsidRPr="008022DA">
              <w:rPr>
                <w:sz w:val="20"/>
                <w:szCs w:val="20"/>
              </w:rPr>
              <w:sym w:font="Wingdings" w:char="F0FC"/>
            </w:r>
            <w:r w:rsidR="00502A39" w:rsidRPr="008022DA">
              <w:rPr>
                <w:sz w:val="20"/>
                <w:szCs w:val="20"/>
              </w:rPr>
              <w:t>*</w:t>
            </w:r>
          </w:p>
        </w:tc>
        <w:tc>
          <w:tcPr>
            <w:tcW w:w="1080" w:type="dxa"/>
          </w:tcPr>
          <w:p w14:paraId="76FAF44A" w14:textId="77777777" w:rsidR="00502A39" w:rsidRPr="008022DA" w:rsidRDefault="00502A39" w:rsidP="008F78AF">
            <w:pPr>
              <w:jc w:val="center"/>
              <w:rPr>
                <w:sz w:val="20"/>
                <w:szCs w:val="20"/>
              </w:rPr>
            </w:pPr>
            <w:r w:rsidRPr="008022DA">
              <w:rPr>
                <w:sz w:val="20"/>
                <w:szCs w:val="20"/>
              </w:rPr>
              <w:sym w:font="Wingdings" w:char="F0FC"/>
            </w:r>
          </w:p>
        </w:tc>
        <w:tc>
          <w:tcPr>
            <w:tcW w:w="1080" w:type="dxa"/>
          </w:tcPr>
          <w:p w14:paraId="147ABE76" w14:textId="77777777" w:rsidR="00502A39" w:rsidRPr="008022DA" w:rsidRDefault="00502A39" w:rsidP="008F78AF">
            <w:pPr>
              <w:jc w:val="center"/>
              <w:rPr>
                <w:sz w:val="20"/>
                <w:szCs w:val="20"/>
              </w:rPr>
            </w:pPr>
            <w:r w:rsidRPr="008022DA">
              <w:rPr>
                <w:sz w:val="20"/>
                <w:szCs w:val="20"/>
              </w:rPr>
              <w:sym w:font="Wingdings" w:char="F0FC"/>
            </w:r>
          </w:p>
        </w:tc>
        <w:tc>
          <w:tcPr>
            <w:tcW w:w="990" w:type="dxa"/>
          </w:tcPr>
          <w:p w14:paraId="43E966D8" w14:textId="77777777" w:rsidR="00502A39" w:rsidRPr="008022DA" w:rsidRDefault="00502A39" w:rsidP="008F78AF">
            <w:pPr>
              <w:jc w:val="center"/>
              <w:rPr>
                <w:sz w:val="20"/>
                <w:szCs w:val="20"/>
              </w:rPr>
            </w:pPr>
            <w:r w:rsidRPr="008022DA">
              <w:rPr>
                <w:sz w:val="20"/>
                <w:szCs w:val="20"/>
              </w:rPr>
              <w:sym w:font="Wingdings" w:char="F0FC"/>
            </w:r>
          </w:p>
        </w:tc>
      </w:tr>
      <w:tr w:rsidR="0082400F" w:rsidRPr="008022DA" w14:paraId="6A3CCA16" w14:textId="77777777" w:rsidTr="00560830">
        <w:trPr>
          <w:trHeight w:val="510"/>
        </w:trPr>
        <w:tc>
          <w:tcPr>
            <w:tcW w:w="1458" w:type="dxa"/>
            <w:vMerge/>
          </w:tcPr>
          <w:p w14:paraId="6E482C27" w14:textId="77777777" w:rsidR="00502A39" w:rsidRPr="008022DA" w:rsidRDefault="00502A39" w:rsidP="008022DA">
            <w:pPr>
              <w:rPr>
                <w:sz w:val="20"/>
                <w:szCs w:val="20"/>
              </w:rPr>
            </w:pPr>
          </w:p>
        </w:tc>
        <w:tc>
          <w:tcPr>
            <w:tcW w:w="3420" w:type="dxa"/>
          </w:tcPr>
          <w:p w14:paraId="61D2C156" w14:textId="77777777" w:rsidR="00502A39" w:rsidRPr="008022DA" w:rsidRDefault="00502A39" w:rsidP="008022DA">
            <w:pPr>
              <w:rPr>
                <w:sz w:val="20"/>
                <w:szCs w:val="20"/>
              </w:rPr>
            </w:pPr>
            <w:r w:rsidRPr="008022DA">
              <w:rPr>
                <w:sz w:val="20"/>
                <w:szCs w:val="20"/>
              </w:rPr>
              <w:t>Opportunistic infections (other than PML and tuberculosis)</w:t>
            </w:r>
          </w:p>
        </w:tc>
        <w:tc>
          <w:tcPr>
            <w:tcW w:w="1080" w:type="dxa"/>
          </w:tcPr>
          <w:p w14:paraId="6D4FF31B" w14:textId="77777777" w:rsidR="00502A39" w:rsidRPr="008022DA" w:rsidRDefault="00502A39" w:rsidP="008F78AF">
            <w:pPr>
              <w:jc w:val="center"/>
              <w:rPr>
                <w:sz w:val="20"/>
                <w:szCs w:val="20"/>
              </w:rPr>
            </w:pPr>
            <w:r w:rsidRPr="008022DA">
              <w:rPr>
                <w:sz w:val="20"/>
                <w:szCs w:val="20"/>
              </w:rPr>
              <w:sym w:font="Wingdings" w:char="F0FC"/>
            </w:r>
          </w:p>
        </w:tc>
        <w:tc>
          <w:tcPr>
            <w:tcW w:w="1080" w:type="dxa"/>
          </w:tcPr>
          <w:p w14:paraId="2F2E3E1B" w14:textId="77777777" w:rsidR="00502A39" w:rsidRPr="008022DA" w:rsidRDefault="00502A39" w:rsidP="008F78AF">
            <w:pPr>
              <w:jc w:val="center"/>
              <w:rPr>
                <w:sz w:val="20"/>
                <w:szCs w:val="20"/>
              </w:rPr>
            </w:pPr>
            <w:r w:rsidRPr="008022DA">
              <w:rPr>
                <w:sz w:val="20"/>
                <w:szCs w:val="20"/>
              </w:rPr>
              <w:sym w:font="Wingdings" w:char="F0FC"/>
            </w:r>
          </w:p>
        </w:tc>
        <w:tc>
          <w:tcPr>
            <w:tcW w:w="1080" w:type="dxa"/>
          </w:tcPr>
          <w:p w14:paraId="1C116FD9" w14:textId="77777777" w:rsidR="00502A39" w:rsidRPr="008022DA" w:rsidRDefault="00502A39" w:rsidP="008F78AF">
            <w:pPr>
              <w:jc w:val="center"/>
              <w:rPr>
                <w:sz w:val="20"/>
                <w:szCs w:val="20"/>
              </w:rPr>
            </w:pPr>
            <w:r w:rsidRPr="008022DA">
              <w:rPr>
                <w:sz w:val="20"/>
                <w:szCs w:val="20"/>
              </w:rPr>
              <w:sym w:font="Wingdings" w:char="F0FC"/>
            </w:r>
          </w:p>
        </w:tc>
        <w:tc>
          <w:tcPr>
            <w:tcW w:w="990" w:type="dxa"/>
          </w:tcPr>
          <w:p w14:paraId="63FC89BB" w14:textId="77777777" w:rsidR="00502A39" w:rsidRPr="008022DA" w:rsidRDefault="00502A39" w:rsidP="008F78AF">
            <w:pPr>
              <w:jc w:val="center"/>
              <w:rPr>
                <w:sz w:val="20"/>
                <w:szCs w:val="20"/>
              </w:rPr>
            </w:pPr>
            <w:r w:rsidRPr="008022DA">
              <w:rPr>
                <w:sz w:val="20"/>
                <w:szCs w:val="20"/>
              </w:rPr>
              <w:sym w:font="Wingdings" w:char="F0FC"/>
            </w:r>
          </w:p>
        </w:tc>
      </w:tr>
      <w:tr w:rsidR="0082400F" w:rsidRPr="008022DA" w14:paraId="65412F5A" w14:textId="77777777" w:rsidTr="00560830">
        <w:trPr>
          <w:trHeight w:val="122"/>
        </w:trPr>
        <w:tc>
          <w:tcPr>
            <w:tcW w:w="1458" w:type="dxa"/>
            <w:vMerge/>
          </w:tcPr>
          <w:p w14:paraId="39219133" w14:textId="77777777" w:rsidR="00502A39" w:rsidRPr="008022DA" w:rsidRDefault="00502A39" w:rsidP="008022DA">
            <w:pPr>
              <w:rPr>
                <w:sz w:val="20"/>
                <w:szCs w:val="20"/>
              </w:rPr>
            </w:pPr>
          </w:p>
        </w:tc>
        <w:tc>
          <w:tcPr>
            <w:tcW w:w="3420" w:type="dxa"/>
          </w:tcPr>
          <w:p w14:paraId="57CC17E2" w14:textId="77777777" w:rsidR="00502A39" w:rsidRPr="008022DA" w:rsidRDefault="00502A39" w:rsidP="008022DA">
            <w:pPr>
              <w:rPr>
                <w:sz w:val="20"/>
                <w:szCs w:val="20"/>
              </w:rPr>
            </w:pPr>
            <w:r w:rsidRPr="008022DA">
              <w:rPr>
                <w:sz w:val="20"/>
                <w:szCs w:val="20"/>
              </w:rPr>
              <w:t>Malignancies</w:t>
            </w:r>
          </w:p>
        </w:tc>
        <w:tc>
          <w:tcPr>
            <w:tcW w:w="1080" w:type="dxa"/>
          </w:tcPr>
          <w:p w14:paraId="4BBD2872" w14:textId="77777777" w:rsidR="00502A39" w:rsidRPr="008022DA" w:rsidRDefault="00502A39" w:rsidP="008F78AF">
            <w:pPr>
              <w:jc w:val="center"/>
              <w:rPr>
                <w:sz w:val="20"/>
                <w:szCs w:val="20"/>
              </w:rPr>
            </w:pPr>
            <w:r w:rsidRPr="008022DA">
              <w:rPr>
                <w:sz w:val="20"/>
                <w:szCs w:val="20"/>
              </w:rPr>
              <w:sym w:font="Wingdings" w:char="F0FC"/>
            </w:r>
          </w:p>
        </w:tc>
        <w:tc>
          <w:tcPr>
            <w:tcW w:w="1080" w:type="dxa"/>
          </w:tcPr>
          <w:p w14:paraId="32C5741B" w14:textId="77777777" w:rsidR="00502A39" w:rsidRPr="008022DA" w:rsidRDefault="00502A39" w:rsidP="008F78AF">
            <w:pPr>
              <w:jc w:val="center"/>
              <w:rPr>
                <w:sz w:val="20"/>
                <w:szCs w:val="20"/>
              </w:rPr>
            </w:pPr>
            <w:r w:rsidRPr="008022DA">
              <w:rPr>
                <w:sz w:val="20"/>
                <w:szCs w:val="20"/>
              </w:rPr>
              <w:sym w:font="Wingdings" w:char="F0FC"/>
            </w:r>
          </w:p>
        </w:tc>
        <w:tc>
          <w:tcPr>
            <w:tcW w:w="1080" w:type="dxa"/>
          </w:tcPr>
          <w:p w14:paraId="5C040FB7" w14:textId="77777777" w:rsidR="00502A39" w:rsidRPr="008022DA" w:rsidRDefault="00502A39" w:rsidP="008F78AF">
            <w:pPr>
              <w:jc w:val="center"/>
              <w:rPr>
                <w:sz w:val="20"/>
                <w:szCs w:val="20"/>
              </w:rPr>
            </w:pPr>
            <w:r w:rsidRPr="008022DA">
              <w:rPr>
                <w:sz w:val="20"/>
                <w:szCs w:val="20"/>
              </w:rPr>
              <w:sym w:font="Wingdings" w:char="F0FC"/>
            </w:r>
          </w:p>
        </w:tc>
        <w:tc>
          <w:tcPr>
            <w:tcW w:w="990" w:type="dxa"/>
          </w:tcPr>
          <w:p w14:paraId="22DBCC81" w14:textId="77777777" w:rsidR="00502A39" w:rsidRPr="008022DA" w:rsidRDefault="00502A39" w:rsidP="008F78AF">
            <w:pPr>
              <w:jc w:val="center"/>
              <w:rPr>
                <w:sz w:val="20"/>
                <w:szCs w:val="20"/>
              </w:rPr>
            </w:pPr>
            <w:r w:rsidRPr="008022DA">
              <w:rPr>
                <w:sz w:val="20"/>
                <w:szCs w:val="20"/>
              </w:rPr>
              <w:sym w:font="Wingdings" w:char="F0FC"/>
            </w:r>
          </w:p>
        </w:tc>
      </w:tr>
      <w:tr w:rsidR="0082400F" w:rsidRPr="008022DA" w14:paraId="76FF4D3C" w14:textId="77777777" w:rsidTr="00560830">
        <w:trPr>
          <w:trHeight w:val="112"/>
        </w:trPr>
        <w:tc>
          <w:tcPr>
            <w:tcW w:w="1458" w:type="dxa"/>
            <w:vMerge/>
          </w:tcPr>
          <w:p w14:paraId="10C27C45" w14:textId="77777777" w:rsidR="00502A39" w:rsidRPr="008022DA" w:rsidRDefault="00502A39" w:rsidP="008022DA">
            <w:pPr>
              <w:rPr>
                <w:sz w:val="20"/>
                <w:szCs w:val="20"/>
              </w:rPr>
            </w:pPr>
          </w:p>
        </w:tc>
        <w:tc>
          <w:tcPr>
            <w:tcW w:w="3420" w:type="dxa"/>
          </w:tcPr>
          <w:p w14:paraId="10261E1D" w14:textId="77777777" w:rsidR="00502A39" w:rsidRPr="008022DA" w:rsidRDefault="00502A39" w:rsidP="008022DA">
            <w:pPr>
              <w:rPr>
                <w:sz w:val="20"/>
                <w:szCs w:val="20"/>
              </w:rPr>
            </w:pPr>
            <w:r w:rsidRPr="008022DA">
              <w:rPr>
                <w:sz w:val="20"/>
                <w:szCs w:val="20"/>
              </w:rPr>
              <w:t>Teratogenicity/Adverse pregnancy outcomes</w:t>
            </w:r>
          </w:p>
        </w:tc>
        <w:tc>
          <w:tcPr>
            <w:tcW w:w="1080" w:type="dxa"/>
          </w:tcPr>
          <w:p w14:paraId="215DF71C" w14:textId="77777777" w:rsidR="00502A39" w:rsidRPr="008022DA" w:rsidRDefault="00502A39" w:rsidP="008F78AF">
            <w:pPr>
              <w:jc w:val="center"/>
              <w:rPr>
                <w:sz w:val="20"/>
                <w:szCs w:val="20"/>
              </w:rPr>
            </w:pPr>
            <w:r w:rsidRPr="008022DA">
              <w:rPr>
                <w:sz w:val="20"/>
                <w:szCs w:val="20"/>
              </w:rPr>
              <w:sym w:font="Wingdings" w:char="F0FC"/>
            </w:r>
          </w:p>
        </w:tc>
        <w:tc>
          <w:tcPr>
            <w:tcW w:w="1080" w:type="dxa"/>
          </w:tcPr>
          <w:p w14:paraId="2CDDA5F8" w14:textId="77777777" w:rsidR="00502A39" w:rsidRPr="008022DA" w:rsidRDefault="00502A39" w:rsidP="008F78AF">
            <w:pPr>
              <w:jc w:val="center"/>
              <w:rPr>
                <w:sz w:val="20"/>
                <w:szCs w:val="20"/>
              </w:rPr>
            </w:pPr>
            <w:r w:rsidRPr="008022DA">
              <w:rPr>
                <w:sz w:val="20"/>
                <w:szCs w:val="20"/>
              </w:rPr>
              <w:sym w:font="Wingdings" w:char="F0FC"/>
            </w:r>
          </w:p>
        </w:tc>
        <w:tc>
          <w:tcPr>
            <w:tcW w:w="1080" w:type="dxa"/>
          </w:tcPr>
          <w:p w14:paraId="4E34E8CB" w14:textId="77777777" w:rsidR="00502A39" w:rsidRPr="008022DA" w:rsidRDefault="00502A39" w:rsidP="008F78AF">
            <w:pPr>
              <w:jc w:val="center"/>
              <w:rPr>
                <w:sz w:val="20"/>
                <w:szCs w:val="20"/>
              </w:rPr>
            </w:pPr>
            <w:r w:rsidRPr="008022DA">
              <w:rPr>
                <w:sz w:val="20"/>
                <w:szCs w:val="20"/>
              </w:rPr>
              <w:sym w:font="Wingdings" w:char="F0FC"/>
            </w:r>
          </w:p>
        </w:tc>
        <w:tc>
          <w:tcPr>
            <w:tcW w:w="990" w:type="dxa"/>
          </w:tcPr>
          <w:p w14:paraId="5ED39B72" w14:textId="77777777" w:rsidR="00502A39" w:rsidRPr="008022DA" w:rsidRDefault="00502A39" w:rsidP="008F78AF">
            <w:pPr>
              <w:jc w:val="center"/>
              <w:rPr>
                <w:sz w:val="20"/>
                <w:szCs w:val="20"/>
              </w:rPr>
            </w:pPr>
            <w:r w:rsidRPr="008022DA">
              <w:rPr>
                <w:sz w:val="20"/>
                <w:szCs w:val="20"/>
              </w:rPr>
              <w:sym w:font="Wingdings" w:char="F0FC"/>
            </w:r>
          </w:p>
        </w:tc>
      </w:tr>
      <w:tr w:rsidR="0082400F" w:rsidRPr="008022DA" w14:paraId="215B045B" w14:textId="77777777" w:rsidTr="00560830">
        <w:trPr>
          <w:trHeight w:val="112"/>
        </w:trPr>
        <w:tc>
          <w:tcPr>
            <w:tcW w:w="1458" w:type="dxa"/>
            <w:vMerge/>
          </w:tcPr>
          <w:p w14:paraId="3B42FB6C" w14:textId="77777777" w:rsidR="00502A39" w:rsidRPr="008022DA" w:rsidRDefault="00502A39" w:rsidP="008022DA">
            <w:pPr>
              <w:rPr>
                <w:sz w:val="20"/>
                <w:szCs w:val="20"/>
              </w:rPr>
            </w:pPr>
          </w:p>
        </w:tc>
        <w:tc>
          <w:tcPr>
            <w:tcW w:w="3420" w:type="dxa"/>
          </w:tcPr>
          <w:p w14:paraId="13B42532" w14:textId="77777777" w:rsidR="00502A39" w:rsidRPr="008022DA" w:rsidRDefault="00502A39" w:rsidP="008022DA">
            <w:pPr>
              <w:rPr>
                <w:sz w:val="20"/>
                <w:szCs w:val="20"/>
              </w:rPr>
            </w:pPr>
            <w:r w:rsidRPr="008022DA">
              <w:rPr>
                <w:sz w:val="20"/>
                <w:szCs w:val="20"/>
              </w:rPr>
              <w:t>Severe cyto</w:t>
            </w:r>
            <w:r w:rsidR="002A3ED4" w:rsidRPr="008022DA">
              <w:rPr>
                <w:sz w:val="20"/>
                <w:szCs w:val="20"/>
              </w:rPr>
              <w:t>paenia</w:t>
            </w:r>
            <w:r w:rsidRPr="008022DA">
              <w:rPr>
                <w:sz w:val="20"/>
                <w:szCs w:val="20"/>
              </w:rPr>
              <w:t>s (including aplastic anaemia)</w:t>
            </w:r>
          </w:p>
        </w:tc>
        <w:tc>
          <w:tcPr>
            <w:tcW w:w="1080" w:type="dxa"/>
          </w:tcPr>
          <w:p w14:paraId="0103A32B" w14:textId="77777777" w:rsidR="00502A39" w:rsidRPr="008022DA" w:rsidRDefault="00502A39" w:rsidP="008F78AF">
            <w:pPr>
              <w:jc w:val="center"/>
              <w:rPr>
                <w:sz w:val="20"/>
                <w:szCs w:val="20"/>
              </w:rPr>
            </w:pPr>
            <w:r w:rsidRPr="008022DA">
              <w:rPr>
                <w:sz w:val="20"/>
                <w:szCs w:val="20"/>
              </w:rPr>
              <w:sym w:font="Wingdings" w:char="F0FC"/>
            </w:r>
          </w:p>
        </w:tc>
        <w:tc>
          <w:tcPr>
            <w:tcW w:w="1080" w:type="dxa"/>
          </w:tcPr>
          <w:p w14:paraId="03975E59" w14:textId="77777777" w:rsidR="00502A39" w:rsidRPr="008022DA" w:rsidRDefault="00502A39" w:rsidP="008F78AF">
            <w:pPr>
              <w:jc w:val="center"/>
              <w:rPr>
                <w:sz w:val="20"/>
                <w:szCs w:val="20"/>
              </w:rPr>
            </w:pPr>
            <w:r w:rsidRPr="008022DA">
              <w:rPr>
                <w:sz w:val="20"/>
                <w:szCs w:val="20"/>
              </w:rPr>
              <w:t>-</w:t>
            </w:r>
          </w:p>
        </w:tc>
        <w:tc>
          <w:tcPr>
            <w:tcW w:w="1080" w:type="dxa"/>
          </w:tcPr>
          <w:p w14:paraId="610B38E0" w14:textId="77777777" w:rsidR="00502A39" w:rsidRPr="008022DA" w:rsidRDefault="00502A39" w:rsidP="008F78AF">
            <w:pPr>
              <w:jc w:val="center"/>
              <w:rPr>
                <w:sz w:val="20"/>
                <w:szCs w:val="20"/>
              </w:rPr>
            </w:pPr>
            <w:r w:rsidRPr="008022DA">
              <w:rPr>
                <w:sz w:val="20"/>
                <w:szCs w:val="20"/>
              </w:rPr>
              <w:sym w:font="Wingdings" w:char="F0FC"/>
            </w:r>
          </w:p>
        </w:tc>
        <w:tc>
          <w:tcPr>
            <w:tcW w:w="990" w:type="dxa"/>
          </w:tcPr>
          <w:p w14:paraId="0691C5B9" w14:textId="77777777" w:rsidR="00502A39" w:rsidRPr="008022DA" w:rsidRDefault="00502A39" w:rsidP="008F78AF">
            <w:pPr>
              <w:jc w:val="center"/>
              <w:rPr>
                <w:sz w:val="20"/>
                <w:szCs w:val="20"/>
              </w:rPr>
            </w:pPr>
          </w:p>
        </w:tc>
      </w:tr>
      <w:tr w:rsidR="0082400F" w:rsidRPr="008022DA" w14:paraId="21A31BEB" w14:textId="77777777" w:rsidTr="00560830">
        <w:trPr>
          <w:trHeight w:val="140"/>
        </w:trPr>
        <w:tc>
          <w:tcPr>
            <w:tcW w:w="1458" w:type="dxa"/>
            <w:vMerge w:val="restart"/>
          </w:tcPr>
          <w:p w14:paraId="3BC2C8BD" w14:textId="77777777" w:rsidR="00502A39" w:rsidRPr="008022DA" w:rsidRDefault="00502A39" w:rsidP="00560830">
            <w:pPr>
              <w:ind w:left="0"/>
              <w:rPr>
                <w:sz w:val="20"/>
                <w:szCs w:val="20"/>
              </w:rPr>
            </w:pPr>
            <w:r w:rsidRPr="008022DA">
              <w:rPr>
                <w:sz w:val="20"/>
                <w:szCs w:val="20"/>
              </w:rPr>
              <w:t>Missing information</w:t>
            </w:r>
          </w:p>
        </w:tc>
        <w:tc>
          <w:tcPr>
            <w:tcW w:w="3420" w:type="dxa"/>
          </w:tcPr>
          <w:p w14:paraId="3A9BBE8C" w14:textId="77777777" w:rsidR="00502A39" w:rsidRPr="008022DA" w:rsidRDefault="00502A39" w:rsidP="008022DA">
            <w:pPr>
              <w:rPr>
                <w:sz w:val="20"/>
                <w:szCs w:val="20"/>
              </w:rPr>
            </w:pPr>
            <w:r w:rsidRPr="008022DA">
              <w:rPr>
                <w:sz w:val="20"/>
                <w:szCs w:val="20"/>
              </w:rPr>
              <w:t>Long-term safety data in particular for malignancy risk</w:t>
            </w:r>
          </w:p>
        </w:tc>
        <w:tc>
          <w:tcPr>
            <w:tcW w:w="1080" w:type="dxa"/>
          </w:tcPr>
          <w:p w14:paraId="03E9CA11" w14:textId="77777777" w:rsidR="00502A39" w:rsidRPr="008022DA" w:rsidRDefault="00502A39" w:rsidP="008F78AF">
            <w:pPr>
              <w:jc w:val="center"/>
              <w:rPr>
                <w:sz w:val="20"/>
                <w:szCs w:val="20"/>
              </w:rPr>
            </w:pPr>
            <w:r w:rsidRPr="008022DA">
              <w:rPr>
                <w:sz w:val="20"/>
                <w:szCs w:val="20"/>
              </w:rPr>
              <w:sym w:font="Wingdings" w:char="F0FC"/>
            </w:r>
          </w:p>
        </w:tc>
        <w:tc>
          <w:tcPr>
            <w:tcW w:w="1080" w:type="dxa"/>
          </w:tcPr>
          <w:p w14:paraId="3AF9B369" w14:textId="77777777" w:rsidR="00502A39" w:rsidRPr="008022DA" w:rsidRDefault="00502A39" w:rsidP="008F78AF">
            <w:pPr>
              <w:jc w:val="center"/>
              <w:rPr>
                <w:sz w:val="20"/>
                <w:szCs w:val="20"/>
              </w:rPr>
            </w:pPr>
            <w:r w:rsidRPr="008022DA">
              <w:rPr>
                <w:sz w:val="20"/>
                <w:szCs w:val="20"/>
              </w:rPr>
              <w:sym w:font="Wingdings" w:char="F0FC"/>
            </w:r>
          </w:p>
        </w:tc>
        <w:tc>
          <w:tcPr>
            <w:tcW w:w="1080" w:type="dxa"/>
          </w:tcPr>
          <w:p w14:paraId="186496B1" w14:textId="77777777" w:rsidR="00502A39" w:rsidRPr="008022DA" w:rsidRDefault="00502A39" w:rsidP="008F78AF">
            <w:pPr>
              <w:jc w:val="center"/>
              <w:rPr>
                <w:sz w:val="20"/>
                <w:szCs w:val="20"/>
              </w:rPr>
            </w:pPr>
            <w:r w:rsidRPr="008022DA">
              <w:rPr>
                <w:sz w:val="20"/>
                <w:szCs w:val="20"/>
              </w:rPr>
              <w:sym w:font="Wingdings" w:char="F0FC"/>
            </w:r>
          </w:p>
        </w:tc>
        <w:tc>
          <w:tcPr>
            <w:tcW w:w="990" w:type="dxa"/>
          </w:tcPr>
          <w:p w14:paraId="65F5CC15" w14:textId="77777777" w:rsidR="00502A39" w:rsidRPr="008022DA" w:rsidRDefault="00502A39" w:rsidP="008F78AF">
            <w:pPr>
              <w:jc w:val="center"/>
              <w:rPr>
                <w:sz w:val="20"/>
                <w:szCs w:val="20"/>
              </w:rPr>
            </w:pPr>
            <w:r w:rsidRPr="008022DA">
              <w:rPr>
                <w:sz w:val="20"/>
                <w:szCs w:val="20"/>
              </w:rPr>
              <w:t>–</w:t>
            </w:r>
          </w:p>
        </w:tc>
      </w:tr>
      <w:tr w:rsidR="0082400F" w:rsidRPr="008022DA" w14:paraId="282983CA" w14:textId="77777777" w:rsidTr="00560830">
        <w:trPr>
          <w:trHeight w:val="140"/>
        </w:trPr>
        <w:tc>
          <w:tcPr>
            <w:tcW w:w="1458" w:type="dxa"/>
            <w:vMerge/>
          </w:tcPr>
          <w:p w14:paraId="0972DB7E" w14:textId="77777777" w:rsidR="00502A39" w:rsidRPr="008022DA" w:rsidRDefault="00502A39" w:rsidP="008022DA">
            <w:pPr>
              <w:rPr>
                <w:sz w:val="20"/>
                <w:szCs w:val="20"/>
              </w:rPr>
            </w:pPr>
          </w:p>
        </w:tc>
        <w:tc>
          <w:tcPr>
            <w:tcW w:w="3420" w:type="dxa"/>
          </w:tcPr>
          <w:p w14:paraId="165B3170" w14:textId="77777777" w:rsidR="00502A39" w:rsidRPr="008022DA" w:rsidRDefault="00502A39" w:rsidP="008022DA">
            <w:pPr>
              <w:rPr>
                <w:sz w:val="20"/>
                <w:szCs w:val="20"/>
              </w:rPr>
            </w:pPr>
            <w:r w:rsidRPr="008022DA">
              <w:rPr>
                <w:sz w:val="20"/>
                <w:szCs w:val="20"/>
              </w:rPr>
              <w:t>Use in patients with moderate to severe hepatic impairment</w:t>
            </w:r>
          </w:p>
        </w:tc>
        <w:tc>
          <w:tcPr>
            <w:tcW w:w="1080" w:type="dxa"/>
          </w:tcPr>
          <w:p w14:paraId="43846629" w14:textId="77777777" w:rsidR="00502A39" w:rsidRPr="008022DA" w:rsidRDefault="00502A39" w:rsidP="008F78AF">
            <w:pPr>
              <w:jc w:val="center"/>
              <w:rPr>
                <w:sz w:val="20"/>
                <w:szCs w:val="20"/>
              </w:rPr>
            </w:pPr>
            <w:r w:rsidRPr="008022DA">
              <w:rPr>
                <w:sz w:val="20"/>
                <w:szCs w:val="20"/>
              </w:rPr>
              <w:sym w:font="Wingdings" w:char="F0FC"/>
            </w:r>
          </w:p>
        </w:tc>
        <w:tc>
          <w:tcPr>
            <w:tcW w:w="1080" w:type="dxa"/>
          </w:tcPr>
          <w:p w14:paraId="49500FE1" w14:textId="77777777" w:rsidR="00502A39" w:rsidRPr="008022DA" w:rsidRDefault="00502A39" w:rsidP="008F78AF">
            <w:pPr>
              <w:jc w:val="center"/>
              <w:rPr>
                <w:sz w:val="20"/>
                <w:szCs w:val="20"/>
              </w:rPr>
            </w:pPr>
            <w:r w:rsidRPr="008022DA">
              <w:rPr>
                <w:sz w:val="20"/>
                <w:szCs w:val="20"/>
              </w:rPr>
              <w:t>–</w:t>
            </w:r>
          </w:p>
        </w:tc>
        <w:tc>
          <w:tcPr>
            <w:tcW w:w="1080" w:type="dxa"/>
          </w:tcPr>
          <w:p w14:paraId="1F7E148A" w14:textId="77777777" w:rsidR="00502A39" w:rsidRPr="008022DA" w:rsidRDefault="00502A39" w:rsidP="008F78AF">
            <w:pPr>
              <w:jc w:val="center"/>
              <w:rPr>
                <w:sz w:val="20"/>
                <w:szCs w:val="20"/>
              </w:rPr>
            </w:pPr>
            <w:r w:rsidRPr="008022DA">
              <w:rPr>
                <w:sz w:val="20"/>
                <w:szCs w:val="20"/>
              </w:rPr>
              <w:sym w:font="Wingdings" w:char="F0FC"/>
            </w:r>
          </w:p>
        </w:tc>
        <w:tc>
          <w:tcPr>
            <w:tcW w:w="990" w:type="dxa"/>
          </w:tcPr>
          <w:p w14:paraId="42E6B7E4" w14:textId="77777777" w:rsidR="00502A39" w:rsidRPr="008022DA" w:rsidRDefault="00502A39" w:rsidP="008F78AF">
            <w:pPr>
              <w:jc w:val="center"/>
              <w:rPr>
                <w:sz w:val="20"/>
                <w:szCs w:val="20"/>
              </w:rPr>
            </w:pPr>
            <w:r w:rsidRPr="008022DA">
              <w:rPr>
                <w:sz w:val="20"/>
                <w:szCs w:val="20"/>
              </w:rPr>
              <w:t>–</w:t>
            </w:r>
          </w:p>
        </w:tc>
      </w:tr>
      <w:tr w:rsidR="0082400F" w:rsidRPr="008022DA" w14:paraId="292865FD" w14:textId="77777777" w:rsidTr="00560830">
        <w:trPr>
          <w:trHeight w:val="140"/>
        </w:trPr>
        <w:tc>
          <w:tcPr>
            <w:tcW w:w="1458" w:type="dxa"/>
            <w:vMerge/>
          </w:tcPr>
          <w:p w14:paraId="5BB1ADAE" w14:textId="77777777" w:rsidR="00502A39" w:rsidRPr="008022DA" w:rsidRDefault="00502A39" w:rsidP="008022DA">
            <w:pPr>
              <w:rPr>
                <w:sz w:val="20"/>
                <w:szCs w:val="20"/>
              </w:rPr>
            </w:pPr>
          </w:p>
        </w:tc>
        <w:tc>
          <w:tcPr>
            <w:tcW w:w="3420" w:type="dxa"/>
          </w:tcPr>
          <w:p w14:paraId="4A60C91F" w14:textId="77777777" w:rsidR="00502A39" w:rsidRPr="008022DA" w:rsidRDefault="00502A39" w:rsidP="008022DA">
            <w:pPr>
              <w:rPr>
                <w:sz w:val="20"/>
                <w:szCs w:val="20"/>
              </w:rPr>
            </w:pPr>
            <w:r w:rsidRPr="008022DA">
              <w:rPr>
                <w:sz w:val="20"/>
                <w:szCs w:val="20"/>
              </w:rPr>
              <w:t>Use in elderly patients</w:t>
            </w:r>
          </w:p>
        </w:tc>
        <w:tc>
          <w:tcPr>
            <w:tcW w:w="1080" w:type="dxa"/>
          </w:tcPr>
          <w:p w14:paraId="7E108D17" w14:textId="77777777" w:rsidR="00502A39" w:rsidRPr="008022DA" w:rsidRDefault="00502A39" w:rsidP="008F78AF">
            <w:pPr>
              <w:jc w:val="center"/>
              <w:rPr>
                <w:sz w:val="20"/>
                <w:szCs w:val="20"/>
              </w:rPr>
            </w:pPr>
            <w:r w:rsidRPr="008022DA">
              <w:rPr>
                <w:sz w:val="20"/>
                <w:szCs w:val="20"/>
              </w:rPr>
              <w:sym w:font="Wingdings" w:char="F0FC"/>
            </w:r>
          </w:p>
        </w:tc>
        <w:tc>
          <w:tcPr>
            <w:tcW w:w="1080" w:type="dxa"/>
          </w:tcPr>
          <w:p w14:paraId="5C019B99" w14:textId="77777777" w:rsidR="00502A39" w:rsidRPr="008022DA" w:rsidRDefault="00502A39" w:rsidP="008F78AF">
            <w:pPr>
              <w:jc w:val="center"/>
              <w:rPr>
                <w:sz w:val="20"/>
                <w:szCs w:val="20"/>
              </w:rPr>
            </w:pPr>
            <w:r w:rsidRPr="008022DA">
              <w:rPr>
                <w:sz w:val="20"/>
                <w:szCs w:val="20"/>
              </w:rPr>
              <w:t>–</w:t>
            </w:r>
          </w:p>
        </w:tc>
        <w:tc>
          <w:tcPr>
            <w:tcW w:w="1080" w:type="dxa"/>
          </w:tcPr>
          <w:p w14:paraId="44BB1A51" w14:textId="77777777" w:rsidR="00502A39" w:rsidRPr="008022DA" w:rsidRDefault="00502A39" w:rsidP="008F78AF">
            <w:pPr>
              <w:jc w:val="center"/>
              <w:rPr>
                <w:sz w:val="20"/>
                <w:szCs w:val="20"/>
              </w:rPr>
            </w:pPr>
            <w:r w:rsidRPr="008022DA">
              <w:rPr>
                <w:sz w:val="20"/>
                <w:szCs w:val="20"/>
              </w:rPr>
              <w:sym w:font="Wingdings" w:char="F0FC"/>
            </w:r>
          </w:p>
        </w:tc>
        <w:tc>
          <w:tcPr>
            <w:tcW w:w="990" w:type="dxa"/>
          </w:tcPr>
          <w:p w14:paraId="58ED782E" w14:textId="77777777" w:rsidR="00502A39" w:rsidRPr="008022DA" w:rsidRDefault="00502A39" w:rsidP="008F78AF">
            <w:pPr>
              <w:jc w:val="center"/>
              <w:rPr>
                <w:sz w:val="20"/>
                <w:szCs w:val="20"/>
              </w:rPr>
            </w:pPr>
            <w:r w:rsidRPr="008022DA">
              <w:rPr>
                <w:sz w:val="20"/>
                <w:szCs w:val="20"/>
              </w:rPr>
              <w:t>–</w:t>
            </w:r>
          </w:p>
        </w:tc>
      </w:tr>
      <w:tr w:rsidR="0082400F" w:rsidRPr="008022DA" w14:paraId="75AA909C" w14:textId="77777777" w:rsidTr="00560830">
        <w:trPr>
          <w:trHeight w:val="140"/>
        </w:trPr>
        <w:tc>
          <w:tcPr>
            <w:tcW w:w="1458" w:type="dxa"/>
            <w:vMerge/>
          </w:tcPr>
          <w:p w14:paraId="0DDD5642" w14:textId="77777777" w:rsidR="00502A39" w:rsidRPr="008022DA" w:rsidRDefault="00502A39" w:rsidP="008022DA">
            <w:pPr>
              <w:rPr>
                <w:sz w:val="20"/>
                <w:szCs w:val="20"/>
              </w:rPr>
            </w:pPr>
          </w:p>
        </w:tc>
        <w:tc>
          <w:tcPr>
            <w:tcW w:w="3420" w:type="dxa"/>
          </w:tcPr>
          <w:p w14:paraId="7F42D00E" w14:textId="77777777" w:rsidR="00502A39" w:rsidRPr="008022DA" w:rsidRDefault="00502A39" w:rsidP="008022DA">
            <w:pPr>
              <w:rPr>
                <w:sz w:val="20"/>
                <w:szCs w:val="20"/>
              </w:rPr>
            </w:pPr>
            <w:r w:rsidRPr="008022DA">
              <w:rPr>
                <w:sz w:val="20"/>
                <w:szCs w:val="20"/>
              </w:rPr>
              <w:t xml:space="preserve">Sequential use of other immunosuppressive or immunomodulatory agents after </w:t>
            </w:r>
            <w:r w:rsidRPr="008022DA">
              <w:rPr>
                <w:sz w:val="20"/>
                <w:szCs w:val="20"/>
              </w:rPr>
              <w:lastRenderedPageBreak/>
              <w:t>cladribine treatment</w:t>
            </w:r>
          </w:p>
        </w:tc>
        <w:tc>
          <w:tcPr>
            <w:tcW w:w="1080" w:type="dxa"/>
          </w:tcPr>
          <w:p w14:paraId="41349E20" w14:textId="77777777" w:rsidR="00502A39" w:rsidRPr="008022DA" w:rsidRDefault="00502A39" w:rsidP="008F78AF">
            <w:pPr>
              <w:jc w:val="center"/>
              <w:rPr>
                <w:sz w:val="20"/>
                <w:szCs w:val="20"/>
              </w:rPr>
            </w:pPr>
            <w:r w:rsidRPr="008022DA">
              <w:rPr>
                <w:sz w:val="20"/>
                <w:szCs w:val="20"/>
              </w:rPr>
              <w:lastRenderedPageBreak/>
              <w:sym w:font="Wingdings" w:char="F0FC"/>
            </w:r>
          </w:p>
        </w:tc>
        <w:tc>
          <w:tcPr>
            <w:tcW w:w="1080" w:type="dxa"/>
          </w:tcPr>
          <w:p w14:paraId="1AA300FA" w14:textId="77777777" w:rsidR="00502A39" w:rsidRPr="008022DA" w:rsidRDefault="00502A39" w:rsidP="008F78AF">
            <w:pPr>
              <w:jc w:val="center"/>
              <w:rPr>
                <w:sz w:val="20"/>
                <w:szCs w:val="20"/>
              </w:rPr>
            </w:pPr>
            <w:r w:rsidRPr="008022DA">
              <w:rPr>
                <w:sz w:val="20"/>
                <w:szCs w:val="20"/>
              </w:rPr>
              <w:t>–</w:t>
            </w:r>
          </w:p>
        </w:tc>
        <w:tc>
          <w:tcPr>
            <w:tcW w:w="1080" w:type="dxa"/>
          </w:tcPr>
          <w:p w14:paraId="7A693801" w14:textId="77777777" w:rsidR="00502A39" w:rsidRPr="008022DA" w:rsidRDefault="00502A39" w:rsidP="008F78AF">
            <w:pPr>
              <w:jc w:val="center"/>
              <w:rPr>
                <w:sz w:val="20"/>
                <w:szCs w:val="20"/>
              </w:rPr>
            </w:pPr>
            <w:r w:rsidRPr="008022DA">
              <w:rPr>
                <w:sz w:val="20"/>
                <w:szCs w:val="20"/>
              </w:rPr>
              <w:sym w:font="Wingdings" w:char="F0FC"/>
            </w:r>
          </w:p>
        </w:tc>
        <w:tc>
          <w:tcPr>
            <w:tcW w:w="990" w:type="dxa"/>
          </w:tcPr>
          <w:p w14:paraId="31967F9E" w14:textId="77777777" w:rsidR="00502A39" w:rsidRPr="008022DA" w:rsidRDefault="00502A39" w:rsidP="008F78AF">
            <w:pPr>
              <w:jc w:val="center"/>
              <w:rPr>
                <w:sz w:val="20"/>
                <w:szCs w:val="20"/>
              </w:rPr>
            </w:pPr>
            <w:r w:rsidRPr="008022DA">
              <w:rPr>
                <w:sz w:val="20"/>
                <w:szCs w:val="20"/>
              </w:rPr>
              <w:t>–</w:t>
            </w:r>
          </w:p>
        </w:tc>
      </w:tr>
      <w:tr w:rsidR="0082400F" w:rsidRPr="008022DA" w14:paraId="4807F3B5" w14:textId="77777777" w:rsidTr="00560830">
        <w:trPr>
          <w:trHeight w:val="140"/>
        </w:trPr>
        <w:tc>
          <w:tcPr>
            <w:tcW w:w="1458" w:type="dxa"/>
            <w:vMerge/>
          </w:tcPr>
          <w:p w14:paraId="2B7AA410" w14:textId="77777777" w:rsidR="00502A39" w:rsidRPr="008022DA" w:rsidRDefault="00502A39" w:rsidP="008022DA">
            <w:pPr>
              <w:rPr>
                <w:sz w:val="20"/>
                <w:szCs w:val="20"/>
              </w:rPr>
            </w:pPr>
          </w:p>
        </w:tc>
        <w:tc>
          <w:tcPr>
            <w:tcW w:w="3420" w:type="dxa"/>
          </w:tcPr>
          <w:p w14:paraId="1AF4C92A" w14:textId="77777777" w:rsidR="00502A39" w:rsidRPr="008022DA" w:rsidRDefault="00502A39" w:rsidP="008022DA">
            <w:pPr>
              <w:rPr>
                <w:sz w:val="20"/>
                <w:szCs w:val="20"/>
              </w:rPr>
            </w:pPr>
            <w:r w:rsidRPr="008022DA">
              <w:rPr>
                <w:sz w:val="20"/>
                <w:szCs w:val="20"/>
              </w:rPr>
              <w:t>Impact of exposure to prior immunomodulatory / immunosuppressive agents on subsequent risks following cladribine exposure</w:t>
            </w:r>
          </w:p>
        </w:tc>
        <w:tc>
          <w:tcPr>
            <w:tcW w:w="1080" w:type="dxa"/>
          </w:tcPr>
          <w:p w14:paraId="3BD61172" w14:textId="77777777" w:rsidR="00502A39" w:rsidRPr="008022DA" w:rsidRDefault="00502A39" w:rsidP="008F78AF">
            <w:pPr>
              <w:jc w:val="center"/>
              <w:rPr>
                <w:sz w:val="20"/>
                <w:szCs w:val="20"/>
              </w:rPr>
            </w:pPr>
            <w:r w:rsidRPr="008022DA">
              <w:rPr>
                <w:sz w:val="20"/>
                <w:szCs w:val="20"/>
              </w:rPr>
              <w:sym w:font="Wingdings" w:char="F0FC"/>
            </w:r>
          </w:p>
        </w:tc>
        <w:tc>
          <w:tcPr>
            <w:tcW w:w="1080" w:type="dxa"/>
          </w:tcPr>
          <w:p w14:paraId="1E681D4E" w14:textId="77777777" w:rsidR="00502A39" w:rsidRPr="008022DA" w:rsidRDefault="00502A39" w:rsidP="008F78AF">
            <w:pPr>
              <w:jc w:val="center"/>
              <w:rPr>
                <w:sz w:val="20"/>
                <w:szCs w:val="20"/>
              </w:rPr>
            </w:pPr>
            <w:r w:rsidRPr="008022DA">
              <w:rPr>
                <w:sz w:val="20"/>
                <w:szCs w:val="20"/>
              </w:rPr>
              <w:sym w:font="Wingdings" w:char="F0FC"/>
            </w:r>
          </w:p>
        </w:tc>
        <w:tc>
          <w:tcPr>
            <w:tcW w:w="1080" w:type="dxa"/>
          </w:tcPr>
          <w:p w14:paraId="1B38F97A" w14:textId="77777777" w:rsidR="00502A39" w:rsidRPr="008022DA" w:rsidRDefault="00502A39" w:rsidP="008F78AF">
            <w:pPr>
              <w:jc w:val="center"/>
              <w:rPr>
                <w:sz w:val="20"/>
                <w:szCs w:val="20"/>
              </w:rPr>
            </w:pPr>
            <w:r w:rsidRPr="008022DA">
              <w:rPr>
                <w:sz w:val="20"/>
                <w:szCs w:val="20"/>
              </w:rPr>
              <w:sym w:font="Wingdings" w:char="F0FC"/>
            </w:r>
          </w:p>
        </w:tc>
        <w:tc>
          <w:tcPr>
            <w:tcW w:w="990" w:type="dxa"/>
          </w:tcPr>
          <w:p w14:paraId="73C78360" w14:textId="77777777" w:rsidR="00502A39" w:rsidRPr="008022DA" w:rsidRDefault="00502A39" w:rsidP="008F78AF">
            <w:pPr>
              <w:jc w:val="center"/>
              <w:rPr>
                <w:sz w:val="20"/>
                <w:szCs w:val="20"/>
              </w:rPr>
            </w:pPr>
            <w:r w:rsidRPr="008022DA">
              <w:rPr>
                <w:sz w:val="20"/>
                <w:szCs w:val="20"/>
              </w:rPr>
              <w:t>–</w:t>
            </w:r>
          </w:p>
        </w:tc>
      </w:tr>
    </w:tbl>
    <w:p w14:paraId="741D4E14" w14:textId="77777777" w:rsidR="00502A39" w:rsidRDefault="00502A39" w:rsidP="00502A39">
      <w:pPr>
        <w:pStyle w:val="Bulletlist"/>
        <w:numPr>
          <w:ilvl w:val="0"/>
          <w:numId w:val="0"/>
        </w:numPr>
        <w:spacing w:after="0"/>
        <w:ind w:left="720" w:hanging="360"/>
        <w:rPr>
          <w:rStyle w:val="TabletextChar"/>
        </w:rPr>
      </w:pPr>
      <w:r w:rsidRPr="00927232">
        <w:rPr>
          <w:rStyle w:val="TabletextChar"/>
        </w:rPr>
        <w:t>* enhanced pharmacovigilance with the use of structured targeted follow up forms</w:t>
      </w:r>
    </w:p>
    <w:p w14:paraId="2349419D" w14:textId="77777777" w:rsidR="00D31B59" w:rsidRPr="0032634F" w:rsidRDefault="00D31B59" w:rsidP="00D31B59">
      <w:r w:rsidRPr="0032634F">
        <w:t>Recommendations for the safety specification</w:t>
      </w:r>
    </w:p>
    <w:p w14:paraId="4C66F0B0" w14:textId="77777777" w:rsidR="00D31B59" w:rsidRPr="0032634F" w:rsidRDefault="00D31B59" w:rsidP="00D31B59">
      <w:pPr>
        <w:pStyle w:val="ListBullet"/>
      </w:pPr>
      <w:r w:rsidRPr="0032634F">
        <w:t xml:space="preserve">Use in moderate to severe renal impairment should be included as missing information, and the PI revised as directed by the </w:t>
      </w:r>
      <w:r w:rsidR="008022DA">
        <w:t>c</w:t>
      </w:r>
      <w:r w:rsidRPr="0032634F">
        <w:t>linical evaluator</w:t>
      </w:r>
    </w:p>
    <w:p w14:paraId="242C62CF" w14:textId="77777777" w:rsidR="00502A39" w:rsidRPr="007A7272" w:rsidRDefault="00502A39" w:rsidP="007A7272">
      <w:pPr>
        <w:pStyle w:val="ListBullet"/>
        <w:numPr>
          <w:ilvl w:val="0"/>
          <w:numId w:val="0"/>
        </w:numPr>
        <w:ind w:left="360" w:hanging="360"/>
      </w:pPr>
      <w:r w:rsidRPr="007A7272">
        <w:t>Additional pharmacovigilance activities include:</w:t>
      </w:r>
    </w:p>
    <w:p w14:paraId="55D774FE" w14:textId="77777777" w:rsidR="00502A39" w:rsidRPr="007A7272" w:rsidRDefault="00502A39" w:rsidP="007A7272">
      <w:pPr>
        <w:pStyle w:val="ListBullet"/>
      </w:pPr>
      <w:r w:rsidRPr="007A7272">
        <w:t>EMR 700568-012 PREMIERE patient registry (ongoing, global)</w:t>
      </w:r>
    </w:p>
    <w:p w14:paraId="45B00D4A" w14:textId="77777777" w:rsidR="00502A39" w:rsidRPr="007A7272" w:rsidRDefault="00502A39" w:rsidP="007A7272">
      <w:pPr>
        <w:pStyle w:val="ListBullet"/>
      </w:pPr>
      <w:r w:rsidRPr="007A7272">
        <w:t>MS 700568-0002 PASS (planned): Post-authorisation long term safety study, Australian patient involvement planned.</w:t>
      </w:r>
    </w:p>
    <w:p w14:paraId="0DFAA1A2" w14:textId="77777777" w:rsidR="00502A39" w:rsidRPr="007A7272" w:rsidRDefault="00502A39" w:rsidP="007A7272">
      <w:pPr>
        <w:pStyle w:val="ListBullet"/>
      </w:pPr>
      <w:r w:rsidRPr="007A7272">
        <w:t>MS 700568-0004: Pregnancy registry (planned)</w:t>
      </w:r>
    </w:p>
    <w:p w14:paraId="63177DD8" w14:textId="77777777" w:rsidR="00502A39" w:rsidRPr="007A7272" w:rsidRDefault="00502A39" w:rsidP="007A7272">
      <w:pPr>
        <w:pStyle w:val="ListBullet"/>
      </w:pPr>
      <w:r w:rsidRPr="007A7272">
        <w:t xml:space="preserve">Educational materials for </w:t>
      </w:r>
      <w:r w:rsidR="008022DA">
        <w:t>health care professionals (</w:t>
      </w:r>
      <w:r w:rsidRPr="007A7272">
        <w:t>HCPs</w:t>
      </w:r>
      <w:r w:rsidR="008022DA">
        <w:t>)</w:t>
      </w:r>
      <w:r w:rsidRPr="007A7272">
        <w:t xml:space="preserve"> and Patients will be distributed as additional risk minimisation activities</w:t>
      </w:r>
    </w:p>
    <w:p w14:paraId="1743B7F0" w14:textId="77777777" w:rsidR="00502A39" w:rsidRPr="002C2245" w:rsidRDefault="00502A39" w:rsidP="007A7272">
      <w:pPr>
        <w:pStyle w:val="ListBullet2"/>
      </w:pPr>
      <w:r>
        <w:t>The patient guide includes a dose calendar to aid with treatment compliance.</w:t>
      </w:r>
    </w:p>
    <w:p w14:paraId="1BF43E51" w14:textId="77777777" w:rsidR="00502A39" w:rsidRDefault="00BC1A2C" w:rsidP="007A7272">
      <w:pPr>
        <w:pStyle w:val="Heading4"/>
      </w:pPr>
      <w:bookmarkStart w:id="105" w:name="_Toc497118819"/>
      <w:r>
        <w:t>O</w:t>
      </w:r>
      <w:r w:rsidR="00502A39">
        <w:t>utstanding recommendations</w:t>
      </w:r>
      <w:bookmarkEnd w:id="105"/>
    </w:p>
    <w:p w14:paraId="040771E3" w14:textId="564855EF" w:rsidR="00502A39" w:rsidRPr="00FC10E7" w:rsidRDefault="00502A39" w:rsidP="00502A39">
      <w:pPr>
        <w:pStyle w:val="Standard"/>
      </w:pPr>
      <w:r w:rsidRPr="0022512E">
        <w:t xml:space="preserve">The recommendations </w:t>
      </w:r>
      <w:r>
        <w:t xml:space="preserve">made in the </w:t>
      </w:r>
      <w:r w:rsidR="008022DA">
        <w:t xml:space="preserve">first </w:t>
      </w:r>
      <w:r>
        <w:t xml:space="preserve">round evaluation are reconciled with </w:t>
      </w:r>
      <w:r w:rsidRPr="0022512E">
        <w:t>conside</w:t>
      </w:r>
      <w:r>
        <w:t xml:space="preserve">ration of </w:t>
      </w:r>
      <w:r w:rsidR="00FA103D">
        <w:t>the sponsor</w:t>
      </w:r>
      <w:r w:rsidR="008022DA">
        <w:t xml:space="preserve"> response</w:t>
      </w:r>
      <w:r w:rsidRPr="0022512E">
        <w:t>.</w:t>
      </w:r>
      <w:r>
        <w:t xml:space="preserve"> There are two new recommendations</w:t>
      </w:r>
      <w:r w:rsidR="00FC10E7">
        <w:t>.</w:t>
      </w:r>
    </w:p>
    <w:p w14:paraId="2CA8B761" w14:textId="77777777" w:rsidR="00502A39" w:rsidRPr="0022512E" w:rsidRDefault="00502A39" w:rsidP="008022DA">
      <w:pPr>
        <w:pStyle w:val="Numberbullet0"/>
        <w:numPr>
          <w:ilvl w:val="0"/>
          <w:numId w:val="34"/>
        </w:numPr>
      </w:pPr>
      <w:r w:rsidRPr="000D1EC1">
        <w:t xml:space="preserve">The sponsor has not </w:t>
      </w:r>
      <w:r>
        <w:t>satisfactorily addressed</w:t>
      </w:r>
      <w:r w:rsidRPr="000D1EC1">
        <w:t xml:space="preserve"> ‘Use in paediatrics’</w:t>
      </w:r>
      <w:r>
        <w:t xml:space="preserve"> in the Risk Management Plan or PI. The sponsor should</w:t>
      </w:r>
      <w:r w:rsidRPr="000D1EC1">
        <w:t xml:space="preserve"> monitor </w:t>
      </w:r>
      <w:r>
        <w:t>the risk of off-label paediatric use</w:t>
      </w:r>
      <w:r w:rsidRPr="000D1EC1">
        <w:t xml:space="preserve"> and the Delegate is requested to consider a stronger warning against use in </w:t>
      </w:r>
      <w:r w:rsidRPr="0022512E">
        <w:t>paediatrics</w:t>
      </w:r>
      <w:r>
        <w:t>.</w:t>
      </w:r>
    </w:p>
    <w:p w14:paraId="5F8FDAA1" w14:textId="77777777" w:rsidR="00502A39" w:rsidRPr="0022512E" w:rsidRDefault="00502A39" w:rsidP="007A7272">
      <w:pPr>
        <w:pStyle w:val="Numberbullet0"/>
      </w:pPr>
      <w:r w:rsidRPr="0022512E">
        <w:t>Use in moderate to severe renal impairment should be included as missing information and the</w:t>
      </w:r>
      <w:r w:rsidR="008022DA">
        <w:t xml:space="preserve"> PI revised as directed by the c</w:t>
      </w:r>
      <w:r w:rsidRPr="0022512E">
        <w:t>linical evaluator.</w:t>
      </w:r>
    </w:p>
    <w:p w14:paraId="2CC33CE3" w14:textId="77777777" w:rsidR="00502A39" w:rsidRPr="00BB4B51" w:rsidRDefault="00502A39" w:rsidP="00834562">
      <w:pPr>
        <w:pStyle w:val="Heading4"/>
      </w:pPr>
      <w:bookmarkStart w:id="106" w:name="_Toc497118820"/>
      <w:r>
        <w:t>Wording for conditions of registration</w:t>
      </w:r>
      <w:bookmarkEnd w:id="106"/>
    </w:p>
    <w:p w14:paraId="5903A79B" w14:textId="77777777" w:rsidR="00502A39" w:rsidRDefault="00502A39" w:rsidP="008022DA">
      <w:r>
        <w:t>Suggested wording for the RMP condition of registration will be provided after the Delegate has advised on the paediatric warnings in the Product Information so that appropriate management of the potential for paediatric off-label use can be recommended.</w:t>
      </w:r>
    </w:p>
    <w:p w14:paraId="7C41C8A9" w14:textId="77777777" w:rsidR="006F25B8" w:rsidRPr="007A7272" w:rsidRDefault="00502A39" w:rsidP="007A7272">
      <w:pPr>
        <w:ind w:left="720"/>
        <w:rPr>
          <w:i/>
          <w:lang w:eastAsia="en-AU"/>
        </w:rPr>
      </w:pPr>
      <w:r w:rsidRPr="007A7272">
        <w:rPr>
          <w:i/>
        </w:rPr>
        <w:t>Any changes to which the sponsor has agreed should be included in a revised RMP and ASA. However, irrespective of whether or not they are included in the currently available version of the RMP document, the agreed changes become part of the risk management system.</w:t>
      </w:r>
    </w:p>
    <w:p w14:paraId="02BBF60E" w14:textId="77777777" w:rsidR="008E7846" w:rsidRPr="00792A32" w:rsidRDefault="008E7846" w:rsidP="00312285">
      <w:pPr>
        <w:pStyle w:val="Heading2"/>
      </w:pPr>
      <w:bookmarkStart w:id="107" w:name="_Toc314842510"/>
      <w:bookmarkStart w:id="108" w:name="_Toc519257446"/>
      <w:r>
        <w:t>V</w:t>
      </w:r>
      <w:r w:rsidR="00FA103D">
        <w:t>I</w:t>
      </w:r>
      <w:r>
        <w:t xml:space="preserve">I. </w:t>
      </w:r>
      <w:r w:rsidRPr="00792A32">
        <w:t xml:space="preserve">Overall </w:t>
      </w:r>
      <w:r>
        <w:t>c</w:t>
      </w:r>
      <w:r w:rsidRPr="00792A32">
        <w:t xml:space="preserve">onclusion and </w:t>
      </w:r>
      <w:r w:rsidRPr="00312285">
        <w:t>risk</w:t>
      </w:r>
      <w:r w:rsidRPr="00792A32">
        <w:t>/</w:t>
      </w:r>
      <w:r>
        <w:t>b</w:t>
      </w:r>
      <w:r w:rsidRPr="00792A32">
        <w:t xml:space="preserve">enefit </w:t>
      </w:r>
      <w:r>
        <w:t>a</w:t>
      </w:r>
      <w:r w:rsidRPr="00792A32">
        <w:t>ssessment</w:t>
      </w:r>
      <w:bookmarkEnd w:id="74"/>
      <w:bookmarkEnd w:id="104"/>
      <w:bookmarkEnd w:id="107"/>
      <w:bookmarkEnd w:id="108"/>
    </w:p>
    <w:p w14:paraId="7FDB37E5" w14:textId="77777777" w:rsidR="008E7846" w:rsidRDefault="008E7846" w:rsidP="008E7846">
      <w:bookmarkStart w:id="109" w:name="_Toc247691528"/>
      <w:r>
        <w:t xml:space="preserve">The submission was summarised in the following </w:t>
      </w:r>
      <w:r w:rsidRPr="00EF5C48">
        <w:t xml:space="preserve">Delegate’s </w:t>
      </w:r>
      <w:r>
        <w:t>overview</w:t>
      </w:r>
      <w:r w:rsidRPr="00EF5C48">
        <w:t xml:space="preserve"> and recommendation</w:t>
      </w:r>
      <w:r>
        <w:t>s:</w:t>
      </w:r>
    </w:p>
    <w:p w14:paraId="17FC50F8" w14:textId="77777777" w:rsidR="008E7846" w:rsidRDefault="008E7846" w:rsidP="008E7846">
      <w:pPr>
        <w:pStyle w:val="Heading3"/>
      </w:pPr>
      <w:bookmarkStart w:id="110" w:name="_Toc314842511"/>
      <w:bookmarkStart w:id="111" w:name="_Toc519257447"/>
      <w:r>
        <w:lastRenderedPageBreak/>
        <w:t>Quality</w:t>
      </w:r>
      <w:bookmarkEnd w:id="109"/>
      <w:bookmarkEnd w:id="110"/>
      <w:bookmarkEnd w:id="111"/>
    </w:p>
    <w:p w14:paraId="45BAFF8D" w14:textId="7ED1991B" w:rsidR="00730F8A" w:rsidRDefault="001A773A" w:rsidP="001A773A">
      <w:r>
        <w:t xml:space="preserve">There was no </w:t>
      </w:r>
      <w:r w:rsidR="009336B1">
        <w:t>quality</w:t>
      </w:r>
      <w:r>
        <w:t xml:space="preserve"> evaluation for this submission.</w:t>
      </w:r>
      <w:r w:rsidR="0057702F">
        <w:t xml:space="preserve"> </w:t>
      </w:r>
      <w:r w:rsidR="0082400F">
        <w:t>S</w:t>
      </w:r>
      <w:r>
        <w:t>ubmissions for changes to quality aspects of the product and for the tradename change were approved during the evaluation process.</w:t>
      </w:r>
    </w:p>
    <w:p w14:paraId="31EAACAD" w14:textId="77777777" w:rsidR="008E7846" w:rsidRDefault="008E7846" w:rsidP="008E7846">
      <w:pPr>
        <w:pStyle w:val="Heading3"/>
      </w:pPr>
      <w:bookmarkStart w:id="112" w:name="_Toc314842512"/>
      <w:bookmarkStart w:id="113" w:name="_Toc519257448"/>
      <w:r>
        <w:t>Nonclinical</w:t>
      </w:r>
      <w:bookmarkEnd w:id="112"/>
      <w:bookmarkEnd w:id="113"/>
    </w:p>
    <w:p w14:paraId="12EF2445" w14:textId="77777777" w:rsidR="001A773A" w:rsidRPr="001A773A" w:rsidRDefault="001A773A" w:rsidP="001A773A">
      <w:r w:rsidRPr="001A773A">
        <w:t>The nonclinical component of the submission comprised of pharmacokinetic studies related to permeability and absorption, and metabolism and transporter interaction. No nonclinical data related directly to the extension of indication were submitted. Two in vitro studies demonstrated uptake of cladribine into human hepatocytes and lymphocytes. Hepatocyte uptake was passive and independent of known transport processes. Lymphocyte uptake was time-dependent and related to concentration of cladribine in culture.</w:t>
      </w:r>
    </w:p>
    <w:p w14:paraId="7B4F201D" w14:textId="49EB8EE1" w:rsidR="008E7846" w:rsidRDefault="001A773A" w:rsidP="001A773A">
      <w:r w:rsidRPr="001A773A">
        <w:t>Amendments to the PI were recommended.</w:t>
      </w:r>
    </w:p>
    <w:p w14:paraId="258FE974" w14:textId="77777777" w:rsidR="008E7846" w:rsidRDefault="008E7846" w:rsidP="008E7846">
      <w:pPr>
        <w:pStyle w:val="Heading3"/>
      </w:pPr>
      <w:bookmarkStart w:id="114" w:name="_Toc247691530"/>
      <w:bookmarkStart w:id="115" w:name="_Toc314842513"/>
      <w:bookmarkStart w:id="116" w:name="_Toc519257449"/>
      <w:r>
        <w:t>Clinical</w:t>
      </w:r>
      <w:bookmarkEnd w:id="114"/>
      <w:bookmarkEnd w:id="115"/>
      <w:bookmarkEnd w:id="116"/>
    </w:p>
    <w:p w14:paraId="1CFBD6CB" w14:textId="77777777" w:rsidR="001A773A" w:rsidRPr="001A773A" w:rsidRDefault="001A773A" w:rsidP="007A7272">
      <w:pPr>
        <w:pStyle w:val="Heading4"/>
      </w:pPr>
      <w:bookmarkStart w:id="117" w:name="_Toc314842514"/>
      <w:r w:rsidRPr="001A773A">
        <w:t>Pharmacology</w:t>
      </w:r>
    </w:p>
    <w:p w14:paraId="046BE073" w14:textId="4764F58F" w:rsidR="001A773A" w:rsidRPr="001A773A" w:rsidRDefault="001A773A" w:rsidP="007A7272">
      <w:r w:rsidRPr="001A773A">
        <w:t>The population pharmacokinetic evaluation relates to Study 700568-013 contributed further to understanding of cladribine PK in particular the estimation of renal and non-renal clearance and the association of renal clearance with creatinine clearance (CRCL).</w:t>
      </w:r>
      <w:r w:rsidR="0057702F">
        <w:t xml:space="preserve"> </w:t>
      </w:r>
      <w:r w:rsidRPr="001A773A">
        <w:t>This analysis included data</w:t>
      </w:r>
      <w:r w:rsidR="0043599F">
        <w:t xml:space="preserve"> from the previously submitted S</w:t>
      </w:r>
      <w:r w:rsidRPr="001A773A">
        <w:t>tudies 25803,</w:t>
      </w:r>
      <w:r w:rsidR="0057702F">
        <w:t xml:space="preserve"> </w:t>
      </w:r>
      <w:r w:rsidRPr="001A773A">
        <w:t>26127 and 25643 (CLARITY).</w:t>
      </w:r>
      <w:r w:rsidR="0057702F">
        <w:t xml:space="preserve"> </w:t>
      </w:r>
      <w:r w:rsidRPr="001A773A">
        <w:t>Typical renal clearance was 23.1 L/hour and related to CRCL by 3.66</w:t>
      </w:r>
      <w:r w:rsidR="0082400F">
        <w:t> </w:t>
      </w:r>
      <w:r w:rsidRPr="001A773A">
        <w:t>x</w:t>
      </w:r>
      <w:r w:rsidR="0082400F">
        <w:t> </w:t>
      </w:r>
      <w:r w:rsidRPr="001A773A">
        <w:t>CRCL (L/hour).</w:t>
      </w:r>
      <w:r w:rsidR="0057702F">
        <w:t xml:space="preserve"> </w:t>
      </w:r>
      <w:r w:rsidRPr="001A773A">
        <w:t>Typical non-renal clearance was 22.7 L/hour.</w:t>
      </w:r>
      <w:r w:rsidR="0057702F">
        <w:t xml:space="preserve"> </w:t>
      </w:r>
      <w:r w:rsidRPr="001A773A">
        <w:t xml:space="preserve">The </w:t>
      </w:r>
      <w:r w:rsidR="0043599F">
        <w:t>population PK (</w:t>
      </w:r>
      <w:r w:rsidRPr="001A773A">
        <w:t>popPK</w:t>
      </w:r>
      <w:r w:rsidR="0043599F">
        <w:t>)</w:t>
      </w:r>
      <w:r w:rsidRPr="001A773A">
        <w:t xml:space="preserve"> study confirmed the effects of food on bioavailability and IFN-1 on metabolic clearance that were observed in other studies.</w:t>
      </w:r>
    </w:p>
    <w:p w14:paraId="398E3FD2" w14:textId="072D517C" w:rsidR="001A773A" w:rsidRPr="001A773A" w:rsidRDefault="001A773A" w:rsidP="007A7272">
      <w:r w:rsidRPr="001A773A">
        <w:t>Interaction studies showed no clinically significant PK interaction between cladribine and IFN β-1a or cladribine and pantoprazole.</w:t>
      </w:r>
    </w:p>
    <w:p w14:paraId="21331CEE" w14:textId="77777777" w:rsidR="001A773A" w:rsidRPr="001A773A" w:rsidRDefault="001A773A" w:rsidP="007A7272">
      <w:r w:rsidRPr="001A773A">
        <w:t>There</w:t>
      </w:r>
      <w:r w:rsidR="0043599F">
        <w:t xml:space="preserve"> has</w:t>
      </w:r>
      <w:r w:rsidRPr="001A773A">
        <w:t xml:space="preserve"> been no assessment of the PK of cladribine in patients with moderate or severe renal impairment. Estimates were made on extrapolation from a study population with normal renal function to mild renal impairment.</w:t>
      </w:r>
    </w:p>
    <w:p w14:paraId="40E98E6F" w14:textId="709BB00D" w:rsidR="001A773A" w:rsidRPr="001A773A" w:rsidRDefault="001A773A" w:rsidP="007A7272">
      <w:r w:rsidRPr="001A773A">
        <w:t xml:space="preserve">There were no new data concerning </w:t>
      </w:r>
      <w:r w:rsidR="0043599F">
        <w:t>PD</w:t>
      </w:r>
      <w:r w:rsidRPr="001A773A">
        <w:t>.</w:t>
      </w:r>
      <w:r w:rsidR="0057702F">
        <w:t xml:space="preserve"> </w:t>
      </w:r>
      <w:r w:rsidRPr="001A773A">
        <w:t>The maximum effect of cladribine appears to have been achieved at the 3.5 mg/kg dose level. The effect of lower doses has not been explored.</w:t>
      </w:r>
    </w:p>
    <w:p w14:paraId="5B0A0619" w14:textId="77777777" w:rsidR="001A773A" w:rsidRPr="001A773A" w:rsidRDefault="001A773A" w:rsidP="007A7272">
      <w:pPr>
        <w:pStyle w:val="Heading4"/>
      </w:pPr>
      <w:r w:rsidRPr="001A773A">
        <w:t>Efficacy</w:t>
      </w:r>
    </w:p>
    <w:p w14:paraId="2A98DBC1" w14:textId="3DA85EEB" w:rsidR="001A773A" w:rsidRPr="001A773A" w:rsidRDefault="001A773A" w:rsidP="007A7272">
      <w:r w:rsidRPr="001A773A">
        <w:t>Study 25643 (CLARITY) has been previously evaluated and</w:t>
      </w:r>
      <w:r w:rsidR="0057702F">
        <w:t xml:space="preserve"> </w:t>
      </w:r>
      <w:r w:rsidRPr="001A773A">
        <w:t>demonstrated superiority of cladribine in comparison with placebo for reduction in relapse rates, MRI findings indicative of disease activity and for reduction in the progression of disability.</w:t>
      </w:r>
      <w:r w:rsidR="0057702F">
        <w:t xml:space="preserve"> </w:t>
      </w:r>
      <w:r w:rsidRPr="001A773A">
        <w:t>Total doses of 3.5 mg/kg and the 5.25 mg/kg were compared with placebo over a 96 week period.</w:t>
      </w:r>
      <w:r w:rsidR="0057702F">
        <w:t xml:space="preserve"> </w:t>
      </w:r>
      <w:r w:rsidRPr="001A773A">
        <w:t>The last dose of study medication was given at Week 52 and patients were followed to Week</w:t>
      </w:r>
      <w:r w:rsidR="007A7C2D">
        <w:t> </w:t>
      </w:r>
      <w:r w:rsidRPr="001A773A">
        <w:t>96.</w:t>
      </w:r>
      <w:r w:rsidR="0057702F">
        <w:t xml:space="preserve"> </w:t>
      </w:r>
      <w:r w:rsidRPr="001A773A">
        <w:t>In that study</w:t>
      </w:r>
      <w:r w:rsidR="007A7C2D">
        <w:t>,</w:t>
      </w:r>
      <w:r w:rsidRPr="001A773A">
        <w:t xml:space="preserve"> cladribine 3.5 mg/kg and 5.25 mg/kg treatment groups had a 33% and a 31% relative reduction in risk of developing disability progression over the 96</w:t>
      </w:r>
      <w:r w:rsidR="0043599F">
        <w:t xml:space="preserve"> </w:t>
      </w:r>
      <w:r w:rsidRPr="001A773A">
        <w:t>week trial period, respectively, compared with the placebo group (</w:t>
      </w:r>
      <w:r w:rsidR="0043599F">
        <w:t>HR</w:t>
      </w:r>
      <w:r w:rsidRPr="001A773A">
        <w:t xml:space="preserve"> = 0.67, 95% CI </w:t>
      </w:r>
      <w:r w:rsidR="00E27DC4">
        <w:t>(</w:t>
      </w:r>
      <w:r w:rsidRPr="001A773A">
        <w:t>0.48,</w:t>
      </w:r>
      <w:r w:rsidR="0082400F">
        <w:t xml:space="preserve"> </w:t>
      </w:r>
      <w:r w:rsidRPr="001A773A">
        <w:t>0.93</w:t>
      </w:r>
      <w:r w:rsidR="00E27DC4">
        <w:t>)</w:t>
      </w:r>
      <w:r w:rsidRPr="001A773A">
        <w:t xml:space="preserve">, p = 0.018; </w:t>
      </w:r>
      <w:r w:rsidR="0043599F">
        <w:t>HR=</w:t>
      </w:r>
      <w:r w:rsidRPr="001A773A">
        <w:t xml:space="preserve"> 0.69, 95% CI </w:t>
      </w:r>
      <w:r w:rsidR="007A7C2D">
        <w:t>(</w:t>
      </w:r>
      <w:r w:rsidRPr="001A773A">
        <w:t>0.49, 0.96</w:t>
      </w:r>
      <w:r w:rsidR="007A7C2D">
        <w:t>)</w:t>
      </w:r>
      <w:r w:rsidRPr="001A773A">
        <w:t>, p = 0.026, respectively). The proportion of patients progressing to sustained disability was 20.6% in the placebo group, 14.3% in the 3.5</w:t>
      </w:r>
      <w:r w:rsidR="007A7C2D">
        <w:t> </w:t>
      </w:r>
      <w:r w:rsidRPr="001A773A">
        <w:t>mg/kg treatment group and 15.1% in the 5.25 mg/kg treatment group.</w:t>
      </w:r>
    </w:p>
    <w:p w14:paraId="45333974" w14:textId="7691E552" w:rsidR="001A773A" w:rsidRPr="001A773A" w:rsidRDefault="001A773A" w:rsidP="007A7272">
      <w:r w:rsidRPr="001A773A">
        <w:lastRenderedPageBreak/>
        <w:t>Study 27820 (CLARITY Extension) examined extended dosing regimens with cumulative doses of 7 mg/kg and 8.25 mg/kg. There were 5 dose groups and over the course of the CLARITY + CLARITY extension study total cladribine dose exposures ranged from 3.5</w:t>
      </w:r>
      <w:r w:rsidR="007A7C2D">
        <w:t> </w:t>
      </w:r>
      <w:r w:rsidRPr="001A773A">
        <w:t>mg/kg to 8.25 mg/kg.</w:t>
      </w:r>
      <w:r w:rsidR="0057702F">
        <w:t xml:space="preserve"> </w:t>
      </w:r>
      <w:r w:rsidRPr="001A773A">
        <w:t>While the last observation was made in December 2011 the study report included in this submission was not completed until April 2016. This was primarily a safety study but there were exploratory efficacy objectives.</w:t>
      </w:r>
    </w:p>
    <w:p w14:paraId="592FF5C6" w14:textId="5CF5FE1B" w:rsidR="001A773A" w:rsidRPr="001A773A" w:rsidRDefault="001A773A" w:rsidP="007A7272">
      <w:r w:rsidRPr="001A773A">
        <w:t>This study included patients who had been enrolled in Study 25643 CLARITY and who had completed, with or without rescue therapy; who had no evidence of latent tuberculosis infection (LTBI) or TB as evidenced by skin test or chest X-ray, and normal haematologic parameters. Of the 1165 subjects who completed treatment in the CLARITY study, 867</w:t>
      </w:r>
      <w:r w:rsidR="007A7C2D">
        <w:t> </w:t>
      </w:r>
      <w:r w:rsidRPr="001A773A">
        <w:t>(74.4%) enrolled in the extension study.</w:t>
      </w:r>
      <w:r w:rsidR="0057702F">
        <w:t xml:space="preserve"> </w:t>
      </w:r>
      <w:r w:rsidRPr="001A773A">
        <w:t xml:space="preserve">Of the 867 patients, 806 were treated and were included in the </w:t>
      </w:r>
      <w:r w:rsidR="0043599F">
        <w:t>intent-to-treat (</w:t>
      </w:r>
      <w:r w:rsidRPr="001A773A">
        <w:t>ITT</w:t>
      </w:r>
      <w:r w:rsidR="0043599F">
        <w:t>)</w:t>
      </w:r>
      <w:r w:rsidRPr="001A773A">
        <w:t xml:space="preserve"> and Safety analyses.</w:t>
      </w:r>
    </w:p>
    <w:p w14:paraId="1FF49695" w14:textId="77777777" w:rsidR="001A773A" w:rsidRPr="001A773A" w:rsidRDefault="001A773A" w:rsidP="007A7272">
      <w:r w:rsidRPr="001A773A">
        <w:t>Cladribine (or matching placebo) was administered as two treatment courses (each of two treatment weeks separated by a month) separated by one year.</w:t>
      </w:r>
      <w:r w:rsidR="0057702F">
        <w:t xml:space="preserve"> </w:t>
      </w:r>
      <w:r w:rsidRPr="001A773A">
        <w:t>The treatment groups are summarised as:</w:t>
      </w:r>
    </w:p>
    <w:p w14:paraId="054189F4" w14:textId="77777777" w:rsidR="001A773A" w:rsidRPr="00834562" w:rsidRDefault="001A773A" w:rsidP="00834562">
      <w:pPr>
        <w:pStyle w:val="ListBullet"/>
      </w:pPr>
      <w:r w:rsidRPr="00834562">
        <w:t>LLPP: cladribine 3.5 mg/kg for CLARITY and placebo for CLARITY Extension: total dose 3.5 mg/kg</w:t>
      </w:r>
    </w:p>
    <w:p w14:paraId="3E56157B" w14:textId="77777777" w:rsidR="001A773A" w:rsidRPr="00834562" w:rsidRDefault="001A773A" w:rsidP="00834562">
      <w:pPr>
        <w:pStyle w:val="ListBullet"/>
      </w:pPr>
      <w:r w:rsidRPr="00834562">
        <w:t>HLPP: cladribine 5.25 mg/kg for CLARITY and placebo for CLARITY Extension: total dose 5.25 mg/kg</w:t>
      </w:r>
    </w:p>
    <w:p w14:paraId="0782E03C" w14:textId="77777777" w:rsidR="001A773A" w:rsidRPr="00834562" w:rsidRDefault="001A773A" w:rsidP="00834562">
      <w:pPr>
        <w:pStyle w:val="ListBullet"/>
      </w:pPr>
      <w:r w:rsidRPr="00834562">
        <w:t>LLLL: cladribine 3.5 mg/kg for CLARITY and 3.5 mg/kg for CLARITY Extension: total dose 7 mg/kg</w:t>
      </w:r>
    </w:p>
    <w:p w14:paraId="42E11B63" w14:textId="77777777" w:rsidR="001A773A" w:rsidRPr="00834562" w:rsidRDefault="001A773A" w:rsidP="00834562">
      <w:pPr>
        <w:pStyle w:val="ListBullet"/>
      </w:pPr>
      <w:r w:rsidRPr="00834562">
        <w:t>HLLL: cladribine 5.25 mg/kg for CLARITY and 3.5 mg/kg for CLARITY Extension: total dose 8.25 mg/kg</w:t>
      </w:r>
    </w:p>
    <w:p w14:paraId="50E48AA4" w14:textId="77777777" w:rsidR="001A773A" w:rsidRPr="00834562" w:rsidRDefault="001A773A" w:rsidP="00834562">
      <w:pPr>
        <w:pStyle w:val="ListBullet"/>
      </w:pPr>
      <w:r w:rsidRPr="00834562">
        <w:t>PPLL: placebo for CLARITY and cladribine 3.5 mg/kg for CLARITY Extension: total dose 3.5 mg/kg</w:t>
      </w:r>
    </w:p>
    <w:p w14:paraId="6AA7A212" w14:textId="77777777" w:rsidR="001A773A" w:rsidRPr="001A773A" w:rsidRDefault="001A773A" w:rsidP="007A7272">
      <w:r w:rsidRPr="001A773A">
        <w:t>The total duration of observation was 120 weeks (216 weeks including the predecessor CLARITY study).</w:t>
      </w:r>
    </w:p>
    <w:p w14:paraId="3C018D57" w14:textId="642240B3" w:rsidR="001A773A" w:rsidRPr="001A773A" w:rsidRDefault="001A773A" w:rsidP="007A7272">
      <w:r w:rsidRPr="001A773A">
        <w:t>No clinical benefit from the additional exposure to cladribine was demonstrated in this study as assessed by annualised relapse rates and disability progression. The proportion of patients free of 3 month disability progression ranged from was 72.4% to 77.4% across the 5 dosing groups. There was no significant difference in change in EDSS scores during the study. MRI markers also did not suggest a benefit from increased exposure to cladribine.</w:t>
      </w:r>
    </w:p>
    <w:p w14:paraId="229825AA" w14:textId="09069B7D" w:rsidR="001A773A" w:rsidRPr="001A773A" w:rsidRDefault="001A773A" w:rsidP="007A7272">
      <w:r w:rsidRPr="001A773A">
        <w:t>This study allows an assessment of efficacy in patients given the current approved dose regimen with a total exposure of 3.5 mg/kg over 2 years (patients given low dose cladribine in the CLARITY study and subsequently given placebo in the CLARITY extension study). There were 98 patients in this group with a median duration of exposure to cladribine (in CLARITY and CLARITY extension) of 136.4 weeks (</w:t>
      </w:r>
      <w:r w:rsidR="00E96864">
        <w:t>r</w:t>
      </w:r>
      <w:r w:rsidR="00E96864" w:rsidRPr="001A773A">
        <w:t xml:space="preserve">ange </w:t>
      </w:r>
      <w:r w:rsidRPr="001A773A">
        <w:t>96 to 212 weeks). The annualised relapse rate during CLARITY extension was 0.15 and 71 (72.4%) of these patients did not experience 3</w:t>
      </w:r>
      <w:r w:rsidR="00E96864">
        <w:t xml:space="preserve"> </w:t>
      </w:r>
      <w:r w:rsidRPr="001A773A">
        <w:t>month disability progression during the study.</w:t>
      </w:r>
    </w:p>
    <w:p w14:paraId="41E9A32E" w14:textId="3E1621E9" w:rsidR="001A773A" w:rsidRPr="001A773A" w:rsidRDefault="001A773A" w:rsidP="007A7272">
      <w:r w:rsidRPr="001A773A">
        <w:t>Study 28821 ORACLE was a Phase III, randomised, double</w:t>
      </w:r>
      <w:r w:rsidR="00E96864">
        <w:t xml:space="preserve"> </w:t>
      </w:r>
      <w:r w:rsidRPr="001A773A">
        <w:t>blind, placebo controlled, parallel group efficacy and safety study in patients with a first clinical event at high risk of converting to MS.</w:t>
      </w:r>
      <w:r w:rsidR="0057702F">
        <w:t xml:space="preserve"> </w:t>
      </w:r>
      <w:r w:rsidRPr="001A773A">
        <w:t xml:space="preserve">The study was terminated prior to full follow-up time because </w:t>
      </w:r>
      <w:r w:rsidR="00FA103D">
        <w:t>the sponsor</w:t>
      </w:r>
      <w:r w:rsidRPr="001A773A">
        <w:t xml:space="preserve"> had decided to cease further development of cladribine.</w:t>
      </w:r>
      <w:r w:rsidR="0057702F">
        <w:t xml:space="preserve"> </w:t>
      </w:r>
      <w:r w:rsidRPr="001A773A">
        <w:t>A total of 617 subjects were randomised and 616 received at least 1 dose of blinded study medication; 204 subjects in the cladribine 5.25 mg/kg group, 206 subjects in the cladribine 3.5 mg/kg group, and 206 subjects in the placebo group.</w:t>
      </w:r>
    </w:p>
    <w:p w14:paraId="3B25ECEF" w14:textId="721FB664" w:rsidR="001A773A" w:rsidRPr="001A773A" w:rsidRDefault="001A773A" w:rsidP="007A7272">
      <w:r w:rsidRPr="001A773A">
        <w:lastRenderedPageBreak/>
        <w:t>The study’s original primary objective was to evaluate the effect of oral cladribine v</w:t>
      </w:r>
      <w:r w:rsidR="00EF3F38">
        <w:t>ersu</w:t>
      </w:r>
      <w:r w:rsidRPr="001A773A">
        <w:t>s placebo on the time to MS conversion according to the 2005 McDonald criteria</w:t>
      </w:r>
      <w:r w:rsidR="00E96864">
        <w:t>;</w:t>
      </w:r>
      <w:r w:rsidR="00EF3F38">
        <w:rPr>
          <w:rStyle w:val="FootnoteReference"/>
        </w:rPr>
        <w:footnoteReference w:id="6"/>
      </w:r>
      <w:r w:rsidRPr="001A773A">
        <w:t xml:space="preserve"> in subjects with a first clinical demyelinating event at high risk of converting to MS. To comply with a FDA request and to support a potential product labelling indication, the study’s primary endpoint was switched with an existing secondary endpoint in Protocol Amendment 3 (8 January 2010). Thus, following Amendment 3</w:t>
      </w:r>
      <w:r w:rsidR="00E96864">
        <w:t>,</w:t>
      </w:r>
      <w:r w:rsidRPr="001A773A">
        <w:t xml:space="preserve"> the study’s primary objective was to evaluate the effect of oral cladribine on the time to </w:t>
      </w:r>
      <w:r w:rsidR="009C6867">
        <w:t>clinical definite MS (</w:t>
      </w:r>
      <w:r w:rsidRPr="001A773A">
        <w:t>CDMS</w:t>
      </w:r>
      <w:r w:rsidR="009C6867">
        <w:t>)</w:t>
      </w:r>
      <w:r w:rsidRPr="001A773A">
        <w:t xml:space="preserve"> conversion according to the Poser criteria, defined by either a second attack or a sustained increase in the EDSS in subjects with a first clinical demyelinating event at high risk of converting to MS. The 2005 McDonald criteria endpoint was retained as a secondary endpoint.</w:t>
      </w:r>
    </w:p>
    <w:p w14:paraId="38FF62C5" w14:textId="45A516DC" w:rsidR="001A773A" w:rsidRPr="001A773A" w:rsidRDefault="001A773A" w:rsidP="007A7272">
      <w:r w:rsidRPr="001A773A">
        <w:t>It has not been proposed to include a description of this study in the PI.</w:t>
      </w:r>
      <w:r w:rsidR="0057702F">
        <w:t xml:space="preserve"> </w:t>
      </w:r>
      <w:r w:rsidRPr="001A773A">
        <w:t>It appears to have been included primarily for assessment of safety.</w:t>
      </w:r>
    </w:p>
    <w:p w14:paraId="387CE028" w14:textId="7A0276A5" w:rsidR="001A773A" w:rsidRPr="001A773A" w:rsidRDefault="001A773A" w:rsidP="007A7272">
      <w:r w:rsidRPr="001A773A">
        <w:t>Study 26593 (ONWARD)</w:t>
      </w:r>
      <w:r w:rsidR="0057702F">
        <w:t xml:space="preserve"> </w:t>
      </w:r>
      <w:r w:rsidRPr="001A773A">
        <w:t>was a Phase IIb, multicentre, randomised double</w:t>
      </w:r>
      <w:r w:rsidR="009C6867">
        <w:t xml:space="preserve"> </w:t>
      </w:r>
      <w:r w:rsidRPr="001A773A">
        <w:t>blind, placebo-controlled, safety, tolerability and efficacy study of add-on cladribine 3.5 mg/kg to IFN</w:t>
      </w:r>
      <w:r w:rsidR="00E13419">
        <w:noBreakHyphen/>
      </w:r>
      <w:r w:rsidRPr="001A773A">
        <w:t>β</w:t>
      </w:r>
      <w:r w:rsidR="00E13419">
        <w:noBreakHyphen/>
      </w:r>
      <w:r w:rsidRPr="001A773A">
        <w:t>1a or β-1b in RMS patients with active disease despite treatment with IFN-β therapy. It is not being proposed that cladribine be given with IFN-β and this study has not been proposed for inclusion in the PI.</w:t>
      </w:r>
      <w:r w:rsidR="0057702F">
        <w:t xml:space="preserve"> </w:t>
      </w:r>
      <w:r w:rsidRPr="001A773A">
        <w:t xml:space="preserve">The primary endpoint was safety and tolerability. All efficacy endpoints were secondary (lesion activity, as measured by MRI, qualifying </w:t>
      </w:r>
      <w:r w:rsidR="005B12D1" w:rsidRPr="001A773A">
        <w:t xml:space="preserve">annualised relapse rates </w:t>
      </w:r>
      <w:r w:rsidR="005B12D1">
        <w:t>(</w:t>
      </w:r>
      <w:r w:rsidRPr="001A773A">
        <w:t>ARR</w:t>
      </w:r>
      <w:r w:rsidR="005B12D1">
        <w:t>)</w:t>
      </w:r>
      <w:r w:rsidRPr="001A773A">
        <w:t xml:space="preserve"> and progression of disability by EDSS).</w:t>
      </w:r>
    </w:p>
    <w:p w14:paraId="29B0280A" w14:textId="4B8E967F" w:rsidR="001A773A" w:rsidRPr="001A773A" w:rsidRDefault="001A773A" w:rsidP="007A7272">
      <w:r w:rsidRPr="001A773A">
        <w:t>There were multiple major protocol changes during the study and it was terminated in October 2011 after all patients had completed the scheduled cladribine/placebo courses. The annualised relapse rate in the cladribine group +</w:t>
      </w:r>
      <w:r w:rsidR="0057702F">
        <w:t xml:space="preserve"> </w:t>
      </w:r>
      <w:r w:rsidRPr="001A773A">
        <w:t>IFN-β</w:t>
      </w:r>
      <w:r w:rsidR="0057702F">
        <w:t xml:space="preserve"> </w:t>
      </w:r>
      <w:r w:rsidRPr="001A773A">
        <w:t>was similar to that seen in the CLARITY study at 0.12.</w:t>
      </w:r>
    </w:p>
    <w:p w14:paraId="65FCC260" w14:textId="59AAAF74" w:rsidR="001A773A" w:rsidRPr="001A773A" w:rsidRDefault="001A773A" w:rsidP="00312285">
      <w:pPr>
        <w:pStyle w:val="Heading4"/>
      </w:pPr>
      <w:r w:rsidRPr="001A773A">
        <w:t>Comparison of efficacy from the efficacy analysis of high disease activity (HDA) subpopulations</w:t>
      </w:r>
    </w:p>
    <w:p w14:paraId="2CB9C64D" w14:textId="77777777" w:rsidR="001A773A" w:rsidRDefault="001A773A" w:rsidP="007A7272">
      <w:r w:rsidRPr="001A773A">
        <w:t>This was a post hoc analysis performed after a recommendation from the CHMP in December 2014.</w:t>
      </w:r>
      <w:r w:rsidR="0057702F">
        <w:t xml:space="preserve"> </w:t>
      </w:r>
      <w:r w:rsidRPr="001A773A">
        <w:t>Criteria were applied in order to retrospectively identify such subjects and evaluate their response to oral cladribine in individual (single trial) and combined (multi-trial) cohorts. The post</w:t>
      </w:r>
      <w:r w:rsidR="009C6867">
        <w:t xml:space="preserve"> </w:t>
      </w:r>
      <w:r w:rsidRPr="001A773A">
        <w:t>hoc analyses were performed on HDA subgroups from the CLARITY and ONWARD studies. HD</w:t>
      </w:r>
      <w:r w:rsidR="0019574F">
        <w:t>A</w:t>
      </w:r>
      <w:r w:rsidRPr="001A773A">
        <w:t xml:space="preserve"> definitions are shown below.</w:t>
      </w:r>
    </w:p>
    <w:p w14:paraId="6DF94140" w14:textId="77777777" w:rsidR="009755CB" w:rsidRDefault="009755CB" w:rsidP="009755CB">
      <w:pPr>
        <w:pStyle w:val="Tabletitle0"/>
      </w:pPr>
      <w:r>
        <w:t xml:space="preserve">Table </w:t>
      </w:r>
      <w:r w:rsidR="009C6867">
        <w:t>7</w:t>
      </w:r>
      <w:r>
        <w:t xml:space="preserve">: </w:t>
      </w:r>
      <w:r w:rsidR="009C6867" w:rsidRPr="001A773A">
        <w:t>HD</w:t>
      </w:r>
      <w:r w:rsidR="0019574F">
        <w:t>A</w:t>
      </w:r>
      <w:r w:rsidR="009C6867" w:rsidRPr="001A773A">
        <w:t xml:space="preserve"> definitions</w:t>
      </w:r>
    </w:p>
    <w:tbl>
      <w:tblPr>
        <w:tblStyle w:val="TableTGAblack"/>
        <w:tblW w:w="8398" w:type="dxa"/>
        <w:tblLayout w:type="fixed"/>
        <w:tblLook w:val="0000" w:firstRow="0" w:lastRow="0" w:firstColumn="0" w:lastColumn="0" w:noHBand="0" w:noVBand="0"/>
      </w:tblPr>
      <w:tblGrid>
        <w:gridCol w:w="4044"/>
        <w:gridCol w:w="1094"/>
        <w:gridCol w:w="992"/>
        <w:gridCol w:w="993"/>
        <w:gridCol w:w="1275"/>
      </w:tblGrid>
      <w:tr w:rsidR="00DE31FA" w:rsidRPr="007A7272" w14:paraId="3C569F0E" w14:textId="77777777" w:rsidTr="00560830">
        <w:trPr>
          <w:cantSplit/>
          <w:trHeight w:val="20"/>
          <w:tblHeader/>
        </w:trPr>
        <w:tc>
          <w:tcPr>
            <w:tcW w:w="4044" w:type="dxa"/>
            <w:vMerge w:val="restart"/>
            <w:shd w:val="clear" w:color="auto" w:fill="0070C0"/>
          </w:tcPr>
          <w:p w14:paraId="2762EF6D" w14:textId="77777777" w:rsidR="00DE31FA" w:rsidRPr="00560830" w:rsidRDefault="00DE31FA" w:rsidP="00560830">
            <w:pPr>
              <w:jc w:val="center"/>
              <w:rPr>
                <w:sz w:val="20"/>
              </w:rPr>
            </w:pPr>
            <w:bookmarkStart w:id="118" w:name="Table_32_Overview_of_HDA_Definitions"/>
            <w:bookmarkEnd w:id="118"/>
            <w:r w:rsidRPr="00560830">
              <w:rPr>
                <w:b/>
                <w:color w:val="FFFFFF" w:themeColor="background1"/>
                <w:sz w:val="20"/>
              </w:rPr>
              <w:t>Definition</w:t>
            </w:r>
          </w:p>
        </w:tc>
        <w:tc>
          <w:tcPr>
            <w:tcW w:w="1094" w:type="dxa"/>
            <w:shd w:val="clear" w:color="auto" w:fill="0070C0"/>
          </w:tcPr>
          <w:p w14:paraId="103746DB" w14:textId="77777777" w:rsidR="00DE31FA" w:rsidRPr="00857251" w:rsidRDefault="00DE31FA" w:rsidP="00560830">
            <w:pPr>
              <w:ind w:left="0"/>
              <w:jc w:val="center"/>
              <w:rPr>
                <w:rFonts w:asciiTheme="minorHAnsi" w:hAnsiTheme="minorHAnsi"/>
                <w:b/>
                <w:color w:val="FFFFFF" w:themeColor="background1"/>
                <w:sz w:val="20"/>
                <w:szCs w:val="20"/>
              </w:rPr>
            </w:pPr>
            <w:r w:rsidRPr="00857251">
              <w:rPr>
                <w:rFonts w:asciiTheme="minorHAnsi" w:hAnsiTheme="minorHAnsi" w:cs="Arial"/>
                <w:b/>
                <w:bCs/>
                <w:color w:val="FFFFFF" w:themeColor="background1"/>
                <w:sz w:val="20"/>
                <w:szCs w:val="20"/>
              </w:rPr>
              <w:t>HDA1</w:t>
            </w:r>
          </w:p>
        </w:tc>
        <w:tc>
          <w:tcPr>
            <w:tcW w:w="992" w:type="dxa"/>
            <w:shd w:val="clear" w:color="auto" w:fill="0070C0"/>
          </w:tcPr>
          <w:p w14:paraId="026BFACC" w14:textId="77777777" w:rsidR="00DE31FA" w:rsidRPr="00857251" w:rsidRDefault="00DE31FA" w:rsidP="00560830">
            <w:pPr>
              <w:ind w:left="0"/>
              <w:jc w:val="center"/>
              <w:rPr>
                <w:rFonts w:asciiTheme="minorHAnsi" w:hAnsiTheme="minorHAnsi"/>
                <w:b/>
                <w:color w:val="FFFFFF" w:themeColor="background1"/>
                <w:sz w:val="20"/>
                <w:szCs w:val="20"/>
              </w:rPr>
            </w:pPr>
            <w:r w:rsidRPr="00857251">
              <w:rPr>
                <w:rFonts w:asciiTheme="minorHAnsi" w:hAnsiTheme="minorHAnsi" w:cs="Arial"/>
                <w:b/>
                <w:bCs/>
                <w:color w:val="FFFFFF" w:themeColor="background1"/>
                <w:sz w:val="20"/>
                <w:szCs w:val="20"/>
              </w:rPr>
              <w:t>HDA2</w:t>
            </w:r>
          </w:p>
        </w:tc>
        <w:tc>
          <w:tcPr>
            <w:tcW w:w="993" w:type="dxa"/>
            <w:shd w:val="clear" w:color="auto" w:fill="0070C0"/>
          </w:tcPr>
          <w:p w14:paraId="09111714" w14:textId="77777777" w:rsidR="00DE31FA" w:rsidRPr="00857251" w:rsidRDefault="00DE31FA" w:rsidP="00560830">
            <w:pPr>
              <w:ind w:left="0"/>
              <w:jc w:val="center"/>
              <w:rPr>
                <w:rFonts w:asciiTheme="minorHAnsi" w:hAnsiTheme="minorHAnsi"/>
                <w:b/>
                <w:color w:val="FFFFFF" w:themeColor="background1"/>
                <w:sz w:val="20"/>
                <w:szCs w:val="20"/>
              </w:rPr>
            </w:pPr>
            <w:r w:rsidRPr="00857251">
              <w:rPr>
                <w:rFonts w:asciiTheme="minorHAnsi" w:hAnsiTheme="minorHAnsi" w:cs="Arial"/>
                <w:b/>
                <w:bCs/>
                <w:color w:val="FFFFFF" w:themeColor="background1"/>
                <w:sz w:val="20"/>
                <w:szCs w:val="20"/>
              </w:rPr>
              <w:t>HDA3</w:t>
            </w:r>
          </w:p>
        </w:tc>
        <w:tc>
          <w:tcPr>
            <w:tcW w:w="1275" w:type="dxa"/>
            <w:shd w:val="clear" w:color="auto" w:fill="0070C0"/>
          </w:tcPr>
          <w:p w14:paraId="288974E8" w14:textId="77777777" w:rsidR="00DE31FA" w:rsidRPr="00857251" w:rsidRDefault="00DE31FA" w:rsidP="00560830">
            <w:pPr>
              <w:ind w:left="0"/>
              <w:jc w:val="center"/>
              <w:rPr>
                <w:rFonts w:asciiTheme="minorHAnsi" w:hAnsiTheme="minorHAnsi"/>
                <w:b/>
                <w:color w:val="FFFFFF" w:themeColor="background1"/>
                <w:sz w:val="20"/>
                <w:szCs w:val="20"/>
              </w:rPr>
            </w:pPr>
            <w:r w:rsidRPr="00857251">
              <w:rPr>
                <w:rFonts w:asciiTheme="minorHAnsi" w:hAnsiTheme="minorHAnsi" w:cs="Arial"/>
                <w:b/>
                <w:bCs/>
                <w:color w:val="FFFFFF" w:themeColor="background1"/>
                <w:sz w:val="20"/>
                <w:szCs w:val="20"/>
              </w:rPr>
              <w:t>HDA4</w:t>
            </w:r>
          </w:p>
        </w:tc>
      </w:tr>
      <w:tr w:rsidR="00DE31FA" w:rsidRPr="007A7272" w14:paraId="38059FAE" w14:textId="77777777" w:rsidTr="00560830">
        <w:trPr>
          <w:cantSplit/>
          <w:trHeight w:val="20"/>
          <w:tblHeader/>
        </w:trPr>
        <w:tc>
          <w:tcPr>
            <w:tcW w:w="4044" w:type="dxa"/>
            <w:vMerge/>
            <w:shd w:val="clear" w:color="auto" w:fill="0070C0"/>
          </w:tcPr>
          <w:p w14:paraId="6220AD75" w14:textId="77777777" w:rsidR="00DE31FA" w:rsidRPr="00857251" w:rsidRDefault="00DE31FA" w:rsidP="005B12D1">
            <w:pPr>
              <w:ind w:left="113"/>
              <w:rPr>
                <w:rFonts w:asciiTheme="minorHAnsi" w:hAnsiTheme="minorHAnsi"/>
                <w:b/>
                <w:color w:val="FFFFFF" w:themeColor="background1"/>
                <w:sz w:val="20"/>
                <w:szCs w:val="20"/>
              </w:rPr>
            </w:pPr>
          </w:p>
        </w:tc>
        <w:tc>
          <w:tcPr>
            <w:tcW w:w="1094" w:type="dxa"/>
            <w:shd w:val="clear" w:color="auto" w:fill="0070C0"/>
          </w:tcPr>
          <w:p w14:paraId="37919F50" w14:textId="77777777" w:rsidR="00DE31FA" w:rsidRPr="00857251" w:rsidRDefault="00DE31FA" w:rsidP="008F78AF">
            <w:pPr>
              <w:ind w:left="0"/>
              <w:jc w:val="center"/>
              <w:rPr>
                <w:rFonts w:asciiTheme="minorHAnsi" w:hAnsiTheme="minorHAnsi"/>
                <w:b/>
                <w:color w:val="FFFFFF" w:themeColor="background1"/>
                <w:sz w:val="20"/>
                <w:szCs w:val="20"/>
              </w:rPr>
            </w:pPr>
            <w:r w:rsidRPr="00857251">
              <w:rPr>
                <w:rFonts w:asciiTheme="minorHAnsi" w:hAnsiTheme="minorHAnsi" w:cs="Arial"/>
                <w:b/>
                <w:bCs/>
                <w:color w:val="FFFFFF" w:themeColor="background1"/>
                <w:sz w:val="20"/>
                <w:szCs w:val="20"/>
              </w:rPr>
              <w:t>A and/or C</w:t>
            </w:r>
          </w:p>
        </w:tc>
        <w:tc>
          <w:tcPr>
            <w:tcW w:w="992" w:type="dxa"/>
            <w:shd w:val="clear" w:color="auto" w:fill="0070C0"/>
          </w:tcPr>
          <w:p w14:paraId="655C1F7D" w14:textId="77777777" w:rsidR="00DE31FA" w:rsidRPr="00857251" w:rsidRDefault="00DE31FA" w:rsidP="008F78AF">
            <w:pPr>
              <w:ind w:left="0"/>
              <w:jc w:val="center"/>
              <w:rPr>
                <w:rFonts w:asciiTheme="minorHAnsi" w:hAnsiTheme="minorHAnsi"/>
                <w:b/>
                <w:color w:val="FFFFFF" w:themeColor="background1"/>
                <w:sz w:val="20"/>
                <w:szCs w:val="20"/>
              </w:rPr>
            </w:pPr>
            <w:r w:rsidRPr="00857251">
              <w:rPr>
                <w:rFonts w:asciiTheme="minorHAnsi" w:hAnsiTheme="minorHAnsi" w:cs="Arial"/>
                <w:b/>
                <w:bCs/>
                <w:color w:val="FFFFFF" w:themeColor="background1"/>
                <w:w w:val="99"/>
                <w:sz w:val="20"/>
                <w:szCs w:val="20"/>
              </w:rPr>
              <w:t>D</w:t>
            </w:r>
          </w:p>
        </w:tc>
        <w:tc>
          <w:tcPr>
            <w:tcW w:w="993" w:type="dxa"/>
            <w:shd w:val="clear" w:color="auto" w:fill="0070C0"/>
          </w:tcPr>
          <w:p w14:paraId="60CD8AEF" w14:textId="77777777" w:rsidR="00DE31FA" w:rsidRPr="00857251" w:rsidRDefault="00DE31FA" w:rsidP="008F78AF">
            <w:pPr>
              <w:ind w:left="0"/>
              <w:jc w:val="center"/>
              <w:rPr>
                <w:rFonts w:asciiTheme="minorHAnsi" w:hAnsiTheme="minorHAnsi"/>
                <w:b/>
                <w:color w:val="FFFFFF" w:themeColor="background1"/>
                <w:sz w:val="20"/>
                <w:szCs w:val="20"/>
              </w:rPr>
            </w:pPr>
            <w:r w:rsidRPr="00857251">
              <w:rPr>
                <w:rFonts w:asciiTheme="minorHAnsi" w:hAnsiTheme="minorHAnsi" w:cs="Arial"/>
                <w:b/>
                <w:bCs/>
                <w:color w:val="FFFFFF" w:themeColor="background1"/>
                <w:sz w:val="20"/>
                <w:szCs w:val="20"/>
              </w:rPr>
              <w:t>B and D</w:t>
            </w:r>
          </w:p>
        </w:tc>
        <w:tc>
          <w:tcPr>
            <w:tcW w:w="1275" w:type="dxa"/>
            <w:shd w:val="clear" w:color="auto" w:fill="0070C0"/>
          </w:tcPr>
          <w:p w14:paraId="6F80B751" w14:textId="77777777" w:rsidR="00DE31FA" w:rsidRPr="00857251" w:rsidRDefault="00DE31FA" w:rsidP="008F78AF">
            <w:pPr>
              <w:ind w:left="0"/>
              <w:jc w:val="center"/>
              <w:rPr>
                <w:rFonts w:asciiTheme="minorHAnsi" w:hAnsiTheme="minorHAnsi"/>
                <w:b/>
                <w:color w:val="FFFFFF" w:themeColor="background1"/>
                <w:sz w:val="20"/>
                <w:szCs w:val="20"/>
              </w:rPr>
            </w:pPr>
            <w:r w:rsidRPr="00857251">
              <w:rPr>
                <w:rFonts w:asciiTheme="minorHAnsi" w:hAnsiTheme="minorHAnsi" w:cs="Arial"/>
                <w:b/>
                <w:bCs/>
                <w:color w:val="FFFFFF" w:themeColor="background1"/>
                <w:sz w:val="20"/>
                <w:szCs w:val="20"/>
              </w:rPr>
              <w:t>A and/or D</w:t>
            </w:r>
          </w:p>
        </w:tc>
      </w:tr>
      <w:tr w:rsidR="00DE31FA" w:rsidRPr="007A7272" w14:paraId="611664E4" w14:textId="77777777" w:rsidTr="00560830">
        <w:trPr>
          <w:trHeight w:val="20"/>
        </w:trPr>
        <w:tc>
          <w:tcPr>
            <w:tcW w:w="4044" w:type="dxa"/>
          </w:tcPr>
          <w:p w14:paraId="7F56A09F" w14:textId="38305809" w:rsidR="00DE31FA" w:rsidRPr="00560830" w:rsidRDefault="00DE31FA" w:rsidP="00560830">
            <w:pPr>
              <w:rPr>
                <w:sz w:val="20"/>
              </w:rPr>
            </w:pPr>
            <w:r w:rsidRPr="00560830">
              <w:rPr>
                <w:sz w:val="20"/>
              </w:rPr>
              <w:t>A. Subjects with ≥1 relapse in previous year while on DMD therapy and ≥1 T1 Gd+ or</w:t>
            </w:r>
            <w:r w:rsidR="00EB31A5" w:rsidRPr="00560830">
              <w:rPr>
                <w:sz w:val="20"/>
              </w:rPr>
              <w:t xml:space="preserve"> </w:t>
            </w:r>
            <w:r w:rsidRPr="00560830">
              <w:rPr>
                <w:sz w:val="20"/>
              </w:rPr>
              <w:t>≥</w:t>
            </w:r>
            <w:r w:rsidR="00EB31A5" w:rsidRPr="00560830">
              <w:rPr>
                <w:sz w:val="20"/>
              </w:rPr>
              <w:t> </w:t>
            </w:r>
            <w:r w:rsidRPr="00560830">
              <w:rPr>
                <w:sz w:val="20"/>
              </w:rPr>
              <w:t>9 T2 lesions</w:t>
            </w:r>
          </w:p>
        </w:tc>
        <w:tc>
          <w:tcPr>
            <w:tcW w:w="1094" w:type="dxa"/>
          </w:tcPr>
          <w:p w14:paraId="395CE97A" w14:textId="77777777" w:rsidR="00DE31FA" w:rsidRPr="007A7272" w:rsidRDefault="00DE31FA" w:rsidP="008F78AF">
            <w:pPr>
              <w:ind w:left="113"/>
              <w:jc w:val="center"/>
              <w:rPr>
                <w:rFonts w:asciiTheme="minorHAnsi" w:hAnsiTheme="minorHAnsi"/>
                <w:sz w:val="20"/>
                <w:szCs w:val="20"/>
              </w:rPr>
            </w:pPr>
            <w:r w:rsidRPr="007A7272">
              <w:rPr>
                <w:rFonts w:asciiTheme="minorHAnsi" w:hAnsiTheme="minorHAnsi" w:cs="Arial"/>
                <w:sz w:val="20"/>
                <w:szCs w:val="20"/>
              </w:rPr>
              <w:t>√</w:t>
            </w:r>
          </w:p>
        </w:tc>
        <w:tc>
          <w:tcPr>
            <w:tcW w:w="992" w:type="dxa"/>
          </w:tcPr>
          <w:p w14:paraId="3C75AE95" w14:textId="77777777" w:rsidR="00DE31FA" w:rsidRPr="007A7272" w:rsidRDefault="00DE31FA" w:rsidP="008F78AF">
            <w:pPr>
              <w:ind w:left="113"/>
              <w:jc w:val="center"/>
              <w:rPr>
                <w:rFonts w:asciiTheme="minorHAnsi" w:hAnsiTheme="minorHAnsi"/>
                <w:sz w:val="20"/>
                <w:szCs w:val="20"/>
              </w:rPr>
            </w:pPr>
          </w:p>
        </w:tc>
        <w:tc>
          <w:tcPr>
            <w:tcW w:w="993" w:type="dxa"/>
          </w:tcPr>
          <w:p w14:paraId="09B76BFD" w14:textId="77777777" w:rsidR="00DE31FA" w:rsidRPr="007A7272" w:rsidRDefault="00DE31FA" w:rsidP="008F78AF">
            <w:pPr>
              <w:ind w:left="113"/>
              <w:jc w:val="center"/>
              <w:rPr>
                <w:rFonts w:asciiTheme="minorHAnsi" w:hAnsiTheme="minorHAnsi"/>
                <w:sz w:val="20"/>
                <w:szCs w:val="20"/>
              </w:rPr>
            </w:pPr>
          </w:p>
        </w:tc>
        <w:tc>
          <w:tcPr>
            <w:tcW w:w="1275" w:type="dxa"/>
          </w:tcPr>
          <w:p w14:paraId="5CB684ED" w14:textId="77777777" w:rsidR="00DE31FA" w:rsidRPr="007A7272" w:rsidRDefault="00DE31FA" w:rsidP="008F78AF">
            <w:pPr>
              <w:ind w:left="113"/>
              <w:jc w:val="center"/>
              <w:rPr>
                <w:rFonts w:asciiTheme="minorHAnsi" w:hAnsiTheme="minorHAnsi"/>
                <w:sz w:val="20"/>
                <w:szCs w:val="20"/>
              </w:rPr>
            </w:pPr>
            <w:r w:rsidRPr="007A7272">
              <w:rPr>
                <w:rFonts w:asciiTheme="minorHAnsi" w:hAnsiTheme="minorHAnsi" w:cs="Arial"/>
                <w:sz w:val="20"/>
                <w:szCs w:val="20"/>
              </w:rPr>
              <w:t>√</w:t>
            </w:r>
          </w:p>
        </w:tc>
      </w:tr>
      <w:tr w:rsidR="00DE31FA" w:rsidRPr="007A7272" w14:paraId="3EC5EFC3" w14:textId="77777777" w:rsidTr="00560830">
        <w:trPr>
          <w:trHeight w:val="20"/>
        </w:trPr>
        <w:tc>
          <w:tcPr>
            <w:tcW w:w="4044" w:type="dxa"/>
          </w:tcPr>
          <w:p w14:paraId="33297524" w14:textId="77777777" w:rsidR="00DE31FA" w:rsidRPr="00560830" w:rsidRDefault="00DE31FA" w:rsidP="00560830">
            <w:pPr>
              <w:rPr>
                <w:sz w:val="20"/>
              </w:rPr>
            </w:pPr>
            <w:r w:rsidRPr="00560830">
              <w:rPr>
                <w:sz w:val="20"/>
              </w:rPr>
              <w:t>B. ≥1 T1 Gd+ or ≥9 T2 lesions</w:t>
            </w:r>
          </w:p>
        </w:tc>
        <w:tc>
          <w:tcPr>
            <w:tcW w:w="1094" w:type="dxa"/>
          </w:tcPr>
          <w:p w14:paraId="587FB8A6" w14:textId="77777777" w:rsidR="00DE31FA" w:rsidRPr="007A7272" w:rsidRDefault="00DE31FA" w:rsidP="008F78AF">
            <w:pPr>
              <w:ind w:left="113"/>
              <w:jc w:val="center"/>
              <w:rPr>
                <w:rFonts w:asciiTheme="minorHAnsi" w:hAnsiTheme="minorHAnsi"/>
                <w:sz w:val="20"/>
                <w:szCs w:val="20"/>
              </w:rPr>
            </w:pPr>
          </w:p>
        </w:tc>
        <w:tc>
          <w:tcPr>
            <w:tcW w:w="992" w:type="dxa"/>
          </w:tcPr>
          <w:p w14:paraId="36DB9897" w14:textId="77777777" w:rsidR="00DE31FA" w:rsidRPr="007A7272" w:rsidRDefault="00DE31FA" w:rsidP="008F78AF">
            <w:pPr>
              <w:ind w:left="113"/>
              <w:jc w:val="center"/>
              <w:rPr>
                <w:rFonts w:asciiTheme="minorHAnsi" w:hAnsiTheme="minorHAnsi"/>
                <w:sz w:val="20"/>
                <w:szCs w:val="20"/>
              </w:rPr>
            </w:pPr>
          </w:p>
        </w:tc>
        <w:tc>
          <w:tcPr>
            <w:tcW w:w="993" w:type="dxa"/>
          </w:tcPr>
          <w:p w14:paraId="21799BFE" w14:textId="77777777" w:rsidR="00DE31FA" w:rsidRPr="007A7272" w:rsidRDefault="00DE31FA" w:rsidP="008F78AF">
            <w:pPr>
              <w:ind w:left="113"/>
              <w:jc w:val="center"/>
              <w:rPr>
                <w:rFonts w:asciiTheme="minorHAnsi" w:hAnsiTheme="minorHAnsi"/>
                <w:sz w:val="20"/>
                <w:szCs w:val="20"/>
              </w:rPr>
            </w:pPr>
            <w:r w:rsidRPr="007A7272">
              <w:rPr>
                <w:rFonts w:asciiTheme="minorHAnsi" w:hAnsiTheme="minorHAnsi" w:cs="Arial"/>
                <w:sz w:val="20"/>
                <w:szCs w:val="20"/>
              </w:rPr>
              <w:t>√</w:t>
            </w:r>
          </w:p>
        </w:tc>
        <w:tc>
          <w:tcPr>
            <w:tcW w:w="1275" w:type="dxa"/>
          </w:tcPr>
          <w:p w14:paraId="51622F85" w14:textId="77777777" w:rsidR="00DE31FA" w:rsidRPr="007A7272" w:rsidRDefault="00DE31FA" w:rsidP="008F78AF">
            <w:pPr>
              <w:ind w:left="113"/>
              <w:jc w:val="center"/>
              <w:rPr>
                <w:rFonts w:asciiTheme="minorHAnsi" w:hAnsiTheme="minorHAnsi"/>
                <w:sz w:val="20"/>
                <w:szCs w:val="20"/>
              </w:rPr>
            </w:pPr>
          </w:p>
        </w:tc>
      </w:tr>
      <w:tr w:rsidR="00DE31FA" w:rsidRPr="007A7272" w14:paraId="2FEF91BF" w14:textId="77777777" w:rsidTr="00560830">
        <w:trPr>
          <w:trHeight w:val="20"/>
        </w:trPr>
        <w:tc>
          <w:tcPr>
            <w:tcW w:w="4044" w:type="dxa"/>
          </w:tcPr>
          <w:p w14:paraId="4A8BDBA3" w14:textId="04CCE0EE" w:rsidR="00DE31FA" w:rsidRPr="00560830" w:rsidRDefault="00DE31FA" w:rsidP="00560830">
            <w:pPr>
              <w:rPr>
                <w:sz w:val="20"/>
              </w:rPr>
            </w:pPr>
            <w:r w:rsidRPr="00560830">
              <w:rPr>
                <w:sz w:val="20"/>
              </w:rPr>
              <w:t xml:space="preserve">C. Subjects with ≥2 relapses (no prior use of DMD at any time in subject's history or duration of previous DMD </w:t>
            </w:r>
            <w:r w:rsidRPr="00560830">
              <w:rPr>
                <w:sz w:val="20"/>
              </w:rPr>
              <w:lastRenderedPageBreak/>
              <w:t>therapy &lt;</w:t>
            </w:r>
            <w:r w:rsidR="00EB31A5">
              <w:rPr>
                <w:sz w:val="20"/>
              </w:rPr>
              <w:t xml:space="preserve"> </w:t>
            </w:r>
            <w:r w:rsidRPr="00560830">
              <w:rPr>
                <w:sz w:val="20"/>
              </w:rPr>
              <w:t>1 year) and at least 1 T1 Gd+ lesion</w:t>
            </w:r>
          </w:p>
        </w:tc>
        <w:tc>
          <w:tcPr>
            <w:tcW w:w="1094" w:type="dxa"/>
          </w:tcPr>
          <w:p w14:paraId="7275E736" w14:textId="77777777" w:rsidR="00DE31FA" w:rsidRPr="007A7272" w:rsidRDefault="00DE31FA" w:rsidP="008F78AF">
            <w:pPr>
              <w:ind w:left="113"/>
              <w:jc w:val="center"/>
              <w:rPr>
                <w:rFonts w:asciiTheme="minorHAnsi" w:hAnsiTheme="minorHAnsi"/>
                <w:sz w:val="20"/>
                <w:szCs w:val="20"/>
              </w:rPr>
            </w:pPr>
          </w:p>
          <w:p w14:paraId="3033EB25" w14:textId="77777777" w:rsidR="00DE31FA" w:rsidRPr="007A7272" w:rsidRDefault="00DE31FA" w:rsidP="008F78AF">
            <w:pPr>
              <w:ind w:left="113"/>
              <w:jc w:val="center"/>
              <w:rPr>
                <w:rFonts w:asciiTheme="minorHAnsi" w:hAnsiTheme="minorHAnsi"/>
                <w:sz w:val="20"/>
                <w:szCs w:val="20"/>
              </w:rPr>
            </w:pPr>
            <w:r w:rsidRPr="007A7272">
              <w:rPr>
                <w:rFonts w:asciiTheme="minorHAnsi" w:hAnsiTheme="minorHAnsi" w:cs="Arial"/>
                <w:sz w:val="20"/>
                <w:szCs w:val="20"/>
              </w:rPr>
              <w:t>√</w:t>
            </w:r>
          </w:p>
        </w:tc>
        <w:tc>
          <w:tcPr>
            <w:tcW w:w="992" w:type="dxa"/>
          </w:tcPr>
          <w:p w14:paraId="52D0ACE7" w14:textId="77777777" w:rsidR="00DE31FA" w:rsidRPr="007A7272" w:rsidRDefault="00DE31FA" w:rsidP="008F78AF">
            <w:pPr>
              <w:ind w:left="113"/>
              <w:jc w:val="center"/>
              <w:rPr>
                <w:rFonts w:asciiTheme="minorHAnsi" w:hAnsiTheme="minorHAnsi"/>
                <w:sz w:val="20"/>
                <w:szCs w:val="20"/>
              </w:rPr>
            </w:pPr>
          </w:p>
        </w:tc>
        <w:tc>
          <w:tcPr>
            <w:tcW w:w="993" w:type="dxa"/>
          </w:tcPr>
          <w:p w14:paraId="2A85F82E" w14:textId="77777777" w:rsidR="00DE31FA" w:rsidRPr="007A7272" w:rsidRDefault="00DE31FA" w:rsidP="008F78AF">
            <w:pPr>
              <w:ind w:left="113"/>
              <w:jc w:val="center"/>
              <w:rPr>
                <w:rFonts w:asciiTheme="minorHAnsi" w:hAnsiTheme="minorHAnsi"/>
                <w:sz w:val="20"/>
                <w:szCs w:val="20"/>
              </w:rPr>
            </w:pPr>
          </w:p>
        </w:tc>
        <w:tc>
          <w:tcPr>
            <w:tcW w:w="1275" w:type="dxa"/>
          </w:tcPr>
          <w:p w14:paraId="708EC384" w14:textId="77777777" w:rsidR="00DE31FA" w:rsidRPr="007A7272" w:rsidRDefault="00DE31FA" w:rsidP="008F78AF">
            <w:pPr>
              <w:ind w:left="113"/>
              <w:jc w:val="center"/>
              <w:rPr>
                <w:rFonts w:asciiTheme="minorHAnsi" w:hAnsiTheme="minorHAnsi"/>
                <w:sz w:val="20"/>
                <w:szCs w:val="20"/>
              </w:rPr>
            </w:pPr>
          </w:p>
        </w:tc>
      </w:tr>
      <w:tr w:rsidR="00DE31FA" w:rsidRPr="007A7272" w14:paraId="0BCFB782" w14:textId="77777777" w:rsidTr="00560830">
        <w:trPr>
          <w:trHeight w:val="20"/>
        </w:trPr>
        <w:tc>
          <w:tcPr>
            <w:tcW w:w="4044" w:type="dxa"/>
          </w:tcPr>
          <w:p w14:paraId="14B70A5B" w14:textId="0D70C52D" w:rsidR="00DE31FA" w:rsidRPr="00560830" w:rsidRDefault="00DE31FA" w:rsidP="00560830">
            <w:pPr>
              <w:rPr>
                <w:sz w:val="20"/>
              </w:rPr>
            </w:pPr>
            <w:r w:rsidRPr="00560830">
              <w:rPr>
                <w:sz w:val="20"/>
              </w:rPr>
              <w:lastRenderedPageBreak/>
              <w:t>D. Subjects with ≥</w:t>
            </w:r>
            <w:r w:rsidR="00EB31A5" w:rsidRPr="00560830">
              <w:rPr>
                <w:sz w:val="20"/>
              </w:rPr>
              <w:t xml:space="preserve"> </w:t>
            </w:r>
            <w:r w:rsidRPr="00560830">
              <w:rPr>
                <w:sz w:val="20"/>
              </w:rPr>
              <w:t>2 relapses in previous year regardless of treatment status</w:t>
            </w:r>
          </w:p>
        </w:tc>
        <w:tc>
          <w:tcPr>
            <w:tcW w:w="1094" w:type="dxa"/>
          </w:tcPr>
          <w:p w14:paraId="4D1500DA" w14:textId="77777777" w:rsidR="00DE31FA" w:rsidRPr="007A7272" w:rsidRDefault="00DE31FA" w:rsidP="008F78AF">
            <w:pPr>
              <w:ind w:left="113"/>
              <w:jc w:val="center"/>
              <w:rPr>
                <w:rFonts w:asciiTheme="minorHAnsi" w:hAnsiTheme="minorHAnsi"/>
                <w:sz w:val="20"/>
                <w:szCs w:val="20"/>
              </w:rPr>
            </w:pPr>
          </w:p>
        </w:tc>
        <w:tc>
          <w:tcPr>
            <w:tcW w:w="992" w:type="dxa"/>
          </w:tcPr>
          <w:p w14:paraId="39CE8316" w14:textId="77777777" w:rsidR="00DE31FA" w:rsidRPr="007A7272" w:rsidRDefault="00DE31FA" w:rsidP="008F78AF">
            <w:pPr>
              <w:ind w:left="113"/>
              <w:jc w:val="center"/>
              <w:rPr>
                <w:rFonts w:asciiTheme="minorHAnsi" w:hAnsiTheme="minorHAnsi"/>
                <w:sz w:val="20"/>
                <w:szCs w:val="20"/>
              </w:rPr>
            </w:pPr>
            <w:r w:rsidRPr="007A7272">
              <w:rPr>
                <w:rFonts w:asciiTheme="minorHAnsi" w:hAnsiTheme="minorHAnsi" w:cs="Arial"/>
                <w:sz w:val="20"/>
                <w:szCs w:val="20"/>
              </w:rPr>
              <w:t>√</w:t>
            </w:r>
          </w:p>
        </w:tc>
        <w:tc>
          <w:tcPr>
            <w:tcW w:w="993" w:type="dxa"/>
          </w:tcPr>
          <w:p w14:paraId="4287BF4E" w14:textId="77777777" w:rsidR="00DE31FA" w:rsidRPr="007A7272" w:rsidRDefault="00DE31FA" w:rsidP="008F78AF">
            <w:pPr>
              <w:ind w:left="113"/>
              <w:jc w:val="center"/>
              <w:rPr>
                <w:rFonts w:asciiTheme="minorHAnsi" w:hAnsiTheme="minorHAnsi"/>
                <w:sz w:val="20"/>
                <w:szCs w:val="20"/>
              </w:rPr>
            </w:pPr>
            <w:r w:rsidRPr="007A7272">
              <w:rPr>
                <w:rFonts w:asciiTheme="minorHAnsi" w:hAnsiTheme="minorHAnsi" w:cs="Arial"/>
                <w:sz w:val="20"/>
                <w:szCs w:val="20"/>
              </w:rPr>
              <w:t>√</w:t>
            </w:r>
          </w:p>
        </w:tc>
        <w:tc>
          <w:tcPr>
            <w:tcW w:w="1275" w:type="dxa"/>
          </w:tcPr>
          <w:p w14:paraId="6CC2E4C8" w14:textId="77777777" w:rsidR="00DE31FA" w:rsidRPr="007A7272" w:rsidRDefault="00DE31FA" w:rsidP="008F78AF">
            <w:pPr>
              <w:ind w:left="113"/>
              <w:jc w:val="center"/>
              <w:rPr>
                <w:rFonts w:asciiTheme="minorHAnsi" w:hAnsiTheme="minorHAnsi"/>
                <w:sz w:val="20"/>
                <w:szCs w:val="20"/>
              </w:rPr>
            </w:pPr>
            <w:r w:rsidRPr="007A7272">
              <w:rPr>
                <w:rFonts w:asciiTheme="minorHAnsi" w:hAnsiTheme="minorHAnsi" w:cs="Arial"/>
                <w:sz w:val="20"/>
                <w:szCs w:val="20"/>
              </w:rPr>
              <w:t>√</w:t>
            </w:r>
          </w:p>
        </w:tc>
      </w:tr>
    </w:tbl>
    <w:p w14:paraId="3ABFAA9A" w14:textId="77777777" w:rsidR="001A773A" w:rsidRPr="00DE31FA" w:rsidRDefault="001A773A" w:rsidP="00DE31FA">
      <w:pPr>
        <w:pStyle w:val="TableDescription"/>
      </w:pPr>
      <w:r w:rsidRPr="00DE31FA">
        <w:t>DMD=disease modifying drugs; Gd+=gadolinium enhanced; HDA=high disease activity.</w:t>
      </w:r>
    </w:p>
    <w:p w14:paraId="6600AE82" w14:textId="77777777" w:rsidR="001A773A" w:rsidRDefault="001A773A" w:rsidP="00312285">
      <w:pPr>
        <w:pStyle w:val="TableDescription"/>
      </w:pPr>
      <w:r w:rsidRPr="00DE31FA">
        <w:t xml:space="preserve">All HDA analyses have been conducted as post-hoc analyses and statistical tests were not corrected for multiplicity. Based on this, all </w:t>
      </w:r>
      <w:r w:rsidRPr="00312285">
        <w:t>statistical</w:t>
      </w:r>
      <w:r w:rsidRPr="00DE31FA">
        <w:t xml:space="preserve"> results in the HDA analyses should be interpreted as being nominally significant.</w:t>
      </w:r>
    </w:p>
    <w:p w14:paraId="4333A5E4" w14:textId="77777777" w:rsidR="001A773A" w:rsidRDefault="001A773A" w:rsidP="001A773A">
      <w:r w:rsidRPr="001A773A">
        <w:t>The EDS scores at baseline in these various HDA subgroups were similar to the whole study population.</w:t>
      </w:r>
      <w:r w:rsidR="0057702F">
        <w:t xml:space="preserve"> </w:t>
      </w:r>
      <w:r w:rsidRPr="001A773A">
        <w:t xml:space="preserve">Mean disease duration was </w:t>
      </w:r>
      <w:r w:rsidR="005B12D1">
        <w:t>approximately</w:t>
      </w:r>
      <w:r w:rsidRPr="001A773A">
        <w:t xml:space="preserve"> 5 years and mean age was mid to late 30s.</w:t>
      </w:r>
      <w:r w:rsidR="0057702F">
        <w:t xml:space="preserve"> </w:t>
      </w:r>
      <w:r w:rsidRPr="001A773A">
        <w:t>The ARR</w:t>
      </w:r>
      <w:r w:rsidR="005B12D1">
        <w:t xml:space="preserve">s </w:t>
      </w:r>
      <w:r w:rsidRPr="001A773A">
        <w:t>for non HDA patients and each of the HAD subgroups in CLARITY is shown below.</w:t>
      </w:r>
    </w:p>
    <w:p w14:paraId="2F6FEE8D" w14:textId="77777777" w:rsidR="009755CB" w:rsidRDefault="009755CB" w:rsidP="009755CB">
      <w:pPr>
        <w:pStyle w:val="Tabletitle0"/>
      </w:pPr>
      <w:r>
        <w:t xml:space="preserve">Table 6: </w:t>
      </w:r>
      <w:r w:rsidR="005B12D1" w:rsidRPr="005B12D1">
        <w:t>HAD definitions</w:t>
      </w:r>
    </w:p>
    <w:tbl>
      <w:tblPr>
        <w:tblW w:w="9257" w:type="dxa"/>
        <w:tblInd w:w="112" w:type="dxa"/>
        <w:tblLayout w:type="fixed"/>
        <w:tblCellMar>
          <w:left w:w="0" w:type="dxa"/>
          <w:right w:w="0" w:type="dxa"/>
        </w:tblCellMar>
        <w:tblLook w:val="0000" w:firstRow="0" w:lastRow="0" w:firstColumn="0" w:lastColumn="0" w:noHBand="0" w:noVBand="0"/>
      </w:tblPr>
      <w:tblGrid>
        <w:gridCol w:w="1008"/>
        <w:gridCol w:w="939"/>
        <w:gridCol w:w="908"/>
        <w:gridCol w:w="975"/>
        <w:gridCol w:w="907"/>
        <w:gridCol w:w="994"/>
        <w:gridCol w:w="736"/>
        <w:gridCol w:w="939"/>
        <w:gridCol w:w="851"/>
        <w:gridCol w:w="1000"/>
      </w:tblGrid>
      <w:tr w:rsidR="006A1D47" w:rsidRPr="00A83196" w14:paraId="2D6654CC" w14:textId="77777777" w:rsidTr="00560830">
        <w:trPr>
          <w:cantSplit/>
          <w:trHeight w:val="20"/>
          <w:tblHeader/>
        </w:trPr>
        <w:tc>
          <w:tcPr>
            <w:tcW w:w="1008" w:type="dxa"/>
            <w:tcBorders>
              <w:top w:val="single" w:sz="4" w:space="0" w:color="000000"/>
              <w:left w:val="single" w:sz="4" w:space="0" w:color="000000"/>
              <w:bottom w:val="single" w:sz="4" w:space="0" w:color="000000"/>
              <w:right w:val="single" w:sz="4" w:space="0" w:color="000000"/>
            </w:tcBorders>
            <w:shd w:val="clear" w:color="auto" w:fill="0070C0"/>
          </w:tcPr>
          <w:p w14:paraId="741F5F13" w14:textId="77777777" w:rsidR="00DE31FA" w:rsidRPr="00312285" w:rsidRDefault="00DE31FA" w:rsidP="00312285">
            <w:pPr>
              <w:pStyle w:val="TableTitle"/>
            </w:pPr>
            <w:r w:rsidRPr="00312285">
              <w:t>DB CLARITY</w:t>
            </w:r>
          </w:p>
        </w:tc>
        <w:tc>
          <w:tcPr>
            <w:tcW w:w="939" w:type="dxa"/>
            <w:tcBorders>
              <w:top w:val="single" w:sz="4" w:space="0" w:color="000000"/>
              <w:left w:val="single" w:sz="4" w:space="0" w:color="000000"/>
              <w:bottom w:val="single" w:sz="4" w:space="0" w:color="000000"/>
              <w:right w:val="single" w:sz="4" w:space="0" w:color="000000"/>
            </w:tcBorders>
            <w:shd w:val="clear" w:color="auto" w:fill="0070C0"/>
          </w:tcPr>
          <w:p w14:paraId="728F6385" w14:textId="3A3A4D85" w:rsidR="00DE31FA" w:rsidRPr="00312285" w:rsidRDefault="00DE31FA" w:rsidP="00312285">
            <w:pPr>
              <w:pStyle w:val="TableTitle"/>
            </w:pPr>
            <w:r w:rsidRPr="00312285">
              <w:t>Overall N</w:t>
            </w:r>
            <w:r w:rsidR="0047606A" w:rsidRPr="00312285">
              <w:t> </w:t>
            </w:r>
            <w:r w:rsidRPr="00312285">
              <w:t>=</w:t>
            </w:r>
            <w:r w:rsidR="0047606A" w:rsidRPr="00312285">
              <w:t> </w:t>
            </w:r>
            <w:r w:rsidRPr="00312285">
              <w:t>437</w:t>
            </w:r>
          </w:p>
        </w:tc>
        <w:tc>
          <w:tcPr>
            <w:tcW w:w="908" w:type="dxa"/>
            <w:tcBorders>
              <w:top w:val="single" w:sz="4" w:space="0" w:color="000000"/>
              <w:left w:val="single" w:sz="4" w:space="0" w:color="000000"/>
              <w:bottom w:val="single" w:sz="4" w:space="0" w:color="000000"/>
              <w:right w:val="single" w:sz="4" w:space="0" w:color="000000"/>
            </w:tcBorders>
            <w:shd w:val="clear" w:color="auto" w:fill="0070C0"/>
          </w:tcPr>
          <w:p w14:paraId="01E9DCD5" w14:textId="206122DD" w:rsidR="00DE31FA" w:rsidRPr="00312285" w:rsidRDefault="00DE31FA" w:rsidP="00312285">
            <w:pPr>
              <w:pStyle w:val="TableTitle"/>
            </w:pPr>
            <w:r w:rsidRPr="00312285">
              <w:t>HDA1 N</w:t>
            </w:r>
            <w:r w:rsidR="0047606A" w:rsidRPr="00312285">
              <w:t> </w:t>
            </w:r>
            <w:r w:rsidRPr="00312285">
              <w:t>=</w:t>
            </w:r>
            <w:r w:rsidR="0047606A" w:rsidRPr="00312285">
              <w:t> </w:t>
            </w:r>
            <w:r w:rsidRPr="00312285">
              <w:t>67</w:t>
            </w:r>
          </w:p>
        </w:tc>
        <w:tc>
          <w:tcPr>
            <w:tcW w:w="975" w:type="dxa"/>
            <w:tcBorders>
              <w:top w:val="single" w:sz="4" w:space="0" w:color="000000"/>
              <w:left w:val="single" w:sz="4" w:space="0" w:color="000000"/>
              <w:bottom w:val="single" w:sz="4" w:space="0" w:color="000000"/>
              <w:right w:val="single" w:sz="4" w:space="0" w:color="000000"/>
            </w:tcBorders>
            <w:shd w:val="clear" w:color="auto" w:fill="0070C0"/>
          </w:tcPr>
          <w:p w14:paraId="03C98012" w14:textId="31AE1934" w:rsidR="00DE31FA" w:rsidRPr="00312285" w:rsidRDefault="00DE31FA" w:rsidP="00312285">
            <w:pPr>
              <w:pStyle w:val="TableTitle"/>
            </w:pPr>
            <w:r w:rsidRPr="00312285">
              <w:t>Non-HDA1 N</w:t>
            </w:r>
            <w:r w:rsidR="0047606A" w:rsidRPr="00312285">
              <w:t> </w:t>
            </w:r>
            <w:r w:rsidRPr="00312285">
              <w:t>=</w:t>
            </w:r>
            <w:r w:rsidR="0047606A" w:rsidRPr="00312285">
              <w:t> </w:t>
            </w:r>
            <w:r w:rsidRPr="00312285">
              <w:t>370</w:t>
            </w:r>
          </w:p>
        </w:tc>
        <w:tc>
          <w:tcPr>
            <w:tcW w:w="907" w:type="dxa"/>
            <w:tcBorders>
              <w:top w:val="single" w:sz="4" w:space="0" w:color="000000"/>
              <w:left w:val="single" w:sz="4" w:space="0" w:color="000000"/>
              <w:bottom w:val="single" w:sz="4" w:space="0" w:color="000000"/>
              <w:right w:val="single" w:sz="4" w:space="0" w:color="000000"/>
            </w:tcBorders>
            <w:shd w:val="clear" w:color="auto" w:fill="0070C0"/>
          </w:tcPr>
          <w:p w14:paraId="6442D7DB" w14:textId="77DAF077" w:rsidR="00DE31FA" w:rsidRPr="00312285" w:rsidRDefault="00DE31FA" w:rsidP="00312285">
            <w:pPr>
              <w:pStyle w:val="TableTitle"/>
            </w:pPr>
            <w:r w:rsidRPr="00312285">
              <w:t>HDA2 N</w:t>
            </w:r>
            <w:r w:rsidR="0047606A" w:rsidRPr="00312285">
              <w:t> </w:t>
            </w:r>
            <w:r w:rsidRPr="00312285">
              <w:t>=</w:t>
            </w:r>
            <w:r w:rsidR="0047606A" w:rsidRPr="00312285">
              <w:t> </w:t>
            </w:r>
            <w:r w:rsidRPr="00312285">
              <w:t>131</w:t>
            </w:r>
          </w:p>
        </w:tc>
        <w:tc>
          <w:tcPr>
            <w:tcW w:w="994" w:type="dxa"/>
            <w:tcBorders>
              <w:top w:val="single" w:sz="4" w:space="0" w:color="000000"/>
              <w:left w:val="single" w:sz="4" w:space="0" w:color="000000"/>
              <w:bottom w:val="single" w:sz="4" w:space="0" w:color="000000"/>
              <w:right w:val="single" w:sz="4" w:space="0" w:color="000000"/>
            </w:tcBorders>
            <w:shd w:val="clear" w:color="auto" w:fill="0070C0"/>
          </w:tcPr>
          <w:p w14:paraId="735FC88F" w14:textId="7F09A1C0" w:rsidR="00DE31FA" w:rsidRPr="00312285" w:rsidRDefault="00DE31FA" w:rsidP="00312285">
            <w:pPr>
              <w:pStyle w:val="TableTitle"/>
            </w:pPr>
            <w:r w:rsidRPr="00312285">
              <w:t>Non-HDA2 N</w:t>
            </w:r>
            <w:r w:rsidR="0047606A" w:rsidRPr="00312285">
              <w:t> </w:t>
            </w:r>
            <w:r w:rsidRPr="00312285">
              <w:t>=</w:t>
            </w:r>
            <w:r w:rsidR="0047606A" w:rsidRPr="00312285">
              <w:t> </w:t>
            </w:r>
            <w:r w:rsidRPr="00312285">
              <w:t>306</w:t>
            </w:r>
          </w:p>
        </w:tc>
        <w:tc>
          <w:tcPr>
            <w:tcW w:w="736" w:type="dxa"/>
            <w:tcBorders>
              <w:top w:val="single" w:sz="4" w:space="0" w:color="000000"/>
              <w:left w:val="single" w:sz="4" w:space="0" w:color="000000"/>
              <w:bottom w:val="single" w:sz="4" w:space="0" w:color="000000"/>
              <w:right w:val="single" w:sz="4" w:space="0" w:color="000000"/>
            </w:tcBorders>
            <w:shd w:val="clear" w:color="auto" w:fill="0070C0"/>
          </w:tcPr>
          <w:p w14:paraId="3C9E08F7" w14:textId="58D9020E" w:rsidR="00DE31FA" w:rsidRPr="00312285" w:rsidRDefault="00DE31FA" w:rsidP="00312285">
            <w:pPr>
              <w:pStyle w:val="TableTitle"/>
            </w:pPr>
            <w:r w:rsidRPr="00312285">
              <w:t>HDA3 N</w:t>
            </w:r>
            <w:r w:rsidR="0047606A" w:rsidRPr="00312285">
              <w:t> </w:t>
            </w:r>
            <w:r w:rsidRPr="00312285">
              <w:t>=</w:t>
            </w:r>
            <w:r w:rsidR="0047606A" w:rsidRPr="00312285">
              <w:t> </w:t>
            </w:r>
            <w:r w:rsidRPr="00312285">
              <w:t>122</w:t>
            </w:r>
          </w:p>
        </w:tc>
        <w:tc>
          <w:tcPr>
            <w:tcW w:w="939" w:type="dxa"/>
            <w:tcBorders>
              <w:top w:val="single" w:sz="4" w:space="0" w:color="000000"/>
              <w:left w:val="single" w:sz="4" w:space="0" w:color="000000"/>
              <w:bottom w:val="single" w:sz="4" w:space="0" w:color="000000"/>
              <w:right w:val="single" w:sz="4" w:space="0" w:color="000000"/>
            </w:tcBorders>
            <w:shd w:val="clear" w:color="auto" w:fill="0070C0"/>
          </w:tcPr>
          <w:p w14:paraId="15CABEAE" w14:textId="2F8F35FE" w:rsidR="00DE31FA" w:rsidRPr="00312285" w:rsidRDefault="00DE31FA" w:rsidP="00312285">
            <w:pPr>
              <w:pStyle w:val="TableTitle"/>
            </w:pPr>
            <w:r w:rsidRPr="00312285">
              <w:t>Non-HDA3 N</w:t>
            </w:r>
            <w:r w:rsidR="0047606A" w:rsidRPr="00312285">
              <w:t> </w:t>
            </w:r>
            <w:r w:rsidRPr="00312285">
              <w:t>=</w:t>
            </w:r>
            <w:r w:rsidR="0047606A" w:rsidRPr="00312285">
              <w:t> </w:t>
            </w:r>
            <w:r w:rsidRPr="00312285">
              <w:t>315</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Pr>
          <w:p w14:paraId="1E01CF9C" w14:textId="707BE95D" w:rsidR="00DE31FA" w:rsidRPr="00312285" w:rsidRDefault="00DE31FA" w:rsidP="00312285">
            <w:pPr>
              <w:pStyle w:val="TableTitle"/>
            </w:pPr>
            <w:r w:rsidRPr="00312285">
              <w:t>HDA4 N</w:t>
            </w:r>
            <w:r w:rsidR="0047606A" w:rsidRPr="00312285">
              <w:t> </w:t>
            </w:r>
            <w:r w:rsidRPr="00312285">
              <w:t>=</w:t>
            </w:r>
            <w:r w:rsidR="0047606A" w:rsidRPr="00312285">
              <w:t> </w:t>
            </w:r>
            <w:r w:rsidRPr="00312285">
              <w:t>149</w:t>
            </w:r>
          </w:p>
        </w:tc>
        <w:tc>
          <w:tcPr>
            <w:tcW w:w="1000" w:type="dxa"/>
            <w:tcBorders>
              <w:top w:val="single" w:sz="4" w:space="0" w:color="000000"/>
              <w:left w:val="single" w:sz="4" w:space="0" w:color="000000"/>
              <w:bottom w:val="single" w:sz="4" w:space="0" w:color="000000"/>
              <w:right w:val="single" w:sz="4" w:space="0" w:color="000000"/>
            </w:tcBorders>
            <w:shd w:val="clear" w:color="auto" w:fill="0070C0"/>
          </w:tcPr>
          <w:p w14:paraId="46866891" w14:textId="241712B0" w:rsidR="00DE31FA" w:rsidRPr="005B12D1" w:rsidRDefault="00DE31FA" w:rsidP="00560830">
            <w:pPr>
              <w:ind w:left="43"/>
              <w:rPr>
                <w:rFonts w:ascii="Times New Roman" w:hAnsi="Times New Roman"/>
                <w:b/>
                <w:color w:val="FFFFFF" w:themeColor="background1"/>
                <w:sz w:val="18"/>
                <w:szCs w:val="18"/>
              </w:rPr>
            </w:pPr>
            <w:r w:rsidRPr="005B12D1">
              <w:rPr>
                <w:b/>
                <w:color w:val="FFFFFF" w:themeColor="background1"/>
                <w:sz w:val="18"/>
                <w:szCs w:val="18"/>
              </w:rPr>
              <w:t>Non-HDA4 N</w:t>
            </w:r>
            <w:r w:rsidR="0047606A">
              <w:rPr>
                <w:b/>
                <w:color w:val="FFFFFF" w:themeColor="background1"/>
                <w:sz w:val="18"/>
                <w:szCs w:val="18"/>
              </w:rPr>
              <w:t> </w:t>
            </w:r>
            <w:r w:rsidRPr="005B12D1">
              <w:rPr>
                <w:b/>
                <w:color w:val="FFFFFF" w:themeColor="background1"/>
                <w:sz w:val="18"/>
                <w:szCs w:val="18"/>
              </w:rPr>
              <w:t>=</w:t>
            </w:r>
            <w:r w:rsidR="0047606A">
              <w:rPr>
                <w:b/>
                <w:color w:val="FFFFFF" w:themeColor="background1"/>
                <w:sz w:val="18"/>
                <w:szCs w:val="18"/>
              </w:rPr>
              <w:t> </w:t>
            </w:r>
            <w:r w:rsidRPr="005B12D1">
              <w:rPr>
                <w:b/>
                <w:color w:val="FFFFFF" w:themeColor="background1"/>
                <w:sz w:val="18"/>
                <w:szCs w:val="18"/>
              </w:rPr>
              <w:t>288</w:t>
            </w:r>
          </w:p>
        </w:tc>
      </w:tr>
      <w:tr w:rsidR="006A1D47" w:rsidRPr="00A83196" w14:paraId="3E8BDE0F" w14:textId="77777777" w:rsidTr="006A1D47">
        <w:trPr>
          <w:trHeight w:val="20"/>
        </w:trPr>
        <w:tc>
          <w:tcPr>
            <w:tcW w:w="1008" w:type="dxa"/>
            <w:tcBorders>
              <w:top w:val="single" w:sz="4" w:space="0" w:color="000000"/>
              <w:left w:val="single" w:sz="4" w:space="0" w:color="000000"/>
              <w:bottom w:val="single" w:sz="4" w:space="0" w:color="000000"/>
              <w:right w:val="single" w:sz="4" w:space="0" w:color="000000"/>
            </w:tcBorders>
          </w:tcPr>
          <w:p w14:paraId="49A809C7" w14:textId="14D1F74A" w:rsidR="00DE31FA" w:rsidRPr="005B12D1" w:rsidRDefault="00DE31FA" w:rsidP="00560830">
            <w:pPr>
              <w:spacing w:line="120" w:lineRule="atLeast"/>
              <w:ind w:left="115"/>
              <w:rPr>
                <w:rFonts w:ascii="Times New Roman" w:hAnsi="Times New Roman"/>
                <w:sz w:val="18"/>
                <w:szCs w:val="18"/>
              </w:rPr>
            </w:pPr>
            <w:r w:rsidRPr="005B12D1">
              <w:rPr>
                <w:sz w:val="18"/>
                <w:szCs w:val="18"/>
              </w:rPr>
              <w:t>ARR</w:t>
            </w:r>
            <w:r w:rsidR="0047606A">
              <w:rPr>
                <w:sz w:val="18"/>
                <w:szCs w:val="18"/>
              </w:rPr>
              <w:t xml:space="preserve"> a</w:t>
            </w:r>
            <w:r w:rsidRPr="005B12D1">
              <w:rPr>
                <w:sz w:val="18"/>
                <w:szCs w:val="18"/>
              </w:rPr>
              <w:t>djusted</w:t>
            </w:r>
          </w:p>
        </w:tc>
        <w:tc>
          <w:tcPr>
            <w:tcW w:w="939" w:type="dxa"/>
            <w:tcBorders>
              <w:top w:val="single" w:sz="4" w:space="0" w:color="000000"/>
              <w:left w:val="single" w:sz="4" w:space="0" w:color="000000"/>
              <w:bottom w:val="single" w:sz="4" w:space="0" w:color="000000"/>
              <w:right w:val="single" w:sz="4" w:space="0" w:color="000000"/>
            </w:tcBorders>
          </w:tcPr>
          <w:p w14:paraId="4E8BE54B" w14:textId="77777777" w:rsidR="00DE31FA" w:rsidRPr="005B12D1" w:rsidRDefault="00DE31FA" w:rsidP="005B12D1">
            <w:pPr>
              <w:ind w:left="113"/>
              <w:rPr>
                <w:rFonts w:ascii="Times New Roman" w:hAnsi="Times New Roman"/>
                <w:sz w:val="18"/>
                <w:szCs w:val="18"/>
              </w:rPr>
            </w:pPr>
            <w:r w:rsidRPr="005B12D1">
              <w:rPr>
                <w:sz w:val="18"/>
                <w:szCs w:val="18"/>
              </w:rPr>
              <w:t>0.35</w:t>
            </w:r>
          </w:p>
        </w:tc>
        <w:tc>
          <w:tcPr>
            <w:tcW w:w="908" w:type="dxa"/>
            <w:tcBorders>
              <w:top w:val="single" w:sz="4" w:space="0" w:color="000000"/>
              <w:left w:val="single" w:sz="4" w:space="0" w:color="000000"/>
              <w:bottom w:val="single" w:sz="4" w:space="0" w:color="000000"/>
              <w:right w:val="single" w:sz="4" w:space="0" w:color="000000"/>
            </w:tcBorders>
          </w:tcPr>
          <w:p w14:paraId="67E84B74" w14:textId="77777777" w:rsidR="00DE31FA" w:rsidRPr="005B12D1" w:rsidRDefault="00DE31FA" w:rsidP="005B12D1">
            <w:pPr>
              <w:ind w:left="113"/>
              <w:rPr>
                <w:rFonts w:ascii="Times New Roman" w:hAnsi="Times New Roman"/>
                <w:sz w:val="18"/>
                <w:szCs w:val="18"/>
              </w:rPr>
            </w:pPr>
            <w:r w:rsidRPr="005B12D1">
              <w:rPr>
                <w:sz w:val="18"/>
                <w:szCs w:val="18"/>
              </w:rPr>
              <w:t>0.57</w:t>
            </w:r>
          </w:p>
        </w:tc>
        <w:tc>
          <w:tcPr>
            <w:tcW w:w="975" w:type="dxa"/>
            <w:tcBorders>
              <w:top w:val="single" w:sz="4" w:space="0" w:color="000000"/>
              <w:left w:val="single" w:sz="4" w:space="0" w:color="000000"/>
              <w:bottom w:val="single" w:sz="4" w:space="0" w:color="000000"/>
              <w:right w:val="single" w:sz="4" w:space="0" w:color="000000"/>
            </w:tcBorders>
          </w:tcPr>
          <w:p w14:paraId="55A39FD8" w14:textId="77777777" w:rsidR="00DE31FA" w:rsidRPr="005B12D1" w:rsidRDefault="00DE31FA" w:rsidP="005B12D1">
            <w:pPr>
              <w:ind w:left="113"/>
              <w:rPr>
                <w:rFonts w:ascii="Times New Roman" w:hAnsi="Times New Roman"/>
                <w:sz w:val="18"/>
                <w:szCs w:val="18"/>
              </w:rPr>
            </w:pPr>
            <w:r w:rsidRPr="005B12D1">
              <w:rPr>
                <w:sz w:val="18"/>
                <w:szCs w:val="18"/>
              </w:rPr>
              <w:t>0.30</w:t>
            </w:r>
          </w:p>
        </w:tc>
        <w:tc>
          <w:tcPr>
            <w:tcW w:w="907" w:type="dxa"/>
            <w:tcBorders>
              <w:top w:val="single" w:sz="4" w:space="0" w:color="000000"/>
              <w:left w:val="single" w:sz="4" w:space="0" w:color="000000"/>
              <w:bottom w:val="single" w:sz="4" w:space="0" w:color="000000"/>
              <w:right w:val="single" w:sz="4" w:space="0" w:color="000000"/>
            </w:tcBorders>
          </w:tcPr>
          <w:p w14:paraId="0138013B" w14:textId="77777777" w:rsidR="00DE31FA" w:rsidRPr="005B12D1" w:rsidRDefault="00DE31FA" w:rsidP="005B12D1">
            <w:pPr>
              <w:ind w:left="113"/>
              <w:rPr>
                <w:rFonts w:ascii="Times New Roman" w:hAnsi="Times New Roman"/>
                <w:sz w:val="18"/>
                <w:szCs w:val="18"/>
              </w:rPr>
            </w:pPr>
            <w:r w:rsidRPr="005B12D1">
              <w:rPr>
                <w:sz w:val="18"/>
                <w:szCs w:val="18"/>
              </w:rPr>
              <w:t>0.50</w:t>
            </w:r>
          </w:p>
        </w:tc>
        <w:tc>
          <w:tcPr>
            <w:tcW w:w="994" w:type="dxa"/>
            <w:tcBorders>
              <w:top w:val="single" w:sz="4" w:space="0" w:color="000000"/>
              <w:left w:val="single" w:sz="4" w:space="0" w:color="000000"/>
              <w:bottom w:val="single" w:sz="4" w:space="0" w:color="000000"/>
              <w:right w:val="single" w:sz="4" w:space="0" w:color="000000"/>
            </w:tcBorders>
          </w:tcPr>
          <w:p w14:paraId="5C93ED27" w14:textId="77777777" w:rsidR="00DE31FA" w:rsidRPr="005B12D1" w:rsidRDefault="00DE31FA" w:rsidP="005B12D1">
            <w:pPr>
              <w:ind w:left="113"/>
              <w:rPr>
                <w:rFonts w:ascii="Times New Roman" w:hAnsi="Times New Roman"/>
                <w:sz w:val="18"/>
                <w:szCs w:val="18"/>
              </w:rPr>
            </w:pPr>
            <w:r w:rsidRPr="005B12D1">
              <w:rPr>
                <w:sz w:val="18"/>
                <w:szCs w:val="18"/>
              </w:rPr>
              <w:t>0.29</w:t>
            </w:r>
          </w:p>
        </w:tc>
        <w:tc>
          <w:tcPr>
            <w:tcW w:w="736" w:type="dxa"/>
            <w:tcBorders>
              <w:top w:val="single" w:sz="4" w:space="0" w:color="000000"/>
              <w:left w:val="single" w:sz="4" w:space="0" w:color="000000"/>
              <w:bottom w:val="single" w:sz="4" w:space="0" w:color="000000"/>
              <w:right w:val="single" w:sz="4" w:space="0" w:color="000000"/>
            </w:tcBorders>
          </w:tcPr>
          <w:p w14:paraId="31FDDE44" w14:textId="77777777" w:rsidR="00DE31FA" w:rsidRPr="005B12D1" w:rsidRDefault="00DE31FA" w:rsidP="005B12D1">
            <w:pPr>
              <w:ind w:left="113"/>
              <w:rPr>
                <w:rFonts w:ascii="Times New Roman" w:hAnsi="Times New Roman"/>
                <w:sz w:val="18"/>
                <w:szCs w:val="18"/>
              </w:rPr>
            </w:pPr>
            <w:r w:rsidRPr="005B12D1">
              <w:rPr>
                <w:sz w:val="18"/>
                <w:szCs w:val="18"/>
              </w:rPr>
              <w:t>0.48</w:t>
            </w:r>
          </w:p>
        </w:tc>
        <w:tc>
          <w:tcPr>
            <w:tcW w:w="939" w:type="dxa"/>
            <w:tcBorders>
              <w:top w:val="single" w:sz="4" w:space="0" w:color="000000"/>
              <w:left w:val="single" w:sz="4" w:space="0" w:color="000000"/>
              <w:bottom w:val="single" w:sz="4" w:space="0" w:color="000000"/>
              <w:right w:val="single" w:sz="4" w:space="0" w:color="000000"/>
            </w:tcBorders>
          </w:tcPr>
          <w:p w14:paraId="7344A79F" w14:textId="77777777" w:rsidR="00DE31FA" w:rsidRPr="005B12D1" w:rsidRDefault="00DE31FA" w:rsidP="005B12D1">
            <w:pPr>
              <w:ind w:left="113"/>
              <w:rPr>
                <w:rFonts w:ascii="Times New Roman" w:hAnsi="Times New Roman"/>
                <w:sz w:val="18"/>
                <w:szCs w:val="18"/>
              </w:rPr>
            </w:pPr>
            <w:r w:rsidRPr="005B12D1">
              <w:rPr>
                <w:sz w:val="18"/>
                <w:szCs w:val="18"/>
              </w:rPr>
              <w:t>0.29</w:t>
            </w:r>
          </w:p>
        </w:tc>
        <w:tc>
          <w:tcPr>
            <w:tcW w:w="851" w:type="dxa"/>
            <w:tcBorders>
              <w:top w:val="single" w:sz="4" w:space="0" w:color="000000"/>
              <w:left w:val="single" w:sz="4" w:space="0" w:color="000000"/>
              <w:bottom w:val="single" w:sz="4" w:space="0" w:color="000000"/>
              <w:right w:val="single" w:sz="4" w:space="0" w:color="000000"/>
            </w:tcBorders>
          </w:tcPr>
          <w:p w14:paraId="2BDF858F" w14:textId="77777777" w:rsidR="00DE31FA" w:rsidRPr="005B12D1" w:rsidRDefault="00DE31FA" w:rsidP="005B12D1">
            <w:pPr>
              <w:ind w:left="113"/>
              <w:rPr>
                <w:rFonts w:ascii="Times New Roman" w:hAnsi="Times New Roman"/>
                <w:sz w:val="18"/>
                <w:szCs w:val="18"/>
              </w:rPr>
            </w:pPr>
            <w:r w:rsidRPr="005B12D1">
              <w:rPr>
                <w:sz w:val="18"/>
                <w:szCs w:val="18"/>
              </w:rPr>
              <w:t>0.47</w:t>
            </w:r>
          </w:p>
        </w:tc>
        <w:tc>
          <w:tcPr>
            <w:tcW w:w="1000" w:type="dxa"/>
            <w:tcBorders>
              <w:top w:val="single" w:sz="4" w:space="0" w:color="000000"/>
              <w:left w:val="single" w:sz="4" w:space="0" w:color="000000"/>
              <w:bottom w:val="single" w:sz="4" w:space="0" w:color="000000"/>
              <w:right w:val="single" w:sz="4" w:space="0" w:color="000000"/>
            </w:tcBorders>
          </w:tcPr>
          <w:p w14:paraId="39139019" w14:textId="77777777" w:rsidR="00DE31FA" w:rsidRPr="005B12D1" w:rsidRDefault="00DE31FA" w:rsidP="005B12D1">
            <w:pPr>
              <w:ind w:left="113"/>
              <w:rPr>
                <w:rFonts w:ascii="Times New Roman" w:hAnsi="Times New Roman"/>
                <w:sz w:val="18"/>
                <w:szCs w:val="18"/>
              </w:rPr>
            </w:pPr>
            <w:r w:rsidRPr="005B12D1">
              <w:rPr>
                <w:sz w:val="18"/>
                <w:szCs w:val="18"/>
              </w:rPr>
              <w:t>0.29</w:t>
            </w:r>
          </w:p>
        </w:tc>
      </w:tr>
      <w:tr w:rsidR="006A1D47" w:rsidRPr="00A83196" w14:paraId="320DB93D" w14:textId="77777777" w:rsidTr="006A1D47">
        <w:trPr>
          <w:trHeight w:val="20"/>
        </w:trPr>
        <w:tc>
          <w:tcPr>
            <w:tcW w:w="1008" w:type="dxa"/>
            <w:tcBorders>
              <w:top w:val="single" w:sz="4" w:space="0" w:color="000000"/>
              <w:left w:val="single" w:sz="4" w:space="0" w:color="000000"/>
              <w:bottom w:val="single" w:sz="4" w:space="0" w:color="000000"/>
              <w:right w:val="single" w:sz="4" w:space="0" w:color="000000"/>
            </w:tcBorders>
          </w:tcPr>
          <w:p w14:paraId="16D2AA29" w14:textId="77777777" w:rsidR="00DE31FA" w:rsidRPr="005B12D1" w:rsidRDefault="00DE31FA" w:rsidP="005B12D1">
            <w:pPr>
              <w:ind w:left="113"/>
              <w:rPr>
                <w:rFonts w:ascii="Times New Roman" w:hAnsi="Times New Roman"/>
                <w:sz w:val="18"/>
                <w:szCs w:val="18"/>
              </w:rPr>
            </w:pPr>
            <w:r w:rsidRPr="005B12D1">
              <w:rPr>
                <w:sz w:val="18"/>
                <w:szCs w:val="18"/>
              </w:rPr>
              <w:t>95% CI</w:t>
            </w:r>
          </w:p>
        </w:tc>
        <w:tc>
          <w:tcPr>
            <w:tcW w:w="939" w:type="dxa"/>
            <w:tcBorders>
              <w:top w:val="single" w:sz="4" w:space="0" w:color="000000"/>
              <w:left w:val="single" w:sz="4" w:space="0" w:color="000000"/>
              <w:bottom w:val="single" w:sz="4" w:space="0" w:color="000000"/>
              <w:right w:val="single" w:sz="4" w:space="0" w:color="000000"/>
            </w:tcBorders>
          </w:tcPr>
          <w:p w14:paraId="092BBAD0" w14:textId="56089910" w:rsidR="00DE31FA" w:rsidRPr="005B12D1" w:rsidRDefault="00DE31FA" w:rsidP="0047606A">
            <w:pPr>
              <w:ind w:left="113"/>
              <w:rPr>
                <w:rFonts w:ascii="Times New Roman" w:hAnsi="Times New Roman"/>
                <w:sz w:val="18"/>
                <w:szCs w:val="18"/>
              </w:rPr>
            </w:pPr>
            <w:r w:rsidRPr="005B12D1">
              <w:rPr>
                <w:sz w:val="18"/>
                <w:szCs w:val="18"/>
              </w:rPr>
              <w:t>0.31,</w:t>
            </w:r>
            <w:r w:rsidR="0047606A">
              <w:rPr>
                <w:sz w:val="18"/>
                <w:szCs w:val="18"/>
              </w:rPr>
              <w:t xml:space="preserve"> </w:t>
            </w:r>
            <w:r w:rsidRPr="005B12D1">
              <w:rPr>
                <w:sz w:val="18"/>
                <w:szCs w:val="18"/>
              </w:rPr>
              <w:t>0.39</w:t>
            </w:r>
          </w:p>
        </w:tc>
        <w:tc>
          <w:tcPr>
            <w:tcW w:w="908" w:type="dxa"/>
            <w:tcBorders>
              <w:top w:val="single" w:sz="4" w:space="0" w:color="000000"/>
              <w:left w:val="single" w:sz="4" w:space="0" w:color="000000"/>
              <w:bottom w:val="single" w:sz="4" w:space="0" w:color="000000"/>
              <w:right w:val="single" w:sz="4" w:space="0" w:color="000000"/>
            </w:tcBorders>
          </w:tcPr>
          <w:p w14:paraId="3E6C020E" w14:textId="22E4EA15" w:rsidR="00DE31FA" w:rsidRPr="005B12D1" w:rsidRDefault="00DE31FA" w:rsidP="0047606A">
            <w:pPr>
              <w:ind w:left="113"/>
              <w:rPr>
                <w:rFonts w:ascii="Times New Roman" w:hAnsi="Times New Roman"/>
                <w:sz w:val="18"/>
                <w:szCs w:val="18"/>
              </w:rPr>
            </w:pPr>
            <w:r w:rsidRPr="005B12D1">
              <w:rPr>
                <w:sz w:val="18"/>
                <w:szCs w:val="18"/>
              </w:rPr>
              <w:t>0.45,</w:t>
            </w:r>
            <w:r w:rsidR="0047606A">
              <w:rPr>
                <w:sz w:val="18"/>
                <w:szCs w:val="18"/>
              </w:rPr>
              <w:t xml:space="preserve"> </w:t>
            </w:r>
            <w:r w:rsidRPr="005B12D1">
              <w:rPr>
                <w:sz w:val="18"/>
                <w:szCs w:val="18"/>
              </w:rPr>
              <w:t>0.73</w:t>
            </w:r>
          </w:p>
        </w:tc>
        <w:tc>
          <w:tcPr>
            <w:tcW w:w="975" w:type="dxa"/>
            <w:tcBorders>
              <w:top w:val="single" w:sz="4" w:space="0" w:color="000000"/>
              <w:left w:val="single" w:sz="4" w:space="0" w:color="000000"/>
              <w:bottom w:val="single" w:sz="4" w:space="0" w:color="000000"/>
              <w:right w:val="single" w:sz="4" w:space="0" w:color="000000"/>
            </w:tcBorders>
          </w:tcPr>
          <w:p w14:paraId="666D0AC9" w14:textId="42F4F75A" w:rsidR="00DE31FA" w:rsidRPr="005B12D1" w:rsidRDefault="00DE31FA" w:rsidP="0047606A">
            <w:pPr>
              <w:ind w:left="113"/>
              <w:rPr>
                <w:rFonts w:ascii="Times New Roman" w:hAnsi="Times New Roman"/>
                <w:sz w:val="18"/>
                <w:szCs w:val="18"/>
              </w:rPr>
            </w:pPr>
            <w:r w:rsidRPr="005B12D1">
              <w:rPr>
                <w:sz w:val="18"/>
                <w:szCs w:val="18"/>
              </w:rPr>
              <w:t>0.26,</w:t>
            </w:r>
            <w:r w:rsidR="0047606A">
              <w:rPr>
                <w:sz w:val="18"/>
                <w:szCs w:val="18"/>
              </w:rPr>
              <w:t xml:space="preserve"> </w:t>
            </w:r>
            <w:r w:rsidRPr="005B12D1">
              <w:rPr>
                <w:sz w:val="18"/>
                <w:szCs w:val="18"/>
              </w:rPr>
              <w:t>0.35</w:t>
            </w:r>
          </w:p>
        </w:tc>
        <w:tc>
          <w:tcPr>
            <w:tcW w:w="907" w:type="dxa"/>
            <w:tcBorders>
              <w:top w:val="single" w:sz="4" w:space="0" w:color="000000"/>
              <w:left w:val="single" w:sz="4" w:space="0" w:color="000000"/>
              <w:bottom w:val="single" w:sz="4" w:space="0" w:color="000000"/>
              <w:right w:val="single" w:sz="4" w:space="0" w:color="000000"/>
            </w:tcBorders>
          </w:tcPr>
          <w:p w14:paraId="3DACAF2E" w14:textId="4AC21BB9" w:rsidR="00DE31FA" w:rsidRPr="005B12D1" w:rsidRDefault="00DE31FA" w:rsidP="0047606A">
            <w:pPr>
              <w:ind w:left="113"/>
              <w:rPr>
                <w:rFonts w:ascii="Times New Roman" w:hAnsi="Times New Roman"/>
                <w:sz w:val="18"/>
                <w:szCs w:val="18"/>
              </w:rPr>
            </w:pPr>
            <w:r w:rsidRPr="005B12D1">
              <w:rPr>
                <w:sz w:val="18"/>
                <w:szCs w:val="18"/>
              </w:rPr>
              <w:t>0.41,</w:t>
            </w:r>
            <w:r w:rsidR="0047606A">
              <w:rPr>
                <w:sz w:val="18"/>
                <w:szCs w:val="18"/>
              </w:rPr>
              <w:t xml:space="preserve"> </w:t>
            </w:r>
            <w:r w:rsidRPr="005B12D1">
              <w:rPr>
                <w:sz w:val="18"/>
                <w:szCs w:val="18"/>
              </w:rPr>
              <w:t>0.60</w:t>
            </w:r>
          </w:p>
        </w:tc>
        <w:tc>
          <w:tcPr>
            <w:tcW w:w="994" w:type="dxa"/>
            <w:tcBorders>
              <w:top w:val="single" w:sz="4" w:space="0" w:color="000000"/>
              <w:left w:val="single" w:sz="4" w:space="0" w:color="000000"/>
              <w:bottom w:val="single" w:sz="4" w:space="0" w:color="000000"/>
              <w:right w:val="single" w:sz="4" w:space="0" w:color="000000"/>
            </w:tcBorders>
          </w:tcPr>
          <w:p w14:paraId="586D43BF" w14:textId="13AE74DB" w:rsidR="00DE31FA" w:rsidRPr="005B12D1" w:rsidRDefault="00DE31FA" w:rsidP="0047606A">
            <w:pPr>
              <w:ind w:left="113"/>
              <w:rPr>
                <w:rFonts w:ascii="Times New Roman" w:hAnsi="Times New Roman"/>
                <w:sz w:val="18"/>
                <w:szCs w:val="18"/>
              </w:rPr>
            </w:pPr>
            <w:r w:rsidRPr="005B12D1">
              <w:rPr>
                <w:sz w:val="18"/>
                <w:szCs w:val="18"/>
              </w:rPr>
              <w:t>0.24,</w:t>
            </w:r>
            <w:r w:rsidR="0047606A">
              <w:rPr>
                <w:sz w:val="18"/>
                <w:szCs w:val="18"/>
              </w:rPr>
              <w:t xml:space="preserve"> </w:t>
            </w:r>
            <w:r w:rsidRPr="005B12D1">
              <w:rPr>
                <w:sz w:val="18"/>
                <w:szCs w:val="18"/>
              </w:rPr>
              <w:t>0.34</w:t>
            </w:r>
          </w:p>
        </w:tc>
        <w:tc>
          <w:tcPr>
            <w:tcW w:w="736" w:type="dxa"/>
            <w:tcBorders>
              <w:top w:val="single" w:sz="4" w:space="0" w:color="000000"/>
              <w:left w:val="single" w:sz="4" w:space="0" w:color="000000"/>
              <w:bottom w:val="single" w:sz="4" w:space="0" w:color="000000"/>
              <w:right w:val="single" w:sz="4" w:space="0" w:color="000000"/>
            </w:tcBorders>
          </w:tcPr>
          <w:p w14:paraId="3A5C64B4" w14:textId="26C5B793" w:rsidR="00DE31FA" w:rsidRPr="005B12D1" w:rsidRDefault="00DE31FA" w:rsidP="0047606A">
            <w:pPr>
              <w:ind w:left="113"/>
              <w:rPr>
                <w:rFonts w:ascii="Times New Roman" w:hAnsi="Times New Roman"/>
                <w:sz w:val="18"/>
                <w:szCs w:val="18"/>
              </w:rPr>
            </w:pPr>
            <w:r w:rsidRPr="005B12D1">
              <w:rPr>
                <w:sz w:val="18"/>
                <w:szCs w:val="18"/>
              </w:rPr>
              <w:t>0.39,</w:t>
            </w:r>
            <w:r w:rsidR="0047606A">
              <w:rPr>
                <w:sz w:val="18"/>
                <w:szCs w:val="18"/>
              </w:rPr>
              <w:t xml:space="preserve"> </w:t>
            </w:r>
            <w:r w:rsidRPr="005B12D1">
              <w:rPr>
                <w:sz w:val="18"/>
                <w:szCs w:val="18"/>
              </w:rPr>
              <w:t>0.58</w:t>
            </w:r>
          </w:p>
        </w:tc>
        <w:tc>
          <w:tcPr>
            <w:tcW w:w="939" w:type="dxa"/>
            <w:tcBorders>
              <w:top w:val="single" w:sz="4" w:space="0" w:color="000000"/>
              <w:left w:val="single" w:sz="4" w:space="0" w:color="000000"/>
              <w:bottom w:val="single" w:sz="4" w:space="0" w:color="000000"/>
              <w:right w:val="single" w:sz="4" w:space="0" w:color="000000"/>
            </w:tcBorders>
          </w:tcPr>
          <w:p w14:paraId="04CDE4AA" w14:textId="0A2036DB" w:rsidR="00DE31FA" w:rsidRPr="005B12D1" w:rsidRDefault="00DE31FA" w:rsidP="006A1D47">
            <w:pPr>
              <w:ind w:left="113"/>
              <w:rPr>
                <w:rFonts w:ascii="Times New Roman" w:hAnsi="Times New Roman"/>
                <w:sz w:val="18"/>
                <w:szCs w:val="18"/>
              </w:rPr>
            </w:pPr>
            <w:r w:rsidRPr="005B12D1">
              <w:rPr>
                <w:sz w:val="18"/>
                <w:szCs w:val="18"/>
              </w:rPr>
              <w:t>0.25,</w:t>
            </w:r>
            <w:r w:rsidR="006A1D47">
              <w:rPr>
                <w:sz w:val="18"/>
                <w:szCs w:val="18"/>
              </w:rPr>
              <w:t xml:space="preserve"> </w:t>
            </w:r>
            <w:r w:rsidRPr="005B12D1">
              <w:rPr>
                <w:sz w:val="18"/>
                <w:szCs w:val="18"/>
              </w:rPr>
              <w:t>0.34</w:t>
            </w:r>
          </w:p>
        </w:tc>
        <w:tc>
          <w:tcPr>
            <w:tcW w:w="851" w:type="dxa"/>
            <w:tcBorders>
              <w:top w:val="single" w:sz="4" w:space="0" w:color="000000"/>
              <w:left w:val="single" w:sz="4" w:space="0" w:color="000000"/>
              <w:bottom w:val="single" w:sz="4" w:space="0" w:color="000000"/>
              <w:right w:val="single" w:sz="4" w:space="0" w:color="000000"/>
            </w:tcBorders>
          </w:tcPr>
          <w:p w14:paraId="69C9F731" w14:textId="77777777" w:rsidR="00DE31FA" w:rsidRPr="005B12D1" w:rsidRDefault="00DE31FA" w:rsidP="005B12D1">
            <w:pPr>
              <w:ind w:left="113"/>
              <w:rPr>
                <w:sz w:val="18"/>
                <w:szCs w:val="18"/>
              </w:rPr>
            </w:pPr>
            <w:r w:rsidRPr="005B12D1">
              <w:rPr>
                <w:sz w:val="18"/>
                <w:szCs w:val="18"/>
              </w:rPr>
              <w:t>0.40,</w:t>
            </w:r>
          </w:p>
          <w:p w14:paraId="041CFDCD" w14:textId="77777777" w:rsidR="00DE31FA" w:rsidRPr="005B12D1" w:rsidRDefault="00DE31FA" w:rsidP="005B12D1">
            <w:pPr>
              <w:ind w:left="113"/>
              <w:rPr>
                <w:rFonts w:ascii="Times New Roman" w:hAnsi="Times New Roman"/>
                <w:sz w:val="18"/>
                <w:szCs w:val="18"/>
              </w:rPr>
            </w:pPr>
            <w:r w:rsidRPr="005B12D1">
              <w:rPr>
                <w:sz w:val="18"/>
                <w:szCs w:val="18"/>
              </w:rPr>
              <w:t>0.57</w:t>
            </w:r>
          </w:p>
        </w:tc>
        <w:tc>
          <w:tcPr>
            <w:tcW w:w="1000" w:type="dxa"/>
            <w:tcBorders>
              <w:top w:val="single" w:sz="4" w:space="0" w:color="000000"/>
              <w:left w:val="single" w:sz="4" w:space="0" w:color="000000"/>
              <w:bottom w:val="single" w:sz="4" w:space="0" w:color="000000"/>
              <w:right w:val="single" w:sz="4" w:space="0" w:color="000000"/>
            </w:tcBorders>
          </w:tcPr>
          <w:p w14:paraId="5298269A" w14:textId="10E528BB" w:rsidR="00DE31FA" w:rsidRPr="005B12D1" w:rsidRDefault="00DE31FA" w:rsidP="006A1D47">
            <w:pPr>
              <w:ind w:left="113"/>
              <w:rPr>
                <w:rFonts w:ascii="Times New Roman" w:hAnsi="Times New Roman"/>
                <w:sz w:val="18"/>
                <w:szCs w:val="18"/>
              </w:rPr>
            </w:pPr>
            <w:r w:rsidRPr="005B12D1">
              <w:rPr>
                <w:sz w:val="18"/>
                <w:szCs w:val="18"/>
              </w:rPr>
              <w:t>0.24,</w:t>
            </w:r>
            <w:r w:rsidR="006A1D47">
              <w:rPr>
                <w:sz w:val="18"/>
                <w:szCs w:val="18"/>
              </w:rPr>
              <w:t xml:space="preserve"> </w:t>
            </w:r>
            <w:r w:rsidRPr="005B12D1">
              <w:rPr>
                <w:sz w:val="18"/>
                <w:szCs w:val="18"/>
              </w:rPr>
              <w:t>0.34</w:t>
            </w:r>
          </w:p>
        </w:tc>
      </w:tr>
    </w:tbl>
    <w:p w14:paraId="53882416" w14:textId="523923A1" w:rsidR="00DE31FA" w:rsidRDefault="00DE31FA" w:rsidP="00DE31FA">
      <w:r>
        <w:t>The ARR for HDA1, HDA2, HDA3, and HDA4 in patients treated with 3.5 mg/kg cladribine in CLARITY ranged from 0.38 to 0.32, indicating a relative risk reduction of 62% to 68% in ARR and are supportive of the relative risk ratios observed in the overall population (0.42, which indicated a relative risk reduction of 58%</w:t>
      </w:r>
      <w:r w:rsidR="005B12D1">
        <w:t>)</w:t>
      </w:r>
      <w:r>
        <w:t>. The relative risk ratio for ARR for the corresponding non-HDA subgroup patients was 0.43 (relapse rates of 0.29 to 0.30 in the placebo group v</w:t>
      </w:r>
      <w:r w:rsidR="006A1D47">
        <w:t>ersus</w:t>
      </w:r>
      <w:r>
        <w:t xml:space="preserve"> 0.13 to 0.14 the corresponding non HDA subgroup). This shows that while all patients benefit with reduced relapse rates, a greater benefit was seen for those with more active disease at </w:t>
      </w:r>
      <w:r w:rsidR="0047606A">
        <w:t>Baseline</w:t>
      </w:r>
      <w:r>
        <w:t>.</w:t>
      </w:r>
    </w:p>
    <w:p w14:paraId="28DD5269" w14:textId="7518C22F" w:rsidR="00DE31FA" w:rsidRDefault="00DE31FA" w:rsidP="00DE31FA">
      <w:r>
        <w:t>Similarly for time to 3</w:t>
      </w:r>
      <w:r w:rsidR="0047606A">
        <w:t xml:space="preserve"> </w:t>
      </w:r>
      <w:r>
        <w:t>month disability progression, The HRs for the HDA2, HDA3 and HDA4 subgroups were 0.28, 0.30 and 0.28, respectively, indicating a risk reduction of 72%, 70% and 72% in time to next 3</w:t>
      </w:r>
      <w:r w:rsidR="005B12D1">
        <w:t xml:space="preserve"> </w:t>
      </w:r>
      <w:r>
        <w:t>month confirmed EDSS progression, compared to the HR in the overall population of 0.59, indicating a risk reduction of 41%. The HR for time to next 3</w:t>
      </w:r>
      <w:r w:rsidR="005B12D1">
        <w:t xml:space="preserve"> </w:t>
      </w:r>
      <w:r>
        <w:t xml:space="preserve">month disability progression for </w:t>
      </w:r>
      <w:r w:rsidR="005B12D1">
        <w:t>the HDA1 and corresponding non-</w:t>
      </w:r>
      <w:r>
        <w:t>HDA groups were 0.78 (with a wide 95%</w:t>
      </w:r>
      <w:r w:rsidR="0047606A">
        <w:t xml:space="preserve"> </w:t>
      </w:r>
      <w:r>
        <w:t>CI) and from 0.56 to 0.80 respectively for the corresponding non-HDA subgroups. This result shows that while all patients benefit in terms of increased time to disability progression, patients with more active disease at baseline have the greatest benefit.</w:t>
      </w:r>
      <w:r w:rsidR="0057702F">
        <w:t xml:space="preserve"> </w:t>
      </w:r>
      <w:r>
        <w:t>This is shown in the figure below.</w:t>
      </w:r>
    </w:p>
    <w:p w14:paraId="4DAF47A2" w14:textId="72DCE3E6" w:rsidR="00DE31FA" w:rsidRDefault="009755CB" w:rsidP="00312285">
      <w:pPr>
        <w:pStyle w:val="FigureTitle"/>
      </w:pPr>
      <w:r>
        <w:lastRenderedPageBreak/>
        <w:t xml:space="preserve">Figure </w:t>
      </w:r>
      <w:r w:rsidR="005B12D1">
        <w:t>2</w:t>
      </w:r>
      <w:r>
        <w:t xml:space="preserve">: </w:t>
      </w:r>
      <w:r w:rsidR="00DE31FA">
        <w:t xml:space="preserve">Hazard </w:t>
      </w:r>
      <w:r w:rsidR="0047606A">
        <w:t xml:space="preserve">ratio </w:t>
      </w:r>
      <w:r w:rsidR="00DE31FA">
        <w:t xml:space="preserve">of </w:t>
      </w:r>
      <w:r w:rsidR="0047606A">
        <w:t xml:space="preserve">time </w:t>
      </w:r>
      <w:r w:rsidR="00DE31FA">
        <w:t>to 3</w:t>
      </w:r>
      <w:r w:rsidR="0047606A">
        <w:t xml:space="preserve"> </w:t>
      </w:r>
      <w:r w:rsidR="00DE31FA">
        <w:t>month confirmed EDSS progression, HAD subgroups for 3.5 mg/kg v</w:t>
      </w:r>
      <w:r w:rsidR="0047606A">
        <w:t>ersus</w:t>
      </w:r>
      <w:r w:rsidR="00DE31FA">
        <w:t xml:space="preserve"> </w:t>
      </w:r>
      <w:r w:rsidR="0047606A" w:rsidRPr="00312285">
        <w:t>placebo</w:t>
      </w:r>
      <w:r w:rsidR="0047606A">
        <w:t xml:space="preserve"> </w:t>
      </w:r>
      <w:r w:rsidR="00DE31FA">
        <w:t>(CLARITY)</w:t>
      </w:r>
    </w:p>
    <w:p w14:paraId="585BE240" w14:textId="77777777" w:rsidR="00DE31FA" w:rsidRDefault="00DE31FA" w:rsidP="00DE31FA">
      <w:r>
        <w:rPr>
          <w:rFonts w:ascii="Times New Roman" w:eastAsiaTheme="minorHAnsi" w:hAnsi="Times New Roman"/>
          <w:noProof/>
          <w:sz w:val="20"/>
          <w:lang w:eastAsia="en-AU"/>
        </w:rPr>
        <w:drawing>
          <wp:inline distT="0" distB="0" distL="0" distR="0" wp14:anchorId="0B09F6F5" wp14:editId="1853D72B">
            <wp:extent cx="5400040" cy="3302600"/>
            <wp:effectExtent l="0" t="0" r="0" b="0"/>
            <wp:docPr id="8" name="Picture 8" descr="Hazard Ratio of Time to 3-month confirmed EDSS progression, HAD subgroups for 3.5 mg/kg vs. Placebo (CLA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00040" cy="3302600"/>
                    </a:xfrm>
                    <a:prstGeom prst="rect">
                      <a:avLst/>
                    </a:prstGeom>
                    <a:noFill/>
                    <a:ln>
                      <a:noFill/>
                    </a:ln>
                  </pic:spPr>
                </pic:pic>
              </a:graphicData>
            </a:graphic>
          </wp:inline>
        </w:drawing>
      </w:r>
    </w:p>
    <w:p w14:paraId="58038744" w14:textId="77777777" w:rsidR="00DE31FA" w:rsidRDefault="00DE31FA" w:rsidP="007A7272">
      <w:pPr>
        <w:pStyle w:val="Heading4"/>
      </w:pPr>
      <w:r>
        <w:t>Safety</w:t>
      </w:r>
    </w:p>
    <w:p w14:paraId="1A6929A0" w14:textId="25512EA9" w:rsidR="00DE31FA" w:rsidRDefault="00DE31FA" w:rsidP="00DE31FA">
      <w:r>
        <w:t>The major safety finding with increasing total exposure to cladribine is the increased rate of AEs related to lympho</w:t>
      </w:r>
      <w:r w:rsidR="002A3ED4">
        <w:t>paenia</w:t>
      </w:r>
      <w:r>
        <w:t>.</w:t>
      </w:r>
      <w:r w:rsidR="0057702F">
        <w:t xml:space="preserve"> </w:t>
      </w:r>
      <w:r>
        <w:t>This was dose</w:t>
      </w:r>
      <w:r w:rsidR="000114E8">
        <w:t xml:space="preserve"> </w:t>
      </w:r>
      <w:r>
        <w:t>dependent and in the highest total exposure group (8.75 mg/kg given as 5.25 mg in CLARITY + 3.5 mg in CLARITY ext</w:t>
      </w:r>
      <w:r w:rsidR="005B12D1">
        <w:t>ension</w:t>
      </w:r>
      <w:r>
        <w:t>) the study drug discontinuation rate was 25.3% compared with 22.6% in the 7 mg/kg (3.5 mg/kg in CLARITY and 3.5 mg CLARITY ext</w:t>
      </w:r>
      <w:r w:rsidR="000114E8">
        <w:t>ension</w:t>
      </w:r>
      <w:r>
        <w:t>), 18.4% in patients receiving 3.5 mg/kg for the first time in CLARITY ext</w:t>
      </w:r>
      <w:r w:rsidR="000114E8">
        <w:t>ension</w:t>
      </w:r>
      <w:r>
        <w:t xml:space="preserve"> and 12.2% and 10.9% in the groups given placebo during CLARITY ext</w:t>
      </w:r>
      <w:r w:rsidR="005B12D1">
        <w:t>ension</w:t>
      </w:r>
      <w:r>
        <w:t>. At the end of the treatment phase in CLARITY ext</w:t>
      </w:r>
      <w:r w:rsidR="005B12D1">
        <w:t>ension</w:t>
      </w:r>
      <w:r w:rsidR="000114E8">
        <w:t>,</w:t>
      </w:r>
      <w:r w:rsidR="0057702F">
        <w:t xml:space="preserve"> </w:t>
      </w:r>
      <w:r>
        <w:t>40.9% of patients in the 8.25 mg total dose had Grade 3 or 4 lymphocyte toxicity (&lt;</w:t>
      </w:r>
      <w:r w:rsidR="000114E8">
        <w:t> </w:t>
      </w:r>
      <w:r>
        <w:t>500/mm</w:t>
      </w:r>
      <w:r w:rsidRPr="005B12D1">
        <w:rPr>
          <w:vertAlign w:val="superscript"/>
        </w:rPr>
        <w:t>3</w:t>
      </w:r>
      <w:r>
        <w:t xml:space="preserve">) </w:t>
      </w:r>
      <w:r w:rsidR="005B12D1">
        <w:t>compared to</w:t>
      </w:r>
      <w:r>
        <w:t xml:space="preserve"> 5.1% of patients in the 3.5</w:t>
      </w:r>
      <w:r w:rsidR="000114E8">
        <w:t> </w:t>
      </w:r>
      <w:r>
        <w:t>mg/kg during CLARITY and placebo in CLARITY extension (the LLPP group).</w:t>
      </w:r>
      <w:r w:rsidR="0057702F">
        <w:t xml:space="preserve"> </w:t>
      </w:r>
      <w:r>
        <w:t xml:space="preserve">Grade 3 or 4 </w:t>
      </w:r>
      <w:r w:rsidR="005B12D1">
        <w:t>white blood cell (</w:t>
      </w:r>
      <w:r>
        <w:t>WBC</w:t>
      </w:r>
      <w:r w:rsidR="005B12D1">
        <w:t>)</w:t>
      </w:r>
      <w:r>
        <w:t xml:space="preserve"> toxicity (&lt;</w:t>
      </w:r>
      <w:r w:rsidR="000114E8">
        <w:t> </w:t>
      </w:r>
      <w:r>
        <w:t>2000/mm</w:t>
      </w:r>
      <w:r w:rsidRPr="00526A53">
        <w:rPr>
          <w:vertAlign w:val="superscript"/>
        </w:rPr>
        <w:t>3</w:t>
      </w:r>
      <w:r>
        <w:t>) was reported for no patients in the LLPP (total dose 3.5 mg/kg) group, one (1.1%) in the HLPP (total dose 5.25 mg/kg), 11 (5.9%) in the LLLL (total dose 7 mg/kg), 11 (5.9%) in the HLLL (total dose 8.25 mg/kg) and five (2.0%) in the PPLL (total dose 3.5 mg/kg).</w:t>
      </w:r>
    </w:p>
    <w:p w14:paraId="4F6EA482" w14:textId="3677C257" w:rsidR="00DE31FA" w:rsidRDefault="00DE31FA" w:rsidP="00DE31FA">
      <w:r>
        <w:t xml:space="preserve">A post hoc analysis of safety in the </w:t>
      </w:r>
      <w:r w:rsidR="000114E8">
        <w:t xml:space="preserve">cladribine </w:t>
      </w:r>
      <w:r>
        <w:t>and Oracle studies did not show a relationship between highly active disease at baseline and the safety profile of cladribine. Safety of cladribine in patients with highly active disease was similar to</w:t>
      </w:r>
      <w:r w:rsidR="00526A53">
        <w:t xml:space="preserve"> that of the overall population</w:t>
      </w:r>
      <w:r>
        <w:t>.</w:t>
      </w:r>
    </w:p>
    <w:p w14:paraId="62A9F0B5" w14:textId="2B675F3F" w:rsidR="00DE31FA" w:rsidRDefault="00DE31FA" w:rsidP="00DE31FA">
      <w:r>
        <w:t xml:space="preserve">Safety of concomitant INF-β with cladribine in the ONWARD study showed higher rates of discontinuation of treatment due to treatment emergent AEs with concomitant cladribine group </w:t>
      </w:r>
      <w:r w:rsidR="00526A53">
        <w:t>as compared to the</w:t>
      </w:r>
      <w:r>
        <w:t xml:space="preserve"> placebo (29.8% v</w:t>
      </w:r>
      <w:r w:rsidR="00526A53">
        <w:t>ersus</w:t>
      </w:r>
      <w:r>
        <w:t xml:space="preserve"> 8.3% respectively). This suggests continuing with INF-β in subjects who</w:t>
      </w:r>
      <w:r w:rsidR="00526A53">
        <w:t xml:space="preserve"> have</w:t>
      </w:r>
      <w:r>
        <w:t xml:space="preserve"> received treatment courses of cladribine will result in about a third of patients needing to discontinue INF-β treatment due to AEs.</w:t>
      </w:r>
      <w:r w:rsidR="0057702F">
        <w:t xml:space="preserve"> </w:t>
      </w:r>
      <w:r>
        <w:t xml:space="preserve">The discontinuation rate due to AEs in the cladribine 3.5 mg/kg total dose group in </w:t>
      </w:r>
      <w:r w:rsidR="000114E8">
        <w:t xml:space="preserve">the </w:t>
      </w:r>
      <w:r>
        <w:t xml:space="preserve">CLARITY </w:t>
      </w:r>
      <w:r w:rsidR="000114E8">
        <w:t xml:space="preserve">study </w:t>
      </w:r>
      <w:r>
        <w:t>was 3.5%.</w:t>
      </w:r>
    </w:p>
    <w:p w14:paraId="2C8435A8" w14:textId="56764462" w:rsidR="00DE31FA" w:rsidRDefault="00DE31FA" w:rsidP="00DE31FA">
      <w:r>
        <w:t>The RECORD study, conducted in Australia enrolled only 35 patients and was too small to identify less frequent safety risks.</w:t>
      </w:r>
      <w:r w:rsidR="0057702F">
        <w:t xml:space="preserve"> </w:t>
      </w:r>
      <w:r>
        <w:t>PREMIER is an ongoing prospective observational long</w:t>
      </w:r>
      <w:r w:rsidR="0047606A">
        <w:noBreakHyphen/>
      </w:r>
      <w:r>
        <w:t xml:space="preserve">term safety registry for patients who had participated in CLARITY, CLARITY </w:t>
      </w:r>
      <w:r>
        <w:lastRenderedPageBreak/>
        <w:t>ext</w:t>
      </w:r>
      <w:r w:rsidR="00526A53">
        <w:t>ension</w:t>
      </w:r>
      <w:r>
        <w:t>, ONWARD,</w:t>
      </w:r>
      <w:r w:rsidR="0057702F">
        <w:t xml:space="preserve"> </w:t>
      </w:r>
      <w:r>
        <w:t>ORACLE and the interaction study with pantoprazole. The submission included data to from PREMIER to February 2015. Total duration of this registry is to be 8 years after the subjects’ first enrolment into a cladribine clinical study or until 2018, whichever occurs first. It is intended to collect data on AEs including infections, malignancies, and lympho</w:t>
      </w:r>
      <w:r w:rsidR="002A3ED4">
        <w:t>paenia</w:t>
      </w:r>
      <w:r>
        <w:t>. Overall, of the 1,133 subjects in the Safety Set, 941</w:t>
      </w:r>
      <w:r w:rsidR="0047606A">
        <w:t> </w:t>
      </w:r>
      <w:r>
        <w:t xml:space="preserve">subjects received at least 1 dose of cladribine and 192 subjects never received cladribine (only received placebo </w:t>
      </w:r>
      <w:r w:rsidR="0047606A">
        <w:t>(</w:t>
      </w:r>
      <w:r>
        <w:t>+</w:t>
      </w:r>
      <w:r w:rsidR="0047606A">
        <w:t xml:space="preserve"> </w:t>
      </w:r>
      <w:r>
        <w:t>IFN-β placebo/observational period</w:t>
      </w:r>
      <w:r w:rsidR="0047606A">
        <w:t>)</w:t>
      </w:r>
      <w:r>
        <w:t>. Of subjects who received at least 1 dose of</w:t>
      </w:r>
      <w:r w:rsidR="00C96D61">
        <w:t xml:space="preserve"> </w:t>
      </w:r>
      <w:r>
        <w:t xml:space="preserve">cladribine, mean (± standard deviation </w:t>
      </w:r>
      <w:r w:rsidR="0047606A">
        <w:t>(</w:t>
      </w:r>
      <w:r>
        <w:t>SD</w:t>
      </w:r>
      <w:r w:rsidR="0047606A">
        <w:t>)</w:t>
      </w:r>
      <w:r>
        <w:t>) total cumulative dose was 4.742 ± 2.082 mg/kg, and mean (± SD) time since the last dose at the time of the data cut (20 February 2015) was 240.8 ± 81.4 weeks. The table below highlights the TEAEs in this study.</w:t>
      </w:r>
    </w:p>
    <w:p w14:paraId="670B4911" w14:textId="77777777" w:rsidR="009755CB" w:rsidRPr="001A773A" w:rsidRDefault="009755CB" w:rsidP="00312285">
      <w:pPr>
        <w:pStyle w:val="Tabletitle0"/>
      </w:pPr>
      <w:r>
        <w:t xml:space="preserve">Table 7: </w:t>
      </w:r>
      <w:r w:rsidR="00526A53">
        <w:t xml:space="preserve">TEAEs </w:t>
      </w:r>
      <w:r w:rsidR="00526A53" w:rsidRPr="00312285">
        <w:t>reported</w:t>
      </w:r>
      <w:r w:rsidR="00526A53">
        <w:t xml:space="preserve"> from PREMIER</w:t>
      </w:r>
    </w:p>
    <w:tbl>
      <w:tblPr>
        <w:tblW w:w="8405" w:type="dxa"/>
        <w:tblInd w:w="105" w:type="dxa"/>
        <w:tblLayout w:type="fixed"/>
        <w:tblCellMar>
          <w:left w:w="0" w:type="dxa"/>
          <w:right w:w="0" w:type="dxa"/>
        </w:tblCellMar>
        <w:tblLook w:val="0000" w:firstRow="0" w:lastRow="0" w:firstColumn="0" w:lastColumn="0" w:noHBand="0" w:noVBand="0"/>
      </w:tblPr>
      <w:tblGrid>
        <w:gridCol w:w="3728"/>
        <w:gridCol w:w="1559"/>
        <w:gridCol w:w="1559"/>
        <w:gridCol w:w="1559"/>
      </w:tblGrid>
      <w:tr w:rsidR="00DE31FA" w:rsidRPr="00C96D61" w14:paraId="0A8B70F6" w14:textId="77777777" w:rsidTr="00526A53">
        <w:trPr>
          <w:cantSplit/>
          <w:trHeight w:val="20"/>
          <w:tblHeader/>
        </w:trPr>
        <w:tc>
          <w:tcPr>
            <w:tcW w:w="3728" w:type="dxa"/>
            <w:tcBorders>
              <w:top w:val="single" w:sz="4" w:space="0" w:color="000000"/>
              <w:left w:val="single" w:sz="4" w:space="0" w:color="000000"/>
              <w:bottom w:val="single" w:sz="4" w:space="0" w:color="000000"/>
              <w:right w:val="single" w:sz="4" w:space="0" w:color="000000"/>
            </w:tcBorders>
            <w:shd w:val="clear" w:color="auto" w:fill="0070C0"/>
          </w:tcPr>
          <w:p w14:paraId="36FF059D" w14:textId="122A3859" w:rsidR="00DE31FA" w:rsidRPr="00526A53" w:rsidRDefault="00DE31FA" w:rsidP="00526A53">
            <w:pPr>
              <w:ind w:left="113"/>
              <w:rPr>
                <w:b/>
                <w:color w:val="FFFFFF" w:themeColor="background1"/>
                <w:sz w:val="20"/>
                <w:szCs w:val="20"/>
              </w:rPr>
            </w:pPr>
            <w:bookmarkStart w:id="119" w:name="5.4.1_BRIEF_SUMMARY_OF_ADVERSE_EVENTS"/>
            <w:bookmarkStart w:id="120" w:name="TABLE_2_OVERVIEW_OF_TREATMENT-EMERGENT_A"/>
            <w:bookmarkEnd w:id="119"/>
            <w:bookmarkEnd w:id="120"/>
            <w:r w:rsidRPr="00526A53">
              <w:rPr>
                <w:b/>
                <w:color w:val="FFFFFF" w:themeColor="background1"/>
                <w:sz w:val="20"/>
                <w:szCs w:val="20"/>
              </w:rPr>
              <w:t xml:space="preserve">Number (%) of </w:t>
            </w:r>
            <w:r w:rsidR="000114E8">
              <w:rPr>
                <w:b/>
                <w:color w:val="FFFFFF" w:themeColor="background1"/>
                <w:sz w:val="20"/>
                <w:szCs w:val="20"/>
              </w:rPr>
              <w:t>s</w:t>
            </w:r>
            <w:r w:rsidRPr="00526A53">
              <w:rPr>
                <w:b/>
                <w:color w:val="FFFFFF" w:themeColor="background1"/>
                <w:sz w:val="20"/>
                <w:szCs w:val="20"/>
              </w:rPr>
              <w:t>ubjects with</w:t>
            </w:r>
          </w:p>
        </w:tc>
        <w:tc>
          <w:tcPr>
            <w:tcW w:w="1559" w:type="dxa"/>
            <w:tcBorders>
              <w:top w:val="single" w:sz="4" w:space="0" w:color="000000"/>
              <w:left w:val="single" w:sz="4" w:space="0" w:color="000000"/>
              <w:bottom w:val="single" w:sz="4" w:space="0" w:color="000000"/>
              <w:right w:val="single" w:sz="4" w:space="0" w:color="000000"/>
            </w:tcBorders>
            <w:shd w:val="clear" w:color="auto" w:fill="0070C0"/>
          </w:tcPr>
          <w:p w14:paraId="70873C36" w14:textId="09F61709" w:rsidR="00DE31FA" w:rsidRPr="00526A53" w:rsidRDefault="00DE31FA" w:rsidP="00526A53">
            <w:pPr>
              <w:ind w:left="113"/>
              <w:rPr>
                <w:b/>
                <w:color w:val="FFFFFF" w:themeColor="background1"/>
                <w:sz w:val="20"/>
                <w:szCs w:val="20"/>
              </w:rPr>
            </w:pPr>
            <w:r w:rsidRPr="00526A53">
              <w:rPr>
                <w:b/>
                <w:color w:val="FFFFFF" w:themeColor="background1"/>
                <w:sz w:val="20"/>
                <w:szCs w:val="20"/>
              </w:rPr>
              <w:t>Placebo (N</w:t>
            </w:r>
            <w:r w:rsidR="000114E8">
              <w:rPr>
                <w:b/>
                <w:color w:val="FFFFFF" w:themeColor="background1"/>
                <w:sz w:val="20"/>
                <w:szCs w:val="20"/>
              </w:rPr>
              <w:t> </w:t>
            </w:r>
            <w:r w:rsidRPr="00526A53">
              <w:rPr>
                <w:b/>
                <w:color w:val="FFFFFF" w:themeColor="background1"/>
                <w:sz w:val="20"/>
                <w:szCs w:val="20"/>
              </w:rPr>
              <w:t>=</w:t>
            </w:r>
            <w:r w:rsidR="000114E8">
              <w:rPr>
                <w:b/>
                <w:color w:val="FFFFFF" w:themeColor="background1"/>
                <w:sz w:val="20"/>
                <w:szCs w:val="20"/>
              </w:rPr>
              <w:t> </w:t>
            </w:r>
            <w:r w:rsidRPr="00526A53">
              <w:rPr>
                <w:b/>
                <w:color w:val="FFFFFF" w:themeColor="background1"/>
                <w:sz w:val="20"/>
                <w:szCs w:val="20"/>
              </w:rPr>
              <w:t>192)</w:t>
            </w:r>
          </w:p>
        </w:tc>
        <w:tc>
          <w:tcPr>
            <w:tcW w:w="1559" w:type="dxa"/>
            <w:tcBorders>
              <w:top w:val="single" w:sz="4" w:space="0" w:color="000000"/>
              <w:left w:val="single" w:sz="4" w:space="0" w:color="000000"/>
              <w:bottom w:val="single" w:sz="4" w:space="0" w:color="000000"/>
              <w:right w:val="single" w:sz="4" w:space="0" w:color="000000"/>
            </w:tcBorders>
            <w:shd w:val="clear" w:color="auto" w:fill="0070C0"/>
          </w:tcPr>
          <w:p w14:paraId="0F1DDE34" w14:textId="2F7299BB" w:rsidR="00DE31FA" w:rsidRPr="00526A53" w:rsidRDefault="00DE31FA" w:rsidP="00526A53">
            <w:pPr>
              <w:ind w:left="113"/>
              <w:rPr>
                <w:b/>
                <w:color w:val="FFFFFF" w:themeColor="background1"/>
                <w:sz w:val="20"/>
                <w:szCs w:val="20"/>
              </w:rPr>
            </w:pPr>
            <w:r w:rsidRPr="00526A53">
              <w:rPr>
                <w:b/>
                <w:color w:val="FFFFFF" w:themeColor="background1"/>
                <w:sz w:val="20"/>
                <w:szCs w:val="20"/>
              </w:rPr>
              <w:t>Cladribine (N</w:t>
            </w:r>
            <w:r w:rsidR="000114E8">
              <w:rPr>
                <w:b/>
                <w:color w:val="FFFFFF" w:themeColor="background1"/>
                <w:sz w:val="20"/>
                <w:szCs w:val="20"/>
              </w:rPr>
              <w:t> </w:t>
            </w:r>
            <w:r w:rsidRPr="00526A53">
              <w:rPr>
                <w:b/>
                <w:color w:val="FFFFFF" w:themeColor="background1"/>
                <w:sz w:val="20"/>
                <w:szCs w:val="20"/>
              </w:rPr>
              <w:t>=</w:t>
            </w:r>
            <w:r w:rsidR="000114E8">
              <w:rPr>
                <w:b/>
                <w:color w:val="FFFFFF" w:themeColor="background1"/>
                <w:sz w:val="20"/>
                <w:szCs w:val="20"/>
              </w:rPr>
              <w:t> </w:t>
            </w:r>
            <w:r w:rsidRPr="00526A53">
              <w:rPr>
                <w:b/>
                <w:color w:val="FFFFFF" w:themeColor="background1"/>
                <w:sz w:val="20"/>
                <w:szCs w:val="20"/>
              </w:rPr>
              <w:t>941)</w:t>
            </w:r>
          </w:p>
        </w:tc>
        <w:tc>
          <w:tcPr>
            <w:tcW w:w="1559" w:type="dxa"/>
            <w:tcBorders>
              <w:top w:val="single" w:sz="4" w:space="0" w:color="000000"/>
              <w:left w:val="single" w:sz="4" w:space="0" w:color="000000"/>
              <w:bottom w:val="single" w:sz="4" w:space="0" w:color="000000"/>
              <w:right w:val="single" w:sz="4" w:space="0" w:color="000000"/>
            </w:tcBorders>
            <w:shd w:val="clear" w:color="auto" w:fill="0070C0"/>
          </w:tcPr>
          <w:p w14:paraId="07E22AAA" w14:textId="0D5D1DFC" w:rsidR="00DE31FA" w:rsidRPr="00526A53" w:rsidRDefault="00DE31FA" w:rsidP="00526A53">
            <w:pPr>
              <w:ind w:left="113"/>
              <w:rPr>
                <w:b/>
                <w:color w:val="FFFFFF" w:themeColor="background1"/>
                <w:sz w:val="20"/>
                <w:szCs w:val="20"/>
              </w:rPr>
            </w:pPr>
            <w:r w:rsidRPr="00526A53">
              <w:rPr>
                <w:b/>
                <w:color w:val="FFFFFF" w:themeColor="background1"/>
                <w:sz w:val="20"/>
                <w:szCs w:val="20"/>
              </w:rPr>
              <w:t>Total (N</w:t>
            </w:r>
            <w:r w:rsidR="000114E8">
              <w:rPr>
                <w:b/>
                <w:color w:val="FFFFFF" w:themeColor="background1"/>
                <w:sz w:val="20"/>
                <w:szCs w:val="20"/>
              </w:rPr>
              <w:t> </w:t>
            </w:r>
            <w:r w:rsidRPr="00526A53">
              <w:rPr>
                <w:b/>
                <w:color w:val="FFFFFF" w:themeColor="background1"/>
                <w:sz w:val="20"/>
                <w:szCs w:val="20"/>
              </w:rPr>
              <w:t>=</w:t>
            </w:r>
            <w:r w:rsidR="000114E8">
              <w:rPr>
                <w:b/>
                <w:color w:val="FFFFFF" w:themeColor="background1"/>
                <w:sz w:val="20"/>
                <w:szCs w:val="20"/>
              </w:rPr>
              <w:t> </w:t>
            </w:r>
            <w:r w:rsidRPr="00526A53">
              <w:rPr>
                <w:b/>
                <w:color w:val="FFFFFF" w:themeColor="background1"/>
                <w:sz w:val="20"/>
                <w:szCs w:val="20"/>
              </w:rPr>
              <w:t>1133)</w:t>
            </w:r>
          </w:p>
        </w:tc>
      </w:tr>
      <w:tr w:rsidR="00DE31FA" w:rsidRPr="00C96D61" w14:paraId="5E1A0266" w14:textId="77777777" w:rsidTr="00526A53">
        <w:trPr>
          <w:trHeight w:val="20"/>
        </w:trPr>
        <w:tc>
          <w:tcPr>
            <w:tcW w:w="3728" w:type="dxa"/>
            <w:tcBorders>
              <w:top w:val="single" w:sz="4" w:space="0" w:color="000000"/>
              <w:left w:val="single" w:sz="4" w:space="0" w:color="000000"/>
              <w:bottom w:val="single" w:sz="4" w:space="0" w:color="000000"/>
              <w:right w:val="single" w:sz="4" w:space="0" w:color="000000"/>
            </w:tcBorders>
          </w:tcPr>
          <w:p w14:paraId="22793F7F" w14:textId="77777777" w:rsidR="00DE31FA" w:rsidRPr="00526A53" w:rsidRDefault="00DE31FA" w:rsidP="00526A53">
            <w:pPr>
              <w:ind w:left="113"/>
              <w:rPr>
                <w:sz w:val="20"/>
                <w:szCs w:val="20"/>
              </w:rPr>
            </w:pPr>
            <w:r w:rsidRPr="00526A53">
              <w:rPr>
                <w:sz w:val="20"/>
                <w:szCs w:val="20"/>
              </w:rPr>
              <w:t>At least one AE</w:t>
            </w:r>
          </w:p>
        </w:tc>
        <w:tc>
          <w:tcPr>
            <w:tcW w:w="1559" w:type="dxa"/>
            <w:tcBorders>
              <w:top w:val="single" w:sz="4" w:space="0" w:color="000000"/>
              <w:left w:val="single" w:sz="4" w:space="0" w:color="000000"/>
              <w:bottom w:val="single" w:sz="4" w:space="0" w:color="000000"/>
              <w:right w:val="single" w:sz="4" w:space="0" w:color="000000"/>
            </w:tcBorders>
          </w:tcPr>
          <w:p w14:paraId="2085B278" w14:textId="4853FF46" w:rsidR="00DE31FA" w:rsidRPr="00526A53" w:rsidRDefault="00DE31FA" w:rsidP="00526A53">
            <w:pPr>
              <w:ind w:left="113"/>
              <w:rPr>
                <w:sz w:val="20"/>
                <w:szCs w:val="20"/>
              </w:rPr>
            </w:pPr>
            <w:r w:rsidRPr="00526A53">
              <w:rPr>
                <w:sz w:val="20"/>
                <w:szCs w:val="20"/>
              </w:rPr>
              <w:t>76 (39.6)</w:t>
            </w:r>
          </w:p>
        </w:tc>
        <w:tc>
          <w:tcPr>
            <w:tcW w:w="1559" w:type="dxa"/>
            <w:tcBorders>
              <w:top w:val="single" w:sz="4" w:space="0" w:color="000000"/>
              <w:left w:val="single" w:sz="4" w:space="0" w:color="000000"/>
              <w:bottom w:val="single" w:sz="4" w:space="0" w:color="000000"/>
              <w:right w:val="single" w:sz="4" w:space="0" w:color="000000"/>
            </w:tcBorders>
          </w:tcPr>
          <w:p w14:paraId="441C7C70" w14:textId="5974F925" w:rsidR="00DE31FA" w:rsidRPr="00526A53" w:rsidRDefault="00DE31FA" w:rsidP="00526A53">
            <w:pPr>
              <w:ind w:left="113"/>
              <w:rPr>
                <w:sz w:val="20"/>
                <w:szCs w:val="20"/>
              </w:rPr>
            </w:pPr>
            <w:r w:rsidRPr="00526A53">
              <w:rPr>
                <w:sz w:val="20"/>
                <w:szCs w:val="20"/>
              </w:rPr>
              <w:t>332 (35.3)</w:t>
            </w:r>
          </w:p>
        </w:tc>
        <w:tc>
          <w:tcPr>
            <w:tcW w:w="1559" w:type="dxa"/>
            <w:tcBorders>
              <w:top w:val="single" w:sz="4" w:space="0" w:color="000000"/>
              <w:left w:val="single" w:sz="4" w:space="0" w:color="000000"/>
              <w:bottom w:val="single" w:sz="4" w:space="0" w:color="000000"/>
              <w:right w:val="single" w:sz="4" w:space="0" w:color="000000"/>
            </w:tcBorders>
          </w:tcPr>
          <w:p w14:paraId="13DE9C2C" w14:textId="7786DCAD" w:rsidR="00DE31FA" w:rsidRPr="00526A53" w:rsidRDefault="00DE31FA" w:rsidP="00526A53">
            <w:pPr>
              <w:ind w:left="113"/>
              <w:rPr>
                <w:sz w:val="20"/>
                <w:szCs w:val="20"/>
              </w:rPr>
            </w:pPr>
            <w:r w:rsidRPr="00526A53">
              <w:rPr>
                <w:sz w:val="20"/>
                <w:szCs w:val="20"/>
              </w:rPr>
              <w:t>408 (36.0)</w:t>
            </w:r>
          </w:p>
        </w:tc>
      </w:tr>
      <w:tr w:rsidR="00DE31FA" w:rsidRPr="00C96D61" w14:paraId="7FA6DD95" w14:textId="77777777" w:rsidTr="00526A53">
        <w:trPr>
          <w:trHeight w:val="20"/>
        </w:trPr>
        <w:tc>
          <w:tcPr>
            <w:tcW w:w="3728" w:type="dxa"/>
            <w:tcBorders>
              <w:top w:val="single" w:sz="4" w:space="0" w:color="000000"/>
              <w:left w:val="single" w:sz="4" w:space="0" w:color="000000"/>
              <w:bottom w:val="single" w:sz="4" w:space="0" w:color="000000"/>
              <w:right w:val="single" w:sz="4" w:space="0" w:color="000000"/>
            </w:tcBorders>
          </w:tcPr>
          <w:p w14:paraId="26DAE8A9" w14:textId="0BCCC9B1" w:rsidR="00DE31FA" w:rsidRPr="00526A53" w:rsidRDefault="00DE31FA" w:rsidP="00526A53">
            <w:pPr>
              <w:ind w:left="113"/>
              <w:rPr>
                <w:sz w:val="20"/>
                <w:szCs w:val="20"/>
              </w:rPr>
            </w:pPr>
            <w:r w:rsidRPr="00526A53">
              <w:rPr>
                <w:sz w:val="20"/>
                <w:szCs w:val="20"/>
              </w:rPr>
              <w:t xml:space="preserve">At least one AE leading to </w:t>
            </w:r>
            <w:r w:rsidR="000114E8">
              <w:rPr>
                <w:sz w:val="20"/>
                <w:szCs w:val="20"/>
              </w:rPr>
              <w:t>d</w:t>
            </w:r>
            <w:r w:rsidRPr="00526A53">
              <w:rPr>
                <w:sz w:val="20"/>
                <w:szCs w:val="20"/>
              </w:rPr>
              <w:t>eath</w:t>
            </w:r>
          </w:p>
        </w:tc>
        <w:tc>
          <w:tcPr>
            <w:tcW w:w="1559" w:type="dxa"/>
            <w:tcBorders>
              <w:top w:val="single" w:sz="4" w:space="0" w:color="000000"/>
              <w:left w:val="single" w:sz="4" w:space="0" w:color="000000"/>
              <w:bottom w:val="single" w:sz="4" w:space="0" w:color="000000"/>
              <w:right w:val="single" w:sz="4" w:space="0" w:color="000000"/>
            </w:tcBorders>
          </w:tcPr>
          <w:p w14:paraId="371C5A8F" w14:textId="4A6253E8" w:rsidR="00DE31FA" w:rsidRPr="00526A53" w:rsidRDefault="00DE31FA" w:rsidP="00526A53">
            <w:pPr>
              <w:ind w:left="113"/>
              <w:rPr>
                <w:sz w:val="20"/>
                <w:szCs w:val="20"/>
              </w:rPr>
            </w:pPr>
            <w:r w:rsidRPr="00526A53">
              <w:rPr>
                <w:sz w:val="20"/>
                <w:szCs w:val="20"/>
              </w:rPr>
              <w:t>3 (1.6)</w:t>
            </w:r>
          </w:p>
        </w:tc>
        <w:tc>
          <w:tcPr>
            <w:tcW w:w="1559" w:type="dxa"/>
            <w:tcBorders>
              <w:top w:val="single" w:sz="4" w:space="0" w:color="000000"/>
              <w:left w:val="single" w:sz="4" w:space="0" w:color="000000"/>
              <w:bottom w:val="single" w:sz="4" w:space="0" w:color="000000"/>
              <w:right w:val="single" w:sz="4" w:space="0" w:color="000000"/>
            </w:tcBorders>
          </w:tcPr>
          <w:p w14:paraId="55CAFE82" w14:textId="3939C57F" w:rsidR="00DE31FA" w:rsidRPr="00526A53" w:rsidRDefault="00DE31FA" w:rsidP="00526A53">
            <w:pPr>
              <w:ind w:left="113"/>
              <w:rPr>
                <w:sz w:val="20"/>
                <w:szCs w:val="20"/>
              </w:rPr>
            </w:pPr>
            <w:r w:rsidRPr="00526A53">
              <w:rPr>
                <w:sz w:val="20"/>
                <w:szCs w:val="20"/>
              </w:rPr>
              <w:t>3 (0.3)</w:t>
            </w:r>
          </w:p>
        </w:tc>
        <w:tc>
          <w:tcPr>
            <w:tcW w:w="1559" w:type="dxa"/>
            <w:tcBorders>
              <w:top w:val="single" w:sz="4" w:space="0" w:color="000000"/>
              <w:left w:val="single" w:sz="4" w:space="0" w:color="000000"/>
              <w:bottom w:val="single" w:sz="4" w:space="0" w:color="000000"/>
              <w:right w:val="single" w:sz="4" w:space="0" w:color="000000"/>
            </w:tcBorders>
          </w:tcPr>
          <w:p w14:paraId="6792A3E8" w14:textId="785A6749" w:rsidR="00DE31FA" w:rsidRPr="00526A53" w:rsidRDefault="00DE31FA" w:rsidP="00526A53">
            <w:pPr>
              <w:ind w:left="113"/>
              <w:rPr>
                <w:sz w:val="20"/>
                <w:szCs w:val="20"/>
              </w:rPr>
            </w:pPr>
            <w:r w:rsidRPr="00526A53">
              <w:rPr>
                <w:sz w:val="20"/>
                <w:szCs w:val="20"/>
              </w:rPr>
              <w:t>6 (0.5)</w:t>
            </w:r>
          </w:p>
        </w:tc>
      </w:tr>
      <w:tr w:rsidR="00DE31FA" w:rsidRPr="00C96D61" w14:paraId="41D3DF56" w14:textId="77777777" w:rsidTr="00526A53">
        <w:trPr>
          <w:trHeight w:val="20"/>
        </w:trPr>
        <w:tc>
          <w:tcPr>
            <w:tcW w:w="3728" w:type="dxa"/>
            <w:tcBorders>
              <w:top w:val="single" w:sz="4" w:space="0" w:color="000000"/>
              <w:left w:val="single" w:sz="4" w:space="0" w:color="000000"/>
              <w:bottom w:val="single" w:sz="4" w:space="0" w:color="000000"/>
              <w:right w:val="single" w:sz="4" w:space="0" w:color="000000"/>
            </w:tcBorders>
          </w:tcPr>
          <w:p w14:paraId="3F8FA952" w14:textId="77777777" w:rsidR="00DE31FA" w:rsidRPr="00526A53" w:rsidRDefault="00DE31FA" w:rsidP="00526A53">
            <w:pPr>
              <w:ind w:left="113"/>
              <w:rPr>
                <w:sz w:val="20"/>
                <w:szCs w:val="20"/>
              </w:rPr>
            </w:pPr>
            <w:r w:rsidRPr="00526A53">
              <w:rPr>
                <w:sz w:val="20"/>
                <w:szCs w:val="20"/>
              </w:rPr>
              <w:t>At least one SAE</w:t>
            </w:r>
          </w:p>
        </w:tc>
        <w:tc>
          <w:tcPr>
            <w:tcW w:w="1559" w:type="dxa"/>
            <w:tcBorders>
              <w:top w:val="single" w:sz="4" w:space="0" w:color="000000"/>
              <w:left w:val="single" w:sz="4" w:space="0" w:color="000000"/>
              <w:bottom w:val="single" w:sz="4" w:space="0" w:color="000000"/>
              <w:right w:val="single" w:sz="4" w:space="0" w:color="000000"/>
            </w:tcBorders>
          </w:tcPr>
          <w:p w14:paraId="055F82F0" w14:textId="3F3946AB" w:rsidR="00DE31FA" w:rsidRPr="00526A53" w:rsidRDefault="00DE31FA" w:rsidP="00526A53">
            <w:pPr>
              <w:ind w:left="113"/>
              <w:rPr>
                <w:sz w:val="20"/>
                <w:szCs w:val="20"/>
              </w:rPr>
            </w:pPr>
            <w:r w:rsidRPr="00526A53">
              <w:rPr>
                <w:sz w:val="20"/>
                <w:szCs w:val="20"/>
              </w:rPr>
              <w:t>8 (4.2)</w:t>
            </w:r>
          </w:p>
        </w:tc>
        <w:tc>
          <w:tcPr>
            <w:tcW w:w="1559" w:type="dxa"/>
            <w:tcBorders>
              <w:top w:val="single" w:sz="4" w:space="0" w:color="000000"/>
              <w:left w:val="single" w:sz="4" w:space="0" w:color="000000"/>
              <w:bottom w:val="single" w:sz="4" w:space="0" w:color="000000"/>
              <w:right w:val="single" w:sz="4" w:space="0" w:color="000000"/>
            </w:tcBorders>
          </w:tcPr>
          <w:p w14:paraId="3C2EE3FD" w14:textId="1358DE39" w:rsidR="00DE31FA" w:rsidRPr="00526A53" w:rsidRDefault="00DE31FA" w:rsidP="00526A53">
            <w:pPr>
              <w:ind w:left="113"/>
              <w:rPr>
                <w:sz w:val="20"/>
                <w:szCs w:val="20"/>
              </w:rPr>
            </w:pPr>
            <w:r w:rsidRPr="00526A53">
              <w:rPr>
                <w:sz w:val="20"/>
                <w:szCs w:val="20"/>
              </w:rPr>
              <w:t>37 (3.9)</w:t>
            </w:r>
          </w:p>
        </w:tc>
        <w:tc>
          <w:tcPr>
            <w:tcW w:w="1559" w:type="dxa"/>
            <w:tcBorders>
              <w:top w:val="single" w:sz="4" w:space="0" w:color="000000"/>
              <w:left w:val="single" w:sz="4" w:space="0" w:color="000000"/>
              <w:bottom w:val="single" w:sz="4" w:space="0" w:color="000000"/>
              <w:right w:val="single" w:sz="4" w:space="0" w:color="000000"/>
            </w:tcBorders>
          </w:tcPr>
          <w:p w14:paraId="6DED4097" w14:textId="5351EADA" w:rsidR="00DE31FA" w:rsidRPr="00526A53" w:rsidRDefault="00DE31FA" w:rsidP="00526A53">
            <w:pPr>
              <w:ind w:left="113"/>
              <w:rPr>
                <w:sz w:val="20"/>
                <w:szCs w:val="20"/>
              </w:rPr>
            </w:pPr>
            <w:r w:rsidRPr="00526A53">
              <w:rPr>
                <w:sz w:val="20"/>
                <w:szCs w:val="20"/>
              </w:rPr>
              <w:t>45 (4.0)</w:t>
            </w:r>
          </w:p>
        </w:tc>
      </w:tr>
      <w:tr w:rsidR="00DE31FA" w:rsidRPr="00C96D61" w14:paraId="0A5924D4" w14:textId="77777777" w:rsidTr="00526A53">
        <w:trPr>
          <w:trHeight w:val="20"/>
        </w:trPr>
        <w:tc>
          <w:tcPr>
            <w:tcW w:w="3728" w:type="dxa"/>
            <w:tcBorders>
              <w:top w:val="single" w:sz="4" w:space="0" w:color="000000"/>
              <w:left w:val="single" w:sz="4" w:space="0" w:color="000000"/>
              <w:bottom w:val="single" w:sz="4" w:space="0" w:color="000000"/>
              <w:right w:val="single" w:sz="4" w:space="0" w:color="000000"/>
            </w:tcBorders>
          </w:tcPr>
          <w:p w14:paraId="782BB118" w14:textId="77777777" w:rsidR="00DE31FA" w:rsidRPr="00526A53" w:rsidRDefault="00DE31FA" w:rsidP="00526A53">
            <w:pPr>
              <w:ind w:left="113"/>
              <w:rPr>
                <w:sz w:val="20"/>
                <w:szCs w:val="20"/>
              </w:rPr>
            </w:pPr>
            <w:r w:rsidRPr="00526A53">
              <w:rPr>
                <w:sz w:val="20"/>
                <w:szCs w:val="20"/>
              </w:rPr>
              <w:t>At least one AESI: All Infection</w:t>
            </w:r>
          </w:p>
        </w:tc>
        <w:tc>
          <w:tcPr>
            <w:tcW w:w="1559" w:type="dxa"/>
            <w:tcBorders>
              <w:top w:val="single" w:sz="4" w:space="0" w:color="000000"/>
              <w:left w:val="single" w:sz="4" w:space="0" w:color="000000"/>
              <w:bottom w:val="single" w:sz="4" w:space="0" w:color="000000"/>
              <w:right w:val="single" w:sz="4" w:space="0" w:color="000000"/>
            </w:tcBorders>
          </w:tcPr>
          <w:p w14:paraId="3F35D12B" w14:textId="08AB853D" w:rsidR="00DE31FA" w:rsidRPr="00526A53" w:rsidRDefault="00DE31FA" w:rsidP="000114E8">
            <w:pPr>
              <w:ind w:left="113"/>
              <w:rPr>
                <w:sz w:val="20"/>
                <w:szCs w:val="20"/>
              </w:rPr>
            </w:pPr>
            <w:r w:rsidRPr="00526A53">
              <w:rPr>
                <w:sz w:val="20"/>
                <w:szCs w:val="20"/>
              </w:rPr>
              <w:t>7 (3.6)</w:t>
            </w:r>
          </w:p>
        </w:tc>
        <w:tc>
          <w:tcPr>
            <w:tcW w:w="1559" w:type="dxa"/>
            <w:tcBorders>
              <w:top w:val="single" w:sz="4" w:space="0" w:color="000000"/>
              <w:left w:val="single" w:sz="4" w:space="0" w:color="000000"/>
              <w:bottom w:val="single" w:sz="4" w:space="0" w:color="000000"/>
              <w:right w:val="single" w:sz="4" w:space="0" w:color="000000"/>
            </w:tcBorders>
          </w:tcPr>
          <w:p w14:paraId="0EA62462" w14:textId="3723390C" w:rsidR="00DE31FA" w:rsidRPr="00526A53" w:rsidRDefault="00DE31FA" w:rsidP="00526A53">
            <w:pPr>
              <w:ind w:left="113"/>
              <w:rPr>
                <w:sz w:val="20"/>
                <w:szCs w:val="20"/>
              </w:rPr>
            </w:pPr>
            <w:r w:rsidRPr="00526A53">
              <w:rPr>
                <w:sz w:val="20"/>
                <w:szCs w:val="20"/>
              </w:rPr>
              <w:t>35 (3.7)</w:t>
            </w:r>
          </w:p>
        </w:tc>
        <w:tc>
          <w:tcPr>
            <w:tcW w:w="1559" w:type="dxa"/>
            <w:tcBorders>
              <w:top w:val="single" w:sz="4" w:space="0" w:color="000000"/>
              <w:left w:val="single" w:sz="4" w:space="0" w:color="000000"/>
              <w:bottom w:val="single" w:sz="4" w:space="0" w:color="000000"/>
              <w:right w:val="single" w:sz="4" w:space="0" w:color="000000"/>
            </w:tcBorders>
          </w:tcPr>
          <w:p w14:paraId="16CE7B34" w14:textId="5D504A90" w:rsidR="00DE31FA" w:rsidRPr="00526A53" w:rsidRDefault="00DE31FA" w:rsidP="00526A53">
            <w:pPr>
              <w:ind w:left="113"/>
              <w:rPr>
                <w:sz w:val="20"/>
                <w:szCs w:val="20"/>
              </w:rPr>
            </w:pPr>
            <w:r w:rsidRPr="00526A53">
              <w:rPr>
                <w:sz w:val="20"/>
                <w:szCs w:val="20"/>
              </w:rPr>
              <w:t>42 (3.7)</w:t>
            </w:r>
          </w:p>
        </w:tc>
      </w:tr>
      <w:tr w:rsidR="00DE31FA" w:rsidRPr="00C96D61" w14:paraId="659631B1" w14:textId="77777777" w:rsidTr="00526A53">
        <w:trPr>
          <w:trHeight w:val="20"/>
        </w:trPr>
        <w:tc>
          <w:tcPr>
            <w:tcW w:w="3728" w:type="dxa"/>
            <w:tcBorders>
              <w:top w:val="single" w:sz="4" w:space="0" w:color="000000"/>
              <w:left w:val="single" w:sz="4" w:space="0" w:color="000000"/>
              <w:bottom w:val="single" w:sz="4" w:space="0" w:color="000000"/>
              <w:right w:val="single" w:sz="4" w:space="0" w:color="000000"/>
            </w:tcBorders>
          </w:tcPr>
          <w:p w14:paraId="18E68F91" w14:textId="77777777" w:rsidR="00DE31FA" w:rsidRPr="00526A53" w:rsidRDefault="00DE31FA" w:rsidP="00526A53">
            <w:pPr>
              <w:ind w:left="113"/>
              <w:rPr>
                <w:sz w:val="20"/>
                <w:szCs w:val="20"/>
              </w:rPr>
            </w:pPr>
            <w:r w:rsidRPr="00526A53">
              <w:rPr>
                <w:sz w:val="20"/>
                <w:szCs w:val="20"/>
              </w:rPr>
              <w:t>At least one AESI: Severe Infection</w:t>
            </w:r>
          </w:p>
        </w:tc>
        <w:tc>
          <w:tcPr>
            <w:tcW w:w="1559" w:type="dxa"/>
            <w:tcBorders>
              <w:top w:val="single" w:sz="4" w:space="0" w:color="000000"/>
              <w:left w:val="single" w:sz="4" w:space="0" w:color="000000"/>
              <w:bottom w:val="single" w:sz="4" w:space="0" w:color="000000"/>
              <w:right w:val="single" w:sz="4" w:space="0" w:color="000000"/>
            </w:tcBorders>
          </w:tcPr>
          <w:p w14:paraId="601E6A24" w14:textId="6C4961E8" w:rsidR="00DE31FA" w:rsidRPr="00526A53" w:rsidRDefault="00DE31FA" w:rsidP="00526A53">
            <w:pPr>
              <w:ind w:left="113"/>
              <w:rPr>
                <w:sz w:val="20"/>
                <w:szCs w:val="20"/>
              </w:rPr>
            </w:pPr>
            <w:r w:rsidRPr="00526A53">
              <w:rPr>
                <w:sz w:val="20"/>
                <w:szCs w:val="20"/>
              </w:rPr>
              <w:t>2 (1.0)</w:t>
            </w:r>
          </w:p>
        </w:tc>
        <w:tc>
          <w:tcPr>
            <w:tcW w:w="1559" w:type="dxa"/>
            <w:tcBorders>
              <w:top w:val="single" w:sz="4" w:space="0" w:color="000000"/>
              <w:left w:val="single" w:sz="4" w:space="0" w:color="000000"/>
              <w:bottom w:val="single" w:sz="4" w:space="0" w:color="000000"/>
              <w:right w:val="single" w:sz="4" w:space="0" w:color="000000"/>
            </w:tcBorders>
          </w:tcPr>
          <w:p w14:paraId="09DAD753" w14:textId="563DFB30" w:rsidR="00DE31FA" w:rsidRPr="00526A53" w:rsidRDefault="00DE31FA" w:rsidP="00526A53">
            <w:pPr>
              <w:ind w:left="113"/>
              <w:rPr>
                <w:sz w:val="20"/>
                <w:szCs w:val="20"/>
              </w:rPr>
            </w:pPr>
            <w:r w:rsidRPr="00526A53">
              <w:rPr>
                <w:sz w:val="20"/>
                <w:szCs w:val="20"/>
              </w:rPr>
              <w:t>6 (0.6)</w:t>
            </w:r>
          </w:p>
        </w:tc>
        <w:tc>
          <w:tcPr>
            <w:tcW w:w="1559" w:type="dxa"/>
            <w:tcBorders>
              <w:top w:val="single" w:sz="4" w:space="0" w:color="000000"/>
              <w:left w:val="single" w:sz="4" w:space="0" w:color="000000"/>
              <w:bottom w:val="single" w:sz="4" w:space="0" w:color="000000"/>
              <w:right w:val="single" w:sz="4" w:space="0" w:color="000000"/>
            </w:tcBorders>
          </w:tcPr>
          <w:p w14:paraId="2B834260" w14:textId="22DA4EA9" w:rsidR="00DE31FA" w:rsidRPr="00526A53" w:rsidRDefault="00DE31FA" w:rsidP="00526A53">
            <w:pPr>
              <w:ind w:left="113"/>
              <w:rPr>
                <w:sz w:val="20"/>
                <w:szCs w:val="20"/>
              </w:rPr>
            </w:pPr>
            <w:r w:rsidRPr="00526A53">
              <w:rPr>
                <w:sz w:val="20"/>
                <w:szCs w:val="20"/>
              </w:rPr>
              <w:t>8 (0.7)</w:t>
            </w:r>
          </w:p>
        </w:tc>
      </w:tr>
      <w:tr w:rsidR="00DE31FA" w:rsidRPr="00C96D61" w14:paraId="6E397DB0" w14:textId="77777777" w:rsidTr="00526A53">
        <w:trPr>
          <w:trHeight w:val="20"/>
        </w:trPr>
        <w:tc>
          <w:tcPr>
            <w:tcW w:w="3728" w:type="dxa"/>
            <w:tcBorders>
              <w:top w:val="single" w:sz="4" w:space="0" w:color="000000"/>
              <w:left w:val="single" w:sz="4" w:space="0" w:color="000000"/>
              <w:bottom w:val="single" w:sz="4" w:space="0" w:color="000000"/>
              <w:right w:val="single" w:sz="4" w:space="0" w:color="000000"/>
            </w:tcBorders>
          </w:tcPr>
          <w:p w14:paraId="4DFD44D1" w14:textId="77777777" w:rsidR="00DE31FA" w:rsidRPr="00526A53" w:rsidRDefault="00DE31FA" w:rsidP="00526A53">
            <w:pPr>
              <w:ind w:left="113"/>
              <w:rPr>
                <w:sz w:val="20"/>
                <w:szCs w:val="20"/>
              </w:rPr>
            </w:pPr>
            <w:r w:rsidRPr="00526A53">
              <w:rPr>
                <w:sz w:val="20"/>
                <w:szCs w:val="20"/>
              </w:rPr>
              <w:t>At least one AESI: Herpetic Infection</w:t>
            </w:r>
          </w:p>
        </w:tc>
        <w:tc>
          <w:tcPr>
            <w:tcW w:w="1559" w:type="dxa"/>
            <w:tcBorders>
              <w:top w:val="single" w:sz="4" w:space="0" w:color="000000"/>
              <w:left w:val="single" w:sz="4" w:space="0" w:color="000000"/>
              <w:bottom w:val="single" w:sz="4" w:space="0" w:color="000000"/>
              <w:right w:val="single" w:sz="4" w:space="0" w:color="000000"/>
            </w:tcBorders>
          </w:tcPr>
          <w:p w14:paraId="0845E6E3" w14:textId="2C08644A" w:rsidR="00DE31FA" w:rsidRPr="00526A53" w:rsidRDefault="00DE31FA" w:rsidP="00526A53">
            <w:pPr>
              <w:ind w:left="113"/>
              <w:rPr>
                <w:sz w:val="20"/>
                <w:szCs w:val="20"/>
              </w:rPr>
            </w:pPr>
            <w:r w:rsidRPr="00526A53">
              <w:rPr>
                <w:sz w:val="20"/>
                <w:szCs w:val="20"/>
              </w:rPr>
              <w:t>5 (2.6)</w:t>
            </w:r>
          </w:p>
        </w:tc>
        <w:tc>
          <w:tcPr>
            <w:tcW w:w="1559" w:type="dxa"/>
            <w:tcBorders>
              <w:top w:val="single" w:sz="4" w:space="0" w:color="000000"/>
              <w:left w:val="single" w:sz="4" w:space="0" w:color="000000"/>
              <w:bottom w:val="single" w:sz="4" w:space="0" w:color="000000"/>
              <w:right w:val="single" w:sz="4" w:space="0" w:color="000000"/>
            </w:tcBorders>
          </w:tcPr>
          <w:p w14:paraId="7CB74796" w14:textId="58FC3BE1" w:rsidR="00DE31FA" w:rsidRPr="00526A53" w:rsidRDefault="00DE31FA" w:rsidP="000114E8">
            <w:pPr>
              <w:ind w:left="113"/>
              <w:rPr>
                <w:sz w:val="20"/>
                <w:szCs w:val="20"/>
              </w:rPr>
            </w:pPr>
            <w:r w:rsidRPr="00526A53">
              <w:rPr>
                <w:sz w:val="20"/>
                <w:szCs w:val="20"/>
              </w:rPr>
              <w:t>29 (3.1)</w:t>
            </w:r>
          </w:p>
        </w:tc>
        <w:tc>
          <w:tcPr>
            <w:tcW w:w="1559" w:type="dxa"/>
            <w:tcBorders>
              <w:top w:val="single" w:sz="4" w:space="0" w:color="000000"/>
              <w:left w:val="single" w:sz="4" w:space="0" w:color="000000"/>
              <w:bottom w:val="single" w:sz="4" w:space="0" w:color="000000"/>
              <w:right w:val="single" w:sz="4" w:space="0" w:color="000000"/>
            </w:tcBorders>
          </w:tcPr>
          <w:p w14:paraId="1E423D61" w14:textId="5F920E23" w:rsidR="00DE31FA" w:rsidRPr="00526A53" w:rsidRDefault="00DE31FA" w:rsidP="00526A53">
            <w:pPr>
              <w:ind w:left="113"/>
              <w:rPr>
                <w:sz w:val="20"/>
                <w:szCs w:val="20"/>
              </w:rPr>
            </w:pPr>
            <w:r w:rsidRPr="00526A53">
              <w:rPr>
                <w:sz w:val="20"/>
                <w:szCs w:val="20"/>
              </w:rPr>
              <w:t>34 (3.0)</w:t>
            </w:r>
          </w:p>
        </w:tc>
      </w:tr>
      <w:tr w:rsidR="00DE31FA" w:rsidRPr="00C96D61" w14:paraId="2EFFC5E4" w14:textId="77777777" w:rsidTr="00526A53">
        <w:trPr>
          <w:trHeight w:val="20"/>
        </w:trPr>
        <w:tc>
          <w:tcPr>
            <w:tcW w:w="3728" w:type="dxa"/>
            <w:tcBorders>
              <w:top w:val="single" w:sz="4" w:space="0" w:color="000000"/>
              <w:left w:val="single" w:sz="4" w:space="0" w:color="000000"/>
              <w:bottom w:val="single" w:sz="4" w:space="0" w:color="000000"/>
              <w:right w:val="single" w:sz="4" w:space="0" w:color="000000"/>
            </w:tcBorders>
          </w:tcPr>
          <w:p w14:paraId="2E97C5C5" w14:textId="74192349" w:rsidR="00DE31FA" w:rsidRPr="00526A53" w:rsidRDefault="00DE31FA" w:rsidP="000114E8">
            <w:pPr>
              <w:ind w:left="113"/>
              <w:rPr>
                <w:sz w:val="20"/>
                <w:szCs w:val="20"/>
              </w:rPr>
            </w:pPr>
            <w:r w:rsidRPr="00526A53">
              <w:rPr>
                <w:sz w:val="20"/>
                <w:szCs w:val="20"/>
              </w:rPr>
              <w:t>At least one AESI: Opportunistic Infection (incl</w:t>
            </w:r>
            <w:r w:rsidR="000114E8">
              <w:rPr>
                <w:sz w:val="20"/>
                <w:szCs w:val="20"/>
              </w:rPr>
              <w:t>uding</w:t>
            </w:r>
            <w:r w:rsidRPr="00526A53">
              <w:rPr>
                <w:sz w:val="20"/>
                <w:szCs w:val="20"/>
              </w:rPr>
              <w:t xml:space="preserve"> </w:t>
            </w:r>
            <w:r w:rsidR="000114E8">
              <w:rPr>
                <w:sz w:val="20"/>
                <w:szCs w:val="20"/>
              </w:rPr>
              <w:t>t</w:t>
            </w:r>
            <w:r w:rsidR="000114E8" w:rsidRPr="00526A53">
              <w:rPr>
                <w:sz w:val="20"/>
                <w:szCs w:val="20"/>
              </w:rPr>
              <w:t>uberculosis</w:t>
            </w:r>
            <w:r w:rsidRPr="00526A53">
              <w:rPr>
                <w:sz w:val="20"/>
                <w:szCs w:val="20"/>
              </w:rPr>
              <w:t>)</w:t>
            </w:r>
          </w:p>
        </w:tc>
        <w:tc>
          <w:tcPr>
            <w:tcW w:w="1559" w:type="dxa"/>
            <w:tcBorders>
              <w:top w:val="single" w:sz="4" w:space="0" w:color="000000"/>
              <w:left w:val="single" w:sz="4" w:space="0" w:color="000000"/>
              <w:bottom w:val="single" w:sz="4" w:space="0" w:color="000000"/>
              <w:right w:val="single" w:sz="4" w:space="0" w:color="000000"/>
            </w:tcBorders>
          </w:tcPr>
          <w:p w14:paraId="0F8AE1B9" w14:textId="036B9332" w:rsidR="00DE31FA" w:rsidRPr="00526A53" w:rsidRDefault="00DE31FA" w:rsidP="00526A53">
            <w:pPr>
              <w:ind w:left="113"/>
              <w:rPr>
                <w:sz w:val="20"/>
                <w:szCs w:val="20"/>
              </w:rPr>
            </w:pPr>
            <w:r w:rsidRPr="00526A53">
              <w:rPr>
                <w:sz w:val="20"/>
                <w:szCs w:val="20"/>
              </w:rPr>
              <w:t>6 (3.1)</w:t>
            </w:r>
          </w:p>
        </w:tc>
        <w:tc>
          <w:tcPr>
            <w:tcW w:w="1559" w:type="dxa"/>
            <w:tcBorders>
              <w:top w:val="single" w:sz="4" w:space="0" w:color="000000"/>
              <w:left w:val="single" w:sz="4" w:space="0" w:color="000000"/>
              <w:bottom w:val="single" w:sz="4" w:space="0" w:color="000000"/>
              <w:right w:val="single" w:sz="4" w:space="0" w:color="000000"/>
            </w:tcBorders>
          </w:tcPr>
          <w:p w14:paraId="5E0230CD" w14:textId="50FAA4C7" w:rsidR="00DE31FA" w:rsidRPr="00526A53" w:rsidRDefault="00DE31FA" w:rsidP="00526A53">
            <w:pPr>
              <w:ind w:left="113"/>
              <w:rPr>
                <w:sz w:val="20"/>
                <w:szCs w:val="20"/>
              </w:rPr>
            </w:pPr>
            <w:r w:rsidRPr="00526A53">
              <w:rPr>
                <w:sz w:val="20"/>
                <w:szCs w:val="20"/>
              </w:rPr>
              <w:t>31 (3.3)</w:t>
            </w:r>
          </w:p>
        </w:tc>
        <w:tc>
          <w:tcPr>
            <w:tcW w:w="1559" w:type="dxa"/>
            <w:tcBorders>
              <w:top w:val="single" w:sz="4" w:space="0" w:color="000000"/>
              <w:left w:val="single" w:sz="4" w:space="0" w:color="000000"/>
              <w:bottom w:val="single" w:sz="4" w:space="0" w:color="000000"/>
              <w:right w:val="single" w:sz="4" w:space="0" w:color="000000"/>
            </w:tcBorders>
          </w:tcPr>
          <w:p w14:paraId="151703F7" w14:textId="3A90484D" w:rsidR="00DE31FA" w:rsidRPr="00526A53" w:rsidRDefault="00DE31FA" w:rsidP="00526A53">
            <w:pPr>
              <w:ind w:left="113"/>
              <w:rPr>
                <w:sz w:val="20"/>
                <w:szCs w:val="20"/>
              </w:rPr>
            </w:pPr>
            <w:r w:rsidRPr="00526A53">
              <w:rPr>
                <w:sz w:val="20"/>
                <w:szCs w:val="20"/>
              </w:rPr>
              <w:t>37 (3.3)</w:t>
            </w:r>
          </w:p>
        </w:tc>
      </w:tr>
      <w:tr w:rsidR="00DE31FA" w:rsidRPr="00C96D61" w14:paraId="744BC574" w14:textId="77777777" w:rsidTr="00526A53">
        <w:trPr>
          <w:trHeight w:val="20"/>
        </w:trPr>
        <w:tc>
          <w:tcPr>
            <w:tcW w:w="3728" w:type="dxa"/>
            <w:tcBorders>
              <w:top w:val="single" w:sz="4" w:space="0" w:color="000000"/>
              <w:left w:val="single" w:sz="4" w:space="0" w:color="000000"/>
              <w:bottom w:val="single" w:sz="4" w:space="0" w:color="000000"/>
              <w:right w:val="single" w:sz="4" w:space="0" w:color="000000"/>
            </w:tcBorders>
          </w:tcPr>
          <w:p w14:paraId="25578748" w14:textId="77777777" w:rsidR="00DE31FA" w:rsidRPr="00526A53" w:rsidRDefault="00DE31FA" w:rsidP="00526A53">
            <w:pPr>
              <w:ind w:left="113"/>
              <w:rPr>
                <w:sz w:val="20"/>
                <w:szCs w:val="20"/>
              </w:rPr>
            </w:pPr>
            <w:r w:rsidRPr="00526A53">
              <w:rPr>
                <w:sz w:val="20"/>
                <w:szCs w:val="20"/>
              </w:rPr>
              <w:t>At least one AESI: PML</w:t>
            </w:r>
          </w:p>
        </w:tc>
        <w:tc>
          <w:tcPr>
            <w:tcW w:w="1559" w:type="dxa"/>
            <w:tcBorders>
              <w:top w:val="single" w:sz="4" w:space="0" w:color="000000"/>
              <w:left w:val="single" w:sz="4" w:space="0" w:color="000000"/>
              <w:bottom w:val="single" w:sz="4" w:space="0" w:color="000000"/>
              <w:right w:val="single" w:sz="4" w:space="0" w:color="000000"/>
            </w:tcBorders>
          </w:tcPr>
          <w:p w14:paraId="29EDABA0" w14:textId="77777777" w:rsidR="00DE31FA" w:rsidRPr="00526A53" w:rsidRDefault="00DE31FA" w:rsidP="00526A53">
            <w:pPr>
              <w:ind w:left="113"/>
              <w:rPr>
                <w:sz w:val="20"/>
                <w:szCs w:val="20"/>
              </w:rPr>
            </w:pPr>
            <w:r w:rsidRPr="00526A53">
              <w:rPr>
                <w:sz w:val="20"/>
                <w:szCs w:val="20"/>
              </w:rPr>
              <w:t>0</w:t>
            </w:r>
          </w:p>
        </w:tc>
        <w:tc>
          <w:tcPr>
            <w:tcW w:w="1559" w:type="dxa"/>
            <w:tcBorders>
              <w:top w:val="single" w:sz="4" w:space="0" w:color="000000"/>
              <w:left w:val="single" w:sz="4" w:space="0" w:color="000000"/>
              <w:bottom w:val="single" w:sz="4" w:space="0" w:color="000000"/>
              <w:right w:val="single" w:sz="4" w:space="0" w:color="000000"/>
            </w:tcBorders>
          </w:tcPr>
          <w:p w14:paraId="1DDDE421" w14:textId="77777777" w:rsidR="00DE31FA" w:rsidRPr="00526A53" w:rsidRDefault="00DE31FA" w:rsidP="00526A53">
            <w:pPr>
              <w:ind w:left="113"/>
              <w:rPr>
                <w:sz w:val="20"/>
                <w:szCs w:val="20"/>
              </w:rPr>
            </w:pPr>
            <w:r w:rsidRPr="00526A53">
              <w:rPr>
                <w:sz w:val="20"/>
                <w:szCs w:val="20"/>
              </w:rPr>
              <w:t>0</w:t>
            </w:r>
          </w:p>
        </w:tc>
        <w:tc>
          <w:tcPr>
            <w:tcW w:w="1559" w:type="dxa"/>
            <w:tcBorders>
              <w:top w:val="single" w:sz="4" w:space="0" w:color="000000"/>
              <w:left w:val="single" w:sz="4" w:space="0" w:color="000000"/>
              <w:bottom w:val="single" w:sz="4" w:space="0" w:color="000000"/>
              <w:right w:val="single" w:sz="4" w:space="0" w:color="000000"/>
            </w:tcBorders>
          </w:tcPr>
          <w:p w14:paraId="64859902" w14:textId="77777777" w:rsidR="00DE31FA" w:rsidRPr="00526A53" w:rsidRDefault="00DE31FA" w:rsidP="00526A53">
            <w:pPr>
              <w:ind w:left="113"/>
              <w:rPr>
                <w:sz w:val="20"/>
                <w:szCs w:val="20"/>
              </w:rPr>
            </w:pPr>
            <w:r w:rsidRPr="00526A53">
              <w:rPr>
                <w:sz w:val="20"/>
                <w:szCs w:val="20"/>
              </w:rPr>
              <w:t>0</w:t>
            </w:r>
          </w:p>
        </w:tc>
      </w:tr>
      <w:tr w:rsidR="00DE31FA" w:rsidRPr="00C96D61" w14:paraId="4E18364C" w14:textId="77777777" w:rsidTr="00526A53">
        <w:trPr>
          <w:trHeight w:val="20"/>
        </w:trPr>
        <w:tc>
          <w:tcPr>
            <w:tcW w:w="3728" w:type="dxa"/>
            <w:tcBorders>
              <w:top w:val="single" w:sz="4" w:space="0" w:color="000000"/>
              <w:left w:val="single" w:sz="4" w:space="0" w:color="000000"/>
              <w:bottom w:val="single" w:sz="4" w:space="0" w:color="000000"/>
              <w:right w:val="single" w:sz="4" w:space="0" w:color="000000"/>
            </w:tcBorders>
          </w:tcPr>
          <w:p w14:paraId="19E2EA47" w14:textId="4C327BED" w:rsidR="00DE31FA" w:rsidRPr="00526A53" w:rsidRDefault="00DE31FA" w:rsidP="000114E8">
            <w:pPr>
              <w:ind w:left="113"/>
              <w:rPr>
                <w:sz w:val="20"/>
                <w:szCs w:val="20"/>
              </w:rPr>
            </w:pPr>
            <w:r w:rsidRPr="00526A53">
              <w:rPr>
                <w:sz w:val="20"/>
                <w:szCs w:val="20"/>
              </w:rPr>
              <w:t xml:space="preserve">At least one AESI: All </w:t>
            </w:r>
            <w:r w:rsidR="000114E8">
              <w:rPr>
                <w:sz w:val="20"/>
                <w:szCs w:val="20"/>
              </w:rPr>
              <w:t>m</w:t>
            </w:r>
            <w:r w:rsidR="000114E8" w:rsidRPr="00526A53">
              <w:rPr>
                <w:sz w:val="20"/>
                <w:szCs w:val="20"/>
              </w:rPr>
              <w:t xml:space="preserve">alignant </w:t>
            </w:r>
            <w:r w:rsidRPr="00526A53">
              <w:rPr>
                <w:sz w:val="20"/>
                <w:szCs w:val="20"/>
              </w:rPr>
              <w:t>or unspecified tumours</w:t>
            </w:r>
          </w:p>
        </w:tc>
        <w:tc>
          <w:tcPr>
            <w:tcW w:w="1559" w:type="dxa"/>
            <w:tcBorders>
              <w:top w:val="single" w:sz="4" w:space="0" w:color="000000"/>
              <w:left w:val="single" w:sz="4" w:space="0" w:color="000000"/>
              <w:bottom w:val="single" w:sz="4" w:space="0" w:color="000000"/>
              <w:right w:val="single" w:sz="4" w:space="0" w:color="000000"/>
            </w:tcBorders>
          </w:tcPr>
          <w:p w14:paraId="31427871" w14:textId="47C917A7" w:rsidR="00DE31FA" w:rsidRPr="00526A53" w:rsidRDefault="00DE31FA" w:rsidP="00526A53">
            <w:pPr>
              <w:ind w:left="113"/>
              <w:rPr>
                <w:sz w:val="20"/>
                <w:szCs w:val="20"/>
              </w:rPr>
            </w:pPr>
            <w:r w:rsidRPr="00526A53">
              <w:rPr>
                <w:sz w:val="20"/>
                <w:szCs w:val="20"/>
              </w:rPr>
              <w:t>1 (0.5)</w:t>
            </w:r>
          </w:p>
        </w:tc>
        <w:tc>
          <w:tcPr>
            <w:tcW w:w="1559" w:type="dxa"/>
            <w:tcBorders>
              <w:top w:val="single" w:sz="4" w:space="0" w:color="000000"/>
              <w:left w:val="single" w:sz="4" w:space="0" w:color="000000"/>
              <w:bottom w:val="single" w:sz="4" w:space="0" w:color="000000"/>
              <w:right w:val="single" w:sz="4" w:space="0" w:color="000000"/>
            </w:tcBorders>
          </w:tcPr>
          <w:p w14:paraId="5E1347F0" w14:textId="089D325F" w:rsidR="00DE31FA" w:rsidRPr="00526A53" w:rsidRDefault="00DE31FA" w:rsidP="00526A53">
            <w:pPr>
              <w:ind w:left="113"/>
              <w:rPr>
                <w:sz w:val="20"/>
                <w:szCs w:val="20"/>
              </w:rPr>
            </w:pPr>
            <w:r w:rsidRPr="00526A53">
              <w:rPr>
                <w:sz w:val="20"/>
                <w:szCs w:val="20"/>
              </w:rPr>
              <w:t>11 (1.2)</w:t>
            </w:r>
          </w:p>
        </w:tc>
        <w:tc>
          <w:tcPr>
            <w:tcW w:w="1559" w:type="dxa"/>
            <w:tcBorders>
              <w:top w:val="single" w:sz="4" w:space="0" w:color="000000"/>
              <w:left w:val="single" w:sz="4" w:space="0" w:color="000000"/>
              <w:bottom w:val="single" w:sz="4" w:space="0" w:color="000000"/>
              <w:right w:val="single" w:sz="4" w:space="0" w:color="000000"/>
            </w:tcBorders>
          </w:tcPr>
          <w:p w14:paraId="24BBA791" w14:textId="11A20BAE" w:rsidR="00DE31FA" w:rsidRPr="00526A53" w:rsidRDefault="00DE31FA" w:rsidP="00526A53">
            <w:pPr>
              <w:ind w:left="113"/>
              <w:rPr>
                <w:sz w:val="20"/>
                <w:szCs w:val="20"/>
              </w:rPr>
            </w:pPr>
            <w:r w:rsidRPr="00526A53">
              <w:rPr>
                <w:sz w:val="20"/>
                <w:szCs w:val="20"/>
              </w:rPr>
              <w:t>12 (1.1)</w:t>
            </w:r>
          </w:p>
        </w:tc>
      </w:tr>
      <w:tr w:rsidR="00DE31FA" w:rsidRPr="00C96D61" w14:paraId="5F098CB7" w14:textId="77777777" w:rsidTr="00526A53">
        <w:trPr>
          <w:trHeight w:val="20"/>
        </w:trPr>
        <w:tc>
          <w:tcPr>
            <w:tcW w:w="3728" w:type="dxa"/>
            <w:tcBorders>
              <w:top w:val="single" w:sz="4" w:space="0" w:color="000000"/>
              <w:left w:val="single" w:sz="4" w:space="0" w:color="000000"/>
              <w:bottom w:val="single" w:sz="4" w:space="0" w:color="000000"/>
              <w:right w:val="single" w:sz="4" w:space="0" w:color="000000"/>
            </w:tcBorders>
          </w:tcPr>
          <w:p w14:paraId="11E7EC89" w14:textId="77777777" w:rsidR="00DE31FA" w:rsidRPr="00526A53" w:rsidRDefault="00DE31FA" w:rsidP="00526A53">
            <w:pPr>
              <w:ind w:left="113"/>
              <w:rPr>
                <w:sz w:val="20"/>
                <w:szCs w:val="20"/>
              </w:rPr>
            </w:pPr>
            <w:r w:rsidRPr="00526A53">
              <w:rPr>
                <w:sz w:val="20"/>
                <w:szCs w:val="20"/>
              </w:rPr>
              <w:t>At least one AESI: Malignant or unspecified tumours adjudicated by the independent tumour review board</w:t>
            </w:r>
          </w:p>
        </w:tc>
        <w:tc>
          <w:tcPr>
            <w:tcW w:w="1559" w:type="dxa"/>
            <w:tcBorders>
              <w:top w:val="single" w:sz="4" w:space="0" w:color="000000"/>
              <w:left w:val="single" w:sz="4" w:space="0" w:color="000000"/>
              <w:bottom w:val="single" w:sz="4" w:space="0" w:color="000000"/>
              <w:right w:val="single" w:sz="4" w:space="0" w:color="000000"/>
            </w:tcBorders>
          </w:tcPr>
          <w:p w14:paraId="0969FEF7" w14:textId="10A6C949" w:rsidR="00DE31FA" w:rsidRPr="00526A53" w:rsidRDefault="00DE31FA" w:rsidP="000114E8">
            <w:pPr>
              <w:ind w:left="113"/>
              <w:rPr>
                <w:sz w:val="20"/>
                <w:szCs w:val="20"/>
              </w:rPr>
            </w:pPr>
            <w:r w:rsidRPr="00526A53">
              <w:rPr>
                <w:sz w:val="20"/>
                <w:szCs w:val="20"/>
              </w:rPr>
              <w:t>1 (0.5)</w:t>
            </w:r>
          </w:p>
        </w:tc>
        <w:tc>
          <w:tcPr>
            <w:tcW w:w="1559" w:type="dxa"/>
            <w:tcBorders>
              <w:top w:val="single" w:sz="4" w:space="0" w:color="000000"/>
              <w:left w:val="single" w:sz="4" w:space="0" w:color="000000"/>
              <w:bottom w:val="single" w:sz="4" w:space="0" w:color="000000"/>
              <w:right w:val="single" w:sz="4" w:space="0" w:color="000000"/>
            </w:tcBorders>
          </w:tcPr>
          <w:p w14:paraId="4267103D" w14:textId="6984BC66" w:rsidR="00DE31FA" w:rsidRPr="00526A53" w:rsidRDefault="00DE31FA" w:rsidP="000114E8">
            <w:pPr>
              <w:ind w:left="113"/>
              <w:rPr>
                <w:sz w:val="20"/>
                <w:szCs w:val="20"/>
              </w:rPr>
            </w:pPr>
            <w:r w:rsidRPr="00526A53">
              <w:rPr>
                <w:sz w:val="20"/>
                <w:szCs w:val="20"/>
              </w:rPr>
              <w:t>7 (0.7)</w:t>
            </w:r>
          </w:p>
        </w:tc>
        <w:tc>
          <w:tcPr>
            <w:tcW w:w="1559" w:type="dxa"/>
            <w:tcBorders>
              <w:top w:val="single" w:sz="4" w:space="0" w:color="000000"/>
              <w:left w:val="single" w:sz="4" w:space="0" w:color="000000"/>
              <w:bottom w:val="single" w:sz="4" w:space="0" w:color="000000"/>
              <w:right w:val="single" w:sz="4" w:space="0" w:color="000000"/>
            </w:tcBorders>
          </w:tcPr>
          <w:p w14:paraId="06E6CB15" w14:textId="243C8ED1" w:rsidR="00DE31FA" w:rsidRPr="00526A53" w:rsidRDefault="00DE31FA" w:rsidP="000114E8">
            <w:pPr>
              <w:ind w:left="113"/>
              <w:rPr>
                <w:sz w:val="20"/>
                <w:szCs w:val="20"/>
              </w:rPr>
            </w:pPr>
            <w:r w:rsidRPr="00526A53">
              <w:rPr>
                <w:sz w:val="20"/>
                <w:szCs w:val="20"/>
              </w:rPr>
              <w:t>8 (0.7)</w:t>
            </w:r>
          </w:p>
        </w:tc>
      </w:tr>
    </w:tbl>
    <w:p w14:paraId="0C682924" w14:textId="1E2DE519" w:rsidR="00DE31FA" w:rsidRDefault="00DE31FA" w:rsidP="00DE31FA">
      <w:pPr>
        <w:rPr>
          <w:lang w:eastAsia="en-AU"/>
        </w:rPr>
      </w:pPr>
      <w:r w:rsidRPr="00DE31FA">
        <w:rPr>
          <w:lang w:eastAsia="en-AU"/>
        </w:rPr>
        <w:t>Of particular note is the higher incidence of malignancy in the cladribine treatment group. (0.5% for placebo v</w:t>
      </w:r>
      <w:r w:rsidR="00526A53">
        <w:rPr>
          <w:lang w:eastAsia="en-AU"/>
        </w:rPr>
        <w:t>ersus</w:t>
      </w:r>
      <w:r w:rsidRPr="00DE31FA">
        <w:rPr>
          <w:lang w:eastAsia="en-AU"/>
        </w:rPr>
        <w:t xml:space="preserve"> 1.2% for cladribine).</w:t>
      </w:r>
      <w:r w:rsidR="0057702F">
        <w:rPr>
          <w:lang w:eastAsia="en-AU"/>
        </w:rPr>
        <w:t xml:space="preserve"> </w:t>
      </w:r>
      <w:r w:rsidRPr="00DE31FA">
        <w:rPr>
          <w:lang w:eastAsia="en-AU"/>
        </w:rPr>
        <w:t xml:space="preserve">The 11 malignant or unspecified tumours in patients given cladribine were: breast cancer (2), colon cancer </w:t>
      </w:r>
      <w:r w:rsidR="000114E8">
        <w:rPr>
          <w:lang w:eastAsia="en-AU"/>
        </w:rPr>
        <w:t>S</w:t>
      </w:r>
      <w:r w:rsidR="000114E8" w:rsidRPr="00DE31FA">
        <w:rPr>
          <w:lang w:eastAsia="en-AU"/>
        </w:rPr>
        <w:t xml:space="preserve">tage </w:t>
      </w:r>
      <w:r w:rsidRPr="00DE31FA">
        <w:rPr>
          <w:lang w:eastAsia="en-AU"/>
        </w:rPr>
        <w:t>0, lung neoplasm, metastases to lung, nasopharyngeal cancer, neoplasm of orbit, non</w:t>
      </w:r>
      <w:r w:rsidR="00526A53">
        <w:rPr>
          <w:lang w:eastAsia="en-AU"/>
        </w:rPr>
        <w:t>-</w:t>
      </w:r>
      <w:r w:rsidRPr="00DE31FA">
        <w:rPr>
          <w:lang w:eastAsia="en-AU"/>
        </w:rPr>
        <w:t xml:space="preserve">keratinising carcinoma of nasopharynx, papillary thyroid cancer, rectal adenocarcinoma, rectal cancer and thyroid neoplasm. The malignancy or unspecified tumour in the placebo group was a </w:t>
      </w:r>
      <w:r w:rsidR="00526A53">
        <w:rPr>
          <w:lang w:eastAsia="en-AU"/>
        </w:rPr>
        <w:t>S</w:t>
      </w:r>
      <w:r w:rsidRPr="00DE31FA">
        <w:rPr>
          <w:lang w:eastAsia="en-AU"/>
        </w:rPr>
        <w:t>tage 0 cervix carcinoma.</w:t>
      </w:r>
    </w:p>
    <w:p w14:paraId="12FF09B2" w14:textId="77777777" w:rsidR="008E7846" w:rsidRDefault="00386150" w:rsidP="001A773A">
      <w:pPr>
        <w:pStyle w:val="Heading3"/>
        <w:rPr>
          <w:lang w:eastAsia="en-AU"/>
        </w:rPr>
      </w:pPr>
      <w:bookmarkStart w:id="121" w:name="_Toc519257450"/>
      <w:r>
        <w:rPr>
          <w:lang w:eastAsia="en-AU"/>
        </w:rPr>
        <w:t>Risk m</w:t>
      </w:r>
      <w:r w:rsidR="008E7846">
        <w:rPr>
          <w:lang w:eastAsia="en-AU"/>
        </w:rPr>
        <w:t xml:space="preserve">anagement </w:t>
      </w:r>
      <w:r>
        <w:rPr>
          <w:lang w:eastAsia="en-AU"/>
        </w:rPr>
        <w:t>p</w:t>
      </w:r>
      <w:r w:rsidR="008E7846">
        <w:rPr>
          <w:lang w:eastAsia="en-AU"/>
        </w:rPr>
        <w:t>lan</w:t>
      </w:r>
      <w:bookmarkEnd w:id="117"/>
      <w:bookmarkEnd w:id="121"/>
    </w:p>
    <w:p w14:paraId="5D23AD4E" w14:textId="5CB3DE7B" w:rsidR="00DE31FA" w:rsidRDefault="00DE31FA" w:rsidP="00DE31FA">
      <w:r>
        <w:t xml:space="preserve">EU-RMP version 1.0, 3 June 2016; </w:t>
      </w:r>
      <w:r w:rsidR="00526A53">
        <w:t>data lock point (</w:t>
      </w:r>
      <w:r>
        <w:t>DLP</w:t>
      </w:r>
      <w:r w:rsidR="00526A53">
        <w:t>)</w:t>
      </w:r>
      <w:r>
        <w:t xml:space="preserve"> 29 February 2016 with Australian Specific Annex</w:t>
      </w:r>
      <w:r w:rsidR="007E576A">
        <w:t xml:space="preserve"> (ASA)</w:t>
      </w:r>
      <w:r>
        <w:t xml:space="preserve"> version 5.0, 2 December 2016 was submitted.</w:t>
      </w:r>
    </w:p>
    <w:p w14:paraId="3CBC79A7" w14:textId="550F5DD9" w:rsidR="00DE31FA" w:rsidRDefault="00DE31FA" w:rsidP="00DE31FA">
      <w:r>
        <w:t>The RMP evaluator considered the Summary of Safety concerns (ASA v</w:t>
      </w:r>
      <w:r w:rsidR="007E576A">
        <w:t xml:space="preserve">ersion </w:t>
      </w:r>
      <w:r>
        <w:t>5.0) to be incomplete. That summary included severe lympho</w:t>
      </w:r>
      <w:r w:rsidR="002A3ED4">
        <w:t>paenia</w:t>
      </w:r>
      <w:r>
        <w:t xml:space="preserve"> and herpes zoster infection as </w:t>
      </w:r>
      <w:r>
        <w:lastRenderedPageBreak/>
        <w:t>identified risks, severe infections, opportunistic infections, malignancies, and teratogenicity/adverse pregnancy outcomes as important potential risks and long term safety data as missing information.</w:t>
      </w:r>
    </w:p>
    <w:p w14:paraId="2593E039" w14:textId="77777777" w:rsidR="00DE31FA" w:rsidRDefault="00DE31FA" w:rsidP="00DE31FA">
      <w:r>
        <w:t>Additional risk minimisation activities are considered necessary by the sponsor and are being developed, including a Health Care Professional Guide and a Patient Guide. They are proposed to align with the EU</w:t>
      </w:r>
      <w:r w:rsidR="00526A53">
        <w:t xml:space="preserve"> </w:t>
      </w:r>
      <w:r>
        <w:t>materials (drafts submitted) and are intended to minimise all the important risks, except ‘Malignancies’.</w:t>
      </w:r>
    </w:p>
    <w:p w14:paraId="350DBB68" w14:textId="49902127" w:rsidR="00DE31FA" w:rsidRDefault="00DE31FA" w:rsidP="00DE31FA">
      <w:r>
        <w:t>The RMP evaluator recommended additional safety concerns for the Safety Specification, requested details of the proposed pharmacovigilance activities, including whether Australian patients were to be included in a pregnancy registry and a post-authorisation safety study.</w:t>
      </w:r>
    </w:p>
    <w:p w14:paraId="6ADB504F" w14:textId="77777777" w:rsidR="008E7846" w:rsidRDefault="00DE31FA" w:rsidP="00DE31FA">
      <w:r>
        <w:t>Recommendations by the RMP evaluator included patient directed risk minimisation tools, changes to the draft PI to better highlight risks and a request that the Australian educational material be provided.</w:t>
      </w:r>
    </w:p>
    <w:p w14:paraId="7AA4C422" w14:textId="77777777" w:rsidR="008E7846" w:rsidRDefault="00AA0ED0" w:rsidP="00312285">
      <w:pPr>
        <w:pStyle w:val="Heading3"/>
      </w:pPr>
      <w:bookmarkStart w:id="122" w:name="_Toc247691531"/>
      <w:bookmarkStart w:id="123" w:name="_Toc314842515"/>
      <w:bookmarkStart w:id="124" w:name="_Toc196046505"/>
      <w:bookmarkStart w:id="125" w:name="_Toc196046949"/>
      <w:bookmarkStart w:id="126" w:name="_Toc519257451"/>
      <w:r>
        <w:t xml:space="preserve">Risk-benefit </w:t>
      </w:r>
      <w:r w:rsidRPr="00312285">
        <w:t>a</w:t>
      </w:r>
      <w:r w:rsidR="008E7846" w:rsidRPr="00312285">
        <w:t>nalysis</w:t>
      </w:r>
      <w:bookmarkEnd w:id="122"/>
      <w:bookmarkEnd w:id="123"/>
      <w:bookmarkEnd w:id="126"/>
    </w:p>
    <w:p w14:paraId="1E0539AD" w14:textId="3F388F59" w:rsidR="00D23139" w:rsidRPr="00312285" w:rsidRDefault="00312285" w:rsidP="00312285">
      <w:pPr>
        <w:pStyle w:val="Heading4"/>
      </w:pPr>
      <w:r>
        <w:t>Delegate’s considerations</w:t>
      </w:r>
    </w:p>
    <w:p w14:paraId="498255EC" w14:textId="1257A1D6" w:rsidR="00DE31FA" w:rsidRDefault="00DE31FA" w:rsidP="00DE31FA">
      <w:r>
        <w:t>No new data on the mechanism of action of cladribine in MS were submitted.</w:t>
      </w:r>
      <w:r w:rsidR="0057702F">
        <w:t xml:space="preserve"> </w:t>
      </w:r>
      <w:r>
        <w:t xml:space="preserve">It was noted by the </w:t>
      </w:r>
      <w:r w:rsidR="002A5570">
        <w:t>Advisory Committee on Prescription Medicines (</w:t>
      </w:r>
      <w:r w:rsidR="00526A53">
        <w:t>ACPM</w:t>
      </w:r>
      <w:r w:rsidR="002A5570">
        <w:t>; now the ACM)</w:t>
      </w:r>
      <w:r>
        <w:t xml:space="preserve"> at its consideration of the initial submission that a minimum effective dose of cladribine for MS had not been established.</w:t>
      </w:r>
      <w:r w:rsidR="0057702F">
        <w:t xml:space="preserve"> </w:t>
      </w:r>
      <w:r>
        <w:t>The approved 3.5 mg/kg dose level appears to achieve a maximum response. No new data to explore lower doses was included in this submission.</w:t>
      </w:r>
    </w:p>
    <w:p w14:paraId="282721CB" w14:textId="46E83E3F" w:rsidR="00DE31FA" w:rsidRDefault="00DE31FA" w:rsidP="00DE31FA">
      <w:r>
        <w:t>There were no new data concerning patients with renal impairment.</w:t>
      </w:r>
      <w:r w:rsidR="0057702F">
        <w:t xml:space="preserve"> </w:t>
      </w:r>
      <w:r>
        <w:t>The PopPK analysis included only patients with normal or mild renal impairment.</w:t>
      </w:r>
      <w:r w:rsidR="0057702F">
        <w:t xml:space="preserve"> </w:t>
      </w:r>
      <w:r>
        <w:t>An estimate of the exposure to cladribine for patients with moderate to severe renal impairment based on extrapolation from those with normal renal function or mild renal impairment was made and has been proposed for inclusion in the PI.</w:t>
      </w:r>
      <w:r w:rsidR="0057702F">
        <w:t xml:space="preserve"> </w:t>
      </w:r>
      <w:r>
        <w:t>This is not appropriate. Cladribine results in prolonged dose</w:t>
      </w:r>
      <w:r w:rsidR="00BC1A2C">
        <w:t xml:space="preserve"> </w:t>
      </w:r>
      <w:r>
        <w:t>related lymphocyte suppression and there are major safety concerns with overexposure.</w:t>
      </w:r>
      <w:r w:rsidR="0057702F">
        <w:t xml:space="preserve"> </w:t>
      </w:r>
      <w:r>
        <w:t>A PK study in patients with moderate or greater renal impairment would be required if data on exposure in those patients were to be included in the PI.</w:t>
      </w:r>
    </w:p>
    <w:p w14:paraId="0048212C" w14:textId="56A8D6DE" w:rsidR="00DE31FA" w:rsidRDefault="00DE31FA" w:rsidP="00DE31FA">
      <w:r>
        <w:t>The CLARITY extension study was primarily a safety study but the majority of patients were given additional doses of cladribine.</w:t>
      </w:r>
      <w:r w:rsidR="0057702F">
        <w:t xml:space="preserve"> </w:t>
      </w:r>
      <w:r>
        <w:t>No additional efficacy from higher cumulative doses over the initial 3.5 mg/kg over 2 years was demonstrated.</w:t>
      </w:r>
      <w:r w:rsidR="0057702F">
        <w:t xml:space="preserve"> </w:t>
      </w:r>
      <w:r>
        <w:t>Of note is that there were 98 patients who received the current dose regimen in the initial CLARITY study and who were followed for efficacy in CLARITY extension having received no additional cladribine.</w:t>
      </w:r>
      <w:r w:rsidR="0057702F">
        <w:t xml:space="preserve"> </w:t>
      </w:r>
      <w:r>
        <w:t>The annualised relapse rate in these patients was similar to the annualised relapse rate in the CLARITY study, strongly suggesting continued benefit up to 6 years after commencing treatment with cladribine.</w:t>
      </w:r>
      <w:r w:rsidR="0057702F">
        <w:t xml:space="preserve"> </w:t>
      </w:r>
      <w:r>
        <w:t>The risk of disability progression over the 96 weeks of the CLARITY study for patients given 3.5 mg cladribine was 33%.</w:t>
      </w:r>
      <w:r w:rsidR="0057702F">
        <w:t xml:space="preserve"> </w:t>
      </w:r>
      <w:r>
        <w:t>Disability progression occurred in</w:t>
      </w:r>
      <w:r w:rsidR="0057702F">
        <w:t xml:space="preserve"> </w:t>
      </w:r>
      <w:r>
        <w:t>27.6% over the course of the extension study, again indicating sustained benefit from cladribine given only in the CLARITY study.</w:t>
      </w:r>
      <w:r w:rsidR="0057702F">
        <w:t xml:space="preserve"> </w:t>
      </w:r>
      <w:r>
        <w:t>These results strongly support continuing benefit from the current dose regimen.</w:t>
      </w:r>
    </w:p>
    <w:p w14:paraId="6A2D3FD7" w14:textId="31CDABF3" w:rsidR="00DE31FA" w:rsidRDefault="00DE31FA" w:rsidP="00DE31FA">
      <w:r>
        <w:t>The post hoc efficacy analyses of the CLARITY study clearly shows that more benefit in terms of reduced relapse rates and reduction in the risk of disability progression for patients with higher disease activity at baseline compared with other patients, though benefit was shown for all patients.</w:t>
      </w:r>
      <w:r w:rsidR="0057702F">
        <w:t xml:space="preserve"> </w:t>
      </w:r>
      <w:r w:rsidR="00BC1A2C">
        <w:t>The Delegate does not</w:t>
      </w:r>
      <w:r>
        <w:t xml:space="preserve"> consider the difference in extent of benefit over the course of 2 years is sufficient to amend the indications to prevent patients without highly active disease at </w:t>
      </w:r>
      <w:r w:rsidR="007E576A">
        <w:t xml:space="preserve">Baseline </w:t>
      </w:r>
      <w:r>
        <w:t>from receiving cladribine.</w:t>
      </w:r>
      <w:r w:rsidR="0057702F">
        <w:t xml:space="preserve"> </w:t>
      </w:r>
      <w:r>
        <w:t>It is appropriate to disclose the extent of differen</w:t>
      </w:r>
      <w:r w:rsidR="00BC1A2C">
        <w:t xml:space="preserve">ce in benefit shown in the post </w:t>
      </w:r>
      <w:r>
        <w:t xml:space="preserve">hoc analyses </w:t>
      </w:r>
      <w:r>
        <w:lastRenderedPageBreak/>
        <w:t>of the CLARITY study in the</w:t>
      </w:r>
      <w:r w:rsidR="0057702F">
        <w:t xml:space="preserve"> </w:t>
      </w:r>
      <w:r w:rsidR="00BC1A2C">
        <w:t xml:space="preserve">Clinical Trials </w:t>
      </w:r>
      <w:r>
        <w:t>section</w:t>
      </w:r>
      <w:r w:rsidR="00BC1A2C">
        <w:t xml:space="preserve"> of the PI</w:t>
      </w:r>
      <w:r>
        <w:t>.</w:t>
      </w:r>
      <w:r w:rsidR="0057702F">
        <w:t xml:space="preserve"> </w:t>
      </w:r>
      <w:r>
        <w:t>This will allow for maximal choice of treatments for patients.</w:t>
      </w:r>
      <w:r w:rsidR="0057702F">
        <w:t xml:space="preserve"> </w:t>
      </w:r>
      <w:r>
        <w:t>Cladribine treatment is to be initiated only by neurologists skilled in the management of MS and thus able to appropriately select patients.</w:t>
      </w:r>
    </w:p>
    <w:p w14:paraId="64F71769" w14:textId="77777777" w:rsidR="00DE31FA" w:rsidRDefault="00DE31FA" w:rsidP="00DE31FA">
      <w:r>
        <w:t>A report of the ORACLE study was included in the submission.</w:t>
      </w:r>
      <w:r w:rsidR="0057702F">
        <w:t xml:space="preserve"> </w:t>
      </w:r>
      <w:r>
        <w:t>Cladribine is potentially very toxic and it would be clearly inappropriate for it to be given to patients who do not have a poor prognosis without aggressive treatment.</w:t>
      </w:r>
      <w:r w:rsidR="0057702F">
        <w:t xml:space="preserve"> </w:t>
      </w:r>
      <w:r>
        <w:t>Those patients were eligible for inclusion in this study. Prevention of conversion to clinically definite MS is not an appropriate endpoint for current studies in the treatment of MS.</w:t>
      </w:r>
      <w:r w:rsidR="0057702F">
        <w:t xml:space="preserve"> </w:t>
      </w:r>
      <w:r>
        <w:t>Similarly with the ORACLE study it was not possible to determine if there was increased efficacy from the combination of continued INF-β in patients who had been given cladribine.</w:t>
      </w:r>
    </w:p>
    <w:p w14:paraId="764A0C7B" w14:textId="77777777" w:rsidR="00DE31FA" w:rsidRPr="00DE31FA" w:rsidRDefault="00DE31FA" w:rsidP="00DE31FA">
      <w:r>
        <w:t>It is clear that careful surveillance for infection and lympho</w:t>
      </w:r>
      <w:r w:rsidR="002A3ED4">
        <w:t>paenia</w:t>
      </w:r>
      <w:r>
        <w:t xml:space="preserve"> is required for all patients who have received cladribine.</w:t>
      </w:r>
      <w:r w:rsidR="0057702F">
        <w:t xml:space="preserve"> </w:t>
      </w:r>
      <w:r>
        <w:t>While 75% of patients given the current dose regimen had lymphocyte counts within the normal range at Week 90 after their last dose (144 weeks after commencing treatment with cladribine) patients with persistent lympho</w:t>
      </w:r>
      <w:r w:rsidR="002A3ED4">
        <w:t>paenia</w:t>
      </w:r>
      <w:r>
        <w:t xml:space="preserve"> should continue to be monitored until lymphocyte counts return to the normal range. Whether surveillance for AEs including malignancy can be reduced over time is not able to be determined from the data presented.</w:t>
      </w:r>
    </w:p>
    <w:p w14:paraId="11CDB5C2" w14:textId="3A4A4FDC" w:rsidR="00D23139" w:rsidRDefault="00D23139" w:rsidP="00312285">
      <w:pPr>
        <w:pStyle w:val="Heading4"/>
      </w:pPr>
      <w:r w:rsidRPr="00D23139">
        <w:t>Request for ACM advice</w:t>
      </w:r>
    </w:p>
    <w:p w14:paraId="1BC29CAF" w14:textId="7FB4910B" w:rsidR="00DE31FA" w:rsidRPr="00DE31FA" w:rsidRDefault="00DE31FA" w:rsidP="00DE31FA">
      <w:r>
        <w:t>This application was not referred to the Advisory Committee on Medicines</w:t>
      </w:r>
      <w:r w:rsidR="002A5570">
        <w:t xml:space="preserve"> (ACM)</w:t>
      </w:r>
      <w:r>
        <w:t>.</w:t>
      </w:r>
    </w:p>
    <w:p w14:paraId="1401AAD0" w14:textId="4FE688CE" w:rsidR="00D23139" w:rsidRDefault="00C96D61" w:rsidP="00312285">
      <w:pPr>
        <w:pStyle w:val="Heading4"/>
      </w:pPr>
      <w:r>
        <w:t xml:space="preserve">Response from </w:t>
      </w:r>
      <w:r w:rsidR="00D21308" w:rsidRPr="00312285">
        <w:t>s</w:t>
      </w:r>
      <w:r w:rsidRPr="00312285">
        <w:t>ponsor</w:t>
      </w:r>
    </w:p>
    <w:p w14:paraId="1F029ABF" w14:textId="24602E7B" w:rsidR="00C96D61" w:rsidRDefault="00C96D61" w:rsidP="00312285">
      <w:pPr>
        <w:pStyle w:val="Heading5"/>
      </w:pPr>
      <w:r>
        <w:t xml:space="preserve">Outstanding issues from RMP </w:t>
      </w:r>
      <w:r w:rsidR="00D21308" w:rsidRPr="00312285">
        <w:t>evaluation</w:t>
      </w:r>
      <w:r w:rsidR="00D21308">
        <w:t xml:space="preserve"> report</w:t>
      </w:r>
    </w:p>
    <w:p w14:paraId="41F7592B" w14:textId="77777777" w:rsidR="00C96D61" w:rsidRDefault="00686079" w:rsidP="00BC1A2C">
      <w:r>
        <w:t>The f</w:t>
      </w:r>
      <w:r w:rsidR="00C96D61">
        <w:t>ollowing have been identified as outstanding issues from the RMP evaluation report:</w:t>
      </w:r>
    </w:p>
    <w:p w14:paraId="4924A0E9" w14:textId="77777777" w:rsidR="00C96D61" w:rsidRPr="00D21308" w:rsidRDefault="00C96D61" w:rsidP="00D21308">
      <w:pPr>
        <w:pStyle w:val="ListBullet"/>
      </w:pPr>
      <w:r w:rsidRPr="00D21308">
        <w:t>Paediatric</w:t>
      </w:r>
      <w:r w:rsidRPr="00D20AA2">
        <w:t xml:space="preserve"> </w:t>
      </w:r>
      <w:r w:rsidRPr="00D21308">
        <w:t>population</w:t>
      </w:r>
    </w:p>
    <w:p w14:paraId="1D3DDFC4" w14:textId="77777777" w:rsidR="00C96D61" w:rsidRPr="00D21308" w:rsidRDefault="00C96D61" w:rsidP="00D21308">
      <w:pPr>
        <w:pStyle w:val="ListBullet"/>
      </w:pPr>
      <w:r w:rsidRPr="00D21308">
        <w:t>Moderate to severe renal</w:t>
      </w:r>
      <w:r w:rsidRPr="00D20AA2">
        <w:t xml:space="preserve"> </w:t>
      </w:r>
      <w:r w:rsidRPr="00D21308">
        <w:t>impairment</w:t>
      </w:r>
    </w:p>
    <w:p w14:paraId="69BE22DD" w14:textId="18E3F7A2" w:rsidR="00C96D61" w:rsidRPr="00D21308" w:rsidRDefault="00C96D61" w:rsidP="00D21308">
      <w:pPr>
        <w:pStyle w:val="ListBullet"/>
      </w:pPr>
      <w:r w:rsidRPr="00D21308">
        <w:t>Educational material</w:t>
      </w:r>
      <w:r w:rsidR="00D21308">
        <w:t xml:space="preserve">: </w:t>
      </w:r>
      <w:r w:rsidRPr="00D21308">
        <w:t>Patient</w:t>
      </w:r>
      <w:r w:rsidRPr="00D20AA2">
        <w:t xml:space="preserve"> </w:t>
      </w:r>
      <w:r w:rsidRPr="00D21308">
        <w:t>Guide</w:t>
      </w:r>
    </w:p>
    <w:p w14:paraId="3E4C6F1F" w14:textId="7C9FB83F" w:rsidR="00C96D61" w:rsidRPr="00D21308" w:rsidRDefault="00C96D61" w:rsidP="00D21308">
      <w:pPr>
        <w:pStyle w:val="ListBullet"/>
      </w:pPr>
      <w:r w:rsidRPr="00D21308">
        <w:t>Implementation plan</w:t>
      </w:r>
      <w:r w:rsidR="00D21308">
        <w:t xml:space="preserve">: </w:t>
      </w:r>
      <w:r w:rsidRPr="00D21308">
        <w:t>Schedule of effectiveness assessment</w:t>
      </w:r>
      <w:r w:rsidRPr="00D20AA2">
        <w:t xml:space="preserve"> </w:t>
      </w:r>
      <w:r w:rsidRPr="00D21308">
        <w:t>reports</w:t>
      </w:r>
    </w:p>
    <w:p w14:paraId="154FD540" w14:textId="166C4426" w:rsidR="00C96D61" w:rsidRDefault="00C96D61" w:rsidP="00C96D61">
      <w:pPr>
        <w:pStyle w:val="Heading6"/>
      </w:pPr>
      <w:r>
        <w:t>Paediatric population</w:t>
      </w:r>
    </w:p>
    <w:p w14:paraId="32B4BBB0" w14:textId="527F11A3" w:rsidR="00C96D61" w:rsidRPr="00C96D61" w:rsidRDefault="00C96D61" w:rsidP="00C96D61">
      <w:r w:rsidRPr="00C96D61">
        <w:t xml:space="preserve">Per the </w:t>
      </w:r>
      <w:r w:rsidR="00686079">
        <w:t>second</w:t>
      </w:r>
      <w:r w:rsidRPr="00C96D61">
        <w:t xml:space="preserve"> round clinical evaluation report, the revised wording for Paediatric Use in</w:t>
      </w:r>
      <w:r w:rsidR="0057702F">
        <w:t xml:space="preserve"> </w:t>
      </w:r>
      <w:r w:rsidRPr="00C96D61">
        <w:t>the</w:t>
      </w:r>
      <w:r w:rsidR="0057702F">
        <w:t xml:space="preserve"> </w:t>
      </w:r>
      <w:r w:rsidRPr="00C96D61">
        <w:t xml:space="preserve">proposed PI is believed satisfactory. The sponsor agrees to include </w:t>
      </w:r>
      <w:r w:rsidR="00D21308">
        <w:t xml:space="preserve">the </w:t>
      </w:r>
      <w:r w:rsidRPr="00C96D61">
        <w:t xml:space="preserve">paediatric population as important missing information of the Safety Concerns in the </w:t>
      </w:r>
      <w:r w:rsidR="00D21308">
        <w:t>ASA.</w:t>
      </w:r>
    </w:p>
    <w:p w14:paraId="5A9114B2" w14:textId="6FD47E04" w:rsidR="00C96D61" w:rsidRDefault="00C96D61" w:rsidP="00C96D61">
      <w:pPr>
        <w:pStyle w:val="Heading6"/>
      </w:pPr>
      <w:r>
        <w:t>Moderate to severe renal impairment</w:t>
      </w:r>
    </w:p>
    <w:p w14:paraId="0AD3CEA1" w14:textId="77777777" w:rsidR="00C96D61" w:rsidRDefault="00C96D61" w:rsidP="00C96D61">
      <w:r>
        <w:t>The sponsor agrees to include moderate to severe renal impairment as important missing information of the Safety Concerns in the ASA.</w:t>
      </w:r>
    </w:p>
    <w:p w14:paraId="7AAAA16B" w14:textId="24590567" w:rsidR="00C96D61" w:rsidRDefault="00C96D61" w:rsidP="00C96D61">
      <w:pPr>
        <w:pStyle w:val="Heading6"/>
      </w:pPr>
      <w:r>
        <w:t>Educational material</w:t>
      </w:r>
      <w:r w:rsidR="00D21308">
        <w:t xml:space="preserve">: </w:t>
      </w:r>
      <w:r>
        <w:t>Patient Guide</w:t>
      </w:r>
    </w:p>
    <w:p w14:paraId="7EFF8924" w14:textId="20D694BA" w:rsidR="00C96D61" w:rsidRDefault="00C96D61" w:rsidP="00C96D61">
      <w:r>
        <w:t>The RMP evaluation report made 3 recommendations for amendment</w:t>
      </w:r>
      <w:r w:rsidR="00D21308">
        <w:t>s</w:t>
      </w:r>
      <w:r>
        <w:t xml:space="preserve"> of the Patient Guide. The sponsor accepts all recommendations and the final version of the Patient Guide will be submitted with the ASA.</w:t>
      </w:r>
    </w:p>
    <w:p w14:paraId="2C3D3346" w14:textId="0630FAB7" w:rsidR="00C96D61" w:rsidRDefault="00C96D61" w:rsidP="00C96D61">
      <w:pPr>
        <w:pStyle w:val="Heading6"/>
      </w:pPr>
      <w:r>
        <w:t>Implementation plan</w:t>
      </w:r>
      <w:r w:rsidR="00D21308">
        <w:t>:</w:t>
      </w:r>
      <w:r>
        <w:t xml:space="preserve"> </w:t>
      </w:r>
      <w:r w:rsidR="00D21308">
        <w:t xml:space="preserve">Schedule </w:t>
      </w:r>
      <w:r>
        <w:t>of effectiveness assessment reports</w:t>
      </w:r>
    </w:p>
    <w:p w14:paraId="42E4CE62" w14:textId="77E026D7" w:rsidR="00C96D61" w:rsidRDefault="00C96D61" w:rsidP="00C96D61">
      <w:r>
        <w:t>Expected dates for submission of effectiveness assessment reports were requested. Approximate timelines will be included in the implementation plan for submission with the ASA</w:t>
      </w:r>
      <w:r w:rsidR="00312285">
        <w:t>.</w:t>
      </w:r>
    </w:p>
    <w:p w14:paraId="5ECE6A27" w14:textId="200EFE19" w:rsidR="00C96D61" w:rsidRDefault="00C96D61" w:rsidP="00E97B09">
      <w:pPr>
        <w:pStyle w:val="Heading5"/>
      </w:pPr>
      <w:r>
        <w:lastRenderedPageBreak/>
        <w:t xml:space="preserve">Review of </w:t>
      </w:r>
      <w:r w:rsidRPr="00E97B09">
        <w:t>the</w:t>
      </w:r>
      <w:r>
        <w:t xml:space="preserve"> Product Information </w:t>
      </w:r>
      <w:r w:rsidR="00D21308">
        <w:t xml:space="preserve">requests </w:t>
      </w:r>
      <w:r>
        <w:t>for amendments</w:t>
      </w:r>
    </w:p>
    <w:p w14:paraId="2FCB513B" w14:textId="7A36C0B9" w:rsidR="00C96D61" w:rsidRDefault="00C96D61" w:rsidP="00686079">
      <w:r>
        <w:t xml:space="preserve">The sponsor accepts all recommendations made by the Delegate on the proposed </w:t>
      </w:r>
      <w:r w:rsidR="00D21308">
        <w:t>PI.</w:t>
      </w:r>
    </w:p>
    <w:p w14:paraId="25F80FF7" w14:textId="77777777" w:rsidR="00C96D61" w:rsidRPr="00C96D61" w:rsidRDefault="00C96D61" w:rsidP="00686079">
      <w:r>
        <w:t>The draft PI has been amended.</w:t>
      </w:r>
    </w:p>
    <w:p w14:paraId="38892DCE" w14:textId="21D881BD" w:rsidR="008E7846" w:rsidRDefault="00E97B09" w:rsidP="00E97B09">
      <w:pPr>
        <w:pStyle w:val="Heading4"/>
      </w:pPr>
      <w:r>
        <w:t>Advisory c</w:t>
      </w:r>
      <w:r w:rsidR="008E7846">
        <w:t xml:space="preserve">ommittee </w:t>
      </w:r>
      <w:r w:rsidRPr="00E97B09">
        <w:t>c</w:t>
      </w:r>
      <w:r w:rsidR="008E7846" w:rsidRPr="00E97B09">
        <w:t>onsiderations</w:t>
      </w:r>
    </w:p>
    <w:p w14:paraId="01AEFEB9" w14:textId="3EC54F9D" w:rsidR="005921E0" w:rsidRPr="00DE31FA" w:rsidRDefault="005921E0" w:rsidP="005921E0">
      <w:r>
        <w:t>This application was not referred to the Advisory Committee on Medicines</w:t>
      </w:r>
      <w:r w:rsidR="00D21308">
        <w:t xml:space="preserve"> (ACM)</w:t>
      </w:r>
      <w:r>
        <w:t>.</w:t>
      </w:r>
    </w:p>
    <w:p w14:paraId="316EAC3D" w14:textId="77777777" w:rsidR="008E7846" w:rsidRPr="002E238E" w:rsidRDefault="008E7846" w:rsidP="00E97B09">
      <w:pPr>
        <w:pStyle w:val="Heading3"/>
      </w:pPr>
      <w:bookmarkStart w:id="127" w:name="_Toc247691532"/>
      <w:bookmarkStart w:id="128" w:name="_Toc314842516"/>
      <w:bookmarkStart w:id="129" w:name="_Toc519257452"/>
      <w:bookmarkEnd w:id="75"/>
      <w:bookmarkEnd w:id="124"/>
      <w:bookmarkEnd w:id="125"/>
      <w:r w:rsidRPr="00E97B09">
        <w:t>Outcome</w:t>
      </w:r>
      <w:bookmarkEnd w:id="127"/>
      <w:bookmarkEnd w:id="128"/>
      <w:bookmarkEnd w:id="129"/>
    </w:p>
    <w:p w14:paraId="7DD2805E" w14:textId="6CA1D714" w:rsidR="005921E0" w:rsidRDefault="00D23139" w:rsidP="005921E0">
      <w:bookmarkStart w:id="130" w:name="_Toc247691533"/>
      <w:bookmarkStart w:id="131" w:name="_Toc314842517"/>
      <w:r w:rsidRPr="00D23139">
        <w:t xml:space="preserve">Based on a review of quality, safety and efficacy, </w:t>
      </w:r>
      <w:r w:rsidR="001B16A7">
        <w:t xml:space="preserve">the </w:t>
      </w:r>
      <w:r w:rsidRPr="00D23139">
        <w:t xml:space="preserve">TGA approved the registration of </w:t>
      </w:r>
      <w:r w:rsidR="005921E0">
        <w:t xml:space="preserve">approve the registration of </w:t>
      </w:r>
      <w:r w:rsidR="00FA103D">
        <w:t>Mavenclad</w:t>
      </w:r>
      <w:r w:rsidR="005921E0">
        <w:t xml:space="preserve"> tablet blister pack containing 10 mg cladribine for the new indication:</w:t>
      </w:r>
    </w:p>
    <w:p w14:paraId="0F938FAF" w14:textId="77777777" w:rsidR="005921E0" w:rsidRPr="005921E0" w:rsidRDefault="005921E0" w:rsidP="005921E0">
      <w:pPr>
        <w:ind w:left="720"/>
        <w:rPr>
          <w:i/>
        </w:rPr>
      </w:pPr>
      <w:r w:rsidRPr="005921E0">
        <w:rPr>
          <w:i/>
        </w:rPr>
        <w:t>(RRMS) to reduce the frequency of clinical relapses and to delay the progression of physical disability.</w:t>
      </w:r>
    </w:p>
    <w:p w14:paraId="2AFBF807" w14:textId="77777777" w:rsidR="005921E0" w:rsidRPr="005921E0" w:rsidRDefault="005921E0" w:rsidP="005921E0">
      <w:pPr>
        <w:ind w:left="720"/>
        <w:rPr>
          <w:i/>
        </w:rPr>
      </w:pPr>
      <w:r w:rsidRPr="005921E0">
        <w:rPr>
          <w:i/>
        </w:rPr>
        <w:t>Following completion of the 2 treatment courses, no further cladribine treatment is required in years 3 and 4. Re-initiation of therapy after year 4 has not been studied.</w:t>
      </w:r>
    </w:p>
    <w:p w14:paraId="1F66FB03" w14:textId="77777777" w:rsidR="00D23139" w:rsidRPr="00D23139" w:rsidRDefault="00D23139" w:rsidP="005921E0">
      <w:pPr>
        <w:pStyle w:val="Heading4"/>
      </w:pPr>
      <w:r w:rsidRPr="00D23139">
        <w:t>Specific conditions of registration applying to these goods</w:t>
      </w:r>
    </w:p>
    <w:p w14:paraId="4CB86D18" w14:textId="77777777" w:rsidR="00D23139" w:rsidRPr="00D23139" w:rsidRDefault="005921E0" w:rsidP="005921E0">
      <w:r>
        <w:t>The EU-RMP (version 1.3, 18 June 2017, DLP 31 December 2016) with Australian Specific Annex (version 6.0, 17 August 2017) amended as agreed in your response to the TGA (date: 3 November 2017) must be implemented. Your assurance that the RMP (with ASA) will be updated as agreed and provided to the TGA for review and approval prior to product launch, is noted. Please ensure that the revised documentation is submitted to the TGA at least 3 months prior to the planned product launch date to ensure adequate time for assessment.</w:t>
      </w:r>
    </w:p>
    <w:p w14:paraId="5A3E04BD" w14:textId="77777777" w:rsidR="008E7846" w:rsidRDefault="00A80B5B" w:rsidP="00E97B09">
      <w:pPr>
        <w:pStyle w:val="Heading2"/>
      </w:pPr>
      <w:bookmarkStart w:id="132" w:name="_Toc519257453"/>
      <w:r>
        <w:t xml:space="preserve">Attachment 1. </w:t>
      </w:r>
      <w:r w:rsidR="008E7846" w:rsidRPr="00E97B09">
        <w:t>Product</w:t>
      </w:r>
      <w:r w:rsidR="008E7846">
        <w:t xml:space="preserve"> </w:t>
      </w:r>
      <w:r w:rsidR="00AA0ED0">
        <w:t>I</w:t>
      </w:r>
      <w:r w:rsidR="008E7846">
        <w:t>nformation</w:t>
      </w:r>
      <w:bookmarkEnd w:id="130"/>
      <w:bookmarkEnd w:id="131"/>
      <w:bookmarkEnd w:id="132"/>
    </w:p>
    <w:p w14:paraId="1848AA64" w14:textId="3AE93270" w:rsidR="00C80137" w:rsidRDefault="006136D7" w:rsidP="00C80137">
      <w:pPr>
        <w:rPr>
          <w:color w:val="000000"/>
          <w:lang w:eastAsia="en-AU"/>
        </w:rPr>
      </w:pPr>
      <w:r w:rsidRPr="002B3624">
        <w:t xml:space="preserve">The </w:t>
      </w:r>
      <w:r>
        <w:t>PI</w:t>
      </w:r>
      <w:r w:rsidRPr="002B3624">
        <w:t xml:space="preserve"> for </w:t>
      </w:r>
      <w:r w:rsidR="008B74D9">
        <w:t>M</w:t>
      </w:r>
      <w:r w:rsidR="00686079">
        <w:t>avenclad</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20" w:history="1">
        <w:r w:rsidR="007C6B9B" w:rsidRPr="007C6B9B">
          <w:rPr>
            <w:rStyle w:val="Hyperlink"/>
          </w:rPr>
          <w:t>https://www.tga.gov.au/product-information-pi</w:t>
        </w:r>
      </w:hyperlink>
      <w:r w:rsidR="00E97B09">
        <w:t>&gt;.</w:t>
      </w:r>
    </w:p>
    <w:p w14:paraId="36BD8F1A" w14:textId="77777777" w:rsidR="00C80137" w:rsidRDefault="00C80137" w:rsidP="00E97B09">
      <w:pPr>
        <w:pStyle w:val="Heading2"/>
        <w:rPr>
          <w:lang w:eastAsia="en-AU"/>
        </w:rPr>
      </w:pPr>
      <w:bookmarkStart w:id="133" w:name="_Toc519257454"/>
      <w:r>
        <w:rPr>
          <w:lang w:eastAsia="en-AU"/>
        </w:rPr>
        <w:t>Attachment 2.</w:t>
      </w:r>
      <w:r w:rsidR="00A80B5B">
        <w:rPr>
          <w:lang w:eastAsia="en-AU"/>
        </w:rPr>
        <w:t xml:space="preserve"> </w:t>
      </w:r>
      <w:r w:rsidRPr="00E97B09">
        <w:t>Extract</w:t>
      </w:r>
      <w:r>
        <w:rPr>
          <w:lang w:eastAsia="en-AU"/>
        </w:rPr>
        <w:t xml:space="preserve"> from the Clinical Evaluation Report</w:t>
      </w:r>
      <w:bookmarkEnd w:id="133"/>
    </w:p>
    <w:p w14:paraId="2127AAF2" w14:textId="77777777" w:rsidR="00291957" w:rsidRDefault="00291957" w:rsidP="00291957">
      <w:pPr>
        <w:rPr>
          <w:lang w:eastAsia="ja-JP"/>
        </w:rPr>
      </w:pPr>
    </w:p>
    <w:p w14:paraId="09D5B8DE" w14:textId="77777777" w:rsidR="00C80137" w:rsidRPr="001D043B" w:rsidRDefault="00C80137" w:rsidP="00312285">
      <w:pPr>
        <w:pStyle w:val="TableTitle"/>
        <w:sectPr w:rsidR="00C80137" w:rsidRPr="001D043B" w:rsidSect="00B452CE">
          <w:headerReference w:type="even" r:id="rId21"/>
          <w:headerReference w:type="default" r:id="rId22"/>
          <w:headerReference w:type="first" r:id="rId23"/>
          <w:footerReference w:type="first" r:id="rId24"/>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1A310B28" w14:textId="77777777" w:rsidTr="00A05FA4">
        <w:trPr>
          <w:trHeight w:hRule="exact" w:val="704"/>
        </w:trPr>
        <w:tc>
          <w:tcPr>
            <w:tcW w:w="9175" w:type="dxa"/>
          </w:tcPr>
          <w:p w14:paraId="6721E3E7" w14:textId="77777777" w:rsidR="001C32CD" w:rsidRPr="00487162" w:rsidRDefault="001C32CD" w:rsidP="00A05FA4">
            <w:pPr>
              <w:pStyle w:val="TGASignoff"/>
            </w:pPr>
            <w:r w:rsidRPr="00487162">
              <w:lastRenderedPageBreak/>
              <w:t>Therapeutic Goods Administration</w:t>
            </w:r>
          </w:p>
        </w:tc>
      </w:tr>
      <w:tr w:rsidR="001C32CD" w:rsidRPr="004C239D" w14:paraId="6BB621ED" w14:textId="77777777" w:rsidTr="00A05FA4">
        <w:trPr>
          <w:trHeight w:val="1221"/>
        </w:trPr>
        <w:tc>
          <w:tcPr>
            <w:tcW w:w="9175" w:type="dxa"/>
            <w:tcMar>
              <w:top w:w="28" w:type="dxa"/>
            </w:tcMar>
          </w:tcPr>
          <w:p w14:paraId="6685C922" w14:textId="77777777" w:rsidR="001C32CD" w:rsidRPr="00487162" w:rsidRDefault="001C32CD" w:rsidP="00A05FA4">
            <w:pPr>
              <w:pStyle w:val="Address"/>
            </w:pPr>
            <w:r w:rsidRPr="00487162">
              <w:t>PO Box 100 Woden ACT 2606 Australia</w:t>
            </w:r>
          </w:p>
          <w:p w14:paraId="358201C2" w14:textId="77777777" w:rsidR="001C32CD" w:rsidRPr="00487162" w:rsidRDefault="001C32CD" w:rsidP="00A05FA4">
            <w:pPr>
              <w:pStyle w:val="Address"/>
            </w:pPr>
            <w:r w:rsidRPr="00487162">
              <w:t xml:space="preserve">Email: </w:t>
            </w:r>
            <w:hyperlink r:id="rId25" w:history="1">
              <w:r w:rsidRPr="004C239D">
                <w:rPr>
                  <w:rStyle w:val="Hyperlink"/>
                </w:rPr>
                <w:t>info@tga.gov.au</w:t>
              </w:r>
            </w:hyperlink>
            <w:r w:rsidR="0057702F">
              <w:t xml:space="preserve"> </w:t>
            </w:r>
            <w:r w:rsidRPr="00487162">
              <w:t>Phone: 1800 020 653</w:t>
            </w:r>
            <w:r w:rsidR="0057702F">
              <w:t xml:space="preserve"> </w:t>
            </w:r>
            <w:r w:rsidRPr="00487162">
              <w:t>Fax: 02 6232 8605</w:t>
            </w:r>
          </w:p>
          <w:p w14:paraId="578A323D" w14:textId="77777777" w:rsidR="001C32CD" w:rsidRPr="004C239D" w:rsidRDefault="00F87F57" w:rsidP="00A05FA4">
            <w:pPr>
              <w:pStyle w:val="Address"/>
              <w:spacing w:line="260" w:lineRule="atLeast"/>
              <w:rPr>
                <w:b/>
                <w:color w:val="0000FF"/>
                <w:u w:val="single"/>
              </w:rPr>
            </w:pPr>
            <w:hyperlink r:id="rId26" w:history="1">
              <w:r w:rsidR="007C6B9B" w:rsidRPr="007C6B9B">
                <w:rPr>
                  <w:rStyle w:val="Hyperlink"/>
                  <w:b/>
                </w:rPr>
                <w:t>https://www.tga.gov.au</w:t>
              </w:r>
            </w:hyperlink>
          </w:p>
        </w:tc>
      </w:tr>
    </w:tbl>
    <w:p w14:paraId="45408426" w14:textId="77777777" w:rsidR="00774E1D" w:rsidRPr="008A5E0B" w:rsidRDefault="00774E1D" w:rsidP="004C239D"/>
    <w:sectPr w:rsidR="00774E1D" w:rsidRPr="008A5E0B" w:rsidSect="001C32CD">
      <w:headerReference w:type="even" r:id="rId27"/>
      <w:headerReference w:type="default" r:id="rId28"/>
      <w:footerReference w:type="default" r:id="rId29"/>
      <w:headerReference w:type="first" r:id="rId30"/>
      <w:footerReference w:type="first" r:id="rId31"/>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DE2CF14" w15:done="0"/>
  <w15:commentEx w15:paraId="7E4F7CE8" w15:done="0"/>
  <w15:commentEx w15:paraId="5E2716E0" w15:done="0"/>
  <w15:commentEx w15:paraId="4A77CCE3" w15:done="0"/>
  <w15:commentEx w15:paraId="5DC3525A" w15:done="0"/>
  <w15:commentEx w15:paraId="53C14060" w15:paraIdParent="5DC3525A" w15:done="0"/>
  <w15:commentEx w15:paraId="5EE46CC6" w15:done="0"/>
  <w15:commentEx w15:paraId="70FBFD00" w15:done="0"/>
  <w15:commentEx w15:paraId="299CBB11" w15:done="0"/>
  <w15:commentEx w15:paraId="4D43624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CBDE24" w16cid:durableId="1E9AF268"/>
  <w16cid:commentId w16cid:paraId="70FBFD00" w16cid:durableId="1E9AEC9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3F8049" w14:textId="77777777" w:rsidR="008E4CBF" w:rsidRDefault="008E4CBF" w:rsidP="00C40A36">
      <w:pPr>
        <w:spacing w:after="0"/>
      </w:pPr>
      <w:r>
        <w:separator/>
      </w:r>
    </w:p>
  </w:endnote>
  <w:endnote w:type="continuationSeparator" w:id="0">
    <w:p w14:paraId="1845D71C" w14:textId="77777777" w:rsidR="008E4CBF" w:rsidRDefault="008E4CBF"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8E4CBF" w:rsidRPr="00487162" w14:paraId="69C014C5" w14:textId="77777777" w:rsidTr="00DB750B">
      <w:trPr>
        <w:trHeight w:val="269"/>
      </w:trPr>
      <w:tc>
        <w:tcPr>
          <w:tcW w:w="7371" w:type="dxa"/>
          <w:tcMar>
            <w:top w:w="142" w:type="dxa"/>
            <w:bottom w:w="0" w:type="dxa"/>
          </w:tcMar>
        </w:tcPr>
        <w:p w14:paraId="6C7861CF" w14:textId="21311359" w:rsidR="008E4CBF" w:rsidRPr="00487162" w:rsidRDefault="008E4CBF" w:rsidP="00D20AA2">
          <w:pPr>
            <w:pStyle w:val="Footer"/>
          </w:pPr>
          <w:r w:rsidRPr="00487162">
            <w:t>AusPA</w:t>
          </w:r>
          <w:r>
            <w:t xml:space="preserve">R Mavenclad </w:t>
          </w:r>
          <w:r w:rsidRPr="00FA103D">
            <w:t xml:space="preserve">Cladribine </w:t>
          </w:r>
          <w:r w:rsidRPr="005921E0">
            <w:t>Merck Serono Australia Pty Ltd</w:t>
          </w:r>
          <w:r>
            <w:t xml:space="preserve"> PM-2016</w:t>
          </w:r>
          <w:r w:rsidRPr="00487162">
            <w:t>-</w:t>
          </w:r>
          <w:r>
            <w:t>03923-1-1</w:t>
          </w:r>
          <w:r>
            <w:br/>
            <w:t>Final 25 June 2018</w:t>
          </w:r>
        </w:p>
      </w:tc>
      <w:tc>
        <w:tcPr>
          <w:tcW w:w="1490" w:type="dxa"/>
          <w:tcMar>
            <w:top w:w="142" w:type="dxa"/>
            <w:bottom w:w="0" w:type="dxa"/>
          </w:tcMar>
        </w:tcPr>
        <w:p w14:paraId="614D3390" w14:textId="61715C6E" w:rsidR="008E4CBF" w:rsidRPr="00487162" w:rsidRDefault="008E4CBF" w:rsidP="00DB750B">
          <w:pPr>
            <w:pStyle w:val="Footer"/>
            <w:jc w:val="right"/>
          </w:pPr>
          <w:r w:rsidRPr="00487162">
            <w:t xml:space="preserve">Page </w:t>
          </w:r>
          <w:r>
            <w:fldChar w:fldCharType="begin"/>
          </w:r>
          <w:r>
            <w:instrText xml:space="preserve"> PAGE  \* Arabic </w:instrText>
          </w:r>
          <w:r>
            <w:fldChar w:fldCharType="separate"/>
          </w:r>
          <w:r w:rsidR="00F87F57">
            <w:rPr>
              <w:noProof/>
            </w:rPr>
            <w:t>3</w:t>
          </w:r>
          <w:r>
            <w:fldChar w:fldCharType="end"/>
          </w:r>
          <w:r w:rsidRPr="00487162">
            <w:t xml:space="preserve"> of </w:t>
          </w:r>
          <w:fldSimple w:instr=" NUMPAGES  \* Arabic ">
            <w:r w:rsidR="00F87F57">
              <w:rPr>
                <w:noProof/>
              </w:rPr>
              <w:t>40</w:t>
            </w:r>
          </w:fldSimple>
        </w:p>
      </w:tc>
    </w:tr>
  </w:tbl>
  <w:p w14:paraId="08E9B445" w14:textId="77777777" w:rsidR="008E4CBF" w:rsidRDefault="008E4CBF"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E4CBF" w:rsidRPr="00487162" w14:paraId="500AF8C8" w14:textId="77777777" w:rsidTr="00E45619">
      <w:trPr>
        <w:trHeight w:val="269"/>
      </w:trPr>
      <w:tc>
        <w:tcPr>
          <w:tcW w:w="4519" w:type="dxa"/>
          <w:tcBorders>
            <w:top w:val="single" w:sz="4" w:space="0" w:color="auto"/>
          </w:tcBorders>
          <w:tcMar>
            <w:top w:w="142" w:type="dxa"/>
            <w:bottom w:w="0" w:type="dxa"/>
          </w:tcMar>
        </w:tcPr>
        <w:p w14:paraId="36A8DA11" w14:textId="77777777" w:rsidR="008E4CBF" w:rsidRPr="00487162" w:rsidRDefault="008E4CBF" w:rsidP="00FE1DEE">
          <w:pPr>
            <w:pStyle w:val="Footer"/>
          </w:pPr>
          <w:r w:rsidRPr="00487162">
            <w:t>Document title, Part #, Section # - Section title</w:t>
          </w:r>
        </w:p>
        <w:p w14:paraId="06C28E8A" w14:textId="77777777" w:rsidR="008E4CBF" w:rsidRPr="00487162" w:rsidRDefault="008E4CBF" w:rsidP="00FE1DEE">
          <w:pPr>
            <w:pStyle w:val="Footer"/>
          </w:pPr>
          <w:r w:rsidRPr="00487162">
            <w:t>V1.0 October 2010</w:t>
          </w:r>
        </w:p>
      </w:tc>
      <w:tc>
        <w:tcPr>
          <w:tcW w:w="4342" w:type="dxa"/>
          <w:tcBorders>
            <w:top w:val="single" w:sz="4" w:space="0" w:color="auto"/>
          </w:tcBorders>
          <w:tcMar>
            <w:top w:w="142" w:type="dxa"/>
            <w:bottom w:w="0" w:type="dxa"/>
          </w:tcMar>
        </w:tcPr>
        <w:p w14:paraId="70E30385" w14:textId="620DD5D6" w:rsidR="008E4CBF" w:rsidRPr="00487162" w:rsidRDefault="008E4CBF"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14:paraId="4FF6E70C" w14:textId="77777777" w:rsidR="008E4CBF" w:rsidRDefault="008E4CB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A776B" w14:textId="77777777" w:rsidR="008E4CBF" w:rsidRPr="001C32CD" w:rsidRDefault="008E4CBF"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E4CBF" w14:paraId="54EE6283" w14:textId="77777777" w:rsidTr="0010601F">
      <w:trPr>
        <w:trHeight w:val="108"/>
      </w:trPr>
      <w:tc>
        <w:tcPr>
          <w:tcW w:w="8875" w:type="dxa"/>
          <w:gridSpan w:val="2"/>
          <w:tcBorders>
            <w:bottom w:val="single" w:sz="4" w:space="0" w:color="auto"/>
          </w:tcBorders>
          <w:tcMar>
            <w:right w:w="284" w:type="dxa"/>
          </w:tcMar>
        </w:tcPr>
        <w:p w14:paraId="647CD844" w14:textId="77777777" w:rsidR="008E4CBF" w:rsidRDefault="008E4CBF" w:rsidP="006E08B3">
          <w:pPr>
            <w:pStyle w:val="Heading3"/>
          </w:pPr>
          <w:r>
            <w:t>Copyright</w:t>
          </w:r>
        </w:p>
        <w:p w14:paraId="248188C3" w14:textId="77777777" w:rsidR="008E4CBF" w:rsidRDefault="008E4CBF" w:rsidP="006E08B3">
          <w:r>
            <w:rPr>
              <w:rFonts w:cs="Arial"/>
            </w:rPr>
            <w:t>©</w:t>
          </w:r>
          <w:r>
            <w:t xml:space="preserve"> Commonwealth of Australia [add year]</w:t>
          </w:r>
        </w:p>
        <w:p w14:paraId="18687570" w14:textId="77777777" w:rsidR="008E4CBF" w:rsidRDefault="008E4CBF" w:rsidP="006E08B3"/>
        <w:p w14:paraId="7A6DFFEF" w14:textId="77777777" w:rsidR="008E4CBF" w:rsidRDefault="008E4CB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69006124" w14:textId="77777777" w:rsidR="008E4CBF" w:rsidRDefault="008E4CBF" w:rsidP="006E08B3"/>
        <w:p w14:paraId="4E9BA2E1" w14:textId="77777777" w:rsidR="008E4CBF" w:rsidRDefault="008E4CBF" w:rsidP="006E08B3">
          <w:pPr>
            <w:pStyle w:val="Heading3"/>
          </w:pPr>
          <w:r>
            <w:t>Confidentiality</w:t>
          </w:r>
        </w:p>
        <w:p w14:paraId="43C474CB" w14:textId="77777777" w:rsidR="008E4CBF" w:rsidRDefault="008E4CB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62C16E87" w14:textId="77777777" w:rsidR="008E4CBF" w:rsidRDefault="008E4CBF" w:rsidP="006E08B3"/>
        <w:p w14:paraId="31BA28A1" w14:textId="77777777" w:rsidR="008E4CBF" w:rsidRDefault="008E4CBF" w:rsidP="006E08B3">
          <w:r>
            <w:t>For submission made by individuals, all personal details, other than your name, will be removed from your submission before it is published on the TGA’s Internet site.</w:t>
          </w:r>
        </w:p>
        <w:p w14:paraId="4DB57E6E" w14:textId="77777777" w:rsidR="008E4CBF" w:rsidRDefault="008E4CBF" w:rsidP="006E08B3"/>
        <w:p w14:paraId="46C028EA" w14:textId="77777777" w:rsidR="008E4CBF" w:rsidRDefault="008E4CBF" w:rsidP="006E08B3">
          <w:r>
            <w:t>In addition, a list of parties making submissions will be published. If you do not wish to be identified with your submission you must specifically request this in the space provided ib the submission coversheet.</w:t>
          </w:r>
        </w:p>
      </w:tc>
    </w:tr>
    <w:tr w:rsidR="008E4CBF" w14:paraId="61DDFA6A" w14:textId="77777777" w:rsidTr="0010601F">
      <w:trPr>
        <w:trHeight w:val="417"/>
      </w:trPr>
      <w:tc>
        <w:tcPr>
          <w:tcW w:w="4519" w:type="dxa"/>
          <w:tcBorders>
            <w:top w:val="single" w:sz="4" w:space="0" w:color="auto"/>
          </w:tcBorders>
          <w:tcMar>
            <w:top w:w="142" w:type="dxa"/>
            <w:bottom w:w="0" w:type="dxa"/>
          </w:tcMar>
        </w:tcPr>
        <w:p w14:paraId="58461CB2" w14:textId="77777777" w:rsidR="008E4CBF" w:rsidRDefault="008E4CBF" w:rsidP="006E08B3">
          <w:r>
            <w:t>Document title, Part #, Section # - Section title</w:t>
          </w:r>
        </w:p>
        <w:p w14:paraId="14C7C217" w14:textId="77777777" w:rsidR="008E4CBF" w:rsidRDefault="008E4CBF" w:rsidP="006E08B3">
          <w:r>
            <w:t>V1.0 October 2010</w:t>
          </w:r>
        </w:p>
      </w:tc>
      <w:tc>
        <w:tcPr>
          <w:tcW w:w="4356" w:type="dxa"/>
          <w:tcBorders>
            <w:top w:val="single" w:sz="4" w:space="0" w:color="auto"/>
          </w:tcBorders>
          <w:tcMar>
            <w:top w:w="142" w:type="dxa"/>
            <w:bottom w:w="0" w:type="dxa"/>
          </w:tcMar>
        </w:tcPr>
        <w:p w14:paraId="4E6DB5A3" w14:textId="3710FD3E" w:rsidR="008E4CBF" w:rsidRDefault="008E4CBF"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14:paraId="1BDCAA4C" w14:textId="77777777" w:rsidR="008E4CBF" w:rsidRDefault="008E4CB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73A285" w14:textId="77777777" w:rsidR="008E4CBF" w:rsidRDefault="008E4CBF" w:rsidP="00C40A36">
      <w:pPr>
        <w:spacing w:after="0"/>
      </w:pPr>
      <w:r>
        <w:separator/>
      </w:r>
    </w:p>
  </w:footnote>
  <w:footnote w:type="continuationSeparator" w:id="0">
    <w:p w14:paraId="4BD6584D" w14:textId="77777777" w:rsidR="008E4CBF" w:rsidRDefault="008E4CBF" w:rsidP="00C40A36">
      <w:pPr>
        <w:spacing w:after="0"/>
      </w:pPr>
      <w:r>
        <w:continuationSeparator/>
      </w:r>
    </w:p>
  </w:footnote>
  <w:footnote w:id="1">
    <w:p w14:paraId="681AC88B" w14:textId="28043563" w:rsidR="008E4CBF" w:rsidRPr="00AC4959" w:rsidRDefault="008E4CBF">
      <w:pPr>
        <w:pStyle w:val="FootnoteText"/>
        <w:rPr>
          <w:lang w:val="en-US"/>
        </w:rPr>
      </w:pPr>
      <w:r>
        <w:rPr>
          <w:rStyle w:val="FootnoteReference"/>
        </w:rPr>
        <w:footnoteRef/>
      </w:r>
      <w:r>
        <w:t xml:space="preserve"> </w:t>
      </w:r>
      <w:r w:rsidRPr="00AC4959">
        <w:t>MS Australia. https://www.msaustralia.org.au , accessed 6th April 2017</w:t>
      </w:r>
    </w:p>
  </w:footnote>
  <w:footnote w:id="2">
    <w:p w14:paraId="668C5B34" w14:textId="41871E49" w:rsidR="008E4CBF" w:rsidRPr="00AC4959" w:rsidRDefault="008E4CBF">
      <w:pPr>
        <w:pStyle w:val="FootnoteText"/>
        <w:rPr>
          <w:lang w:val="en-US"/>
        </w:rPr>
      </w:pPr>
      <w:r>
        <w:rPr>
          <w:rStyle w:val="FootnoteReference"/>
        </w:rPr>
        <w:footnoteRef/>
      </w:r>
      <w:r>
        <w:t xml:space="preserve"> </w:t>
      </w:r>
      <w:r w:rsidRPr="00AC4959">
        <w:t>Rolak L. Multiple Sclerosis: It’s Not The Disease You Thought It Was. Clinical Medicine and Research (2002) 1; 57-60</w:t>
      </w:r>
    </w:p>
  </w:footnote>
  <w:footnote w:id="3">
    <w:p w14:paraId="3193CA82" w14:textId="77777777" w:rsidR="008E4CBF" w:rsidRPr="00A13C7D" w:rsidRDefault="008E4CBF">
      <w:pPr>
        <w:pStyle w:val="FootnoteText"/>
        <w:rPr>
          <w:lang w:val="en-US"/>
        </w:rPr>
      </w:pPr>
      <w:r>
        <w:rPr>
          <w:rStyle w:val="FootnoteReference"/>
        </w:rPr>
        <w:footnoteRef/>
      </w:r>
      <w:r>
        <w:t xml:space="preserve"> </w:t>
      </w:r>
      <w:r w:rsidRPr="00A13C7D">
        <w:t>Fogarty E, Schmitz S, Tubridy N, Walsh C, Barry M.  Comparative efficacy of disease-modifying therapies for patients with relapsing remitting multiple sclerosis: Systematic review and network meta-analysis.  Multiple Sclerosis and Related Disorders (2016) 9; 23-30</w:t>
      </w:r>
    </w:p>
  </w:footnote>
  <w:footnote w:id="4">
    <w:p w14:paraId="0DCCB74B" w14:textId="77777777" w:rsidR="008E4CBF" w:rsidRPr="0079705A" w:rsidRDefault="008E4CBF">
      <w:pPr>
        <w:pStyle w:val="FootnoteText"/>
        <w:rPr>
          <w:lang w:val="en-US"/>
        </w:rPr>
      </w:pPr>
      <w:r>
        <w:rPr>
          <w:rStyle w:val="FootnoteReference"/>
        </w:rPr>
        <w:footnoteRef/>
      </w:r>
      <w:r>
        <w:t xml:space="preserve"> </w:t>
      </w:r>
      <w:r w:rsidRPr="0079705A">
        <w:t xml:space="preserve">The S9 fraction is the product of an organ tissue homogenate </w:t>
      </w:r>
      <w:r>
        <w:t xml:space="preserve">(usually liver) </w:t>
      </w:r>
      <w:r w:rsidRPr="0079705A">
        <w:t>used in biological assays. The S9 fraction is most frequently used in assays that measure the metabolism of drugs</w:t>
      </w:r>
      <w:r>
        <w:t>.</w:t>
      </w:r>
    </w:p>
  </w:footnote>
  <w:footnote w:id="5">
    <w:p w14:paraId="01A07877" w14:textId="7958A1C0" w:rsidR="008E4CBF" w:rsidRPr="00D67525" w:rsidRDefault="008E4CBF">
      <w:pPr>
        <w:pStyle w:val="FootnoteText"/>
        <w:rPr>
          <w:lang w:val="en-US"/>
        </w:rPr>
      </w:pPr>
      <w:r>
        <w:rPr>
          <w:rStyle w:val="FootnoteReference"/>
        </w:rPr>
        <w:footnoteRef/>
      </w:r>
      <w:r>
        <w:t xml:space="preserve"> </w:t>
      </w:r>
      <w:r w:rsidRPr="00D67525">
        <w:t>Bierau J., Determination of the deoxycytidine kinase activity in cell homogenates with a non-radiochemical assay using reversed-phase high performance liquid chromatography Identification of a novel metabolite of 2</w:t>
      </w:r>
      <w:r>
        <w:noBreakHyphen/>
      </w:r>
      <w:r w:rsidRPr="00D67525">
        <w:t>chlorodeoxyadenosine, J. Chromatogr. B Analyt. Technol. Biomed. Life Sci. 2004; 805:339-346</w:t>
      </w:r>
      <w:r>
        <w:t>.</w:t>
      </w:r>
    </w:p>
  </w:footnote>
  <w:footnote w:id="6">
    <w:p w14:paraId="043A13E6" w14:textId="77777777" w:rsidR="008E4CBF" w:rsidRPr="00EF3F38" w:rsidRDefault="008E4CBF" w:rsidP="00312285">
      <w:pPr>
        <w:pStyle w:val="FootnoteText"/>
        <w:rPr>
          <w:lang w:val="en-US"/>
        </w:rPr>
      </w:pPr>
      <w:r>
        <w:rPr>
          <w:rStyle w:val="FootnoteReference"/>
        </w:rPr>
        <w:footnoteRef/>
      </w:r>
      <w:r>
        <w:t xml:space="preserve"> </w:t>
      </w:r>
      <w:r w:rsidRPr="00EF3F38">
        <w:t>The McDonald criteria are diagnostic criteria for multiple sclerosis (MS). These criteria are named after neurologist W. Ian McDonald.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42293" w14:textId="77777777" w:rsidR="008E4CBF" w:rsidRDefault="008E4CBF"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4B2EE" w14:textId="77777777" w:rsidR="008E4CBF" w:rsidRDefault="008E4CBF">
    <w:pPr>
      <w:rPr>
        <w:noProof/>
        <w:lang w:eastAsia="en-AU"/>
      </w:rPr>
    </w:pPr>
    <w:r w:rsidRPr="00347824">
      <w:rPr>
        <w:noProof/>
        <w:lang w:eastAsia="en-AU"/>
      </w:rPr>
      <w:drawing>
        <wp:anchor distT="0" distB="0" distL="114300" distR="114300" simplePos="0" relativeHeight="251659264" behindDoc="1" locked="0" layoutInCell="1" allowOverlap="1" wp14:anchorId="7E3D671E" wp14:editId="14A9E0BD">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7F312A40" w14:textId="77777777" w:rsidR="008E4CBF" w:rsidRDefault="008E4CBF" w:rsidP="00593AD1">
    <w:pPr>
      <w:pStyle w:val="HeaderNoLine"/>
    </w:pPr>
    <w:r>
      <w:rPr>
        <w:noProof/>
        <w:lang w:eastAsia="en-AU"/>
      </w:rPr>
      <w:drawing>
        <wp:inline distT="0" distB="0" distL="0" distR="0" wp14:anchorId="541F696F" wp14:editId="541C98B2">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96A3C" w14:textId="77777777" w:rsidR="008E4CBF" w:rsidRDefault="008E4CB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EA8A4" w14:textId="77777777" w:rsidR="008E4CBF" w:rsidRDefault="008E4CBF">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F956E" w14:textId="77777777" w:rsidR="008E4CBF" w:rsidRDefault="008E4CBF">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C669F" w14:textId="77777777" w:rsidR="008E4CBF" w:rsidRDefault="008E4CB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C2669" w14:textId="77777777" w:rsidR="008E4CBF" w:rsidRDefault="008E4CBF"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F16BCD" w14:textId="77777777" w:rsidR="008E4CBF" w:rsidRDefault="008E4CBF" w:rsidP="006E08B3">
    <w:r>
      <w:t>Therapeutic Goods Administration</w:t>
    </w:r>
  </w:p>
  <w:p w14:paraId="23C15631" w14:textId="77777777" w:rsidR="008E4CBF" w:rsidRDefault="008E4CBF"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E468254"/>
    <w:lvl w:ilvl="0">
      <w:start w:val="1"/>
      <w:numFmt w:val="decimal"/>
      <w:lvlText w:val="%1."/>
      <w:lvlJc w:val="left"/>
      <w:pPr>
        <w:tabs>
          <w:tab w:val="num" w:pos="1492"/>
        </w:tabs>
        <w:ind w:left="1492" w:hanging="360"/>
      </w:pPr>
    </w:lvl>
  </w:abstractNum>
  <w:abstractNum w:abstractNumId="1">
    <w:nsid w:val="FFFFFF7D"/>
    <w:multiLevelType w:val="singleLevel"/>
    <w:tmpl w:val="0E7E52EC"/>
    <w:lvl w:ilvl="0">
      <w:start w:val="1"/>
      <w:numFmt w:val="decimal"/>
      <w:lvlText w:val="%1."/>
      <w:lvlJc w:val="left"/>
      <w:pPr>
        <w:tabs>
          <w:tab w:val="num" w:pos="1209"/>
        </w:tabs>
        <w:ind w:left="1209" w:hanging="360"/>
      </w:pPr>
    </w:lvl>
  </w:abstractNum>
  <w:abstractNum w:abstractNumId="2">
    <w:nsid w:val="FFFFFF7E"/>
    <w:multiLevelType w:val="singleLevel"/>
    <w:tmpl w:val="AB080158"/>
    <w:lvl w:ilvl="0">
      <w:start w:val="1"/>
      <w:numFmt w:val="decimal"/>
      <w:lvlText w:val="%1."/>
      <w:lvlJc w:val="left"/>
      <w:pPr>
        <w:tabs>
          <w:tab w:val="num" w:pos="926"/>
        </w:tabs>
        <w:ind w:left="926" w:hanging="360"/>
      </w:pPr>
    </w:lvl>
  </w:abstractNum>
  <w:abstractNum w:abstractNumId="3">
    <w:nsid w:val="FFFFFF7F"/>
    <w:multiLevelType w:val="singleLevel"/>
    <w:tmpl w:val="2D8EEA1A"/>
    <w:lvl w:ilvl="0">
      <w:start w:val="1"/>
      <w:numFmt w:val="decimal"/>
      <w:lvlText w:val="%1."/>
      <w:lvlJc w:val="left"/>
      <w:pPr>
        <w:tabs>
          <w:tab w:val="num" w:pos="643"/>
        </w:tabs>
        <w:ind w:left="643" w:hanging="360"/>
      </w:pPr>
    </w:lvl>
  </w:abstractNum>
  <w:abstractNum w:abstractNumId="4">
    <w:nsid w:val="FFFFFF80"/>
    <w:multiLevelType w:val="singleLevel"/>
    <w:tmpl w:val="2A58C5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DAC34A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8B5E1072"/>
    <w:lvl w:ilvl="0">
      <w:start w:val="1"/>
      <w:numFmt w:val="decimal"/>
      <w:lvlText w:val="%1."/>
      <w:lvlJc w:val="left"/>
      <w:pPr>
        <w:tabs>
          <w:tab w:val="num" w:pos="360"/>
        </w:tabs>
        <w:ind w:left="360" w:hanging="360"/>
      </w:pPr>
    </w:lvl>
  </w:abstractNum>
  <w:abstractNum w:abstractNumId="9">
    <w:nsid w:val="FFFFFF89"/>
    <w:multiLevelType w:val="singleLevel"/>
    <w:tmpl w:val="58007B68"/>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0E9108CD"/>
    <w:multiLevelType w:val="hybridMultilevel"/>
    <w:tmpl w:val="E6E45AA4"/>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nsid w:val="1D5F6B03"/>
    <w:multiLevelType w:val="hybridMultilevel"/>
    <w:tmpl w:val="2E420E50"/>
    <w:lvl w:ilvl="0" w:tplc="0C090013">
      <w:start w:val="1"/>
      <w:numFmt w:val="upp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nsid w:val="227A52BD"/>
    <w:multiLevelType w:val="multilevel"/>
    <w:tmpl w:val="E4FAE4E8"/>
    <w:lvl w:ilvl="0">
      <w:start w:val="8"/>
      <w:numFmt w:val="decimal"/>
      <w:suff w:val="space"/>
      <w:lvlText w:val="Recommendation %1."/>
      <w:lvlJc w:val="left"/>
      <w:pPr>
        <w:ind w:left="360" w:hanging="360"/>
      </w:pPr>
      <w:rPr>
        <w:rFonts w:asciiTheme="majorHAnsi" w:hAnsiTheme="majorHAnsi" w:hint="default"/>
        <w:b w:val="0"/>
        <w:sz w:val="23"/>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397915D4"/>
    <w:multiLevelType w:val="hybridMultilevel"/>
    <w:tmpl w:val="4394EB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3BE92516"/>
    <w:multiLevelType w:val="hybridMultilevel"/>
    <w:tmpl w:val="1B1676EC"/>
    <w:lvl w:ilvl="0" w:tplc="9C001396">
      <w:start w:val="1"/>
      <w:numFmt w:val="decimal"/>
      <w:lvlText w:val="%1"/>
      <w:lvlJc w:val="left"/>
      <w:pPr>
        <w:ind w:left="100" w:hanging="1961"/>
      </w:pPr>
      <w:rPr>
        <w:rFonts w:ascii="Times New Roman" w:eastAsia="Times New Roman" w:hAnsi="Times New Roman" w:cs="Times New Roman" w:hint="default"/>
        <w:b/>
        <w:bCs/>
        <w:w w:val="101"/>
        <w:sz w:val="23"/>
        <w:szCs w:val="23"/>
      </w:rPr>
    </w:lvl>
    <w:lvl w:ilvl="1" w:tplc="A53EB2F0">
      <w:numFmt w:val="bullet"/>
      <w:lvlText w:val=""/>
      <w:lvlJc w:val="left"/>
      <w:pPr>
        <w:ind w:left="795" w:hanging="348"/>
      </w:pPr>
      <w:rPr>
        <w:rFonts w:ascii="Symbol" w:eastAsia="Symbol" w:hAnsi="Symbol" w:cs="Symbol" w:hint="default"/>
        <w:w w:val="101"/>
        <w:sz w:val="23"/>
        <w:szCs w:val="23"/>
      </w:rPr>
    </w:lvl>
    <w:lvl w:ilvl="2" w:tplc="46E4F7B2">
      <w:numFmt w:val="bullet"/>
      <w:lvlText w:val="•"/>
      <w:lvlJc w:val="left"/>
      <w:pPr>
        <w:ind w:left="1747" w:hanging="348"/>
      </w:pPr>
      <w:rPr>
        <w:rFonts w:hint="default"/>
      </w:rPr>
    </w:lvl>
    <w:lvl w:ilvl="3" w:tplc="FBF0E298">
      <w:numFmt w:val="bullet"/>
      <w:lvlText w:val="•"/>
      <w:lvlJc w:val="left"/>
      <w:pPr>
        <w:ind w:left="2694" w:hanging="348"/>
      </w:pPr>
      <w:rPr>
        <w:rFonts w:hint="default"/>
      </w:rPr>
    </w:lvl>
    <w:lvl w:ilvl="4" w:tplc="8FB0B4C2">
      <w:numFmt w:val="bullet"/>
      <w:lvlText w:val="•"/>
      <w:lvlJc w:val="left"/>
      <w:pPr>
        <w:ind w:left="3641" w:hanging="348"/>
      </w:pPr>
      <w:rPr>
        <w:rFonts w:hint="default"/>
      </w:rPr>
    </w:lvl>
    <w:lvl w:ilvl="5" w:tplc="F6F832C4">
      <w:numFmt w:val="bullet"/>
      <w:lvlText w:val="•"/>
      <w:lvlJc w:val="left"/>
      <w:pPr>
        <w:ind w:left="4588" w:hanging="348"/>
      </w:pPr>
      <w:rPr>
        <w:rFonts w:hint="default"/>
      </w:rPr>
    </w:lvl>
    <w:lvl w:ilvl="6" w:tplc="07465E9A">
      <w:numFmt w:val="bullet"/>
      <w:lvlText w:val="•"/>
      <w:lvlJc w:val="left"/>
      <w:pPr>
        <w:ind w:left="5535" w:hanging="348"/>
      </w:pPr>
      <w:rPr>
        <w:rFonts w:hint="default"/>
      </w:rPr>
    </w:lvl>
    <w:lvl w:ilvl="7" w:tplc="9822B66A">
      <w:numFmt w:val="bullet"/>
      <w:lvlText w:val="•"/>
      <w:lvlJc w:val="left"/>
      <w:pPr>
        <w:ind w:left="6482" w:hanging="348"/>
      </w:pPr>
      <w:rPr>
        <w:rFonts w:hint="default"/>
      </w:rPr>
    </w:lvl>
    <w:lvl w:ilvl="8" w:tplc="B92A3624">
      <w:numFmt w:val="bullet"/>
      <w:lvlText w:val="•"/>
      <w:lvlJc w:val="left"/>
      <w:pPr>
        <w:ind w:left="7430" w:hanging="348"/>
      </w:pPr>
      <w:rPr>
        <w:rFonts w:hint="default"/>
      </w:rPr>
    </w:lvl>
  </w:abstractNum>
  <w:abstractNum w:abstractNumId="18">
    <w:nsid w:val="3FB410B8"/>
    <w:multiLevelType w:val="hybridMultilevel"/>
    <w:tmpl w:val="1B1676EC"/>
    <w:lvl w:ilvl="0" w:tplc="9C001396">
      <w:start w:val="1"/>
      <w:numFmt w:val="decimal"/>
      <w:lvlText w:val="%1"/>
      <w:lvlJc w:val="left"/>
      <w:pPr>
        <w:ind w:left="100" w:hanging="1961"/>
      </w:pPr>
      <w:rPr>
        <w:rFonts w:ascii="Times New Roman" w:eastAsia="Times New Roman" w:hAnsi="Times New Roman" w:cs="Times New Roman" w:hint="default"/>
        <w:b/>
        <w:bCs/>
        <w:w w:val="101"/>
        <w:sz w:val="23"/>
        <w:szCs w:val="23"/>
      </w:rPr>
    </w:lvl>
    <w:lvl w:ilvl="1" w:tplc="A53EB2F0">
      <w:numFmt w:val="bullet"/>
      <w:lvlText w:val=""/>
      <w:lvlJc w:val="left"/>
      <w:pPr>
        <w:ind w:left="795" w:hanging="348"/>
      </w:pPr>
      <w:rPr>
        <w:rFonts w:ascii="Symbol" w:eastAsia="Symbol" w:hAnsi="Symbol" w:cs="Symbol" w:hint="default"/>
        <w:w w:val="101"/>
        <w:sz w:val="23"/>
        <w:szCs w:val="23"/>
      </w:rPr>
    </w:lvl>
    <w:lvl w:ilvl="2" w:tplc="46E4F7B2">
      <w:numFmt w:val="bullet"/>
      <w:lvlText w:val="•"/>
      <w:lvlJc w:val="left"/>
      <w:pPr>
        <w:ind w:left="1747" w:hanging="348"/>
      </w:pPr>
      <w:rPr>
        <w:rFonts w:hint="default"/>
      </w:rPr>
    </w:lvl>
    <w:lvl w:ilvl="3" w:tplc="FBF0E298">
      <w:numFmt w:val="bullet"/>
      <w:lvlText w:val="•"/>
      <w:lvlJc w:val="left"/>
      <w:pPr>
        <w:ind w:left="2694" w:hanging="348"/>
      </w:pPr>
      <w:rPr>
        <w:rFonts w:hint="default"/>
      </w:rPr>
    </w:lvl>
    <w:lvl w:ilvl="4" w:tplc="8FB0B4C2">
      <w:numFmt w:val="bullet"/>
      <w:lvlText w:val="•"/>
      <w:lvlJc w:val="left"/>
      <w:pPr>
        <w:ind w:left="3641" w:hanging="348"/>
      </w:pPr>
      <w:rPr>
        <w:rFonts w:hint="default"/>
      </w:rPr>
    </w:lvl>
    <w:lvl w:ilvl="5" w:tplc="F6F832C4">
      <w:numFmt w:val="bullet"/>
      <w:lvlText w:val="•"/>
      <w:lvlJc w:val="left"/>
      <w:pPr>
        <w:ind w:left="4588" w:hanging="348"/>
      </w:pPr>
      <w:rPr>
        <w:rFonts w:hint="default"/>
      </w:rPr>
    </w:lvl>
    <w:lvl w:ilvl="6" w:tplc="07465E9A">
      <w:numFmt w:val="bullet"/>
      <w:lvlText w:val="•"/>
      <w:lvlJc w:val="left"/>
      <w:pPr>
        <w:ind w:left="5535" w:hanging="348"/>
      </w:pPr>
      <w:rPr>
        <w:rFonts w:hint="default"/>
      </w:rPr>
    </w:lvl>
    <w:lvl w:ilvl="7" w:tplc="9822B66A">
      <w:numFmt w:val="bullet"/>
      <w:lvlText w:val="•"/>
      <w:lvlJc w:val="left"/>
      <w:pPr>
        <w:ind w:left="6482" w:hanging="348"/>
      </w:pPr>
      <w:rPr>
        <w:rFonts w:hint="default"/>
      </w:rPr>
    </w:lvl>
    <w:lvl w:ilvl="8" w:tplc="B92A3624">
      <w:numFmt w:val="bullet"/>
      <w:lvlText w:val="•"/>
      <w:lvlJc w:val="left"/>
      <w:pPr>
        <w:ind w:left="7430" w:hanging="348"/>
      </w:pPr>
      <w:rPr>
        <w:rFonts w:hint="default"/>
      </w:rPr>
    </w:lvl>
  </w:abstractNum>
  <w:abstractNum w:abstractNumId="19">
    <w:nsid w:val="769743EA"/>
    <w:multiLevelType w:val="hybridMultilevel"/>
    <w:tmpl w:val="82E4D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3"/>
  </w:num>
  <w:num w:numId="4">
    <w:abstractNumId w:val="13"/>
  </w:num>
  <w:num w:numId="5">
    <w:abstractNumId w:val="6"/>
  </w:num>
  <w:num w:numId="6">
    <w:abstractNumId w:val="13"/>
  </w:num>
  <w:num w:numId="7">
    <w:abstractNumId w:val="13"/>
  </w:num>
  <w:num w:numId="8">
    <w:abstractNumId w:val="12"/>
  </w:num>
  <w:num w:numId="9">
    <w:abstractNumId w:val="12"/>
  </w:num>
  <w:num w:numId="10">
    <w:abstractNumId w:val="12"/>
  </w:num>
  <w:num w:numId="11">
    <w:abstractNumId w:val="12"/>
  </w:num>
  <w:num w:numId="12">
    <w:abstractNumId w:val="10"/>
    <w:lvlOverride w:ilvl="0">
      <w:lvl w:ilvl="0">
        <w:numFmt w:val="bullet"/>
        <w:lvlText w:val="•"/>
        <w:legacy w:legacy="1" w:legacySpace="0" w:legacyIndent="0"/>
        <w:lvlJc w:val="left"/>
        <w:rPr>
          <w:rFonts w:ascii="Helv" w:hAnsi="Helv" w:hint="default"/>
        </w:rPr>
      </w:lvl>
    </w:lvlOverride>
  </w:num>
  <w:num w:numId="13">
    <w:abstractNumId w:val="13"/>
  </w:num>
  <w:num w:numId="14">
    <w:abstractNumId w:val="13"/>
  </w:num>
  <w:num w:numId="15">
    <w:abstractNumId w:val="13"/>
  </w:num>
  <w:num w:numId="16">
    <w:abstractNumId w:val="12"/>
  </w:num>
  <w:num w:numId="17">
    <w:abstractNumId w:val="12"/>
  </w:num>
  <w:num w:numId="18">
    <w:abstractNumId w:val="12"/>
  </w:num>
  <w:num w:numId="19">
    <w:abstractNumId w:val="13"/>
  </w:num>
  <w:num w:numId="20">
    <w:abstractNumId w:val="13"/>
  </w:num>
  <w:num w:numId="21">
    <w:abstractNumId w:val="13"/>
  </w:num>
  <w:num w:numId="22">
    <w:abstractNumId w:val="12"/>
  </w:num>
  <w:num w:numId="23">
    <w:abstractNumId w:val="12"/>
  </w:num>
  <w:num w:numId="24">
    <w:abstractNumId w:val="12"/>
  </w:num>
  <w:num w:numId="25">
    <w:abstractNumId w:val="1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1"/>
  </w:num>
  <w:num w:numId="28">
    <w:abstractNumId w:val="15"/>
  </w:num>
  <w:num w:numId="29">
    <w:abstractNumId w:val="14"/>
  </w:num>
  <w:num w:numId="30">
    <w:abstractNumId w:val="16"/>
  </w:num>
  <w:num w:numId="31">
    <w:abstractNumId w:val="19"/>
  </w:num>
  <w:num w:numId="32">
    <w:abstractNumId w:val="18"/>
  </w:num>
  <w:num w:numId="33">
    <w:abstractNumId w:val="17"/>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4"/>
  </w:num>
  <w:num w:numId="37">
    <w:abstractNumId w:val="8"/>
  </w:num>
  <w:num w:numId="38">
    <w:abstractNumId w:val="3"/>
  </w:num>
  <w:num w:numId="39">
    <w:abstractNumId w:val="2"/>
  </w:num>
  <w:num w:numId="40">
    <w:abstractNumId w:val="1"/>
  </w:num>
  <w:num w:numId="41">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Hillman">
    <w15:presenceInfo w15:providerId="Windows Live" w15:userId="3c9ea4507e25e1d1"/>
  </w15:person>
  <w15:person w15:author="Christy Youn">
    <w15:presenceInfo w15:providerId="AD" w15:userId="S-1-5-21-3442153582-4143351917-2204994239-1578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1"/>
  <w:displayBackgroundShape/>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A39"/>
    <w:rsid w:val="00002031"/>
    <w:rsid w:val="00004734"/>
    <w:rsid w:val="00006B22"/>
    <w:rsid w:val="000114E8"/>
    <w:rsid w:val="0001276A"/>
    <w:rsid w:val="000246AE"/>
    <w:rsid w:val="00025C67"/>
    <w:rsid w:val="00042509"/>
    <w:rsid w:val="00044772"/>
    <w:rsid w:val="0005559E"/>
    <w:rsid w:val="00055658"/>
    <w:rsid w:val="000604D6"/>
    <w:rsid w:val="000635A6"/>
    <w:rsid w:val="000734D8"/>
    <w:rsid w:val="00074B3F"/>
    <w:rsid w:val="00077775"/>
    <w:rsid w:val="0007782D"/>
    <w:rsid w:val="00085C61"/>
    <w:rsid w:val="00090471"/>
    <w:rsid w:val="00096AA7"/>
    <w:rsid w:val="000A3AED"/>
    <w:rsid w:val="000B3532"/>
    <w:rsid w:val="000B38AD"/>
    <w:rsid w:val="000B3A75"/>
    <w:rsid w:val="000C00C2"/>
    <w:rsid w:val="000C1C9C"/>
    <w:rsid w:val="000C690F"/>
    <w:rsid w:val="000D1295"/>
    <w:rsid w:val="000D391B"/>
    <w:rsid w:val="000D3D6D"/>
    <w:rsid w:val="000D4FC7"/>
    <w:rsid w:val="000E30DE"/>
    <w:rsid w:val="000E4BFF"/>
    <w:rsid w:val="000E6196"/>
    <w:rsid w:val="000F4869"/>
    <w:rsid w:val="000F5B42"/>
    <w:rsid w:val="000F6E6F"/>
    <w:rsid w:val="0010601F"/>
    <w:rsid w:val="0010788A"/>
    <w:rsid w:val="00107A31"/>
    <w:rsid w:val="00110EA5"/>
    <w:rsid w:val="00112F56"/>
    <w:rsid w:val="00114A76"/>
    <w:rsid w:val="00125318"/>
    <w:rsid w:val="001275A1"/>
    <w:rsid w:val="001305A2"/>
    <w:rsid w:val="00133238"/>
    <w:rsid w:val="00133A1B"/>
    <w:rsid w:val="0014197B"/>
    <w:rsid w:val="001447CD"/>
    <w:rsid w:val="001516B1"/>
    <w:rsid w:val="00154EBB"/>
    <w:rsid w:val="00156316"/>
    <w:rsid w:val="00161181"/>
    <w:rsid w:val="00162D14"/>
    <w:rsid w:val="00165389"/>
    <w:rsid w:val="001707F7"/>
    <w:rsid w:val="0017693F"/>
    <w:rsid w:val="0018110E"/>
    <w:rsid w:val="00181684"/>
    <w:rsid w:val="001843C6"/>
    <w:rsid w:val="001850E0"/>
    <w:rsid w:val="0019574F"/>
    <w:rsid w:val="001A2158"/>
    <w:rsid w:val="001A525F"/>
    <w:rsid w:val="001A773A"/>
    <w:rsid w:val="001B09F9"/>
    <w:rsid w:val="001B16A7"/>
    <w:rsid w:val="001B5C90"/>
    <w:rsid w:val="001B6448"/>
    <w:rsid w:val="001C32CD"/>
    <w:rsid w:val="001D2984"/>
    <w:rsid w:val="001E07CF"/>
    <w:rsid w:val="001E59F1"/>
    <w:rsid w:val="001F2CEE"/>
    <w:rsid w:val="001F49EB"/>
    <w:rsid w:val="001F6CBA"/>
    <w:rsid w:val="00201D4E"/>
    <w:rsid w:val="002076C9"/>
    <w:rsid w:val="00207D00"/>
    <w:rsid w:val="00220B8A"/>
    <w:rsid w:val="002257F3"/>
    <w:rsid w:val="00233456"/>
    <w:rsid w:val="002339A5"/>
    <w:rsid w:val="00257848"/>
    <w:rsid w:val="00267433"/>
    <w:rsid w:val="0027084A"/>
    <w:rsid w:val="00286434"/>
    <w:rsid w:val="00286C59"/>
    <w:rsid w:val="00291957"/>
    <w:rsid w:val="00293B9C"/>
    <w:rsid w:val="002942D1"/>
    <w:rsid w:val="0029501A"/>
    <w:rsid w:val="00295E9D"/>
    <w:rsid w:val="002A3721"/>
    <w:rsid w:val="002A3ED4"/>
    <w:rsid w:val="002A5570"/>
    <w:rsid w:val="002B1638"/>
    <w:rsid w:val="002B3624"/>
    <w:rsid w:val="002C5D12"/>
    <w:rsid w:val="002D0952"/>
    <w:rsid w:val="002E40B3"/>
    <w:rsid w:val="002E4C9A"/>
    <w:rsid w:val="002F11F8"/>
    <w:rsid w:val="002F3F56"/>
    <w:rsid w:val="002F44B5"/>
    <w:rsid w:val="003037A3"/>
    <w:rsid w:val="00311AC0"/>
    <w:rsid w:val="00312285"/>
    <w:rsid w:val="003176FC"/>
    <w:rsid w:val="0032583B"/>
    <w:rsid w:val="00327883"/>
    <w:rsid w:val="00335504"/>
    <w:rsid w:val="00340C18"/>
    <w:rsid w:val="003442FD"/>
    <w:rsid w:val="00347420"/>
    <w:rsid w:val="00347824"/>
    <w:rsid w:val="00350567"/>
    <w:rsid w:val="003521E8"/>
    <w:rsid w:val="00370CE3"/>
    <w:rsid w:val="003728F3"/>
    <w:rsid w:val="0037496E"/>
    <w:rsid w:val="00383221"/>
    <w:rsid w:val="00386150"/>
    <w:rsid w:val="00387396"/>
    <w:rsid w:val="003874CE"/>
    <w:rsid w:val="00390900"/>
    <w:rsid w:val="003A7F6C"/>
    <w:rsid w:val="003B4D60"/>
    <w:rsid w:val="003B6A05"/>
    <w:rsid w:val="003B6F41"/>
    <w:rsid w:val="003B7E39"/>
    <w:rsid w:val="003C58DC"/>
    <w:rsid w:val="003D1E62"/>
    <w:rsid w:val="003E0B99"/>
    <w:rsid w:val="003E2486"/>
    <w:rsid w:val="003E3208"/>
    <w:rsid w:val="003F0B04"/>
    <w:rsid w:val="003F55B8"/>
    <w:rsid w:val="003F7AE2"/>
    <w:rsid w:val="0040134E"/>
    <w:rsid w:val="00402A3A"/>
    <w:rsid w:val="00415CD3"/>
    <w:rsid w:val="00425339"/>
    <w:rsid w:val="004300B2"/>
    <w:rsid w:val="004334C7"/>
    <w:rsid w:val="0043599F"/>
    <w:rsid w:val="00440A2D"/>
    <w:rsid w:val="00441C3F"/>
    <w:rsid w:val="00455A38"/>
    <w:rsid w:val="004564A7"/>
    <w:rsid w:val="004617BF"/>
    <w:rsid w:val="00463658"/>
    <w:rsid w:val="004637A0"/>
    <w:rsid w:val="004722CC"/>
    <w:rsid w:val="0047606A"/>
    <w:rsid w:val="00481814"/>
    <w:rsid w:val="004936E4"/>
    <w:rsid w:val="00494E60"/>
    <w:rsid w:val="00497487"/>
    <w:rsid w:val="004A6189"/>
    <w:rsid w:val="004A7390"/>
    <w:rsid w:val="004B7B76"/>
    <w:rsid w:val="004C239D"/>
    <w:rsid w:val="004C2DCA"/>
    <w:rsid w:val="004C61D2"/>
    <w:rsid w:val="004F0C4A"/>
    <w:rsid w:val="004F0F38"/>
    <w:rsid w:val="004F47D6"/>
    <w:rsid w:val="00501921"/>
    <w:rsid w:val="00502A39"/>
    <w:rsid w:val="00526A53"/>
    <w:rsid w:val="00530354"/>
    <w:rsid w:val="0053625B"/>
    <w:rsid w:val="005434C6"/>
    <w:rsid w:val="00543B39"/>
    <w:rsid w:val="00546154"/>
    <w:rsid w:val="00547BA6"/>
    <w:rsid w:val="00550096"/>
    <w:rsid w:val="00555280"/>
    <w:rsid w:val="00557FF9"/>
    <w:rsid w:val="00560830"/>
    <w:rsid w:val="00562327"/>
    <w:rsid w:val="005711D5"/>
    <w:rsid w:val="00576378"/>
    <w:rsid w:val="0057702F"/>
    <w:rsid w:val="00577130"/>
    <w:rsid w:val="00577945"/>
    <w:rsid w:val="00577E38"/>
    <w:rsid w:val="00585322"/>
    <w:rsid w:val="005857C6"/>
    <w:rsid w:val="005921E0"/>
    <w:rsid w:val="00592F6E"/>
    <w:rsid w:val="00593AD1"/>
    <w:rsid w:val="005A0D87"/>
    <w:rsid w:val="005A68B6"/>
    <w:rsid w:val="005B12D1"/>
    <w:rsid w:val="005C5570"/>
    <w:rsid w:val="005C79A4"/>
    <w:rsid w:val="005D3C83"/>
    <w:rsid w:val="005D5442"/>
    <w:rsid w:val="00603F32"/>
    <w:rsid w:val="00605AD4"/>
    <w:rsid w:val="006136D7"/>
    <w:rsid w:val="0061798A"/>
    <w:rsid w:val="00625A6E"/>
    <w:rsid w:val="00632398"/>
    <w:rsid w:val="00640FC3"/>
    <w:rsid w:val="00642020"/>
    <w:rsid w:val="0065337B"/>
    <w:rsid w:val="0065419D"/>
    <w:rsid w:val="00660089"/>
    <w:rsid w:val="006604D8"/>
    <w:rsid w:val="00664A5B"/>
    <w:rsid w:val="0066735C"/>
    <w:rsid w:val="00671E70"/>
    <w:rsid w:val="006763D2"/>
    <w:rsid w:val="00680C08"/>
    <w:rsid w:val="00686079"/>
    <w:rsid w:val="006916A0"/>
    <w:rsid w:val="006931B1"/>
    <w:rsid w:val="006A15C0"/>
    <w:rsid w:val="006A1D47"/>
    <w:rsid w:val="006C3E2A"/>
    <w:rsid w:val="006C642F"/>
    <w:rsid w:val="006D03E5"/>
    <w:rsid w:val="006D5D3E"/>
    <w:rsid w:val="006E08B3"/>
    <w:rsid w:val="006F17AC"/>
    <w:rsid w:val="006F25B8"/>
    <w:rsid w:val="006F572E"/>
    <w:rsid w:val="007046D6"/>
    <w:rsid w:val="00705DB0"/>
    <w:rsid w:val="00722B57"/>
    <w:rsid w:val="0072327F"/>
    <w:rsid w:val="00730F8A"/>
    <w:rsid w:val="00735A8C"/>
    <w:rsid w:val="0074253D"/>
    <w:rsid w:val="0074429B"/>
    <w:rsid w:val="007615BC"/>
    <w:rsid w:val="00762F05"/>
    <w:rsid w:val="007652FF"/>
    <w:rsid w:val="00770CAC"/>
    <w:rsid w:val="00770EF1"/>
    <w:rsid w:val="00771098"/>
    <w:rsid w:val="00773EF7"/>
    <w:rsid w:val="00774E1D"/>
    <w:rsid w:val="007765D8"/>
    <w:rsid w:val="0077675A"/>
    <w:rsid w:val="00780355"/>
    <w:rsid w:val="007819FD"/>
    <w:rsid w:val="00785717"/>
    <w:rsid w:val="00785721"/>
    <w:rsid w:val="00793A59"/>
    <w:rsid w:val="0079705A"/>
    <w:rsid w:val="007A7272"/>
    <w:rsid w:val="007A7C2D"/>
    <w:rsid w:val="007B6132"/>
    <w:rsid w:val="007B6334"/>
    <w:rsid w:val="007B6E9F"/>
    <w:rsid w:val="007C1216"/>
    <w:rsid w:val="007C1AF7"/>
    <w:rsid w:val="007C6B9B"/>
    <w:rsid w:val="007E576A"/>
    <w:rsid w:val="007E5E88"/>
    <w:rsid w:val="008022DA"/>
    <w:rsid w:val="00805D27"/>
    <w:rsid w:val="00806DCB"/>
    <w:rsid w:val="00821776"/>
    <w:rsid w:val="0082400F"/>
    <w:rsid w:val="008321F5"/>
    <w:rsid w:val="00832369"/>
    <w:rsid w:val="00834562"/>
    <w:rsid w:val="00834660"/>
    <w:rsid w:val="00836BC2"/>
    <w:rsid w:val="00842A49"/>
    <w:rsid w:val="0085156D"/>
    <w:rsid w:val="0085641B"/>
    <w:rsid w:val="00857136"/>
    <w:rsid w:val="00857251"/>
    <w:rsid w:val="00872165"/>
    <w:rsid w:val="00875A6B"/>
    <w:rsid w:val="00885B11"/>
    <w:rsid w:val="00886079"/>
    <w:rsid w:val="00886D15"/>
    <w:rsid w:val="00887DD8"/>
    <w:rsid w:val="00891BA9"/>
    <w:rsid w:val="00896018"/>
    <w:rsid w:val="008960DD"/>
    <w:rsid w:val="0089635C"/>
    <w:rsid w:val="008A2B9D"/>
    <w:rsid w:val="008A3D9F"/>
    <w:rsid w:val="008A5E0B"/>
    <w:rsid w:val="008A6D59"/>
    <w:rsid w:val="008A7A0B"/>
    <w:rsid w:val="008B4B03"/>
    <w:rsid w:val="008B596F"/>
    <w:rsid w:val="008B74D9"/>
    <w:rsid w:val="008C159F"/>
    <w:rsid w:val="008C1623"/>
    <w:rsid w:val="008C1850"/>
    <w:rsid w:val="008C51A9"/>
    <w:rsid w:val="008E4CBF"/>
    <w:rsid w:val="008E7846"/>
    <w:rsid w:val="008F02E5"/>
    <w:rsid w:val="008F1CCC"/>
    <w:rsid w:val="008F2967"/>
    <w:rsid w:val="008F6943"/>
    <w:rsid w:val="008F78AF"/>
    <w:rsid w:val="00902A21"/>
    <w:rsid w:val="009145B1"/>
    <w:rsid w:val="00920330"/>
    <w:rsid w:val="009219D7"/>
    <w:rsid w:val="00922D53"/>
    <w:rsid w:val="00923B70"/>
    <w:rsid w:val="00924482"/>
    <w:rsid w:val="00930237"/>
    <w:rsid w:val="009336B1"/>
    <w:rsid w:val="00937C17"/>
    <w:rsid w:val="00940A89"/>
    <w:rsid w:val="00946EA5"/>
    <w:rsid w:val="00963C08"/>
    <w:rsid w:val="009721F9"/>
    <w:rsid w:val="009752A5"/>
    <w:rsid w:val="009755CB"/>
    <w:rsid w:val="0098585A"/>
    <w:rsid w:val="009A4CED"/>
    <w:rsid w:val="009A690D"/>
    <w:rsid w:val="009B1D12"/>
    <w:rsid w:val="009B416B"/>
    <w:rsid w:val="009C4BD5"/>
    <w:rsid w:val="009C6854"/>
    <w:rsid w:val="009C6867"/>
    <w:rsid w:val="009D7B77"/>
    <w:rsid w:val="009E0BB0"/>
    <w:rsid w:val="009E3FBB"/>
    <w:rsid w:val="009F7353"/>
    <w:rsid w:val="00A019F1"/>
    <w:rsid w:val="00A04F85"/>
    <w:rsid w:val="00A05FA4"/>
    <w:rsid w:val="00A102E4"/>
    <w:rsid w:val="00A12C42"/>
    <w:rsid w:val="00A13C7D"/>
    <w:rsid w:val="00A14DF7"/>
    <w:rsid w:val="00A17D08"/>
    <w:rsid w:val="00A3246D"/>
    <w:rsid w:val="00A36FA7"/>
    <w:rsid w:val="00A40525"/>
    <w:rsid w:val="00A44DDB"/>
    <w:rsid w:val="00A475B7"/>
    <w:rsid w:val="00A47AF7"/>
    <w:rsid w:val="00A47C3E"/>
    <w:rsid w:val="00A50226"/>
    <w:rsid w:val="00A5516F"/>
    <w:rsid w:val="00A60BAD"/>
    <w:rsid w:val="00A80B5B"/>
    <w:rsid w:val="00A84E36"/>
    <w:rsid w:val="00A964D1"/>
    <w:rsid w:val="00AA0ED0"/>
    <w:rsid w:val="00AB4EBA"/>
    <w:rsid w:val="00AC2B40"/>
    <w:rsid w:val="00AC2BB2"/>
    <w:rsid w:val="00AC2C3C"/>
    <w:rsid w:val="00AC4959"/>
    <w:rsid w:val="00AC512D"/>
    <w:rsid w:val="00AD0083"/>
    <w:rsid w:val="00AD3935"/>
    <w:rsid w:val="00AE65EB"/>
    <w:rsid w:val="00AE67A7"/>
    <w:rsid w:val="00AF1D94"/>
    <w:rsid w:val="00AF60C5"/>
    <w:rsid w:val="00B009C6"/>
    <w:rsid w:val="00B01548"/>
    <w:rsid w:val="00B13EBD"/>
    <w:rsid w:val="00B21D29"/>
    <w:rsid w:val="00B25034"/>
    <w:rsid w:val="00B33588"/>
    <w:rsid w:val="00B33863"/>
    <w:rsid w:val="00B37D17"/>
    <w:rsid w:val="00B4175E"/>
    <w:rsid w:val="00B452CE"/>
    <w:rsid w:val="00B54C25"/>
    <w:rsid w:val="00B6471F"/>
    <w:rsid w:val="00B76B91"/>
    <w:rsid w:val="00B77EB1"/>
    <w:rsid w:val="00B811C6"/>
    <w:rsid w:val="00B855B0"/>
    <w:rsid w:val="00B92E08"/>
    <w:rsid w:val="00BC1A2C"/>
    <w:rsid w:val="00BC622A"/>
    <w:rsid w:val="00BC7DAC"/>
    <w:rsid w:val="00BE0A78"/>
    <w:rsid w:val="00BE79F0"/>
    <w:rsid w:val="00BF046D"/>
    <w:rsid w:val="00BF1190"/>
    <w:rsid w:val="00BF5D04"/>
    <w:rsid w:val="00C009AA"/>
    <w:rsid w:val="00C1164D"/>
    <w:rsid w:val="00C16861"/>
    <w:rsid w:val="00C346AB"/>
    <w:rsid w:val="00C40306"/>
    <w:rsid w:val="00C404A6"/>
    <w:rsid w:val="00C40A36"/>
    <w:rsid w:val="00C44419"/>
    <w:rsid w:val="00C45E7B"/>
    <w:rsid w:val="00C471B1"/>
    <w:rsid w:val="00C51372"/>
    <w:rsid w:val="00C562AE"/>
    <w:rsid w:val="00C6316B"/>
    <w:rsid w:val="00C634A9"/>
    <w:rsid w:val="00C64586"/>
    <w:rsid w:val="00C70D53"/>
    <w:rsid w:val="00C73D0B"/>
    <w:rsid w:val="00C772FF"/>
    <w:rsid w:val="00C80137"/>
    <w:rsid w:val="00C801AF"/>
    <w:rsid w:val="00C80256"/>
    <w:rsid w:val="00C90B8A"/>
    <w:rsid w:val="00C94CD4"/>
    <w:rsid w:val="00C96D61"/>
    <w:rsid w:val="00C9747E"/>
    <w:rsid w:val="00CB6BC0"/>
    <w:rsid w:val="00CC1B7C"/>
    <w:rsid w:val="00CC727F"/>
    <w:rsid w:val="00CE7B5B"/>
    <w:rsid w:val="00CF15C3"/>
    <w:rsid w:val="00CF2B6F"/>
    <w:rsid w:val="00CF2F3E"/>
    <w:rsid w:val="00CF58B6"/>
    <w:rsid w:val="00D0062D"/>
    <w:rsid w:val="00D017ED"/>
    <w:rsid w:val="00D040D3"/>
    <w:rsid w:val="00D04C65"/>
    <w:rsid w:val="00D201D2"/>
    <w:rsid w:val="00D20AA2"/>
    <w:rsid w:val="00D21308"/>
    <w:rsid w:val="00D21502"/>
    <w:rsid w:val="00D224FE"/>
    <w:rsid w:val="00D23139"/>
    <w:rsid w:val="00D31B59"/>
    <w:rsid w:val="00D425BB"/>
    <w:rsid w:val="00D444FC"/>
    <w:rsid w:val="00D45E8D"/>
    <w:rsid w:val="00D53050"/>
    <w:rsid w:val="00D6493E"/>
    <w:rsid w:val="00D67525"/>
    <w:rsid w:val="00D7195D"/>
    <w:rsid w:val="00D7301E"/>
    <w:rsid w:val="00D73EB2"/>
    <w:rsid w:val="00D83AE1"/>
    <w:rsid w:val="00D855D4"/>
    <w:rsid w:val="00D902C9"/>
    <w:rsid w:val="00D93466"/>
    <w:rsid w:val="00DA1124"/>
    <w:rsid w:val="00DB0F91"/>
    <w:rsid w:val="00DB6124"/>
    <w:rsid w:val="00DB750B"/>
    <w:rsid w:val="00DB75B7"/>
    <w:rsid w:val="00DC07C5"/>
    <w:rsid w:val="00DC6E02"/>
    <w:rsid w:val="00DD08FD"/>
    <w:rsid w:val="00DD26FC"/>
    <w:rsid w:val="00DD28CD"/>
    <w:rsid w:val="00DE02AE"/>
    <w:rsid w:val="00DE31FA"/>
    <w:rsid w:val="00DF1D7F"/>
    <w:rsid w:val="00DF4BE4"/>
    <w:rsid w:val="00E02FB4"/>
    <w:rsid w:val="00E13419"/>
    <w:rsid w:val="00E13FC7"/>
    <w:rsid w:val="00E164C2"/>
    <w:rsid w:val="00E20571"/>
    <w:rsid w:val="00E235F7"/>
    <w:rsid w:val="00E23659"/>
    <w:rsid w:val="00E239D4"/>
    <w:rsid w:val="00E26130"/>
    <w:rsid w:val="00E27DC4"/>
    <w:rsid w:val="00E358D2"/>
    <w:rsid w:val="00E40B22"/>
    <w:rsid w:val="00E44ED1"/>
    <w:rsid w:val="00E45619"/>
    <w:rsid w:val="00E4588F"/>
    <w:rsid w:val="00E46DA3"/>
    <w:rsid w:val="00E51BB1"/>
    <w:rsid w:val="00E624A5"/>
    <w:rsid w:val="00E64BA4"/>
    <w:rsid w:val="00E7344E"/>
    <w:rsid w:val="00E82665"/>
    <w:rsid w:val="00E843C5"/>
    <w:rsid w:val="00E96864"/>
    <w:rsid w:val="00E97B09"/>
    <w:rsid w:val="00EB0798"/>
    <w:rsid w:val="00EB31A5"/>
    <w:rsid w:val="00EB40AD"/>
    <w:rsid w:val="00EB586E"/>
    <w:rsid w:val="00EB5FC8"/>
    <w:rsid w:val="00EC463D"/>
    <w:rsid w:val="00EC7A85"/>
    <w:rsid w:val="00ED2922"/>
    <w:rsid w:val="00ED3CAD"/>
    <w:rsid w:val="00ED5A41"/>
    <w:rsid w:val="00EE1DE8"/>
    <w:rsid w:val="00EE27C2"/>
    <w:rsid w:val="00EE3405"/>
    <w:rsid w:val="00EE7AFF"/>
    <w:rsid w:val="00EF3F38"/>
    <w:rsid w:val="00EF4BAD"/>
    <w:rsid w:val="00EF59DC"/>
    <w:rsid w:val="00F00F1E"/>
    <w:rsid w:val="00F01407"/>
    <w:rsid w:val="00F033EC"/>
    <w:rsid w:val="00F04821"/>
    <w:rsid w:val="00F04F68"/>
    <w:rsid w:val="00F12670"/>
    <w:rsid w:val="00F14B27"/>
    <w:rsid w:val="00F3148D"/>
    <w:rsid w:val="00F325C5"/>
    <w:rsid w:val="00F32FE0"/>
    <w:rsid w:val="00F35298"/>
    <w:rsid w:val="00F47333"/>
    <w:rsid w:val="00F47E37"/>
    <w:rsid w:val="00F53C07"/>
    <w:rsid w:val="00F54B65"/>
    <w:rsid w:val="00F640B6"/>
    <w:rsid w:val="00F66DF2"/>
    <w:rsid w:val="00F80E40"/>
    <w:rsid w:val="00F826F3"/>
    <w:rsid w:val="00F848D9"/>
    <w:rsid w:val="00F87F57"/>
    <w:rsid w:val="00FA103D"/>
    <w:rsid w:val="00FA5B82"/>
    <w:rsid w:val="00FA639E"/>
    <w:rsid w:val="00FB03A9"/>
    <w:rsid w:val="00FC10E7"/>
    <w:rsid w:val="00FC1FCA"/>
    <w:rsid w:val="00FC25E4"/>
    <w:rsid w:val="00FC4EF7"/>
    <w:rsid w:val="00FD0824"/>
    <w:rsid w:val="00FD119B"/>
    <w:rsid w:val="00FD1EDC"/>
    <w:rsid w:val="00FD5260"/>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AF6F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31228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3037A3"/>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3037A3"/>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3037A3"/>
    <w:pPr>
      <w:framePr w:hSpace="180" w:wrap="around" w:vAnchor="page" w:hAnchor="text" w:y="3316"/>
      <w:numPr>
        <w:ilvl w:val="1"/>
      </w:numPr>
      <w:spacing w:after="36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3037A3"/>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312285"/>
    <w:pPr>
      <w:ind w:left="43"/>
    </w:pPr>
    <w:rPr>
      <w:b/>
      <w:color w:val="FFFFFF" w:themeColor="background1"/>
      <w:sz w:val="18"/>
      <w:szCs w:val="18"/>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3037A3"/>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3037A3"/>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Standard">
    <w:name w:val="Standard"/>
    <w:basedOn w:val="Normal"/>
    <w:link w:val="StandardChar"/>
    <w:qFormat/>
    <w:rsid w:val="00502A39"/>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502A39"/>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502A39"/>
    <w:pPr>
      <w:numPr>
        <w:numId w:val="27"/>
      </w:numPr>
      <w:spacing w:after="180"/>
    </w:pPr>
    <w:rPr>
      <w:kern w:val="2"/>
    </w:rPr>
  </w:style>
  <w:style w:type="character" w:customStyle="1" w:styleId="TabletextChar">
    <w:name w:val="Table text Char"/>
    <w:basedOn w:val="StandardChar"/>
    <w:link w:val="Tabletext"/>
    <w:rsid w:val="00502A39"/>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502A39"/>
    <w:rPr>
      <w:rFonts w:ascii="Cambria" w:eastAsia="Times New Roman" w:hAnsi="Cambria" w:cs="Times New Roman"/>
      <w:snapToGrid w:val="0"/>
      <w:kern w:val="2"/>
      <w:sz w:val="23"/>
      <w:szCs w:val="24"/>
    </w:rPr>
  </w:style>
  <w:style w:type="paragraph" w:customStyle="1" w:styleId="Summaryofsafetyconcerns">
    <w:name w:val="Summary of safety concerns"/>
    <w:basedOn w:val="Tabletext"/>
    <w:link w:val="SummaryofsafetyconcernsChar"/>
    <w:qFormat/>
    <w:rsid w:val="00502A39"/>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502A39"/>
    <w:rPr>
      <w:rFonts w:ascii="Cambria" w:eastAsia="Times New Roman" w:hAnsi="Cambria" w:cs="Times New Roman"/>
      <w:b/>
      <w:snapToGrid w:val="0"/>
      <w:kern w:val="16"/>
      <w:sz w:val="20"/>
      <w:szCs w:val="24"/>
    </w:rPr>
  </w:style>
  <w:style w:type="paragraph" w:styleId="ListParagraph">
    <w:name w:val="List Paragraph"/>
    <w:basedOn w:val="Normal"/>
    <w:uiPriority w:val="1"/>
    <w:qFormat/>
    <w:rsid w:val="00042509"/>
    <w:pPr>
      <w:ind w:left="720"/>
      <w:contextualSpacing/>
    </w:pPr>
  </w:style>
  <w:style w:type="paragraph" w:customStyle="1" w:styleId="Tabletitle0">
    <w:name w:val="Table title"/>
    <w:basedOn w:val="Normal"/>
    <w:next w:val="Normal"/>
    <w:rsid w:val="00DE31FA"/>
    <w:pPr>
      <w:keepNext/>
      <w:spacing w:after="180"/>
      <w:outlineLvl w:val="4"/>
    </w:pPr>
    <w:rPr>
      <w:b/>
    </w:rPr>
  </w:style>
  <w:style w:type="paragraph" w:styleId="BodyText">
    <w:name w:val="Body Text"/>
    <w:basedOn w:val="Normal"/>
    <w:link w:val="BodyTextChar"/>
    <w:uiPriority w:val="1"/>
    <w:qFormat/>
    <w:rsid w:val="00C96D61"/>
    <w:pPr>
      <w:widowControl w:val="0"/>
      <w:autoSpaceDE w:val="0"/>
      <w:autoSpaceDN w:val="0"/>
      <w:spacing w:before="0" w:after="0" w:line="240" w:lineRule="auto"/>
    </w:pPr>
    <w:rPr>
      <w:rFonts w:ascii="Times New Roman" w:eastAsia="Times New Roman" w:hAnsi="Times New Roman"/>
      <w:sz w:val="23"/>
      <w:szCs w:val="23"/>
      <w:lang w:val="en-US"/>
    </w:rPr>
  </w:style>
  <w:style w:type="character" w:customStyle="1" w:styleId="BodyTextChar">
    <w:name w:val="Body Text Char"/>
    <w:basedOn w:val="DefaultParagraphFont"/>
    <w:link w:val="BodyText"/>
    <w:uiPriority w:val="1"/>
    <w:rsid w:val="00C96D61"/>
    <w:rPr>
      <w:rFonts w:ascii="Times New Roman" w:eastAsia="Times New Roman" w:hAnsi="Times New Roman" w:cs="Times New Roman"/>
      <w:sz w:val="23"/>
      <w:szCs w:val="23"/>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31228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3037A3"/>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3037A3"/>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3037A3"/>
    <w:pPr>
      <w:framePr w:hSpace="180" w:wrap="around" w:vAnchor="page" w:hAnchor="text" w:y="3316"/>
      <w:numPr>
        <w:ilvl w:val="1"/>
      </w:numPr>
      <w:spacing w:after="36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3037A3"/>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312285"/>
    <w:pPr>
      <w:ind w:left="43"/>
    </w:pPr>
    <w:rPr>
      <w:b/>
      <w:color w:val="FFFFFF" w:themeColor="background1"/>
      <w:sz w:val="18"/>
      <w:szCs w:val="18"/>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3037A3"/>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3037A3"/>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Standard">
    <w:name w:val="Standard"/>
    <w:basedOn w:val="Normal"/>
    <w:link w:val="StandardChar"/>
    <w:qFormat/>
    <w:rsid w:val="00502A39"/>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502A39"/>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502A39"/>
    <w:pPr>
      <w:numPr>
        <w:numId w:val="27"/>
      </w:numPr>
      <w:spacing w:after="180"/>
    </w:pPr>
    <w:rPr>
      <w:kern w:val="2"/>
    </w:rPr>
  </w:style>
  <w:style w:type="character" w:customStyle="1" w:styleId="TabletextChar">
    <w:name w:val="Table text Char"/>
    <w:basedOn w:val="StandardChar"/>
    <w:link w:val="Tabletext"/>
    <w:rsid w:val="00502A39"/>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502A39"/>
    <w:rPr>
      <w:rFonts w:ascii="Cambria" w:eastAsia="Times New Roman" w:hAnsi="Cambria" w:cs="Times New Roman"/>
      <w:snapToGrid w:val="0"/>
      <w:kern w:val="2"/>
      <w:sz w:val="23"/>
      <w:szCs w:val="24"/>
    </w:rPr>
  </w:style>
  <w:style w:type="paragraph" w:customStyle="1" w:styleId="Summaryofsafetyconcerns">
    <w:name w:val="Summary of safety concerns"/>
    <w:basedOn w:val="Tabletext"/>
    <w:link w:val="SummaryofsafetyconcernsChar"/>
    <w:qFormat/>
    <w:rsid w:val="00502A39"/>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502A39"/>
    <w:rPr>
      <w:rFonts w:ascii="Cambria" w:eastAsia="Times New Roman" w:hAnsi="Cambria" w:cs="Times New Roman"/>
      <w:b/>
      <w:snapToGrid w:val="0"/>
      <w:kern w:val="16"/>
      <w:sz w:val="20"/>
      <w:szCs w:val="24"/>
    </w:rPr>
  </w:style>
  <w:style w:type="paragraph" w:styleId="ListParagraph">
    <w:name w:val="List Paragraph"/>
    <w:basedOn w:val="Normal"/>
    <w:uiPriority w:val="1"/>
    <w:qFormat/>
    <w:rsid w:val="00042509"/>
    <w:pPr>
      <w:ind w:left="720"/>
      <w:contextualSpacing/>
    </w:pPr>
  </w:style>
  <w:style w:type="paragraph" w:customStyle="1" w:styleId="Tabletitle0">
    <w:name w:val="Table title"/>
    <w:basedOn w:val="Normal"/>
    <w:next w:val="Normal"/>
    <w:rsid w:val="00DE31FA"/>
    <w:pPr>
      <w:keepNext/>
      <w:spacing w:after="180"/>
      <w:outlineLvl w:val="4"/>
    </w:pPr>
    <w:rPr>
      <w:b/>
    </w:rPr>
  </w:style>
  <w:style w:type="paragraph" w:styleId="BodyText">
    <w:name w:val="Body Text"/>
    <w:basedOn w:val="Normal"/>
    <w:link w:val="BodyTextChar"/>
    <w:uiPriority w:val="1"/>
    <w:qFormat/>
    <w:rsid w:val="00C96D61"/>
    <w:pPr>
      <w:widowControl w:val="0"/>
      <w:autoSpaceDE w:val="0"/>
      <w:autoSpaceDN w:val="0"/>
      <w:spacing w:before="0" w:after="0" w:line="240" w:lineRule="auto"/>
    </w:pPr>
    <w:rPr>
      <w:rFonts w:ascii="Times New Roman" w:eastAsia="Times New Roman" w:hAnsi="Times New Roman"/>
      <w:sz w:val="23"/>
      <w:szCs w:val="23"/>
      <w:lang w:val="en-US"/>
    </w:rPr>
  </w:style>
  <w:style w:type="character" w:customStyle="1" w:styleId="BodyTextChar">
    <w:name w:val="Body Text Char"/>
    <w:basedOn w:val="DefaultParagraphFont"/>
    <w:link w:val="BodyText"/>
    <w:uiPriority w:val="1"/>
    <w:rsid w:val="00C96D61"/>
    <w:rPr>
      <w:rFonts w:ascii="Times New Roman" w:eastAsia="Times New Roman" w:hAnsi="Times New Roman" w:cs="Times New Roman"/>
      <w:sz w:val="23"/>
      <w:szCs w:val="23"/>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56370">
      <w:bodyDiv w:val="1"/>
      <w:marLeft w:val="0"/>
      <w:marRight w:val="0"/>
      <w:marTop w:val="0"/>
      <w:marBottom w:val="0"/>
      <w:divBdr>
        <w:top w:val="none" w:sz="0" w:space="0" w:color="auto"/>
        <w:left w:val="none" w:sz="0" w:space="0" w:color="auto"/>
        <w:bottom w:val="none" w:sz="0" w:space="0" w:color="auto"/>
        <w:right w:val="none" w:sz="0" w:space="0" w:color="auto"/>
      </w:divBdr>
    </w:div>
    <w:div w:id="112943688">
      <w:bodyDiv w:val="1"/>
      <w:marLeft w:val="0"/>
      <w:marRight w:val="0"/>
      <w:marTop w:val="0"/>
      <w:marBottom w:val="0"/>
      <w:divBdr>
        <w:top w:val="none" w:sz="0" w:space="0" w:color="auto"/>
        <w:left w:val="none" w:sz="0" w:space="0" w:color="auto"/>
        <w:bottom w:val="none" w:sz="0" w:space="0" w:color="auto"/>
        <w:right w:val="none" w:sz="0" w:space="0" w:color="auto"/>
      </w:divBdr>
    </w:div>
    <w:div w:id="129253227">
      <w:bodyDiv w:val="1"/>
      <w:marLeft w:val="0"/>
      <w:marRight w:val="0"/>
      <w:marTop w:val="0"/>
      <w:marBottom w:val="0"/>
      <w:divBdr>
        <w:top w:val="none" w:sz="0" w:space="0" w:color="auto"/>
        <w:left w:val="none" w:sz="0" w:space="0" w:color="auto"/>
        <w:bottom w:val="none" w:sz="0" w:space="0" w:color="auto"/>
        <w:right w:val="none" w:sz="0" w:space="0" w:color="auto"/>
      </w:divBdr>
    </w:div>
    <w:div w:id="277563178">
      <w:bodyDiv w:val="1"/>
      <w:marLeft w:val="0"/>
      <w:marRight w:val="0"/>
      <w:marTop w:val="0"/>
      <w:marBottom w:val="0"/>
      <w:divBdr>
        <w:top w:val="none" w:sz="0" w:space="0" w:color="auto"/>
        <w:left w:val="none" w:sz="0" w:space="0" w:color="auto"/>
        <w:bottom w:val="none" w:sz="0" w:space="0" w:color="auto"/>
        <w:right w:val="none" w:sz="0" w:space="0" w:color="auto"/>
      </w:divBdr>
    </w:div>
    <w:div w:id="323365273">
      <w:bodyDiv w:val="1"/>
      <w:marLeft w:val="0"/>
      <w:marRight w:val="0"/>
      <w:marTop w:val="0"/>
      <w:marBottom w:val="0"/>
      <w:divBdr>
        <w:top w:val="none" w:sz="0" w:space="0" w:color="auto"/>
        <w:left w:val="none" w:sz="0" w:space="0" w:color="auto"/>
        <w:bottom w:val="none" w:sz="0" w:space="0" w:color="auto"/>
        <w:right w:val="none" w:sz="0" w:space="0" w:color="auto"/>
      </w:divBdr>
    </w:div>
    <w:div w:id="430440694">
      <w:bodyDiv w:val="1"/>
      <w:marLeft w:val="0"/>
      <w:marRight w:val="0"/>
      <w:marTop w:val="0"/>
      <w:marBottom w:val="0"/>
      <w:divBdr>
        <w:top w:val="none" w:sz="0" w:space="0" w:color="auto"/>
        <w:left w:val="none" w:sz="0" w:space="0" w:color="auto"/>
        <w:bottom w:val="none" w:sz="0" w:space="0" w:color="auto"/>
        <w:right w:val="none" w:sz="0" w:space="0" w:color="auto"/>
      </w:divBdr>
    </w:div>
    <w:div w:id="449936877">
      <w:bodyDiv w:val="1"/>
      <w:marLeft w:val="0"/>
      <w:marRight w:val="0"/>
      <w:marTop w:val="0"/>
      <w:marBottom w:val="0"/>
      <w:divBdr>
        <w:top w:val="none" w:sz="0" w:space="0" w:color="auto"/>
        <w:left w:val="none" w:sz="0" w:space="0" w:color="auto"/>
        <w:bottom w:val="none" w:sz="0" w:space="0" w:color="auto"/>
        <w:right w:val="none" w:sz="0" w:space="0" w:color="auto"/>
      </w:divBdr>
    </w:div>
    <w:div w:id="485438864">
      <w:bodyDiv w:val="1"/>
      <w:marLeft w:val="0"/>
      <w:marRight w:val="0"/>
      <w:marTop w:val="0"/>
      <w:marBottom w:val="0"/>
      <w:divBdr>
        <w:top w:val="none" w:sz="0" w:space="0" w:color="auto"/>
        <w:left w:val="none" w:sz="0" w:space="0" w:color="auto"/>
        <w:bottom w:val="none" w:sz="0" w:space="0" w:color="auto"/>
        <w:right w:val="none" w:sz="0" w:space="0" w:color="auto"/>
      </w:divBdr>
    </w:div>
    <w:div w:id="515777778">
      <w:bodyDiv w:val="1"/>
      <w:marLeft w:val="0"/>
      <w:marRight w:val="0"/>
      <w:marTop w:val="0"/>
      <w:marBottom w:val="0"/>
      <w:divBdr>
        <w:top w:val="none" w:sz="0" w:space="0" w:color="auto"/>
        <w:left w:val="none" w:sz="0" w:space="0" w:color="auto"/>
        <w:bottom w:val="none" w:sz="0" w:space="0" w:color="auto"/>
        <w:right w:val="none" w:sz="0" w:space="0" w:color="auto"/>
      </w:divBdr>
    </w:div>
    <w:div w:id="590889585">
      <w:bodyDiv w:val="1"/>
      <w:marLeft w:val="0"/>
      <w:marRight w:val="0"/>
      <w:marTop w:val="0"/>
      <w:marBottom w:val="0"/>
      <w:divBdr>
        <w:top w:val="none" w:sz="0" w:space="0" w:color="auto"/>
        <w:left w:val="none" w:sz="0" w:space="0" w:color="auto"/>
        <w:bottom w:val="none" w:sz="0" w:space="0" w:color="auto"/>
        <w:right w:val="none" w:sz="0" w:space="0" w:color="auto"/>
      </w:divBdr>
    </w:div>
    <w:div w:id="600530421">
      <w:bodyDiv w:val="1"/>
      <w:marLeft w:val="0"/>
      <w:marRight w:val="0"/>
      <w:marTop w:val="0"/>
      <w:marBottom w:val="0"/>
      <w:divBdr>
        <w:top w:val="none" w:sz="0" w:space="0" w:color="auto"/>
        <w:left w:val="none" w:sz="0" w:space="0" w:color="auto"/>
        <w:bottom w:val="none" w:sz="0" w:space="0" w:color="auto"/>
        <w:right w:val="none" w:sz="0" w:space="0" w:color="auto"/>
      </w:divBdr>
    </w:div>
    <w:div w:id="613290216">
      <w:bodyDiv w:val="1"/>
      <w:marLeft w:val="0"/>
      <w:marRight w:val="0"/>
      <w:marTop w:val="0"/>
      <w:marBottom w:val="0"/>
      <w:divBdr>
        <w:top w:val="none" w:sz="0" w:space="0" w:color="auto"/>
        <w:left w:val="none" w:sz="0" w:space="0" w:color="auto"/>
        <w:bottom w:val="none" w:sz="0" w:space="0" w:color="auto"/>
        <w:right w:val="none" w:sz="0" w:space="0" w:color="auto"/>
      </w:divBdr>
    </w:div>
    <w:div w:id="624124061">
      <w:bodyDiv w:val="1"/>
      <w:marLeft w:val="0"/>
      <w:marRight w:val="0"/>
      <w:marTop w:val="0"/>
      <w:marBottom w:val="0"/>
      <w:divBdr>
        <w:top w:val="none" w:sz="0" w:space="0" w:color="auto"/>
        <w:left w:val="none" w:sz="0" w:space="0" w:color="auto"/>
        <w:bottom w:val="none" w:sz="0" w:space="0" w:color="auto"/>
        <w:right w:val="none" w:sz="0" w:space="0" w:color="auto"/>
      </w:divBdr>
    </w:div>
    <w:div w:id="650988697">
      <w:bodyDiv w:val="1"/>
      <w:marLeft w:val="0"/>
      <w:marRight w:val="0"/>
      <w:marTop w:val="0"/>
      <w:marBottom w:val="0"/>
      <w:divBdr>
        <w:top w:val="none" w:sz="0" w:space="0" w:color="auto"/>
        <w:left w:val="none" w:sz="0" w:space="0" w:color="auto"/>
        <w:bottom w:val="none" w:sz="0" w:space="0" w:color="auto"/>
        <w:right w:val="none" w:sz="0" w:space="0" w:color="auto"/>
      </w:divBdr>
    </w:div>
    <w:div w:id="658464416">
      <w:bodyDiv w:val="1"/>
      <w:marLeft w:val="0"/>
      <w:marRight w:val="0"/>
      <w:marTop w:val="0"/>
      <w:marBottom w:val="0"/>
      <w:divBdr>
        <w:top w:val="none" w:sz="0" w:space="0" w:color="auto"/>
        <w:left w:val="none" w:sz="0" w:space="0" w:color="auto"/>
        <w:bottom w:val="none" w:sz="0" w:space="0" w:color="auto"/>
        <w:right w:val="none" w:sz="0" w:space="0" w:color="auto"/>
      </w:divBdr>
    </w:div>
    <w:div w:id="685138015">
      <w:bodyDiv w:val="1"/>
      <w:marLeft w:val="0"/>
      <w:marRight w:val="0"/>
      <w:marTop w:val="0"/>
      <w:marBottom w:val="0"/>
      <w:divBdr>
        <w:top w:val="none" w:sz="0" w:space="0" w:color="auto"/>
        <w:left w:val="none" w:sz="0" w:space="0" w:color="auto"/>
        <w:bottom w:val="none" w:sz="0" w:space="0" w:color="auto"/>
        <w:right w:val="none" w:sz="0" w:space="0" w:color="auto"/>
      </w:divBdr>
    </w:div>
    <w:div w:id="734276393">
      <w:bodyDiv w:val="1"/>
      <w:marLeft w:val="0"/>
      <w:marRight w:val="0"/>
      <w:marTop w:val="0"/>
      <w:marBottom w:val="0"/>
      <w:divBdr>
        <w:top w:val="none" w:sz="0" w:space="0" w:color="auto"/>
        <w:left w:val="none" w:sz="0" w:space="0" w:color="auto"/>
        <w:bottom w:val="none" w:sz="0" w:space="0" w:color="auto"/>
        <w:right w:val="none" w:sz="0" w:space="0" w:color="auto"/>
      </w:divBdr>
    </w:div>
    <w:div w:id="767585448">
      <w:bodyDiv w:val="1"/>
      <w:marLeft w:val="0"/>
      <w:marRight w:val="0"/>
      <w:marTop w:val="0"/>
      <w:marBottom w:val="0"/>
      <w:divBdr>
        <w:top w:val="none" w:sz="0" w:space="0" w:color="auto"/>
        <w:left w:val="none" w:sz="0" w:space="0" w:color="auto"/>
        <w:bottom w:val="none" w:sz="0" w:space="0" w:color="auto"/>
        <w:right w:val="none" w:sz="0" w:space="0" w:color="auto"/>
      </w:divBdr>
    </w:div>
    <w:div w:id="792484864">
      <w:bodyDiv w:val="1"/>
      <w:marLeft w:val="0"/>
      <w:marRight w:val="0"/>
      <w:marTop w:val="0"/>
      <w:marBottom w:val="0"/>
      <w:divBdr>
        <w:top w:val="none" w:sz="0" w:space="0" w:color="auto"/>
        <w:left w:val="none" w:sz="0" w:space="0" w:color="auto"/>
        <w:bottom w:val="none" w:sz="0" w:space="0" w:color="auto"/>
        <w:right w:val="none" w:sz="0" w:space="0" w:color="auto"/>
      </w:divBdr>
    </w:div>
    <w:div w:id="836188047">
      <w:bodyDiv w:val="1"/>
      <w:marLeft w:val="0"/>
      <w:marRight w:val="0"/>
      <w:marTop w:val="0"/>
      <w:marBottom w:val="0"/>
      <w:divBdr>
        <w:top w:val="none" w:sz="0" w:space="0" w:color="auto"/>
        <w:left w:val="none" w:sz="0" w:space="0" w:color="auto"/>
        <w:bottom w:val="none" w:sz="0" w:space="0" w:color="auto"/>
        <w:right w:val="none" w:sz="0" w:space="0" w:color="auto"/>
      </w:divBdr>
    </w:div>
    <w:div w:id="956983547">
      <w:bodyDiv w:val="1"/>
      <w:marLeft w:val="0"/>
      <w:marRight w:val="0"/>
      <w:marTop w:val="0"/>
      <w:marBottom w:val="0"/>
      <w:divBdr>
        <w:top w:val="none" w:sz="0" w:space="0" w:color="auto"/>
        <w:left w:val="none" w:sz="0" w:space="0" w:color="auto"/>
        <w:bottom w:val="none" w:sz="0" w:space="0" w:color="auto"/>
        <w:right w:val="none" w:sz="0" w:space="0" w:color="auto"/>
      </w:divBdr>
    </w:div>
    <w:div w:id="966854508">
      <w:bodyDiv w:val="1"/>
      <w:marLeft w:val="0"/>
      <w:marRight w:val="0"/>
      <w:marTop w:val="0"/>
      <w:marBottom w:val="0"/>
      <w:divBdr>
        <w:top w:val="none" w:sz="0" w:space="0" w:color="auto"/>
        <w:left w:val="none" w:sz="0" w:space="0" w:color="auto"/>
        <w:bottom w:val="none" w:sz="0" w:space="0" w:color="auto"/>
        <w:right w:val="none" w:sz="0" w:space="0" w:color="auto"/>
      </w:divBdr>
    </w:div>
    <w:div w:id="986856804">
      <w:bodyDiv w:val="1"/>
      <w:marLeft w:val="0"/>
      <w:marRight w:val="0"/>
      <w:marTop w:val="0"/>
      <w:marBottom w:val="0"/>
      <w:divBdr>
        <w:top w:val="none" w:sz="0" w:space="0" w:color="auto"/>
        <w:left w:val="none" w:sz="0" w:space="0" w:color="auto"/>
        <w:bottom w:val="none" w:sz="0" w:space="0" w:color="auto"/>
        <w:right w:val="none" w:sz="0" w:space="0" w:color="auto"/>
      </w:divBdr>
      <w:divsChild>
        <w:div w:id="1476802085">
          <w:marLeft w:val="0"/>
          <w:marRight w:val="0"/>
          <w:marTop w:val="0"/>
          <w:marBottom w:val="0"/>
          <w:divBdr>
            <w:top w:val="none" w:sz="0" w:space="0" w:color="auto"/>
            <w:left w:val="none" w:sz="0" w:space="0" w:color="auto"/>
            <w:bottom w:val="none" w:sz="0" w:space="0" w:color="auto"/>
            <w:right w:val="none" w:sz="0" w:space="0" w:color="auto"/>
          </w:divBdr>
          <w:divsChild>
            <w:div w:id="1567643753">
              <w:marLeft w:val="0"/>
              <w:marRight w:val="0"/>
              <w:marTop w:val="0"/>
              <w:marBottom w:val="0"/>
              <w:divBdr>
                <w:top w:val="none" w:sz="0" w:space="0" w:color="auto"/>
                <w:left w:val="none" w:sz="0" w:space="0" w:color="auto"/>
                <w:bottom w:val="none" w:sz="0" w:space="0" w:color="auto"/>
                <w:right w:val="none" w:sz="0" w:space="0" w:color="auto"/>
              </w:divBdr>
              <w:divsChild>
                <w:div w:id="336352768">
                  <w:marLeft w:val="0"/>
                  <w:marRight w:val="0"/>
                  <w:marTop w:val="0"/>
                  <w:marBottom w:val="0"/>
                  <w:divBdr>
                    <w:top w:val="none" w:sz="0" w:space="0" w:color="auto"/>
                    <w:left w:val="none" w:sz="0" w:space="0" w:color="auto"/>
                    <w:bottom w:val="none" w:sz="0" w:space="0" w:color="auto"/>
                    <w:right w:val="none" w:sz="0" w:space="0" w:color="auto"/>
                  </w:divBdr>
                  <w:divsChild>
                    <w:div w:id="152722322">
                      <w:marLeft w:val="0"/>
                      <w:marRight w:val="0"/>
                      <w:marTop w:val="45"/>
                      <w:marBottom w:val="0"/>
                      <w:divBdr>
                        <w:top w:val="none" w:sz="0" w:space="0" w:color="auto"/>
                        <w:left w:val="none" w:sz="0" w:space="0" w:color="auto"/>
                        <w:bottom w:val="none" w:sz="0" w:space="0" w:color="auto"/>
                        <w:right w:val="none" w:sz="0" w:space="0" w:color="auto"/>
                      </w:divBdr>
                      <w:divsChild>
                        <w:div w:id="449514207">
                          <w:marLeft w:val="0"/>
                          <w:marRight w:val="0"/>
                          <w:marTop w:val="0"/>
                          <w:marBottom w:val="0"/>
                          <w:divBdr>
                            <w:top w:val="none" w:sz="0" w:space="0" w:color="auto"/>
                            <w:left w:val="none" w:sz="0" w:space="0" w:color="auto"/>
                            <w:bottom w:val="none" w:sz="0" w:space="0" w:color="auto"/>
                            <w:right w:val="none" w:sz="0" w:space="0" w:color="auto"/>
                          </w:divBdr>
                          <w:divsChild>
                            <w:div w:id="1062101313">
                              <w:marLeft w:val="2070"/>
                              <w:marRight w:val="3960"/>
                              <w:marTop w:val="0"/>
                              <w:marBottom w:val="0"/>
                              <w:divBdr>
                                <w:top w:val="none" w:sz="0" w:space="0" w:color="auto"/>
                                <w:left w:val="none" w:sz="0" w:space="0" w:color="auto"/>
                                <w:bottom w:val="none" w:sz="0" w:space="0" w:color="auto"/>
                                <w:right w:val="none" w:sz="0" w:space="0" w:color="auto"/>
                              </w:divBdr>
                              <w:divsChild>
                                <w:div w:id="896084967">
                                  <w:marLeft w:val="0"/>
                                  <w:marRight w:val="0"/>
                                  <w:marTop w:val="0"/>
                                  <w:marBottom w:val="0"/>
                                  <w:divBdr>
                                    <w:top w:val="none" w:sz="0" w:space="0" w:color="auto"/>
                                    <w:left w:val="none" w:sz="0" w:space="0" w:color="auto"/>
                                    <w:bottom w:val="none" w:sz="0" w:space="0" w:color="auto"/>
                                    <w:right w:val="none" w:sz="0" w:space="0" w:color="auto"/>
                                  </w:divBdr>
                                  <w:divsChild>
                                    <w:div w:id="1626810395">
                                      <w:marLeft w:val="0"/>
                                      <w:marRight w:val="0"/>
                                      <w:marTop w:val="0"/>
                                      <w:marBottom w:val="0"/>
                                      <w:divBdr>
                                        <w:top w:val="none" w:sz="0" w:space="0" w:color="auto"/>
                                        <w:left w:val="none" w:sz="0" w:space="0" w:color="auto"/>
                                        <w:bottom w:val="none" w:sz="0" w:space="0" w:color="auto"/>
                                        <w:right w:val="none" w:sz="0" w:space="0" w:color="auto"/>
                                      </w:divBdr>
                                      <w:divsChild>
                                        <w:div w:id="339550680">
                                          <w:marLeft w:val="0"/>
                                          <w:marRight w:val="0"/>
                                          <w:marTop w:val="0"/>
                                          <w:marBottom w:val="0"/>
                                          <w:divBdr>
                                            <w:top w:val="none" w:sz="0" w:space="0" w:color="auto"/>
                                            <w:left w:val="none" w:sz="0" w:space="0" w:color="auto"/>
                                            <w:bottom w:val="none" w:sz="0" w:space="0" w:color="auto"/>
                                            <w:right w:val="none" w:sz="0" w:space="0" w:color="auto"/>
                                          </w:divBdr>
                                          <w:divsChild>
                                            <w:div w:id="403842198">
                                              <w:marLeft w:val="0"/>
                                              <w:marRight w:val="0"/>
                                              <w:marTop w:val="90"/>
                                              <w:marBottom w:val="0"/>
                                              <w:divBdr>
                                                <w:top w:val="none" w:sz="0" w:space="0" w:color="auto"/>
                                                <w:left w:val="none" w:sz="0" w:space="0" w:color="auto"/>
                                                <w:bottom w:val="none" w:sz="0" w:space="0" w:color="auto"/>
                                                <w:right w:val="none" w:sz="0" w:space="0" w:color="auto"/>
                                              </w:divBdr>
                                              <w:divsChild>
                                                <w:div w:id="1867938738">
                                                  <w:marLeft w:val="0"/>
                                                  <w:marRight w:val="0"/>
                                                  <w:marTop w:val="0"/>
                                                  <w:marBottom w:val="0"/>
                                                  <w:divBdr>
                                                    <w:top w:val="none" w:sz="0" w:space="0" w:color="auto"/>
                                                    <w:left w:val="none" w:sz="0" w:space="0" w:color="auto"/>
                                                    <w:bottom w:val="none" w:sz="0" w:space="0" w:color="auto"/>
                                                    <w:right w:val="none" w:sz="0" w:space="0" w:color="auto"/>
                                                  </w:divBdr>
                                                  <w:divsChild>
                                                    <w:div w:id="1538003719">
                                                      <w:marLeft w:val="0"/>
                                                      <w:marRight w:val="0"/>
                                                      <w:marTop w:val="0"/>
                                                      <w:marBottom w:val="0"/>
                                                      <w:divBdr>
                                                        <w:top w:val="none" w:sz="0" w:space="0" w:color="auto"/>
                                                        <w:left w:val="none" w:sz="0" w:space="0" w:color="auto"/>
                                                        <w:bottom w:val="none" w:sz="0" w:space="0" w:color="auto"/>
                                                        <w:right w:val="none" w:sz="0" w:space="0" w:color="auto"/>
                                                      </w:divBdr>
                                                      <w:divsChild>
                                                        <w:div w:id="773481411">
                                                          <w:marLeft w:val="0"/>
                                                          <w:marRight w:val="0"/>
                                                          <w:marTop w:val="0"/>
                                                          <w:marBottom w:val="390"/>
                                                          <w:divBdr>
                                                            <w:top w:val="none" w:sz="0" w:space="0" w:color="auto"/>
                                                            <w:left w:val="none" w:sz="0" w:space="0" w:color="auto"/>
                                                            <w:bottom w:val="none" w:sz="0" w:space="0" w:color="auto"/>
                                                            <w:right w:val="none" w:sz="0" w:space="0" w:color="auto"/>
                                                          </w:divBdr>
                                                          <w:divsChild>
                                                            <w:div w:id="1546216426">
                                                              <w:marLeft w:val="0"/>
                                                              <w:marRight w:val="0"/>
                                                              <w:marTop w:val="0"/>
                                                              <w:marBottom w:val="0"/>
                                                              <w:divBdr>
                                                                <w:top w:val="none" w:sz="0" w:space="0" w:color="auto"/>
                                                                <w:left w:val="none" w:sz="0" w:space="0" w:color="auto"/>
                                                                <w:bottom w:val="none" w:sz="0" w:space="0" w:color="auto"/>
                                                                <w:right w:val="none" w:sz="0" w:space="0" w:color="auto"/>
                                                              </w:divBdr>
                                                              <w:divsChild>
                                                                <w:div w:id="831800430">
                                                                  <w:marLeft w:val="0"/>
                                                                  <w:marRight w:val="0"/>
                                                                  <w:marTop w:val="0"/>
                                                                  <w:marBottom w:val="0"/>
                                                                  <w:divBdr>
                                                                    <w:top w:val="none" w:sz="0" w:space="0" w:color="auto"/>
                                                                    <w:left w:val="none" w:sz="0" w:space="0" w:color="auto"/>
                                                                    <w:bottom w:val="none" w:sz="0" w:space="0" w:color="auto"/>
                                                                    <w:right w:val="none" w:sz="0" w:space="0" w:color="auto"/>
                                                                  </w:divBdr>
                                                                  <w:divsChild>
                                                                    <w:div w:id="1372651775">
                                                                      <w:marLeft w:val="0"/>
                                                                      <w:marRight w:val="0"/>
                                                                      <w:marTop w:val="0"/>
                                                                      <w:marBottom w:val="0"/>
                                                                      <w:divBdr>
                                                                        <w:top w:val="none" w:sz="0" w:space="0" w:color="auto"/>
                                                                        <w:left w:val="none" w:sz="0" w:space="0" w:color="auto"/>
                                                                        <w:bottom w:val="none" w:sz="0" w:space="0" w:color="auto"/>
                                                                        <w:right w:val="none" w:sz="0" w:space="0" w:color="auto"/>
                                                                      </w:divBdr>
                                                                      <w:divsChild>
                                                                        <w:div w:id="400491679">
                                                                          <w:marLeft w:val="0"/>
                                                                          <w:marRight w:val="0"/>
                                                                          <w:marTop w:val="0"/>
                                                                          <w:marBottom w:val="0"/>
                                                                          <w:divBdr>
                                                                            <w:top w:val="none" w:sz="0" w:space="0" w:color="auto"/>
                                                                            <w:left w:val="none" w:sz="0" w:space="0" w:color="auto"/>
                                                                            <w:bottom w:val="none" w:sz="0" w:space="0" w:color="auto"/>
                                                                            <w:right w:val="none" w:sz="0" w:space="0" w:color="auto"/>
                                                                          </w:divBdr>
                                                                          <w:divsChild>
                                                                            <w:div w:id="2134202765">
                                                                              <w:marLeft w:val="0"/>
                                                                              <w:marRight w:val="0"/>
                                                                              <w:marTop w:val="0"/>
                                                                              <w:marBottom w:val="0"/>
                                                                              <w:divBdr>
                                                                                <w:top w:val="none" w:sz="0" w:space="0" w:color="auto"/>
                                                                                <w:left w:val="none" w:sz="0" w:space="0" w:color="auto"/>
                                                                                <w:bottom w:val="none" w:sz="0" w:space="0" w:color="auto"/>
                                                                                <w:right w:val="none" w:sz="0" w:space="0" w:color="auto"/>
                                                                              </w:divBdr>
                                                                              <w:divsChild>
                                                                                <w:div w:id="266040578">
                                                                                  <w:marLeft w:val="0"/>
                                                                                  <w:marRight w:val="0"/>
                                                                                  <w:marTop w:val="0"/>
                                                                                  <w:marBottom w:val="0"/>
                                                                                  <w:divBdr>
                                                                                    <w:top w:val="none" w:sz="0" w:space="0" w:color="auto"/>
                                                                                    <w:left w:val="none" w:sz="0" w:space="0" w:color="auto"/>
                                                                                    <w:bottom w:val="none" w:sz="0" w:space="0" w:color="auto"/>
                                                                                    <w:right w:val="none" w:sz="0" w:space="0" w:color="auto"/>
                                                                                  </w:divBdr>
                                                                                  <w:divsChild>
                                                                                    <w:div w:id="332294949">
                                                                                      <w:marLeft w:val="0"/>
                                                                                      <w:marRight w:val="0"/>
                                                                                      <w:marTop w:val="0"/>
                                                                                      <w:marBottom w:val="0"/>
                                                                                      <w:divBdr>
                                                                                        <w:top w:val="none" w:sz="0" w:space="0" w:color="auto"/>
                                                                                        <w:left w:val="none" w:sz="0" w:space="0" w:color="auto"/>
                                                                                        <w:bottom w:val="none" w:sz="0" w:space="0" w:color="auto"/>
                                                                                        <w:right w:val="none" w:sz="0" w:space="0" w:color="auto"/>
                                                                                      </w:divBdr>
                                                                                      <w:divsChild>
                                                                                        <w:div w:id="1203325764">
                                                                                          <w:marLeft w:val="0"/>
                                                                                          <w:marRight w:val="0"/>
                                                                                          <w:marTop w:val="0"/>
                                                                                          <w:marBottom w:val="0"/>
                                                                                          <w:divBdr>
                                                                                            <w:top w:val="none" w:sz="0" w:space="0" w:color="auto"/>
                                                                                            <w:left w:val="none" w:sz="0" w:space="0" w:color="auto"/>
                                                                                            <w:bottom w:val="none" w:sz="0" w:space="0" w:color="auto"/>
                                                                                            <w:right w:val="none" w:sz="0" w:space="0" w:color="auto"/>
                                                                                          </w:divBdr>
                                                                                          <w:divsChild>
                                                                                            <w:div w:id="586810774">
                                                                                              <w:marLeft w:val="0"/>
                                                                                              <w:marRight w:val="0"/>
                                                                                              <w:marTop w:val="0"/>
                                                                                              <w:marBottom w:val="0"/>
                                                                                              <w:divBdr>
                                                                                                <w:top w:val="none" w:sz="0" w:space="0" w:color="auto"/>
                                                                                                <w:left w:val="none" w:sz="0" w:space="0" w:color="auto"/>
                                                                                                <w:bottom w:val="none" w:sz="0" w:space="0" w:color="auto"/>
                                                                                                <w:right w:val="none" w:sz="0" w:space="0" w:color="auto"/>
                                                                                              </w:divBdr>
                                                                                              <w:divsChild>
                                                                                                <w:div w:id="1592659036">
                                                                                                  <w:marLeft w:val="0"/>
                                                                                                  <w:marRight w:val="0"/>
                                                                                                  <w:marTop w:val="0"/>
                                                                                                  <w:marBottom w:val="0"/>
                                                                                                  <w:divBdr>
                                                                                                    <w:top w:val="none" w:sz="0" w:space="0" w:color="auto"/>
                                                                                                    <w:left w:val="none" w:sz="0" w:space="0" w:color="auto"/>
                                                                                                    <w:bottom w:val="none" w:sz="0" w:space="0" w:color="auto"/>
                                                                                                    <w:right w:val="none" w:sz="0" w:space="0" w:color="auto"/>
                                                                                                  </w:divBdr>
                                                                                                  <w:divsChild>
                                                                                                    <w:div w:id="277563042">
                                                                                                      <w:marLeft w:val="0"/>
                                                                                                      <w:marRight w:val="0"/>
                                                                                                      <w:marTop w:val="0"/>
                                                                                                      <w:marBottom w:val="0"/>
                                                                                                      <w:divBdr>
                                                                                                        <w:top w:val="none" w:sz="0" w:space="0" w:color="auto"/>
                                                                                                        <w:left w:val="none" w:sz="0" w:space="0" w:color="auto"/>
                                                                                                        <w:bottom w:val="none" w:sz="0" w:space="0" w:color="auto"/>
                                                                                                        <w:right w:val="none" w:sz="0" w:space="0" w:color="auto"/>
                                                                                                      </w:divBdr>
                                                                                                      <w:divsChild>
                                                                                                        <w:div w:id="14313399">
                                                                                                          <w:marLeft w:val="0"/>
                                                                                                          <w:marRight w:val="0"/>
                                                                                                          <w:marTop w:val="0"/>
                                                                                                          <w:marBottom w:val="0"/>
                                                                                                          <w:divBdr>
                                                                                                            <w:top w:val="none" w:sz="0" w:space="0" w:color="auto"/>
                                                                                                            <w:left w:val="none" w:sz="0" w:space="0" w:color="auto"/>
                                                                                                            <w:bottom w:val="none" w:sz="0" w:space="0" w:color="auto"/>
                                                                                                            <w:right w:val="none" w:sz="0" w:space="0" w:color="auto"/>
                                                                                                          </w:divBdr>
                                                                                                          <w:divsChild>
                                                                                                            <w:div w:id="1527673831">
                                                                                                              <w:marLeft w:val="300"/>
                                                                                                              <w:marRight w:val="0"/>
                                                                                                              <w:marTop w:val="0"/>
                                                                                                              <w:marBottom w:val="0"/>
                                                                                                              <w:divBdr>
                                                                                                                <w:top w:val="none" w:sz="0" w:space="0" w:color="auto"/>
                                                                                                                <w:left w:val="none" w:sz="0" w:space="0" w:color="auto"/>
                                                                                                                <w:bottom w:val="none" w:sz="0" w:space="0" w:color="auto"/>
                                                                                                                <w:right w:val="none" w:sz="0" w:space="0" w:color="auto"/>
                                                                                                              </w:divBdr>
                                                                                                              <w:divsChild>
                                                                                                                <w:div w:id="1355037679">
                                                                                                                  <w:marLeft w:val="-300"/>
                                                                                                                  <w:marRight w:val="0"/>
                                                                                                                  <w:marTop w:val="0"/>
                                                                                                                  <w:marBottom w:val="0"/>
                                                                                                                  <w:divBdr>
                                                                                                                    <w:top w:val="none" w:sz="0" w:space="0" w:color="auto"/>
                                                                                                                    <w:left w:val="none" w:sz="0" w:space="0" w:color="auto"/>
                                                                                                                    <w:bottom w:val="none" w:sz="0" w:space="0" w:color="auto"/>
                                                                                                                    <w:right w:val="none" w:sz="0" w:space="0" w:color="auto"/>
                                                                                                                  </w:divBdr>
                                                                                                                  <w:divsChild>
                                                                                                                    <w:div w:id="175905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1131822">
      <w:bodyDiv w:val="1"/>
      <w:marLeft w:val="0"/>
      <w:marRight w:val="0"/>
      <w:marTop w:val="0"/>
      <w:marBottom w:val="0"/>
      <w:divBdr>
        <w:top w:val="none" w:sz="0" w:space="0" w:color="auto"/>
        <w:left w:val="none" w:sz="0" w:space="0" w:color="auto"/>
        <w:bottom w:val="none" w:sz="0" w:space="0" w:color="auto"/>
        <w:right w:val="none" w:sz="0" w:space="0" w:color="auto"/>
      </w:divBdr>
    </w:div>
    <w:div w:id="1043360254">
      <w:bodyDiv w:val="1"/>
      <w:marLeft w:val="0"/>
      <w:marRight w:val="0"/>
      <w:marTop w:val="0"/>
      <w:marBottom w:val="0"/>
      <w:divBdr>
        <w:top w:val="none" w:sz="0" w:space="0" w:color="auto"/>
        <w:left w:val="none" w:sz="0" w:space="0" w:color="auto"/>
        <w:bottom w:val="none" w:sz="0" w:space="0" w:color="auto"/>
        <w:right w:val="none" w:sz="0" w:space="0" w:color="auto"/>
      </w:divBdr>
    </w:div>
    <w:div w:id="1075514669">
      <w:bodyDiv w:val="1"/>
      <w:marLeft w:val="0"/>
      <w:marRight w:val="0"/>
      <w:marTop w:val="0"/>
      <w:marBottom w:val="0"/>
      <w:divBdr>
        <w:top w:val="none" w:sz="0" w:space="0" w:color="auto"/>
        <w:left w:val="none" w:sz="0" w:space="0" w:color="auto"/>
        <w:bottom w:val="none" w:sz="0" w:space="0" w:color="auto"/>
        <w:right w:val="none" w:sz="0" w:space="0" w:color="auto"/>
      </w:divBdr>
    </w:div>
    <w:div w:id="1163815198">
      <w:bodyDiv w:val="1"/>
      <w:marLeft w:val="0"/>
      <w:marRight w:val="0"/>
      <w:marTop w:val="0"/>
      <w:marBottom w:val="0"/>
      <w:divBdr>
        <w:top w:val="none" w:sz="0" w:space="0" w:color="auto"/>
        <w:left w:val="none" w:sz="0" w:space="0" w:color="auto"/>
        <w:bottom w:val="none" w:sz="0" w:space="0" w:color="auto"/>
        <w:right w:val="none" w:sz="0" w:space="0" w:color="auto"/>
      </w:divBdr>
    </w:div>
    <w:div w:id="1165441299">
      <w:bodyDiv w:val="1"/>
      <w:marLeft w:val="0"/>
      <w:marRight w:val="0"/>
      <w:marTop w:val="0"/>
      <w:marBottom w:val="0"/>
      <w:divBdr>
        <w:top w:val="none" w:sz="0" w:space="0" w:color="auto"/>
        <w:left w:val="none" w:sz="0" w:space="0" w:color="auto"/>
        <w:bottom w:val="none" w:sz="0" w:space="0" w:color="auto"/>
        <w:right w:val="none" w:sz="0" w:space="0" w:color="auto"/>
      </w:divBdr>
    </w:div>
    <w:div w:id="1172918169">
      <w:bodyDiv w:val="1"/>
      <w:marLeft w:val="0"/>
      <w:marRight w:val="0"/>
      <w:marTop w:val="0"/>
      <w:marBottom w:val="0"/>
      <w:divBdr>
        <w:top w:val="none" w:sz="0" w:space="0" w:color="auto"/>
        <w:left w:val="none" w:sz="0" w:space="0" w:color="auto"/>
        <w:bottom w:val="none" w:sz="0" w:space="0" w:color="auto"/>
        <w:right w:val="none" w:sz="0" w:space="0" w:color="auto"/>
      </w:divBdr>
    </w:div>
    <w:div w:id="1187057573">
      <w:bodyDiv w:val="1"/>
      <w:marLeft w:val="0"/>
      <w:marRight w:val="0"/>
      <w:marTop w:val="0"/>
      <w:marBottom w:val="0"/>
      <w:divBdr>
        <w:top w:val="none" w:sz="0" w:space="0" w:color="auto"/>
        <w:left w:val="none" w:sz="0" w:space="0" w:color="auto"/>
        <w:bottom w:val="none" w:sz="0" w:space="0" w:color="auto"/>
        <w:right w:val="none" w:sz="0" w:space="0" w:color="auto"/>
      </w:divBdr>
    </w:div>
    <w:div w:id="1259100548">
      <w:bodyDiv w:val="1"/>
      <w:marLeft w:val="0"/>
      <w:marRight w:val="0"/>
      <w:marTop w:val="0"/>
      <w:marBottom w:val="0"/>
      <w:divBdr>
        <w:top w:val="none" w:sz="0" w:space="0" w:color="auto"/>
        <w:left w:val="none" w:sz="0" w:space="0" w:color="auto"/>
        <w:bottom w:val="none" w:sz="0" w:space="0" w:color="auto"/>
        <w:right w:val="none" w:sz="0" w:space="0" w:color="auto"/>
      </w:divBdr>
    </w:div>
    <w:div w:id="1260211759">
      <w:bodyDiv w:val="1"/>
      <w:marLeft w:val="0"/>
      <w:marRight w:val="0"/>
      <w:marTop w:val="0"/>
      <w:marBottom w:val="0"/>
      <w:divBdr>
        <w:top w:val="none" w:sz="0" w:space="0" w:color="auto"/>
        <w:left w:val="none" w:sz="0" w:space="0" w:color="auto"/>
        <w:bottom w:val="none" w:sz="0" w:space="0" w:color="auto"/>
        <w:right w:val="none" w:sz="0" w:space="0" w:color="auto"/>
      </w:divBdr>
    </w:div>
    <w:div w:id="1385716040">
      <w:bodyDiv w:val="1"/>
      <w:marLeft w:val="0"/>
      <w:marRight w:val="0"/>
      <w:marTop w:val="0"/>
      <w:marBottom w:val="0"/>
      <w:divBdr>
        <w:top w:val="none" w:sz="0" w:space="0" w:color="auto"/>
        <w:left w:val="none" w:sz="0" w:space="0" w:color="auto"/>
        <w:bottom w:val="none" w:sz="0" w:space="0" w:color="auto"/>
        <w:right w:val="none" w:sz="0" w:space="0" w:color="auto"/>
      </w:divBdr>
    </w:div>
    <w:div w:id="1446123296">
      <w:bodyDiv w:val="1"/>
      <w:marLeft w:val="0"/>
      <w:marRight w:val="0"/>
      <w:marTop w:val="0"/>
      <w:marBottom w:val="0"/>
      <w:divBdr>
        <w:top w:val="none" w:sz="0" w:space="0" w:color="auto"/>
        <w:left w:val="none" w:sz="0" w:space="0" w:color="auto"/>
        <w:bottom w:val="none" w:sz="0" w:space="0" w:color="auto"/>
        <w:right w:val="none" w:sz="0" w:space="0" w:color="auto"/>
      </w:divBdr>
    </w:div>
    <w:div w:id="1491021471">
      <w:bodyDiv w:val="1"/>
      <w:marLeft w:val="0"/>
      <w:marRight w:val="0"/>
      <w:marTop w:val="0"/>
      <w:marBottom w:val="0"/>
      <w:divBdr>
        <w:top w:val="none" w:sz="0" w:space="0" w:color="auto"/>
        <w:left w:val="none" w:sz="0" w:space="0" w:color="auto"/>
        <w:bottom w:val="none" w:sz="0" w:space="0" w:color="auto"/>
        <w:right w:val="none" w:sz="0" w:space="0" w:color="auto"/>
      </w:divBdr>
    </w:div>
    <w:div w:id="1573193236">
      <w:bodyDiv w:val="1"/>
      <w:marLeft w:val="0"/>
      <w:marRight w:val="0"/>
      <w:marTop w:val="0"/>
      <w:marBottom w:val="0"/>
      <w:divBdr>
        <w:top w:val="none" w:sz="0" w:space="0" w:color="auto"/>
        <w:left w:val="none" w:sz="0" w:space="0" w:color="auto"/>
        <w:bottom w:val="none" w:sz="0" w:space="0" w:color="auto"/>
        <w:right w:val="none" w:sz="0" w:space="0" w:color="auto"/>
      </w:divBdr>
    </w:div>
    <w:div w:id="1675915915">
      <w:bodyDiv w:val="1"/>
      <w:marLeft w:val="0"/>
      <w:marRight w:val="0"/>
      <w:marTop w:val="0"/>
      <w:marBottom w:val="0"/>
      <w:divBdr>
        <w:top w:val="none" w:sz="0" w:space="0" w:color="auto"/>
        <w:left w:val="none" w:sz="0" w:space="0" w:color="auto"/>
        <w:bottom w:val="none" w:sz="0" w:space="0" w:color="auto"/>
        <w:right w:val="none" w:sz="0" w:space="0" w:color="auto"/>
      </w:divBdr>
    </w:div>
    <w:div w:id="1761291725">
      <w:bodyDiv w:val="1"/>
      <w:marLeft w:val="0"/>
      <w:marRight w:val="0"/>
      <w:marTop w:val="0"/>
      <w:marBottom w:val="0"/>
      <w:divBdr>
        <w:top w:val="none" w:sz="0" w:space="0" w:color="auto"/>
        <w:left w:val="none" w:sz="0" w:space="0" w:color="auto"/>
        <w:bottom w:val="none" w:sz="0" w:space="0" w:color="auto"/>
        <w:right w:val="none" w:sz="0" w:space="0" w:color="auto"/>
      </w:divBdr>
    </w:div>
    <w:div w:id="1879587521">
      <w:bodyDiv w:val="1"/>
      <w:marLeft w:val="0"/>
      <w:marRight w:val="0"/>
      <w:marTop w:val="0"/>
      <w:marBottom w:val="0"/>
      <w:divBdr>
        <w:top w:val="none" w:sz="0" w:space="0" w:color="auto"/>
        <w:left w:val="none" w:sz="0" w:space="0" w:color="auto"/>
        <w:bottom w:val="none" w:sz="0" w:space="0" w:color="auto"/>
        <w:right w:val="none" w:sz="0" w:space="0" w:color="auto"/>
      </w:divBdr>
    </w:div>
    <w:div w:id="1901746029">
      <w:bodyDiv w:val="1"/>
      <w:marLeft w:val="0"/>
      <w:marRight w:val="0"/>
      <w:marTop w:val="0"/>
      <w:marBottom w:val="0"/>
      <w:divBdr>
        <w:top w:val="none" w:sz="0" w:space="0" w:color="auto"/>
        <w:left w:val="none" w:sz="0" w:space="0" w:color="auto"/>
        <w:bottom w:val="none" w:sz="0" w:space="0" w:color="auto"/>
        <w:right w:val="none" w:sz="0" w:space="0" w:color="auto"/>
      </w:divBdr>
    </w:div>
    <w:div w:id="2044593548">
      <w:bodyDiv w:val="1"/>
      <w:marLeft w:val="0"/>
      <w:marRight w:val="0"/>
      <w:marTop w:val="0"/>
      <w:marBottom w:val="0"/>
      <w:divBdr>
        <w:top w:val="none" w:sz="0" w:space="0" w:color="auto"/>
        <w:left w:val="none" w:sz="0" w:space="0" w:color="auto"/>
        <w:bottom w:val="none" w:sz="0" w:space="0" w:color="auto"/>
        <w:right w:val="none" w:sz="0" w:space="0" w:color="auto"/>
      </w:divBdr>
    </w:div>
    <w:div w:id="2083259989">
      <w:bodyDiv w:val="1"/>
      <w:marLeft w:val="0"/>
      <w:marRight w:val="0"/>
      <w:marTop w:val="0"/>
      <w:marBottom w:val="0"/>
      <w:divBdr>
        <w:top w:val="none" w:sz="0" w:space="0" w:color="auto"/>
        <w:left w:val="none" w:sz="0" w:space="0" w:color="auto"/>
        <w:bottom w:val="none" w:sz="0" w:space="0" w:color="auto"/>
        <w:right w:val="none" w:sz="0" w:space="0" w:color="auto"/>
      </w:divBdr>
    </w:div>
    <w:div w:id="214704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https://www.tga.gov.au" TargetMode="External"/><Relationship Id="rId3" Type="http://schemas.openxmlformats.org/officeDocument/2006/relationships/styles" Target="styles.xml"/><Relationship Id="rId21" Type="http://schemas.openxmlformats.org/officeDocument/2006/relationships/header" Target="header3.xml"/><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hyperlink" Target="mailto:info@tga.gov.a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hyperlink" Target="https://www.tga.gov.au/product-information-pi"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2.xml"/><Relationship Id="rId32" Type="http://schemas.openxmlformats.org/officeDocument/2006/relationships/fontTable" Target="fontTable.xml"/><Relationship Id="rId37"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eader" Target="header5.xml"/><Relationship Id="rId28" Type="http://schemas.openxmlformats.org/officeDocument/2006/relationships/header" Target="header7.xml"/><Relationship Id="rId36" Type="http://schemas.microsoft.com/office/2016/09/relationships/commentsIds" Target="commentsIds.xml"/><Relationship Id="rId10" Type="http://schemas.openxmlformats.org/officeDocument/2006/relationships/hyperlink" Target="mailto:tga.copyright@tga.gov.au" TargetMode="External"/><Relationship Id="rId19" Type="http://schemas.microsoft.com/office/2007/relationships/hdphoto" Target="media/hdphoto1.wdp"/><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image" Target="media/image3.emf"/><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header" Target="header8.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6956\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DE05B8-0447-4CB8-A30D-AE0E14B8C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41</TotalTime>
  <Pages>40</Pages>
  <Words>12432</Words>
  <Characters>70866</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83132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Cladribine</dc:title>
  <dc:subject>prescription medicines</dc:subject>
  <dc:creator>Therapeutic Goods Administration</dc:creator>
  <cp:keywords>AusPARs</cp:keywords>
  <cp:lastModifiedBy>SHEPPARD, Fran</cp:lastModifiedBy>
  <cp:revision>13</cp:revision>
  <cp:lastPrinted>2015-09-22T23:39:00Z</cp:lastPrinted>
  <dcterms:created xsi:type="dcterms:W3CDTF">2018-06-25T04:18:00Z</dcterms:created>
  <dcterms:modified xsi:type="dcterms:W3CDTF">2018-07-13T05:01:00Z</dcterms:modified>
  <cp:category>external publication</cp:category>
</cp:coreProperties>
</file>