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121D3" w14:textId="77777777" w:rsidR="00724837" w:rsidRPr="00A61946" w:rsidRDefault="00724837" w:rsidP="008F24E1">
      <w:pPr>
        <w:spacing w:before="180" w:line="276" w:lineRule="auto"/>
        <w:jc w:val="center"/>
      </w:pPr>
      <w:r w:rsidRPr="00A61946">
        <w:rPr>
          <w:rFonts w:ascii="Times New Roman" w:hAnsi="Times New Roman"/>
          <w:b/>
          <w:sz w:val="24"/>
          <w:szCs w:val="24"/>
          <w:lang w:val="en-AU"/>
        </w:rPr>
        <w:t>PRODUCT INFORMATION</w:t>
      </w:r>
    </w:p>
    <w:p w14:paraId="3C3B824E" w14:textId="77777777" w:rsidR="00724837" w:rsidRPr="00A61946" w:rsidRDefault="00724837" w:rsidP="008F24E1">
      <w:pPr>
        <w:spacing w:before="180" w:line="276" w:lineRule="auto"/>
        <w:jc w:val="center"/>
        <w:rPr>
          <w:rFonts w:ascii="Times New Roman" w:hAnsi="Times New Roman"/>
          <w:b/>
          <w:sz w:val="24"/>
          <w:szCs w:val="24"/>
          <w:lang w:val="en-AU"/>
        </w:rPr>
      </w:pPr>
      <w:r w:rsidRPr="00A61946">
        <w:rPr>
          <w:rFonts w:ascii="Times New Roman" w:hAnsi="Times New Roman"/>
          <w:b/>
          <w:sz w:val="24"/>
          <w:szCs w:val="24"/>
          <w:lang w:val="en-AU"/>
        </w:rPr>
        <w:t>MAVENCLAD</w:t>
      </w:r>
      <w:r w:rsidRPr="00A61946">
        <w:rPr>
          <w:rFonts w:ascii="Times" w:hAnsi="Times"/>
          <w:b/>
          <w:sz w:val="24"/>
          <w:szCs w:val="24"/>
          <w:vertAlign w:val="superscript"/>
          <w:lang w:val="en-AU"/>
        </w:rPr>
        <w:t>®</w:t>
      </w:r>
      <w:r w:rsidRPr="00A61946">
        <w:rPr>
          <w:rFonts w:ascii="Times New Roman" w:hAnsi="Times New Roman"/>
          <w:b/>
          <w:sz w:val="24"/>
          <w:szCs w:val="24"/>
          <w:lang w:val="en-AU"/>
        </w:rPr>
        <w:t xml:space="preserve"> Tablets</w:t>
      </w:r>
    </w:p>
    <w:p w14:paraId="5202BE7B" w14:textId="77777777" w:rsidR="00724837" w:rsidRPr="00A61946" w:rsidRDefault="00724837" w:rsidP="008F24E1">
      <w:pPr>
        <w:spacing w:before="180" w:line="276" w:lineRule="auto"/>
        <w:jc w:val="center"/>
        <w:rPr>
          <w:rFonts w:ascii="Times New Roman" w:hAnsi="Times New Roman"/>
          <w:b/>
          <w:sz w:val="24"/>
          <w:szCs w:val="24"/>
          <w:lang w:val="en-AU"/>
        </w:rPr>
      </w:pPr>
    </w:p>
    <w:p w14:paraId="4E524DD9" w14:textId="77777777" w:rsidR="00724837" w:rsidRPr="00A61946" w:rsidRDefault="00724837" w:rsidP="008F24E1">
      <w:pPr>
        <w:keepNext/>
        <w:spacing w:before="180" w:line="276" w:lineRule="auto"/>
        <w:rPr>
          <w:rFonts w:ascii="Times New Roman" w:hAnsi="Times New Roman"/>
          <w:b/>
          <w:sz w:val="24"/>
          <w:szCs w:val="24"/>
          <w:lang w:val="en-AU"/>
        </w:rPr>
      </w:pPr>
      <w:r w:rsidRPr="00A61946">
        <w:rPr>
          <w:rFonts w:ascii="Times New Roman" w:hAnsi="Times New Roman"/>
          <w:b/>
          <w:sz w:val="24"/>
          <w:szCs w:val="24"/>
          <w:lang w:val="en-AU"/>
        </w:rPr>
        <w:t>NAME OF THE MEDICINE</w:t>
      </w:r>
    </w:p>
    <w:p w14:paraId="46815D84" w14:textId="77777777" w:rsidR="00724837" w:rsidRPr="00A61946" w:rsidRDefault="00724837" w:rsidP="008F24E1">
      <w:pPr>
        <w:tabs>
          <w:tab w:val="left" w:pos="2880"/>
        </w:tabs>
        <w:spacing w:before="180" w:line="276" w:lineRule="auto"/>
        <w:rPr>
          <w:rFonts w:ascii="Times New Roman" w:hAnsi="Times New Roman"/>
          <w:sz w:val="24"/>
          <w:szCs w:val="24"/>
          <w:lang w:val="en-AU"/>
        </w:rPr>
      </w:pPr>
      <w:r w:rsidRPr="00A61946">
        <w:rPr>
          <w:rFonts w:ascii="Times New Roman" w:hAnsi="Times New Roman"/>
          <w:b/>
          <w:sz w:val="24"/>
          <w:szCs w:val="24"/>
          <w:lang w:val="en-AU"/>
        </w:rPr>
        <w:t>Non-Proprietary Name:</w:t>
      </w:r>
      <w:r w:rsidRPr="00A61946">
        <w:rPr>
          <w:rFonts w:ascii="Times New Roman" w:hAnsi="Times New Roman"/>
          <w:sz w:val="24"/>
          <w:szCs w:val="24"/>
          <w:lang w:val="en-AU"/>
        </w:rPr>
        <w:tab/>
        <w:t>Cladribine</w:t>
      </w:r>
    </w:p>
    <w:p w14:paraId="6BED6911" w14:textId="68137418" w:rsidR="00724837" w:rsidRPr="00A61946" w:rsidRDefault="00C14BEA" w:rsidP="008F24E1">
      <w:pPr>
        <w:spacing w:before="180" w:line="276" w:lineRule="auto"/>
        <w:rPr>
          <w:rFonts w:ascii="Times New Roman" w:hAnsi="Times New Roman"/>
          <w:b/>
          <w:sz w:val="24"/>
          <w:szCs w:val="24"/>
          <w:lang w:val="en-AU"/>
        </w:rPr>
      </w:pPr>
      <w:r>
        <w:rPr>
          <w:rFonts w:ascii="Times New Roman" w:hAnsi="Times New Roman"/>
          <w:b/>
          <w:sz w:val="24"/>
          <w:szCs w:val="24"/>
          <w:lang w:val="en-AU"/>
        </w:rPr>
        <w:t>Chemical Structure:</w:t>
      </w:r>
    </w:p>
    <w:p w14:paraId="0DE4A265" w14:textId="77777777" w:rsidR="00724837" w:rsidRPr="00A61946" w:rsidRDefault="00724837" w:rsidP="008F24E1">
      <w:pPr>
        <w:spacing w:before="180" w:line="276" w:lineRule="auto"/>
        <w:rPr>
          <w:rFonts w:ascii="Times New Roman" w:hAnsi="Times New Roman"/>
          <w:b/>
          <w:noProof/>
          <w:sz w:val="24"/>
          <w:szCs w:val="24"/>
          <w:lang w:val="de-DE" w:eastAsia="de-DE"/>
        </w:rPr>
      </w:pPr>
      <w:r w:rsidRPr="00A61946">
        <w:rPr>
          <w:rFonts w:ascii="Times New Roman" w:hAnsi="Times New Roman"/>
          <w:b/>
          <w:noProof/>
          <w:sz w:val="24"/>
          <w:szCs w:val="24"/>
          <w:lang w:val="en-AU" w:eastAsia="en-AU"/>
        </w:rPr>
        <w:drawing>
          <wp:inline distT="0" distB="0" distL="0" distR="0" wp14:anchorId="4AD97ADB" wp14:editId="144B050B">
            <wp:extent cx="922020" cy="1447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22020" cy="1447800"/>
                    </a:xfrm>
                    <a:prstGeom prst="rect">
                      <a:avLst/>
                    </a:prstGeom>
                    <a:noFill/>
                    <a:ln w="9525">
                      <a:noFill/>
                      <a:miter lim="800000"/>
                      <a:headEnd/>
                      <a:tailEnd/>
                    </a:ln>
                  </pic:spPr>
                </pic:pic>
              </a:graphicData>
            </a:graphic>
          </wp:inline>
        </w:drawing>
      </w:r>
    </w:p>
    <w:p w14:paraId="4D59AA1D" w14:textId="77777777" w:rsidR="00C14BEA" w:rsidRDefault="00C14BEA" w:rsidP="008F24E1">
      <w:pPr>
        <w:tabs>
          <w:tab w:val="left" w:pos="2040"/>
          <w:tab w:val="left" w:pos="4560"/>
          <w:tab w:val="left" w:pos="5640"/>
        </w:tabs>
        <w:spacing w:before="180" w:line="276" w:lineRule="auto"/>
        <w:rPr>
          <w:rFonts w:ascii="Times New Roman" w:hAnsi="Times New Roman"/>
          <w:b/>
          <w:sz w:val="24"/>
          <w:szCs w:val="24"/>
          <w:lang w:val="en-AU"/>
        </w:rPr>
      </w:pPr>
    </w:p>
    <w:p w14:paraId="2AB794C6" w14:textId="77777777" w:rsidR="00724837" w:rsidRPr="00A61946" w:rsidRDefault="00724837" w:rsidP="008F24E1">
      <w:pPr>
        <w:tabs>
          <w:tab w:val="left" w:pos="2040"/>
          <w:tab w:val="left" w:pos="4560"/>
          <w:tab w:val="left" w:pos="5640"/>
        </w:tabs>
        <w:spacing w:before="180" w:line="276" w:lineRule="auto"/>
        <w:rPr>
          <w:rFonts w:ascii="Times New Roman" w:hAnsi="Times New Roman"/>
          <w:sz w:val="24"/>
          <w:szCs w:val="24"/>
          <w:lang w:val="en-AU"/>
        </w:rPr>
      </w:pPr>
      <w:r w:rsidRPr="00A61946">
        <w:rPr>
          <w:rFonts w:ascii="Times New Roman" w:hAnsi="Times New Roman"/>
          <w:b/>
          <w:sz w:val="24"/>
          <w:szCs w:val="24"/>
          <w:lang w:val="en-AU"/>
        </w:rPr>
        <w:t>CAS Number:</w:t>
      </w:r>
      <w:r w:rsidRPr="00A61946">
        <w:rPr>
          <w:rFonts w:ascii="Times New Roman" w:hAnsi="Times New Roman"/>
          <w:sz w:val="24"/>
          <w:szCs w:val="24"/>
          <w:lang w:val="en-AU"/>
        </w:rPr>
        <w:tab/>
        <w:t>4291-63-8</w:t>
      </w:r>
      <w:r w:rsidRPr="00A61946">
        <w:rPr>
          <w:rFonts w:ascii="Times New Roman" w:hAnsi="Times New Roman"/>
          <w:sz w:val="24"/>
          <w:szCs w:val="24"/>
          <w:lang w:val="en-AU"/>
        </w:rPr>
        <w:tab/>
      </w:r>
      <w:r w:rsidRPr="00A61946">
        <w:rPr>
          <w:rFonts w:ascii="Times New Roman" w:hAnsi="Times New Roman"/>
          <w:b/>
          <w:sz w:val="24"/>
          <w:szCs w:val="24"/>
          <w:lang w:val="en-AU"/>
        </w:rPr>
        <w:t>MW:</w:t>
      </w:r>
      <w:r w:rsidRPr="00A61946">
        <w:rPr>
          <w:rFonts w:ascii="Times New Roman" w:hAnsi="Times New Roman"/>
          <w:b/>
          <w:sz w:val="24"/>
          <w:szCs w:val="24"/>
          <w:lang w:val="en-AU"/>
        </w:rPr>
        <w:tab/>
      </w:r>
      <w:r w:rsidRPr="00A61946">
        <w:rPr>
          <w:rFonts w:ascii="Times New Roman" w:hAnsi="Times New Roman"/>
          <w:sz w:val="24"/>
          <w:szCs w:val="24"/>
          <w:lang w:val="en-AU"/>
        </w:rPr>
        <w:t>285.69</w:t>
      </w:r>
    </w:p>
    <w:p w14:paraId="45AB344B" w14:textId="77777777" w:rsidR="00724837" w:rsidRPr="00A61946" w:rsidRDefault="00724837" w:rsidP="008F24E1">
      <w:pPr>
        <w:keepNext/>
        <w:spacing w:before="180" w:line="276" w:lineRule="auto"/>
        <w:rPr>
          <w:rFonts w:ascii="Times New Roman" w:hAnsi="Times New Roman"/>
          <w:b/>
          <w:sz w:val="24"/>
          <w:szCs w:val="24"/>
          <w:lang w:val="en-AU"/>
        </w:rPr>
      </w:pPr>
      <w:r w:rsidRPr="00A61946">
        <w:rPr>
          <w:rFonts w:ascii="Times New Roman" w:hAnsi="Times New Roman"/>
          <w:b/>
          <w:sz w:val="24"/>
          <w:szCs w:val="24"/>
          <w:lang w:val="en-AU"/>
        </w:rPr>
        <w:t>DESCRIPTION</w:t>
      </w:r>
    </w:p>
    <w:p w14:paraId="5401F9E3" w14:textId="77777777" w:rsidR="00724837" w:rsidRPr="00A61946" w:rsidRDefault="00724837" w:rsidP="008F24E1">
      <w:pPr>
        <w:spacing w:before="180" w:line="276" w:lineRule="auto"/>
        <w:rPr>
          <w:rFonts w:ascii="Times New Roman" w:hAnsi="Times New Roman"/>
          <w:sz w:val="24"/>
          <w:szCs w:val="24"/>
          <w:lang w:val="en-AU"/>
        </w:rPr>
      </w:pPr>
      <w:r w:rsidRPr="00A61946">
        <w:rPr>
          <w:rFonts w:ascii="Times New Roman" w:hAnsi="Times New Roman"/>
          <w:sz w:val="24"/>
          <w:szCs w:val="24"/>
          <w:lang w:val="en-AU"/>
        </w:rPr>
        <w:t>Cladribine differs in structure from the naturally occurring nucleoside, deoxyadenosine, only by the substitution of a chlorine for hydrogen in the 2</w:t>
      </w:r>
      <w:r w:rsidRPr="00A61946">
        <w:rPr>
          <w:rFonts w:ascii="Times New Roman" w:hAnsi="Times New Roman"/>
          <w:sz w:val="24"/>
          <w:szCs w:val="24"/>
          <w:lang w:val="en-AU"/>
        </w:rPr>
        <w:noBreakHyphen/>
        <w:t>position of the purine ring.  Decomposition increases over time at acidic pH.  The ionisation behaviour of the molecule over the pH range 0 to 12 is characterised by a single pKa of approximately 1.21.</w:t>
      </w:r>
    </w:p>
    <w:p w14:paraId="6ADC4EBB" w14:textId="77777777" w:rsidR="00724837" w:rsidRPr="00A61946" w:rsidRDefault="00724837" w:rsidP="008F24E1">
      <w:pPr>
        <w:spacing w:before="180" w:line="276" w:lineRule="auto"/>
        <w:rPr>
          <w:rFonts w:ascii="Times New Roman" w:hAnsi="Times New Roman"/>
          <w:sz w:val="24"/>
          <w:szCs w:val="24"/>
          <w:lang w:val="en-AU"/>
        </w:rPr>
      </w:pPr>
      <w:r w:rsidRPr="00A61946">
        <w:rPr>
          <w:rFonts w:ascii="Times New Roman" w:hAnsi="Times New Roman"/>
          <w:sz w:val="24"/>
          <w:szCs w:val="24"/>
          <w:lang w:val="en-AU"/>
        </w:rPr>
        <w:t>MAVENCLAD tablets are uncoated, white, round and biconvex, and engraved with 'C' on one side and '10' on the other side.  Each tablet of MAVENCLAD contains 10 mg cladribine.  The tablets also contain hydroxypropylbetadex, sorbitol and magnesium stearate.</w:t>
      </w:r>
    </w:p>
    <w:p w14:paraId="4CBD4FDC" w14:textId="77777777" w:rsidR="00724837" w:rsidRPr="00A61946" w:rsidRDefault="00724837" w:rsidP="008F24E1">
      <w:pPr>
        <w:keepNext/>
        <w:spacing w:before="180" w:line="276" w:lineRule="auto"/>
        <w:rPr>
          <w:rFonts w:ascii="Times New Roman" w:hAnsi="Times New Roman"/>
          <w:sz w:val="24"/>
          <w:szCs w:val="24"/>
          <w:lang w:val="en-AU"/>
        </w:rPr>
      </w:pPr>
      <w:r w:rsidRPr="00A61946">
        <w:rPr>
          <w:rFonts w:ascii="Times New Roman" w:hAnsi="Times New Roman"/>
          <w:b/>
          <w:sz w:val="24"/>
          <w:szCs w:val="24"/>
          <w:lang w:val="en-AU"/>
        </w:rPr>
        <w:t>PHARMACOLOGY</w:t>
      </w:r>
    </w:p>
    <w:p w14:paraId="15AD8FA1" w14:textId="77777777" w:rsidR="00724837" w:rsidRPr="00A61946" w:rsidRDefault="00724837" w:rsidP="008F24E1">
      <w:pPr>
        <w:keepNext/>
        <w:spacing w:before="180" w:line="276" w:lineRule="auto"/>
        <w:rPr>
          <w:rFonts w:ascii="Times New Roman" w:hAnsi="Times New Roman"/>
          <w:b/>
          <w:sz w:val="24"/>
          <w:szCs w:val="24"/>
          <w:lang w:val="en-AU"/>
        </w:rPr>
      </w:pPr>
      <w:r w:rsidRPr="00A61946">
        <w:rPr>
          <w:rFonts w:ascii="Times New Roman" w:hAnsi="Times New Roman"/>
          <w:b/>
          <w:sz w:val="24"/>
          <w:szCs w:val="24"/>
          <w:lang w:val="en-AU"/>
        </w:rPr>
        <w:t>Pharmacodynamics</w:t>
      </w:r>
    </w:p>
    <w:p w14:paraId="3E6BCBC3" w14:textId="77777777" w:rsidR="00724837" w:rsidRPr="00A61946" w:rsidRDefault="00724837" w:rsidP="008F24E1">
      <w:pPr>
        <w:keepNext/>
        <w:spacing w:before="180" w:line="276" w:lineRule="auto"/>
        <w:rPr>
          <w:rFonts w:ascii="Times New Roman" w:hAnsi="Times New Roman"/>
          <w:sz w:val="24"/>
          <w:u w:val="single"/>
          <w:lang w:val="en-AU"/>
        </w:rPr>
      </w:pPr>
      <w:r w:rsidRPr="00A61946">
        <w:rPr>
          <w:rFonts w:ascii="Times New Roman" w:hAnsi="Times New Roman"/>
          <w:sz w:val="24"/>
          <w:u w:val="single"/>
          <w:lang w:val="en-AU"/>
        </w:rPr>
        <w:t xml:space="preserve">Mechanism of </w:t>
      </w:r>
      <w:r w:rsidRPr="00A61946">
        <w:rPr>
          <w:rFonts w:ascii="Times New Roman" w:hAnsi="Times New Roman"/>
          <w:sz w:val="24"/>
          <w:szCs w:val="24"/>
          <w:u w:val="single"/>
          <w:lang w:val="en-AU"/>
        </w:rPr>
        <w:t>action</w:t>
      </w:r>
    </w:p>
    <w:p w14:paraId="4874BB20" w14:textId="77777777" w:rsidR="00724837" w:rsidRPr="00A61946" w:rsidRDefault="00724837" w:rsidP="008F24E1">
      <w:pPr>
        <w:autoSpaceDE w:val="0"/>
        <w:autoSpaceDN w:val="0"/>
        <w:spacing w:before="180" w:line="276" w:lineRule="auto"/>
        <w:rPr>
          <w:rFonts w:ascii="Times New Roman" w:hAnsi="Times New Roman"/>
          <w:sz w:val="24"/>
          <w:szCs w:val="24"/>
          <w:lang w:eastAsia="zh-TW"/>
        </w:rPr>
      </w:pPr>
      <w:r w:rsidRPr="00A61946">
        <w:rPr>
          <w:rFonts w:ascii="Times New Roman" w:hAnsi="Times New Roman"/>
          <w:sz w:val="24"/>
          <w:szCs w:val="24"/>
          <w:lang w:val="en-AU" w:eastAsia="zh-TW"/>
        </w:rPr>
        <w:t xml:space="preserve">Cladribine is a </w:t>
      </w:r>
      <w:r w:rsidRPr="00A61946">
        <w:rPr>
          <w:rFonts w:ascii="Times New Roman" w:hAnsi="Times New Roman"/>
          <w:sz w:val="24"/>
          <w:szCs w:val="24"/>
          <w:lang w:eastAsia="sv-SE"/>
        </w:rPr>
        <w:t xml:space="preserve">nucleoside </w:t>
      </w:r>
      <w:r w:rsidRPr="00A61946">
        <w:rPr>
          <w:rFonts w:ascii="Times New Roman" w:hAnsi="Times New Roman"/>
          <w:sz w:val="24"/>
          <w:szCs w:val="24"/>
          <w:lang w:val="en-AU" w:eastAsia="zh-TW"/>
        </w:rPr>
        <w:t xml:space="preserve">analogue </w:t>
      </w:r>
      <w:r w:rsidRPr="00A61946">
        <w:rPr>
          <w:rFonts w:ascii="Times New Roman" w:hAnsi="Times New Roman"/>
          <w:sz w:val="24"/>
          <w:szCs w:val="24"/>
          <w:lang w:eastAsia="sv-SE"/>
        </w:rPr>
        <w:t>of deoxyadenosine</w:t>
      </w:r>
      <w:r w:rsidRPr="00A61946">
        <w:rPr>
          <w:rFonts w:ascii="Times New Roman" w:hAnsi="Times New Roman"/>
          <w:sz w:val="24"/>
          <w:szCs w:val="24"/>
          <w:lang w:val="en-AU" w:eastAsia="zh-TW"/>
        </w:rPr>
        <w:t xml:space="preserve">.  </w:t>
      </w:r>
      <w:r w:rsidRPr="00A61946">
        <w:rPr>
          <w:rFonts w:ascii="Times New Roman" w:hAnsi="Times New Roman"/>
          <w:sz w:val="24"/>
          <w:szCs w:val="24"/>
          <w:lang w:eastAsia="sv-SE"/>
        </w:rPr>
        <w:t>A chlorine substitution in the purine ring protects cladribine from degradation by adenosine deaminase, increasing the intracellular residence time of the cladribine prodrug.</w:t>
      </w:r>
    </w:p>
    <w:p w14:paraId="413B98CF" w14:textId="77777777" w:rsidR="00724837" w:rsidRPr="00A61946" w:rsidRDefault="00724837" w:rsidP="008F24E1">
      <w:pPr>
        <w:autoSpaceDE w:val="0"/>
        <w:autoSpaceDN w:val="0"/>
        <w:spacing w:before="180" w:line="276" w:lineRule="auto"/>
        <w:rPr>
          <w:rFonts w:ascii="Times New Roman" w:hAnsi="Times New Roman"/>
          <w:sz w:val="24"/>
          <w:szCs w:val="24"/>
          <w:lang w:val="en-AU" w:eastAsia="zh-TW"/>
        </w:rPr>
      </w:pPr>
      <w:r w:rsidRPr="00A61946">
        <w:rPr>
          <w:rFonts w:ascii="Times New Roman" w:hAnsi="Times New Roman"/>
          <w:sz w:val="24"/>
          <w:szCs w:val="24"/>
          <w:lang w:val="en-AU" w:eastAsia="zh-TW"/>
        </w:rPr>
        <w:t>S</w:t>
      </w:r>
      <w:proofErr w:type="spellStart"/>
      <w:r w:rsidRPr="00A61946">
        <w:rPr>
          <w:rFonts w:ascii="Times New Roman" w:hAnsi="Times New Roman"/>
          <w:sz w:val="24"/>
          <w:szCs w:val="24"/>
          <w:lang w:eastAsia="sv-SE"/>
        </w:rPr>
        <w:t>ubsequent</w:t>
      </w:r>
      <w:proofErr w:type="spellEnd"/>
      <w:r w:rsidRPr="00A61946">
        <w:rPr>
          <w:rFonts w:ascii="Times New Roman" w:hAnsi="Times New Roman"/>
          <w:sz w:val="24"/>
          <w:szCs w:val="24"/>
          <w:lang w:eastAsia="sv-SE"/>
        </w:rPr>
        <w:t xml:space="preserve"> phosphorylation of </w:t>
      </w:r>
      <w:proofErr w:type="spellStart"/>
      <w:r w:rsidRPr="00A61946">
        <w:rPr>
          <w:rFonts w:ascii="Times New Roman" w:hAnsi="Times New Roman"/>
          <w:sz w:val="24"/>
          <w:szCs w:val="24"/>
          <w:lang w:eastAsia="sv-SE"/>
        </w:rPr>
        <w:t>cladribine</w:t>
      </w:r>
      <w:proofErr w:type="spellEnd"/>
      <w:r w:rsidRPr="00A61946">
        <w:rPr>
          <w:rFonts w:ascii="Times New Roman" w:hAnsi="Times New Roman"/>
          <w:sz w:val="24"/>
          <w:szCs w:val="24"/>
          <w:lang w:eastAsia="sv-SE"/>
        </w:rPr>
        <w:t xml:space="preserve"> to its active triphosphate form,</w:t>
      </w:r>
      <w:r w:rsidRPr="00A61946">
        <w:rPr>
          <w:rFonts w:ascii="Times New Roman" w:hAnsi="Times New Roman"/>
          <w:sz w:val="24"/>
        </w:rPr>
        <w:t xml:space="preserve"> 2</w:t>
      </w:r>
      <w:r w:rsidRPr="00A61946">
        <w:rPr>
          <w:rFonts w:ascii="Times New Roman" w:hAnsi="Times New Roman"/>
          <w:sz w:val="24"/>
          <w:szCs w:val="24"/>
          <w:lang w:eastAsia="sv-SE"/>
        </w:rPr>
        <w:noBreakHyphen/>
      </w:r>
      <w:r w:rsidRPr="00A61946">
        <w:rPr>
          <w:rFonts w:ascii="Times New Roman" w:hAnsi="Times New Roman"/>
          <w:sz w:val="24"/>
        </w:rPr>
        <w:t>chlorodeoxyadenosine</w:t>
      </w:r>
      <w:r w:rsidRPr="00A61946">
        <w:rPr>
          <w:rFonts w:ascii="Times New Roman" w:hAnsi="Times New Roman"/>
          <w:sz w:val="24"/>
          <w:szCs w:val="24"/>
          <w:lang w:eastAsia="sv-SE"/>
        </w:rPr>
        <w:t xml:space="preserve"> triphosphate (Cd</w:t>
      </w:r>
      <w:r w:rsidRPr="00A61946">
        <w:rPr>
          <w:rFonts w:ascii="Times New Roman" w:hAnsi="Times New Roman"/>
          <w:sz w:val="24"/>
          <w:szCs w:val="24"/>
          <w:lang w:eastAsia="sv-SE"/>
        </w:rPr>
        <w:noBreakHyphen/>
        <w:t xml:space="preserve">ATP), is particularly efficiently achieved in lymphocytes, due to their constitutively high deoxycytidine kinase (DCK) and relatively low 5'-nucleotidase (5'-NTase) </w:t>
      </w:r>
      <w:r w:rsidRPr="00A61946">
        <w:rPr>
          <w:rFonts w:ascii="Times New Roman" w:hAnsi="Times New Roman"/>
          <w:sz w:val="24"/>
          <w:szCs w:val="24"/>
          <w:lang w:eastAsia="sv-SE"/>
        </w:rPr>
        <w:lastRenderedPageBreak/>
        <w:t>levels. A high DCK to 5'-NTase ratio favours the accumulation of Cd</w:t>
      </w:r>
      <w:r w:rsidRPr="00A61946">
        <w:rPr>
          <w:rFonts w:ascii="Times New Roman" w:hAnsi="Times New Roman"/>
          <w:sz w:val="24"/>
          <w:szCs w:val="24"/>
          <w:lang w:eastAsia="sv-SE"/>
        </w:rPr>
        <w:noBreakHyphen/>
        <w:t>ATP, making lymphocytes particularly susceptible to cell death.</w:t>
      </w:r>
      <w:r w:rsidRPr="00A61946">
        <w:rPr>
          <w:rFonts w:ascii="Times New Roman" w:hAnsi="Times New Roman"/>
          <w:sz w:val="24"/>
          <w:szCs w:val="24"/>
        </w:rPr>
        <w:t xml:space="preserve">  As a result of a lower DCK/5'</w:t>
      </w:r>
      <w:r w:rsidRPr="00A61946">
        <w:rPr>
          <w:rFonts w:ascii="Times New Roman" w:hAnsi="Times New Roman"/>
          <w:sz w:val="24"/>
          <w:szCs w:val="24"/>
        </w:rPr>
        <w:noBreakHyphen/>
        <w:t>NTase ratio other bone marrow derived cells are less affected than lymphocytes.</w:t>
      </w:r>
    </w:p>
    <w:p w14:paraId="26622367" w14:textId="77777777" w:rsidR="00724837" w:rsidRPr="00A61946" w:rsidRDefault="00724837" w:rsidP="008F24E1">
      <w:pPr>
        <w:autoSpaceDE w:val="0"/>
        <w:autoSpaceDN w:val="0"/>
        <w:spacing w:before="180" w:line="276" w:lineRule="auto"/>
        <w:rPr>
          <w:rFonts w:ascii="Times New Roman" w:hAnsi="Times New Roman"/>
          <w:sz w:val="24"/>
          <w:szCs w:val="24"/>
          <w:lang w:val="en-AU" w:eastAsia="zh-TW"/>
        </w:rPr>
      </w:pPr>
      <w:r w:rsidRPr="00A61946">
        <w:rPr>
          <w:rFonts w:ascii="Times New Roman" w:hAnsi="Times New Roman"/>
          <w:sz w:val="24"/>
          <w:szCs w:val="24"/>
          <w:lang w:eastAsia="sv-SE"/>
        </w:rPr>
        <w:t>DCK is the rate limiting enzyme for conversion of the cladribine prodrug into its active triphosphate form, leading to selective depletion of dividing and non-dividing T and B cells.</w:t>
      </w:r>
    </w:p>
    <w:p w14:paraId="1DF4F6F8" w14:textId="77777777" w:rsidR="00724837" w:rsidRPr="00A61946" w:rsidRDefault="00724837" w:rsidP="008F24E1">
      <w:pPr>
        <w:autoSpaceDE w:val="0"/>
        <w:autoSpaceDN w:val="0"/>
        <w:spacing w:before="180" w:line="276" w:lineRule="auto"/>
        <w:rPr>
          <w:rFonts w:ascii="Times New Roman" w:hAnsi="Times New Roman"/>
          <w:sz w:val="24"/>
          <w:szCs w:val="24"/>
          <w:lang w:val="en-AU" w:eastAsia="zh-TW"/>
        </w:rPr>
      </w:pPr>
      <w:r w:rsidRPr="00A61946">
        <w:rPr>
          <w:rFonts w:ascii="Times New Roman" w:hAnsi="Times New Roman"/>
          <w:sz w:val="24"/>
          <w:szCs w:val="24"/>
        </w:rPr>
        <w:t>The primary apoptosis-inducing mechanism of action of Cd</w:t>
      </w:r>
      <w:r w:rsidRPr="00A61946">
        <w:rPr>
          <w:rFonts w:ascii="Times New Roman" w:hAnsi="Times New Roman"/>
          <w:sz w:val="24"/>
          <w:szCs w:val="24"/>
        </w:rPr>
        <w:noBreakHyphen/>
        <w:t>ATP has direct and indirect actions on DNA synthesis and mitochondrial function. In dividing cells, Cd</w:t>
      </w:r>
      <w:r w:rsidRPr="00A61946">
        <w:rPr>
          <w:rFonts w:ascii="Times New Roman" w:hAnsi="Times New Roman"/>
          <w:sz w:val="24"/>
          <w:szCs w:val="24"/>
        </w:rPr>
        <w:noBreakHyphen/>
        <w:t xml:space="preserve">ATP interferes with DNA synthesis via inhibition of ribonucleotide reductase and competes with deoxyadenosine triphosphate for incorporation into DNA by DNA polymerases.  In resting cells cladribine causes DNA single-strand breaks, rapid </w:t>
      </w:r>
      <w:r w:rsidRPr="00A61946">
        <w:rPr>
          <w:rFonts w:ascii="Times New Roman" w:eastAsia="TimesNewRoman" w:hAnsi="Times New Roman"/>
          <w:sz w:val="24"/>
          <w:szCs w:val="24"/>
          <w:lang w:eastAsia="de-DE"/>
        </w:rPr>
        <w:t>nicotinamide adenine dinucleotide</w:t>
      </w:r>
      <w:r w:rsidRPr="00A61946">
        <w:rPr>
          <w:rFonts w:ascii="Times New Roman" w:hAnsi="Times New Roman"/>
          <w:sz w:val="24"/>
          <w:szCs w:val="24"/>
        </w:rPr>
        <w:t xml:space="preserve"> consumption, ATP depletion and cell death.  There is evidence that cladribine can also cause direct caspase-dependent and </w:t>
      </w:r>
      <w:r w:rsidRPr="00A61946">
        <w:rPr>
          <w:rFonts w:ascii="Times New Roman" w:hAnsi="Times New Roman"/>
          <w:sz w:val="24"/>
          <w:szCs w:val="24"/>
        </w:rPr>
        <w:noBreakHyphen/>
        <w:t>independent apoptosis via the release of cytochrome c and apoptosis-inducing factor into the cytosol of non-dividing cells.</w:t>
      </w:r>
    </w:p>
    <w:p w14:paraId="59B345AF" w14:textId="77777777" w:rsidR="00724837" w:rsidRPr="00A61946" w:rsidRDefault="00724837" w:rsidP="008F24E1">
      <w:pPr>
        <w:autoSpaceDE w:val="0"/>
        <w:autoSpaceDN w:val="0"/>
        <w:spacing w:before="180" w:line="276" w:lineRule="auto"/>
        <w:rPr>
          <w:rFonts w:ascii="Times New Roman" w:hAnsi="Times New Roman"/>
          <w:sz w:val="24"/>
          <w:szCs w:val="24"/>
          <w:lang w:val="en-AU" w:eastAsia="zh-TW"/>
        </w:rPr>
      </w:pPr>
      <w:r w:rsidRPr="00A61946">
        <w:rPr>
          <w:rFonts w:ascii="Times New Roman" w:hAnsi="Times New Roman"/>
          <w:sz w:val="24"/>
          <w:szCs w:val="24"/>
          <w:lang w:eastAsia="sv-SE"/>
        </w:rPr>
        <w:t xml:space="preserve">MS pathology involves a complex chain of events in which different immune cell types, including autoreactive T and B cells play a key role. </w:t>
      </w:r>
      <w:r w:rsidRPr="00A61946">
        <w:rPr>
          <w:rFonts w:ascii="Times New Roman" w:hAnsi="Times New Roman"/>
          <w:sz w:val="24"/>
          <w:szCs w:val="24"/>
          <w:lang w:val="en-US" w:eastAsia="sv-SE"/>
        </w:rPr>
        <w:t>The mechanism by which cladribine exerts its therapeutic effects in MS is not fully elucidated but</w:t>
      </w:r>
      <w:r w:rsidRPr="00A61946">
        <w:rPr>
          <w:rFonts w:ascii="Times New Roman" w:hAnsi="Times New Roman"/>
          <w:sz w:val="24"/>
          <w:szCs w:val="24"/>
          <w:lang w:eastAsia="sv-SE"/>
        </w:rPr>
        <w:t xml:space="preserve"> its predominant effect on B and T lymphocytes is thought to interrupt the cascade of immune events central to MS.</w:t>
      </w:r>
    </w:p>
    <w:p w14:paraId="4D853040" w14:textId="77777777" w:rsidR="00724837" w:rsidRPr="00A61946" w:rsidRDefault="00724837" w:rsidP="008F24E1">
      <w:pPr>
        <w:spacing w:before="180" w:line="276" w:lineRule="auto"/>
        <w:rPr>
          <w:rFonts w:ascii="Times New Roman" w:hAnsi="Times New Roman"/>
          <w:sz w:val="24"/>
          <w:szCs w:val="24"/>
          <w:lang w:eastAsia="zh-TW"/>
        </w:rPr>
      </w:pPr>
      <w:r w:rsidRPr="00A61946">
        <w:rPr>
          <w:rFonts w:ascii="Times New Roman" w:hAnsi="Times New Roman"/>
          <w:sz w:val="24"/>
          <w:szCs w:val="24"/>
          <w:lang w:val="en-US" w:eastAsia="sv-SE"/>
        </w:rPr>
        <w:t>Variations in the expression levels of DCK and 5´</w:t>
      </w:r>
      <w:r w:rsidRPr="00A61946">
        <w:rPr>
          <w:rFonts w:ascii="Times New Roman" w:hAnsi="Times New Roman"/>
          <w:sz w:val="24"/>
          <w:szCs w:val="24"/>
          <w:lang w:val="en-US" w:eastAsia="sv-SE"/>
        </w:rPr>
        <w:noBreakHyphen/>
        <w:t>NTases between immune cell subtypes may explain differences in immune cell sensitivity to cladribine. Because of these expression levels, cells of the innate immune system are less affected than cells of the adaptive immune system.</w:t>
      </w:r>
    </w:p>
    <w:p w14:paraId="0998F3C0" w14:textId="77777777" w:rsidR="00724837" w:rsidRPr="00A61946" w:rsidRDefault="00724837" w:rsidP="008F24E1">
      <w:pPr>
        <w:keepNext/>
        <w:spacing w:before="180" w:line="276" w:lineRule="auto"/>
        <w:rPr>
          <w:rFonts w:ascii="Times New Roman" w:hAnsi="Times New Roman"/>
          <w:sz w:val="24"/>
          <w:szCs w:val="24"/>
          <w:u w:val="single"/>
          <w:lang w:val="en-AU" w:eastAsia="zh-TW"/>
        </w:rPr>
      </w:pPr>
      <w:r w:rsidRPr="00A61946">
        <w:rPr>
          <w:rFonts w:ascii="Times New Roman" w:hAnsi="Times New Roman"/>
          <w:sz w:val="24"/>
          <w:szCs w:val="24"/>
          <w:u w:val="single"/>
          <w:lang w:val="en-AU" w:eastAsia="zh-TW"/>
        </w:rPr>
        <w:t>Pharmacodynamic effects</w:t>
      </w:r>
    </w:p>
    <w:p w14:paraId="4BCBC0D3" w14:textId="77777777" w:rsidR="00724837" w:rsidRPr="00A61946" w:rsidRDefault="00724837" w:rsidP="008F24E1">
      <w:pPr>
        <w:spacing w:before="180" w:line="276" w:lineRule="auto"/>
        <w:rPr>
          <w:rFonts w:ascii="Times New Roman" w:hAnsi="Times New Roman"/>
          <w:sz w:val="24"/>
          <w:szCs w:val="24"/>
          <w:lang w:val="en-AU" w:eastAsia="zh-TW"/>
        </w:rPr>
      </w:pPr>
      <w:r w:rsidRPr="00A61946">
        <w:rPr>
          <w:rFonts w:ascii="Times New Roman" w:hAnsi="Times New Roman"/>
          <w:sz w:val="24"/>
          <w:szCs w:val="24"/>
          <w:lang w:val="en-AU" w:eastAsia="zh-TW"/>
        </w:rPr>
        <w:t>Cladribine has been shown to exert long-lasting effects by preferentially targeting lymphocytes and the autoimmune processes involved in the pathophysiology of MS.</w:t>
      </w:r>
    </w:p>
    <w:p w14:paraId="62B141B5" w14:textId="77777777" w:rsidR="00724837" w:rsidRPr="00A61946" w:rsidRDefault="00724837" w:rsidP="008F24E1">
      <w:pPr>
        <w:spacing w:before="180" w:line="276" w:lineRule="auto"/>
        <w:rPr>
          <w:rFonts w:ascii="Times New Roman" w:hAnsi="Times New Roman"/>
          <w:sz w:val="24"/>
          <w:szCs w:val="24"/>
          <w:lang w:val="en-AU" w:eastAsia="zh-TW"/>
        </w:rPr>
      </w:pPr>
      <w:r w:rsidRPr="00A61946">
        <w:rPr>
          <w:rFonts w:ascii="Times New Roman" w:hAnsi="Times New Roman"/>
          <w:sz w:val="24"/>
          <w:szCs w:val="24"/>
        </w:rPr>
        <w:t xml:space="preserve">Across studies, the largest proportion of patients with grade 3 or 4 lymphopenia </w:t>
      </w:r>
      <w:r w:rsidRPr="00A61946">
        <w:rPr>
          <w:rFonts w:ascii="Times New Roman" w:hAnsi="Times New Roman"/>
          <w:bCs/>
          <w:sz w:val="24"/>
          <w:szCs w:val="24"/>
        </w:rPr>
        <w:t xml:space="preserve">(&lt; 500 to 200 cells/mm³ or &lt; 200 cells/mm³) </w:t>
      </w:r>
      <w:r w:rsidRPr="00A61946">
        <w:rPr>
          <w:rFonts w:ascii="Times New Roman" w:hAnsi="Times New Roman"/>
          <w:sz w:val="24"/>
          <w:szCs w:val="24"/>
        </w:rPr>
        <w:t>was seen 2 months after the first cladribine dose in each year</w:t>
      </w:r>
      <w:r w:rsidRPr="00A61946">
        <w:rPr>
          <w:rFonts w:ascii="Times New Roman" w:hAnsi="Times New Roman"/>
          <w:sz w:val="24"/>
          <w:szCs w:val="24"/>
          <w:lang w:val="en-AU" w:eastAsia="zh-TW"/>
        </w:rPr>
        <w:t>, indicating a time gap between cladribine plasma concentrations and the maximum haematological effect.</w:t>
      </w:r>
    </w:p>
    <w:p w14:paraId="45329B8A" w14:textId="77777777" w:rsidR="00724837" w:rsidRPr="00A61946" w:rsidRDefault="00724837" w:rsidP="008F24E1">
      <w:pPr>
        <w:spacing w:before="180" w:line="276" w:lineRule="auto"/>
        <w:rPr>
          <w:rFonts w:ascii="Times New Roman" w:hAnsi="Times New Roman"/>
          <w:sz w:val="24"/>
          <w:szCs w:val="24"/>
          <w:lang w:val="en-AU" w:eastAsia="zh-TW"/>
        </w:rPr>
      </w:pPr>
      <w:r w:rsidRPr="00A61946">
        <w:rPr>
          <w:rFonts w:ascii="Times New Roman" w:hAnsi="Times New Roman"/>
          <w:sz w:val="24"/>
          <w:szCs w:val="24"/>
        </w:rPr>
        <w:t>Across clinical studies, data with the proposed cumulative dose of 3.5 mg/kg body weight show a gradual improvement in the median lymphocyte counts back to the normal range at week 84 from the first dose of cladribine (approximately 30 weeks after the last dose of cladribine). The lymphocyte counts of more than 75% of patients returned to the normal range by week 144 from the first dose of cladribine (approximately 90 weeks after the last dose of cladribine).</w:t>
      </w:r>
    </w:p>
    <w:p w14:paraId="4185CE5B" w14:textId="77777777" w:rsidR="00724837" w:rsidRPr="00A61946" w:rsidRDefault="00724837" w:rsidP="008F24E1">
      <w:pPr>
        <w:autoSpaceDE w:val="0"/>
        <w:autoSpaceDN w:val="0"/>
        <w:spacing w:before="180" w:line="276" w:lineRule="auto"/>
        <w:rPr>
          <w:rFonts w:ascii="Times New Roman" w:hAnsi="Times New Roman"/>
          <w:sz w:val="24"/>
          <w:szCs w:val="24"/>
          <w:lang w:val="en-AU" w:eastAsia="zh-TW"/>
        </w:rPr>
      </w:pPr>
      <w:r w:rsidRPr="00A61946">
        <w:rPr>
          <w:rFonts w:ascii="Times New Roman" w:hAnsi="Times New Roman"/>
          <w:sz w:val="24"/>
          <w:szCs w:val="24"/>
          <w:lang w:val="en-AU" w:eastAsia="zh-TW"/>
        </w:rPr>
        <w:t>Treatment with oral cladribine leads to rapid reductions in circulating CD4+ and CD8+ T cells.  CD8+ T cells have a less pronounced decrease and a faster recovery than CD4+ T cells, resulting in a temporarily decreased CD4:CD8 ratio.  Cladribine reduces CD19+ B cells and CD19+/CD56+ natural killer cells, which also recover faster than CD4+ T cells.</w:t>
      </w:r>
    </w:p>
    <w:p w14:paraId="4EC599F3" w14:textId="77777777" w:rsidR="00724837" w:rsidRPr="00A61946" w:rsidRDefault="00724837" w:rsidP="008F24E1">
      <w:pPr>
        <w:keepNext/>
        <w:spacing w:before="180" w:line="276" w:lineRule="auto"/>
        <w:rPr>
          <w:rFonts w:ascii="Times New Roman" w:hAnsi="Times New Roman"/>
          <w:b/>
          <w:sz w:val="24"/>
          <w:szCs w:val="24"/>
          <w:lang w:val="en-AU" w:eastAsia="zh-TW"/>
        </w:rPr>
      </w:pPr>
      <w:r w:rsidRPr="00A61946">
        <w:rPr>
          <w:rFonts w:ascii="Times New Roman" w:hAnsi="Times New Roman"/>
          <w:b/>
          <w:sz w:val="24"/>
          <w:szCs w:val="24"/>
          <w:lang w:val="en-AU" w:eastAsia="zh-TW"/>
        </w:rPr>
        <w:t>Pharmacokinetics</w:t>
      </w:r>
    </w:p>
    <w:p w14:paraId="0DAFEF26" w14:textId="77777777" w:rsidR="00724837" w:rsidRPr="00A61946" w:rsidRDefault="00724837" w:rsidP="008F24E1">
      <w:pPr>
        <w:autoSpaceDE w:val="0"/>
        <w:autoSpaceDN w:val="0"/>
        <w:spacing w:before="180" w:line="276" w:lineRule="auto"/>
        <w:rPr>
          <w:rFonts w:ascii="Times New Roman" w:hAnsi="Times New Roman"/>
          <w:sz w:val="24"/>
          <w:szCs w:val="24"/>
          <w:lang w:val="en-AU" w:eastAsia="zh-TW"/>
        </w:rPr>
      </w:pPr>
      <w:r w:rsidRPr="00A61946">
        <w:rPr>
          <w:rFonts w:ascii="Times New Roman" w:hAnsi="Times New Roman"/>
          <w:sz w:val="24"/>
          <w:szCs w:val="24"/>
          <w:lang w:val="en-AU" w:eastAsia="zh-TW"/>
        </w:rPr>
        <w:t xml:space="preserve">Cladribine is a prodrug that has to be phosphorylated intracellularly to be efficacious.  The pharmacokinetics of cladribine were studied following oral and intravenous administration in MS patients, in patients with malignancies and in </w:t>
      </w:r>
      <w:r w:rsidRPr="00A61946">
        <w:rPr>
          <w:rFonts w:ascii="Times New Roman" w:hAnsi="Times New Roman"/>
          <w:i/>
          <w:iCs/>
          <w:sz w:val="24"/>
          <w:szCs w:val="24"/>
          <w:lang w:val="en-AU" w:eastAsia="zh-TW"/>
        </w:rPr>
        <w:t xml:space="preserve">in vitro </w:t>
      </w:r>
      <w:r w:rsidRPr="00A61946">
        <w:rPr>
          <w:rFonts w:ascii="Times New Roman" w:hAnsi="Times New Roman"/>
          <w:sz w:val="24"/>
          <w:szCs w:val="24"/>
          <w:lang w:val="en-AU" w:eastAsia="zh-TW"/>
        </w:rPr>
        <w:t>systems.</w:t>
      </w:r>
    </w:p>
    <w:p w14:paraId="31763F8D" w14:textId="77777777" w:rsidR="00724837" w:rsidRPr="00A61946" w:rsidRDefault="00724837" w:rsidP="008F24E1">
      <w:pPr>
        <w:keepNext/>
        <w:autoSpaceDE w:val="0"/>
        <w:autoSpaceDN w:val="0"/>
        <w:spacing w:before="180" w:line="276" w:lineRule="auto"/>
        <w:rPr>
          <w:rFonts w:ascii="Times New Roman" w:hAnsi="Times New Roman"/>
          <w:sz w:val="24"/>
          <w:szCs w:val="24"/>
          <w:u w:val="single"/>
          <w:lang w:val="en-AU" w:eastAsia="zh-TW"/>
        </w:rPr>
      </w:pPr>
      <w:r w:rsidRPr="00A61946">
        <w:rPr>
          <w:rFonts w:ascii="Times New Roman" w:hAnsi="Times New Roman"/>
          <w:sz w:val="24"/>
          <w:szCs w:val="24"/>
          <w:u w:val="single"/>
          <w:lang w:val="en-AU" w:eastAsia="zh-TW"/>
        </w:rPr>
        <w:t>Absorption</w:t>
      </w:r>
    </w:p>
    <w:p w14:paraId="2070C749" w14:textId="77777777" w:rsidR="00724837" w:rsidRPr="00A61946" w:rsidRDefault="00724837" w:rsidP="008F24E1">
      <w:pPr>
        <w:spacing w:before="180" w:line="276" w:lineRule="auto"/>
        <w:rPr>
          <w:rFonts w:ascii="Times New Roman" w:hAnsi="Times New Roman"/>
          <w:sz w:val="24"/>
          <w:szCs w:val="24"/>
          <w:lang w:val="en-AU" w:eastAsia="zh-TW"/>
        </w:rPr>
      </w:pPr>
      <w:r w:rsidRPr="00A61946">
        <w:rPr>
          <w:rFonts w:ascii="Times New Roman" w:hAnsi="Times New Roman"/>
          <w:sz w:val="24"/>
          <w:szCs w:val="24"/>
          <w:lang w:val="en-AU" w:eastAsia="zh-TW"/>
        </w:rPr>
        <w:t xml:space="preserve">Following oral administration of </w:t>
      </w:r>
      <w:r w:rsidRPr="00A61946">
        <w:rPr>
          <w:rFonts w:ascii="Times New Roman" w:hAnsi="Times New Roman"/>
          <w:sz w:val="24"/>
          <w:szCs w:val="24"/>
          <w:lang w:val="en-AU"/>
        </w:rPr>
        <w:t xml:space="preserve">MAVENCLAD </w:t>
      </w:r>
      <w:r w:rsidRPr="00A61946">
        <w:rPr>
          <w:rFonts w:ascii="Times New Roman" w:hAnsi="Times New Roman"/>
          <w:sz w:val="24"/>
          <w:szCs w:val="24"/>
          <w:lang w:val="en-AU" w:eastAsia="zh-TW"/>
        </w:rPr>
        <w:t>tablets, cladribine is absorbed rapidly.  Administration of 10 mg tablets resulted in a mean C</w:t>
      </w:r>
      <w:r w:rsidRPr="00A61946">
        <w:rPr>
          <w:rFonts w:ascii="Times New Roman" w:hAnsi="Times New Roman"/>
          <w:sz w:val="24"/>
          <w:szCs w:val="24"/>
          <w:vertAlign w:val="subscript"/>
          <w:lang w:val="en-AU" w:eastAsia="zh-TW"/>
        </w:rPr>
        <w:t>max</w:t>
      </w:r>
      <w:r w:rsidRPr="00A61946">
        <w:rPr>
          <w:rFonts w:ascii="Times New Roman" w:hAnsi="Times New Roman"/>
          <w:sz w:val="24"/>
          <w:szCs w:val="24"/>
          <w:lang w:val="en-AU" w:eastAsia="zh-TW"/>
        </w:rPr>
        <w:t xml:space="preserve"> in the range of 22 to 29 ng/mL and corresponding mean AUC in the range of 80 to 101 ng·h/mL (arithmetic means from various studies).  When oral cladribine was given in fasted state, median T</w:t>
      </w:r>
      <w:r w:rsidRPr="00A61946">
        <w:rPr>
          <w:rFonts w:ascii="Times New Roman" w:hAnsi="Times New Roman"/>
          <w:sz w:val="24"/>
          <w:szCs w:val="24"/>
          <w:vertAlign w:val="subscript"/>
          <w:lang w:val="en-AU" w:eastAsia="zh-TW"/>
        </w:rPr>
        <w:t>max</w:t>
      </w:r>
      <w:r w:rsidRPr="00A61946">
        <w:rPr>
          <w:rFonts w:ascii="Times New Roman" w:hAnsi="Times New Roman"/>
          <w:sz w:val="24"/>
          <w:szCs w:val="24"/>
          <w:lang w:val="en-AU" w:eastAsia="zh-TW"/>
        </w:rPr>
        <w:t xml:space="preserve"> was 0.5 h (range 0.5 to 1.5 h).  When administered with a high-fat meal, absorption of cladribine was delayed (median T</w:t>
      </w:r>
      <w:r w:rsidRPr="00A61946">
        <w:rPr>
          <w:rFonts w:ascii="Times New Roman" w:hAnsi="Times New Roman"/>
          <w:sz w:val="24"/>
          <w:szCs w:val="24"/>
          <w:vertAlign w:val="subscript"/>
          <w:lang w:val="en-AU" w:eastAsia="zh-TW"/>
        </w:rPr>
        <w:t>max</w:t>
      </w:r>
      <w:r w:rsidRPr="00A61946">
        <w:rPr>
          <w:rFonts w:ascii="Times New Roman" w:hAnsi="Times New Roman"/>
          <w:sz w:val="24"/>
          <w:szCs w:val="24"/>
          <w:lang w:val="en-AU" w:eastAsia="zh-TW"/>
        </w:rPr>
        <w:t xml:space="preserve"> 1.5 h, range 1 to 3 h) and C</w:t>
      </w:r>
      <w:r w:rsidRPr="00A61946">
        <w:rPr>
          <w:rFonts w:ascii="Times New Roman" w:hAnsi="Times New Roman"/>
          <w:sz w:val="24"/>
          <w:szCs w:val="24"/>
          <w:vertAlign w:val="subscript"/>
          <w:lang w:val="en-AU" w:eastAsia="zh-TW"/>
        </w:rPr>
        <w:t>max</w:t>
      </w:r>
      <w:r w:rsidRPr="00A61946">
        <w:rPr>
          <w:rFonts w:ascii="Times New Roman" w:hAnsi="Times New Roman"/>
          <w:sz w:val="24"/>
          <w:szCs w:val="24"/>
          <w:lang w:val="en-AU" w:eastAsia="zh-TW"/>
        </w:rPr>
        <w:t xml:space="preserve"> was reduced by 29% (based on geometric mean), while AUC was unchanged.</w:t>
      </w:r>
    </w:p>
    <w:p w14:paraId="219A04CD" w14:textId="77777777" w:rsidR="00724837" w:rsidRPr="00A61946" w:rsidRDefault="00724837" w:rsidP="008F24E1">
      <w:pPr>
        <w:autoSpaceDE w:val="0"/>
        <w:autoSpaceDN w:val="0"/>
        <w:spacing w:before="180" w:line="276" w:lineRule="auto"/>
        <w:rPr>
          <w:rFonts w:ascii="Times New Roman" w:hAnsi="Times New Roman"/>
          <w:sz w:val="24"/>
          <w:szCs w:val="24"/>
          <w:lang w:val="en-AU" w:eastAsia="zh-TW"/>
        </w:rPr>
      </w:pPr>
      <w:r w:rsidRPr="00A61946">
        <w:rPr>
          <w:rFonts w:ascii="Times New Roman" w:hAnsi="Times New Roman"/>
          <w:sz w:val="24"/>
          <w:szCs w:val="24"/>
          <w:lang w:val="en-AU" w:eastAsia="zh-TW"/>
        </w:rPr>
        <w:t>The oral bioavailability of cladribine 10 mg was approximately 40%.</w:t>
      </w:r>
    </w:p>
    <w:p w14:paraId="2CB6F8AD" w14:textId="77777777" w:rsidR="00724837" w:rsidRPr="00A61946" w:rsidRDefault="00724837" w:rsidP="008F24E1">
      <w:pPr>
        <w:keepNext/>
        <w:autoSpaceDE w:val="0"/>
        <w:autoSpaceDN w:val="0"/>
        <w:spacing w:before="180" w:line="276" w:lineRule="auto"/>
        <w:rPr>
          <w:rFonts w:ascii="Times New Roman" w:hAnsi="Times New Roman"/>
          <w:sz w:val="24"/>
          <w:szCs w:val="24"/>
          <w:lang w:val="en-AU" w:eastAsia="zh-TW"/>
        </w:rPr>
      </w:pPr>
      <w:r w:rsidRPr="00A61946">
        <w:rPr>
          <w:rFonts w:ascii="Times New Roman" w:hAnsi="Times New Roman"/>
          <w:sz w:val="24"/>
          <w:szCs w:val="24"/>
          <w:u w:val="single"/>
          <w:lang w:val="en-AU" w:eastAsia="zh-TW"/>
        </w:rPr>
        <w:t>Distribution</w:t>
      </w:r>
    </w:p>
    <w:p w14:paraId="026ED447" w14:textId="77777777" w:rsidR="00724837" w:rsidRPr="00A61946" w:rsidRDefault="00724837" w:rsidP="008F24E1">
      <w:pPr>
        <w:autoSpaceDE w:val="0"/>
        <w:autoSpaceDN w:val="0"/>
        <w:spacing w:before="180" w:line="276" w:lineRule="auto"/>
        <w:rPr>
          <w:rFonts w:ascii="Times New Roman" w:hAnsi="Times New Roman"/>
          <w:sz w:val="24"/>
          <w:szCs w:val="24"/>
          <w:lang w:val="en-AU" w:eastAsia="zh-TW"/>
        </w:rPr>
      </w:pPr>
      <w:r w:rsidRPr="00A61946">
        <w:rPr>
          <w:rFonts w:ascii="Times New Roman" w:hAnsi="Times New Roman"/>
          <w:sz w:val="24"/>
          <w:szCs w:val="24"/>
          <w:lang w:val="en-AU" w:eastAsia="zh-TW"/>
        </w:rPr>
        <w:t>The volume of distribution is large</w:t>
      </w:r>
      <w:r w:rsidRPr="00A61946">
        <w:rPr>
          <w:rFonts w:ascii="Times New Roman" w:hAnsi="Times New Roman"/>
          <w:sz w:val="24"/>
          <w:szCs w:val="24"/>
        </w:rPr>
        <w:t>, indicating extensive tissue distribution and intracellular uptake</w:t>
      </w:r>
      <w:r w:rsidRPr="00A61946">
        <w:rPr>
          <w:rFonts w:ascii="Times New Roman" w:hAnsi="Times New Roman"/>
          <w:sz w:val="24"/>
          <w:szCs w:val="24"/>
          <w:lang w:val="en-AU" w:eastAsia="zh-TW"/>
        </w:rPr>
        <w:t>.  The mean volume of distribution of cladribine was estimated as 487 L (SD ± 180).  The plasma protein binding is 20%, and independent of plasma concentration.  Intracellular concentrations of phosphorylated cladribine were found to be several hundred-folds higher than corresponding plasma concentrations.</w:t>
      </w:r>
    </w:p>
    <w:p w14:paraId="70D24995" w14:textId="77777777" w:rsidR="00724837" w:rsidRPr="00A61946" w:rsidRDefault="00724837" w:rsidP="008F24E1">
      <w:pPr>
        <w:autoSpaceDE w:val="0"/>
        <w:autoSpaceDN w:val="0"/>
        <w:spacing w:before="180" w:line="276" w:lineRule="auto"/>
        <w:rPr>
          <w:rFonts w:ascii="Times New Roman" w:hAnsi="Times New Roman"/>
          <w:sz w:val="24"/>
          <w:szCs w:val="24"/>
          <w:lang w:val="en-AU" w:eastAsia="zh-TW"/>
        </w:rPr>
      </w:pPr>
      <w:r w:rsidRPr="00A61946">
        <w:rPr>
          <w:rFonts w:ascii="Times New Roman" w:hAnsi="Times New Roman"/>
          <w:sz w:val="24"/>
          <w:szCs w:val="24"/>
          <w:lang w:val="en-AU" w:eastAsia="zh-TW"/>
        </w:rPr>
        <w:t>Cladribine is able to penetrate the blood brain barrier as shown by a cerebrospinal fluid/plasma concentration ratio of approximately 0.25.</w:t>
      </w:r>
    </w:p>
    <w:p w14:paraId="4E5DD643" w14:textId="77777777" w:rsidR="00724837" w:rsidRPr="00A61946" w:rsidRDefault="00724837" w:rsidP="008F24E1">
      <w:pPr>
        <w:keepNext/>
        <w:autoSpaceDE w:val="0"/>
        <w:autoSpaceDN w:val="0"/>
        <w:spacing w:before="180" w:line="276" w:lineRule="auto"/>
        <w:rPr>
          <w:rFonts w:ascii="Times New Roman" w:hAnsi="Times New Roman"/>
          <w:sz w:val="24"/>
          <w:szCs w:val="24"/>
          <w:lang w:val="en-AU" w:eastAsia="zh-TW"/>
        </w:rPr>
      </w:pPr>
      <w:r w:rsidRPr="00A61946">
        <w:rPr>
          <w:rFonts w:ascii="Times New Roman" w:hAnsi="Times New Roman"/>
          <w:sz w:val="24"/>
          <w:szCs w:val="24"/>
          <w:u w:val="single"/>
          <w:lang w:val="en-AU" w:eastAsia="zh-TW"/>
        </w:rPr>
        <w:t>Metabolism</w:t>
      </w:r>
    </w:p>
    <w:p w14:paraId="00F19FEF" w14:textId="77777777" w:rsidR="00724837" w:rsidRPr="00A61946" w:rsidRDefault="00724837" w:rsidP="008F24E1">
      <w:pPr>
        <w:autoSpaceDE w:val="0"/>
        <w:autoSpaceDN w:val="0"/>
        <w:spacing w:before="180" w:line="276" w:lineRule="auto"/>
        <w:rPr>
          <w:rFonts w:ascii="Times New Roman" w:hAnsi="Times New Roman"/>
          <w:sz w:val="24"/>
          <w:szCs w:val="24"/>
          <w:lang w:val="en-AU" w:eastAsia="zh-TW"/>
        </w:rPr>
      </w:pPr>
      <w:r w:rsidRPr="00A61946">
        <w:rPr>
          <w:rFonts w:ascii="Times New Roman" w:hAnsi="Times New Roman"/>
          <w:sz w:val="24"/>
          <w:szCs w:val="24"/>
          <w:lang w:val="en-AU" w:eastAsia="zh-TW"/>
        </w:rPr>
        <w:t>The metabolism of cladribine was studied in MS patients following the administration of a single 10</w:t>
      </w:r>
      <w:r w:rsidRPr="00A61946">
        <w:rPr>
          <w:rFonts w:ascii="Times New Roman" w:hAnsi="Times New Roman"/>
          <w:sz w:val="24"/>
          <w:szCs w:val="24"/>
          <w:lang w:val="en-AU" w:eastAsia="zh-TW"/>
        </w:rPr>
        <w:noBreakHyphen/>
        <w:t>mg oral tablet and a single 3</w:t>
      </w:r>
      <w:r w:rsidRPr="00A61946">
        <w:rPr>
          <w:rFonts w:ascii="Times New Roman" w:hAnsi="Times New Roman"/>
          <w:sz w:val="24"/>
          <w:szCs w:val="24"/>
          <w:lang w:val="en-AU" w:eastAsia="zh-TW"/>
        </w:rPr>
        <w:noBreakHyphen/>
        <w:t>mg intravenous dose.  Following both oral and intravenous administration, the parent compound cladribine was the main component present in plasma and urine</w:t>
      </w:r>
      <w:r w:rsidRPr="00A61946">
        <w:rPr>
          <w:rFonts w:ascii="Times New Roman" w:hAnsi="Times New Roman"/>
          <w:sz w:val="24"/>
          <w:szCs w:val="24"/>
        </w:rPr>
        <w:t>, e.g. accounting only for ≤ 3% of plasma parent drug exposure after oral administration</w:t>
      </w:r>
      <w:r w:rsidRPr="00A61946">
        <w:rPr>
          <w:rFonts w:ascii="Times New Roman" w:hAnsi="Times New Roman"/>
          <w:sz w:val="24"/>
          <w:szCs w:val="24"/>
          <w:lang w:val="en-AU" w:eastAsia="zh-TW"/>
        </w:rPr>
        <w:t>.  The primary metabolite 2-chloroadenine proved to be a minor metabolite both in plasma and in urine.  Only traces of other metabolites could be found in plasma and urine.</w:t>
      </w:r>
    </w:p>
    <w:p w14:paraId="50915443" w14:textId="77777777" w:rsidR="00724837" w:rsidRPr="00A61946" w:rsidRDefault="00724837" w:rsidP="008F24E1">
      <w:pPr>
        <w:autoSpaceDE w:val="0"/>
        <w:autoSpaceDN w:val="0"/>
        <w:spacing w:before="180" w:line="276" w:lineRule="auto"/>
        <w:rPr>
          <w:rFonts w:ascii="Times New Roman" w:hAnsi="Times New Roman"/>
          <w:sz w:val="24"/>
        </w:rPr>
      </w:pPr>
      <w:r w:rsidRPr="00A61946">
        <w:rPr>
          <w:rFonts w:ascii="Times New Roman" w:hAnsi="Times New Roman"/>
          <w:sz w:val="24"/>
          <w:szCs w:val="24"/>
          <w:lang w:val="en-AU" w:eastAsia="zh-TW"/>
        </w:rPr>
        <w:t xml:space="preserve">In hepatic </w:t>
      </w:r>
      <w:r w:rsidRPr="00A61946">
        <w:rPr>
          <w:rFonts w:ascii="Times New Roman" w:hAnsi="Times New Roman"/>
          <w:i/>
          <w:iCs/>
          <w:sz w:val="24"/>
          <w:szCs w:val="24"/>
          <w:lang w:val="en-AU" w:eastAsia="zh-TW"/>
        </w:rPr>
        <w:t xml:space="preserve">in vitro </w:t>
      </w:r>
      <w:r w:rsidRPr="00A61946">
        <w:rPr>
          <w:rFonts w:ascii="Times New Roman" w:hAnsi="Times New Roman"/>
          <w:sz w:val="24"/>
          <w:szCs w:val="24"/>
          <w:lang w:val="en-AU" w:eastAsia="zh-TW"/>
        </w:rPr>
        <w:t xml:space="preserve">systems, minor metabolism of cladribine was observed (92% to 99% was unchanged cladribine).  </w:t>
      </w:r>
      <w:r w:rsidRPr="00A61946">
        <w:rPr>
          <w:rFonts w:ascii="Times New Roman" w:hAnsi="Times New Roman"/>
          <w:i/>
          <w:sz w:val="24"/>
          <w:szCs w:val="24"/>
        </w:rPr>
        <w:t>In vitro</w:t>
      </w:r>
      <w:r w:rsidRPr="00A61946">
        <w:rPr>
          <w:rFonts w:ascii="Times New Roman" w:hAnsi="Times New Roman"/>
          <w:sz w:val="24"/>
          <w:szCs w:val="24"/>
        </w:rPr>
        <w:t xml:space="preserve"> studies also showed negligible transporter-mediated uptake of cladribine into human hepatocytes</w:t>
      </w:r>
      <w:r w:rsidRPr="00A61946">
        <w:rPr>
          <w:rFonts w:ascii="Times New Roman" w:hAnsi="Times New Roman"/>
          <w:sz w:val="24"/>
        </w:rPr>
        <w:t>.</w:t>
      </w:r>
    </w:p>
    <w:p w14:paraId="725A7045" w14:textId="77777777" w:rsidR="00724837" w:rsidRPr="00A61946" w:rsidRDefault="00724837" w:rsidP="008F24E1">
      <w:pPr>
        <w:autoSpaceDE w:val="0"/>
        <w:autoSpaceDN w:val="0"/>
        <w:spacing w:before="180" w:line="276" w:lineRule="auto"/>
        <w:rPr>
          <w:rFonts w:ascii="Times New Roman" w:hAnsi="Times New Roman"/>
          <w:sz w:val="24"/>
          <w:szCs w:val="24"/>
          <w:lang w:val="en-AU" w:eastAsia="zh-TW"/>
        </w:rPr>
      </w:pPr>
      <w:r w:rsidRPr="00A61946">
        <w:rPr>
          <w:rFonts w:ascii="Times New Roman" w:hAnsi="Times New Roman"/>
          <w:sz w:val="24"/>
          <w:szCs w:val="24"/>
          <w:lang w:val="en-AU" w:eastAsia="zh-TW"/>
        </w:rPr>
        <w:t>After entering the cell, cladribine is phosphorylated to cladribine monophosphate (Cd</w:t>
      </w:r>
      <w:r w:rsidRPr="00A61946">
        <w:rPr>
          <w:rFonts w:ascii="Times New Roman" w:hAnsi="Times New Roman"/>
          <w:sz w:val="24"/>
          <w:szCs w:val="24"/>
          <w:lang w:val="en-AU" w:eastAsia="zh-TW"/>
        </w:rPr>
        <w:noBreakHyphen/>
        <w:t xml:space="preserve">AMP) by deoxycytidine kinase (and also by </w:t>
      </w:r>
      <w:proofErr w:type="spellStart"/>
      <w:r w:rsidRPr="00A61946">
        <w:rPr>
          <w:rFonts w:ascii="Times New Roman" w:hAnsi="Times New Roman"/>
          <w:sz w:val="24"/>
          <w:szCs w:val="24"/>
          <w:lang w:val="en-AU" w:eastAsia="zh-TW"/>
        </w:rPr>
        <w:t>deoxyguanosine</w:t>
      </w:r>
      <w:proofErr w:type="spellEnd"/>
      <w:r w:rsidRPr="00A61946">
        <w:rPr>
          <w:rFonts w:ascii="Times New Roman" w:hAnsi="Times New Roman"/>
          <w:sz w:val="24"/>
          <w:szCs w:val="24"/>
          <w:lang w:val="en-AU" w:eastAsia="zh-TW"/>
        </w:rPr>
        <w:t xml:space="preserve"> kinase in the mitochondria).  Cd-AMP is further phosphorylated to cladribine diphosphate (Cd-ADP) and cladribine triphosphate (Cd-ATP).  The </w:t>
      </w:r>
      <w:proofErr w:type="spellStart"/>
      <w:r w:rsidRPr="00A61946">
        <w:rPr>
          <w:rFonts w:ascii="Times New Roman" w:hAnsi="Times New Roman"/>
          <w:sz w:val="24"/>
          <w:szCs w:val="24"/>
          <w:lang w:val="en-AU" w:eastAsia="zh-TW"/>
        </w:rPr>
        <w:t>dephosphorylation</w:t>
      </w:r>
      <w:proofErr w:type="spellEnd"/>
      <w:r w:rsidRPr="00A61946">
        <w:rPr>
          <w:rFonts w:ascii="Times New Roman" w:hAnsi="Times New Roman"/>
          <w:sz w:val="24"/>
          <w:szCs w:val="24"/>
          <w:lang w:val="en-AU" w:eastAsia="zh-TW"/>
        </w:rPr>
        <w:t xml:space="preserve"> and deactivation of Cd</w:t>
      </w:r>
      <w:r w:rsidRPr="00A61946">
        <w:rPr>
          <w:rFonts w:ascii="Times New Roman" w:hAnsi="Times New Roman"/>
          <w:sz w:val="24"/>
          <w:szCs w:val="24"/>
          <w:lang w:val="en-AU" w:eastAsia="zh-TW"/>
        </w:rPr>
        <w:noBreakHyphen/>
        <w:t>AMP is catalysed by cytoplasmic 5´-nucleotidase.</w:t>
      </w:r>
    </w:p>
    <w:p w14:paraId="1291FBE2" w14:textId="77777777" w:rsidR="00724837" w:rsidRPr="00A61946" w:rsidRDefault="00724837" w:rsidP="008F24E1">
      <w:pPr>
        <w:autoSpaceDE w:val="0"/>
        <w:autoSpaceDN w:val="0"/>
        <w:spacing w:before="180" w:line="276" w:lineRule="auto"/>
        <w:rPr>
          <w:rFonts w:ascii="Times New Roman" w:hAnsi="Times New Roman"/>
          <w:sz w:val="24"/>
          <w:szCs w:val="24"/>
          <w:lang w:val="en-AU" w:eastAsia="zh-TW"/>
        </w:rPr>
      </w:pPr>
      <w:r w:rsidRPr="00A61946">
        <w:rPr>
          <w:rFonts w:ascii="Times New Roman" w:hAnsi="Times New Roman"/>
          <w:sz w:val="24"/>
          <w:szCs w:val="24"/>
          <w:lang w:val="en-AU" w:eastAsia="zh-TW"/>
        </w:rPr>
        <w:t>In a study of the intracellular pharmacokinetics of Cd-AMP and Cd-ATP in patients with chronic myelogenous leukaemia, the levels of Cd-ATP were approximately half of the Cd</w:t>
      </w:r>
      <w:r w:rsidRPr="00A61946">
        <w:rPr>
          <w:rFonts w:ascii="Times New Roman" w:hAnsi="Times New Roman"/>
          <w:sz w:val="24"/>
          <w:szCs w:val="24"/>
          <w:lang w:val="en-AU" w:eastAsia="zh-TW"/>
        </w:rPr>
        <w:noBreakHyphen/>
        <w:t>AMP levels.  Intracellular t</w:t>
      </w:r>
      <w:r w:rsidRPr="00A61946">
        <w:rPr>
          <w:rFonts w:ascii="Times New Roman" w:hAnsi="Times New Roman"/>
          <w:sz w:val="24"/>
          <w:szCs w:val="24"/>
          <w:vertAlign w:val="subscript"/>
          <w:lang w:val="en-AU" w:eastAsia="zh-TW"/>
        </w:rPr>
        <w:t>1/2</w:t>
      </w:r>
      <w:r w:rsidRPr="00A61946">
        <w:rPr>
          <w:rFonts w:ascii="Times New Roman" w:hAnsi="Times New Roman"/>
          <w:sz w:val="24"/>
          <w:szCs w:val="24"/>
          <w:lang w:val="en-AU" w:eastAsia="zh-TW"/>
        </w:rPr>
        <w:t xml:space="preserve"> of Cd-AMP was 15 h.  Intracellular t</w:t>
      </w:r>
      <w:r w:rsidRPr="00A61946">
        <w:rPr>
          <w:rFonts w:ascii="Times New Roman" w:hAnsi="Times New Roman"/>
          <w:sz w:val="24"/>
          <w:szCs w:val="24"/>
          <w:vertAlign w:val="subscript"/>
          <w:lang w:val="en-AU" w:eastAsia="zh-TW"/>
        </w:rPr>
        <w:t xml:space="preserve">1/2 </w:t>
      </w:r>
      <w:r w:rsidRPr="00A61946">
        <w:rPr>
          <w:rFonts w:ascii="Times New Roman" w:hAnsi="Times New Roman"/>
          <w:sz w:val="24"/>
          <w:szCs w:val="24"/>
          <w:lang w:val="en-AU" w:eastAsia="zh-TW"/>
        </w:rPr>
        <w:t>of Cd-ATP was 10 h.</w:t>
      </w:r>
    </w:p>
    <w:p w14:paraId="0578C779" w14:textId="77777777" w:rsidR="00724837" w:rsidRPr="00A61946" w:rsidRDefault="00724837" w:rsidP="008F24E1">
      <w:pPr>
        <w:keepNext/>
        <w:autoSpaceDE w:val="0"/>
        <w:autoSpaceDN w:val="0"/>
        <w:spacing w:before="180" w:line="276" w:lineRule="auto"/>
        <w:rPr>
          <w:rFonts w:ascii="Times New Roman" w:hAnsi="Times New Roman"/>
          <w:sz w:val="24"/>
        </w:rPr>
      </w:pPr>
      <w:r w:rsidRPr="00A61946">
        <w:rPr>
          <w:rFonts w:ascii="Times New Roman" w:hAnsi="Times New Roman"/>
          <w:sz w:val="24"/>
          <w:szCs w:val="24"/>
          <w:u w:val="single"/>
          <w:lang w:val="en-AU" w:eastAsia="zh-TW"/>
        </w:rPr>
        <w:lastRenderedPageBreak/>
        <w:t>Elimination</w:t>
      </w:r>
    </w:p>
    <w:p w14:paraId="0589338B" w14:textId="77777777" w:rsidR="00724837" w:rsidRPr="00A61946" w:rsidRDefault="00724837" w:rsidP="008F24E1">
      <w:pPr>
        <w:autoSpaceDE w:val="0"/>
        <w:autoSpaceDN w:val="0"/>
        <w:spacing w:before="180" w:line="276" w:lineRule="auto"/>
        <w:rPr>
          <w:rFonts w:ascii="Times New Roman" w:hAnsi="Times New Roman"/>
          <w:sz w:val="24"/>
          <w:szCs w:val="24"/>
          <w:lang w:val="en-AU" w:eastAsia="zh-TW"/>
        </w:rPr>
      </w:pPr>
      <w:r w:rsidRPr="00A61946">
        <w:rPr>
          <w:rFonts w:ascii="Times New Roman" w:hAnsi="Times New Roman"/>
          <w:sz w:val="24"/>
          <w:szCs w:val="24"/>
          <w:lang w:val="en-AU" w:eastAsia="zh-TW"/>
        </w:rPr>
        <w:t>The renal and the non-renal routes of cladribine elimination are approximately equally important.  Based on pooled population pharmacokinetic data from various studies, the median values for the two elimination routes were 22.2 L/h for renal clearance and 23.4 L/h for non</w:t>
      </w:r>
      <w:r w:rsidRPr="00A61946">
        <w:rPr>
          <w:rFonts w:ascii="Times New Roman" w:hAnsi="Times New Roman"/>
          <w:sz w:val="24"/>
          <w:szCs w:val="24"/>
          <w:lang w:val="en-AU" w:eastAsia="zh-TW"/>
        </w:rPr>
        <w:noBreakHyphen/>
        <w:t>renal clearance.  Renal clearance exceeded the glomerular filtration rate, indicating active renal secretion of cladribine.</w:t>
      </w:r>
    </w:p>
    <w:p w14:paraId="7B8B1304" w14:textId="77777777" w:rsidR="00724837" w:rsidRPr="00A61946" w:rsidRDefault="00724837" w:rsidP="008F24E1">
      <w:pPr>
        <w:autoSpaceDE w:val="0"/>
        <w:autoSpaceDN w:val="0"/>
        <w:spacing w:before="180" w:line="276" w:lineRule="auto"/>
        <w:rPr>
          <w:rFonts w:ascii="Times New Roman" w:hAnsi="Times New Roman"/>
          <w:sz w:val="24"/>
          <w:szCs w:val="24"/>
          <w:lang w:val="en-AU" w:eastAsia="zh-TW"/>
        </w:rPr>
      </w:pPr>
      <w:r w:rsidRPr="00A61946">
        <w:rPr>
          <w:rFonts w:ascii="Times New Roman" w:hAnsi="Times New Roman"/>
          <w:sz w:val="24"/>
          <w:szCs w:val="24"/>
          <w:lang w:val="en-AU" w:eastAsia="zh-TW"/>
        </w:rPr>
        <w:t>The non-renal part of the elimination of MAVENCLAD (approximately 50%) consists of fractional hepatic metabolism and presumably of extensive intracellular distribution and trapping of the active cladribine principle (Cd-ATP) within the targeted intracellular compartment (i.e. the lymphocytes) and subsequent elimination of intracellular Cd</w:t>
      </w:r>
      <w:r w:rsidRPr="00A61946">
        <w:rPr>
          <w:rFonts w:ascii="Times New Roman" w:hAnsi="Times New Roman"/>
          <w:sz w:val="24"/>
          <w:szCs w:val="24"/>
          <w:lang w:val="en-AU" w:eastAsia="zh-TW"/>
        </w:rPr>
        <w:noBreakHyphen/>
        <w:t>ATP according to the life-cycle and elimination pathways of these cells.</w:t>
      </w:r>
    </w:p>
    <w:p w14:paraId="21657126" w14:textId="77777777" w:rsidR="00724837" w:rsidRPr="00A61946" w:rsidRDefault="00724837" w:rsidP="008F24E1">
      <w:pPr>
        <w:autoSpaceDE w:val="0"/>
        <w:autoSpaceDN w:val="0"/>
        <w:spacing w:before="180" w:line="276" w:lineRule="auto"/>
        <w:rPr>
          <w:rFonts w:ascii="Times New Roman" w:hAnsi="Times New Roman"/>
          <w:sz w:val="24"/>
          <w:szCs w:val="24"/>
          <w:lang w:val="en-AU" w:eastAsia="zh-TW"/>
        </w:rPr>
      </w:pPr>
      <w:r w:rsidRPr="00A61946">
        <w:rPr>
          <w:rFonts w:ascii="Times New Roman" w:hAnsi="Times New Roman"/>
          <w:sz w:val="24"/>
          <w:szCs w:val="24"/>
          <w:lang w:val="en-AU" w:eastAsia="zh-TW"/>
        </w:rPr>
        <w:t xml:space="preserve">The pharmacokinetics of cladribine are best described by a three-compartment model where the estimated terminal half-life for a typical patient from the population pharmacokinetic analysis is approximately 1 day.  </w:t>
      </w:r>
      <w:r w:rsidRPr="00A61946">
        <w:rPr>
          <w:rFonts w:ascii="Times New Roman" w:hAnsi="Times New Roman"/>
          <w:sz w:val="24"/>
          <w:szCs w:val="24"/>
        </w:rPr>
        <w:t>This however does not result in any drug accumulation after once daily dosing as this half-life only accounts for a small portion of the AUC.</w:t>
      </w:r>
    </w:p>
    <w:p w14:paraId="4BB27979" w14:textId="77777777" w:rsidR="00724837" w:rsidRPr="00A61946" w:rsidRDefault="00724837" w:rsidP="008F24E1">
      <w:pPr>
        <w:keepNext/>
        <w:autoSpaceDE w:val="0"/>
        <w:autoSpaceDN w:val="0"/>
        <w:spacing w:before="180" w:line="276" w:lineRule="auto"/>
        <w:rPr>
          <w:rFonts w:ascii="Times New Roman" w:hAnsi="Times New Roman"/>
          <w:sz w:val="24"/>
          <w:szCs w:val="24"/>
          <w:u w:val="single"/>
          <w:lang w:val="en-AU" w:eastAsia="zh-TW"/>
        </w:rPr>
      </w:pPr>
      <w:r w:rsidRPr="00A61946">
        <w:rPr>
          <w:rFonts w:ascii="Times New Roman" w:hAnsi="Times New Roman"/>
          <w:sz w:val="24"/>
          <w:szCs w:val="24"/>
          <w:u w:val="single"/>
          <w:lang w:val="en-AU" w:eastAsia="zh-TW"/>
        </w:rPr>
        <w:t>Dose and Time Dependence</w:t>
      </w:r>
    </w:p>
    <w:p w14:paraId="18EAF96A" w14:textId="77777777" w:rsidR="00724837" w:rsidRPr="00A61946" w:rsidRDefault="00724837" w:rsidP="008F24E1">
      <w:pPr>
        <w:autoSpaceDE w:val="0"/>
        <w:autoSpaceDN w:val="0"/>
        <w:spacing w:before="180" w:line="276" w:lineRule="auto"/>
        <w:rPr>
          <w:rFonts w:ascii="Times New Roman" w:hAnsi="Times New Roman"/>
          <w:sz w:val="24"/>
          <w:szCs w:val="24"/>
          <w:lang w:val="en-AU" w:eastAsia="zh-TW"/>
        </w:rPr>
      </w:pPr>
      <w:r w:rsidRPr="00A61946">
        <w:rPr>
          <w:rFonts w:ascii="Times New Roman" w:hAnsi="Times New Roman"/>
          <w:sz w:val="24"/>
          <w:szCs w:val="24"/>
          <w:lang w:val="en-AU" w:eastAsia="zh-TW"/>
        </w:rPr>
        <w:t>After oral administration of cladribine tablets across a dose range from 3 mg to 20 mg, C</w:t>
      </w:r>
      <w:r w:rsidRPr="00A61946">
        <w:rPr>
          <w:rFonts w:ascii="Times New Roman" w:hAnsi="Times New Roman"/>
          <w:sz w:val="24"/>
          <w:szCs w:val="24"/>
          <w:vertAlign w:val="subscript"/>
          <w:lang w:val="en-AU" w:eastAsia="zh-TW"/>
        </w:rPr>
        <w:t>max</w:t>
      </w:r>
      <w:r w:rsidRPr="00A61946">
        <w:rPr>
          <w:rFonts w:ascii="Times New Roman" w:hAnsi="Times New Roman"/>
          <w:sz w:val="24"/>
          <w:szCs w:val="24"/>
          <w:lang w:val="en-AU" w:eastAsia="zh-TW"/>
        </w:rPr>
        <w:t xml:space="preserve"> and AUC increase in a linear dose-proportional fashion, suggesting that absorption is not affected by rate- or capacity-limited processes up to a 20 mg oral dose.</w:t>
      </w:r>
    </w:p>
    <w:p w14:paraId="096F24EA" w14:textId="77777777" w:rsidR="00724837" w:rsidRPr="00A61946" w:rsidRDefault="00724837" w:rsidP="008F24E1">
      <w:pPr>
        <w:autoSpaceDE w:val="0"/>
        <w:autoSpaceDN w:val="0"/>
        <w:spacing w:before="180" w:line="276" w:lineRule="auto"/>
        <w:rPr>
          <w:rFonts w:ascii="Times New Roman" w:hAnsi="Times New Roman"/>
          <w:sz w:val="24"/>
          <w:szCs w:val="24"/>
          <w:lang w:val="en-AU" w:eastAsia="zh-TW"/>
        </w:rPr>
      </w:pPr>
      <w:r w:rsidRPr="00A61946">
        <w:rPr>
          <w:rFonts w:ascii="Times New Roman" w:hAnsi="Times New Roman"/>
          <w:sz w:val="24"/>
          <w:szCs w:val="24"/>
          <w:lang w:val="en-AU" w:eastAsia="zh-TW"/>
        </w:rPr>
        <w:t>No accumulation of cladribine plasma concentrations have been observed after repeated dosing.</w:t>
      </w:r>
    </w:p>
    <w:p w14:paraId="07E7CA7A" w14:textId="77777777" w:rsidR="00724837" w:rsidRPr="00A61946" w:rsidRDefault="00724837" w:rsidP="008F24E1">
      <w:pPr>
        <w:autoSpaceDE w:val="0"/>
        <w:autoSpaceDN w:val="0"/>
        <w:spacing w:before="180" w:line="276" w:lineRule="auto"/>
        <w:rPr>
          <w:rFonts w:ascii="Times New Roman" w:hAnsi="Times New Roman"/>
          <w:sz w:val="24"/>
          <w:szCs w:val="24"/>
          <w:lang w:val="en-AU" w:eastAsia="zh-TW"/>
        </w:rPr>
      </w:pPr>
      <w:r w:rsidRPr="00A61946">
        <w:rPr>
          <w:rFonts w:ascii="Times New Roman" w:hAnsi="Times New Roman"/>
          <w:sz w:val="24"/>
          <w:szCs w:val="24"/>
          <w:lang w:val="en-AU" w:eastAsia="zh-TW"/>
        </w:rPr>
        <w:t>There is no indication that cladribine pharmacokinetic parameters might change in a time-dependent fashion after repeated administration.</w:t>
      </w:r>
    </w:p>
    <w:p w14:paraId="624F56E7" w14:textId="77777777" w:rsidR="00724837" w:rsidRPr="00A61946" w:rsidRDefault="00724837" w:rsidP="008F24E1">
      <w:pPr>
        <w:keepNext/>
        <w:autoSpaceDE w:val="0"/>
        <w:autoSpaceDN w:val="0"/>
        <w:spacing w:before="180" w:line="276" w:lineRule="auto"/>
        <w:rPr>
          <w:rFonts w:ascii="Times New Roman" w:hAnsi="Times New Roman"/>
          <w:sz w:val="24"/>
          <w:szCs w:val="24"/>
          <w:u w:val="single"/>
          <w:lang w:val="en-AU" w:eastAsia="zh-TW"/>
        </w:rPr>
      </w:pPr>
      <w:r w:rsidRPr="00A61946">
        <w:rPr>
          <w:rFonts w:ascii="Times New Roman" w:hAnsi="Times New Roman"/>
          <w:sz w:val="24"/>
          <w:szCs w:val="24"/>
          <w:u w:val="single"/>
          <w:lang w:val="en-AU" w:eastAsia="zh-TW"/>
        </w:rPr>
        <w:t>Special populations</w:t>
      </w:r>
    </w:p>
    <w:p w14:paraId="18C5B8AF" w14:textId="77777777" w:rsidR="00724837" w:rsidRPr="00A61946" w:rsidRDefault="00724837" w:rsidP="008F24E1">
      <w:pPr>
        <w:autoSpaceDE w:val="0"/>
        <w:autoSpaceDN w:val="0"/>
        <w:spacing w:before="180" w:line="276" w:lineRule="auto"/>
        <w:rPr>
          <w:rFonts w:ascii="Times New Roman" w:hAnsi="Times New Roman"/>
          <w:sz w:val="24"/>
          <w:szCs w:val="24"/>
          <w:lang w:val="en-AU" w:eastAsia="zh-TW"/>
        </w:rPr>
      </w:pPr>
      <w:r w:rsidRPr="00A61946">
        <w:rPr>
          <w:rFonts w:ascii="Times New Roman" w:hAnsi="Times New Roman"/>
          <w:sz w:val="24"/>
          <w:szCs w:val="24"/>
          <w:lang w:val="en-AU" w:eastAsia="zh-TW"/>
        </w:rPr>
        <w:t>No studies have been conducted to evaluate the pharmacokinetics of MAVENCLAD in elderly or paediatric MS patients, or in subjects with renal or hepatic impairment.</w:t>
      </w:r>
    </w:p>
    <w:p w14:paraId="744AC01A" w14:textId="77777777" w:rsidR="00724837" w:rsidRPr="00A61946" w:rsidDel="00B31EF7" w:rsidRDefault="00724837" w:rsidP="008F24E1">
      <w:pPr>
        <w:autoSpaceDE w:val="0"/>
        <w:autoSpaceDN w:val="0"/>
        <w:spacing w:before="180" w:line="276" w:lineRule="auto"/>
        <w:rPr>
          <w:rFonts w:ascii="Times New Roman" w:hAnsi="Times New Roman"/>
          <w:sz w:val="24"/>
          <w:szCs w:val="24"/>
          <w:lang w:val="en-AU" w:eastAsia="zh-TW"/>
        </w:rPr>
      </w:pPr>
      <w:r w:rsidRPr="00A61946" w:rsidDel="00B31EF7">
        <w:rPr>
          <w:rFonts w:ascii="Times New Roman" w:hAnsi="Times New Roman"/>
          <w:sz w:val="24"/>
          <w:szCs w:val="24"/>
          <w:lang w:val="en-AU" w:eastAsia="zh-TW"/>
        </w:rPr>
        <w:t>A population pharmacokinetic analysis did not show any effect of age (range 18 to 65</w:t>
      </w:r>
      <w:r w:rsidRPr="00A61946">
        <w:rPr>
          <w:rFonts w:ascii="Times New Roman" w:hAnsi="Times New Roman"/>
          <w:sz w:val="24"/>
          <w:szCs w:val="24"/>
          <w:lang w:val="en-AU" w:eastAsia="zh-TW"/>
        </w:rPr>
        <w:t> </w:t>
      </w:r>
      <w:r w:rsidRPr="00A61946" w:rsidDel="00B31EF7">
        <w:rPr>
          <w:rFonts w:ascii="Times New Roman" w:hAnsi="Times New Roman"/>
          <w:sz w:val="24"/>
          <w:szCs w:val="24"/>
          <w:lang w:val="en-AU" w:eastAsia="zh-TW"/>
        </w:rPr>
        <w:t>years) or gender on cladribine pharmacokinetics.</w:t>
      </w:r>
      <w:r w:rsidRPr="00A61946">
        <w:rPr>
          <w:rFonts w:ascii="Times New Roman" w:hAnsi="Times New Roman"/>
          <w:sz w:val="24"/>
          <w:szCs w:val="24"/>
          <w:lang w:val="en-AU" w:eastAsia="zh-TW"/>
        </w:rPr>
        <w:t xml:space="preserve"> The effect of age &lt; 18 years and &gt; 65 years on cladribine pharmacokinetics has not been studied.</w:t>
      </w:r>
    </w:p>
    <w:p w14:paraId="72B89DED" w14:textId="77777777" w:rsidR="00724837" w:rsidRPr="00A61946" w:rsidDel="00B31EF7" w:rsidRDefault="00724837" w:rsidP="008F24E1">
      <w:pPr>
        <w:autoSpaceDE w:val="0"/>
        <w:autoSpaceDN w:val="0"/>
        <w:spacing w:before="180" w:line="276" w:lineRule="auto"/>
        <w:rPr>
          <w:rFonts w:ascii="Times New Roman" w:hAnsi="Times New Roman"/>
          <w:sz w:val="24"/>
          <w:szCs w:val="24"/>
          <w:lang w:val="en-AU" w:eastAsia="zh-TW"/>
        </w:rPr>
      </w:pPr>
      <w:r w:rsidRPr="00A61946">
        <w:rPr>
          <w:rFonts w:ascii="Times New Roman" w:hAnsi="Times New Roman"/>
          <w:sz w:val="24"/>
          <w:szCs w:val="24"/>
          <w:lang w:val="en-AU" w:eastAsia="zh-TW"/>
        </w:rPr>
        <w:t>The results of the clinical trials did not show any evidence of cardiotoxicity, however patients with significant cardiac pathology, such as angina, congestive heart failure or arrhythmias, were not eligible to be enrolled in the clinical trials.</w:t>
      </w:r>
    </w:p>
    <w:p w14:paraId="2F8F904C" w14:textId="77777777" w:rsidR="00724837" w:rsidRPr="00A61946" w:rsidRDefault="00724837" w:rsidP="008F24E1">
      <w:pPr>
        <w:keepNext/>
        <w:autoSpaceDE w:val="0"/>
        <w:autoSpaceDN w:val="0"/>
        <w:spacing w:before="180" w:line="276" w:lineRule="auto"/>
        <w:rPr>
          <w:rFonts w:ascii="Times New Roman" w:hAnsi="Times New Roman"/>
          <w:i/>
          <w:sz w:val="24"/>
          <w:szCs w:val="24"/>
          <w:lang w:val="en-AU" w:eastAsia="zh-TW"/>
        </w:rPr>
      </w:pPr>
      <w:r w:rsidRPr="00A61946">
        <w:rPr>
          <w:rFonts w:ascii="Times New Roman" w:hAnsi="Times New Roman"/>
          <w:i/>
          <w:sz w:val="24"/>
          <w:szCs w:val="24"/>
          <w:lang w:val="en-AU" w:eastAsia="zh-TW"/>
        </w:rPr>
        <w:t>Renal impairment</w:t>
      </w:r>
    </w:p>
    <w:p w14:paraId="319F8F8C" w14:textId="77777777" w:rsidR="00724837" w:rsidRPr="00A61946" w:rsidRDefault="00724837" w:rsidP="0076694A">
      <w:pPr>
        <w:autoSpaceDE w:val="0"/>
        <w:autoSpaceDN w:val="0"/>
        <w:spacing w:before="180" w:line="276" w:lineRule="auto"/>
        <w:rPr>
          <w:rFonts w:ascii="Times New Roman" w:hAnsi="Times New Roman"/>
          <w:sz w:val="24"/>
          <w:szCs w:val="24"/>
          <w:lang w:val="en-AU" w:eastAsia="zh-TW"/>
        </w:rPr>
      </w:pPr>
      <w:r w:rsidRPr="00A61946">
        <w:rPr>
          <w:rFonts w:ascii="Times New Roman" w:hAnsi="Times New Roman"/>
          <w:sz w:val="24"/>
          <w:szCs w:val="24"/>
          <w:lang w:val="en-AU" w:eastAsia="zh-TW"/>
        </w:rPr>
        <w:t>Renal and non-renal routes are equally important for the elimination of MAVENCLAD.  Total clearance was shown to be dependent on creatinine clearance.  Based on a population pharmacokinetic analysis including patients with normal renal function and with mild renal impairment, total clearance in patients with mild renal impairment (CL</w:t>
      </w:r>
      <w:r w:rsidRPr="00A61946">
        <w:rPr>
          <w:rFonts w:ascii="Times New Roman" w:hAnsi="Times New Roman"/>
          <w:sz w:val="24"/>
          <w:szCs w:val="24"/>
          <w:vertAlign w:val="subscript"/>
          <w:lang w:val="en-AU" w:eastAsia="zh-TW"/>
        </w:rPr>
        <w:t>CR</w:t>
      </w:r>
      <w:r w:rsidRPr="00A61946">
        <w:rPr>
          <w:rFonts w:ascii="Times New Roman" w:hAnsi="Times New Roman"/>
          <w:sz w:val="24"/>
          <w:szCs w:val="24"/>
          <w:lang w:val="en-AU" w:eastAsia="zh-TW"/>
        </w:rPr>
        <w:t xml:space="preserve"> = 60 mL/min) is </w:t>
      </w:r>
      <w:r w:rsidRPr="00A61946">
        <w:rPr>
          <w:rFonts w:ascii="Times New Roman" w:hAnsi="Times New Roman"/>
          <w:sz w:val="24"/>
          <w:szCs w:val="24"/>
        </w:rPr>
        <w:t xml:space="preserve">expected </w:t>
      </w:r>
      <w:r w:rsidRPr="00A61946">
        <w:rPr>
          <w:rFonts w:ascii="Times New Roman" w:hAnsi="Times New Roman"/>
          <w:sz w:val="24"/>
          <w:szCs w:val="24"/>
          <w:lang w:val="en-AU" w:eastAsia="zh-TW"/>
        </w:rPr>
        <w:t xml:space="preserve">to decrease </w:t>
      </w:r>
      <w:r w:rsidRPr="00A61946">
        <w:rPr>
          <w:rFonts w:ascii="Times New Roman" w:hAnsi="Times New Roman"/>
          <w:sz w:val="24"/>
          <w:szCs w:val="24"/>
        </w:rPr>
        <w:t>moderately, leading to an increase in exposure of 25%</w:t>
      </w:r>
      <w:r w:rsidRPr="00A61946">
        <w:rPr>
          <w:rFonts w:ascii="Times New Roman" w:hAnsi="Times New Roman"/>
          <w:sz w:val="24"/>
          <w:szCs w:val="24"/>
          <w:lang w:val="en-AU" w:eastAsia="zh-TW"/>
        </w:rPr>
        <w:t xml:space="preserve">.  </w:t>
      </w:r>
    </w:p>
    <w:p w14:paraId="5152C2D4" w14:textId="77777777" w:rsidR="00724837" w:rsidRPr="00A61946" w:rsidDel="008931DE" w:rsidRDefault="00724837" w:rsidP="008F24E1">
      <w:pPr>
        <w:keepNext/>
        <w:autoSpaceDE w:val="0"/>
        <w:autoSpaceDN w:val="0"/>
        <w:spacing w:before="180" w:line="276" w:lineRule="auto"/>
        <w:rPr>
          <w:rFonts w:ascii="Times New Roman" w:hAnsi="Times New Roman"/>
          <w:i/>
          <w:sz w:val="24"/>
          <w:szCs w:val="24"/>
          <w:lang w:val="en-AU" w:eastAsia="zh-TW"/>
        </w:rPr>
      </w:pPr>
      <w:r w:rsidRPr="00A61946">
        <w:rPr>
          <w:rFonts w:ascii="Times New Roman" w:hAnsi="Times New Roman"/>
          <w:i/>
          <w:sz w:val="24"/>
          <w:szCs w:val="24"/>
          <w:lang w:val="en-AU" w:eastAsia="zh-TW"/>
        </w:rPr>
        <w:lastRenderedPageBreak/>
        <w:t>Hepatic impairment</w:t>
      </w:r>
    </w:p>
    <w:p w14:paraId="6F09181A" w14:textId="77777777" w:rsidR="00724837" w:rsidRPr="00A61946" w:rsidDel="008931DE" w:rsidRDefault="00724837" w:rsidP="008F24E1">
      <w:pPr>
        <w:autoSpaceDE w:val="0"/>
        <w:autoSpaceDN w:val="0"/>
        <w:spacing w:before="180" w:line="276" w:lineRule="auto"/>
        <w:rPr>
          <w:rFonts w:ascii="Times New Roman" w:hAnsi="Times New Roman"/>
          <w:sz w:val="24"/>
          <w:szCs w:val="24"/>
          <w:lang w:val="en-AU" w:eastAsia="zh-TW"/>
        </w:rPr>
      </w:pPr>
      <w:r w:rsidRPr="00A61946">
        <w:rPr>
          <w:rFonts w:ascii="Times New Roman" w:hAnsi="Times New Roman"/>
          <w:sz w:val="24"/>
          <w:szCs w:val="24"/>
          <w:lang w:val="en-AU" w:eastAsia="zh-TW"/>
        </w:rPr>
        <w:t>The importance of hepatic function for the elimination of cladribine is considered low.</w:t>
      </w:r>
    </w:p>
    <w:p w14:paraId="3EF79CEB" w14:textId="77777777" w:rsidR="00724837" w:rsidRPr="00A61946" w:rsidRDefault="00724837" w:rsidP="008F24E1">
      <w:pPr>
        <w:keepNext/>
        <w:autoSpaceDE w:val="0"/>
        <w:autoSpaceDN w:val="0"/>
        <w:spacing w:before="180" w:line="276" w:lineRule="auto"/>
        <w:rPr>
          <w:rFonts w:ascii="Times New Roman" w:hAnsi="Times New Roman"/>
          <w:sz w:val="24"/>
          <w:szCs w:val="24"/>
          <w:lang w:val="en-AU" w:eastAsia="zh-TW"/>
        </w:rPr>
      </w:pPr>
      <w:r w:rsidRPr="00A61946">
        <w:rPr>
          <w:rFonts w:ascii="Times New Roman" w:hAnsi="Times New Roman"/>
          <w:b/>
          <w:sz w:val="24"/>
          <w:szCs w:val="24"/>
          <w:lang w:val="en-AU" w:eastAsia="zh-TW"/>
        </w:rPr>
        <w:t>CLINICAL TRIALS</w:t>
      </w:r>
    </w:p>
    <w:p w14:paraId="3C4BADDA" w14:textId="77777777" w:rsidR="00724837" w:rsidRPr="00A61946" w:rsidRDefault="00724837" w:rsidP="008F24E1">
      <w:pPr>
        <w:autoSpaceDE w:val="0"/>
        <w:autoSpaceDN w:val="0"/>
        <w:spacing w:before="180" w:line="276" w:lineRule="auto"/>
        <w:rPr>
          <w:rFonts w:ascii="Times New Roman" w:hAnsi="Times New Roman"/>
          <w:sz w:val="24"/>
          <w:szCs w:val="24"/>
          <w:lang w:val="en-AU" w:eastAsia="en-AU"/>
        </w:rPr>
      </w:pPr>
      <w:r w:rsidRPr="00A61946">
        <w:rPr>
          <w:rFonts w:ascii="Times New Roman" w:hAnsi="Times New Roman"/>
          <w:sz w:val="24"/>
          <w:szCs w:val="24"/>
          <w:lang w:val="en-AU" w:eastAsia="en-AU"/>
        </w:rPr>
        <w:t xml:space="preserve">Efficacy and safety of </w:t>
      </w:r>
      <w:r w:rsidRPr="00A61946">
        <w:rPr>
          <w:rFonts w:ascii="Times New Roman" w:hAnsi="Times New Roman"/>
          <w:sz w:val="24"/>
          <w:szCs w:val="24"/>
          <w:lang w:val="en-AU"/>
        </w:rPr>
        <w:t xml:space="preserve">MAVENCLAD </w:t>
      </w:r>
      <w:r w:rsidRPr="00A61946">
        <w:rPr>
          <w:rFonts w:ascii="Times New Roman" w:hAnsi="Times New Roman"/>
          <w:sz w:val="24"/>
          <w:szCs w:val="24"/>
          <w:lang w:val="en-AU" w:eastAsia="en-AU"/>
        </w:rPr>
        <w:t xml:space="preserve">tablets for oral use were evaluated in relapsing-remitting MS in the </w:t>
      </w:r>
      <w:r w:rsidRPr="00A61946">
        <w:rPr>
          <w:rFonts w:ascii="Times New Roman" w:hAnsi="Times New Roman"/>
          <w:sz w:val="24"/>
          <w:szCs w:val="24"/>
          <w:u w:val="single"/>
          <w:lang w:val="en-AU" w:eastAsia="en-AU"/>
        </w:rPr>
        <w:t>Cla</w:t>
      </w:r>
      <w:r w:rsidRPr="00A61946">
        <w:rPr>
          <w:rFonts w:ascii="Times New Roman" w:hAnsi="Times New Roman"/>
          <w:sz w:val="24"/>
          <w:szCs w:val="24"/>
          <w:lang w:val="en-AU" w:eastAsia="en-AU"/>
        </w:rPr>
        <w:t>d</w:t>
      </w:r>
      <w:r w:rsidRPr="00A61946">
        <w:rPr>
          <w:rFonts w:ascii="Times New Roman" w:hAnsi="Times New Roman"/>
          <w:sz w:val="24"/>
          <w:szCs w:val="24"/>
          <w:u w:val="single"/>
          <w:lang w:val="en-AU" w:eastAsia="en-AU"/>
        </w:rPr>
        <w:t>ri</w:t>
      </w:r>
      <w:r w:rsidRPr="00A61946">
        <w:rPr>
          <w:rFonts w:ascii="Times New Roman" w:hAnsi="Times New Roman"/>
          <w:sz w:val="24"/>
          <w:szCs w:val="24"/>
          <w:lang w:val="en-AU" w:eastAsia="en-AU"/>
        </w:rPr>
        <w:t xml:space="preserve">bine Tablets </w:t>
      </w:r>
      <w:r w:rsidRPr="00A61946">
        <w:rPr>
          <w:rFonts w:ascii="Times New Roman" w:hAnsi="Times New Roman"/>
          <w:sz w:val="24"/>
          <w:szCs w:val="24"/>
          <w:u w:val="single"/>
          <w:lang w:val="en-AU" w:eastAsia="en-AU"/>
        </w:rPr>
        <w:t>T</w:t>
      </w:r>
      <w:r w:rsidRPr="00A61946">
        <w:rPr>
          <w:rFonts w:ascii="Times New Roman" w:hAnsi="Times New Roman"/>
          <w:sz w:val="24"/>
          <w:szCs w:val="24"/>
          <w:lang w:val="en-AU" w:eastAsia="en-AU"/>
        </w:rPr>
        <w:t>reating MS Orall</w:t>
      </w:r>
      <w:r w:rsidRPr="00A61946">
        <w:rPr>
          <w:rFonts w:ascii="Times New Roman" w:hAnsi="Times New Roman"/>
          <w:sz w:val="24"/>
          <w:szCs w:val="24"/>
          <w:u w:val="single"/>
          <w:lang w:val="en-AU" w:eastAsia="en-AU"/>
        </w:rPr>
        <w:t>y</w:t>
      </w:r>
      <w:r w:rsidRPr="00A61946">
        <w:rPr>
          <w:rFonts w:ascii="Times New Roman" w:hAnsi="Times New Roman"/>
          <w:sz w:val="24"/>
          <w:szCs w:val="24"/>
          <w:lang w:val="en-AU" w:eastAsia="en-AU"/>
        </w:rPr>
        <w:t xml:space="preserve"> (CLARITY) trial, a randomised, multicentre, double</w:t>
      </w:r>
      <w:r w:rsidRPr="00A61946">
        <w:rPr>
          <w:rFonts w:ascii="Times New Roman" w:hAnsi="Times New Roman"/>
          <w:sz w:val="24"/>
          <w:szCs w:val="24"/>
          <w:lang w:val="en-AU" w:eastAsia="en-AU"/>
        </w:rPr>
        <w:noBreakHyphen/>
        <w:t xml:space="preserve">blind, placebo-controlled clinical study in which 1326 patients were enrolled and randomly assigned to receive either placebo (n = 437), or a cumulative dose of </w:t>
      </w:r>
      <w:r w:rsidRPr="00A61946">
        <w:rPr>
          <w:rFonts w:ascii="Times New Roman" w:hAnsi="Times New Roman"/>
          <w:sz w:val="24"/>
          <w:szCs w:val="24"/>
          <w:lang w:val="en-AU"/>
        </w:rPr>
        <w:t xml:space="preserve">MAVENCLAD </w:t>
      </w:r>
      <w:r w:rsidRPr="00A61946">
        <w:rPr>
          <w:rFonts w:ascii="Times New Roman" w:hAnsi="Times New Roman"/>
          <w:sz w:val="24"/>
          <w:szCs w:val="24"/>
          <w:lang w:val="en-AU" w:eastAsia="en-AU"/>
        </w:rPr>
        <w:t>of either 3.5 mg/kg (n = 433) or 5.25 mg/kg (n = 456) in 2 treatment courses over the 96 week (2</w:t>
      </w:r>
      <w:r w:rsidRPr="00A61946">
        <w:rPr>
          <w:rFonts w:ascii="Times New Roman" w:hAnsi="Times New Roman"/>
          <w:sz w:val="24"/>
          <w:szCs w:val="24"/>
          <w:lang w:val="en-AU" w:eastAsia="en-AU"/>
        </w:rPr>
        <w:noBreakHyphen/>
        <w:t>year) trial period.</w:t>
      </w:r>
    </w:p>
    <w:p w14:paraId="3E594CCD" w14:textId="77777777" w:rsidR="00724837" w:rsidRPr="00A61946" w:rsidRDefault="00724837" w:rsidP="008F24E1">
      <w:pPr>
        <w:autoSpaceDE w:val="0"/>
        <w:autoSpaceDN w:val="0"/>
        <w:spacing w:before="180" w:line="276" w:lineRule="auto"/>
        <w:rPr>
          <w:rFonts w:ascii="Times New Roman" w:hAnsi="Times New Roman"/>
          <w:i/>
          <w:iCs/>
          <w:sz w:val="24"/>
          <w:szCs w:val="24"/>
          <w:lang w:val="en-AU" w:eastAsia="en-AU"/>
        </w:rPr>
      </w:pPr>
      <w:r w:rsidRPr="00A61946">
        <w:rPr>
          <w:rFonts w:ascii="Times New Roman" w:hAnsi="Times New Roman"/>
          <w:sz w:val="24"/>
          <w:szCs w:val="24"/>
          <w:lang w:val="en-AU"/>
        </w:rPr>
        <w:t xml:space="preserve">MAVENCLAD </w:t>
      </w:r>
      <w:r w:rsidRPr="00A61946">
        <w:rPr>
          <w:rFonts w:ascii="Times New Roman" w:hAnsi="Times New Roman"/>
          <w:sz w:val="24"/>
          <w:szCs w:val="24"/>
          <w:lang w:val="en-AU" w:eastAsia="en-AU"/>
        </w:rPr>
        <w:t xml:space="preserve">was administered orally as 10 mg tablets, with the number of tablets taken daily based on the patient’s body weight using 10 kg weight ranges.  </w:t>
      </w:r>
      <w:r w:rsidRPr="00A61946">
        <w:rPr>
          <w:rFonts w:ascii="Times New Roman" w:hAnsi="Times New Roman"/>
          <w:sz w:val="24"/>
          <w:szCs w:val="24"/>
        </w:rPr>
        <w:t xml:space="preserve">Patients randomised to </w:t>
      </w:r>
      <w:r w:rsidRPr="00A61946">
        <w:rPr>
          <w:rFonts w:ascii="Times New Roman" w:hAnsi="Times New Roman"/>
          <w:sz w:val="24"/>
        </w:rPr>
        <w:t xml:space="preserve">the </w:t>
      </w:r>
      <w:r w:rsidRPr="00A61946">
        <w:rPr>
          <w:rFonts w:ascii="Times New Roman" w:hAnsi="Times New Roman"/>
          <w:sz w:val="24"/>
          <w:szCs w:val="24"/>
        </w:rPr>
        <w:t xml:space="preserve">3.5 mg/kg cumulative dose received a first </w:t>
      </w:r>
      <w:r w:rsidRPr="00A61946">
        <w:rPr>
          <w:rFonts w:ascii="Times New Roman" w:hAnsi="Times New Roman"/>
          <w:sz w:val="24"/>
        </w:rPr>
        <w:t xml:space="preserve">treatment </w:t>
      </w:r>
      <w:r w:rsidRPr="00A61946">
        <w:rPr>
          <w:rFonts w:ascii="Times New Roman" w:hAnsi="Times New Roman"/>
          <w:sz w:val="24"/>
          <w:szCs w:val="24"/>
        </w:rPr>
        <w:t xml:space="preserve">course </w:t>
      </w:r>
      <w:r w:rsidRPr="00A61946">
        <w:rPr>
          <w:rFonts w:ascii="Times New Roman" w:hAnsi="Times New Roman"/>
          <w:sz w:val="24"/>
          <w:szCs w:val="24"/>
          <w:lang w:val="en-AU" w:eastAsia="en-AU"/>
        </w:rPr>
        <w:t xml:space="preserve">at weeks 1 and 5 of the first year and a second treatment course at weeks 1 and 5 of the second year.  </w:t>
      </w:r>
      <w:r w:rsidRPr="00A61946">
        <w:rPr>
          <w:rFonts w:ascii="Times New Roman" w:hAnsi="Times New Roman"/>
          <w:sz w:val="24"/>
          <w:szCs w:val="24"/>
        </w:rPr>
        <w:t xml:space="preserve">Patients randomised to </w:t>
      </w:r>
      <w:r w:rsidRPr="00A61946">
        <w:rPr>
          <w:rFonts w:ascii="Times New Roman" w:hAnsi="Times New Roman"/>
          <w:sz w:val="24"/>
        </w:rPr>
        <w:t xml:space="preserve">the </w:t>
      </w:r>
      <w:r w:rsidRPr="00A61946">
        <w:rPr>
          <w:rFonts w:ascii="Times New Roman" w:hAnsi="Times New Roman"/>
          <w:sz w:val="24"/>
          <w:szCs w:val="24"/>
        </w:rPr>
        <w:t>5.25 mg/kg cumulative dose received</w:t>
      </w:r>
      <w:r w:rsidRPr="00A61946">
        <w:rPr>
          <w:rFonts w:ascii="Times New Roman" w:hAnsi="Times New Roman"/>
          <w:sz w:val="24"/>
        </w:rPr>
        <w:t xml:space="preserve"> additional </w:t>
      </w:r>
      <w:r w:rsidRPr="00A61946">
        <w:rPr>
          <w:rFonts w:ascii="Times New Roman" w:hAnsi="Times New Roman"/>
          <w:sz w:val="24"/>
          <w:szCs w:val="24"/>
        </w:rPr>
        <w:t>treatment at weeks 9 and 13</w:t>
      </w:r>
      <w:r w:rsidRPr="00A61946">
        <w:rPr>
          <w:rFonts w:ascii="Times New Roman" w:hAnsi="Times New Roman"/>
          <w:sz w:val="24"/>
        </w:rPr>
        <w:t xml:space="preserve"> of the first </w:t>
      </w:r>
      <w:r w:rsidRPr="00A61946">
        <w:rPr>
          <w:rFonts w:ascii="Times New Roman" w:hAnsi="Times New Roman"/>
          <w:sz w:val="24"/>
          <w:szCs w:val="24"/>
        </w:rPr>
        <w:t>year</w:t>
      </w:r>
      <w:r w:rsidRPr="00A61946">
        <w:rPr>
          <w:rFonts w:ascii="Times New Roman" w:hAnsi="Times New Roman"/>
          <w:sz w:val="24"/>
        </w:rPr>
        <w:t>.</w:t>
      </w:r>
    </w:p>
    <w:p w14:paraId="02E42EB1" w14:textId="77777777" w:rsidR="00724837" w:rsidRPr="00A61946" w:rsidRDefault="00724837" w:rsidP="008F24E1">
      <w:pPr>
        <w:autoSpaceDE w:val="0"/>
        <w:autoSpaceDN w:val="0"/>
        <w:spacing w:before="180" w:line="276" w:lineRule="auto"/>
        <w:rPr>
          <w:rFonts w:ascii="Times New Roman" w:hAnsi="Times New Roman"/>
          <w:sz w:val="24"/>
          <w:szCs w:val="24"/>
          <w:lang w:val="en-AU" w:eastAsia="en-AU"/>
        </w:rPr>
      </w:pPr>
      <w:r w:rsidRPr="00A61946">
        <w:rPr>
          <w:rFonts w:ascii="Times New Roman" w:hAnsi="Times New Roman"/>
          <w:sz w:val="24"/>
          <w:szCs w:val="24"/>
          <w:lang w:val="en-AU" w:eastAsia="en-AU"/>
        </w:rPr>
        <w:t xml:space="preserve">The majority of patients in the placebo (86.3%) and the </w:t>
      </w:r>
      <w:r w:rsidRPr="00A61946">
        <w:rPr>
          <w:rFonts w:ascii="Times New Roman" w:hAnsi="Times New Roman"/>
          <w:sz w:val="24"/>
          <w:szCs w:val="24"/>
          <w:lang w:val="en-AU"/>
        </w:rPr>
        <w:t xml:space="preserve">MAVENCLAD </w:t>
      </w:r>
      <w:r w:rsidRPr="00A61946">
        <w:rPr>
          <w:rFonts w:ascii="Times New Roman" w:hAnsi="Times New Roman"/>
          <w:sz w:val="24"/>
          <w:szCs w:val="24"/>
          <w:lang w:val="en-AU" w:eastAsia="en-AU"/>
        </w:rPr>
        <w:t xml:space="preserve">3.5 mg/kg (91.2%) and 5.25 mg/kg (86.2%) treatment groups completed both treatment courses through 52 weeks.  A correspondingly high proportion of patients in the placebo and the </w:t>
      </w:r>
      <w:r w:rsidRPr="00A61946">
        <w:rPr>
          <w:rFonts w:ascii="Times New Roman" w:hAnsi="Times New Roman"/>
          <w:sz w:val="24"/>
          <w:szCs w:val="24"/>
          <w:lang w:val="en-AU"/>
        </w:rPr>
        <w:t xml:space="preserve">MAVENCLAD </w:t>
      </w:r>
      <w:r w:rsidRPr="00A61946">
        <w:rPr>
          <w:rFonts w:ascii="Times New Roman" w:hAnsi="Times New Roman"/>
          <w:sz w:val="24"/>
          <w:szCs w:val="24"/>
          <w:lang w:val="en-AU" w:eastAsia="en-AU"/>
        </w:rPr>
        <w:t>3.5 mg/kg and 5.25 mg/kg treatment groups (87.0%, 91.9%, and 89.0%, respectively) completed the full 96 weeks of the trial.</w:t>
      </w:r>
    </w:p>
    <w:p w14:paraId="06DFE417" w14:textId="77777777" w:rsidR="00724837" w:rsidRPr="00A61946" w:rsidRDefault="00724837" w:rsidP="008F24E1">
      <w:pPr>
        <w:autoSpaceDE w:val="0"/>
        <w:autoSpaceDN w:val="0"/>
        <w:spacing w:before="180" w:line="276" w:lineRule="auto"/>
        <w:rPr>
          <w:rFonts w:ascii="Times New Roman" w:hAnsi="Times New Roman"/>
          <w:sz w:val="24"/>
          <w:szCs w:val="24"/>
          <w:lang w:val="en-AU" w:eastAsia="en-AU"/>
        </w:rPr>
      </w:pPr>
      <w:r w:rsidRPr="00A61946">
        <w:rPr>
          <w:rFonts w:ascii="Times New Roman" w:hAnsi="Times New Roman"/>
          <w:sz w:val="24"/>
          <w:szCs w:val="24"/>
          <w:lang w:val="en-AU" w:eastAsia="en-AU"/>
        </w:rPr>
        <w:t>In the overall trial population, the median age was 39 years (range 18 to 65), and the female to male ratio was approximately 2:1.  The median duration of MS prior to trial enrolment was 6.7 years, and the median baseline neurological disability based on Expanded Disability Status Scale (EDSS) score across all treatment groups was 3.0 (range 0 to 6.0).  The mean number of T1 gadolinium-enhancing (Gd+) lesions, T1 hypointense lesions, and mean T2 lesion volumes were 0.93, 7.7, and 15,467 mm</w:t>
      </w:r>
      <w:r w:rsidRPr="00A61946">
        <w:rPr>
          <w:rFonts w:ascii="Times New Roman" w:hAnsi="Times New Roman"/>
          <w:sz w:val="24"/>
          <w:szCs w:val="24"/>
          <w:vertAlign w:val="superscript"/>
          <w:lang w:val="en-AU" w:eastAsia="en-AU"/>
        </w:rPr>
        <w:t>3</w:t>
      </w:r>
      <w:r w:rsidRPr="00A61946">
        <w:rPr>
          <w:rFonts w:ascii="Times New Roman" w:hAnsi="Times New Roman"/>
          <w:sz w:val="24"/>
          <w:szCs w:val="24"/>
          <w:lang w:val="en-AU" w:eastAsia="en-AU"/>
        </w:rPr>
        <w:t>, respectively.  Over two thirds of the trial patients were treatment-naive for MS disease-modifying medications.</w:t>
      </w:r>
    </w:p>
    <w:p w14:paraId="563E0B24" w14:textId="77777777" w:rsidR="00724837" w:rsidRPr="00A61946" w:rsidRDefault="00724837" w:rsidP="008F24E1">
      <w:pPr>
        <w:autoSpaceDE w:val="0"/>
        <w:autoSpaceDN w:val="0"/>
        <w:spacing w:before="180" w:line="276" w:lineRule="auto"/>
        <w:rPr>
          <w:rFonts w:ascii="Times New Roman" w:hAnsi="Times New Roman"/>
          <w:sz w:val="24"/>
          <w:szCs w:val="24"/>
          <w:lang w:val="en-AU" w:eastAsia="en-AU"/>
        </w:rPr>
      </w:pPr>
      <w:r w:rsidRPr="00A61946">
        <w:rPr>
          <w:rFonts w:ascii="Times New Roman" w:hAnsi="Times New Roman"/>
          <w:sz w:val="24"/>
          <w:szCs w:val="24"/>
          <w:lang w:val="en-AU"/>
        </w:rPr>
        <w:t xml:space="preserve">Both MAVENCLAD </w:t>
      </w:r>
      <w:r w:rsidRPr="00A61946">
        <w:rPr>
          <w:rFonts w:ascii="Times New Roman" w:hAnsi="Times New Roman"/>
          <w:sz w:val="24"/>
          <w:szCs w:val="24"/>
          <w:lang w:val="en-AU" w:eastAsia="en-AU"/>
        </w:rPr>
        <w:t>treatment groups, 5.25 mg/kg and 3.5 mg/kg, were significantly superior to placebo in the treatment of relapsing-remitting MS.  Clinical outcomes are shown in Table 1.</w:t>
      </w:r>
    </w:p>
    <w:tbl>
      <w:tblPr>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1417"/>
        <w:gridCol w:w="1843"/>
        <w:gridCol w:w="1843"/>
      </w:tblGrid>
      <w:tr w:rsidR="00724837" w:rsidRPr="00A61946" w14:paraId="01A3FED9" w14:textId="77777777" w:rsidTr="008F24E1">
        <w:trPr>
          <w:tblHeader/>
        </w:trPr>
        <w:tc>
          <w:tcPr>
            <w:tcW w:w="8931" w:type="dxa"/>
            <w:gridSpan w:val="4"/>
            <w:shd w:val="pct5" w:color="auto" w:fill="auto"/>
            <w:vAlign w:val="center"/>
          </w:tcPr>
          <w:p w14:paraId="61D69F23" w14:textId="77777777" w:rsidR="00724837" w:rsidRPr="00A61946" w:rsidRDefault="00724837" w:rsidP="00C14BEA">
            <w:pPr>
              <w:pageBreakBefore/>
              <w:autoSpaceDE w:val="0"/>
              <w:autoSpaceDN w:val="0"/>
              <w:spacing w:before="60" w:line="276" w:lineRule="auto"/>
              <w:rPr>
                <w:rFonts w:ascii="Times New Roman" w:hAnsi="Times New Roman"/>
                <w:b/>
                <w:lang w:val="en-AU" w:eastAsia="en-AU"/>
              </w:rPr>
            </w:pPr>
            <w:r w:rsidRPr="00A61946">
              <w:rPr>
                <w:rFonts w:ascii="Times New Roman" w:hAnsi="Times New Roman"/>
                <w:b/>
                <w:lang w:val="en-AU" w:eastAsia="en-AU"/>
              </w:rPr>
              <w:t>Table 1:  Clinical Outcomes in the CLARITY Trial</w:t>
            </w:r>
          </w:p>
        </w:tc>
      </w:tr>
      <w:tr w:rsidR="00724837" w:rsidRPr="00A61946" w14:paraId="20D62A93" w14:textId="77777777" w:rsidTr="008F24E1">
        <w:trPr>
          <w:tblHeader/>
        </w:trPr>
        <w:tc>
          <w:tcPr>
            <w:tcW w:w="3828" w:type="dxa"/>
            <w:vMerge w:val="restart"/>
            <w:vAlign w:val="center"/>
          </w:tcPr>
          <w:p w14:paraId="0B748B59" w14:textId="77777777" w:rsidR="00724837" w:rsidRPr="00A61946" w:rsidRDefault="00724837" w:rsidP="008F24E1">
            <w:pPr>
              <w:autoSpaceDE w:val="0"/>
              <w:autoSpaceDN w:val="0"/>
              <w:spacing w:before="60" w:line="276" w:lineRule="auto"/>
              <w:jc w:val="left"/>
              <w:rPr>
                <w:rFonts w:ascii="Times New Roman" w:hAnsi="Times New Roman"/>
                <w:b/>
                <w:lang w:val="en-AU" w:eastAsia="en-AU"/>
              </w:rPr>
            </w:pPr>
            <w:r w:rsidRPr="00A61946">
              <w:rPr>
                <w:rFonts w:ascii="Times New Roman" w:hAnsi="Times New Roman"/>
                <w:b/>
                <w:lang w:val="en-AU" w:eastAsia="en-AU"/>
              </w:rPr>
              <w:t>Parameter</w:t>
            </w:r>
          </w:p>
        </w:tc>
        <w:tc>
          <w:tcPr>
            <w:tcW w:w="1417" w:type="dxa"/>
            <w:vMerge w:val="restart"/>
            <w:vAlign w:val="center"/>
          </w:tcPr>
          <w:p w14:paraId="111297DF" w14:textId="77777777" w:rsidR="00724837" w:rsidRPr="00A61946" w:rsidRDefault="00724837" w:rsidP="008F24E1">
            <w:pPr>
              <w:autoSpaceDE w:val="0"/>
              <w:autoSpaceDN w:val="0"/>
              <w:spacing w:before="60" w:line="276" w:lineRule="auto"/>
              <w:jc w:val="center"/>
              <w:rPr>
                <w:rFonts w:ascii="Times New Roman" w:hAnsi="Times New Roman"/>
                <w:b/>
                <w:lang w:val="en-AU" w:eastAsia="en-AU"/>
              </w:rPr>
            </w:pPr>
            <w:r w:rsidRPr="00A61946">
              <w:rPr>
                <w:rFonts w:ascii="Times New Roman" w:hAnsi="Times New Roman"/>
                <w:b/>
                <w:lang w:val="en-AU" w:eastAsia="en-AU"/>
              </w:rPr>
              <w:t>Placebo</w:t>
            </w:r>
          </w:p>
        </w:tc>
        <w:tc>
          <w:tcPr>
            <w:tcW w:w="3686" w:type="dxa"/>
            <w:gridSpan w:val="2"/>
            <w:vAlign w:val="center"/>
          </w:tcPr>
          <w:p w14:paraId="11591062" w14:textId="77777777" w:rsidR="00724837" w:rsidRPr="00A61946" w:rsidRDefault="00724837" w:rsidP="008F24E1">
            <w:pPr>
              <w:autoSpaceDE w:val="0"/>
              <w:autoSpaceDN w:val="0"/>
              <w:spacing w:before="60" w:line="276" w:lineRule="auto"/>
              <w:jc w:val="center"/>
              <w:rPr>
                <w:rFonts w:ascii="Times New Roman" w:hAnsi="Times New Roman"/>
                <w:b/>
                <w:lang w:val="en-AU" w:eastAsia="en-AU"/>
              </w:rPr>
            </w:pPr>
            <w:r w:rsidRPr="00A61946">
              <w:rPr>
                <w:rFonts w:ascii="Times New Roman" w:hAnsi="Times New Roman"/>
                <w:b/>
                <w:lang w:val="en-AU"/>
              </w:rPr>
              <w:t>MAVENCLAD Cumulative Dose</w:t>
            </w:r>
          </w:p>
        </w:tc>
      </w:tr>
      <w:tr w:rsidR="00724837" w:rsidRPr="00A61946" w14:paraId="0C4A0FB3" w14:textId="77777777" w:rsidTr="008F24E1">
        <w:trPr>
          <w:tblHeader/>
        </w:trPr>
        <w:tc>
          <w:tcPr>
            <w:tcW w:w="3828" w:type="dxa"/>
            <w:vMerge/>
            <w:vAlign w:val="center"/>
          </w:tcPr>
          <w:p w14:paraId="532C169D" w14:textId="77777777" w:rsidR="00724837" w:rsidRPr="00A61946" w:rsidRDefault="00724837" w:rsidP="008F24E1">
            <w:pPr>
              <w:autoSpaceDE w:val="0"/>
              <w:autoSpaceDN w:val="0"/>
              <w:spacing w:before="60" w:line="276" w:lineRule="auto"/>
              <w:jc w:val="left"/>
              <w:rPr>
                <w:rFonts w:ascii="Times New Roman" w:hAnsi="Times New Roman"/>
                <w:b/>
                <w:lang w:val="en-AU" w:eastAsia="en-AU"/>
              </w:rPr>
            </w:pPr>
          </w:p>
        </w:tc>
        <w:tc>
          <w:tcPr>
            <w:tcW w:w="1417" w:type="dxa"/>
            <w:vMerge/>
            <w:vAlign w:val="center"/>
          </w:tcPr>
          <w:p w14:paraId="5D6C78FC" w14:textId="77777777" w:rsidR="00724837" w:rsidRPr="00A61946" w:rsidRDefault="00724837" w:rsidP="008F24E1">
            <w:pPr>
              <w:autoSpaceDE w:val="0"/>
              <w:autoSpaceDN w:val="0"/>
              <w:spacing w:before="60" w:line="276" w:lineRule="auto"/>
              <w:rPr>
                <w:rFonts w:ascii="Times New Roman" w:hAnsi="Times New Roman"/>
                <w:b/>
                <w:lang w:val="en-AU" w:eastAsia="en-AU"/>
              </w:rPr>
            </w:pPr>
          </w:p>
        </w:tc>
        <w:tc>
          <w:tcPr>
            <w:tcW w:w="1843" w:type="dxa"/>
            <w:vAlign w:val="center"/>
          </w:tcPr>
          <w:p w14:paraId="256A4BF1" w14:textId="77777777" w:rsidR="00724837" w:rsidRPr="00A61946" w:rsidRDefault="00724837" w:rsidP="008F24E1">
            <w:pPr>
              <w:autoSpaceDE w:val="0"/>
              <w:autoSpaceDN w:val="0"/>
              <w:spacing w:before="60" w:line="276" w:lineRule="auto"/>
              <w:jc w:val="center"/>
              <w:rPr>
                <w:rFonts w:ascii="Times New Roman" w:hAnsi="Times New Roman"/>
                <w:b/>
                <w:lang w:val="en-AU" w:eastAsia="en-AU"/>
              </w:rPr>
            </w:pPr>
            <w:r w:rsidRPr="00A61946">
              <w:rPr>
                <w:rFonts w:ascii="Times New Roman" w:hAnsi="Times New Roman"/>
                <w:b/>
                <w:lang w:val="en-AU" w:eastAsia="en-AU"/>
              </w:rPr>
              <w:t>3.5 mg/kg</w:t>
            </w:r>
          </w:p>
        </w:tc>
        <w:tc>
          <w:tcPr>
            <w:tcW w:w="1843" w:type="dxa"/>
            <w:vAlign w:val="center"/>
          </w:tcPr>
          <w:p w14:paraId="79F021B5" w14:textId="77777777" w:rsidR="00724837" w:rsidRPr="00A61946" w:rsidRDefault="00724837" w:rsidP="008F24E1">
            <w:pPr>
              <w:autoSpaceDE w:val="0"/>
              <w:autoSpaceDN w:val="0"/>
              <w:spacing w:before="60" w:line="276" w:lineRule="auto"/>
              <w:jc w:val="center"/>
              <w:rPr>
                <w:rFonts w:ascii="Times New Roman" w:hAnsi="Times New Roman"/>
                <w:b/>
                <w:lang w:val="en-AU" w:eastAsia="en-AU"/>
              </w:rPr>
            </w:pPr>
            <w:r w:rsidRPr="00A61946">
              <w:rPr>
                <w:rFonts w:ascii="Times New Roman" w:hAnsi="Times New Roman"/>
                <w:b/>
                <w:lang w:val="en-AU" w:eastAsia="en-AU"/>
              </w:rPr>
              <w:t>5.25 mg/kg</w:t>
            </w:r>
          </w:p>
        </w:tc>
      </w:tr>
      <w:tr w:rsidR="00724837" w:rsidRPr="00A61946" w14:paraId="0D501C1F" w14:textId="77777777" w:rsidTr="008F24E1">
        <w:trPr>
          <w:trHeight w:val="170"/>
        </w:trPr>
        <w:tc>
          <w:tcPr>
            <w:tcW w:w="3828" w:type="dxa"/>
            <w:vAlign w:val="center"/>
          </w:tcPr>
          <w:p w14:paraId="1048EBB8" w14:textId="77777777" w:rsidR="00724837" w:rsidRPr="00A61946" w:rsidRDefault="00724837" w:rsidP="008F24E1">
            <w:pPr>
              <w:autoSpaceDE w:val="0"/>
              <w:autoSpaceDN w:val="0"/>
              <w:spacing w:before="60" w:line="276" w:lineRule="auto"/>
              <w:jc w:val="left"/>
              <w:rPr>
                <w:rFonts w:ascii="Times New Roman" w:hAnsi="Times New Roman"/>
                <w:lang w:val="en-AU" w:eastAsia="en-AU"/>
              </w:rPr>
            </w:pPr>
            <w:r w:rsidRPr="00A61946">
              <w:rPr>
                <w:rFonts w:ascii="Times New Roman" w:hAnsi="Times New Roman"/>
                <w:lang w:val="en-AU" w:eastAsia="en-AU"/>
              </w:rPr>
              <w:t xml:space="preserve">Annualised relapse rate </w:t>
            </w:r>
            <w:r w:rsidRPr="00A61946">
              <w:rPr>
                <w:rFonts w:ascii="Times New Roman" w:hAnsi="Times New Roman"/>
                <w:lang w:val="en-AU" w:eastAsia="en-AU"/>
              </w:rPr>
              <w:br/>
              <w:t>(95% CI)</w:t>
            </w:r>
          </w:p>
        </w:tc>
        <w:tc>
          <w:tcPr>
            <w:tcW w:w="1417" w:type="dxa"/>
            <w:vAlign w:val="center"/>
          </w:tcPr>
          <w:p w14:paraId="5887B354" w14:textId="77777777" w:rsidR="00724837" w:rsidRPr="00A61946" w:rsidRDefault="00724837" w:rsidP="008F24E1">
            <w:pPr>
              <w:autoSpaceDE w:val="0"/>
              <w:autoSpaceDN w:val="0"/>
              <w:spacing w:before="60" w:line="276" w:lineRule="auto"/>
              <w:jc w:val="center"/>
              <w:rPr>
                <w:rFonts w:ascii="Times New Roman" w:hAnsi="Times New Roman"/>
                <w:b/>
                <w:lang w:val="en-AU" w:eastAsia="en-AU"/>
              </w:rPr>
            </w:pPr>
            <w:r w:rsidRPr="00A61946">
              <w:rPr>
                <w:rFonts w:ascii="Times New Roman" w:hAnsi="Times New Roman"/>
                <w:lang w:val="en-AU" w:eastAsia="en-AU"/>
              </w:rPr>
              <w:t>0.33</w:t>
            </w:r>
            <w:r w:rsidRPr="00A61946">
              <w:rPr>
                <w:rFonts w:ascii="Times New Roman" w:hAnsi="Times New Roman"/>
                <w:lang w:val="en-AU" w:eastAsia="en-AU"/>
              </w:rPr>
              <w:br/>
              <w:t>(0.29, 0.38)</w:t>
            </w:r>
          </w:p>
        </w:tc>
        <w:tc>
          <w:tcPr>
            <w:tcW w:w="1843" w:type="dxa"/>
            <w:vAlign w:val="center"/>
          </w:tcPr>
          <w:p w14:paraId="68F79446" w14:textId="77777777" w:rsidR="00724837" w:rsidRPr="00A61946" w:rsidRDefault="00724837" w:rsidP="008F24E1">
            <w:pPr>
              <w:autoSpaceDE w:val="0"/>
              <w:autoSpaceDN w:val="0"/>
              <w:spacing w:before="60" w:line="276" w:lineRule="auto"/>
              <w:jc w:val="center"/>
              <w:rPr>
                <w:rFonts w:ascii="Times New Roman" w:hAnsi="Times New Roman"/>
                <w:b/>
                <w:lang w:val="en-AU" w:eastAsia="en-AU"/>
              </w:rPr>
            </w:pPr>
            <w:r w:rsidRPr="00A61946">
              <w:rPr>
                <w:rFonts w:ascii="Times New Roman" w:hAnsi="Times New Roman"/>
                <w:lang w:val="en-AU" w:eastAsia="en-AU"/>
              </w:rPr>
              <w:t>0.14 *</w:t>
            </w:r>
            <w:r w:rsidRPr="00A61946">
              <w:rPr>
                <w:rFonts w:ascii="Times New Roman" w:hAnsi="Times New Roman"/>
                <w:lang w:val="en-AU" w:eastAsia="en-AU"/>
              </w:rPr>
              <w:br/>
              <w:t>(0.12, 0.17)</w:t>
            </w:r>
          </w:p>
        </w:tc>
        <w:tc>
          <w:tcPr>
            <w:tcW w:w="1843" w:type="dxa"/>
            <w:vAlign w:val="center"/>
          </w:tcPr>
          <w:p w14:paraId="7D003DCF" w14:textId="77777777" w:rsidR="00724837" w:rsidRPr="00A61946" w:rsidRDefault="00724837" w:rsidP="008F24E1">
            <w:pPr>
              <w:autoSpaceDE w:val="0"/>
              <w:autoSpaceDN w:val="0"/>
              <w:spacing w:before="60" w:line="276" w:lineRule="auto"/>
              <w:jc w:val="center"/>
              <w:rPr>
                <w:rFonts w:ascii="Times New Roman" w:hAnsi="Times New Roman"/>
                <w:b/>
                <w:lang w:val="en-AU" w:eastAsia="en-AU"/>
              </w:rPr>
            </w:pPr>
            <w:r w:rsidRPr="00A61946">
              <w:rPr>
                <w:rFonts w:ascii="Times New Roman" w:hAnsi="Times New Roman"/>
                <w:lang w:val="en-AU" w:eastAsia="en-AU"/>
              </w:rPr>
              <w:t>0.15 *</w:t>
            </w:r>
            <w:r w:rsidRPr="00A61946">
              <w:rPr>
                <w:rFonts w:ascii="Times New Roman" w:hAnsi="Times New Roman"/>
                <w:lang w:val="en-AU" w:eastAsia="en-AU"/>
              </w:rPr>
              <w:br/>
              <w:t>(0.12, 0.17)</w:t>
            </w:r>
          </w:p>
        </w:tc>
      </w:tr>
      <w:tr w:rsidR="00724837" w:rsidRPr="00A61946" w14:paraId="48D5B78F" w14:textId="77777777" w:rsidTr="008F24E1">
        <w:trPr>
          <w:trHeight w:val="170"/>
        </w:trPr>
        <w:tc>
          <w:tcPr>
            <w:tcW w:w="3828" w:type="dxa"/>
            <w:vAlign w:val="center"/>
          </w:tcPr>
          <w:p w14:paraId="555396B8" w14:textId="77777777" w:rsidR="00724837" w:rsidRPr="00A61946" w:rsidRDefault="00724837" w:rsidP="008F24E1">
            <w:pPr>
              <w:autoSpaceDE w:val="0"/>
              <w:autoSpaceDN w:val="0"/>
              <w:spacing w:before="60" w:line="276" w:lineRule="auto"/>
              <w:ind w:left="114"/>
              <w:jc w:val="left"/>
              <w:rPr>
                <w:rFonts w:ascii="Times New Roman" w:hAnsi="Times New Roman"/>
                <w:lang w:val="en-AU" w:eastAsia="en-AU"/>
              </w:rPr>
            </w:pPr>
            <w:r w:rsidRPr="00A61946">
              <w:rPr>
                <w:rFonts w:ascii="Times New Roman" w:hAnsi="Times New Roman"/>
                <w:lang w:val="en-AU" w:eastAsia="en-AU"/>
              </w:rPr>
              <w:t>Relative reduction in annualised relapse rate (%) (95% CI)</w:t>
            </w:r>
          </w:p>
        </w:tc>
        <w:tc>
          <w:tcPr>
            <w:tcW w:w="1417" w:type="dxa"/>
            <w:vAlign w:val="center"/>
          </w:tcPr>
          <w:p w14:paraId="02C9F94C" w14:textId="77777777" w:rsidR="00724837" w:rsidRPr="00A61946" w:rsidRDefault="00724837" w:rsidP="008F24E1">
            <w:pPr>
              <w:autoSpaceDE w:val="0"/>
              <w:autoSpaceDN w:val="0"/>
              <w:spacing w:before="60" w:line="276" w:lineRule="auto"/>
              <w:jc w:val="center"/>
              <w:rPr>
                <w:rFonts w:ascii="Times New Roman" w:hAnsi="Times New Roman"/>
                <w:b/>
                <w:lang w:val="en-AU" w:eastAsia="en-AU"/>
              </w:rPr>
            </w:pPr>
          </w:p>
        </w:tc>
        <w:tc>
          <w:tcPr>
            <w:tcW w:w="1843" w:type="dxa"/>
            <w:vAlign w:val="center"/>
          </w:tcPr>
          <w:p w14:paraId="196D9408" w14:textId="77777777" w:rsidR="00724837" w:rsidRPr="00A61946" w:rsidRDefault="00724837" w:rsidP="008F24E1">
            <w:pPr>
              <w:autoSpaceDE w:val="0"/>
              <w:autoSpaceDN w:val="0"/>
              <w:spacing w:before="60" w:line="276" w:lineRule="auto"/>
              <w:jc w:val="center"/>
              <w:rPr>
                <w:rFonts w:ascii="Times New Roman" w:hAnsi="Times New Roman"/>
                <w:b/>
                <w:lang w:val="en-AU" w:eastAsia="en-AU"/>
              </w:rPr>
            </w:pPr>
            <w:r w:rsidRPr="00A61946">
              <w:rPr>
                <w:rFonts w:ascii="Times New Roman" w:hAnsi="Times New Roman"/>
                <w:lang w:val="en-AU" w:eastAsia="en-AU"/>
              </w:rPr>
              <w:t>57.6 *</w:t>
            </w:r>
            <w:r w:rsidRPr="00A61946">
              <w:rPr>
                <w:rFonts w:ascii="Times New Roman" w:hAnsi="Times New Roman"/>
                <w:lang w:val="en-AU" w:eastAsia="en-AU"/>
              </w:rPr>
              <w:br/>
            </w:r>
            <w:r w:rsidRPr="00A61946">
              <w:rPr>
                <w:rFonts w:ascii="Times New Roman" w:hAnsi="Times New Roman"/>
              </w:rPr>
              <w:t>(46, 66)</w:t>
            </w:r>
          </w:p>
        </w:tc>
        <w:tc>
          <w:tcPr>
            <w:tcW w:w="1843" w:type="dxa"/>
            <w:vAlign w:val="center"/>
          </w:tcPr>
          <w:p w14:paraId="1BD4ABF6" w14:textId="77777777" w:rsidR="00724837" w:rsidRPr="00A61946" w:rsidRDefault="00724837" w:rsidP="008F24E1">
            <w:pPr>
              <w:autoSpaceDE w:val="0"/>
              <w:autoSpaceDN w:val="0"/>
              <w:spacing w:before="60" w:line="276" w:lineRule="auto"/>
              <w:jc w:val="center"/>
              <w:rPr>
                <w:rFonts w:ascii="Times New Roman" w:hAnsi="Times New Roman"/>
                <w:b/>
                <w:lang w:val="en-AU" w:eastAsia="en-AU"/>
              </w:rPr>
            </w:pPr>
            <w:r w:rsidRPr="00A61946">
              <w:rPr>
                <w:rFonts w:ascii="Times New Roman" w:hAnsi="Times New Roman"/>
                <w:lang w:val="en-AU" w:eastAsia="en-AU"/>
              </w:rPr>
              <w:t>54.5 *</w:t>
            </w:r>
            <w:r w:rsidRPr="00A61946">
              <w:rPr>
                <w:rFonts w:ascii="Times New Roman" w:hAnsi="Times New Roman"/>
                <w:lang w:val="en-AU" w:eastAsia="en-AU"/>
              </w:rPr>
              <w:br/>
            </w:r>
            <w:r w:rsidRPr="00A61946">
              <w:rPr>
                <w:rFonts w:ascii="Times New Roman" w:hAnsi="Times New Roman"/>
              </w:rPr>
              <w:t>(46, 65)</w:t>
            </w:r>
          </w:p>
        </w:tc>
      </w:tr>
      <w:tr w:rsidR="00724837" w:rsidRPr="00A61946" w14:paraId="36474B56" w14:textId="77777777" w:rsidTr="008F24E1">
        <w:trPr>
          <w:trHeight w:val="170"/>
        </w:trPr>
        <w:tc>
          <w:tcPr>
            <w:tcW w:w="3828" w:type="dxa"/>
            <w:vAlign w:val="center"/>
          </w:tcPr>
          <w:p w14:paraId="49EFD5D2" w14:textId="77777777" w:rsidR="00724837" w:rsidRPr="00A61946" w:rsidRDefault="00724837" w:rsidP="008F24E1">
            <w:pPr>
              <w:autoSpaceDE w:val="0"/>
              <w:autoSpaceDN w:val="0"/>
              <w:spacing w:before="60" w:line="276" w:lineRule="auto"/>
              <w:jc w:val="left"/>
              <w:rPr>
                <w:rFonts w:ascii="Times New Roman" w:hAnsi="Times New Roman"/>
                <w:lang w:val="en-AU" w:eastAsia="en-AU"/>
              </w:rPr>
            </w:pPr>
            <w:r w:rsidRPr="00A61946">
              <w:rPr>
                <w:rFonts w:ascii="Times New Roman" w:hAnsi="Times New Roman"/>
                <w:lang w:val="en-AU" w:eastAsia="en-AU"/>
              </w:rPr>
              <w:t>Proportion of patients relapse-free over 96 weeks</w:t>
            </w:r>
          </w:p>
        </w:tc>
        <w:tc>
          <w:tcPr>
            <w:tcW w:w="1417" w:type="dxa"/>
            <w:vAlign w:val="center"/>
          </w:tcPr>
          <w:p w14:paraId="10EAB036" w14:textId="77777777" w:rsidR="00724837" w:rsidRPr="00A61946" w:rsidRDefault="00724837" w:rsidP="008F24E1">
            <w:pPr>
              <w:autoSpaceDE w:val="0"/>
              <w:autoSpaceDN w:val="0"/>
              <w:spacing w:before="60" w:line="276" w:lineRule="auto"/>
              <w:jc w:val="center"/>
              <w:rPr>
                <w:rFonts w:ascii="Times New Roman" w:hAnsi="Times New Roman"/>
                <w:b/>
                <w:lang w:val="en-AU" w:eastAsia="en-AU"/>
              </w:rPr>
            </w:pPr>
            <w:r w:rsidRPr="00A61946">
              <w:rPr>
                <w:rFonts w:ascii="Times New Roman" w:hAnsi="Times New Roman"/>
                <w:lang w:val="en-AU" w:eastAsia="en-AU"/>
              </w:rPr>
              <w:t>60.9%</w:t>
            </w:r>
          </w:p>
        </w:tc>
        <w:tc>
          <w:tcPr>
            <w:tcW w:w="1843" w:type="dxa"/>
            <w:vAlign w:val="center"/>
          </w:tcPr>
          <w:p w14:paraId="1676AFB5" w14:textId="77777777" w:rsidR="00724837" w:rsidRPr="00A61946" w:rsidRDefault="00724837" w:rsidP="008F24E1">
            <w:pPr>
              <w:autoSpaceDE w:val="0"/>
              <w:autoSpaceDN w:val="0"/>
              <w:spacing w:before="60" w:line="276" w:lineRule="auto"/>
              <w:jc w:val="center"/>
              <w:rPr>
                <w:rFonts w:ascii="Times New Roman" w:hAnsi="Times New Roman"/>
                <w:lang w:val="en-AU" w:eastAsia="en-AU"/>
              </w:rPr>
            </w:pPr>
            <w:r w:rsidRPr="00A61946">
              <w:rPr>
                <w:rFonts w:ascii="Times New Roman" w:hAnsi="Times New Roman"/>
                <w:lang w:val="en-AU" w:eastAsia="en-AU"/>
              </w:rPr>
              <w:t xml:space="preserve">79.7% </w:t>
            </w:r>
          </w:p>
        </w:tc>
        <w:tc>
          <w:tcPr>
            <w:tcW w:w="1843" w:type="dxa"/>
            <w:vAlign w:val="center"/>
          </w:tcPr>
          <w:p w14:paraId="623F6D0C" w14:textId="77777777" w:rsidR="00724837" w:rsidRPr="00A61946" w:rsidRDefault="00724837" w:rsidP="008F24E1">
            <w:pPr>
              <w:autoSpaceDE w:val="0"/>
              <w:autoSpaceDN w:val="0"/>
              <w:spacing w:before="60" w:line="276" w:lineRule="auto"/>
              <w:jc w:val="center"/>
              <w:rPr>
                <w:rFonts w:ascii="Times New Roman" w:hAnsi="Times New Roman"/>
                <w:lang w:val="en-AU" w:eastAsia="en-AU"/>
              </w:rPr>
            </w:pPr>
            <w:r w:rsidRPr="00A61946">
              <w:rPr>
                <w:rFonts w:ascii="Times New Roman" w:hAnsi="Times New Roman"/>
                <w:lang w:val="en-AU" w:eastAsia="en-AU"/>
              </w:rPr>
              <w:t xml:space="preserve">78.9% </w:t>
            </w:r>
          </w:p>
        </w:tc>
      </w:tr>
      <w:tr w:rsidR="00724837" w:rsidRPr="00A61946" w14:paraId="282101CE" w14:textId="77777777" w:rsidTr="008F24E1">
        <w:trPr>
          <w:trHeight w:val="170"/>
        </w:trPr>
        <w:tc>
          <w:tcPr>
            <w:tcW w:w="3828" w:type="dxa"/>
            <w:vAlign w:val="center"/>
          </w:tcPr>
          <w:p w14:paraId="6822043F" w14:textId="77777777" w:rsidR="00724837" w:rsidRPr="00A61946" w:rsidRDefault="00724837" w:rsidP="008F24E1">
            <w:pPr>
              <w:autoSpaceDE w:val="0"/>
              <w:autoSpaceDN w:val="0"/>
              <w:spacing w:before="60" w:line="276" w:lineRule="auto"/>
              <w:ind w:left="114"/>
              <w:jc w:val="left"/>
              <w:rPr>
                <w:rFonts w:ascii="Times New Roman" w:hAnsi="Times New Roman"/>
                <w:lang w:val="en-AU" w:eastAsia="en-AU"/>
              </w:rPr>
            </w:pPr>
            <w:r w:rsidRPr="00A61946">
              <w:rPr>
                <w:rFonts w:ascii="Times New Roman" w:hAnsi="Times New Roman"/>
                <w:lang w:val="en-AU" w:eastAsia="en-AU"/>
              </w:rPr>
              <w:lastRenderedPageBreak/>
              <w:t>Odds ratio (95% CI)</w:t>
            </w:r>
          </w:p>
        </w:tc>
        <w:tc>
          <w:tcPr>
            <w:tcW w:w="1417" w:type="dxa"/>
            <w:vAlign w:val="center"/>
          </w:tcPr>
          <w:p w14:paraId="7C09D533" w14:textId="77777777" w:rsidR="00724837" w:rsidRPr="00A61946" w:rsidRDefault="00724837" w:rsidP="008F24E1">
            <w:pPr>
              <w:autoSpaceDE w:val="0"/>
              <w:autoSpaceDN w:val="0"/>
              <w:spacing w:before="60" w:line="276" w:lineRule="auto"/>
              <w:jc w:val="center"/>
              <w:rPr>
                <w:rFonts w:ascii="Times New Roman" w:hAnsi="Times New Roman"/>
                <w:lang w:val="en-AU" w:eastAsia="en-AU"/>
              </w:rPr>
            </w:pPr>
          </w:p>
        </w:tc>
        <w:tc>
          <w:tcPr>
            <w:tcW w:w="1843" w:type="dxa"/>
            <w:vAlign w:val="center"/>
          </w:tcPr>
          <w:p w14:paraId="20451072" w14:textId="77777777" w:rsidR="00724837" w:rsidRPr="00A61946" w:rsidRDefault="00724837" w:rsidP="008F24E1">
            <w:pPr>
              <w:autoSpaceDE w:val="0"/>
              <w:autoSpaceDN w:val="0"/>
              <w:spacing w:before="60" w:line="276" w:lineRule="auto"/>
              <w:jc w:val="center"/>
              <w:rPr>
                <w:rFonts w:ascii="Times New Roman" w:hAnsi="Times New Roman"/>
                <w:lang w:val="en-AU" w:eastAsia="en-AU"/>
              </w:rPr>
            </w:pPr>
            <w:r w:rsidRPr="00A61946">
              <w:rPr>
                <w:rFonts w:ascii="Times New Roman" w:hAnsi="Times New Roman"/>
                <w:lang w:val="en-AU" w:eastAsia="en-AU"/>
              </w:rPr>
              <w:t>2.53 *</w:t>
            </w:r>
            <w:r w:rsidRPr="00A61946">
              <w:rPr>
                <w:rFonts w:ascii="Times New Roman" w:hAnsi="Times New Roman"/>
                <w:lang w:val="en-AU" w:eastAsia="en-AU"/>
              </w:rPr>
              <w:br/>
              <w:t>(1.87, 3.43)</w:t>
            </w:r>
          </w:p>
        </w:tc>
        <w:tc>
          <w:tcPr>
            <w:tcW w:w="1843" w:type="dxa"/>
            <w:vAlign w:val="center"/>
          </w:tcPr>
          <w:p w14:paraId="1494B644" w14:textId="77777777" w:rsidR="00724837" w:rsidRPr="00A61946" w:rsidRDefault="00724837" w:rsidP="008F24E1">
            <w:pPr>
              <w:autoSpaceDE w:val="0"/>
              <w:autoSpaceDN w:val="0"/>
              <w:spacing w:before="60" w:line="276" w:lineRule="auto"/>
              <w:jc w:val="center"/>
              <w:rPr>
                <w:rFonts w:ascii="Times New Roman" w:hAnsi="Times New Roman"/>
                <w:lang w:val="en-AU" w:eastAsia="en-AU"/>
              </w:rPr>
            </w:pPr>
            <w:r w:rsidRPr="00A61946">
              <w:rPr>
                <w:rFonts w:ascii="Times New Roman" w:hAnsi="Times New Roman"/>
                <w:lang w:val="en-AU" w:eastAsia="en-AU"/>
              </w:rPr>
              <w:t>2.43 *</w:t>
            </w:r>
            <w:r w:rsidRPr="00A61946">
              <w:rPr>
                <w:rFonts w:ascii="Times New Roman" w:hAnsi="Times New Roman"/>
                <w:lang w:val="en-AU" w:eastAsia="en-AU"/>
              </w:rPr>
              <w:br/>
              <w:t>(1.81, 3.27)</w:t>
            </w:r>
          </w:p>
        </w:tc>
      </w:tr>
      <w:tr w:rsidR="00724837" w:rsidRPr="00A61946" w14:paraId="4B4FDDF7" w14:textId="77777777" w:rsidTr="008F24E1">
        <w:trPr>
          <w:cantSplit/>
          <w:trHeight w:val="170"/>
        </w:trPr>
        <w:tc>
          <w:tcPr>
            <w:tcW w:w="3828" w:type="dxa"/>
            <w:vAlign w:val="center"/>
          </w:tcPr>
          <w:p w14:paraId="154F1108" w14:textId="77777777" w:rsidR="00724837" w:rsidRPr="00A61946" w:rsidRDefault="00724837" w:rsidP="008F24E1">
            <w:pPr>
              <w:autoSpaceDE w:val="0"/>
              <w:autoSpaceDN w:val="0"/>
              <w:spacing w:before="60" w:line="276" w:lineRule="auto"/>
              <w:jc w:val="left"/>
              <w:rPr>
                <w:rFonts w:ascii="Times New Roman" w:hAnsi="Times New Roman"/>
                <w:lang w:val="en-AU" w:eastAsia="en-AU"/>
              </w:rPr>
            </w:pPr>
            <w:r w:rsidRPr="00A61946">
              <w:rPr>
                <w:rFonts w:ascii="Times New Roman" w:hAnsi="Times New Roman"/>
                <w:lang w:val="en-AU" w:eastAsia="en-AU"/>
              </w:rPr>
              <w:t>Time to first relapse (weeks)</w:t>
            </w:r>
          </w:p>
          <w:p w14:paraId="154D278A" w14:textId="77777777" w:rsidR="00724837" w:rsidRPr="00A61946" w:rsidRDefault="00724837" w:rsidP="008F24E1">
            <w:pPr>
              <w:autoSpaceDE w:val="0"/>
              <w:autoSpaceDN w:val="0"/>
              <w:spacing w:before="60" w:line="276" w:lineRule="auto"/>
              <w:jc w:val="left"/>
              <w:rPr>
                <w:rFonts w:ascii="Times New Roman" w:hAnsi="Times New Roman"/>
                <w:lang w:val="en-AU" w:eastAsia="en-AU"/>
              </w:rPr>
            </w:pPr>
            <w:r w:rsidRPr="00A61946">
              <w:rPr>
                <w:rFonts w:ascii="Times New Roman" w:hAnsi="Times New Roman"/>
                <w:lang w:val="en-AU" w:eastAsia="en-AU"/>
              </w:rPr>
              <w:t>15</w:t>
            </w:r>
            <w:r w:rsidRPr="00A61946">
              <w:rPr>
                <w:rFonts w:ascii="Times New Roman" w:hAnsi="Times New Roman"/>
                <w:vertAlign w:val="superscript"/>
                <w:lang w:val="en-AU" w:eastAsia="en-AU"/>
              </w:rPr>
              <w:t>th</w:t>
            </w:r>
            <w:r w:rsidRPr="00A61946">
              <w:rPr>
                <w:rFonts w:ascii="Times New Roman" w:hAnsi="Times New Roman"/>
                <w:lang w:val="en-AU" w:eastAsia="en-AU"/>
              </w:rPr>
              <w:t> percentile</w:t>
            </w:r>
          </w:p>
        </w:tc>
        <w:tc>
          <w:tcPr>
            <w:tcW w:w="1417" w:type="dxa"/>
            <w:vAlign w:val="center"/>
          </w:tcPr>
          <w:p w14:paraId="4BF2A57C" w14:textId="77777777" w:rsidR="00724837" w:rsidRPr="00A61946" w:rsidRDefault="00724837" w:rsidP="008F24E1">
            <w:pPr>
              <w:autoSpaceDE w:val="0"/>
              <w:autoSpaceDN w:val="0"/>
              <w:spacing w:before="60" w:line="276" w:lineRule="auto"/>
              <w:jc w:val="center"/>
              <w:rPr>
                <w:rFonts w:ascii="Times New Roman" w:hAnsi="Times New Roman"/>
                <w:lang w:val="en-AU" w:eastAsia="en-AU"/>
              </w:rPr>
            </w:pPr>
            <w:r w:rsidRPr="00A61946">
              <w:rPr>
                <w:rFonts w:ascii="Times New Roman" w:hAnsi="Times New Roman"/>
                <w:lang w:val="en-AU" w:eastAsia="en-AU"/>
              </w:rPr>
              <w:t>20.1</w:t>
            </w:r>
          </w:p>
        </w:tc>
        <w:tc>
          <w:tcPr>
            <w:tcW w:w="1843" w:type="dxa"/>
            <w:vAlign w:val="center"/>
          </w:tcPr>
          <w:p w14:paraId="36C36369" w14:textId="77777777" w:rsidR="00724837" w:rsidRPr="00A61946" w:rsidRDefault="00724837" w:rsidP="008F24E1">
            <w:pPr>
              <w:autoSpaceDE w:val="0"/>
              <w:autoSpaceDN w:val="0"/>
              <w:spacing w:before="60" w:line="276" w:lineRule="auto"/>
              <w:jc w:val="center"/>
              <w:rPr>
                <w:rFonts w:ascii="Times New Roman" w:hAnsi="Times New Roman"/>
                <w:lang w:val="en-AU" w:eastAsia="en-AU"/>
              </w:rPr>
            </w:pPr>
            <w:r w:rsidRPr="00A61946">
              <w:rPr>
                <w:rFonts w:ascii="Times New Roman" w:hAnsi="Times New Roman"/>
                <w:lang w:val="en-AU" w:eastAsia="en-AU"/>
              </w:rPr>
              <w:t>58.3</w:t>
            </w:r>
          </w:p>
        </w:tc>
        <w:tc>
          <w:tcPr>
            <w:tcW w:w="1843" w:type="dxa"/>
            <w:vAlign w:val="center"/>
          </w:tcPr>
          <w:p w14:paraId="00C97310" w14:textId="77777777" w:rsidR="00724837" w:rsidRPr="00A61946" w:rsidRDefault="00724837" w:rsidP="008F24E1">
            <w:pPr>
              <w:autoSpaceDE w:val="0"/>
              <w:autoSpaceDN w:val="0"/>
              <w:spacing w:before="60" w:line="276" w:lineRule="auto"/>
              <w:jc w:val="center"/>
              <w:rPr>
                <w:rFonts w:ascii="Times New Roman" w:hAnsi="Times New Roman"/>
                <w:lang w:val="en-AU" w:eastAsia="en-AU"/>
              </w:rPr>
            </w:pPr>
            <w:r w:rsidRPr="00A61946">
              <w:rPr>
                <w:rFonts w:ascii="Times New Roman" w:hAnsi="Times New Roman"/>
                <w:lang w:val="en-AU" w:eastAsia="en-AU"/>
              </w:rPr>
              <w:t>58.0</w:t>
            </w:r>
          </w:p>
        </w:tc>
      </w:tr>
      <w:tr w:rsidR="00724837" w:rsidRPr="00A61946" w14:paraId="2F8AC670" w14:textId="77777777" w:rsidTr="008F24E1">
        <w:trPr>
          <w:trHeight w:val="170"/>
        </w:trPr>
        <w:tc>
          <w:tcPr>
            <w:tcW w:w="3828" w:type="dxa"/>
            <w:vAlign w:val="center"/>
          </w:tcPr>
          <w:p w14:paraId="52032C90" w14:textId="77777777" w:rsidR="00724837" w:rsidRPr="00A61946" w:rsidRDefault="00724837" w:rsidP="008F24E1">
            <w:pPr>
              <w:autoSpaceDE w:val="0"/>
              <w:autoSpaceDN w:val="0"/>
              <w:spacing w:before="60" w:line="276" w:lineRule="auto"/>
              <w:ind w:left="114"/>
              <w:jc w:val="left"/>
              <w:rPr>
                <w:rFonts w:ascii="Times New Roman" w:hAnsi="Times New Roman"/>
                <w:lang w:val="en-AU" w:eastAsia="en-AU"/>
              </w:rPr>
            </w:pPr>
            <w:r w:rsidRPr="00A61946">
              <w:rPr>
                <w:rFonts w:ascii="Times New Roman" w:hAnsi="Times New Roman"/>
                <w:lang w:val="en-AU" w:eastAsia="en-AU"/>
              </w:rPr>
              <w:t>Hazard ratio (95% CI)</w:t>
            </w:r>
          </w:p>
        </w:tc>
        <w:tc>
          <w:tcPr>
            <w:tcW w:w="1417" w:type="dxa"/>
            <w:vAlign w:val="center"/>
          </w:tcPr>
          <w:p w14:paraId="5ED181D4" w14:textId="77777777" w:rsidR="00724837" w:rsidRPr="00A61946" w:rsidRDefault="00724837" w:rsidP="008F24E1">
            <w:pPr>
              <w:autoSpaceDE w:val="0"/>
              <w:autoSpaceDN w:val="0"/>
              <w:spacing w:before="60" w:line="276" w:lineRule="auto"/>
              <w:jc w:val="center"/>
              <w:rPr>
                <w:rFonts w:ascii="Times New Roman" w:hAnsi="Times New Roman"/>
                <w:lang w:val="en-AU" w:eastAsia="en-AU"/>
              </w:rPr>
            </w:pPr>
          </w:p>
        </w:tc>
        <w:tc>
          <w:tcPr>
            <w:tcW w:w="1843" w:type="dxa"/>
            <w:vAlign w:val="center"/>
          </w:tcPr>
          <w:p w14:paraId="266E82FA" w14:textId="77777777" w:rsidR="00724837" w:rsidRPr="00A61946" w:rsidRDefault="00724837" w:rsidP="008F24E1">
            <w:pPr>
              <w:autoSpaceDE w:val="0"/>
              <w:autoSpaceDN w:val="0"/>
              <w:spacing w:before="60" w:line="276" w:lineRule="auto"/>
              <w:jc w:val="center"/>
              <w:rPr>
                <w:rFonts w:ascii="Times New Roman" w:hAnsi="Times New Roman"/>
                <w:lang w:val="en-AU" w:eastAsia="en-AU"/>
              </w:rPr>
            </w:pPr>
            <w:r w:rsidRPr="00A61946">
              <w:rPr>
                <w:rFonts w:ascii="Times New Roman" w:hAnsi="Times New Roman"/>
                <w:lang w:val="en-AU" w:eastAsia="en-AU"/>
              </w:rPr>
              <w:t>0.44 *</w:t>
            </w:r>
            <w:r w:rsidRPr="00A61946">
              <w:rPr>
                <w:rFonts w:ascii="Times New Roman" w:hAnsi="Times New Roman"/>
                <w:lang w:val="en-AU" w:eastAsia="en-AU"/>
              </w:rPr>
              <w:br/>
              <w:t>(0.34, 0.58)</w:t>
            </w:r>
          </w:p>
        </w:tc>
        <w:tc>
          <w:tcPr>
            <w:tcW w:w="1843" w:type="dxa"/>
            <w:vAlign w:val="center"/>
          </w:tcPr>
          <w:p w14:paraId="78A365F1" w14:textId="77777777" w:rsidR="00724837" w:rsidRPr="00A61946" w:rsidRDefault="00724837" w:rsidP="008F24E1">
            <w:pPr>
              <w:autoSpaceDE w:val="0"/>
              <w:autoSpaceDN w:val="0"/>
              <w:spacing w:before="60" w:line="276" w:lineRule="auto"/>
              <w:jc w:val="center"/>
              <w:rPr>
                <w:rFonts w:ascii="Times New Roman" w:hAnsi="Times New Roman"/>
                <w:lang w:val="en-AU" w:eastAsia="en-AU"/>
              </w:rPr>
            </w:pPr>
            <w:r w:rsidRPr="00A61946">
              <w:rPr>
                <w:rFonts w:ascii="Times New Roman" w:hAnsi="Times New Roman"/>
                <w:lang w:val="en-AU" w:eastAsia="en-AU"/>
              </w:rPr>
              <w:t>0.46 *</w:t>
            </w:r>
            <w:r w:rsidRPr="00A61946">
              <w:rPr>
                <w:rFonts w:ascii="Times New Roman" w:hAnsi="Times New Roman"/>
                <w:lang w:val="en-AU" w:eastAsia="en-AU"/>
              </w:rPr>
              <w:br/>
              <w:t>(0.36, 0.60)</w:t>
            </w:r>
          </w:p>
        </w:tc>
      </w:tr>
      <w:tr w:rsidR="00724837" w:rsidRPr="00A61946" w14:paraId="5116EAD9" w14:textId="77777777" w:rsidTr="008F24E1">
        <w:trPr>
          <w:trHeight w:val="170"/>
        </w:trPr>
        <w:tc>
          <w:tcPr>
            <w:tcW w:w="3828" w:type="dxa"/>
            <w:vAlign w:val="center"/>
          </w:tcPr>
          <w:p w14:paraId="79EB8223" w14:textId="77777777" w:rsidR="00724837" w:rsidRPr="00A61946" w:rsidRDefault="00724837" w:rsidP="008F24E1">
            <w:pPr>
              <w:autoSpaceDE w:val="0"/>
              <w:autoSpaceDN w:val="0"/>
              <w:spacing w:before="60" w:line="276" w:lineRule="auto"/>
              <w:jc w:val="left"/>
              <w:rPr>
                <w:rFonts w:ascii="Times New Roman" w:hAnsi="Times New Roman"/>
                <w:lang w:val="en-AU" w:eastAsia="en-AU"/>
              </w:rPr>
            </w:pPr>
            <w:r w:rsidRPr="00A61946">
              <w:rPr>
                <w:rFonts w:ascii="Times New Roman" w:hAnsi="Times New Roman"/>
                <w:lang w:val="en-AU" w:eastAsia="en-AU"/>
              </w:rPr>
              <w:t>Proportion of patients sustained disability-free over 96 weeks</w:t>
            </w:r>
          </w:p>
        </w:tc>
        <w:tc>
          <w:tcPr>
            <w:tcW w:w="1417" w:type="dxa"/>
            <w:vAlign w:val="center"/>
          </w:tcPr>
          <w:p w14:paraId="5AEC758B" w14:textId="77777777" w:rsidR="00724837" w:rsidRPr="00A61946" w:rsidRDefault="00724837" w:rsidP="008F24E1">
            <w:pPr>
              <w:autoSpaceDE w:val="0"/>
              <w:autoSpaceDN w:val="0"/>
              <w:spacing w:before="60" w:line="276" w:lineRule="auto"/>
              <w:jc w:val="center"/>
              <w:rPr>
                <w:rFonts w:ascii="Times New Roman" w:hAnsi="Times New Roman"/>
                <w:lang w:val="en-AU" w:eastAsia="en-AU"/>
              </w:rPr>
            </w:pPr>
            <w:r w:rsidRPr="00A61946">
              <w:rPr>
                <w:rFonts w:ascii="Times New Roman" w:hAnsi="Times New Roman"/>
                <w:lang w:val="en-AU" w:eastAsia="en-AU"/>
              </w:rPr>
              <w:t>79.4%</w:t>
            </w:r>
          </w:p>
        </w:tc>
        <w:tc>
          <w:tcPr>
            <w:tcW w:w="1843" w:type="dxa"/>
            <w:vAlign w:val="center"/>
          </w:tcPr>
          <w:p w14:paraId="3C664703" w14:textId="77777777" w:rsidR="00724837" w:rsidRPr="00A61946" w:rsidRDefault="00724837" w:rsidP="008F24E1">
            <w:pPr>
              <w:autoSpaceDE w:val="0"/>
              <w:autoSpaceDN w:val="0"/>
              <w:spacing w:before="60" w:line="276" w:lineRule="auto"/>
              <w:jc w:val="center"/>
              <w:rPr>
                <w:rFonts w:ascii="Times New Roman" w:hAnsi="Times New Roman"/>
                <w:lang w:val="en-AU" w:eastAsia="en-AU"/>
              </w:rPr>
            </w:pPr>
            <w:r w:rsidRPr="00A61946">
              <w:rPr>
                <w:rFonts w:ascii="Times New Roman" w:hAnsi="Times New Roman"/>
                <w:lang w:val="en-AU" w:eastAsia="en-AU"/>
              </w:rPr>
              <w:t>85.7%</w:t>
            </w:r>
          </w:p>
        </w:tc>
        <w:tc>
          <w:tcPr>
            <w:tcW w:w="1843" w:type="dxa"/>
            <w:vAlign w:val="center"/>
          </w:tcPr>
          <w:p w14:paraId="3ABF1F0C" w14:textId="77777777" w:rsidR="00724837" w:rsidRPr="00A61946" w:rsidRDefault="00724837" w:rsidP="008F24E1">
            <w:pPr>
              <w:autoSpaceDE w:val="0"/>
              <w:autoSpaceDN w:val="0"/>
              <w:spacing w:before="60" w:line="276" w:lineRule="auto"/>
              <w:jc w:val="center"/>
              <w:rPr>
                <w:rFonts w:ascii="Times New Roman" w:hAnsi="Times New Roman"/>
                <w:lang w:val="en-AU" w:eastAsia="en-AU"/>
              </w:rPr>
            </w:pPr>
            <w:r w:rsidRPr="00A61946">
              <w:rPr>
                <w:rFonts w:ascii="Times New Roman" w:hAnsi="Times New Roman"/>
                <w:lang w:val="en-AU" w:eastAsia="en-AU"/>
              </w:rPr>
              <w:t>84.9%</w:t>
            </w:r>
          </w:p>
        </w:tc>
      </w:tr>
      <w:tr w:rsidR="00724837" w:rsidRPr="00A61946" w14:paraId="5D8D770D" w14:textId="77777777" w:rsidTr="008F24E1">
        <w:trPr>
          <w:trHeight w:val="170"/>
        </w:trPr>
        <w:tc>
          <w:tcPr>
            <w:tcW w:w="3828" w:type="dxa"/>
            <w:vAlign w:val="center"/>
          </w:tcPr>
          <w:p w14:paraId="773C585A" w14:textId="77777777" w:rsidR="00724837" w:rsidRPr="00A61946" w:rsidRDefault="00724837" w:rsidP="008F24E1">
            <w:pPr>
              <w:autoSpaceDE w:val="0"/>
              <w:autoSpaceDN w:val="0"/>
              <w:spacing w:before="60" w:line="276" w:lineRule="auto"/>
              <w:ind w:left="114"/>
              <w:jc w:val="left"/>
              <w:rPr>
                <w:rFonts w:ascii="Times New Roman" w:hAnsi="Times New Roman"/>
                <w:lang w:val="en-AU" w:eastAsia="en-AU"/>
              </w:rPr>
            </w:pPr>
            <w:r w:rsidRPr="00A61946">
              <w:rPr>
                <w:rFonts w:ascii="Times New Roman" w:hAnsi="Times New Roman"/>
                <w:lang w:val="en-AU" w:eastAsia="en-AU"/>
              </w:rPr>
              <w:t>Odds ratio (95% CI)</w:t>
            </w:r>
          </w:p>
        </w:tc>
        <w:tc>
          <w:tcPr>
            <w:tcW w:w="1417" w:type="dxa"/>
            <w:vAlign w:val="center"/>
          </w:tcPr>
          <w:p w14:paraId="61166682" w14:textId="77777777" w:rsidR="00724837" w:rsidRPr="00A61946" w:rsidRDefault="00724837" w:rsidP="008F24E1">
            <w:pPr>
              <w:autoSpaceDE w:val="0"/>
              <w:autoSpaceDN w:val="0"/>
              <w:spacing w:before="60" w:line="276" w:lineRule="auto"/>
              <w:jc w:val="center"/>
              <w:rPr>
                <w:rFonts w:ascii="Times New Roman" w:hAnsi="Times New Roman"/>
                <w:lang w:val="en-AU" w:eastAsia="en-AU"/>
              </w:rPr>
            </w:pPr>
          </w:p>
        </w:tc>
        <w:tc>
          <w:tcPr>
            <w:tcW w:w="1843" w:type="dxa"/>
            <w:vAlign w:val="center"/>
          </w:tcPr>
          <w:p w14:paraId="33678622" w14:textId="77777777" w:rsidR="00724837" w:rsidRPr="00A61946" w:rsidRDefault="00724837" w:rsidP="008F24E1">
            <w:pPr>
              <w:autoSpaceDE w:val="0"/>
              <w:autoSpaceDN w:val="0"/>
              <w:spacing w:before="60" w:line="276" w:lineRule="auto"/>
              <w:jc w:val="center"/>
              <w:rPr>
                <w:rFonts w:ascii="Times New Roman" w:hAnsi="Times New Roman"/>
                <w:lang w:val="en-AU" w:eastAsia="en-AU"/>
              </w:rPr>
            </w:pPr>
            <w:r w:rsidRPr="00A61946">
              <w:rPr>
                <w:rFonts w:ascii="Times New Roman" w:hAnsi="Times New Roman"/>
                <w:lang w:val="en-AU" w:eastAsia="en-AU"/>
              </w:rPr>
              <w:t>1.55 **</w:t>
            </w:r>
            <w:r w:rsidRPr="00A61946">
              <w:rPr>
                <w:rFonts w:ascii="Times New Roman" w:hAnsi="Times New Roman"/>
                <w:lang w:val="en-AU" w:eastAsia="en-AU"/>
              </w:rPr>
              <w:br/>
              <w:t>(1.09, 2.22)</w:t>
            </w:r>
          </w:p>
        </w:tc>
        <w:tc>
          <w:tcPr>
            <w:tcW w:w="1843" w:type="dxa"/>
            <w:vAlign w:val="center"/>
          </w:tcPr>
          <w:p w14:paraId="25919853" w14:textId="77777777" w:rsidR="00724837" w:rsidRPr="00A61946" w:rsidRDefault="00724837" w:rsidP="008F24E1">
            <w:pPr>
              <w:autoSpaceDE w:val="0"/>
              <w:autoSpaceDN w:val="0"/>
              <w:spacing w:before="60" w:line="276" w:lineRule="auto"/>
              <w:jc w:val="center"/>
              <w:rPr>
                <w:rFonts w:ascii="Times New Roman" w:hAnsi="Times New Roman"/>
                <w:lang w:val="en-AU" w:eastAsia="en-AU"/>
              </w:rPr>
            </w:pPr>
            <w:r w:rsidRPr="00A61946">
              <w:rPr>
                <w:rFonts w:ascii="Times New Roman" w:hAnsi="Times New Roman"/>
                <w:lang w:val="en-AU" w:eastAsia="en-AU"/>
              </w:rPr>
              <w:t>1.46 **</w:t>
            </w:r>
            <w:r w:rsidRPr="00A61946">
              <w:rPr>
                <w:rFonts w:ascii="Times New Roman" w:hAnsi="Times New Roman"/>
                <w:lang w:val="en-AU" w:eastAsia="en-AU"/>
              </w:rPr>
              <w:br/>
              <w:t>(1.03, 2.07)</w:t>
            </w:r>
          </w:p>
        </w:tc>
      </w:tr>
      <w:tr w:rsidR="00724837" w:rsidRPr="00A61946" w14:paraId="7325ACCF" w14:textId="77777777" w:rsidTr="008F24E1">
        <w:trPr>
          <w:trHeight w:val="170"/>
        </w:trPr>
        <w:tc>
          <w:tcPr>
            <w:tcW w:w="3828" w:type="dxa"/>
            <w:tcBorders>
              <w:bottom w:val="single" w:sz="4" w:space="0" w:color="000000"/>
            </w:tcBorders>
            <w:vAlign w:val="center"/>
          </w:tcPr>
          <w:p w14:paraId="171D11D4" w14:textId="77777777" w:rsidR="00724837" w:rsidRPr="00A61946" w:rsidRDefault="00724837" w:rsidP="008F24E1">
            <w:pPr>
              <w:autoSpaceDE w:val="0"/>
              <w:autoSpaceDN w:val="0"/>
              <w:spacing w:before="60" w:line="276" w:lineRule="auto"/>
              <w:jc w:val="left"/>
              <w:rPr>
                <w:rFonts w:ascii="Times New Roman" w:hAnsi="Times New Roman"/>
                <w:lang w:val="en-AU" w:eastAsia="en-AU"/>
              </w:rPr>
            </w:pPr>
            <w:r w:rsidRPr="00A61946">
              <w:rPr>
                <w:rFonts w:ascii="Times New Roman" w:hAnsi="Times New Roman"/>
                <w:lang w:val="en-AU" w:eastAsia="en-AU"/>
              </w:rPr>
              <w:t>Time to 3-month EDSS progression hazard ratio (95% CI)</w:t>
            </w:r>
          </w:p>
        </w:tc>
        <w:tc>
          <w:tcPr>
            <w:tcW w:w="1417" w:type="dxa"/>
            <w:tcBorders>
              <w:bottom w:val="single" w:sz="4" w:space="0" w:color="000000"/>
            </w:tcBorders>
            <w:vAlign w:val="center"/>
          </w:tcPr>
          <w:p w14:paraId="5141BF44" w14:textId="77777777" w:rsidR="00724837" w:rsidRPr="00A61946" w:rsidRDefault="00724837" w:rsidP="008F24E1">
            <w:pPr>
              <w:autoSpaceDE w:val="0"/>
              <w:autoSpaceDN w:val="0"/>
              <w:spacing w:before="60" w:line="276" w:lineRule="auto"/>
              <w:jc w:val="center"/>
              <w:rPr>
                <w:rFonts w:ascii="Times New Roman" w:hAnsi="Times New Roman"/>
                <w:lang w:val="en-AU" w:eastAsia="en-AU"/>
              </w:rPr>
            </w:pPr>
          </w:p>
        </w:tc>
        <w:tc>
          <w:tcPr>
            <w:tcW w:w="1843" w:type="dxa"/>
            <w:tcBorders>
              <w:bottom w:val="single" w:sz="4" w:space="0" w:color="000000"/>
            </w:tcBorders>
            <w:vAlign w:val="center"/>
          </w:tcPr>
          <w:p w14:paraId="625377F5" w14:textId="77777777" w:rsidR="00724837" w:rsidRPr="00A61946" w:rsidRDefault="00724837" w:rsidP="008F24E1">
            <w:pPr>
              <w:autoSpaceDE w:val="0"/>
              <w:autoSpaceDN w:val="0"/>
              <w:spacing w:before="60" w:line="276" w:lineRule="auto"/>
              <w:jc w:val="center"/>
              <w:rPr>
                <w:rFonts w:ascii="Times New Roman" w:hAnsi="Times New Roman"/>
                <w:lang w:val="en-AU" w:eastAsia="en-AU"/>
              </w:rPr>
            </w:pPr>
            <w:r w:rsidRPr="00A61946">
              <w:rPr>
                <w:rFonts w:ascii="Times New Roman" w:hAnsi="Times New Roman"/>
                <w:lang w:val="en-AU" w:eastAsia="en-AU"/>
              </w:rPr>
              <w:t>0.67 *</w:t>
            </w:r>
            <w:r w:rsidRPr="00A61946">
              <w:rPr>
                <w:rFonts w:ascii="Times New Roman" w:hAnsi="Times New Roman"/>
                <w:lang w:val="en-AU" w:eastAsia="en-AU"/>
              </w:rPr>
              <w:br/>
              <w:t>(0.48, 0.93)</w:t>
            </w:r>
          </w:p>
        </w:tc>
        <w:tc>
          <w:tcPr>
            <w:tcW w:w="1843" w:type="dxa"/>
            <w:tcBorders>
              <w:bottom w:val="single" w:sz="4" w:space="0" w:color="000000"/>
            </w:tcBorders>
            <w:vAlign w:val="center"/>
          </w:tcPr>
          <w:p w14:paraId="372DCD31" w14:textId="77777777" w:rsidR="00724837" w:rsidRPr="00A61946" w:rsidRDefault="00724837" w:rsidP="008F24E1">
            <w:pPr>
              <w:autoSpaceDE w:val="0"/>
              <w:autoSpaceDN w:val="0"/>
              <w:spacing w:before="60" w:line="276" w:lineRule="auto"/>
              <w:jc w:val="center"/>
              <w:rPr>
                <w:rFonts w:ascii="Times New Roman" w:hAnsi="Times New Roman"/>
                <w:lang w:val="en-AU" w:eastAsia="en-AU"/>
              </w:rPr>
            </w:pPr>
            <w:r w:rsidRPr="00A61946">
              <w:rPr>
                <w:rFonts w:ascii="Times New Roman" w:hAnsi="Times New Roman"/>
                <w:lang w:val="en-AU" w:eastAsia="en-AU"/>
              </w:rPr>
              <w:t>0.69 *</w:t>
            </w:r>
            <w:r w:rsidRPr="00A61946">
              <w:rPr>
                <w:rFonts w:ascii="Times New Roman" w:hAnsi="Times New Roman"/>
                <w:lang w:val="en-AU" w:eastAsia="en-AU"/>
              </w:rPr>
              <w:br/>
              <w:t>(0.49, 0.96)</w:t>
            </w:r>
          </w:p>
        </w:tc>
      </w:tr>
      <w:tr w:rsidR="00724837" w:rsidRPr="00A61946" w14:paraId="380DA68E" w14:textId="77777777" w:rsidTr="008F24E1">
        <w:trPr>
          <w:trHeight w:val="170"/>
        </w:trPr>
        <w:tc>
          <w:tcPr>
            <w:tcW w:w="8931" w:type="dxa"/>
            <w:gridSpan w:val="4"/>
            <w:tcBorders>
              <w:left w:val="nil"/>
              <w:bottom w:val="nil"/>
              <w:right w:val="nil"/>
            </w:tcBorders>
            <w:vAlign w:val="center"/>
          </w:tcPr>
          <w:p w14:paraId="07638381" w14:textId="77777777" w:rsidR="00724837" w:rsidRPr="00A61946" w:rsidRDefault="00724837" w:rsidP="008F24E1">
            <w:pPr>
              <w:tabs>
                <w:tab w:val="left" w:pos="284"/>
              </w:tabs>
              <w:autoSpaceDE w:val="0"/>
              <w:autoSpaceDN w:val="0"/>
              <w:spacing w:before="60" w:line="276" w:lineRule="auto"/>
              <w:rPr>
                <w:rFonts w:ascii="Times New Roman" w:hAnsi="Times New Roman"/>
                <w:lang w:val="en-AU" w:eastAsia="en-AU"/>
              </w:rPr>
            </w:pPr>
            <w:r w:rsidRPr="00A61946">
              <w:rPr>
                <w:rFonts w:ascii="Times New Roman" w:hAnsi="Times New Roman"/>
                <w:lang w:val="en-AU" w:eastAsia="en-AU"/>
              </w:rPr>
              <w:t>*</w:t>
            </w:r>
            <w:r w:rsidRPr="00A61946">
              <w:rPr>
                <w:rFonts w:ascii="Times New Roman" w:hAnsi="Times New Roman"/>
                <w:lang w:val="en-AU" w:eastAsia="en-AU"/>
              </w:rPr>
              <w:tab/>
              <w:t>p &lt; 0.001 compared to placebo</w:t>
            </w:r>
          </w:p>
          <w:p w14:paraId="0FB89A8C" w14:textId="77777777" w:rsidR="00724837" w:rsidRPr="00A61946" w:rsidRDefault="00724837" w:rsidP="008F24E1">
            <w:pPr>
              <w:tabs>
                <w:tab w:val="left" w:pos="284"/>
              </w:tabs>
              <w:autoSpaceDE w:val="0"/>
              <w:autoSpaceDN w:val="0"/>
              <w:spacing w:before="60" w:line="276" w:lineRule="auto"/>
              <w:rPr>
                <w:rFonts w:ascii="Times New Roman" w:hAnsi="Times New Roman"/>
                <w:lang w:val="en-AU" w:eastAsia="en-AU"/>
              </w:rPr>
            </w:pPr>
            <w:r w:rsidRPr="00A61946">
              <w:rPr>
                <w:rFonts w:ascii="Times New Roman" w:hAnsi="Times New Roman"/>
                <w:lang w:val="en-AU" w:eastAsia="en-AU"/>
              </w:rPr>
              <w:t>**</w:t>
            </w:r>
            <w:r w:rsidRPr="00A61946">
              <w:rPr>
                <w:rFonts w:ascii="Times New Roman" w:hAnsi="Times New Roman"/>
                <w:lang w:val="en-AU" w:eastAsia="en-AU"/>
              </w:rPr>
              <w:tab/>
              <w:t>p &lt; 0.05 compared to placebo</w:t>
            </w:r>
          </w:p>
        </w:tc>
      </w:tr>
    </w:tbl>
    <w:p w14:paraId="7EBB6A2D" w14:textId="77777777" w:rsidR="00724837" w:rsidRPr="00A61946" w:rsidDel="00C17186" w:rsidRDefault="00724837" w:rsidP="008F24E1">
      <w:pPr>
        <w:autoSpaceDE w:val="0"/>
        <w:autoSpaceDN w:val="0"/>
        <w:spacing w:before="180" w:line="276" w:lineRule="auto"/>
        <w:rPr>
          <w:rFonts w:ascii="Times New Roman" w:hAnsi="Times New Roman"/>
          <w:sz w:val="24"/>
          <w:szCs w:val="24"/>
          <w:highlight w:val="yellow"/>
          <w:lang w:val="en-AU"/>
        </w:rPr>
      </w:pPr>
      <w:r w:rsidRPr="00A61946">
        <w:rPr>
          <w:rFonts w:ascii="Times New Roman" w:hAnsi="Times New Roman"/>
          <w:sz w:val="24"/>
          <w:szCs w:val="24"/>
          <w:lang w:val="en-AU"/>
        </w:rPr>
        <w:t xml:space="preserve">Time to sustained disability progression was defined as the time to worsening in EDSS score of </w:t>
      </w:r>
      <w:r w:rsidRPr="00A61946">
        <w:rPr>
          <w:noProof/>
          <w:sz w:val="24"/>
          <w:szCs w:val="24"/>
        </w:rPr>
        <w:sym w:font="Symbol" w:char="F0B3"/>
      </w:r>
      <w:r w:rsidRPr="00A61946">
        <w:rPr>
          <w:rFonts w:ascii="Times New Roman" w:hAnsi="Times New Roman"/>
          <w:sz w:val="24"/>
          <w:szCs w:val="24"/>
          <w:lang w:val="en-AU"/>
        </w:rPr>
        <w:t xml:space="preserve"> 1 unit if baseline EDSS was 0.5 to 4.5, or </w:t>
      </w:r>
      <w:r w:rsidRPr="00A61946">
        <w:rPr>
          <w:noProof/>
          <w:sz w:val="24"/>
          <w:szCs w:val="24"/>
        </w:rPr>
        <w:sym w:font="Symbol" w:char="F0B3"/>
      </w:r>
      <w:r w:rsidRPr="00A61946">
        <w:rPr>
          <w:rFonts w:ascii="Times New Roman" w:hAnsi="Times New Roman"/>
          <w:sz w:val="24"/>
          <w:szCs w:val="24"/>
          <w:lang w:val="en-AU"/>
        </w:rPr>
        <w:t xml:space="preserve"> 1.5 units if baseline EDSS was 0, or </w:t>
      </w:r>
      <w:r w:rsidRPr="00A61946">
        <w:rPr>
          <w:noProof/>
          <w:sz w:val="24"/>
          <w:szCs w:val="24"/>
        </w:rPr>
        <w:sym w:font="Symbol" w:char="F0B3"/>
      </w:r>
      <w:r w:rsidRPr="00A61946">
        <w:rPr>
          <w:rFonts w:ascii="Times New Roman" w:hAnsi="Times New Roman"/>
          <w:sz w:val="24"/>
          <w:szCs w:val="24"/>
          <w:lang w:val="en-AU"/>
        </w:rPr>
        <w:t xml:space="preserve"> 0.5 unit if EDSS was </w:t>
      </w:r>
      <w:r w:rsidRPr="00A61946">
        <w:rPr>
          <w:noProof/>
          <w:sz w:val="24"/>
          <w:szCs w:val="24"/>
        </w:rPr>
        <w:sym w:font="Symbol" w:char="F0B3"/>
      </w:r>
      <w:r w:rsidRPr="00A61946">
        <w:rPr>
          <w:rFonts w:ascii="Times New Roman" w:hAnsi="Times New Roman"/>
          <w:sz w:val="24"/>
          <w:szCs w:val="24"/>
          <w:lang w:val="en-AU"/>
        </w:rPr>
        <w:t> 5, and persistent for at least 12 weeks.  Treatment with MAVENCLAD 3.5 mg/kg and 5.25 mg/kg resulted in a prolongation in time to sustained disability progression of 12 weeks (10</w:t>
      </w:r>
      <w:r w:rsidRPr="00A61946">
        <w:rPr>
          <w:rFonts w:ascii="Times New Roman" w:hAnsi="Times New Roman"/>
          <w:sz w:val="24"/>
          <w:szCs w:val="24"/>
          <w:vertAlign w:val="superscript"/>
          <w:lang w:val="en-AU"/>
        </w:rPr>
        <w:t>th</w:t>
      </w:r>
      <w:r w:rsidRPr="00A61946">
        <w:rPr>
          <w:rFonts w:ascii="Times New Roman" w:hAnsi="Times New Roman"/>
          <w:sz w:val="24"/>
          <w:szCs w:val="24"/>
          <w:lang w:val="en-AU"/>
        </w:rPr>
        <w:t> percentile, both treatment groups) compared with placebo (Figure 1).</w:t>
      </w:r>
    </w:p>
    <w:p w14:paraId="76E54352"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The 3.5 mg/kg and 5.25 mg/kg treatment groups had a 33% and a 31% relative reduction in risk of developing disability progression over the 96</w:t>
      </w:r>
      <w:r w:rsidRPr="00A61946">
        <w:rPr>
          <w:rFonts w:ascii="Times New Roman" w:hAnsi="Times New Roman"/>
          <w:sz w:val="24"/>
          <w:szCs w:val="24"/>
          <w:lang w:val="en-AU"/>
        </w:rPr>
        <w:noBreakHyphen/>
        <w:t>week trial period, respectively, compared with the placebo group (hazard ratio = 0.67, 95% CI [0.48, 0.93], p = 0.018; hazard ratio 0.69, 95% CI [0.49, 0.96], p = 0.026, respectively).  The proportion of patients progressing to sustained disability was 20.6% in the placebo group, 14.3% in the 3.5 mg/kg treatment group and 15.1% in the 5.25 mg/kg treatment group.</w:t>
      </w:r>
    </w:p>
    <w:p w14:paraId="54548E1C" w14:textId="77777777" w:rsidR="00724837" w:rsidRPr="00A61946" w:rsidRDefault="00724837" w:rsidP="008F24E1">
      <w:pPr>
        <w:pStyle w:val="Caption"/>
        <w:keepNext/>
        <w:spacing w:before="180" w:line="276" w:lineRule="auto"/>
        <w:rPr>
          <w:rFonts w:ascii="Times New Roman" w:hAnsi="Times New Roman"/>
          <w:sz w:val="22"/>
          <w:szCs w:val="22"/>
        </w:rPr>
      </w:pPr>
      <w:r w:rsidRPr="00A61946">
        <w:rPr>
          <w:rFonts w:ascii="Times New Roman" w:hAnsi="Times New Roman"/>
          <w:sz w:val="22"/>
          <w:szCs w:val="22"/>
        </w:rPr>
        <w:lastRenderedPageBreak/>
        <w:t xml:space="preserve">Figure </w:t>
      </w:r>
      <w:r w:rsidRPr="00A61946">
        <w:rPr>
          <w:rFonts w:ascii="Times New Roman" w:hAnsi="Times New Roman"/>
          <w:b w:val="0"/>
        </w:rPr>
        <w:fldChar w:fldCharType="begin"/>
      </w:r>
      <w:r w:rsidRPr="00A61946">
        <w:rPr>
          <w:rFonts w:ascii="Times New Roman" w:hAnsi="Times New Roman"/>
          <w:sz w:val="22"/>
          <w:szCs w:val="22"/>
        </w:rPr>
        <w:instrText xml:space="preserve"> SEQ Figure \* ARABIC </w:instrText>
      </w:r>
      <w:r w:rsidRPr="00A61946">
        <w:rPr>
          <w:rFonts w:ascii="Times New Roman" w:hAnsi="Times New Roman"/>
          <w:b w:val="0"/>
        </w:rPr>
        <w:fldChar w:fldCharType="separate"/>
      </w:r>
      <w:r w:rsidRPr="00A61946">
        <w:rPr>
          <w:rFonts w:ascii="Times New Roman" w:hAnsi="Times New Roman"/>
          <w:noProof/>
          <w:sz w:val="22"/>
          <w:szCs w:val="22"/>
        </w:rPr>
        <w:t>1</w:t>
      </w:r>
      <w:r w:rsidRPr="00A61946">
        <w:rPr>
          <w:rFonts w:ascii="Times New Roman" w:hAnsi="Times New Roman"/>
          <w:b w:val="0"/>
        </w:rPr>
        <w:fldChar w:fldCharType="end"/>
      </w:r>
      <w:r w:rsidRPr="00A61946">
        <w:rPr>
          <w:rFonts w:ascii="Times New Roman" w:hAnsi="Times New Roman"/>
          <w:sz w:val="22"/>
          <w:szCs w:val="22"/>
        </w:rPr>
        <w:t>:  Proportion of Patients with Sustained Disability Progression*</w:t>
      </w:r>
    </w:p>
    <w:p w14:paraId="4ADCA29C" w14:textId="77777777" w:rsidR="00724837" w:rsidRPr="00A61946" w:rsidRDefault="00724837" w:rsidP="008F24E1">
      <w:pPr>
        <w:tabs>
          <w:tab w:val="left" w:pos="284"/>
        </w:tabs>
        <w:autoSpaceDE w:val="0"/>
        <w:autoSpaceDN w:val="0"/>
        <w:spacing w:before="180" w:line="276" w:lineRule="auto"/>
        <w:rPr>
          <w:rFonts w:ascii="Times New Roman" w:hAnsi="Times New Roman"/>
          <w:lang w:val="en-AU" w:eastAsia="en-AU"/>
        </w:rPr>
      </w:pPr>
      <w:r w:rsidRPr="00A61946">
        <w:rPr>
          <w:rFonts w:ascii="Times New Roman" w:hAnsi="Times New Roman"/>
          <w:noProof/>
          <w:lang w:val="en-AU" w:eastAsia="en-AU"/>
        </w:rPr>
        <w:drawing>
          <wp:inline distT="0" distB="0" distL="0" distR="0" wp14:anchorId="1D0D368A" wp14:editId="1EF200CF">
            <wp:extent cx="4702176" cy="2567586"/>
            <wp:effectExtent l="0" t="0" r="317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729981" cy="2582769"/>
                    </a:xfrm>
                    <a:prstGeom prst="rect">
                      <a:avLst/>
                    </a:prstGeom>
                    <a:noFill/>
                    <a:ln w="9525">
                      <a:noFill/>
                      <a:miter lim="800000"/>
                      <a:headEnd/>
                      <a:tailEnd/>
                    </a:ln>
                  </pic:spPr>
                </pic:pic>
              </a:graphicData>
            </a:graphic>
          </wp:inline>
        </w:drawing>
      </w:r>
    </w:p>
    <w:p w14:paraId="0D571DBB" w14:textId="77777777" w:rsidR="00724837" w:rsidRPr="00A61946" w:rsidRDefault="00724837" w:rsidP="008F24E1">
      <w:pPr>
        <w:tabs>
          <w:tab w:val="left" w:pos="240"/>
        </w:tabs>
        <w:autoSpaceDE w:val="0"/>
        <w:autoSpaceDN w:val="0"/>
        <w:spacing w:before="120" w:line="276" w:lineRule="auto"/>
        <w:rPr>
          <w:rFonts w:ascii="Times New Roman" w:hAnsi="Times New Roman"/>
          <w:lang w:val="en-AU" w:eastAsia="en-AU"/>
        </w:rPr>
      </w:pPr>
      <w:r w:rsidRPr="00A61946">
        <w:rPr>
          <w:rFonts w:ascii="Times New Roman" w:hAnsi="Times New Roman"/>
          <w:lang w:val="en-AU" w:eastAsia="en-AU"/>
        </w:rPr>
        <w:t>*</w:t>
      </w:r>
      <w:r w:rsidRPr="00A61946">
        <w:rPr>
          <w:rFonts w:ascii="Times New Roman" w:hAnsi="Times New Roman"/>
          <w:lang w:val="en-AU" w:eastAsia="en-AU"/>
        </w:rPr>
        <w:tab/>
        <w:t>The hazard ratio, 95% CI and p-values were estimated using Cox proportional hazards model with fixed effects for treatment group and region.</w:t>
      </w:r>
    </w:p>
    <w:p w14:paraId="621C475A"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In addition, both MAVENCLAD treatment groups were statistically significantly superior to placebo with regard to number and relative reduction of T1 Gd+ enhancing lesions, active T2 lesions and combined unique lesions as demonstrated on brain magnetic resonance imaging (MRI) over the entire 96 weeks of the trial.  Patients in the MAVENCLAD 3.5 mg/kg and the 5.25 mg/kg treatment groups compared to the placebo treatment group had 86% and 88% relative reductions in the mean number of T1 GD+ lesions, 73% and 77% relative reductions in the mean number of active T2 lesions, and 74% and 78% relative reductions, in the mean number of combined unique lesions per patient per scan (p &lt; 0.001 for both groups across all 3 MRI outcomes).</w:t>
      </w:r>
    </w:p>
    <w:p w14:paraId="71EA3F47" w14:textId="77777777" w:rsidR="00724837" w:rsidRDefault="00724837" w:rsidP="008F24E1">
      <w:pPr>
        <w:autoSpaceDE w:val="0"/>
        <w:autoSpaceDN w:val="0"/>
        <w:spacing w:before="180" w:line="276" w:lineRule="auto"/>
        <w:rPr>
          <w:rFonts w:ascii="Times New Roman" w:hAnsi="Times New Roman"/>
          <w:sz w:val="24"/>
          <w:szCs w:val="24"/>
        </w:rPr>
      </w:pPr>
      <w:r w:rsidRPr="00A61946">
        <w:rPr>
          <w:rFonts w:ascii="Times New Roman" w:hAnsi="Times New Roman"/>
          <w:sz w:val="24"/>
          <w:szCs w:val="24"/>
        </w:rPr>
        <w:t>As shown in Table 1 above, a higher cumulative dose did not add any clinically meaningful benefit, but was associated with a higher incidence in ≥ grade 3 lymphopenia (44.9% in the 5.25 mg/kg group vs. 25.6% in the 3.5 mg/kg group).</w:t>
      </w:r>
    </w:p>
    <w:p w14:paraId="428A8319" w14:textId="77777777" w:rsidR="00724837" w:rsidRPr="00A61946" w:rsidRDefault="00724837" w:rsidP="008F24E1">
      <w:pPr>
        <w:autoSpaceDE w:val="0"/>
        <w:autoSpaceDN w:val="0"/>
        <w:spacing w:before="180" w:line="276" w:lineRule="auto"/>
        <w:rPr>
          <w:rFonts w:ascii="Times New Roman" w:hAnsi="Times New Roman"/>
          <w:sz w:val="24"/>
          <w:szCs w:val="24"/>
          <w:lang w:val="en-AU" w:eastAsia="en-AU"/>
        </w:rPr>
      </w:pPr>
      <w:r w:rsidRPr="009B291E">
        <w:rPr>
          <w:rFonts w:ascii="Times New Roman" w:hAnsi="Times New Roman"/>
          <w:sz w:val="24"/>
          <w:szCs w:val="24"/>
          <w:lang w:val="en-AU" w:eastAsia="en-AU"/>
        </w:rPr>
        <w:t>Post hoc analysis showed a greater relative reduction in risk of relapse over 2 years for patients with highly active disease prior to receiving cladribine than in the overall patient population (68% reduction compared with 58% overall). The relative risk of 3-month disability progression over 2 years was reduced to a greater extent in patients with more active disease at baseline (72% reduction compared with 33% overall).</w:t>
      </w:r>
    </w:p>
    <w:p w14:paraId="56D43D1B"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Subgroup analyses of region, gender, age and relapse history all showed positive treatment effects from both doses of MAVENCLAD with no large differences between subgroups.</w:t>
      </w:r>
    </w:p>
    <w:p w14:paraId="27392BA6" w14:textId="77777777" w:rsidR="00724837" w:rsidRPr="00A61946" w:rsidRDefault="00724837" w:rsidP="009A4818">
      <w:pPr>
        <w:spacing w:before="180" w:line="276" w:lineRule="auto"/>
        <w:rPr>
          <w:rFonts w:ascii="Times New Roman" w:hAnsi="Times New Roman"/>
          <w:sz w:val="24"/>
          <w:szCs w:val="24"/>
          <w:lang w:eastAsia="sv-SE"/>
        </w:rPr>
      </w:pPr>
      <w:r w:rsidRPr="00A61946">
        <w:rPr>
          <w:rFonts w:ascii="Times New Roman" w:hAnsi="Times New Roman"/>
          <w:sz w:val="24"/>
          <w:szCs w:val="24"/>
          <w:lang w:eastAsia="sv-SE"/>
        </w:rPr>
        <w:t>Patients who had completed the CLARITY study could be enrolled in CLARITY Extension</w:t>
      </w:r>
      <w:r>
        <w:rPr>
          <w:rFonts w:ascii="Times New Roman" w:hAnsi="Times New Roman"/>
          <w:sz w:val="24"/>
          <w:szCs w:val="24"/>
          <w:lang w:eastAsia="sv-SE"/>
        </w:rPr>
        <w:t xml:space="preserve"> (EXT) study</w:t>
      </w:r>
      <w:r w:rsidRPr="00A61946">
        <w:rPr>
          <w:rFonts w:ascii="Times New Roman" w:hAnsi="Times New Roman"/>
          <w:sz w:val="24"/>
          <w:szCs w:val="24"/>
          <w:lang w:eastAsia="sv-SE"/>
        </w:rPr>
        <w:t>. In this extension study, 806 patients received either placebo or a cumulative dose of cladribine 3.5 mg/kg (in a regimen similar to that used in CLARITY) over the 96-week study period.</w:t>
      </w:r>
    </w:p>
    <w:p w14:paraId="574C35ED" w14:textId="77777777" w:rsidR="00724837" w:rsidRDefault="00724837" w:rsidP="009A4818">
      <w:pPr>
        <w:spacing w:before="180" w:line="276" w:lineRule="auto"/>
        <w:rPr>
          <w:rFonts w:ascii="Times New Roman" w:hAnsi="Times New Roman"/>
          <w:sz w:val="24"/>
          <w:szCs w:val="24"/>
        </w:rPr>
      </w:pPr>
      <w:r w:rsidRPr="009A4818">
        <w:rPr>
          <w:rFonts w:ascii="Times New Roman" w:hAnsi="Times New Roman"/>
          <w:sz w:val="24"/>
          <w:szCs w:val="24"/>
        </w:rPr>
        <w:t xml:space="preserve">Of these, 98 patients treated for 2 years in CLARITY with MAVENCLAD 3.5 mg/kg were switched to placebo for 2 years in CLARITY </w:t>
      </w:r>
      <w:r>
        <w:rPr>
          <w:rFonts w:ascii="Times New Roman" w:hAnsi="Times New Roman"/>
          <w:sz w:val="24"/>
          <w:szCs w:val="24"/>
        </w:rPr>
        <w:t>EXT</w:t>
      </w:r>
      <w:r w:rsidRPr="009A4818">
        <w:rPr>
          <w:rFonts w:ascii="Times New Roman" w:hAnsi="Times New Roman"/>
          <w:sz w:val="24"/>
          <w:szCs w:val="24"/>
        </w:rPr>
        <w:t xml:space="preserve">. </w:t>
      </w:r>
      <w:r w:rsidRPr="00A61946">
        <w:rPr>
          <w:rFonts w:ascii="Times New Roman" w:hAnsi="Times New Roman"/>
          <w:sz w:val="24"/>
          <w:szCs w:val="24"/>
        </w:rPr>
        <w:t xml:space="preserve">The magnitude of the effect in reducing the frequency of relapses and slowing disability progression in patients receiving the 3.5 mg/kg dose </w:t>
      </w:r>
      <w:r>
        <w:rPr>
          <w:rFonts w:ascii="Times New Roman" w:hAnsi="Times New Roman"/>
          <w:sz w:val="24"/>
          <w:szCs w:val="24"/>
        </w:rPr>
        <w:t xml:space="preserve">in </w:t>
      </w:r>
      <w:r>
        <w:rPr>
          <w:rFonts w:ascii="Times New Roman" w:hAnsi="Times New Roman"/>
          <w:sz w:val="24"/>
          <w:szCs w:val="24"/>
        </w:rPr>
        <w:lastRenderedPageBreak/>
        <w:t>years 1 and 2</w:t>
      </w:r>
      <w:r w:rsidRPr="00A61946">
        <w:rPr>
          <w:rFonts w:ascii="Times New Roman" w:hAnsi="Times New Roman"/>
          <w:sz w:val="24"/>
          <w:szCs w:val="24"/>
        </w:rPr>
        <w:t xml:space="preserve"> was maintained </w:t>
      </w:r>
      <w:r>
        <w:rPr>
          <w:rFonts w:ascii="Times New Roman" w:hAnsi="Times New Roman"/>
          <w:sz w:val="24"/>
          <w:szCs w:val="24"/>
        </w:rPr>
        <w:t>during CLARITY EXT (</w:t>
      </w:r>
      <w:r w:rsidRPr="00A61946">
        <w:rPr>
          <w:rFonts w:ascii="Times New Roman" w:hAnsi="Times New Roman"/>
          <w:sz w:val="24"/>
          <w:szCs w:val="24"/>
        </w:rPr>
        <w:t>in years 3 and 4</w:t>
      </w:r>
      <w:r>
        <w:rPr>
          <w:rFonts w:ascii="Times New Roman" w:hAnsi="Times New Roman"/>
          <w:sz w:val="24"/>
          <w:szCs w:val="24"/>
        </w:rPr>
        <w:t>)</w:t>
      </w:r>
      <w:r w:rsidRPr="00A61946">
        <w:rPr>
          <w:rFonts w:ascii="Times New Roman" w:hAnsi="Times New Roman"/>
          <w:sz w:val="24"/>
          <w:szCs w:val="24"/>
        </w:rPr>
        <w:t>.</w:t>
      </w:r>
      <w:r>
        <w:rPr>
          <w:rFonts w:ascii="Times New Roman" w:hAnsi="Times New Roman"/>
          <w:sz w:val="24"/>
          <w:szCs w:val="24"/>
        </w:rPr>
        <w:t xml:space="preserve"> </w:t>
      </w:r>
      <w:r w:rsidRPr="009A4818">
        <w:rPr>
          <w:rFonts w:ascii="Times New Roman" w:hAnsi="Times New Roman"/>
          <w:sz w:val="24"/>
          <w:szCs w:val="24"/>
        </w:rPr>
        <w:t>The annualised relapse rate was 0.15 and 72.4% of these patients did not experience 3-month confirmed disability progression during CLARITY EXT. Also, the group continued to exhibit low T1-Gd+ lesion activity.</w:t>
      </w:r>
    </w:p>
    <w:p w14:paraId="21BDAEE6" w14:textId="77777777" w:rsidR="00724837" w:rsidRPr="00A61946" w:rsidRDefault="00724837" w:rsidP="00F06033">
      <w:pPr>
        <w:spacing w:before="180" w:line="276" w:lineRule="auto"/>
        <w:rPr>
          <w:rFonts w:ascii="Times New Roman" w:hAnsi="Times New Roman"/>
          <w:sz w:val="24"/>
          <w:szCs w:val="24"/>
          <w:lang w:eastAsia="sv-SE"/>
        </w:rPr>
      </w:pPr>
      <w:r w:rsidRPr="009B291E">
        <w:rPr>
          <w:rFonts w:ascii="Times New Roman" w:hAnsi="Times New Roman"/>
          <w:sz w:val="24"/>
          <w:szCs w:val="24"/>
          <w:lang w:eastAsia="sv-SE"/>
        </w:rPr>
        <w:t xml:space="preserve">In </w:t>
      </w:r>
      <w:r>
        <w:rPr>
          <w:rFonts w:ascii="Times New Roman" w:hAnsi="Times New Roman"/>
          <w:sz w:val="24"/>
          <w:szCs w:val="24"/>
          <w:lang w:eastAsia="sv-SE"/>
        </w:rPr>
        <w:t>CLARITY EXT study</w:t>
      </w:r>
      <w:r w:rsidRPr="009B291E">
        <w:rPr>
          <w:rFonts w:ascii="Times New Roman" w:hAnsi="Times New Roman"/>
          <w:sz w:val="24"/>
          <w:szCs w:val="24"/>
          <w:lang w:eastAsia="sv-SE"/>
        </w:rPr>
        <w:t>, no additional efficacy was demonstrated when patients were given additional treatment courses of MAVENCLAD</w:t>
      </w:r>
      <w:r>
        <w:rPr>
          <w:rFonts w:ascii="Times New Roman" w:hAnsi="Times New Roman"/>
          <w:sz w:val="24"/>
          <w:szCs w:val="24"/>
          <w:lang w:eastAsia="sv-SE"/>
        </w:rPr>
        <w:t xml:space="preserve"> (n=186)</w:t>
      </w:r>
      <w:r w:rsidRPr="009B291E">
        <w:rPr>
          <w:rFonts w:ascii="Times New Roman" w:hAnsi="Times New Roman"/>
          <w:sz w:val="24"/>
          <w:szCs w:val="24"/>
          <w:lang w:eastAsia="sv-SE"/>
        </w:rPr>
        <w:t xml:space="preserve"> in years 3 and 4.</w:t>
      </w:r>
    </w:p>
    <w:p w14:paraId="57B3A205" w14:textId="77777777" w:rsidR="00724837" w:rsidRPr="00A61946" w:rsidRDefault="00724837" w:rsidP="008F24E1">
      <w:pPr>
        <w:keepNext/>
        <w:autoSpaceDE w:val="0"/>
        <w:autoSpaceDN w:val="0"/>
        <w:spacing w:before="180" w:line="276" w:lineRule="auto"/>
        <w:rPr>
          <w:rFonts w:ascii="Times New Roman" w:hAnsi="Times New Roman"/>
          <w:sz w:val="24"/>
          <w:szCs w:val="24"/>
          <w:lang w:val="en-AU"/>
        </w:rPr>
      </w:pPr>
      <w:r w:rsidRPr="00A61946">
        <w:rPr>
          <w:rFonts w:ascii="Times New Roman" w:hAnsi="Times New Roman"/>
          <w:b/>
          <w:sz w:val="24"/>
          <w:szCs w:val="24"/>
          <w:lang w:val="en-AU"/>
        </w:rPr>
        <w:t>INDICATIONS</w:t>
      </w:r>
    </w:p>
    <w:p w14:paraId="215B917B" w14:textId="77777777" w:rsidR="00724837" w:rsidRDefault="00724837" w:rsidP="008F24E1">
      <w:pPr>
        <w:autoSpaceDE w:val="0"/>
        <w:autoSpaceDN w:val="0"/>
        <w:spacing w:before="180" w:line="276" w:lineRule="auto"/>
        <w:rPr>
          <w:rFonts w:ascii="Times New Roman" w:hAnsi="Times New Roman"/>
          <w:sz w:val="24"/>
          <w:szCs w:val="24"/>
          <w:lang w:val="en-AU" w:eastAsia="en-AU"/>
        </w:rPr>
      </w:pPr>
      <w:r w:rsidRPr="00A61946">
        <w:rPr>
          <w:rFonts w:ascii="Times New Roman" w:hAnsi="Times New Roman"/>
          <w:sz w:val="24"/>
          <w:szCs w:val="24"/>
          <w:lang w:val="en-AU"/>
        </w:rPr>
        <w:t xml:space="preserve">MAVENCLAD </w:t>
      </w:r>
      <w:r w:rsidRPr="00A61946">
        <w:rPr>
          <w:rFonts w:ascii="Times New Roman" w:hAnsi="Times New Roman"/>
          <w:sz w:val="24"/>
          <w:szCs w:val="24"/>
          <w:lang w:val="en-AU" w:eastAsia="en-AU"/>
        </w:rPr>
        <w:t xml:space="preserve">is indicated for the treatment of relapsing-remitting multiple sclerosis (RRMS) </w:t>
      </w:r>
      <w:r w:rsidRPr="00A61946">
        <w:rPr>
          <w:rFonts w:ascii="Times New Roman" w:hAnsi="Times New Roman"/>
          <w:sz w:val="24"/>
          <w:szCs w:val="24"/>
          <w:lang w:eastAsia="en-AU"/>
        </w:rPr>
        <w:t>to reduce the frequency of clinical relapses and to delay the progression of physical disability</w:t>
      </w:r>
      <w:r w:rsidRPr="00A61946">
        <w:rPr>
          <w:rFonts w:ascii="Times New Roman" w:hAnsi="Times New Roman"/>
          <w:sz w:val="24"/>
          <w:szCs w:val="24"/>
          <w:lang w:val="en-AU" w:eastAsia="en-AU"/>
        </w:rPr>
        <w:t>.</w:t>
      </w:r>
    </w:p>
    <w:p w14:paraId="50E8D23B" w14:textId="77777777" w:rsidR="00724837" w:rsidRPr="00A61946" w:rsidRDefault="00724837" w:rsidP="008F24E1">
      <w:pPr>
        <w:autoSpaceDE w:val="0"/>
        <w:autoSpaceDN w:val="0"/>
        <w:spacing w:before="180" w:line="276" w:lineRule="auto"/>
        <w:rPr>
          <w:rFonts w:ascii="Times New Roman" w:hAnsi="Times New Roman"/>
          <w:sz w:val="24"/>
          <w:szCs w:val="24"/>
          <w:lang w:val="en-AU" w:eastAsia="en-AU"/>
        </w:rPr>
      </w:pPr>
      <w:r w:rsidRPr="009B291E">
        <w:rPr>
          <w:rFonts w:ascii="Times New Roman" w:hAnsi="Times New Roman"/>
          <w:sz w:val="24"/>
          <w:szCs w:val="24"/>
          <w:lang w:val="en-AU" w:eastAsia="en-AU"/>
        </w:rPr>
        <w:t>Following completion of the 2 treatment courses, no further cladribine treatment is required in years 3 and 4. Re-initiation of therapy after year 4 has not been studied.</w:t>
      </w:r>
    </w:p>
    <w:p w14:paraId="436E6E95" w14:textId="77777777" w:rsidR="00724837" w:rsidRPr="00A61946" w:rsidRDefault="00724837" w:rsidP="008F24E1">
      <w:pPr>
        <w:keepNext/>
        <w:autoSpaceDE w:val="0"/>
        <w:autoSpaceDN w:val="0"/>
        <w:spacing w:before="180" w:line="276" w:lineRule="auto"/>
        <w:rPr>
          <w:rFonts w:ascii="Times New Roman" w:hAnsi="Times New Roman"/>
          <w:sz w:val="24"/>
          <w:szCs w:val="24"/>
          <w:lang w:val="en-AU" w:eastAsia="en-AU"/>
        </w:rPr>
      </w:pPr>
      <w:r w:rsidRPr="00A61946">
        <w:rPr>
          <w:rFonts w:ascii="Times New Roman" w:hAnsi="Times New Roman"/>
          <w:b/>
          <w:sz w:val="24"/>
          <w:szCs w:val="24"/>
          <w:lang w:val="en-AU" w:eastAsia="en-AU"/>
        </w:rPr>
        <w:t>CONTRAINDICATIONS</w:t>
      </w:r>
    </w:p>
    <w:p w14:paraId="7E9527B6"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MAVENCLAD is contraindicated in patients with hypersensitivity to cladribine or to any of the tablet excipients (refer to DESCRIPTION).</w:t>
      </w:r>
    </w:p>
    <w:p w14:paraId="3B216C4D"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MAVENCLAD therapy must not be initiated in patients who are infected with the human immunodeficiency virus (HIV).</w:t>
      </w:r>
    </w:p>
    <w:p w14:paraId="0C449121"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MAVENCLAD must not be initiated in patients with active chronic infections (tuberculosis, hepatitis) (refer to PRECAUTIONS).</w:t>
      </w:r>
    </w:p>
    <w:p w14:paraId="3D805995"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MAVENCLAD therapy must not be initiated in immunocompromised patients, including patients receiving immunosuppressive or myelosuppressive therapy with agents such as cyclosporin, methotrexate, mitoxantrone, azathioprine, natalizumab, or chronic use of corticosteroids.  Acute short</w:t>
      </w:r>
      <w:r w:rsidRPr="00A61946">
        <w:rPr>
          <w:rFonts w:ascii="Times New Roman" w:hAnsi="Times New Roman"/>
          <w:sz w:val="24"/>
          <w:szCs w:val="24"/>
          <w:lang w:val="en-AU"/>
        </w:rPr>
        <w:noBreakHyphen/>
        <w:t>term therapy with corticosteroids can be administered.</w:t>
      </w:r>
    </w:p>
    <w:p w14:paraId="7FF9849D"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 xml:space="preserve">MAVENCLAD </w:t>
      </w:r>
      <w:r w:rsidRPr="00A61946">
        <w:rPr>
          <w:rFonts w:ascii="Times New Roman" w:hAnsi="Times New Roman" w:hint="eastAsia"/>
          <w:sz w:val="24"/>
          <w:szCs w:val="24"/>
          <w:lang w:val="en-AU"/>
        </w:rPr>
        <w:t xml:space="preserve">must not be used in patients with moderate or severe renal impairment (creatinine clearance </w:t>
      </w:r>
      <w:r w:rsidRPr="00A61946">
        <w:rPr>
          <w:rFonts w:ascii="Times New Roman" w:hAnsi="Times New Roman"/>
          <w:sz w:val="24"/>
          <w:szCs w:val="24"/>
          <w:lang w:val="en-AU"/>
        </w:rPr>
        <w:t>&lt; 6</w:t>
      </w:r>
      <w:r w:rsidRPr="00A61946">
        <w:rPr>
          <w:rFonts w:ascii="Times New Roman" w:hAnsi="Times New Roman" w:hint="eastAsia"/>
          <w:sz w:val="24"/>
          <w:szCs w:val="24"/>
          <w:lang w:val="en-AU"/>
        </w:rPr>
        <w:t>0</w:t>
      </w:r>
      <w:r w:rsidRPr="00A61946">
        <w:rPr>
          <w:rFonts w:ascii="Times New Roman" w:hAnsi="Times New Roman"/>
          <w:sz w:val="24"/>
          <w:szCs w:val="24"/>
          <w:lang w:val="en-AU"/>
        </w:rPr>
        <w:t> </w:t>
      </w:r>
      <w:r w:rsidRPr="00A61946">
        <w:rPr>
          <w:rFonts w:ascii="Times New Roman" w:hAnsi="Times New Roman" w:hint="eastAsia"/>
          <w:sz w:val="24"/>
          <w:szCs w:val="24"/>
          <w:lang w:val="en-AU"/>
        </w:rPr>
        <w:t>m</w:t>
      </w:r>
      <w:r w:rsidRPr="00A61946">
        <w:rPr>
          <w:rFonts w:ascii="Times New Roman" w:hAnsi="Times New Roman"/>
          <w:sz w:val="24"/>
          <w:szCs w:val="24"/>
          <w:lang w:val="en-AU"/>
        </w:rPr>
        <w:t>L</w:t>
      </w:r>
      <w:r w:rsidRPr="00A61946">
        <w:rPr>
          <w:rFonts w:ascii="Times New Roman" w:hAnsi="Times New Roman" w:hint="eastAsia"/>
          <w:sz w:val="24"/>
          <w:szCs w:val="24"/>
          <w:lang w:val="en-AU"/>
        </w:rPr>
        <w:t>/min).</w:t>
      </w:r>
    </w:p>
    <w:p w14:paraId="226172EC"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MAVENCLAD is contraindicated during pregnancy and breastfeeding (refer to PRECAUTIONS, Use in Pregnancy and Use in Lactation).</w:t>
      </w:r>
    </w:p>
    <w:p w14:paraId="1F556EE8" w14:textId="77777777" w:rsidR="00724837" w:rsidRPr="00A61946" w:rsidRDefault="00724837" w:rsidP="008F24E1">
      <w:pPr>
        <w:keepNext/>
        <w:autoSpaceDE w:val="0"/>
        <w:autoSpaceDN w:val="0"/>
        <w:spacing w:before="180" w:line="276" w:lineRule="auto"/>
        <w:rPr>
          <w:rFonts w:ascii="Times New Roman" w:hAnsi="Times New Roman"/>
          <w:sz w:val="24"/>
          <w:szCs w:val="24"/>
          <w:lang w:val="en-AU"/>
        </w:rPr>
      </w:pPr>
      <w:r w:rsidRPr="00A61946">
        <w:rPr>
          <w:rFonts w:ascii="Times New Roman" w:hAnsi="Times New Roman"/>
          <w:b/>
          <w:sz w:val="24"/>
          <w:szCs w:val="24"/>
          <w:lang w:val="en-AU"/>
        </w:rPr>
        <w:t>PRECAUTIONS</w:t>
      </w:r>
    </w:p>
    <w:p w14:paraId="2B8C8549"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Therapy is to be initiated and supervised by neurologists.  Neurologists must discuss the risks and benefits of therapy with the patient and explain the importance of following the recommendations in the Consumer Medicine Information, in particular with respect to infections and haematological monitoring.  The long term safety of MAVENCLAD has not been assessed.  There is no conclusive evidence of an increase in the incidence of malignancies.</w:t>
      </w:r>
    </w:p>
    <w:p w14:paraId="48E2148A" w14:textId="77777777" w:rsidR="00724837" w:rsidRPr="00A61946" w:rsidRDefault="00724837" w:rsidP="008F24E1">
      <w:pPr>
        <w:keepNext/>
        <w:autoSpaceDE w:val="0"/>
        <w:autoSpaceDN w:val="0"/>
        <w:spacing w:before="180" w:line="276" w:lineRule="auto"/>
        <w:rPr>
          <w:rFonts w:ascii="Times New Roman" w:hAnsi="Times New Roman"/>
          <w:b/>
          <w:sz w:val="24"/>
          <w:szCs w:val="24"/>
          <w:lang w:val="en-AU" w:eastAsia="zh-TW"/>
        </w:rPr>
      </w:pPr>
      <w:r w:rsidRPr="00A61946">
        <w:rPr>
          <w:rFonts w:ascii="Times New Roman" w:hAnsi="Times New Roman"/>
          <w:b/>
          <w:sz w:val="24"/>
          <w:szCs w:val="24"/>
          <w:lang w:val="en-AU" w:eastAsia="zh-TW"/>
        </w:rPr>
        <w:lastRenderedPageBreak/>
        <w:t>Haematological Monitoring</w:t>
      </w:r>
    </w:p>
    <w:p w14:paraId="243AD5DD"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 xml:space="preserve">The mode of action of MAVENCLAD is closely linked to a reduction in lymphocyte count.  The effect on lymphocyte count is dose-dependent.  Decreases in neutrophil count, red blood cell count, haematocrit, haemoglobin or platelet count compared to baseline values have also been observed in clinical studies, although these parameters usually remain within the limits of normal. </w:t>
      </w:r>
    </w:p>
    <w:p w14:paraId="002B5010"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Lymphocyte counts must be determined:</w:t>
      </w:r>
    </w:p>
    <w:p w14:paraId="18AB21F3" w14:textId="77777777" w:rsidR="00724837" w:rsidRPr="00A61946" w:rsidRDefault="00724837" w:rsidP="008F24E1">
      <w:pPr>
        <w:numPr>
          <w:ilvl w:val="0"/>
          <w:numId w:val="2"/>
        </w:numPr>
        <w:autoSpaceDE w:val="0"/>
        <w:autoSpaceDN w:val="0"/>
        <w:spacing w:line="276" w:lineRule="auto"/>
        <w:ind w:left="714" w:hanging="357"/>
        <w:rPr>
          <w:rFonts w:ascii="Times New Roman" w:hAnsi="Times New Roman"/>
          <w:sz w:val="24"/>
          <w:szCs w:val="24"/>
          <w:lang w:val="en-AU"/>
        </w:rPr>
      </w:pPr>
      <w:r w:rsidRPr="00A61946">
        <w:rPr>
          <w:rFonts w:ascii="Times New Roman" w:hAnsi="Times New Roman"/>
          <w:sz w:val="24"/>
          <w:szCs w:val="24"/>
          <w:lang w:val="en-AU"/>
        </w:rPr>
        <w:t>before initiating MAVENCLAD in year 1,</w:t>
      </w:r>
    </w:p>
    <w:p w14:paraId="78421A3A" w14:textId="77777777" w:rsidR="00724837" w:rsidRPr="00A61946" w:rsidRDefault="00724837" w:rsidP="00B14473">
      <w:pPr>
        <w:numPr>
          <w:ilvl w:val="0"/>
          <w:numId w:val="2"/>
        </w:numPr>
        <w:autoSpaceDE w:val="0"/>
        <w:autoSpaceDN w:val="0"/>
        <w:spacing w:line="276" w:lineRule="auto"/>
        <w:ind w:left="714" w:hanging="357"/>
        <w:rPr>
          <w:rFonts w:ascii="Times New Roman" w:hAnsi="Times New Roman"/>
          <w:sz w:val="24"/>
          <w:szCs w:val="24"/>
          <w:lang w:val="en-AU"/>
        </w:rPr>
      </w:pPr>
      <w:r w:rsidRPr="00A61946">
        <w:rPr>
          <w:rFonts w:ascii="Times New Roman" w:hAnsi="Times New Roman"/>
          <w:sz w:val="24"/>
          <w:szCs w:val="24"/>
          <w:lang w:val="en-AU"/>
        </w:rPr>
        <w:t>before initiating MAVENCLAD in year 2,</w:t>
      </w:r>
    </w:p>
    <w:p w14:paraId="1AF51F0F" w14:textId="77777777" w:rsidR="00724837" w:rsidRPr="00A61946" w:rsidRDefault="00724837" w:rsidP="008F24E1">
      <w:pPr>
        <w:numPr>
          <w:ilvl w:val="0"/>
          <w:numId w:val="2"/>
        </w:numPr>
        <w:autoSpaceDE w:val="0"/>
        <w:autoSpaceDN w:val="0"/>
        <w:spacing w:line="276" w:lineRule="auto"/>
        <w:ind w:left="714" w:hanging="357"/>
        <w:rPr>
          <w:rFonts w:ascii="Times New Roman" w:hAnsi="Times New Roman"/>
          <w:sz w:val="24"/>
          <w:szCs w:val="24"/>
          <w:lang w:val="en-AU"/>
        </w:rPr>
      </w:pPr>
      <w:r w:rsidRPr="00A61946">
        <w:rPr>
          <w:rFonts w:ascii="Times New Roman" w:hAnsi="Times New Roman"/>
          <w:sz w:val="24"/>
          <w:szCs w:val="24"/>
        </w:rPr>
        <w:t>2 and 6 months after start of treatment in each treatment year</w:t>
      </w:r>
      <w:r w:rsidRPr="00A61946">
        <w:rPr>
          <w:rFonts w:ascii="Times New Roman" w:hAnsi="Times New Roman"/>
          <w:sz w:val="24"/>
          <w:szCs w:val="24"/>
          <w:lang w:val="en-AU"/>
        </w:rPr>
        <w:t>.</w:t>
      </w:r>
      <w:r w:rsidRPr="00A61946">
        <w:rPr>
          <w:rFonts w:ascii="Times New Roman" w:hAnsi="Times New Roman"/>
          <w:sz w:val="24"/>
          <w:szCs w:val="24"/>
          <w:lang w:val="en-US"/>
        </w:rPr>
        <w:t xml:space="preserve"> If the lymphocyte count is below 500 cells/mm³, it should be actively monitored until values increase again.</w:t>
      </w:r>
    </w:p>
    <w:p w14:paraId="48B55565"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Monitoring of other haematological parameters can be considered at the discretion of the physician.</w:t>
      </w:r>
    </w:p>
    <w:p w14:paraId="6F99E073"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For treatment decisions based on the patient’s lymphocyte count, refer to DOSAGE AND ADMINISTRATION and Infections below.</w:t>
      </w:r>
    </w:p>
    <w:p w14:paraId="7D449708" w14:textId="77777777" w:rsidR="00724837" w:rsidRPr="00A61946" w:rsidRDefault="00724837" w:rsidP="008F24E1">
      <w:pPr>
        <w:keepNext/>
        <w:autoSpaceDE w:val="0"/>
        <w:autoSpaceDN w:val="0"/>
        <w:spacing w:before="180" w:line="276" w:lineRule="auto"/>
        <w:rPr>
          <w:rFonts w:ascii="Times New Roman" w:hAnsi="Times New Roman"/>
          <w:b/>
          <w:sz w:val="24"/>
          <w:szCs w:val="24"/>
          <w:lang w:val="en-AU" w:eastAsia="zh-TW"/>
        </w:rPr>
      </w:pPr>
      <w:r w:rsidRPr="00A61946">
        <w:rPr>
          <w:rFonts w:ascii="Times New Roman" w:hAnsi="Times New Roman"/>
          <w:b/>
          <w:sz w:val="24"/>
          <w:szCs w:val="24"/>
          <w:lang w:val="en-AU" w:eastAsia="zh-TW"/>
        </w:rPr>
        <w:t>Infections</w:t>
      </w:r>
    </w:p>
    <w:p w14:paraId="4B630677"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 xml:space="preserve">MAVENCLAD can reduce the body's immune defence and may increase the likelihood of infections.  </w:t>
      </w:r>
      <w:r w:rsidRPr="00A61946">
        <w:rPr>
          <w:rFonts w:ascii="Times New Roman" w:hAnsi="Times New Roman"/>
          <w:sz w:val="24"/>
          <w:szCs w:val="24"/>
        </w:rPr>
        <w:t>HIV infection, active tuberculosis and active hepatitis must be excluded before initiation of cladribine (refer to CONTRAINDICATIONS).</w:t>
      </w:r>
    </w:p>
    <w:p w14:paraId="30FBE71C"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Latent infections may be activated, including tuberculosis, viral hepatitis or herpes zoster infections.  Therefore, screening for latent infections</w:t>
      </w:r>
      <w:r w:rsidRPr="00A61946">
        <w:rPr>
          <w:rFonts w:ascii="Times New Roman" w:hAnsi="Times New Roman"/>
          <w:sz w:val="24"/>
          <w:szCs w:val="24"/>
        </w:rPr>
        <w:t>, in particular tuberculosis and hepatitis B and C, must be performed</w:t>
      </w:r>
      <w:r w:rsidRPr="00A61946">
        <w:rPr>
          <w:rFonts w:ascii="Times New Roman" w:hAnsi="Times New Roman"/>
          <w:sz w:val="24"/>
          <w:szCs w:val="24"/>
          <w:lang w:val="en-AU"/>
        </w:rPr>
        <w:t xml:space="preserve"> prior to initiation of therapy in year 1 and year 2.</w:t>
      </w:r>
      <w:r w:rsidRPr="00A61946">
        <w:rPr>
          <w:rFonts w:ascii="Times New Roman" w:hAnsi="Times New Roman"/>
          <w:sz w:val="24"/>
          <w:szCs w:val="24"/>
        </w:rPr>
        <w:t xml:space="preserve">  Initiation of MAVENCLAD should be delayed until the infection has been adequately treated </w:t>
      </w:r>
      <w:r w:rsidRPr="00A61946">
        <w:rPr>
          <w:rFonts w:ascii="Times New Roman" w:hAnsi="Times New Roman"/>
          <w:sz w:val="24"/>
          <w:szCs w:val="24"/>
          <w:lang w:val="en-AU"/>
        </w:rPr>
        <w:t>(refer to DOSAGE AND ADMINISTRATION)</w:t>
      </w:r>
      <w:r w:rsidRPr="00A61946">
        <w:rPr>
          <w:rFonts w:ascii="Times New Roman" w:hAnsi="Times New Roman"/>
          <w:sz w:val="24"/>
        </w:rPr>
        <w:t>.</w:t>
      </w:r>
    </w:p>
    <w:p w14:paraId="4ADDFBE2" w14:textId="77777777" w:rsidR="00724837" w:rsidRPr="00A61946" w:rsidRDefault="00724837" w:rsidP="008F24E1">
      <w:pPr>
        <w:spacing w:before="180" w:line="276" w:lineRule="auto"/>
        <w:rPr>
          <w:rFonts w:ascii="Times New Roman" w:hAnsi="Times New Roman"/>
          <w:sz w:val="24"/>
          <w:szCs w:val="24"/>
        </w:rPr>
      </w:pPr>
      <w:r w:rsidRPr="00A61946">
        <w:rPr>
          <w:rFonts w:ascii="Times New Roman" w:hAnsi="Times New Roman"/>
          <w:sz w:val="24"/>
          <w:szCs w:val="24"/>
          <w:lang w:eastAsia="sv-SE"/>
        </w:rPr>
        <w:t>A delay in initiation of cladribine should also be considered in patients with an acute infection until the infection is fully controlled</w:t>
      </w:r>
      <w:r w:rsidRPr="00A61946">
        <w:rPr>
          <w:rFonts w:ascii="Times New Roman" w:hAnsi="Times New Roman"/>
          <w:sz w:val="24"/>
          <w:szCs w:val="24"/>
          <w:lang w:val="en-AU"/>
        </w:rPr>
        <w:t xml:space="preserve"> (refer to DOSAGE AND ADMINISTRATION)</w:t>
      </w:r>
      <w:r w:rsidRPr="00A61946">
        <w:rPr>
          <w:rFonts w:ascii="Times New Roman" w:hAnsi="Times New Roman"/>
          <w:sz w:val="24"/>
          <w:szCs w:val="24"/>
          <w:lang w:eastAsia="sv-SE"/>
        </w:rPr>
        <w:t>.</w:t>
      </w:r>
    </w:p>
    <w:p w14:paraId="4114D75B"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In clinical trials, a</w:t>
      </w:r>
      <w:r w:rsidRPr="00A61946" w:rsidDel="00ED7BA7">
        <w:rPr>
          <w:rFonts w:ascii="Times New Roman" w:hAnsi="Times New Roman"/>
          <w:sz w:val="24"/>
          <w:szCs w:val="24"/>
          <w:lang w:val="en-AU"/>
        </w:rPr>
        <w:t xml:space="preserve"> </w:t>
      </w:r>
      <w:r w:rsidRPr="00A61946">
        <w:rPr>
          <w:rFonts w:ascii="Times New Roman" w:hAnsi="Times New Roman"/>
          <w:sz w:val="24"/>
          <w:szCs w:val="24"/>
          <w:lang w:val="en-AU"/>
        </w:rPr>
        <w:t>fatal case of hepatitis B was observed, but was not considered related to cladribine.  Three cases of reactivation of latent tuberculosis, including one fatal case, were observed</w:t>
      </w:r>
      <w:r w:rsidRPr="00A61946">
        <w:rPr>
          <w:rFonts w:ascii="Times New Roman" w:hAnsi="Times New Roman"/>
          <w:sz w:val="24"/>
          <w:szCs w:val="24"/>
        </w:rPr>
        <w:t xml:space="preserve"> before implementation of the pre-screening for infections as recommended above</w:t>
      </w:r>
      <w:r w:rsidRPr="00A61946">
        <w:rPr>
          <w:rFonts w:ascii="Times New Roman" w:hAnsi="Times New Roman"/>
          <w:sz w:val="24"/>
          <w:szCs w:val="24"/>
          <w:lang w:val="en-AU"/>
        </w:rPr>
        <w:t>.  For most common infections, incidence rates were similar between patients receiving cladribine and those receiving placebo, except for herpes zoster.</w:t>
      </w:r>
    </w:p>
    <w:p w14:paraId="5796981F" w14:textId="77777777" w:rsidR="00724837" w:rsidRPr="00A61946" w:rsidRDefault="00724837" w:rsidP="008F24E1">
      <w:pPr>
        <w:pStyle w:val="SPCnormal"/>
        <w:spacing w:before="180" w:line="276" w:lineRule="auto"/>
        <w:rPr>
          <w:sz w:val="24"/>
          <w:szCs w:val="24"/>
        </w:rPr>
      </w:pPr>
      <w:r w:rsidRPr="00A61946">
        <w:rPr>
          <w:sz w:val="24"/>
          <w:szCs w:val="24"/>
        </w:rPr>
        <w:t>Particular attention is recommended for patients who have no history of exposure to varicella zoster virus. Vaccination of antibody-negative patients is recommended prior to initiation of MAVENCLAD. Initiation of treatment with MAVENCLAD must be postponed for 4 to 6 weeks to allow for the full effect of vaccination to occur (refer to PRECAUTIONS, Live and live attenuated vaccines).</w:t>
      </w:r>
    </w:p>
    <w:p w14:paraId="4756C3D7" w14:textId="77777777" w:rsidR="00724837" w:rsidRPr="00A61946" w:rsidRDefault="00724837" w:rsidP="008F24E1">
      <w:pPr>
        <w:autoSpaceDE w:val="0"/>
        <w:autoSpaceDN w:val="0"/>
        <w:spacing w:before="180" w:line="276" w:lineRule="auto"/>
        <w:rPr>
          <w:rFonts w:ascii="Times New Roman" w:hAnsi="Times New Roman"/>
          <w:sz w:val="24"/>
          <w:szCs w:val="24"/>
        </w:rPr>
      </w:pPr>
      <w:r w:rsidRPr="00A61946">
        <w:rPr>
          <w:rFonts w:ascii="Times New Roman" w:hAnsi="Times New Roman"/>
          <w:sz w:val="24"/>
          <w:szCs w:val="24"/>
        </w:rPr>
        <w:t>The incidence of herpes zoster was increased in patients on cladribine. If lymphocyte counts drop below 200 cells/mm³, anti-herpes prophylaxis according to local standard practice should be considered during the time of grade 4 lymphopenia (refer to ADVERSE EFFECTS).</w:t>
      </w:r>
    </w:p>
    <w:p w14:paraId="66A3DC21"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 xml:space="preserve">Patients </w:t>
      </w:r>
      <w:r w:rsidRPr="00A61946">
        <w:rPr>
          <w:rFonts w:ascii="Times New Roman" w:hAnsi="Times New Roman"/>
          <w:sz w:val="24"/>
          <w:szCs w:val="24"/>
        </w:rPr>
        <w:t xml:space="preserve">with lymphocyte counts below 500 cells/mm³ should be actively </w:t>
      </w:r>
      <w:r w:rsidRPr="00A61946">
        <w:rPr>
          <w:rFonts w:ascii="Times New Roman" w:hAnsi="Times New Roman"/>
          <w:sz w:val="24"/>
          <w:szCs w:val="24"/>
          <w:lang w:val="en-AU"/>
        </w:rPr>
        <w:t xml:space="preserve">monitored carefully for </w:t>
      </w:r>
      <w:r w:rsidRPr="00A61946">
        <w:rPr>
          <w:rFonts w:ascii="Times New Roman" w:hAnsi="Times New Roman"/>
          <w:sz w:val="24"/>
          <w:szCs w:val="24"/>
          <w:lang w:val="en-AU"/>
        </w:rPr>
        <w:lastRenderedPageBreak/>
        <w:t>signs and symptoms suggestive of infections, in particular herpes zoster.  If such signs and symptoms occur, treatment for the infection should be initiated as clinically indicated. Interruption or delay of MAVENCLAD may be considered until full resolution of the infection.</w:t>
      </w:r>
    </w:p>
    <w:p w14:paraId="3740D3B4" w14:textId="77777777" w:rsidR="00724837" w:rsidRPr="00A61946" w:rsidRDefault="00724837" w:rsidP="008F24E1">
      <w:pPr>
        <w:pStyle w:val="SPCnormal"/>
        <w:spacing w:before="180" w:line="276" w:lineRule="auto"/>
        <w:rPr>
          <w:sz w:val="24"/>
        </w:rPr>
      </w:pPr>
      <w:r w:rsidRPr="00A61946">
        <w:rPr>
          <w:sz w:val="24"/>
          <w:szCs w:val="24"/>
          <w:lang w:eastAsia="en-GB"/>
        </w:rPr>
        <w:t>In the clinical trial data base of cladribine in MS (</w:t>
      </w:r>
      <w:r w:rsidRPr="00A61946">
        <w:rPr>
          <w:sz w:val="24"/>
          <w:szCs w:val="24"/>
        </w:rPr>
        <w:t>1,976 </w:t>
      </w:r>
      <w:r w:rsidRPr="00A61946">
        <w:rPr>
          <w:sz w:val="24"/>
          <w:szCs w:val="24"/>
          <w:lang w:eastAsia="en-GB"/>
        </w:rPr>
        <w:t xml:space="preserve">patients, </w:t>
      </w:r>
      <w:r w:rsidRPr="00A61946">
        <w:rPr>
          <w:sz w:val="24"/>
          <w:szCs w:val="24"/>
        </w:rPr>
        <w:t>8,650 patient years</w:t>
      </w:r>
      <w:r w:rsidRPr="00A61946">
        <w:rPr>
          <w:sz w:val="24"/>
          <w:szCs w:val="24"/>
          <w:lang w:eastAsia="en-GB"/>
        </w:rPr>
        <w:t>) no case of progressive multifocal leukoencephalopathy (PML) has been reported.</w:t>
      </w:r>
      <w:r w:rsidRPr="00A61946">
        <w:rPr>
          <w:sz w:val="24"/>
          <w:szCs w:val="24"/>
        </w:rPr>
        <w:t xml:space="preserve"> However, a baseline magnetic resonance imaging (MRI) should be considered before initiating MAVENCLAD (usually within 3 months). This is particularly recommended if patients are switched from other MS agents that have a risk of PML</w:t>
      </w:r>
      <w:r w:rsidRPr="00A61946">
        <w:rPr>
          <w:sz w:val="24"/>
        </w:rPr>
        <w:t>.</w:t>
      </w:r>
    </w:p>
    <w:p w14:paraId="4D066194" w14:textId="358D8718" w:rsidR="00724837" w:rsidRPr="00A61946" w:rsidRDefault="00724837" w:rsidP="008F24E1">
      <w:pPr>
        <w:keepNext/>
        <w:autoSpaceDE w:val="0"/>
        <w:autoSpaceDN w:val="0"/>
        <w:spacing w:before="180" w:line="276" w:lineRule="auto"/>
        <w:rPr>
          <w:rFonts w:ascii="Times New Roman" w:hAnsi="Times New Roman"/>
          <w:b/>
          <w:sz w:val="24"/>
          <w:szCs w:val="24"/>
          <w:lang w:val="en-AU" w:eastAsia="zh-TW"/>
        </w:rPr>
      </w:pPr>
      <w:r w:rsidRPr="00A61946">
        <w:rPr>
          <w:rFonts w:ascii="Times New Roman" w:hAnsi="Times New Roman"/>
          <w:b/>
          <w:sz w:val="24"/>
          <w:szCs w:val="24"/>
          <w:lang w:val="en-AU" w:eastAsia="zh-TW"/>
        </w:rPr>
        <w:t>Blood Tra</w:t>
      </w:r>
      <w:r w:rsidR="00C14BEA">
        <w:rPr>
          <w:rFonts w:ascii="Times New Roman" w:hAnsi="Times New Roman"/>
          <w:b/>
          <w:sz w:val="24"/>
          <w:szCs w:val="24"/>
          <w:lang w:val="en-AU" w:eastAsia="zh-TW"/>
        </w:rPr>
        <w:t>nsfusions</w:t>
      </w:r>
    </w:p>
    <w:p w14:paraId="08DA45A8"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In patients who require blood transfusion, irradiation of cellular blood components is recommended prior to administration to prevent transfusion-related graft-versus host disease.  Consultation with a haematologist is advised.</w:t>
      </w:r>
    </w:p>
    <w:p w14:paraId="38AEFE2C" w14:textId="77777777" w:rsidR="00724837" w:rsidRPr="00A61946" w:rsidRDefault="00724837" w:rsidP="00724837">
      <w:pPr>
        <w:autoSpaceDE w:val="0"/>
        <w:autoSpaceDN w:val="0"/>
        <w:spacing w:before="180" w:line="276" w:lineRule="auto"/>
        <w:rPr>
          <w:rFonts w:ascii="Times New Roman" w:hAnsi="Times New Roman"/>
          <w:sz w:val="24"/>
          <w:szCs w:val="24"/>
          <w:lang w:val="en-AU"/>
        </w:rPr>
      </w:pPr>
      <w:r w:rsidRPr="00A61946">
        <w:rPr>
          <w:rFonts w:ascii="Times New Roman" w:hAnsi="Times New Roman"/>
          <w:b/>
          <w:sz w:val="24"/>
          <w:szCs w:val="24"/>
          <w:lang w:val="en-AU" w:eastAsia="zh-TW"/>
        </w:rPr>
        <w:t>Malignancies</w:t>
      </w:r>
    </w:p>
    <w:p w14:paraId="2C59A40B" w14:textId="77777777" w:rsidR="00724837" w:rsidRPr="00A61946" w:rsidDel="00EF7175" w:rsidRDefault="00724837" w:rsidP="00724837">
      <w:pPr>
        <w:spacing w:before="180"/>
        <w:rPr>
          <w:rFonts w:ascii="Times New Roman" w:hAnsi="Times New Roman"/>
          <w:sz w:val="24"/>
          <w:szCs w:val="24"/>
          <w:lang w:eastAsia="de-DE"/>
        </w:rPr>
      </w:pPr>
      <w:r w:rsidRPr="00A61946">
        <w:rPr>
          <w:rFonts w:ascii="Times New Roman" w:hAnsi="Times New Roman"/>
          <w:sz w:val="24"/>
          <w:szCs w:val="24"/>
          <w:lang w:eastAsia="de-DE"/>
        </w:rPr>
        <w:t xml:space="preserve">In clinical studies and long-term follow-up </w:t>
      </w:r>
      <w:r>
        <w:rPr>
          <w:rFonts w:ascii="Times New Roman" w:hAnsi="Times New Roman"/>
          <w:sz w:val="24"/>
          <w:szCs w:val="24"/>
          <w:lang w:eastAsia="de-DE"/>
        </w:rPr>
        <w:t>(mean [</w:t>
      </w:r>
      <w:r w:rsidRPr="00296AD5">
        <w:rPr>
          <w:rFonts w:ascii="Times New Roman" w:hAnsi="Times New Roman"/>
          <w:sz w:val="24"/>
          <w:szCs w:val="24"/>
          <w:lang w:eastAsia="de-DE"/>
        </w:rPr>
        <w:t>±</w:t>
      </w:r>
      <w:r>
        <w:rPr>
          <w:rFonts w:ascii="Times New Roman" w:hAnsi="Times New Roman"/>
          <w:sz w:val="24"/>
          <w:szCs w:val="24"/>
          <w:lang w:eastAsia="de-DE"/>
        </w:rPr>
        <w:t>SD] duration: 194</w:t>
      </w:r>
      <w:r w:rsidRPr="00296AD5">
        <w:rPr>
          <w:rFonts w:ascii="Times New Roman" w:hAnsi="Times New Roman"/>
          <w:sz w:val="24"/>
          <w:szCs w:val="24"/>
          <w:lang w:eastAsia="de-DE"/>
        </w:rPr>
        <w:t xml:space="preserve"> ± </w:t>
      </w:r>
      <w:r>
        <w:rPr>
          <w:rFonts w:ascii="Times New Roman" w:hAnsi="Times New Roman"/>
          <w:sz w:val="24"/>
          <w:szCs w:val="24"/>
          <w:lang w:eastAsia="de-DE"/>
        </w:rPr>
        <w:t>111</w:t>
      </w:r>
      <w:r w:rsidRPr="00296AD5">
        <w:rPr>
          <w:rFonts w:ascii="Times New Roman" w:hAnsi="Times New Roman"/>
          <w:sz w:val="24"/>
          <w:szCs w:val="24"/>
          <w:lang w:eastAsia="de-DE"/>
        </w:rPr>
        <w:t xml:space="preserve"> weeks</w:t>
      </w:r>
      <w:r>
        <w:rPr>
          <w:rFonts w:ascii="Times New Roman" w:hAnsi="Times New Roman"/>
          <w:sz w:val="24"/>
          <w:szCs w:val="24"/>
          <w:lang w:eastAsia="de-DE"/>
        </w:rPr>
        <w:t xml:space="preserve">) </w:t>
      </w:r>
      <w:r w:rsidRPr="00A61946">
        <w:rPr>
          <w:rFonts w:ascii="Times New Roman" w:hAnsi="Times New Roman"/>
          <w:sz w:val="24"/>
          <w:szCs w:val="24"/>
          <w:lang w:eastAsia="de-DE"/>
        </w:rPr>
        <w:t>of patients treated with a cumulative dose of 3.5 mg/kg oral cladribine, events of malignancies were observed more frequently in cladribine-treated patients (10 events in 3414 patient-years [0.29 events per 100 patient-years]) compared to patients who received placebo (3 events in 2022 patient-years [0.15 events per 100 patient-years]).</w:t>
      </w:r>
    </w:p>
    <w:p w14:paraId="05F70D78" w14:textId="77777777" w:rsidR="00724837" w:rsidRPr="00A61946" w:rsidRDefault="00724837" w:rsidP="008F24E1">
      <w:pPr>
        <w:keepLines/>
        <w:spacing w:before="180"/>
        <w:rPr>
          <w:rFonts w:ascii="Times New Roman" w:hAnsi="Times New Roman"/>
          <w:sz w:val="24"/>
          <w:szCs w:val="24"/>
          <w:lang w:val="en-AU"/>
        </w:rPr>
      </w:pPr>
      <w:r w:rsidRPr="00A61946">
        <w:rPr>
          <w:rFonts w:ascii="Times New Roman" w:hAnsi="Times New Roman"/>
          <w:sz w:val="24"/>
          <w:szCs w:val="24"/>
          <w:lang w:val="en-AU"/>
        </w:rPr>
        <w:t xml:space="preserve">MAVENCLAD has not been studied in MS patients with prior or current malignancies (with the exception of </w:t>
      </w:r>
      <w:r w:rsidRPr="00A61946">
        <w:rPr>
          <w:rFonts w:ascii="Times New Roman" w:hAnsi="Times New Roman"/>
          <w:i/>
          <w:sz w:val="24"/>
          <w:szCs w:val="24"/>
          <w:lang w:val="en-AU"/>
        </w:rPr>
        <w:t>in situ</w:t>
      </w:r>
      <w:r w:rsidRPr="00A61946">
        <w:rPr>
          <w:rFonts w:ascii="Times New Roman" w:hAnsi="Times New Roman"/>
          <w:sz w:val="24"/>
          <w:szCs w:val="24"/>
          <w:lang w:val="en-AU"/>
        </w:rPr>
        <w:t xml:space="preserve"> basal or squamous cell skin cancer surgically removed without recurrence for at least five years).  Therefore, in MS patients with active malignancy, the use of MAVENCLAD is not recommended.</w:t>
      </w:r>
    </w:p>
    <w:p w14:paraId="71CC7567" w14:textId="77777777" w:rsidR="00724837" w:rsidRPr="00A61946" w:rsidRDefault="00724837" w:rsidP="008F24E1">
      <w:pPr>
        <w:keepNext/>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rPr>
        <w:t>As with other immunomodulating therapies, caution should be exercised when initiating</w:t>
      </w:r>
      <w:r w:rsidRPr="00A61946">
        <w:rPr>
          <w:rFonts w:ascii="Times New Roman" w:hAnsi="Times New Roman"/>
          <w:sz w:val="24"/>
        </w:rPr>
        <w:t xml:space="preserve"> MAVENCLAD</w:t>
      </w:r>
      <w:r w:rsidRPr="00A61946">
        <w:rPr>
          <w:rFonts w:ascii="Times New Roman" w:hAnsi="Times New Roman"/>
          <w:sz w:val="24"/>
          <w:szCs w:val="24"/>
        </w:rPr>
        <w:t xml:space="preserve"> in patients with prior malignancy.</w:t>
      </w:r>
      <w:r w:rsidRPr="00A61946">
        <w:rPr>
          <w:rFonts w:ascii="Times New Roman" w:hAnsi="Times New Roman"/>
          <w:sz w:val="24"/>
          <w:szCs w:val="24"/>
          <w:lang w:val="en-AU"/>
        </w:rPr>
        <w:t xml:space="preserve">  It is currently not known </w:t>
      </w:r>
      <w:r w:rsidRPr="00A61946">
        <w:rPr>
          <w:rFonts w:ascii="Times New Roman" w:hAnsi="Times New Roman"/>
          <w:sz w:val="24"/>
          <w:szCs w:val="24"/>
        </w:rPr>
        <w:t>whether oral cladribine confers a higher</w:t>
      </w:r>
      <w:r w:rsidRPr="00A61946">
        <w:rPr>
          <w:rFonts w:ascii="Times New Roman" w:hAnsi="Times New Roman"/>
          <w:sz w:val="24"/>
        </w:rPr>
        <w:t xml:space="preserve"> risk for </w:t>
      </w:r>
      <w:r w:rsidRPr="00A61946">
        <w:rPr>
          <w:rFonts w:ascii="Times New Roman" w:hAnsi="Times New Roman"/>
          <w:sz w:val="24"/>
          <w:szCs w:val="24"/>
        </w:rPr>
        <w:t>developing malignancies</w:t>
      </w:r>
      <w:r w:rsidRPr="00A61946">
        <w:rPr>
          <w:rFonts w:ascii="Times New Roman" w:hAnsi="Times New Roman"/>
          <w:sz w:val="24"/>
          <w:szCs w:val="24"/>
          <w:lang w:val="en-AU"/>
        </w:rPr>
        <w:t xml:space="preserve">.  </w:t>
      </w:r>
      <w:r w:rsidRPr="00A61946">
        <w:rPr>
          <w:rFonts w:ascii="Times New Roman" w:hAnsi="Times New Roman"/>
          <w:sz w:val="24"/>
          <w:szCs w:val="24"/>
          <w:lang w:val="en-US"/>
        </w:rPr>
        <w:t xml:space="preserve">Observation over longer treatment periods is required before any effect on the </w:t>
      </w:r>
      <w:r w:rsidRPr="00A61946">
        <w:rPr>
          <w:rFonts w:ascii="Times New Roman" w:hAnsi="Times New Roman"/>
          <w:sz w:val="24"/>
          <w:lang w:val="en-US"/>
        </w:rPr>
        <w:t xml:space="preserve">development of </w:t>
      </w:r>
      <w:r w:rsidRPr="00A61946">
        <w:rPr>
          <w:rFonts w:ascii="Times New Roman" w:hAnsi="Times New Roman"/>
          <w:sz w:val="24"/>
          <w:szCs w:val="24"/>
          <w:lang w:val="en-US"/>
        </w:rPr>
        <w:t>malignancies can be determined. Patients treated with MAVENCLAD should be advised to follow standard cancer screening guidelines.</w:t>
      </w:r>
    </w:p>
    <w:p w14:paraId="4BC0F531"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Malignant events reported during the follow-up or in the extension studies included melanoma and non</w:t>
      </w:r>
      <w:r w:rsidRPr="00A61946">
        <w:rPr>
          <w:rFonts w:ascii="Times New Roman" w:hAnsi="Times New Roman"/>
          <w:sz w:val="24"/>
          <w:szCs w:val="24"/>
          <w:lang w:val="en-AU"/>
        </w:rPr>
        <w:noBreakHyphen/>
        <w:t>melanoma skin cancer.  Although a causal relationship has not been established, precautionary measures to monitor and prevent a potential risk of skin cancer are recommended, including regular self-examinations, annual dermatological check-ups, avoiding direct exposure to the sun and using sun protection.</w:t>
      </w:r>
    </w:p>
    <w:p w14:paraId="448B2D8B" w14:textId="77777777" w:rsidR="00724837" w:rsidRPr="00A61946" w:rsidRDefault="00724837" w:rsidP="008F24E1">
      <w:pPr>
        <w:keepNext/>
        <w:autoSpaceDE w:val="0"/>
        <w:autoSpaceDN w:val="0"/>
        <w:spacing w:before="180" w:line="276" w:lineRule="auto"/>
        <w:rPr>
          <w:rFonts w:ascii="Times New Roman" w:hAnsi="Times New Roman"/>
          <w:b/>
          <w:sz w:val="24"/>
          <w:szCs w:val="24"/>
          <w:lang w:eastAsia="zh-TW"/>
        </w:rPr>
      </w:pPr>
      <w:r w:rsidRPr="00A61946">
        <w:rPr>
          <w:rFonts w:ascii="Times New Roman" w:hAnsi="Times New Roman"/>
          <w:b/>
          <w:sz w:val="24"/>
          <w:szCs w:val="24"/>
          <w:lang w:eastAsia="zh-TW"/>
        </w:rPr>
        <w:t>Switching to and from MAVENCLAD treatment</w:t>
      </w:r>
    </w:p>
    <w:p w14:paraId="2A5F180C" w14:textId="77777777" w:rsidR="00724837" w:rsidRPr="00A61946" w:rsidRDefault="00724837" w:rsidP="008F24E1">
      <w:pPr>
        <w:spacing w:before="180" w:line="276" w:lineRule="auto"/>
        <w:rPr>
          <w:rFonts w:ascii="Times New Roman" w:hAnsi="Times New Roman"/>
          <w:sz w:val="24"/>
          <w:szCs w:val="24"/>
          <w:lang w:val="en-AU" w:eastAsia="en-AU"/>
        </w:rPr>
      </w:pPr>
      <w:r w:rsidRPr="00A61946">
        <w:rPr>
          <w:rFonts w:ascii="Times New Roman" w:hAnsi="Times New Roman"/>
          <w:sz w:val="24"/>
          <w:szCs w:val="24"/>
          <w:lang w:eastAsia="zh-TW"/>
        </w:rPr>
        <w:t>In patients who have previously been treated with immunomodulating or immunosuppressive therapies</w:t>
      </w:r>
      <w:r w:rsidRPr="00A61946">
        <w:rPr>
          <w:rFonts w:ascii="Times New Roman" w:hAnsi="Times New Roman"/>
          <w:sz w:val="24"/>
          <w:szCs w:val="24"/>
        </w:rPr>
        <w:t>, the mode of action and duration of effect of the other product should be considered prior to initiation of</w:t>
      </w:r>
      <w:r w:rsidRPr="00A61946">
        <w:rPr>
          <w:rFonts w:ascii="Times New Roman" w:hAnsi="Times New Roman"/>
          <w:sz w:val="24"/>
          <w:szCs w:val="24"/>
          <w:lang w:eastAsia="zh-TW"/>
        </w:rPr>
        <w:t xml:space="preserve"> MAVENCLAD (refer to DOSAGE AND ADMINSTRATION). </w:t>
      </w:r>
      <w:r w:rsidRPr="00A61946">
        <w:rPr>
          <w:rFonts w:ascii="Times New Roman" w:hAnsi="Times New Roman"/>
          <w:sz w:val="24"/>
          <w:szCs w:val="24"/>
        </w:rPr>
        <w:t xml:space="preserve">A potential additive effect on the immune system should also be considered when </w:t>
      </w:r>
      <w:r w:rsidRPr="00A61946">
        <w:rPr>
          <w:rFonts w:ascii="Times New Roman" w:hAnsi="Times New Roman"/>
          <w:sz w:val="24"/>
          <w:szCs w:val="24"/>
          <w:lang w:eastAsia="zh-TW"/>
        </w:rPr>
        <w:t>such products are used after treatment with MAVENCLAD</w:t>
      </w:r>
      <w:r w:rsidRPr="00A61946">
        <w:rPr>
          <w:rFonts w:ascii="Times New Roman" w:hAnsi="Times New Roman"/>
          <w:sz w:val="24"/>
          <w:szCs w:val="24"/>
        </w:rPr>
        <w:t xml:space="preserve"> (refer to </w:t>
      </w:r>
      <w:r w:rsidRPr="00A61946">
        <w:rPr>
          <w:rFonts w:ascii="Times New Roman" w:hAnsi="Times New Roman"/>
          <w:sz w:val="24"/>
          <w:szCs w:val="24"/>
          <w:lang w:eastAsia="zh-TW"/>
        </w:rPr>
        <w:t xml:space="preserve">INTERACTIONS WITH OTHER DRUGS, Haematotoxic, </w:t>
      </w:r>
      <w:r w:rsidRPr="00A61946">
        <w:rPr>
          <w:rFonts w:ascii="Times New Roman" w:hAnsi="Times New Roman"/>
          <w:sz w:val="24"/>
          <w:szCs w:val="24"/>
          <w:lang w:eastAsia="zh-TW"/>
        </w:rPr>
        <w:lastRenderedPageBreak/>
        <w:t>Immunosuppressive and Immunomodulating Agents).</w:t>
      </w:r>
    </w:p>
    <w:p w14:paraId="1D2A4314" w14:textId="77777777" w:rsidR="00724837" w:rsidRPr="00A61946" w:rsidRDefault="00724837" w:rsidP="008F24E1">
      <w:pPr>
        <w:keepNext/>
        <w:autoSpaceDE w:val="0"/>
        <w:autoSpaceDN w:val="0"/>
        <w:spacing w:before="180" w:line="276" w:lineRule="auto"/>
        <w:rPr>
          <w:rFonts w:ascii="Times New Roman" w:hAnsi="Times New Roman"/>
          <w:sz w:val="24"/>
          <w:szCs w:val="24"/>
          <w:lang w:eastAsia="zh-TW"/>
        </w:rPr>
      </w:pPr>
      <w:r w:rsidRPr="00A61946">
        <w:rPr>
          <w:rFonts w:ascii="Times New Roman" w:hAnsi="Times New Roman"/>
          <w:sz w:val="24"/>
          <w:szCs w:val="24"/>
          <w:lang w:eastAsia="zh-TW"/>
        </w:rPr>
        <w:t>When switching from an MS agent with a risk of PML, a baseline MRI is recommended (refer to Infections above).</w:t>
      </w:r>
    </w:p>
    <w:p w14:paraId="795C0B03" w14:textId="77777777" w:rsidR="00724837" w:rsidRPr="00A61946" w:rsidRDefault="00724837" w:rsidP="008F24E1">
      <w:pPr>
        <w:keepNext/>
        <w:autoSpaceDE w:val="0"/>
        <w:autoSpaceDN w:val="0"/>
        <w:spacing w:before="180" w:line="276" w:lineRule="auto"/>
        <w:rPr>
          <w:rFonts w:ascii="Times New Roman" w:hAnsi="Times New Roman"/>
          <w:b/>
          <w:sz w:val="24"/>
          <w:szCs w:val="24"/>
          <w:lang w:val="en-AU" w:eastAsia="zh-TW"/>
        </w:rPr>
      </w:pPr>
      <w:r w:rsidRPr="00A61946">
        <w:rPr>
          <w:rFonts w:ascii="Times New Roman" w:hAnsi="Times New Roman"/>
          <w:b/>
          <w:sz w:val="24"/>
          <w:szCs w:val="24"/>
          <w:lang w:val="en-AU" w:eastAsia="zh-TW"/>
        </w:rPr>
        <w:t>Renal Impairment</w:t>
      </w:r>
    </w:p>
    <w:p w14:paraId="5B1F6D7F"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 xml:space="preserve">No dedicated studies have been conducted in patients with renal impairment (refer to CONTRAINDICATIONS). </w:t>
      </w:r>
    </w:p>
    <w:p w14:paraId="5FB88145"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 xml:space="preserve">The safety profile in patients with mild renal impairment (creatinine clearance 60-89 mL/min) was shown to be similar to that in patients with normal renal function; </w:t>
      </w:r>
      <w:r w:rsidRPr="00A61946">
        <w:rPr>
          <w:rFonts w:ascii="Times New Roman" w:hAnsi="Times New Roman"/>
          <w:sz w:val="24"/>
          <w:szCs w:val="24"/>
        </w:rPr>
        <w:t>no dosage adjustment is considered necessary</w:t>
      </w:r>
      <w:r w:rsidRPr="00A61946">
        <w:rPr>
          <w:rFonts w:ascii="Times New Roman" w:hAnsi="Times New Roman"/>
          <w:sz w:val="24"/>
          <w:szCs w:val="24"/>
          <w:lang w:val="en-AU"/>
        </w:rPr>
        <w:t xml:space="preserve">.  </w:t>
      </w:r>
    </w:p>
    <w:p w14:paraId="44440FA1"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In patients with moderate or severe renal impairment (creatinine clearance &lt; 60 mL/min), a decrease in cladribine clearance can be predicted (refer to PHARMACOLOGY, Pharmacokinetics). Safety and efficacy in patients with moderate or severe renal impairment have not been established. Therefore, MAVENCLAD is contraindicated in these patients (refer to CONTRAINDICATIONS).</w:t>
      </w:r>
    </w:p>
    <w:p w14:paraId="02186BFC" w14:textId="77777777" w:rsidR="00724837" w:rsidRPr="00A61946" w:rsidRDefault="00724837" w:rsidP="008F24E1">
      <w:pPr>
        <w:keepNext/>
        <w:autoSpaceDE w:val="0"/>
        <w:autoSpaceDN w:val="0"/>
        <w:spacing w:before="180" w:line="276" w:lineRule="auto"/>
        <w:rPr>
          <w:rFonts w:ascii="Times New Roman" w:hAnsi="Times New Roman"/>
          <w:b/>
          <w:sz w:val="24"/>
          <w:szCs w:val="24"/>
          <w:lang w:val="en-AU" w:eastAsia="zh-TW"/>
        </w:rPr>
      </w:pPr>
      <w:r w:rsidRPr="00A61946">
        <w:rPr>
          <w:rFonts w:ascii="Times New Roman" w:hAnsi="Times New Roman"/>
          <w:b/>
          <w:sz w:val="24"/>
          <w:szCs w:val="24"/>
          <w:lang w:val="en-AU" w:eastAsia="zh-TW"/>
        </w:rPr>
        <w:t>Hepatic Impairment</w:t>
      </w:r>
    </w:p>
    <w:p w14:paraId="7DF34383"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 xml:space="preserve">No dedicated studies have been conducted in patients with hepatic impairment. </w:t>
      </w:r>
    </w:p>
    <w:p w14:paraId="7871F5CB" w14:textId="77777777" w:rsidR="00724837" w:rsidRPr="00A61946" w:rsidRDefault="00724837" w:rsidP="008F24E1">
      <w:pPr>
        <w:autoSpaceDE w:val="0"/>
        <w:autoSpaceDN w:val="0"/>
        <w:spacing w:before="180" w:line="276" w:lineRule="auto"/>
        <w:rPr>
          <w:rFonts w:ascii="Times New Roman" w:hAnsi="Times New Roman"/>
          <w:sz w:val="24"/>
          <w:szCs w:val="24"/>
        </w:rPr>
      </w:pPr>
      <w:r w:rsidRPr="00A61946">
        <w:rPr>
          <w:rFonts w:ascii="Times New Roman" w:hAnsi="Times New Roman"/>
          <w:sz w:val="24"/>
          <w:szCs w:val="24"/>
        </w:rPr>
        <w:t>Although the importance of hepatic function for the elimination of cladribine is considered negligible (</w:t>
      </w:r>
      <w:r w:rsidRPr="00A61946">
        <w:rPr>
          <w:rFonts w:ascii="Times New Roman" w:hAnsi="Times New Roman"/>
          <w:sz w:val="24"/>
          <w:szCs w:val="24"/>
          <w:lang w:val="en-AU"/>
        </w:rPr>
        <w:t>refer to PHARMACOLOGY, Pharmacokinetics</w:t>
      </w:r>
      <w:r w:rsidRPr="00A61946">
        <w:rPr>
          <w:rFonts w:ascii="Times New Roman" w:hAnsi="Times New Roman"/>
          <w:sz w:val="24"/>
          <w:szCs w:val="24"/>
        </w:rPr>
        <w:t xml:space="preserve">), </w:t>
      </w:r>
      <w:r w:rsidRPr="00A61946">
        <w:rPr>
          <w:rFonts w:ascii="Times New Roman" w:hAnsi="Times New Roman"/>
          <w:bCs/>
          <w:sz w:val="24"/>
          <w:szCs w:val="24"/>
        </w:rPr>
        <w:t>in the absence of data, use of MAVENCLAD is not recommended in patients with moderate or severe hepatic impairment (Child-Pugh score &gt; 6)</w:t>
      </w:r>
      <w:r w:rsidRPr="00A61946">
        <w:rPr>
          <w:rFonts w:ascii="Times New Roman" w:hAnsi="Times New Roman"/>
          <w:sz w:val="24"/>
          <w:szCs w:val="24"/>
        </w:rPr>
        <w:t>.</w:t>
      </w:r>
    </w:p>
    <w:p w14:paraId="46EF7198" w14:textId="77777777" w:rsidR="00724837" w:rsidRPr="00A61946" w:rsidRDefault="00724837" w:rsidP="008F24E1">
      <w:pPr>
        <w:keepNext/>
        <w:autoSpaceDE w:val="0"/>
        <w:autoSpaceDN w:val="0"/>
        <w:spacing w:before="180" w:line="276" w:lineRule="auto"/>
        <w:rPr>
          <w:rFonts w:ascii="Times New Roman" w:hAnsi="Times New Roman"/>
          <w:b/>
          <w:sz w:val="24"/>
          <w:szCs w:val="24"/>
          <w:lang w:val="en-AU" w:eastAsia="zh-TW"/>
        </w:rPr>
      </w:pPr>
      <w:r w:rsidRPr="00A61946">
        <w:rPr>
          <w:rFonts w:ascii="Times New Roman" w:hAnsi="Times New Roman"/>
          <w:b/>
          <w:sz w:val="24"/>
          <w:szCs w:val="24"/>
          <w:lang w:val="en-AU" w:eastAsia="zh-TW"/>
        </w:rPr>
        <w:t>Fructose Intolerance</w:t>
      </w:r>
    </w:p>
    <w:p w14:paraId="6AE5B001"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MAVENCLAD contains 64.04 mg sorbitol per tablet.  Its use is not recommended in patients with fructose intolerance.</w:t>
      </w:r>
    </w:p>
    <w:p w14:paraId="089E03C3" w14:textId="77777777" w:rsidR="00724837" w:rsidRPr="00A61946" w:rsidRDefault="00724837" w:rsidP="008F24E1">
      <w:pPr>
        <w:keepNext/>
        <w:autoSpaceDE w:val="0"/>
        <w:autoSpaceDN w:val="0"/>
        <w:spacing w:before="180" w:line="276" w:lineRule="auto"/>
        <w:rPr>
          <w:rFonts w:ascii="Times New Roman" w:hAnsi="Times New Roman"/>
          <w:b/>
          <w:sz w:val="24"/>
          <w:szCs w:val="24"/>
          <w:lang w:val="en-AU"/>
        </w:rPr>
      </w:pPr>
      <w:r w:rsidRPr="00A61946">
        <w:rPr>
          <w:rFonts w:ascii="Times New Roman" w:hAnsi="Times New Roman"/>
          <w:b/>
          <w:sz w:val="24"/>
          <w:szCs w:val="24"/>
          <w:lang w:val="en-AU"/>
        </w:rPr>
        <w:t>Effects on Fertility</w:t>
      </w:r>
    </w:p>
    <w:p w14:paraId="31030ACF"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The effect of cladribine on human fertility is unknown.</w:t>
      </w:r>
    </w:p>
    <w:p w14:paraId="5CC27F2A" w14:textId="538DDFC8"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In male mice, cladribine did not affect fertility at subcutaneous doses up to 30 mg/kg per day, but reduced testes weights and increased numbers of non-motile sperm were seen, indicating the presence of testicular effects.  For these effects, 5 mg/kg per day was the no</w:t>
      </w:r>
      <w:r w:rsidRPr="00A61946">
        <w:rPr>
          <w:rFonts w:ascii="Times New Roman" w:hAnsi="Times New Roman"/>
          <w:sz w:val="24"/>
          <w:szCs w:val="24"/>
          <w:lang w:val="en-AU"/>
        </w:rPr>
        <w:noBreakHyphen/>
        <w:t>observed-adverse-effect l</w:t>
      </w:r>
      <w:r w:rsidR="00C14BEA">
        <w:rPr>
          <w:rFonts w:ascii="Times New Roman" w:hAnsi="Times New Roman"/>
          <w:sz w:val="24"/>
          <w:szCs w:val="24"/>
          <w:lang w:val="en-AU"/>
        </w:rPr>
        <w:t>evel (NOAEL).</w:t>
      </w:r>
    </w:p>
    <w:p w14:paraId="2C95518A"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In female mice, cladribine did not affect fertility up to a subcutaneous dose of 8 mg/kg per day (higher doses were not tested).  The extrapolated daily exposure data (based on plasma AUC) associated with these dose levels in mice exceeded the daily exposure with the oral human dose in MS by at least an order of magnitude.</w:t>
      </w:r>
    </w:p>
    <w:p w14:paraId="7765E875"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A 1-year subcutaneous study in monkeys reported testicular degeneration, prostatic inflammation, prostatic and seminal vesicle secretion depletion, epididymal hypospermia and increased incidence of degenerated cells, while a 3-month oral and subcutaneous study noted only reduced sperm motility.  The estimated exposure (plasma AUC) at the no-effect oral dose (3 mg/kg/day) was 3-</w:t>
      </w:r>
      <w:r w:rsidRPr="00A61946">
        <w:rPr>
          <w:rFonts w:ascii="Times New Roman" w:hAnsi="Times New Roman"/>
          <w:sz w:val="24"/>
          <w:szCs w:val="24"/>
          <w:lang w:val="en-AU"/>
        </w:rPr>
        <w:lastRenderedPageBreak/>
        <w:t>fold clinical MS exposure.</w:t>
      </w:r>
    </w:p>
    <w:p w14:paraId="1B93BBBB" w14:textId="200308F4" w:rsidR="00724837" w:rsidRPr="00A61946" w:rsidRDefault="00C14BEA" w:rsidP="008F24E1">
      <w:pPr>
        <w:keepNext/>
        <w:autoSpaceDE w:val="0"/>
        <w:autoSpaceDN w:val="0"/>
        <w:spacing w:before="180" w:line="276" w:lineRule="auto"/>
        <w:rPr>
          <w:rFonts w:ascii="Times New Roman" w:hAnsi="Times New Roman"/>
          <w:b/>
          <w:sz w:val="24"/>
          <w:szCs w:val="24"/>
          <w:lang w:val="en-AU" w:eastAsia="zh-TW"/>
        </w:rPr>
      </w:pPr>
      <w:r>
        <w:rPr>
          <w:rFonts w:ascii="Times New Roman" w:hAnsi="Times New Roman"/>
          <w:b/>
          <w:sz w:val="24"/>
          <w:szCs w:val="24"/>
          <w:lang w:val="en-AU" w:eastAsia="zh-TW"/>
        </w:rPr>
        <w:t>Male Patients</w:t>
      </w:r>
    </w:p>
    <w:p w14:paraId="0D95A5B7"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bCs/>
          <w:sz w:val="24"/>
          <w:szCs w:val="24"/>
        </w:rPr>
        <w:t>As cladribine interferes with DNA synthesis, adverse effects on human gametogenesis could be expected</w:t>
      </w:r>
      <w:r w:rsidRPr="00A61946">
        <w:rPr>
          <w:rFonts w:ascii="Times New Roman" w:hAnsi="Times New Roman"/>
          <w:sz w:val="24"/>
          <w:szCs w:val="24"/>
          <w:lang w:val="en-AU"/>
        </w:rPr>
        <w:t>.  Therefore, male patients must take precautions to prevent pregnancy of their partner during MAVENCLAD treatment and for at least 6 months after the last dose.  This will allow time for completion of new male reproductive cycles to clear intracellular phosphorylated cladribine from the body.</w:t>
      </w:r>
    </w:p>
    <w:p w14:paraId="41031A79"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If the partner of a male patient becomes pregnant during a course of his MAVENCLAD therapy, it is recommended that the partner be informed about the potential hazard to the foetus.</w:t>
      </w:r>
    </w:p>
    <w:p w14:paraId="2F1B6841" w14:textId="77777777" w:rsidR="00724837" w:rsidRPr="00A61946" w:rsidRDefault="00724837" w:rsidP="008F24E1">
      <w:pPr>
        <w:keepNext/>
        <w:autoSpaceDE w:val="0"/>
        <w:autoSpaceDN w:val="0"/>
        <w:spacing w:before="180" w:line="276" w:lineRule="auto"/>
        <w:rPr>
          <w:rFonts w:ascii="Times New Roman" w:hAnsi="Times New Roman"/>
          <w:b/>
          <w:sz w:val="24"/>
          <w:szCs w:val="24"/>
          <w:lang w:val="en-AU"/>
        </w:rPr>
      </w:pPr>
      <w:r w:rsidRPr="00A61946">
        <w:rPr>
          <w:rFonts w:ascii="Times New Roman" w:hAnsi="Times New Roman"/>
          <w:b/>
          <w:sz w:val="24"/>
          <w:szCs w:val="24"/>
          <w:lang w:val="en-AU"/>
        </w:rPr>
        <w:t>Use in Pregnancy (Category D)</w:t>
      </w:r>
    </w:p>
    <w:p w14:paraId="497B465A"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 xml:space="preserve">While there were no effects on female fertility, reproductive function or general performance of offspring, cladribine was shown to be </w:t>
      </w:r>
      <w:proofErr w:type="spellStart"/>
      <w:r w:rsidRPr="00A61946">
        <w:rPr>
          <w:rFonts w:ascii="Times New Roman" w:hAnsi="Times New Roman"/>
          <w:sz w:val="24"/>
          <w:szCs w:val="24"/>
          <w:lang w:val="en-AU"/>
        </w:rPr>
        <w:t>embryolethal</w:t>
      </w:r>
      <w:proofErr w:type="spellEnd"/>
      <w:r w:rsidRPr="00A61946">
        <w:rPr>
          <w:rFonts w:ascii="Times New Roman" w:hAnsi="Times New Roman"/>
          <w:sz w:val="24"/>
          <w:szCs w:val="24"/>
          <w:lang w:val="en-AU"/>
        </w:rPr>
        <w:t xml:space="preserve"> in pregnant mice, and the compound was teratogenic in mice and rabbits.  A significant increase in foetal variations was observed in mice receiving 1.5 mg/kg/day or greater intravenously during the period of organogenesis, or from early gestation to weaning, and increased resorptions, reduced litter size and increased foetal malformations were observed in mice receiving 3 mg/kg/day. Foetal malformations were observed in rabbits that received 3 mg/kg/day intravenously during the period of organogenesis.  The observed </w:t>
      </w:r>
      <w:proofErr w:type="spellStart"/>
      <w:r w:rsidRPr="00A61946">
        <w:rPr>
          <w:rFonts w:ascii="Times New Roman" w:hAnsi="Times New Roman"/>
          <w:sz w:val="24"/>
          <w:szCs w:val="24"/>
          <w:lang w:val="en-AU"/>
        </w:rPr>
        <w:t>embryolethal</w:t>
      </w:r>
      <w:proofErr w:type="spellEnd"/>
      <w:r w:rsidRPr="00A61946">
        <w:rPr>
          <w:rFonts w:ascii="Times New Roman" w:hAnsi="Times New Roman"/>
          <w:sz w:val="24"/>
          <w:szCs w:val="24"/>
          <w:lang w:val="en-AU"/>
        </w:rPr>
        <w:t xml:space="preserve"> and teratogenic effects are consistent with the pharmacological mechanisms of cladribine.</w:t>
      </w:r>
    </w:p>
    <w:p w14:paraId="1946C224"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 xml:space="preserve">There are no adequate or well-controlled studies in human pregnancies.  A limited amount of data is available from pregnant women exposed to MAVENCLAD prior to conception.  </w:t>
      </w:r>
      <w:r w:rsidRPr="00A61946">
        <w:rPr>
          <w:rFonts w:ascii="Times New Roman" w:hAnsi="Times New Roman"/>
          <w:sz w:val="24"/>
          <w:szCs w:val="24"/>
        </w:rPr>
        <w:t>No imbalance of adverse pregnancy outcomes between cladribine and placebo has been observed.</w:t>
      </w:r>
    </w:p>
    <w:p w14:paraId="4A929194"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Although clinical data from MAVENCLAD did not reveal evidence of teratogenicity in humans, MAVENCLAD has been shown to inhibit DNA synthesis.  Other agents that inhibit DNA synthesis (e.g. methotrexate) have been reported to be teratogenic in humans.</w:t>
      </w:r>
    </w:p>
    <w:p w14:paraId="73E7C4F0"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 xml:space="preserve">MAVENCLAD is contraindicated in pregnant women (refer to CONTRAINDICATIONS).  </w:t>
      </w:r>
    </w:p>
    <w:p w14:paraId="1D7B13CA" w14:textId="77777777" w:rsidR="00724837" w:rsidRPr="00A61946" w:rsidRDefault="00724837" w:rsidP="008F24E1">
      <w:pPr>
        <w:keepNext/>
        <w:autoSpaceDE w:val="0"/>
        <w:autoSpaceDN w:val="0"/>
        <w:spacing w:before="180" w:line="276" w:lineRule="auto"/>
        <w:rPr>
          <w:rFonts w:ascii="Times New Roman" w:hAnsi="Times New Roman"/>
          <w:sz w:val="24"/>
          <w:szCs w:val="24"/>
          <w:u w:val="single"/>
          <w:lang w:val="en-AU"/>
        </w:rPr>
      </w:pPr>
      <w:r w:rsidRPr="00A61946">
        <w:rPr>
          <w:rFonts w:ascii="Times New Roman" w:hAnsi="Times New Roman"/>
          <w:sz w:val="24"/>
          <w:szCs w:val="24"/>
          <w:u w:val="single"/>
          <w:lang w:val="en-AU"/>
        </w:rPr>
        <w:t>Contraception</w:t>
      </w:r>
    </w:p>
    <w:p w14:paraId="15B2F5BE"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 xml:space="preserve">In women of childbearing potential, pregnancy must be excluded before the initiation of MAVENCLAD therapy in year 1 and year 2, and prevented by use of reliable contraception during MAVENCLAD treatment and for at least 6 months (6 menstrual cycles) after the last dose.  This will allow for the removal of any follicle that may have been exposed to cladribine during or immediately after a course of treatment.  </w:t>
      </w:r>
      <w:r w:rsidRPr="00A61946">
        <w:rPr>
          <w:rFonts w:ascii="Times New Roman" w:eastAsia="Verdana" w:hAnsi="Times New Roman"/>
          <w:sz w:val="24"/>
          <w:szCs w:val="24"/>
          <w:lang w:eastAsia="en-GB"/>
        </w:rPr>
        <w:t>Women using systemically acting hormonal contraceptives should add a barrier method during MAVENCLAD treatment and for at least 4 weeks after the last dose in each treatment year</w:t>
      </w:r>
      <w:r w:rsidRPr="00A61946">
        <w:rPr>
          <w:rFonts w:ascii="Times New Roman" w:hAnsi="Times New Roman"/>
          <w:sz w:val="24"/>
          <w:szCs w:val="24"/>
        </w:rPr>
        <w:t xml:space="preserve"> (refer to INTERACTIONS WITH OTHER MEDICINES).  </w:t>
      </w:r>
      <w:r w:rsidRPr="00A61946">
        <w:rPr>
          <w:rFonts w:ascii="Times New Roman" w:hAnsi="Times New Roman"/>
          <w:sz w:val="24"/>
          <w:szCs w:val="24"/>
          <w:lang w:val="en-AU"/>
        </w:rPr>
        <w:t>Women who become pregnant during therapy with MAVENCLAD tablets should discontinue treatment.</w:t>
      </w:r>
    </w:p>
    <w:p w14:paraId="0D8A26D5"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In case of exposure to MAVENCLAD during pregnancy, it is recommended that the patient be informed about the potential hazard to the foetus.</w:t>
      </w:r>
    </w:p>
    <w:p w14:paraId="080084B0" w14:textId="77777777" w:rsidR="00724837" w:rsidRPr="00A61946" w:rsidRDefault="00724837" w:rsidP="008F24E1">
      <w:pPr>
        <w:keepNext/>
        <w:autoSpaceDE w:val="0"/>
        <w:autoSpaceDN w:val="0"/>
        <w:spacing w:before="180" w:line="276" w:lineRule="auto"/>
        <w:rPr>
          <w:rFonts w:ascii="Times New Roman" w:hAnsi="Times New Roman"/>
          <w:b/>
          <w:sz w:val="24"/>
          <w:szCs w:val="24"/>
          <w:lang w:val="en-AU"/>
        </w:rPr>
      </w:pPr>
      <w:r w:rsidRPr="00A61946">
        <w:rPr>
          <w:rFonts w:ascii="Times New Roman" w:hAnsi="Times New Roman"/>
          <w:b/>
          <w:sz w:val="24"/>
          <w:szCs w:val="24"/>
          <w:lang w:val="en-AU"/>
        </w:rPr>
        <w:lastRenderedPageBreak/>
        <w:t>Use in Lactation</w:t>
      </w:r>
    </w:p>
    <w:p w14:paraId="16EEF61C"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 xml:space="preserve">It is not known whether cladribine is excreted in human milk.  Because many medicines are excreted in human milk and the potential for serious adverse reactions in breast-fed infants from MAVENCLAD, a decision should be made either to discontinue breast-feeding or to discontinue MAVENCLAD, taking into account the importance of MAVENCLAD to the mother (refer to CONTRAINDICATIONS). </w:t>
      </w:r>
    </w:p>
    <w:p w14:paraId="68643D0D" w14:textId="77777777" w:rsidR="00724837" w:rsidRPr="00A61946" w:rsidRDefault="00724837" w:rsidP="008F24E1">
      <w:pPr>
        <w:keepNext/>
        <w:autoSpaceDE w:val="0"/>
        <w:autoSpaceDN w:val="0"/>
        <w:spacing w:before="180" w:line="276" w:lineRule="auto"/>
        <w:rPr>
          <w:rFonts w:ascii="Times New Roman" w:hAnsi="Times New Roman"/>
          <w:b/>
          <w:sz w:val="24"/>
          <w:szCs w:val="24"/>
          <w:lang w:val="en-AU" w:eastAsia="zh-TW"/>
        </w:rPr>
      </w:pPr>
      <w:r w:rsidRPr="00A61946">
        <w:rPr>
          <w:rFonts w:ascii="Times New Roman" w:hAnsi="Times New Roman"/>
          <w:b/>
          <w:sz w:val="24"/>
          <w:szCs w:val="24"/>
          <w:lang w:val="en-AU" w:eastAsia="zh-TW"/>
        </w:rPr>
        <w:t>Paediatric Use</w:t>
      </w:r>
    </w:p>
    <w:p w14:paraId="6887145B"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Safety and effectiveness of MAVENCLAD in paediatric MS patients are not known.  MAVENCLAD is not recommended in patients below the age of 18 years.</w:t>
      </w:r>
    </w:p>
    <w:p w14:paraId="2124D1D5" w14:textId="77777777" w:rsidR="00724837" w:rsidRPr="00A61946" w:rsidRDefault="00724837" w:rsidP="008F24E1">
      <w:pPr>
        <w:keepNext/>
        <w:autoSpaceDE w:val="0"/>
        <w:autoSpaceDN w:val="0"/>
        <w:spacing w:before="180" w:line="276" w:lineRule="auto"/>
        <w:rPr>
          <w:rFonts w:ascii="Times New Roman" w:hAnsi="Times New Roman"/>
          <w:b/>
          <w:sz w:val="24"/>
          <w:szCs w:val="24"/>
          <w:lang w:val="en-AU" w:eastAsia="zh-TW"/>
        </w:rPr>
      </w:pPr>
      <w:r w:rsidRPr="00A61946">
        <w:rPr>
          <w:rFonts w:ascii="Times New Roman" w:hAnsi="Times New Roman"/>
          <w:b/>
          <w:sz w:val="24"/>
          <w:szCs w:val="24"/>
          <w:lang w:val="en-AU" w:eastAsia="zh-TW"/>
        </w:rPr>
        <w:t>Use in the Elderly</w:t>
      </w:r>
    </w:p>
    <w:p w14:paraId="1C92AC00"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 xml:space="preserve">Clinical studies with MAVENCLAD did not include patients over 65 years of age to determine whether they respond differently from younger patients. </w:t>
      </w:r>
    </w:p>
    <w:p w14:paraId="41DD4AC0"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 xml:space="preserve">Caution is recommended when MAVENCLAD is used in elderly patients, taking into account the potential greater frequency of decreased hepatic or renal function, concomitant diseases, and other medicinal therapy. </w:t>
      </w:r>
    </w:p>
    <w:p w14:paraId="61897DEA" w14:textId="77777777" w:rsidR="00724837" w:rsidRPr="00A61946" w:rsidRDefault="00724837" w:rsidP="008F24E1">
      <w:pPr>
        <w:keepNext/>
        <w:autoSpaceDE w:val="0"/>
        <w:autoSpaceDN w:val="0"/>
        <w:spacing w:before="180" w:line="276" w:lineRule="auto"/>
        <w:rPr>
          <w:rFonts w:ascii="Times New Roman" w:hAnsi="Times New Roman"/>
          <w:b/>
          <w:sz w:val="24"/>
          <w:szCs w:val="24"/>
          <w:lang w:val="en-AU" w:eastAsia="zh-TW"/>
        </w:rPr>
      </w:pPr>
      <w:r w:rsidRPr="00A61946">
        <w:rPr>
          <w:rFonts w:ascii="Times New Roman" w:hAnsi="Times New Roman"/>
          <w:b/>
          <w:sz w:val="24"/>
          <w:szCs w:val="24"/>
          <w:lang w:val="en-AU" w:eastAsia="zh-TW"/>
        </w:rPr>
        <w:t>Carcinogenicity</w:t>
      </w:r>
    </w:p>
    <w:p w14:paraId="72B075DD"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While no treatment-related tumours were seen in a 26-week carcinogenicity study in transgenic mice by oral administration, an increased incidence of Harderian gland adenomas was seen in a 22-month carcinogenicity study in mice by subcutaneous administration.  The clinical relevance of this is unclear as humans do not have this anatomical structure.  However, based on its mode of action and positive findings in mammalian genotoxicity tests (</w:t>
      </w:r>
      <w:r w:rsidRPr="00A61946">
        <w:rPr>
          <w:rFonts w:ascii="Times New Roman" w:hAnsi="Times New Roman"/>
          <w:i/>
          <w:sz w:val="24"/>
          <w:szCs w:val="24"/>
          <w:lang w:val="en-AU"/>
        </w:rPr>
        <w:t>in vitro</w:t>
      </w:r>
      <w:r w:rsidRPr="00A61946">
        <w:rPr>
          <w:rFonts w:ascii="Times New Roman" w:hAnsi="Times New Roman"/>
          <w:sz w:val="24"/>
          <w:szCs w:val="24"/>
          <w:lang w:val="en-AU"/>
        </w:rPr>
        <w:t xml:space="preserve"> and </w:t>
      </w:r>
      <w:r w:rsidRPr="00A61946">
        <w:rPr>
          <w:rFonts w:ascii="Times New Roman" w:hAnsi="Times New Roman"/>
          <w:i/>
          <w:sz w:val="24"/>
          <w:szCs w:val="24"/>
          <w:lang w:val="en-AU"/>
        </w:rPr>
        <w:t>in vivo</w:t>
      </w:r>
      <w:r w:rsidRPr="00A61946">
        <w:rPr>
          <w:rFonts w:ascii="Times New Roman" w:hAnsi="Times New Roman"/>
          <w:sz w:val="24"/>
          <w:szCs w:val="24"/>
          <w:lang w:val="en-AU"/>
        </w:rPr>
        <w:t>), a carcinogenic potential of cladribine cannot be excluded.</w:t>
      </w:r>
    </w:p>
    <w:p w14:paraId="76A682C9" w14:textId="77777777" w:rsidR="00724837" w:rsidRPr="00A61946" w:rsidRDefault="00724837" w:rsidP="008F24E1">
      <w:pPr>
        <w:keepNext/>
        <w:autoSpaceDE w:val="0"/>
        <w:autoSpaceDN w:val="0"/>
        <w:spacing w:before="180" w:line="276" w:lineRule="auto"/>
        <w:rPr>
          <w:rFonts w:ascii="Times New Roman" w:hAnsi="Times New Roman"/>
          <w:b/>
          <w:sz w:val="24"/>
          <w:szCs w:val="24"/>
          <w:lang w:val="en-AU" w:eastAsia="zh-TW"/>
        </w:rPr>
      </w:pPr>
      <w:r w:rsidRPr="00A61946">
        <w:rPr>
          <w:rFonts w:ascii="Times New Roman" w:hAnsi="Times New Roman"/>
          <w:b/>
          <w:sz w:val="24"/>
          <w:szCs w:val="24"/>
          <w:lang w:val="en-AU" w:eastAsia="zh-TW"/>
        </w:rPr>
        <w:t>Genotoxicity</w:t>
      </w:r>
    </w:p>
    <w:p w14:paraId="6CF4619D"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 xml:space="preserve">Cladribine was shown to be genotoxic, causing chromosomal damage in the bone marrow of mice </w:t>
      </w:r>
      <w:r w:rsidRPr="00A61946">
        <w:rPr>
          <w:rFonts w:ascii="Times New Roman" w:hAnsi="Times New Roman"/>
          <w:i/>
          <w:sz w:val="24"/>
          <w:szCs w:val="24"/>
          <w:lang w:val="en-AU"/>
        </w:rPr>
        <w:t>in vivo</w:t>
      </w:r>
      <w:r w:rsidRPr="00A61946">
        <w:rPr>
          <w:rFonts w:ascii="Times New Roman" w:hAnsi="Times New Roman"/>
          <w:sz w:val="24"/>
          <w:szCs w:val="24"/>
          <w:lang w:val="en-AU"/>
        </w:rPr>
        <w:t xml:space="preserve"> and in CHO-WBL cells </w:t>
      </w:r>
      <w:r w:rsidRPr="00A61946">
        <w:rPr>
          <w:rFonts w:ascii="Times New Roman" w:hAnsi="Times New Roman"/>
          <w:i/>
          <w:sz w:val="24"/>
          <w:szCs w:val="24"/>
          <w:lang w:val="en-AU"/>
        </w:rPr>
        <w:t>in vitro</w:t>
      </w:r>
      <w:r w:rsidRPr="00A61946">
        <w:rPr>
          <w:rFonts w:ascii="Times New Roman" w:hAnsi="Times New Roman"/>
          <w:sz w:val="24"/>
          <w:szCs w:val="24"/>
          <w:lang w:val="en-AU"/>
        </w:rPr>
        <w:t xml:space="preserve">. These findings are expected since cladribine is known to cause inhibition of DNA synthesis by an imbalance of </w:t>
      </w:r>
      <w:proofErr w:type="spellStart"/>
      <w:r w:rsidRPr="00A61946">
        <w:rPr>
          <w:rFonts w:ascii="Times New Roman" w:hAnsi="Times New Roman"/>
          <w:sz w:val="24"/>
          <w:szCs w:val="24"/>
          <w:lang w:val="en-AU"/>
        </w:rPr>
        <w:t>deoxynucleotide</w:t>
      </w:r>
      <w:proofErr w:type="spellEnd"/>
      <w:r w:rsidRPr="00A61946">
        <w:rPr>
          <w:rFonts w:ascii="Times New Roman" w:hAnsi="Times New Roman"/>
          <w:sz w:val="24"/>
          <w:szCs w:val="24"/>
          <w:lang w:val="en-AU"/>
        </w:rPr>
        <w:t xml:space="preserve"> triphosphate pools, DNA strand breaks, inhibition of DNA repair, and depletion of intracellular nicotinamide adenine dinucleotide (NAD).  Cladribine was not mutagenic </w:t>
      </w:r>
      <w:r w:rsidRPr="00A61946">
        <w:rPr>
          <w:rFonts w:ascii="Times New Roman" w:hAnsi="Times New Roman"/>
          <w:i/>
          <w:sz w:val="24"/>
          <w:szCs w:val="24"/>
          <w:lang w:val="en-AU"/>
        </w:rPr>
        <w:t>in vitro</w:t>
      </w:r>
      <w:r w:rsidRPr="00A61946">
        <w:rPr>
          <w:rFonts w:ascii="Times New Roman" w:hAnsi="Times New Roman"/>
          <w:sz w:val="24"/>
          <w:szCs w:val="24"/>
          <w:lang w:val="en-AU"/>
        </w:rPr>
        <w:t xml:space="preserve"> (bacterial and mammalian cell mutation assays) and did not induce unscheduled DNA synthesis in primary rat hepatocyte cultures.</w:t>
      </w:r>
      <w:r w:rsidRPr="00A61946">
        <w:rPr>
          <w:rFonts w:ascii="Times New Roman" w:hAnsi="Times New Roman"/>
          <w:sz w:val="24"/>
          <w:szCs w:val="24"/>
          <w:shd w:val="clear" w:color="auto" w:fill="FFFF99"/>
          <w:lang w:val="en-AU"/>
        </w:rPr>
        <w:t xml:space="preserve">  </w:t>
      </w:r>
    </w:p>
    <w:p w14:paraId="7651A2F7" w14:textId="77777777" w:rsidR="00724837" w:rsidRPr="00A61946" w:rsidRDefault="00724837" w:rsidP="008F24E1">
      <w:pPr>
        <w:keepNext/>
        <w:autoSpaceDE w:val="0"/>
        <w:autoSpaceDN w:val="0"/>
        <w:spacing w:before="180" w:line="276" w:lineRule="auto"/>
        <w:rPr>
          <w:rFonts w:ascii="Times New Roman" w:hAnsi="Times New Roman"/>
          <w:sz w:val="24"/>
          <w:szCs w:val="24"/>
          <w:lang w:val="en-AU"/>
        </w:rPr>
      </w:pPr>
      <w:r w:rsidRPr="00A61946">
        <w:rPr>
          <w:rFonts w:ascii="Times New Roman" w:hAnsi="Times New Roman"/>
          <w:b/>
          <w:sz w:val="24"/>
          <w:szCs w:val="24"/>
          <w:lang w:val="en-AU" w:eastAsia="zh-TW"/>
        </w:rPr>
        <w:t>Effects on the ability to drive and use machines</w:t>
      </w:r>
    </w:p>
    <w:p w14:paraId="34E5E354" w14:textId="77777777" w:rsidR="00724837" w:rsidRPr="00A61946" w:rsidRDefault="00724837" w:rsidP="008F24E1">
      <w:pPr>
        <w:pStyle w:val="SPCnormal"/>
        <w:spacing w:before="180" w:line="276" w:lineRule="auto"/>
        <w:rPr>
          <w:b/>
          <w:sz w:val="24"/>
          <w:szCs w:val="24"/>
          <w:lang w:val="en-AU" w:eastAsia="zh-TW"/>
        </w:rPr>
      </w:pPr>
      <w:r w:rsidRPr="00A61946">
        <w:rPr>
          <w:sz w:val="24"/>
          <w:szCs w:val="24"/>
          <w:lang w:val="en-AU"/>
        </w:rPr>
        <w:t>No studies</w:t>
      </w:r>
      <w:r w:rsidRPr="00A61946">
        <w:rPr>
          <w:bCs/>
          <w:sz w:val="24"/>
          <w:szCs w:val="24"/>
        </w:rPr>
        <w:t xml:space="preserve"> on the effect of MAVENCLAD on</w:t>
      </w:r>
      <w:r w:rsidRPr="00A61946">
        <w:rPr>
          <w:sz w:val="24"/>
          <w:szCs w:val="24"/>
          <w:lang w:val="en-AU"/>
        </w:rPr>
        <w:t xml:space="preserve"> the ability to drive or handle machines have been performed.</w:t>
      </w:r>
    </w:p>
    <w:p w14:paraId="574AE886" w14:textId="77777777" w:rsidR="00724837" w:rsidRPr="00A61946" w:rsidRDefault="00724837" w:rsidP="008F24E1">
      <w:pPr>
        <w:keepNext/>
        <w:autoSpaceDE w:val="0"/>
        <w:autoSpaceDN w:val="0"/>
        <w:spacing w:before="180" w:line="276" w:lineRule="auto"/>
        <w:rPr>
          <w:rFonts w:ascii="Times New Roman" w:hAnsi="Times New Roman"/>
          <w:b/>
          <w:sz w:val="24"/>
          <w:szCs w:val="24"/>
          <w:lang w:val="en-AU" w:eastAsia="zh-TW"/>
        </w:rPr>
      </w:pPr>
      <w:r w:rsidRPr="00A61946">
        <w:rPr>
          <w:rFonts w:ascii="Times New Roman" w:hAnsi="Times New Roman"/>
          <w:b/>
          <w:sz w:val="24"/>
          <w:szCs w:val="24"/>
          <w:lang w:val="en-AU" w:eastAsia="zh-TW"/>
        </w:rPr>
        <w:t>INTERACTIONS WITH OTHER MEDICINES</w:t>
      </w:r>
    </w:p>
    <w:p w14:paraId="6FC741E8"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 xml:space="preserve">If any other oral medicines are taken concomitantly, administration must be separated from that of MAVENCLAD by at least 3 hours during the limited number of days of cladribine administration.  </w:t>
      </w:r>
      <w:r w:rsidRPr="00A61946">
        <w:rPr>
          <w:rFonts w:ascii="Times New Roman" w:hAnsi="Times New Roman"/>
          <w:sz w:val="24"/>
          <w:szCs w:val="24"/>
          <w:lang w:val="en-AU"/>
        </w:rPr>
        <w:lastRenderedPageBreak/>
        <w:t>This is because hydroxypropylbetadex released from MAVENCLAD may lead to complex formation with other agents (especially medicines with low solubility), which could cause an increase in bioavailability of such a product.</w:t>
      </w:r>
    </w:p>
    <w:p w14:paraId="4A384A55" w14:textId="77777777" w:rsidR="00724837" w:rsidRPr="00A61946" w:rsidRDefault="00724837" w:rsidP="008F24E1">
      <w:pPr>
        <w:keepNext/>
        <w:autoSpaceDE w:val="0"/>
        <w:autoSpaceDN w:val="0"/>
        <w:spacing w:before="180" w:line="276" w:lineRule="auto"/>
        <w:rPr>
          <w:rFonts w:ascii="Times New Roman" w:hAnsi="Times New Roman"/>
          <w:sz w:val="24"/>
          <w:szCs w:val="24"/>
          <w:u w:val="single"/>
          <w:lang w:val="en-AU" w:eastAsia="zh-TW"/>
        </w:rPr>
      </w:pPr>
      <w:r w:rsidRPr="00A61946">
        <w:rPr>
          <w:rFonts w:ascii="Times New Roman" w:hAnsi="Times New Roman"/>
          <w:sz w:val="24"/>
          <w:szCs w:val="24"/>
          <w:u w:val="single"/>
          <w:lang w:val="en-AU" w:eastAsia="zh-TW"/>
        </w:rPr>
        <w:t>Haematotoxic, Immunosuppressive and Immunomodulating Agents</w:t>
      </w:r>
    </w:p>
    <w:p w14:paraId="6C886BD4"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Use of MAVENCLAD in immunocompromised patients, including patients receiving immunosuppressive or myelosuppressive therapy with, e.g. cyclosporin, methotrexate, mitoxantrone, azathioprine, natalizumab, or chronic use of corticosteroids is contraindicated because of a risk of additive effects on immune status (refer to CONTRAINDICATIONS).  Acute short-term therapy with corticosteroids can be administered if clearly necessary.</w:t>
      </w:r>
    </w:p>
    <w:p w14:paraId="489D92C2"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Safety and efficacy of MAVENCLAD in combination with other disease-modifying treatments for MS has not been assessed.  Concomitant treatment is not recommended.</w:t>
      </w:r>
    </w:p>
    <w:p w14:paraId="6014084C"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Because of the cladribine-induced reduction in lymphocyte count, additive haematological adverse effects may be expected if MAVENCLAD is administered concomitantly with other agents that affect the haematological profile (e.g. carbamazepine, non</w:t>
      </w:r>
      <w:r w:rsidRPr="00A61946">
        <w:rPr>
          <w:rFonts w:ascii="Times New Roman" w:hAnsi="Times New Roman"/>
          <w:sz w:val="24"/>
          <w:szCs w:val="24"/>
          <w:lang w:val="en-AU"/>
        </w:rPr>
        <w:noBreakHyphen/>
        <w:t>steroidal anti</w:t>
      </w:r>
      <w:r w:rsidRPr="00A61946">
        <w:rPr>
          <w:rFonts w:ascii="Times New Roman" w:hAnsi="Times New Roman"/>
          <w:sz w:val="24"/>
          <w:szCs w:val="24"/>
          <w:lang w:val="en-AU"/>
        </w:rPr>
        <w:noBreakHyphen/>
        <w:t>inflammatory drugs).  Careful monitoring of haematological parameters is recommended in such cases.</w:t>
      </w:r>
    </w:p>
    <w:p w14:paraId="7B8F340E" w14:textId="77777777" w:rsidR="00724837" w:rsidRPr="00A61946" w:rsidRDefault="00724837" w:rsidP="008F24E1">
      <w:pPr>
        <w:autoSpaceDE w:val="0"/>
        <w:autoSpaceDN w:val="0"/>
        <w:spacing w:before="180" w:line="276" w:lineRule="auto"/>
        <w:rPr>
          <w:rFonts w:ascii="Times New Roman" w:hAnsi="Times New Roman"/>
          <w:sz w:val="24"/>
          <w:szCs w:val="24"/>
        </w:rPr>
      </w:pPr>
      <w:r w:rsidRPr="00A61946">
        <w:rPr>
          <w:rFonts w:ascii="Times New Roman" w:hAnsi="Times New Roman"/>
          <w:sz w:val="24"/>
          <w:szCs w:val="24"/>
        </w:rPr>
        <w:t>In a clinical study, when beta-interferon was used in combination with cladribine, a more pronounced effect in the reduction of lymphocyte count was observed. This needs to be considered when beta-interferon is used after cladribine.</w:t>
      </w:r>
    </w:p>
    <w:p w14:paraId="3FCD053B" w14:textId="77777777" w:rsidR="00724837" w:rsidRPr="00A61946" w:rsidRDefault="00724837" w:rsidP="008F24E1">
      <w:pPr>
        <w:keepNext/>
        <w:autoSpaceDE w:val="0"/>
        <w:autoSpaceDN w:val="0"/>
        <w:spacing w:before="180" w:line="276" w:lineRule="auto"/>
        <w:rPr>
          <w:rFonts w:ascii="Times New Roman" w:hAnsi="Times New Roman"/>
          <w:sz w:val="24"/>
          <w:szCs w:val="24"/>
          <w:u w:val="single"/>
          <w:lang w:val="en-AU" w:eastAsia="zh-TW"/>
        </w:rPr>
      </w:pPr>
      <w:r w:rsidRPr="00A61946">
        <w:rPr>
          <w:rFonts w:ascii="Times New Roman" w:hAnsi="Times New Roman"/>
          <w:sz w:val="24"/>
          <w:szCs w:val="24"/>
          <w:u w:val="single"/>
          <w:lang w:val="en-AU" w:eastAsia="zh-TW"/>
        </w:rPr>
        <w:t>Live or Live Attenuated Vaccines</w:t>
      </w:r>
    </w:p>
    <w:p w14:paraId="374E83EC"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 xml:space="preserve">MAVENCLAD therapy and individual treatment courses must not be initiated within 4 to 6 weeks after vaccination with live or attenuated live vaccines because of a risk of active vaccine infection.  Also patients must not be vaccinated with live or attenuated live vaccines during a MAVENCLAD treatment course and also not after the last dose of MAVENCLAD, as long as the patient’s white blood cell counts are not within normal limits. </w:t>
      </w:r>
    </w:p>
    <w:p w14:paraId="5A27C641" w14:textId="77777777" w:rsidR="00724837" w:rsidRPr="00A61946" w:rsidRDefault="00724837" w:rsidP="008F24E1">
      <w:pPr>
        <w:keepNext/>
        <w:autoSpaceDE w:val="0"/>
        <w:autoSpaceDN w:val="0"/>
        <w:spacing w:before="180" w:line="276" w:lineRule="auto"/>
        <w:rPr>
          <w:rFonts w:ascii="Times New Roman" w:hAnsi="Times New Roman"/>
          <w:sz w:val="24"/>
          <w:szCs w:val="24"/>
          <w:u w:val="single"/>
          <w:lang w:val="en-AU" w:eastAsia="zh-TW"/>
        </w:rPr>
      </w:pPr>
      <w:r w:rsidRPr="00A61946">
        <w:rPr>
          <w:rFonts w:ascii="Times New Roman" w:hAnsi="Times New Roman"/>
          <w:sz w:val="24"/>
          <w:szCs w:val="24"/>
          <w:u w:val="single"/>
          <w:lang w:val="en-AU" w:eastAsia="zh-TW"/>
        </w:rPr>
        <w:t>Potent ENT1, CNT3 and ABCG2 transporter inhibitors</w:t>
      </w:r>
    </w:p>
    <w:p w14:paraId="42ED9D6E" w14:textId="77777777" w:rsidR="00724837" w:rsidRPr="00A61946" w:rsidRDefault="00724837" w:rsidP="008F24E1">
      <w:pPr>
        <w:autoSpaceDE w:val="0"/>
        <w:autoSpaceDN w:val="0"/>
        <w:spacing w:before="180" w:line="276" w:lineRule="auto"/>
        <w:rPr>
          <w:rFonts w:ascii="Times New Roman" w:hAnsi="Times New Roman"/>
          <w:sz w:val="24"/>
          <w:szCs w:val="24"/>
          <w:lang w:val="en-AU" w:eastAsia="zh-TW"/>
        </w:rPr>
      </w:pPr>
      <w:r w:rsidRPr="00A61946">
        <w:rPr>
          <w:rFonts w:ascii="Times New Roman" w:hAnsi="Times New Roman"/>
          <w:sz w:val="24"/>
          <w:szCs w:val="24"/>
          <w:lang w:val="en-AU" w:eastAsia="zh-TW"/>
        </w:rPr>
        <w:t xml:space="preserve">Based on </w:t>
      </w:r>
      <w:r w:rsidRPr="00A61946">
        <w:rPr>
          <w:rFonts w:ascii="Times New Roman" w:hAnsi="Times New Roman"/>
          <w:i/>
          <w:sz w:val="24"/>
          <w:szCs w:val="24"/>
          <w:lang w:val="en-AU" w:eastAsia="zh-TW"/>
        </w:rPr>
        <w:t>in vitro</w:t>
      </w:r>
      <w:r w:rsidRPr="00A61946">
        <w:rPr>
          <w:rFonts w:ascii="Times New Roman" w:hAnsi="Times New Roman"/>
          <w:sz w:val="24"/>
          <w:szCs w:val="24"/>
          <w:lang w:val="en-AU" w:eastAsia="zh-TW"/>
        </w:rPr>
        <w:t xml:space="preserve"> data suggesting inhibition of ENT1, CNT3 or ABCG2 transport proteins, the bioavailability, intracellular distribution and renal elimination of cladribine may theoretically be altered by medicinal products containing potent ENT1, CNT3 and ABCG2 transporter inhibitors, such as dipyridamole, </w:t>
      </w:r>
      <w:proofErr w:type="spellStart"/>
      <w:r w:rsidRPr="00A61946">
        <w:rPr>
          <w:rFonts w:ascii="Times New Roman" w:hAnsi="Times New Roman"/>
          <w:sz w:val="24"/>
          <w:szCs w:val="24"/>
          <w:lang w:val="en-AU" w:eastAsia="zh-TW"/>
        </w:rPr>
        <w:t>dilazep</w:t>
      </w:r>
      <w:proofErr w:type="spellEnd"/>
      <w:r w:rsidRPr="00A61946">
        <w:rPr>
          <w:rFonts w:ascii="Times New Roman" w:hAnsi="Times New Roman"/>
          <w:sz w:val="24"/>
          <w:szCs w:val="24"/>
          <w:lang w:val="en-AU" w:eastAsia="zh-TW"/>
        </w:rPr>
        <w:t xml:space="preserve">, </w:t>
      </w:r>
      <w:proofErr w:type="spellStart"/>
      <w:r w:rsidRPr="00A61946">
        <w:rPr>
          <w:rFonts w:ascii="Times New Roman" w:hAnsi="Times New Roman"/>
          <w:sz w:val="24"/>
          <w:szCs w:val="24"/>
          <w:lang w:val="en-AU" w:eastAsia="zh-TW"/>
        </w:rPr>
        <w:t>nifedipine</w:t>
      </w:r>
      <w:proofErr w:type="spellEnd"/>
      <w:r w:rsidRPr="00A61946">
        <w:rPr>
          <w:rFonts w:ascii="Times New Roman" w:hAnsi="Times New Roman"/>
          <w:sz w:val="24"/>
          <w:szCs w:val="24"/>
          <w:lang w:val="en-AU" w:eastAsia="zh-TW"/>
        </w:rPr>
        <w:t xml:space="preserve">, </w:t>
      </w:r>
      <w:proofErr w:type="spellStart"/>
      <w:r w:rsidRPr="00A61946">
        <w:rPr>
          <w:rFonts w:ascii="Times New Roman" w:hAnsi="Times New Roman"/>
          <w:sz w:val="24"/>
          <w:szCs w:val="24"/>
          <w:lang w:val="en-AU" w:eastAsia="zh-TW"/>
        </w:rPr>
        <w:t>nimodipine</w:t>
      </w:r>
      <w:proofErr w:type="spellEnd"/>
      <w:r w:rsidRPr="00A61946">
        <w:rPr>
          <w:rFonts w:ascii="Times New Roman" w:hAnsi="Times New Roman"/>
          <w:sz w:val="24"/>
          <w:szCs w:val="24"/>
          <w:lang w:val="en-AU" w:eastAsia="zh-TW"/>
        </w:rPr>
        <w:t xml:space="preserve">, </w:t>
      </w:r>
      <w:proofErr w:type="spellStart"/>
      <w:r w:rsidRPr="00A61946">
        <w:rPr>
          <w:rFonts w:ascii="Times New Roman" w:hAnsi="Times New Roman"/>
          <w:sz w:val="24"/>
          <w:szCs w:val="24"/>
          <w:lang w:val="en-AU" w:eastAsia="zh-TW"/>
        </w:rPr>
        <w:t>cilostazol</w:t>
      </w:r>
      <w:proofErr w:type="spellEnd"/>
      <w:r w:rsidRPr="00A61946">
        <w:rPr>
          <w:rFonts w:ascii="Times New Roman" w:hAnsi="Times New Roman"/>
          <w:sz w:val="24"/>
          <w:szCs w:val="24"/>
          <w:lang w:val="en-AU" w:eastAsia="zh-TW"/>
        </w:rPr>
        <w:t xml:space="preserve">, </w:t>
      </w:r>
      <w:proofErr w:type="spellStart"/>
      <w:r w:rsidRPr="00A61946">
        <w:rPr>
          <w:rFonts w:ascii="Times New Roman" w:hAnsi="Times New Roman"/>
          <w:sz w:val="24"/>
          <w:szCs w:val="24"/>
          <w:lang w:val="en-AU" w:eastAsia="zh-TW"/>
        </w:rPr>
        <w:t>sulindac</w:t>
      </w:r>
      <w:proofErr w:type="spellEnd"/>
      <w:r w:rsidRPr="00A61946">
        <w:rPr>
          <w:rFonts w:ascii="Times New Roman" w:hAnsi="Times New Roman"/>
          <w:sz w:val="24"/>
          <w:szCs w:val="24"/>
          <w:lang w:val="en-AU" w:eastAsia="zh-TW"/>
        </w:rPr>
        <w:t xml:space="preserve">, reserpine or </w:t>
      </w:r>
      <w:proofErr w:type="spellStart"/>
      <w:r w:rsidRPr="00A61946">
        <w:rPr>
          <w:rFonts w:ascii="Times New Roman" w:hAnsi="Times New Roman"/>
          <w:sz w:val="24"/>
          <w:szCs w:val="24"/>
          <w:lang w:val="en-AU" w:eastAsia="zh-TW"/>
        </w:rPr>
        <w:t>eltrombopag</w:t>
      </w:r>
      <w:proofErr w:type="spellEnd"/>
      <w:r w:rsidRPr="00A61946">
        <w:rPr>
          <w:rFonts w:ascii="Times New Roman" w:hAnsi="Times New Roman"/>
          <w:sz w:val="24"/>
          <w:szCs w:val="24"/>
          <w:lang w:val="en-AU" w:eastAsia="zh-TW"/>
        </w:rPr>
        <w:t>.  The net effects in terms of potential cladribine exposure alterations are difficult to predict and hence, the clinical relevance of these findings is unknown.</w:t>
      </w:r>
    </w:p>
    <w:p w14:paraId="30BD5B6E" w14:textId="77777777" w:rsidR="00724837" w:rsidRPr="00A61946" w:rsidRDefault="00724837" w:rsidP="008F24E1">
      <w:pPr>
        <w:autoSpaceDE w:val="0"/>
        <w:autoSpaceDN w:val="0"/>
        <w:spacing w:before="180" w:line="276" w:lineRule="auto"/>
        <w:rPr>
          <w:rFonts w:ascii="Times New Roman" w:hAnsi="Times New Roman"/>
          <w:sz w:val="24"/>
          <w:szCs w:val="24"/>
          <w:lang w:val="en-AU" w:eastAsia="zh-TW"/>
        </w:rPr>
      </w:pPr>
      <w:r w:rsidRPr="00A61946">
        <w:rPr>
          <w:rFonts w:ascii="Times New Roman" w:hAnsi="Times New Roman"/>
          <w:sz w:val="24"/>
          <w:szCs w:val="24"/>
          <w:lang w:val="en-AU" w:eastAsia="zh-TW"/>
        </w:rPr>
        <w:t>It is recommended that co-administration of these products be avoided during the 4 to 5 day MAVENCLAD treatment.  If this is not possible, selection of alternative concomitant medicinal products with no, or minimal ENT1, CNT3 or ABCG2 transporter inhibiting properties should be considered.  If this is not possible, dose reduction to the minimum mandatory dose of medicinal products containing these compounds, separation in the timing of administration by several hours, and careful patient monitoring is recommended.</w:t>
      </w:r>
    </w:p>
    <w:p w14:paraId="6B6955F6" w14:textId="77777777" w:rsidR="00724837" w:rsidRPr="00A61946" w:rsidRDefault="00724837" w:rsidP="008F24E1">
      <w:pPr>
        <w:keepNext/>
        <w:keepLines/>
        <w:widowControl/>
        <w:adjustRightInd/>
        <w:spacing w:before="180" w:line="240" w:lineRule="auto"/>
        <w:jc w:val="left"/>
        <w:textAlignment w:val="auto"/>
        <w:rPr>
          <w:rFonts w:ascii="Times New Roman" w:hAnsi="Times New Roman"/>
          <w:sz w:val="24"/>
          <w:szCs w:val="24"/>
          <w:u w:val="single"/>
          <w:lang w:eastAsia="sv-SE"/>
        </w:rPr>
      </w:pPr>
      <w:r w:rsidRPr="00A61946">
        <w:rPr>
          <w:rFonts w:ascii="Times New Roman" w:hAnsi="Times New Roman"/>
          <w:sz w:val="24"/>
          <w:szCs w:val="24"/>
          <w:u w:val="single"/>
          <w:lang w:eastAsia="sv-SE"/>
        </w:rPr>
        <w:lastRenderedPageBreak/>
        <w:t>Potent ABCG2 and P</w:t>
      </w:r>
      <w:r w:rsidRPr="00A61946">
        <w:rPr>
          <w:rFonts w:ascii="Times New Roman" w:hAnsi="Times New Roman"/>
          <w:sz w:val="24"/>
          <w:szCs w:val="24"/>
          <w:u w:val="single"/>
          <w:lang w:eastAsia="sv-SE"/>
        </w:rPr>
        <w:noBreakHyphen/>
        <w:t>gp transporter inducers</w:t>
      </w:r>
    </w:p>
    <w:p w14:paraId="4313B7C0"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rPr>
        <w:t>The effects of potent inducers of the efflux transporters ABCG2 and P</w:t>
      </w:r>
      <w:r w:rsidRPr="00A61946">
        <w:rPr>
          <w:rFonts w:ascii="Times New Roman" w:hAnsi="Times New Roman"/>
          <w:sz w:val="24"/>
          <w:szCs w:val="24"/>
        </w:rPr>
        <w:noBreakHyphen/>
        <w:t>glycoprotein (P</w:t>
      </w:r>
      <w:r w:rsidRPr="00A61946">
        <w:rPr>
          <w:rFonts w:ascii="Times New Roman" w:hAnsi="Times New Roman"/>
          <w:sz w:val="24"/>
          <w:szCs w:val="24"/>
        </w:rPr>
        <w:noBreakHyphen/>
        <w:t>gp) on the bioavailability and disposition of cladribine have not been formally studied. A possible decrease in cladribine exposure should be considered if potent ABCG2 (e.g. corticosteroids) or P</w:t>
      </w:r>
      <w:r w:rsidRPr="00A61946">
        <w:rPr>
          <w:rFonts w:ascii="Times New Roman" w:hAnsi="Times New Roman"/>
          <w:sz w:val="24"/>
          <w:szCs w:val="24"/>
        </w:rPr>
        <w:noBreakHyphen/>
        <w:t>gp (e.g. rifampicin, St. John's Wort) transporter inducers are co-administered.</w:t>
      </w:r>
    </w:p>
    <w:p w14:paraId="667D247A" w14:textId="77777777" w:rsidR="00724837" w:rsidRPr="00A61946" w:rsidRDefault="00724837" w:rsidP="008F24E1">
      <w:pPr>
        <w:keepNext/>
        <w:keepLines/>
        <w:widowControl/>
        <w:adjustRightInd/>
        <w:spacing w:before="180" w:line="240" w:lineRule="auto"/>
        <w:jc w:val="left"/>
        <w:textAlignment w:val="auto"/>
        <w:rPr>
          <w:rFonts w:ascii="Times New Roman" w:hAnsi="Times New Roman"/>
          <w:sz w:val="24"/>
          <w:szCs w:val="24"/>
          <w:u w:val="single"/>
          <w:lang w:val="en-AU"/>
        </w:rPr>
      </w:pPr>
      <w:r w:rsidRPr="00A61946">
        <w:rPr>
          <w:rFonts w:ascii="Times New Roman" w:eastAsia="Verdana" w:hAnsi="Times New Roman"/>
          <w:sz w:val="24"/>
          <w:szCs w:val="24"/>
          <w:u w:val="single"/>
          <w:lang w:eastAsia="en-GB"/>
        </w:rPr>
        <w:t>Hormonal contraceptives</w:t>
      </w:r>
    </w:p>
    <w:p w14:paraId="69ED5374"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eastAsia="Verdana" w:hAnsi="Times New Roman"/>
          <w:sz w:val="24"/>
          <w:szCs w:val="24"/>
          <w:lang w:eastAsia="en-GB"/>
        </w:rPr>
        <w:t>It is currently unknown whether cladribine may reduce the effectiveness of systemically acting hormonal contraceptives. Therefore, women using systemically acting hormonal contraceptives should add a barrier method during MAVENCLAD treatment and for at least 4 weeks after the last dose in each treatment year (refer to PRECAUTIONS, Use in Pregnancy).</w:t>
      </w:r>
    </w:p>
    <w:p w14:paraId="50A78200" w14:textId="77777777" w:rsidR="00724837" w:rsidRPr="00A61946" w:rsidRDefault="00724837" w:rsidP="008F24E1">
      <w:pPr>
        <w:keepNext/>
        <w:autoSpaceDE w:val="0"/>
        <w:autoSpaceDN w:val="0"/>
        <w:spacing w:before="180" w:line="276" w:lineRule="auto"/>
        <w:rPr>
          <w:rFonts w:ascii="Times New Roman" w:hAnsi="Times New Roman"/>
          <w:sz w:val="24"/>
          <w:szCs w:val="24"/>
          <w:u w:val="single"/>
          <w:lang w:val="en-AU"/>
        </w:rPr>
      </w:pPr>
      <w:r w:rsidRPr="00A61946">
        <w:rPr>
          <w:rFonts w:ascii="Times New Roman" w:hAnsi="Times New Roman"/>
          <w:sz w:val="24"/>
          <w:szCs w:val="24"/>
          <w:u w:val="single"/>
          <w:lang w:val="en-AU"/>
        </w:rPr>
        <w:t>Other</w:t>
      </w:r>
    </w:p>
    <w:p w14:paraId="45331351" w14:textId="77777777" w:rsidR="00724837" w:rsidRPr="00A61946" w:rsidDel="00A4097A"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i/>
          <w:sz w:val="24"/>
          <w:szCs w:val="24"/>
          <w:lang w:val="en-AU"/>
        </w:rPr>
        <w:t>In vitro</w:t>
      </w:r>
      <w:r w:rsidRPr="00A61946">
        <w:rPr>
          <w:rFonts w:ascii="Times New Roman" w:hAnsi="Times New Roman"/>
          <w:sz w:val="24"/>
          <w:szCs w:val="24"/>
          <w:lang w:val="en-AU"/>
        </w:rPr>
        <w:t xml:space="preserve"> studies suggest that cladribine efflux is not or only minimally P</w:t>
      </w:r>
      <w:r w:rsidRPr="00A61946">
        <w:rPr>
          <w:rFonts w:ascii="Times New Roman" w:hAnsi="Times New Roman"/>
          <w:sz w:val="24"/>
          <w:szCs w:val="24"/>
          <w:lang w:val="en-AU"/>
        </w:rPr>
        <w:noBreakHyphen/>
        <w:t>gp related.  Clinically relevant interactions with inhibitors of P</w:t>
      </w:r>
      <w:r w:rsidRPr="00A61946">
        <w:rPr>
          <w:rFonts w:ascii="Times New Roman" w:hAnsi="Times New Roman"/>
          <w:sz w:val="24"/>
          <w:szCs w:val="24"/>
          <w:lang w:val="en-AU"/>
        </w:rPr>
        <w:noBreakHyphen/>
        <w:t xml:space="preserve">gp are not expected. </w:t>
      </w:r>
    </w:p>
    <w:p w14:paraId="5378D1AF" w14:textId="77777777" w:rsidR="00724837" w:rsidRPr="00A61946" w:rsidRDefault="00724837" w:rsidP="006A532F">
      <w:pPr>
        <w:autoSpaceDE w:val="0"/>
        <w:autoSpaceDN w:val="0"/>
        <w:spacing w:before="180" w:line="276" w:lineRule="auto"/>
        <w:rPr>
          <w:rFonts w:ascii="Times New Roman" w:hAnsi="Times New Roman"/>
          <w:sz w:val="24"/>
          <w:szCs w:val="24"/>
          <w:lang w:val="en-AU"/>
        </w:rPr>
      </w:pPr>
      <w:r w:rsidRPr="00A61946">
        <w:rPr>
          <w:rFonts w:ascii="Times New Roman" w:hAnsi="Times New Roman"/>
          <w:i/>
          <w:sz w:val="24"/>
          <w:szCs w:val="24"/>
          <w:lang w:val="en-AU"/>
        </w:rPr>
        <w:t>In vitro</w:t>
      </w:r>
      <w:r w:rsidRPr="00A61946">
        <w:rPr>
          <w:rFonts w:ascii="Times New Roman" w:hAnsi="Times New Roman"/>
          <w:sz w:val="24"/>
          <w:szCs w:val="24"/>
          <w:lang w:val="en-AU"/>
        </w:rPr>
        <w:t xml:space="preserve"> data indicated that cladribine could be degraded at acidic pH. However, drug interaction studies </w:t>
      </w:r>
      <w:r w:rsidRPr="00A61946">
        <w:rPr>
          <w:rFonts w:ascii="Times New Roman" w:hAnsi="Times New Roman"/>
          <w:i/>
          <w:sz w:val="24"/>
          <w:szCs w:val="24"/>
          <w:lang w:val="en-AU"/>
        </w:rPr>
        <w:t>in vivo</w:t>
      </w:r>
      <w:r w:rsidRPr="00A61946">
        <w:rPr>
          <w:rFonts w:ascii="Times New Roman" w:hAnsi="Times New Roman"/>
          <w:sz w:val="24"/>
          <w:szCs w:val="24"/>
          <w:lang w:val="en-AU"/>
        </w:rPr>
        <w:t xml:space="preserve"> showed that the bioavailability of MAVENCLAD 10 mg tablet was not changed when co</w:t>
      </w:r>
      <w:r w:rsidRPr="00A61946">
        <w:rPr>
          <w:rFonts w:ascii="Times New Roman" w:hAnsi="Times New Roman"/>
          <w:sz w:val="24"/>
          <w:szCs w:val="24"/>
          <w:lang w:val="en-AU"/>
        </w:rPr>
        <w:noBreakHyphen/>
        <w:t>administered with pantoprazole and the bioavailability of cladribine oral solution was not enhanced when co</w:t>
      </w:r>
      <w:r w:rsidRPr="00A61946">
        <w:rPr>
          <w:rFonts w:ascii="Times New Roman" w:hAnsi="Times New Roman"/>
          <w:sz w:val="24"/>
          <w:szCs w:val="24"/>
          <w:lang w:val="en-AU"/>
        </w:rPr>
        <w:noBreakHyphen/>
        <w:t xml:space="preserve">administered with omeprazole.  </w:t>
      </w:r>
    </w:p>
    <w:p w14:paraId="5D10F672"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Cladribine showed no significant potential to act as inhibitor of CYP1A2, CYP2B6, CYP2C8, CYP2C9, CYP2C19, CYP2D6, CYP2E1 and CYP3A4.  Inhibition of one of these enzymes, or genetic polymorphism (e.g. in CYP2D6, CYP2C9 or CYP2C19) is not expected to result in clinically significant effects on MAVENCLAD pharmacokinetics.</w:t>
      </w:r>
    </w:p>
    <w:p w14:paraId="6ECB6561" w14:textId="77777777" w:rsidR="00724837" w:rsidRPr="00A61946" w:rsidRDefault="00724837" w:rsidP="008F24E1">
      <w:pPr>
        <w:autoSpaceDE w:val="0"/>
        <w:autoSpaceDN w:val="0"/>
        <w:spacing w:before="180" w:line="276" w:lineRule="auto"/>
        <w:rPr>
          <w:rFonts w:ascii="Times New Roman" w:hAnsi="Times New Roman"/>
          <w:b/>
          <w:sz w:val="24"/>
          <w:szCs w:val="24"/>
          <w:lang w:val="en-AU" w:eastAsia="zh-TW"/>
        </w:rPr>
      </w:pPr>
      <w:r w:rsidRPr="00A61946">
        <w:rPr>
          <w:rFonts w:ascii="Times New Roman" w:hAnsi="Times New Roman"/>
          <w:sz w:val="24"/>
          <w:szCs w:val="24"/>
          <w:lang w:val="en-AU"/>
        </w:rPr>
        <w:t>Cladribine has no inductive effect on CYP1A2</w:t>
      </w:r>
      <w:r w:rsidRPr="00A61946">
        <w:rPr>
          <w:rFonts w:ascii="Times New Roman" w:hAnsi="Times New Roman"/>
          <w:sz w:val="24"/>
          <w:szCs w:val="24"/>
        </w:rPr>
        <w:t>, CYP2B6</w:t>
      </w:r>
      <w:r w:rsidRPr="00A61946">
        <w:rPr>
          <w:rFonts w:ascii="Times New Roman" w:hAnsi="Times New Roman"/>
          <w:sz w:val="24"/>
          <w:szCs w:val="24"/>
          <w:lang w:val="en-AU"/>
        </w:rPr>
        <w:t xml:space="preserve"> and CYP3A4 enzymes.</w:t>
      </w:r>
    </w:p>
    <w:p w14:paraId="088D62B5" w14:textId="77777777" w:rsidR="00724837" w:rsidRPr="00A61946" w:rsidRDefault="00724837" w:rsidP="008F24E1">
      <w:pPr>
        <w:keepNext/>
        <w:autoSpaceDE w:val="0"/>
        <w:autoSpaceDN w:val="0"/>
        <w:spacing w:before="180" w:line="276" w:lineRule="auto"/>
        <w:rPr>
          <w:rFonts w:ascii="Times New Roman" w:hAnsi="Times New Roman"/>
          <w:sz w:val="24"/>
          <w:szCs w:val="24"/>
          <w:lang w:val="en-AU" w:eastAsia="zh-TW"/>
        </w:rPr>
      </w:pPr>
      <w:r w:rsidRPr="00A61946">
        <w:rPr>
          <w:rFonts w:ascii="Times New Roman" w:hAnsi="Times New Roman"/>
          <w:b/>
          <w:sz w:val="24"/>
          <w:szCs w:val="24"/>
          <w:lang w:val="en-AU" w:eastAsia="zh-TW"/>
        </w:rPr>
        <w:t>ADVERSE EFFECTS</w:t>
      </w:r>
    </w:p>
    <w:p w14:paraId="33106729" w14:textId="77777777" w:rsidR="00724837" w:rsidRPr="00A61946" w:rsidRDefault="00724837" w:rsidP="008F24E1">
      <w:pPr>
        <w:keepNext/>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 xml:space="preserve">The most clinically relevant adverse reactions </w:t>
      </w:r>
      <w:r w:rsidRPr="00A61946">
        <w:rPr>
          <w:rFonts w:ascii="Times New Roman" w:hAnsi="Times New Roman"/>
          <w:sz w:val="24"/>
          <w:szCs w:val="24"/>
        </w:rPr>
        <w:t>reported in MS patients who received cladribine at the recommended cumulative dose of 3.5 mg/kg over 2 years in clinical studies were</w:t>
      </w:r>
      <w:r w:rsidRPr="00A61946" w:rsidDel="009A12E3">
        <w:rPr>
          <w:rFonts w:ascii="Times New Roman" w:hAnsi="Times New Roman"/>
          <w:sz w:val="24"/>
          <w:szCs w:val="24"/>
          <w:lang w:val="en-AU"/>
        </w:rPr>
        <w:t xml:space="preserve"> </w:t>
      </w:r>
      <w:r w:rsidRPr="00A61946">
        <w:rPr>
          <w:rFonts w:ascii="Times New Roman" w:hAnsi="Times New Roman"/>
          <w:sz w:val="24"/>
          <w:szCs w:val="24"/>
          <w:lang w:val="en-AU"/>
        </w:rPr>
        <w:t>lymphopenia and herpes zoster (refer to PRECAUTIONS, Haematological Monitoring, Infections).  Lymphopenia led to treatment discontinuation in a phase 3 trial (CLARITY trial) in approximately 2.2% of patients.</w:t>
      </w:r>
      <w:r w:rsidRPr="00A61946">
        <w:t xml:space="preserve"> </w:t>
      </w:r>
      <w:r w:rsidRPr="00A61946">
        <w:rPr>
          <w:rFonts w:ascii="Times New Roman" w:hAnsi="Times New Roman"/>
          <w:sz w:val="24"/>
          <w:szCs w:val="24"/>
        </w:rPr>
        <w:t xml:space="preserve">The incidence of herpes zoster was higher during the period of grade 3 or 4 lymphopenia </w:t>
      </w:r>
      <w:r w:rsidRPr="00A61946">
        <w:rPr>
          <w:rFonts w:ascii="Times New Roman" w:hAnsi="Times New Roman"/>
          <w:bCs/>
          <w:sz w:val="24"/>
          <w:szCs w:val="24"/>
        </w:rPr>
        <w:t xml:space="preserve">(&lt; 500 to 200 cells/mm³ or &lt; 200 cells/mm³) </w:t>
      </w:r>
      <w:r w:rsidRPr="00A61946">
        <w:rPr>
          <w:rFonts w:ascii="Times New Roman" w:hAnsi="Times New Roman"/>
          <w:sz w:val="24"/>
          <w:szCs w:val="24"/>
        </w:rPr>
        <w:t>compared to the time when the patients were not experiencing grade 3 or 4 lymphopenia.</w:t>
      </w:r>
    </w:p>
    <w:p w14:paraId="17526C95" w14:textId="77777777" w:rsidR="00724837" w:rsidRPr="00A61946" w:rsidRDefault="00724837" w:rsidP="008F24E1">
      <w:pPr>
        <w:keepNext/>
        <w:autoSpaceDE w:val="0"/>
        <w:autoSpaceDN w:val="0"/>
        <w:spacing w:before="180" w:line="276" w:lineRule="auto"/>
        <w:rPr>
          <w:rFonts w:ascii="Times New Roman" w:hAnsi="Times New Roman"/>
          <w:sz w:val="24"/>
          <w:szCs w:val="24"/>
          <w:lang w:val="en-AU"/>
        </w:rPr>
      </w:pPr>
      <w:r w:rsidRPr="00A61946">
        <w:rPr>
          <w:rFonts w:ascii="Times New Roman" w:hAnsi="Times New Roman"/>
          <w:b/>
          <w:sz w:val="24"/>
          <w:szCs w:val="24"/>
          <w:lang w:val="en-AU"/>
        </w:rPr>
        <w:t>Clinical Trials</w:t>
      </w:r>
    </w:p>
    <w:p w14:paraId="501C5E0E"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 xml:space="preserve">The safety data described below reflect exposure of 884 patients with MS to MAVENCLAD in a placebo-controlled study (CLARITY trial).  The population was 18 to 65 years of age, and gender distribution was approximately 2:1 female to male.  91.2% in the MAVENCLAD 3.5 mg/kg group and 86.2% in the 5.25 mg/kg group completed all treatment courses (refer to CLINICAL TRIALS). </w:t>
      </w:r>
    </w:p>
    <w:p w14:paraId="6B511553" w14:textId="77777777" w:rsidR="00724837"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 xml:space="preserve">Table 2 shows all treatment emergent adverse events occurring at any time during the CLARITY </w:t>
      </w:r>
      <w:r w:rsidRPr="00A61946">
        <w:rPr>
          <w:rFonts w:ascii="Times New Roman" w:hAnsi="Times New Roman"/>
          <w:sz w:val="24"/>
          <w:szCs w:val="24"/>
          <w:lang w:val="en-AU"/>
        </w:rPr>
        <w:lastRenderedPageBreak/>
        <w:t xml:space="preserve">trial with an incidence </w:t>
      </w:r>
      <w:r w:rsidRPr="00A61946">
        <w:rPr>
          <w:rFonts w:ascii="Times New Roman" w:hAnsi="Times New Roman"/>
          <w:noProof/>
          <w:sz w:val="24"/>
          <w:szCs w:val="24"/>
        </w:rPr>
        <w:sym w:font="Symbol" w:char="F0B3"/>
      </w:r>
      <w:r w:rsidRPr="00A61946">
        <w:rPr>
          <w:rFonts w:ascii="Times New Roman" w:hAnsi="Times New Roman"/>
          <w:noProof/>
          <w:sz w:val="24"/>
          <w:szCs w:val="24"/>
        </w:rPr>
        <w:t> 5% in any treatment group</w:t>
      </w:r>
      <w:r w:rsidRPr="00A61946">
        <w:rPr>
          <w:rFonts w:ascii="Times New Roman" w:hAnsi="Times New Roman"/>
          <w:sz w:val="24"/>
          <w:szCs w:val="24"/>
          <w:lang w:val="en-AU"/>
        </w:rPr>
        <w:t>.</w:t>
      </w:r>
    </w:p>
    <w:p w14:paraId="3FE3F02B" w14:textId="77777777" w:rsidR="00C678E0" w:rsidRDefault="00C678E0" w:rsidP="008F24E1">
      <w:pPr>
        <w:autoSpaceDE w:val="0"/>
        <w:autoSpaceDN w:val="0"/>
        <w:spacing w:before="180" w:line="276" w:lineRule="auto"/>
        <w:rPr>
          <w:rFonts w:ascii="Times New Roman" w:hAnsi="Times New Roman"/>
          <w:sz w:val="24"/>
          <w:szCs w:val="24"/>
          <w:lang w:val="en-AU"/>
        </w:rPr>
      </w:pPr>
    </w:p>
    <w:tbl>
      <w:tblPr>
        <w:tblW w:w="9323"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3"/>
        <w:gridCol w:w="1984"/>
        <w:gridCol w:w="1843"/>
        <w:gridCol w:w="1843"/>
      </w:tblGrid>
      <w:tr w:rsidR="00724837" w:rsidRPr="00A61946" w14:paraId="5349963D" w14:textId="77777777" w:rsidTr="008F24E1">
        <w:trPr>
          <w:tblHeader/>
        </w:trPr>
        <w:tc>
          <w:tcPr>
            <w:tcW w:w="9323" w:type="dxa"/>
            <w:gridSpan w:val="4"/>
            <w:shd w:val="pct5" w:color="auto" w:fill="auto"/>
            <w:vAlign w:val="center"/>
          </w:tcPr>
          <w:p w14:paraId="04873D5C" w14:textId="77777777" w:rsidR="00724837" w:rsidRPr="00A61946" w:rsidRDefault="00724837" w:rsidP="00C678E0">
            <w:pPr>
              <w:tabs>
                <w:tab w:val="left" w:pos="960"/>
              </w:tabs>
              <w:autoSpaceDE w:val="0"/>
              <w:autoSpaceDN w:val="0"/>
              <w:spacing w:before="60" w:after="60" w:line="276" w:lineRule="auto"/>
              <w:ind w:left="958" w:hanging="958"/>
              <w:rPr>
                <w:rFonts w:ascii="Times New Roman" w:hAnsi="Times New Roman"/>
                <w:b/>
                <w:lang w:val="en-AU" w:eastAsia="en-AU"/>
              </w:rPr>
            </w:pPr>
            <w:r w:rsidRPr="00A61946">
              <w:rPr>
                <w:rFonts w:ascii="Times New Roman" w:hAnsi="Times New Roman"/>
                <w:b/>
                <w:lang w:val="en-AU" w:eastAsia="en-AU"/>
              </w:rPr>
              <w:t>Table 2:</w:t>
            </w:r>
            <w:r w:rsidRPr="00A61946">
              <w:rPr>
                <w:rFonts w:ascii="Times New Roman" w:hAnsi="Times New Roman"/>
                <w:b/>
                <w:lang w:val="en-AU" w:eastAsia="en-AU"/>
              </w:rPr>
              <w:tab/>
            </w:r>
            <w:r w:rsidRPr="00A61946">
              <w:rPr>
                <w:rFonts w:ascii="Times New Roman" w:hAnsi="Times New Roman"/>
                <w:b/>
                <w:sz w:val="24"/>
                <w:szCs w:val="24"/>
                <w:lang w:val="en-AU"/>
              </w:rPr>
              <w:t xml:space="preserve">Treatment emergent adverse events occurring at any time during the CLARITY trial with an incidence </w:t>
            </w:r>
            <w:r w:rsidRPr="00A61946">
              <w:rPr>
                <w:rFonts w:ascii="Times New Roman" w:hAnsi="Times New Roman"/>
                <w:b/>
                <w:noProof/>
                <w:sz w:val="24"/>
                <w:szCs w:val="24"/>
              </w:rPr>
              <w:sym w:font="Symbol" w:char="F0B3"/>
            </w:r>
            <w:r w:rsidRPr="00A61946">
              <w:rPr>
                <w:rFonts w:ascii="Times New Roman" w:hAnsi="Times New Roman"/>
                <w:b/>
                <w:noProof/>
                <w:sz w:val="24"/>
                <w:szCs w:val="24"/>
              </w:rPr>
              <w:t xml:space="preserve"> 5% in any treatment group</w:t>
            </w:r>
          </w:p>
        </w:tc>
      </w:tr>
      <w:tr w:rsidR="00724837" w:rsidRPr="00A61946" w14:paraId="17A4755B" w14:textId="77777777" w:rsidTr="008F24E1">
        <w:trPr>
          <w:tblHeader/>
        </w:trPr>
        <w:tc>
          <w:tcPr>
            <w:tcW w:w="3653" w:type="dxa"/>
            <w:vMerge w:val="restart"/>
            <w:vAlign w:val="center"/>
          </w:tcPr>
          <w:p w14:paraId="49157541" w14:textId="77777777" w:rsidR="00724837" w:rsidRPr="00A61946" w:rsidRDefault="00724837" w:rsidP="008F24E1">
            <w:pPr>
              <w:autoSpaceDE w:val="0"/>
              <w:autoSpaceDN w:val="0"/>
              <w:spacing w:before="60" w:after="20" w:line="276" w:lineRule="auto"/>
              <w:rPr>
                <w:rFonts w:ascii="Times New Roman" w:hAnsi="Times New Roman"/>
                <w:b/>
                <w:lang w:val="en-AU" w:eastAsia="en-AU"/>
              </w:rPr>
            </w:pPr>
            <w:r w:rsidRPr="00A61946">
              <w:rPr>
                <w:rFonts w:ascii="Times New Roman" w:hAnsi="Times New Roman"/>
                <w:b/>
                <w:lang w:val="en-AU" w:eastAsia="en-AU"/>
              </w:rPr>
              <w:t>System organ class</w:t>
            </w:r>
          </w:p>
          <w:p w14:paraId="5740294F" w14:textId="77777777" w:rsidR="00724837" w:rsidRPr="00A61946" w:rsidRDefault="00724837" w:rsidP="008F24E1">
            <w:pPr>
              <w:autoSpaceDE w:val="0"/>
              <w:autoSpaceDN w:val="0"/>
              <w:spacing w:before="60" w:after="20" w:line="276" w:lineRule="auto"/>
              <w:ind w:left="240"/>
              <w:rPr>
                <w:rFonts w:ascii="Times New Roman" w:hAnsi="Times New Roman"/>
                <w:lang w:val="en-AU" w:eastAsia="en-AU"/>
              </w:rPr>
            </w:pPr>
            <w:r w:rsidRPr="00A61946">
              <w:rPr>
                <w:rFonts w:ascii="Times New Roman" w:hAnsi="Times New Roman"/>
                <w:lang w:val="en-AU" w:eastAsia="en-AU"/>
              </w:rPr>
              <w:t xml:space="preserve">Preferred term </w:t>
            </w:r>
            <w:r w:rsidRPr="00A61946">
              <w:rPr>
                <w:rFonts w:ascii="Times New Roman" w:hAnsi="Times New Roman"/>
                <w:vertAlign w:val="superscript"/>
                <w:lang w:val="en-AU" w:eastAsia="en-AU"/>
              </w:rPr>
              <w:t>1</w:t>
            </w:r>
          </w:p>
        </w:tc>
        <w:tc>
          <w:tcPr>
            <w:tcW w:w="5670" w:type="dxa"/>
            <w:gridSpan w:val="3"/>
            <w:vAlign w:val="center"/>
          </w:tcPr>
          <w:p w14:paraId="537DAEB7" w14:textId="77777777" w:rsidR="00724837" w:rsidRPr="00A61946" w:rsidRDefault="00724837" w:rsidP="008F24E1">
            <w:pPr>
              <w:autoSpaceDE w:val="0"/>
              <w:autoSpaceDN w:val="0"/>
              <w:spacing w:before="60" w:after="20" w:line="276" w:lineRule="auto"/>
              <w:jc w:val="center"/>
              <w:rPr>
                <w:rFonts w:ascii="Times New Roman" w:hAnsi="Times New Roman"/>
                <w:b/>
                <w:lang w:val="en-AU"/>
              </w:rPr>
            </w:pPr>
            <w:r w:rsidRPr="00A61946">
              <w:rPr>
                <w:rFonts w:ascii="Times New Roman" w:hAnsi="Times New Roman"/>
                <w:b/>
                <w:lang w:val="en-AU"/>
              </w:rPr>
              <w:t>Number of Patients (percent)</w:t>
            </w:r>
          </w:p>
        </w:tc>
      </w:tr>
      <w:tr w:rsidR="00724837" w:rsidRPr="00A61946" w14:paraId="1084F69F" w14:textId="77777777" w:rsidTr="008F24E1">
        <w:trPr>
          <w:trHeight w:val="987"/>
          <w:tblHeader/>
        </w:trPr>
        <w:tc>
          <w:tcPr>
            <w:tcW w:w="3653" w:type="dxa"/>
            <w:vMerge/>
            <w:tcBorders>
              <w:bottom w:val="single" w:sz="4" w:space="0" w:color="000000"/>
            </w:tcBorders>
            <w:vAlign w:val="center"/>
          </w:tcPr>
          <w:p w14:paraId="1B36D37E" w14:textId="77777777" w:rsidR="00724837" w:rsidRPr="00A61946" w:rsidRDefault="00724837" w:rsidP="008F24E1">
            <w:pPr>
              <w:autoSpaceDE w:val="0"/>
              <w:autoSpaceDN w:val="0"/>
              <w:spacing w:before="60" w:after="20" w:line="276" w:lineRule="auto"/>
              <w:rPr>
                <w:rFonts w:ascii="Times New Roman" w:hAnsi="Times New Roman"/>
                <w:b/>
                <w:lang w:val="en-AU" w:eastAsia="en-AU"/>
              </w:rPr>
            </w:pPr>
          </w:p>
        </w:tc>
        <w:tc>
          <w:tcPr>
            <w:tcW w:w="1984" w:type="dxa"/>
            <w:tcBorders>
              <w:bottom w:val="single" w:sz="4" w:space="0" w:color="000000"/>
            </w:tcBorders>
            <w:vAlign w:val="center"/>
          </w:tcPr>
          <w:p w14:paraId="215C3B6D" w14:textId="77777777" w:rsidR="00724837" w:rsidRPr="00A61946" w:rsidRDefault="00724837" w:rsidP="008F24E1">
            <w:pPr>
              <w:autoSpaceDE w:val="0"/>
              <w:autoSpaceDN w:val="0"/>
              <w:spacing w:before="60" w:after="20" w:line="276" w:lineRule="auto"/>
              <w:jc w:val="center"/>
              <w:rPr>
                <w:rFonts w:ascii="Times New Roman" w:hAnsi="Times New Roman"/>
                <w:lang w:val="en-AU" w:eastAsia="en-AU"/>
              </w:rPr>
            </w:pPr>
            <w:r w:rsidRPr="00A61946">
              <w:rPr>
                <w:rFonts w:ascii="Times New Roman" w:hAnsi="Times New Roman"/>
                <w:b/>
                <w:lang w:val="en-AU"/>
              </w:rPr>
              <w:t>MAVENCLAD</w:t>
            </w:r>
            <w:r w:rsidRPr="00A61946">
              <w:rPr>
                <w:rFonts w:ascii="Times New Roman" w:hAnsi="Times New Roman"/>
                <w:b/>
                <w:lang w:val="en-AU"/>
              </w:rPr>
              <w:br/>
              <w:t>3.5 mg/kg</w:t>
            </w:r>
            <w:r w:rsidRPr="00A61946">
              <w:rPr>
                <w:rFonts w:ascii="Times New Roman" w:hAnsi="Times New Roman"/>
                <w:b/>
                <w:lang w:val="en-AU" w:eastAsia="en-AU"/>
              </w:rPr>
              <w:br/>
            </w:r>
            <w:r w:rsidRPr="00A61946">
              <w:rPr>
                <w:rFonts w:ascii="Times New Roman" w:hAnsi="Times New Roman"/>
                <w:lang w:val="en-AU" w:eastAsia="en-AU"/>
              </w:rPr>
              <w:t xml:space="preserve">[n = 430] </w:t>
            </w:r>
          </w:p>
        </w:tc>
        <w:tc>
          <w:tcPr>
            <w:tcW w:w="1843" w:type="dxa"/>
            <w:tcBorders>
              <w:bottom w:val="single" w:sz="4" w:space="0" w:color="000000"/>
            </w:tcBorders>
          </w:tcPr>
          <w:p w14:paraId="6A609658" w14:textId="77777777" w:rsidR="00724837" w:rsidRPr="00A61946" w:rsidRDefault="00724837" w:rsidP="008F24E1">
            <w:pPr>
              <w:autoSpaceDE w:val="0"/>
              <w:autoSpaceDN w:val="0"/>
              <w:spacing w:before="60" w:after="20" w:line="276" w:lineRule="auto"/>
              <w:jc w:val="center"/>
              <w:rPr>
                <w:rFonts w:ascii="Times New Roman" w:hAnsi="Times New Roman"/>
                <w:b/>
                <w:lang w:val="en-AU" w:eastAsia="en-AU"/>
              </w:rPr>
            </w:pPr>
            <w:r w:rsidRPr="00A61946">
              <w:rPr>
                <w:rFonts w:ascii="Times New Roman" w:hAnsi="Times New Roman"/>
                <w:b/>
                <w:lang w:val="en-AU"/>
              </w:rPr>
              <w:t>MAVENCLAD</w:t>
            </w:r>
            <w:r w:rsidRPr="00A61946">
              <w:rPr>
                <w:rFonts w:ascii="Times New Roman" w:hAnsi="Times New Roman"/>
                <w:b/>
                <w:lang w:val="en-AU"/>
              </w:rPr>
              <w:br/>
              <w:t>5.25 mg/kg</w:t>
            </w:r>
            <w:r w:rsidRPr="00A61946">
              <w:rPr>
                <w:rFonts w:ascii="Times New Roman" w:hAnsi="Times New Roman"/>
                <w:b/>
                <w:lang w:val="en-AU" w:eastAsia="en-AU"/>
              </w:rPr>
              <w:br/>
            </w:r>
            <w:r w:rsidRPr="00A61946">
              <w:rPr>
                <w:rFonts w:ascii="Times New Roman" w:hAnsi="Times New Roman"/>
                <w:lang w:val="en-AU" w:eastAsia="en-AU"/>
              </w:rPr>
              <w:t>[n = 454]</w:t>
            </w:r>
          </w:p>
        </w:tc>
        <w:tc>
          <w:tcPr>
            <w:tcW w:w="1843" w:type="dxa"/>
            <w:tcBorders>
              <w:bottom w:val="single" w:sz="4" w:space="0" w:color="000000"/>
            </w:tcBorders>
            <w:vAlign w:val="center"/>
          </w:tcPr>
          <w:p w14:paraId="16748E54" w14:textId="77777777" w:rsidR="00724837" w:rsidRPr="00A61946" w:rsidRDefault="00724837" w:rsidP="008F24E1">
            <w:pPr>
              <w:autoSpaceDE w:val="0"/>
              <w:autoSpaceDN w:val="0"/>
              <w:spacing w:before="60" w:after="20" w:line="276" w:lineRule="auto"/>
              <w:jc w:val="center"/>
              <w:rPr>
                <w:rFonts w:ascii="Times New Roman" w:hAnsi="Times New Roman"/>
                <w:lang w:val="en-AU" w:eastAsia="en-AU"/>
              </w:rPr>
            </w:pPr>
            <w:r w:rsidRPr="00A61946">
              <w:rPr>
                <w:rFonts w:ascii="Times New Roman" w:hAnsi="Times New Roman"/>
                <w:b/>
                <w:lang w:val="en-AU" w:eastAsia="en-AU"/>
              </w:rPr>
              <w:t>Placebo</w:t>
            </w:r>
            <w:r w:rsidRPr="00A61946">
              <w:rPr>
                <w:rFonts w:ascii="Times New Roman" w:hAnsi="Times New Roman"/>
                <w:b/>
                <w:lang w:val="en-AU" w:eastAsia="en-AU"/>
              </w:rPr>
              <w:br/>
              <w:t>[</w:t>
            </w:r>
            <w:r w:rsidRPr="00A61946">
              <w:rPr>
                <w:rFonts w:ascii="Times New Roman" w:hAnsi="Times New Roman"/>
                <w:lang w:val="en-AU" w:eastAsia="en-AU"/>
              </w:rPr>
              <w:t xml:space="preserve">n = 435] </w:t>
            </w:r>
            <w:r w:rsidRPr="00A61946">
              <w:rPr>
                <w:rFonts w:ascii="Times New Roman" w:hAnsi="Times New Roman"/>
                <w:vertAlign w:val="superscript"/>
                <w:lang w:val="en-AU" w:eastAsia="en-AU"/>
              </w:rPr>
              <w:t>2</w:t>
            </w:r>
          </w:p>
        </w:tc>
      </w:tr>
      <w:tr w:rsidR="00724837" w:rsidRPr="00A61946" w14:paraId="6224C8E5" w14:textId="77777777" w:rsidTr="008F24E1">
        <w:tc>
          <w:tcPr>
            <w:tcW w:w="3653" w:type="dxa"/>
            <w:tcBorders>
              <w:bottom w:val="nil"/>
            </w:tcBorders>
            <w:vAlign w:val="center"/>
          </w:tcPr>
          <w:p w14:paraId="57F5FDE3" w14:textId="77777777" w:rsidR="00724837" w:rsidRPr="00A61946" w:rsidRDefault="00724837" w:rsidP="008F24E1">
            <w:pPr>
              <w:autoSpaceDE w:val="0"/>
              <w:autoSpaceDN w:val="0"/>
              <w:spacing w:before="60" w:after="20" w:line="276" w:lineRule="auto"/>
              <w:rPr>
                <w:rFonts w:ascii="Times New Roman" w:hAnsi="Times New Roman"/>
                <w:b/>
                <w:lang w:val="en-AU" w:eastAsia="en-AU"/>
              </w:rPr>
            </w:pPr>
            <w:r w:rsidRPr="00A61946">
              <w:rPr>
                <w:rFonts w:ascii="Times New Roman" w:hAnsi="Times New Roman"/>
                <w:b/>
                <w:lang w:val="en-AU" w:eastAsia="en-AU"/>
              </w:rPr>
              <w:t>Infections and infestations</w:t>
            </w:r>
          </w:p>
        </w:tc>
        <w:tc>
          <w:tcPr>
            <w:tcW w:w="1984" w:type="dxa"/>
            <w:tcBorders>
              <w:bottom w:val="nil"/>
            </w:tcBorders>
            <w:vAlign w:val="center"/>
          </w:tcPr>
          <w:p w14:paraId="1319DC49" w14:textId="77777777" w:rsidR="00724837" w:rsidRPr="00A61946" w:rsidRDefault="00724837" w:rsidP="008F24E1">
            <w:pPr>
              <w:autoSpaceDE w:val="0"/>
              <w:autoSpaceDN w:val="0"/>
              <w:spacing w:before="60" w:after="20" w:line="276" w:lineRule="auto"/>
              <w:jc w:val="center"/>
              <w:rPr>
                <w:rFonts w:ascii="Times New Roman" w:hAnsi="Times New Roman"/>
                <w:b/>
                <w:lang w:val="en-AU"/>
              </w:rPr>
            </w:pPr>
          </w:p>
        </w:tc>
        <w:tc>
          <w:tcPr>
            <w:tcW w:w="1843" w:type="dxa"/>
            <w:tcBorders>
              <w:bottom w:val="nil"/>
            </w:tcBorders>
          </w:tcPr>
          <w:p w14:paraId="6224A8CB" w14:textId="77777777" w:rsidR="00724837" w:rsidRPr="00A61946" w:rsidRDefault="00724837" w:rsidP="008F24E1">
            <w:pPr>
              <w:autoSpaceDE w:val="0"/>
              <w:autoSpaceDN w:val="0"/>
              <w:spacing w:before="60" w:after="20" w:line="276" w:lineRule="auto"/>
              <w:jc w:val="center"/>
              <w:rPr>
                <w:rFonts w:ascii="Times New Roman" w:hAnsi="Times New Roman"/>
                <w:b/>
                <w:lang w:val="en-AU"/>
              </w:rPr>
            </w:pPr>
          </w:p>
        </w:tc>
        <w:tc>
          <w:tcPr>
            <w:tcW w:w="1843" w:type="dxa"/>
            <w:tcBorders>
              <w:bottom w:val="nil"/>
            </w:tcBorders>
            <w:vAlign w:val="center"/>
          </w:tcPr>
          <w:p w14:paraId="336C7081" w14:textId="77777777" w:rsidR="00724837" w:rsidRPr="00A61946" w:rsidRDefault="00724837" w:rsidP="008F24E1">
            <w:pPr>
              <w:autoSpaceDE w:val="0"/>
              <w:autoSpaceDN w:val="0"/>
              <w:spacing w:before="60" w:after="20" w:line="276" w:lineRule="auto"/>
              <w:jc w:val="center"/>
              <w:rPr>
                <w:rFonts w:ascii="Times New Roman" w:hAnsi="Times New Roman"/>
                <w:b/>
                <w:lang w:val="en-AU" w:eastAsia="en-AU"/>
              </w:rPr>
            </w:pPr>
          </w:p>
        </w:tc>
      </w:tr>
      <w:tr w:rsidR="00724837" w:rsidRPr="00A61946" w14:paraId="132723BF" w14:textId="77777777" w:rsidTr="008F24E1">
        <w:tc>
          <w:tcPr>
            <w:tcW w:w="3653" w:type="dxa"/>
            <w:tcBorders>
              <w:top w:val="nil"/>
              <w:bottom w:val="nil"/>
            </w:tcBorders>
          </w:tcPr>
          <w:p w14:paraId="383BF6B2" w14:textId="77777777" w:rsidR="00724837" w:rsidRPr="00A61946" w:rsidRDefault="00724837" w:rsidP="008F24E1">
            <w:pPr>
              <w:autoSpaceDE w:val="0"/>
              <w:autoSpaceDN w:val="0"/>
              <w:spacing w:before="60" w:after="20" w:line="276" w:lineRule="auto"/>
              <w:ind w:left="252"/>
              <w:rPr>
                <w:rFonts w:ascii="Times New Roman" w:hAnsi="Times New Roman"/>
                <w:b/>
                <w:lang w:val="en-AU" w:eastAsia="en-AU"/>
              </w:rPr>
            </w:pPr>
            <w:r w:rsidRPr="00A61946">
              <w:rPr>
                <w:rFonts w:ascii="Times New Roman" w:hAnsi="Times New Roman"/>
                <w:color w:val="000000"/>
              </w:rPr>
              <w:t xml:space="preserve">Nasopharyngitis </w:t>
            </w:r>
          </w:p>
        </w:tc>
        <w:tc>
          <w:tcPr>
            <w:tcW w:w="1984" w:type="dxa"/>
            <w:tcBorders>
              <w:top w:val="nil"/>
              <w:bottom w:val="nil"/>
            </w:tcBorders>
          </w:tcPr>
          <w:p w14:paraId="6F73EE04" w14:textId="77777777" w:rsidR="00724837" w:rsidRPr="00A61946" w:rsidRDefault="00724837" w:rsidP="008F24E1">
            <w:pPr>
              <w:autoSpaceDE w:val="0"/>
              <w:autoSpaceDN w:val="0"/>
              <w:spacing w:before="60" w:after="20" w:line="276" w:lineRule="auto"/>
              <w:jc w:val="center"/>
              <w:rPr>
                <w:rFonts w:ascii="Times New Roman" w:hAnsi="Times New Roman"/>
                <w:b/>
                <w:lang w:val="en-AU"/>
              </w:rPr>
            </w:pPr>
            <w:r w:rsidRPr="00A61946">
              <w:rPr>
                <w:rFonts w:ascii="Times New Roman" w:hAnsi="Times New Roman"/>
                <w:color w:val="000000"/>
              </w:rPr>
              <w:t>62 (14.4)</w:t>
            </w:r>
          </w:p>
        </w:tc>
        <w:tc>
          <w:tcPr>
            <w:tcW w:w="1843" w:type="dxa"/>
            <w:tcBorders>
              <w:top w:val="nil"/>
              <w:bottom w:val="nil"/>
            </w:tcBorders>
          </w:tcPr>
          <w:p w14:paraId="4D7F0A1C" w14:textId="77777777" w:rsidR="00724837" w:rsidRPr="00A61946" w:rsidRDefault="00724837" w:rsidP="008F24E1">
            <w:pPr>
              <w:autoSpaceDE w:val="0"/>
              <w:autoSpaceDN w:val="0"/>
              <w:spacing w:before="60" w:after="20" w:line="276" w:lineRule="auto"/>
              <w:jc w:val="center"/>
              <w:rPr>
                <w:rFonts w:ascii="Times New Roman" w:hAnsi="Times New Roman"/>
                <w:b/>
                <w:lang w:val="en-AU"/>
              </w:rPr>
            </w:pPr>
            <w:r w:rsidRPr="00A61946">
              <w:rPr>
                <w:rFonts w:ascii="Times New Roman" w:hAnsi="Times New Roman"/>
                <w:color w:val="000000"/>
              </w:rPr>
              <w:t>58 (12.8)</w:t>
            </w:r>
          </w:p>
        </w:tc>
        <w:tc>
          <w:tcPr>
            <w:tcW w:w="1843" w:type="dxa"/>
            <w:tcBorders>
              <w:top w:val="nil"/>
              <w:bottom w:val="nil"/>
            </w:tcBorders>
          </w:tcPr>
          <w:p w14:paraId="1DB3BB5A" w14:textId="77777777" w:rsidR="00724837" w:rsidRPr="00A61946" w:rsidRDefault="00724837" w:rsidP="008F24E1">
            <w:pPr>
              <w:autoSpaceDE w:val="0"/>
              <w:autoSpaceDN w:val="0"/>
              <w:spacing w:before="60" w:after="20" w:line="276" w:lineRule="auto"/>
              <w:jc w:val="center"/>
              <w:rPr>
                <w:rFonts w:ascii="Times New Roman" w:hAnsi="Times New Roman"/>
                <w:b/>
                <w:lang w:val="en-AU" w:eastAsia="en-AU"/>
              </w:rPr>
            </w:pPr>
            <w:r w:rsidRPr="00A61946">
              <w:rPr>
                <w:rFonts w:ascii="Times New Roman" w:hAnsi="Times New Roman"/>
                <w:color w:val="000000"/>
              </w:rPr>
              <w:t>56 (12.9)</w:t>
            </w:r>
          </w:p>
        </w:tc>
      </w:tr>
      <w:tr w:rsidR="00724837" w:rsidRPr="00A61946" w14:paraId="6FBE1208" w14:textId="77777777" w:rsidTr="008F24E1">
        <w:tc>
          <w:tcPr>
            <w:tcW w:w="3653" w:type="dxa"/>
            <w:tcBorders>
              <w:top w:val="nil"/>
              <w:bottom w:val="nil"/>
            </w:tcBorders>
          </w:tcPr>
          <w:p w14:paraId="5F9304C4" w14:textId="77777777" w:rsidR="00724837" w:rsidRPr="00A61946" w:rsidRDefault="00724837" w:rsidP="008F24E1">
            <w:pPr>
              <w:autoSpaceDE w:val="0"/>
              <w:autoSpaceDN w:val="0"/>
              <w:spacing w:before="60" w:after="20" w:line="276" w:lineRule="auto"/>
              <w:ind w:left="252"/>
              <w:rPr>
                <w:rFonts w:ascii="Times New Roman" w:hAnsi="Times New Roman"/>
                <w:b/>
                <w:lang w:val="en-AU" w:eastAsia="en-AU"/>
              </w:rPr>
            </w:pPr>
            <w:r w:rsidRPr="00A61946">
              <w:rPr>
                <w:rFonts w:ascii="Times New Roman" w:hAnsi="Times New Roman"/>
                <w:color w:val="000000"/>
              </w:rPr>
              <w:t xml:space="preserve">Upper respiratory tract infection </w:t>
            </w:r>
          </w:p>
        </w:tc>
        <w:tc>
          <w:tcPr>
            <w:tcW w:w="1984" w:type="dxa"/>
            <w:tcBorders>
              <w:top w:val="nil"/>
              <w:bottom w:val="nil"/>
            </w:tcBorders>
          </w:tcPr>
          <w:p w14:paraId="262ABDC1" w14:textId="77777777" w:rsidR="00724837" w:rsidRPr="00A61946" w:rsidRDefault="00724837" w:rsidP="008F24E1">
            <w:pPr>
              <w:autoSpaceDE w:val="0"/>
              <w:autoSpaceDN w:val="0"/>
              <w:spacing w:before="60" w:after="20" w:line="276" w:lineRule="auto"/>
              <w:jc w:val="center"/>
              <w:rPr>
                <w:rFonts w:ascii="Times New Roman" w:hAnsi="Times New Roman"/>
                <w:b/>
                <w:lang w:val="en-AU"/>
              </w:rPr>
            </w:pPr>
            <w:r w:rsidRPr="00A61946">
              <w:rPr>
                <w:rFonts w:ascii="Times New Roman" w:hAnsi="Times New Roman"/>
                <w:color w:val="000000"/>
              </w:rPr>
              <w:t>54 (12.6)</w:t>
            </w:r>
          </w:p>
        </w:tc>
        <w:tc>
          <w:tcPr>
            <w:tcW w:w="1843" w:type="dxa"/>
            <w:tcBorders>
              <w:top w:val="nil"/>
              <w:bottom w:val="nil"/>
            </w:tcBorders>
          </w:tcPr>
          <w:p w14:paraId="50BE53D4" w14:textId="77777777" w:rsidR="00724837" w:rsidRPr="00A61946" w:rsidRDefault="00724837" w:rsidP="008F24E1">
            <w:pPr>
              <w:autoSpaceDE w:val="0"/>
              <w:autoSpaceDN w:val="0"/>
              <w:spacing w:before="60" w:after="20" w:line="276" w:lineRule="auto"/>
              <w:jc w:val="center"/>
              <w:rPr>
                <w:rFonts w:ascii="Times New Roman" w:hAnsi="Times New Roman"/>
                <w:b/>
                <w:lang w:val="en-AU"/>
              </w:rPr>
            </w:pPr>
            <w:r w:rsidRPr="00A61946">
              <w:rPr>
                <w:rFonts w:ascii="Times New Roman" w:hAnsi="Times New Roman"/>
                <w:color w:val="000000"/>
              </w:rPr>
              <w:t>52 (11.5)</w:t>
            </w:r>
          </w:p>
        </w:tc>
        <w:tc>
          <w:tcPr>
            <w:tcW w:w="1843" w:type="dxa"/>
            <w:tcBorders>
              <w:top w:val="nil"/>
              <w:bottom w:val="nil"/>
            </w:tcBorders>
          </w:tcPr>
          <w:p w14:paraId="30A2C721" w14:textId="77777777" w:rsidR="00724837" w:rsidRPr="00A61946" w:rsidRDefault="00724837" w:rsidP="008F24E1">
            <w:pPr>
              <w:autoSpaceDE w:val="0"/>
              <w:autoSpaceDN w:val="0"/>
              <w:spacing w:before="60" w:after="20" w:line="276" w:lineRule="auto"/>
              <w:jc w:val="center"/>
              <w:rPr>
                <w:rFonts w:ascii="Times New Roman" w:hAnsi="Times New Roman"/>
                <w:b/>
                <w:lang w:val="en-AU" w:eastAsia="en-AU"/>
              </w:rPr>
            </w:pPr>
            <w:r w:rsidRPr="00A61946">
              <w:rPr>
                <w:rFonts w:ascii="Times New Roman" w:hAnsi="Times New Roman"/>
                <w:color w:val="000000"/>
              </w:rPr>
              <w:t>42 (9.7)</w:t>
            </w:r>
          </w:p>
        </w:tc>
      </w:tr>
      <w:tr w:rsidR="00724837" w:rsidRPr="00A61946" w14:paraId="2E3AADBD" w14:textId="77777777" w:rsidTr="008F24E1">
        <w:tc>
          <w:tcPr>
            <w:tcW w:w="3653" w:type="dxa"/>
            <w:tcBorders>
              <w:top w:val="nil"/>
              <w:bottom w:val="nil"/>
            </w:tcBorders>
          </w:tcPr>
          <w:p w14:paraId="69C69CF6" w14:textId="77777777" w:rsidR="00724837" w:rsidRPr="00A61946" w:rsidRDefault="00724837" w:rsidP="008F24E1">
            <w:pPr>
              <w:autoSpaceDE w:val="0"/>
              <w:autoSpaceDN w:val="0"/>
              <w:spacing w:before="60" w:after="20" w:line="276" w:lineRule="auto"/>
              <w:ind w:left="252"/>
              <w:rPr>
                <w:rFonts w:ascii="Times New Roman" w:hAnsi="Times New Roman"/>
                <w:b/>
                <w:lang w:val="en-AU" w:eastAsia="en-AU"/>
              </w:rPr>
            </w:pPr>
            <w:r w:rsidRPr="00A61946">
              <w:rPr>
                <w:rFonts w:ascii="Times New Roman" w:hAnsi="Times New Roman"/>
                <w:color w:val="000000"/>
              </w:rPr>
              <w:t xml:space="preserve">Urinary tract infection </w:t>
            </w:r>
          </w:p>
        </w:tc>
        <w:tc>
          <w:tcPr>
            <w:tcW w:w="1984" w:type="dxa"/>
            <w:tcBorders>
              <w:top w:val="nil"/>
              <w:bottom w:val="nil"/>
            </w:tcBorders>
          </w:tcPr>
          <w:p w14:paraId="0380847A" w14:textId="77777777" w:rsidR="00724837" w:rsidRPr="00A61946" w:rsidRDefault="00724837" w:rsidP="008F24E1">
            <w:pPr>
              <w:autoSpaceDE w:val="0"/>
              <w:autoSpaceDN w:val="0"/>
              <w:spacing w:before="60" w:after="20" w:line="276" w:lineRule="auto"/>
              <w:jc w:val="center"/>
              <w:rPr>
                <w:rFonts w:ascii="Times New Roman" w:hAnsi="Times New Roman"/>
                <w:b/>
                <w:lang w:val="en-AU"/>
              </w:rPr>
            </w:pPr>
            <w:r w:rsidRPr="00A61946">
              <w:rPr>
                <w:rFonts w:ascii="Times New Roman" w:hAnsi="Times New Roman"/>
                <w:color w:val="000000"/>
                <w:lang w:val="fr-FR"/>
              </w:rPr>
              <w:t>23 (5.3)</w:t>
            </w:r>
          </w:p>
        </w:tc>
        <w:tc>
          <w:tcPr>
            <w:tcW w:w="1843" w:type="dxa"/>
            <w:tcBorders>
              <w:top w:val="nil"/>
              <w:bottom w:val="nil"/>
            </w:tcBorders>
          </w:tcPr>
          <w:p w14:paraId="74670081" w14:textId="77777777" w:rsidR="00724837" w:rsidRPr="00A61946" w:rsidRDefault="00724837" w:rsidP="008F24E1">
            <w:pPr>
              <w:autoSpaceDE w:val="0"/>
              <w:autoSpaceDN w:val="0"/>
              <w:spacing w:before="60" w:after="20" w:line="276" w:lineRule="auto"/>
              <w:jc w:val="center"/>
              <w:rPr>
                <w:rFonts w:ascii="Times New Roman" w:hAnsi="Times New Roman"/>
                <w:b/>
                <w:lang w:val="en-AU"/>
              </w:rPr>
            </w:pPr>
            <w:r w:rsidRPr="00A61946">
              <w:rPr>
                <w:rFonts w:ascii="Times New Roman" w:hAnsi="Times New Roman"/>
                <w:color w:val="000000"/>
                <w:lang w:val="fr-FR"/>
              </w:rPr>
              <w:t>33 (7.3)</w:t>
            </w:r>
          </w:p>
        </w:tc>
        <w:tc>
          <w:tcPr>
            <w:tcW w:w="1843" w:type="dxa"/>
            <w:tcBorders>
              <w:top w:val="nil"/>
              <w:bottom w:val="nil"/>
            </w:tcBorders>
          </w:tcPr>
          <w:p w14:paraId="2E8B39F1" w14:textId="77777777" w:rsidR="00724837" w:rsidRPr="00A61946" w:rsidRDefault="00724837" w:rsidP="008F24E1">
            <w:pPr>
              <w:autoSpaceDE w:val="0"/>
              <w:autoSpaceDN w:val="0"/>
              <w:spacing w:before="60" w:after="20" w:line="276" w:lineRule="auto"/>
              <w:jc w:val="center"/>
              <w:rPr>
                <w:rFonts w:ascii="Times New Roman" w:hAnsi="Times New Roman"/>
                <w:b/>
                <w:lang w:val="en-AU" w:eastAsia="en-AU"/>
              </w:rPr>
            </w:pPr>
            <w:r w:rsidRPr="00A61946">
              <w:rPr>
                <w:rFonts w:ascii="Times New Roman" w:hAnsi="Times New Roman"/>
                <w:color w:val="000000"/>
                <w:lang w:val="fr-FR"/>
              </w:rPr>
              <w:t>39 (9.0)</w:t>
            </w:r>
          </w:p>
        </w:tc>
      </w:tr>
      <w:tr w:rsidR="00724837" w:rsidRPr="00A61946" w14:paraId="676FB1E6" w14:textId="77777777" w:rsidTr="008F24E1">
        <w:tc>
          <w:tcPr>
            <w:tcW w:w="3653" w:type="dxa"/>
            <w:tcBorders>
              <w:top w:val="nil"/>
              <w:bottom w:val="single" w:sz="4" w:space="0" w:color="000000"/>
            </w:tcBorders>
          </w:tcPr>
          <w:p w14:paraId="1C2807AD" w14:textId="77777777" w:rsidR="00724837" w:rsidRPr="00A61946" w:rsidRDefault="00724837" w:rsidP="008F24E1">
            <w:pPr>
              <w:autoSpaceDE w:val="0"/>
              <w:autoSpaceDN w:val="0"/>
              <w:spacing w:before="60" w:after="20" w:line="276" w:lineRule="auto"/>
              <w:ind w:left="252"/>
              <w:rPr>
                <w:rFonts w:ascii="Times New Roman" w:hAnsi="Times New Roman"/>
                <w:b/>
                <w:lang w:val="en-AU" w:eastAsia="en-AU"/>
              </w:rPr>
            </w:pPr>
            <w:r w:rsidRPr="00A61946">
              <w:rPr>
                <w:rFonts w:ascii="Times New Roman" w:hAnsi="Times New Roman"/>
                <w:color w:val="000000"/>
                <w:lang w:val="fr-FR"/>
              </w:rPr>
              <w:t xml:space="preserve">Influenza </w:t>
            </w:r>
          </w:p>
        </w:tc>
        <w:tc>
          <w:tcPr>
            <w:tcW w:w="1984" w:type="dxa"/>
            <w:tcBorders>
              <w:top w:val="nil"/>
              <w:bottom w:val="single" w:sz="4" w:space="0" w:color="000000"/>
            </w:tcBorders>
          </w:tcPr>
          <w:p w14:paraId="46BB2D6C" w14:textId="77777777" w:rsidR="00724837" w:rsidRPr="00A61946" w:rsidRDefault="00724837" w:rsidP="008F24E1">
            <w:pPr>
              <w:autoSpaceDE w:val="0"/>
              <w:autoSpaceDN w:val="0"/>
              <w:spacing w:before="60" w:after="20" w:line="276" w:lineRule="auto"/>
              <w:jc w:val="center"/>
              <w:rPr>
                <w:rFonts w:ascii="Times New Roman" w:hAnsi="Times New Roman"/>
                <w:b/>
                <w:lang w:val="en-AU"/>
              </w:rPr>
            </w:pPr>
            <w:r w:rsidRPr="00A61946">
              <w:rPr>
                <w:rFonts w:ascii="Times New Roman" w:hAnsi="Times New Roman"/>
                <w:color w:val="000000"/>
                <w:lang w:val="fr-FR"/>
              </w:rPr>
              <w:t>28 (6.5)</w:t>
            </w:r>
          </w:p>
        </w:tc>
        <w:tc>
          <w:tcPr>
            <w:tcW w:w="1843" w:type="dxa"/>
            <w:tcBorders>
              <w:top w:val="nil"/>
              <w:bottom w:val="single" w:sz="4" w:space="0" w:color="000000"/>
            </w:tcBorders>
          </w:tcPr>
          <w:p w14:paraId="15CA5D35" w14:textId="77777777" w:rsidR="00724837" w:rsidRPr="00A61946" w:rsidRDefault="00724837" w:rsidP="008F24E1">
            <w:pPr>
              <w:autoSpaceDE w:val="0"/>
              <w:autoSpaceDN w:val="0"/>
              <w:spacing w:before="60" w:after="20" w:line="276" w:lineRule="auto"/>
              <w:jc w:val="center"/>
              <w:rPr>
                <w:rFonts w:ascii="Times New Roman" w:hAnsi="Times New Roman"/>
                <w:b/>
                <w:lang w:val="en-AU"/>
              </w:rPr>
            </w:pPr>
            <w:r w:rsidRPr="00A61946">
              <w:rPr>
                <w:rFonts w:ascii="Times New Roman" w:hAnsi="Times New Roman"/>
                <w:color w:val="000000"/>
                <w:lang w:val="fr-FR"/>
              </w:rPr>
              <w:t>34 (7.5)</w:t>
            </w:r>
          </w:p>
        </w:tc>
        <w:tc>
          <w:tcPr>
            <w:tcW w:w="1843" w:type="dxa"/>
            <w:tcBorders>
              <w:top w:val="nil"/>
              <w:bottom w:val="single" w:sz="4" w:space="0" w:color="000000"/>
            </w:tcBorders>
          </w:tcPr>
          <w:p w14:paraId="0F666CFC" w14:textId="77777777" w:rsidR="00724837" w:rsidRPr="00A61946" w:rsidRDefault="00724837" w:rsidP="008F24E1">
            <w:pPr>
              <w:autoSpaceDE w:val="0"/>
              <w:autoSpaceDN w:val="0"/>
              <w:spacing w:before="60" w:after="20" w:line="276" w:lineRule="auto"/>
              <w:jc w:val="center"/>
              <w:rPr>
                <w:rFonts w:ascii="Times New Roman" w:hAnsi="Times New Roman"/>
                <w:b/>
                <w:lang w:val="en-AU" w:eastAsia="en-AU"/>
              </w:rPr>
            </w:pPr>
            <w:r w:rsidRPr="00A61946">
              <w:rPr>
                <w:rFonts w:ascii="Times New Roman" w:hAnsi="Times New Roman"/>
                <w:color w:val="000000"/>
                <w:lang w:val="fr-FR"/>
              </w:rPr>
              <w:t>27 (6.2)</w:t>
            </w:r>
          </w:p>
        </w:tc>
      </w:tr>
      <w:tr w:rsidR="00724837" w:rsidRPr="00A61946" w14:paraId="1D532DF7" w14:textId="77777777" w:rsidTr="008F24E1">
        <w:tc>
          <w:tcPr>
            <w:tcW w:w="3653" w:type="dxa"/>
            <w:tcBorders>
              <w:bottom w:val="nil"/>
            </w:tcBorders>
          </w:tcPr>
          <w:p w14:paraId="4308A0CB" w14:textId="77777777" w:rsidR="00724837" w:rsidRPr="00A61946" w:rsidRDefault="00724837" w:rsidP="008F24E1">
            <w:pPr>
              <w:autoSpaceDE w:val="0"/>
              <w:autoSpaceDN w:val="0"/>
              <w:spacing w:before="60" w:after="20" w:line="276" w:lineRule="auto"/>
              <w:rPr>
                <w:rFonts w:ascii="Times New Roman" w:hAnsi="Times New Roman"/>
                <w:b/>
                <w:lang w:val="en-AU" w:eastAsia="en-AU"/>
              </w:rPr>
            </w:pPr>
            <w:r w:rsidRPr="00A61946">
              <w:rPr>
                <w:rFonts w:ascii="Times New Roman" w:hAnsi="Times New Roman"/>
                <w:b/>
                <w:lang w:val="en-AU" w:eastAsia="en-AU"/>
              </w:rPr>
              <w:t xml:space="preserve">Gastrointestinal disorders </w:t>
            </w:r>
          </w:p>
        </w:tc>
        <w:tc>
          <w:tcPr>
            <w:tcW w:w="1984" w:type="dxa"/>
            <w:tcBorders>
              <w:bottom w:val="nil"/>
            </w:tcBorders>
          </w:tcPr>
          <w:p w14:paraId="3D0D563A" w14:textId="77777777" w:rsidR="00724837" w:rsidRPr="00A61946" w:rsidRDefault="00724837" w:rsidP="008F24E1">
            <w:pPr>
              <w:autoSpaceDE w:val="0"/>
              <w:autoSpaceDN w:val="0"/>
              <w:spacing w:before="60" w:after="20" w:line="276" w:lineRule="auto"/>
              <w:jc w:val="center"/>
              <w:rPr>
                <w:rFonts w:ascii="Times New Roman" w:hAnsi="Times New Roman"/>
                <w:color w:val="000000"/>
                <w:lang w:val="fr-FR"/>
              </w:rPr>
            </w:pPr>
          </w:p>
        </w:tc>
        <w:tc>
          <w:tcPr>
            <w:tcW w:w="1843" w:type="dxa"/>
            <w:tcBorders>
              <w:bottom w:val="nil"/>
            </w:tcBorders>
          </w:tcPr>
          <w:p w14:paraId="43B1B7AD" w14:textId="77777777" w:rsidR="00724837" w:rsidRPr="00A61946" w:rsidRDefault="00724837" w:rsidP="008F24E1">
            <w:pPr>
              <w:autoSpaceDE w:val="0"/>
              <w:autoSpaceDN w:val="0"/>
              <w:spacing w:before="60" w:after="20" w:line="276" w:lineRule="auto"/>
              <w:jc w:val="center"/>
              <w:rPr>
                <w:rFonts w:ascii="Times New Roman" w:hAnsi="Times New Roman"/>
                <w:color w:val="000000"/>
                <w:lang w:val="fr-FR"/>
              </w:rPr>
            </w:pPr>
          </w:p>
        </w:tc>
        <w:tc>
          <w:tcPr>
            <w:tcW w:w="1843" w:type="dxa"/>
            <w:tcBorders>
              <w:bottom w:val="nil"/>
            </w:tcBorders>
          </w:tcPr>
          <w:p w14:paraId="13E04210" w14:textId="77777777" w:rsidR="00724837" w:rsidRPr="00A61946" w:rsidRDefault="00724837" w:rsidP="008F24E1">
            <w:pPr>
              <w:autoSpaceDE w:val="0"/>
              <w:autoSpaceDN w:val="0"/>
              <w:spacing w:before="60" w:after="20" w:line="276" w:lineRule="auto"/>
              <w:jc w:val="center"/>
              <w:rPr>
                <w:rFonts w:ascii="Times New Roman" w:hAnsi="Times New Roman"/>
                <w:color w:val="000000"/>
                <w:lang w:val="fr-FR"/>
              </w:rPr>
            </w:pPr>
          </w:p>
        </w:tc>
      </w:tr>
      <w:tr w:rsidR="00724837" w:rsidRPr="00A61946" w14:paraId="19F03335" w14:textId="77777777" w:rsidTr="008F24E1">
        <w:tc>
          <w:tcPr>
            <w:tcW w:w="3653" w:type="dxa"/>
            <w:tcBorders>
              <w:top w:val="nil"/>
              <w:bottom w:val="nil"/>
            </w:tcBorders>
          </w:tcPr>
          <w:p w14:paraId="1B172184" w14:textId="77777777" w:rsidR="00724837" w:rsidRPr="00A61946" w:rsidRDefault="00724837" w:rsidP="008F24E1">
            <w:pPr>
              <w:autoSpaceDE w:val="0"/>
              <w:autoSpaceDN w:val="0"/>
              <w:spacing w:before="60" w:after="20" w:line="276" w:lineRule="auto"/>
              <w:ind w:left="252"/>
              <w:rPr>
                <w:rFonts w:ascii="Times New Roman" w:hAnsi="Times New Roman"/>
                <w:color w:val="000000"/>
              </w:rPr>
            </w:pPr>
            <w:r w:rsidRPr="00A61946">
              <w:rPr>
                <w:rFonts w:ascii="Times New Roman" w:hAnsi="Times New Roman"/>
                <w:color w:val="000000"/>
              </w:rPr>
              <w:t xml:space="preserve">Nausea </w:t>
            </w:r>
          </w:p>
        </w:tc>
        <w:tc>
          <w:tcPr>
            <w:tcW w:w="1984" w:type="dxa"/>
            <w:tcBorders>
              <w:top w:val="nil"/>
              <w:bottom w:val="nil"/>
            </w:tcBorders>
          </w:tcPr>
          <w:p w14:paraId="616D950D" w14:textId="77777777" w:rsidR="00724837" w:rsidRPr="00A61946" w:rsidRDefault="00724837" w:rsidP="008F24E1">
            <w:pPr>
              <w:autoSpaceDE w:val="0"/>
              <w:autoSpaceDN w:val="0"/>
              <w:spacing w:before="60" w:after="20" w:line="276" w:lineRule="auto"/>
              <w:jc w:val="center"/>
              <w:rPr>
                <w:rFonts w:ascii="Times New Roman" w:hAnsi="Times New Roman"/>
                <w:color w:val="000000"/>
                <w:lang w:val="fr-FR"/>
              </w:rPr>
            </w:pPr>
            <w:r w:rsidRPr="00A61946">
              <w:rPr>
                <w:rFonts w:ascii="Times New Roman" w:hAnsi="Times New Roman"/>
                <w:color w:val="000000"/>
                <w:lang w:val="da-DK"/>
              </w:rPr>
              <w:t>43 (10.0)</w:t>
            </w:r>
          </w:p>
        </w:tc>
        <w:tc>
          <w:tcPr>
            <w:tcW w:w="1843" w:type="dxa"/>
            <w:tcBorders>
              <w:top w:val="nil"/>
              <w:bottom w:val="nil"/>
            </w:tcBorders>
          </w:tcPr>
          <w:p w14:paraId="43FBF43B" w14:textId="77777777" w:rsidR="00724837" w:rsidRPr="00A61946" w:rsidRDefault="00724837" w:rsidP="008F24E1">
            <w:pPr>
              <w:autoSpaceDE w:val="0"/>
              <w:autoSpaceDN w:val="0"/>
              <w:spacing w:before="60" w:after="20" w:line="276" w:lineRule="auto"/>
              <w:jc w:val="center"/>
              <w:rPr>
                <w:rFonts w:ascii="Times New Roman" w:hAnsi="Times New Roman"/>
                <w:color w:val="000000"/>
                <w:lang w:val="fr-FR"/>
              </w:rPr>
            </w:pPr>
            <w:r w:rsidRPr="00A61946">
              <w:rPr>
                <w:rFonts w:ascii="Times New Roman" w:hAnsi="Times New Roman"/>
                <w:color w:val="000000"/>
                <w:lang w:val="da-DK"/>
              </w:rPr>
              <w:t>50 (11.0)</w:t>
            </w:r>
          </w:p>
        </w:tc>
        <w:tc>
          <w:tcPr>
            <w:tcW w:w="1843" w:type="dxa"/>
            <w:tcBorders>
              <w:top w:val="nil"/>
              <w:bottom w:val="nil"/>
            </w:tcBorders>
          </w:tcPr>
          <w:p w14:paraId="33D5537A" w14:textId="77777777" w:rsidR="00724837" w:rsidRPr="00A61946" w:rsidRDefault="00724837" w:rsidP="008F24E1">
            <w:pPr>
              <w:autoSpaceDE w:val="0"/>
              <w:autoSpaceDN w:val="0"/>
              <w:spacing w:before="60" w:after="20" w:line="276" w:lineRule="auto"/>
              <w:jc w:val="center"/>
              <w:rPr>
                <w:rFonts w:ascii="Times New Roman" w:hAnsi="Times New Roman"/>
                <w:color w:val="000000"/>
                <w:lang w:val="fr-FR"/>
              </w:rPr>
            </w:pPr>
            <w:r w:rsidRPr="00A61946">
              <w:rPr>
                <w:rFonts w:ascii="Times New Roman" w:hAnsi="Times New Roman"/>
                <w:color w:val="000000"/>
                <w:lang w:val="da-DK"/>
              </w:rPr>
              <w:t>39 (9.0)</w:t>
            </w:r>
          </w:p>
        </w:tc>
      </w:tr>
      <w:tr w:rsidR="00724837" w:rsidRPr="00A61946" w14:paraId="1C5D3861" w14:textId="77777777" w:rsidTr="008F24E1">
        <w:tc>
          <w:tcPr>
            <w:tcW w:w="3653" w:type="dxa"/>
            <w:tcBorders>
              <w:top w:val="nil"/>
              <w:bottom w:val="single" w:sz="4" w:space="0" w:color="000000"/>
            </w:tcBorders>
          </w:tcPr>
          <w:p w14:paraId="2EE94176" w14:textId="77777777" w:rsidR="00724837" w:rsidRPr="00A61946" w:rsidRDefault="00724837" w:rsidP="008F24E1">
            <w:pPr>
              <w:autoSpaceDE w:val="0"/>
              <w:autoSpaceDN w:val="0"/>
              <w:spacing w:before="60" w:after="20" w:line="276" w:lineRule="auto"/>
              <w:ind w:left="252"/>
              <w:rPr>
                <w:rFonts w:ascii="Times New Roman" w:hAnsi="Times New Roman"/>
                <w:color w:val="000000"/>
              </w:rPr>
            </w:pPr>
            <w:r w:rsidRPr="00A61946">
              <w:rPr>
                <w:rFonts w:ascii="Times New Roman" w:hAnsi="Times New Roman"/>
                <w:color w:val="000000"/>
              </w:rPr>
              <w:t xml:space="preserve">Diarrhoea </w:t>
            </w:r>
          </w:p>
        </w:tc>
        <w:tc>
          <w:tcPr>
            <w:tcW w:w="1984" w:type="dxa"/>
            <w:tcBorders>
              <w:top w:val="nil"/>
              <w:bottom w:val="single" w:sz="4" w:space="0" w:color="000000"/>
            </w:tcBorders>
          </w:tcPr>
          <w:p w14:paraId="4581111A" w14:textId="77777777" w:rsidR="00724837" w:rsidRPr="00A61946" w:rsidRDefault="00724837" w:rsidP="008F24E1">
            <w:pPr>
              <w:autoSpaceDE w:val="0"/>
              <w:autoSpaceDN w:val="0"/>
              <w:spacing w:before="60" w:after="20" w:line="276" w:lineRule="auto"/>
              <w:jc w:val="center"/>
              <w:rPr>
                <w:rFonts w:ascii="Times New Roman" w:hAnsi="Times New Roman"/>
                <w:color w:val="000000"/>
                <w:lang w:val="fr-FR"/>
              </w:rPr>
            </w:pPr>
            <w:r w:rsidRPr="00A61946">
              <w:rPr>
                <w:rFonts w:ascii="Times New Roman" w:hAnsi="Times New Roman"/>
                <w:color w:val="000000"/>
                <w:lang w:val="da-DK"/>
              </w:rPr>
              <w:t>30 (7.0)</w:t>
            </w:r>
          </w:p>
        </w:tc>
        <w:tc>
          <w:tcPr>
            <w:tcW w:w="1843" w:type="dxa"/>
            <w:tcBorders>
              <w:top w:val="nil"/>
              <w:bottom w:val="single" w:sz="4" w:space="0" w:color="000000"/>
            </w:tcBorders>
          </w:tcPr>
          <w:p w14:paraId="0379E5FF" w14:textId="77777777" w:rsidR="00724837" w:rsidRPr="00A61946" w:rsidRDefault="00724837" w:rsidP="008F24E1">
            <w:pPr>
              <w:autoSpaceDE w:val="0"/>
              <w:autoSpaceDN w:val="0"/>
              <w:spacing w:before="60" w:after="20" w:line="276" w:lineRule="auto"/>
              <w:jc w:val="center"/>
              <w:rPr>
                <w:rFonts w:ascii="Times New Roman" w:hAnsi="Times New Roman"/>
                <w:color w:val="000000"/>
                <w:lang w:val="fr-FR"/>
              </w:rPr>
            </w:pPr>
            <w:r w:rsidRPr="00A61946">
              <w:rPr>
                <w:rFonts w:ascii="Times New Roman" w:hAnsi="Times New Roman"/>
                <w:color w:val="000000"/>
                <w:lang w:val="da-DK"/>
              </w:rPr>
              <w:t>31 (6.8)</w:t>
            </w:r>
          </w:p>
        </w:tc>
        <w:tc>
          <w:tcPr>
            <w:tcW w:w="1843" w:type="dxa"/>
            <w:tcBorders>
              <w:top w:val="nil"/>
              <w:bottom w:val="single" w:sz="4" w:space="0" w:color="000000"/>
            </w:tcBorders>
          </w:tcPr>
          <w:p w14:paraId="7679090D" w14:textId="77777777" w:rsidR="00724837" w:rsidRPr="00A61946" w:rsidRDefault="00724837" w:rsidP="008F24E1">
            <w:pPr>
              <w:autoSpaceDE w:val="0"/>
              <w:autoSpaceDN w:val="0"/>
              <w:spacing w:before="60" w:after="20" w:line="276" w:lineRule="auto"/>
              <w:jc w:val="center"/>
              <w:rPr>
                <w:rFonts w:ascii="Times New Roman" w:hAnsi="Times New Roman"/>
                <w:color w:val="000000"/>
                <w:lang w:val="fr-FR"/>
              </w:rPr>
            </w:pPr>
            <w:r w:rsidRPr="00A61946">
              <w:rPr>
                <w:rFonts w:ascii="Times New Roman" w:hAnsi="Times New Roman"/>
                <w:color w:val="000000"/>
                <w:lang w:val="da-DK"/>
              </w:rPr>
              <w:t>29 (6.7)</w:t>
            </w:r>
          </w:p>
        </w:tc>
      </w:tr>
      <w:tr w:rsidR="00724837" w:rsidRPr="00A61946" w14:paraId="7DD7305E" w14:textId="77777777" w:rsidTr="008F24E1">
        <w:tc>
          <w:tcPr>
            <w:tcW w:w="3653" w:type="dxa"/>
            <w:tcBorders>
              <w:bottom w:val="nil"/>
            </w:tcBorders>
          </w:tcPr>
          <w:p w14:paraId="3F489012" w14:textId="77777777" w:rsidR="00724837" w:rsidRPr="00A61946" w:rsidRDefault="00724837" w:rsidP="008F24E1">
            <w:pPr>
              <w:autoSpaceDE w:val="0"/>
              <w:autoSpaceDN w:val="0"/>
              <w:spacing w:before="60" w:after="20" w:line="276" w:lineRule="auto"/>
              <w:rPr>
                <w:rFonts w:ascii="Times New Roman" w:hAnsi="Times New Roman"/>
                <w:b/>
                <w:lang w:val="en-AU" w:eastAsia="en-AU"/>
              </w:rPr>
            </w:pPr>
            <w:r w:rsidRPr="00A61946">
              <w:rPr>
                <w:rFonts w:ascii="Times New Roman" w:hAnsi="Times New Roman"/>
                <w:b/>
                <w:lang w:val="en-AU" w:eastAsia="en-AU"/>
              </w:rPr>
              <w:t>Nervous system disorders</w:t>
            </w:r>
          </w:p>
        </w:tc>
        <w:tc>
          <w:tcPr>
            <w:tcW w:w="1984" w:type="dxa"/>
            <w:tcBorders>
              <w:bottom w:val="nil"/>
            </w:tcBorders>
          </w:tcPr>
          <w:p w14:paraId="5DCBCA2B" w14:textId="77777777" w:rsidR="00724837" w:rsidRPr="00A61946" w:rsidRDefault="00724837" w:rsidP="008F24E1">
            <w:pPr>
              <w:autoSpaceDE w:val="0"/>
              <w:autoSpaceDN w:val="0"/>
              <w:spacing w:before="60" w:after="20" w:line="276" w:lineRule="auto"/>
              <w:jc w:val="center"/>
              <w:rPr>
                <w:rFonts w:ascii="Times New Roman" w:hAnsi="Times New Roman"/>
                <w:color w:val="000000"/>
                <w:lang w:val="da-DK"/>
              </w:rPr>
            </w:pPr>
          </w:p>
        </w:tc>
        <w:tc>
          <w:tcPr>
            <w:tcW w:w="1843" w:type="dxa"/>
            <w:tcBorders>
              <w:bottom w:val="nil"/>
            </w:tcBorders>
          </w:tcPr>
          <w:p w14:paraId="6E17C655" w14:textId="77777777" w:rsidR="00724837" w:rsidRPr="00A61946" w:rsidRDefault="00724837" w:rsidP="008F24E1">
            <w:pPr>
              <w:autoSpaceDE w:val="0"/>
              <w:autoSpaceDN w:val="0"/>
              <w:spacing w:before="60" w:after="20" w:line="276" w:lineRule="auto"/>
              <w:jc w:val="center"/>
              <w:rPr>
                <w:rFonts w:ascii="Times New Roman" w:hAnsi="Times New Roman"/>
                <w:color w:val="000000"/>
                <w:lang w:val="da-DK"/>
              </w:rPr>
            </w:pPr>
          </w:p>
        </w:tc>
        <w:tc>
          <w:tcPr>
            <w:tcW w:w="1843" w:type="dxa"/>
            <w:tcBorders>
              <w:bottom w:val="nil"/>
            </w:tcBorders>
          </w:tcPr>
          <w:p w14:paraId="2120AE9B" w14:textId="77777777" w:rsidR="00724837" w:rsidRPr="00A61946" w:rsidRDefault="00724837" w:rsidP="008F24E1">
            <w:pPr>
              <w:autoSpaceDE w:val="0"/>
              <w:autoSpaceDN w:val="0"/>
              <w:spacing w:before="60" w:after="20" w:line="276" w:lineRule="auto"/>
              <w:jc w:val="center"/>
              <w:rPr>
                <w:rFonts w:ascii="Times New Roman" w:hAnsi="Times New Roman"/>
                <w:color w:val="000000"/>
                <w:lang w:val="da-DK"/>
              </w:rPr>
            </w:pPr>
          </w:p>
        </w:tc>
      </w:tr>
      <w:tr w:rsidR="00724837" w:rsidRPr="00A61946" w14:paraId="4127FA97" w14:textId="77777777" w:rsidTr="008F24E1">
        <w:tc>
          <w:tcPr>
            <w:tcW w:w="3653" w:type="dxa"/>
            <w:tcBorders>
              <w:top w:val="nil"/>
              <w:bottom w:val="single" w:sz="4" w:space="0" w:color="000000"/>
            </w:tcBorders>
          </w:tcPr>
          <w:p w14:paraId="436791F7" w14:textId="77777777" w:rsidR="00724837" w:rsidRPr="00A61946" w:rsidRDefault="00724837" w:rsidP="008F24E1">
            <w:pPr>
              <w:autoSpaceDE w:val="0"/>
              <w:autoSpaceDN w:val="0"/>
              <w:spacing w:before="60" w:after="20" w:line="276" w:lineRule="auto"/>
              <w:ind w:left="252"/>
              <w:rPr>
                <w:rFonts w:ascii="Times New Roman" w:hAnsi="Times New Roman"/>
                <w:color w:val="000000"/>
              </w:rPr>
            </w:pPr>
            <w:r w:rsidRPr="00A61946">
              <w:rPr>
                <w:rFonts w:ascii="Times New Roman" w:hAnsi="Times New Roman"/>
                <w:color w:val="000000"/>
              </w:rPr>
              <w:t>Headache</w:t>
            </w:r>
          </w:p>
        </w:tc>
        <w:tc>
          <w:tcPr>
            <w:tcW w:w="1984" w:type="dxa"/>
            <w:tcBorders>
              <w:top w:val="nil"/>
              <w:bottom w:val="single" w:sz="4" w:space="0" w:color="000000"/>
            </w:tcBorders>
          </w:tcPr>
          <w:p w14:paraId="77578878" w14:textId="77777777" w:rsidR="00724837" w:rsidRPr="00A61946" w:rsidRDefault="00724837" w:rsidP="008F24E1">
            <w:pPr>
              <w:autoSpaceDE w:val="0"/>
              <w:autoSpaceDN w:val="0"/>
              <w:spacing w:before="60" w:after="20" w:line="276" w:lineRule="auto"/>
              <w:jc w:val="center"/>
              <w:rPr>
                <w:rFonts w:ascii="Times New Roman" w:hAnsi="Times New Roman"/>
                <w:color w:val="000000"/>
                <w:lang w:val="da-DK"/>
              </w:rPr>
            </w:pPr>
            <w:r w:rsidRPr="00A61946">
              <w:rPr>
                <w:rFonts w:ascii="Times New Roman" w:hAnsi="Times New Roman"/>
                <w:color w:val="000000"/>
              </w:rPr>
              <w:t>104 (24.2)</w:t>
            </w:r>
          </w:p>
        </w:tc>
        <w:tc>
          <w:tcPr>
            <w:tcW w:w="1843" w:type="dxa"/>
            <w:tcBorders>
              <w:top w:val="nil"/>
              <w:bottom w:val="single" w:sz="4" w:space="0" w:color="000000"/>
            </w:tcBorders>
          </w:tcPr>
          <w:p w14:paraId="741B5854" w14:textId="77777777" w:rsidR="00724837" w:rsidRPr="00A61946" w:rsidRDefault="00724837" w:rsidP="008F24E1">
            <w:pPr>
              <w:autoSpaceDE w:val="0"/>
              <w:autoSpaceDN w:val="0"/>
              <w:spacing w:before="60" w:after="20" w:line="276" w:lineRule="auto"/>
              <w:jc w:val="center"/>
              <w:rPr>
                <w:rFonts w:ascii="Times New Roman" w:hAnsi="Times New Roman"/>
                <w:color w:val="000000"/>
                <w:lang w:val="da-DK"/>
              </w:rPr>
            </w:pPr>
            <w:r w:rsidRPr="00A61946">
              <w:rPr>
                <w:rFonts w:ascii="Times New Roman" w:hAnsi="Times New Roman"/>
                <w:color w:val="000000"/>
              </w:rPr>
              <w:t>94 (20.7)</w:t>
            </w:r>
          </w:p>
        </w:tc>
        <w:tc>
          <w:tcPr>
            <w:tcW w:w="1843" w:type="dxa"/>
            <w:tcBorders>
              <w:top w:val="nil"/>
              <w:bottom w:val="single" w:sz="4" w:space="0" w:color="000000"/>
            </w:tcBorders>
          </w:tcPr>
          <w:p w14:paraId="58188EB7" w14:textId="77777777" w:rsidR="00724837" w:rsidRPr="00A61946" w:rsidRDefault="00724837" w:rsidP="008F24E1">
            <w:pPr>
              <w:autoSpaceDE w:val="0"/>
              <w:autoSpaceDN w:val="0"/>
              <w:spacing w:before="60" w:after="20" w:line="276" w:lineRule="auto"/>
              <w:jc w:val="center"/>
              <w:rPr>
                <w:rFonts w:ascii="Times New Roman" w:hAnsi="Times New Roman"/>
                <w:color w:val="000000"/>
                <w:lang w:val="da-DK"/>
              </w:rPr>
            </w:pPr>
            <w:r w:rsidRPr="00A61946">
              <w:rPr>
                <w:rFonts w:ascii="Times New Roman" w:hAnsi="Times New Roman"/>
                <w:color w:val="000000"/>
              </w:rPr>
              <w:t>75 (17.2)</w:t>
            </w:r>
          </w:p>
        </w:tc>
      </w:tr>
      <w:tr w:rsidR="00724837" w:rsidRPr="00A61946" w14:paraId="482CBB1F" w14:textId="77777777" w:rsidTr="008F24E1">
        <w:tc>
          <w:tcPr>
            <w:tcW w:w="3653" w:type="dxa"/>
            <w:tcBorders>
              <w:bottom w:val="nil"/>
            </w:tcBorders>
          </w:tcPr>
          <w:p w14:paraId="35C55337" w14:textId="77777777" w:rsidR="00724837" w:rsidRPr="00A61946" w:rsidRDefault="00724837" w:rsidP="008F24E1">
            <w:pPr>
              <w:autoSpaceDE w:val="0"/>
              <w:autoSpaceDN w:val="0"/>
              <w:spacing w:before="60" w:after="20" w:line="276" w:lineRule="auto"/>
              <w:rPr>
                <w:rFonts w:ascii="Times New Roman" w:hAnsi="Times New Roman"/>
                <w:b/>
                <w:lang w:val="en-AU" w:eastAsia="en-AU"/>
              </w:rPr>
            </w:pPr>
            <w:r w:rsidRPr="00A61946">
              <w:rPr>
                <w:rFonts w:ascii="Times New Roman" w:hAnsi="Times New Roman"/>
                <w:b/>
                <w:lang w:val="en-AU" w:eastAsia="en-AU"/>
              </w:rPr>
              <w:t>Blood and lymphatic system disorders</w:t>
            </w:r>
          </w:p>
        </w:tc>
        <w:tc>
          <w:tcPr>
            <w:tcW w:w="1984" w:type="dxa"/>
            <w:tcBorders>
              <w:bottom w:val="nil"/>
            </w:tcBorders>
          </w:tcPr>
          <w:p w14:paraId="6E162F15"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p>
        </w:tc>
        <w:tc>
          <w:tcPr>
            <w:tcW w:w="1843" w:type="dxa"/>
            <w:tcBorders>
              <w:bottom w:val="nil"/>
            </w:tcBorders>
          </w:tcPr>
          <w:p w14:paraId="64192B1E"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p>
        </w:tc>
        <w:tc>
          <w:tcPr>
            <w:tcW w:w="1843" w:type="dxa"/>
            <w:tcBorders>
              <w:bottom w:val="nil"/>
            </w:tcBorders>
          </w:tcPr>
          <w:p w14:paraId="34980CB8"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p>
        </w:tc>
      </w:tr>
      <w:tr w:rsidR="00724837" w:rsidRPr="00A61946" w14:paraId="37D6F4F4" w14:textId="77777777" w:rsidTr="008F24E1">
        <w:tc>
          <w:tcPr>
            <w:tcW w:w="3653" w:type="dxa"/>
            <w:tcBorders>
              <w:top w:val="nil"/>
              <w:bottom w:val="nil"/>
            </w:tcBorders>
          </w:tcPr>
          <w:p w14:paraId="77136AA7" w14:textId="77777777" w:rsidR="00724837" w:rsidRPr="00A61946" w:rsidRDefault="00724837" w:rsidP="008F24E1">
            <w:pPr>
              <w:autoSpaceDE w:val="0"/>
              <w:autoSpaceDN w:val="0"/>
              <w:spacing w:before="60" w:after="20" w:line="276" w:lineRule="auto"/>
              <w:ind w:left="252"/>
              <w:rPr>
                <w:rFonts w:ascii="Times New Roman" w:hAnsi="Times New Roman"/>
                <w:color w:val="000000"/>
              </w:rPr>
            </w:pPr>
            <w:r w:rsidRPr="00A61946">
              <w:rPr>
                <w:rFonts w:ascii="Times New Roman" w:hAnsi="Times New Roman"/>
                <w:color w:val="000000"/>
                <w:lang w:val="it-IT"/>
              </w:rPr>
              <w:t xml:space="preserve">Lymphopenia </w:t>
            </w:r>
          </w:p>
        </w:tc>
        <w:tc>
          <w:tcPr>
            <w:tcW w:w="1984" w:type="dxa"/>
            <w:tcBorders>
              <w:top w:val="nil"/>
              <w:bottom w:val="nil"/>
            </w:tcBorders>
          </w:tcPr>
          <w:p w14:paraId="3EEF7311"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r w:rsidRPr="00A61946">
              <w:rPr>
                <w:rFonts w:ascii="Times New Roman" w:hAnsi="Times New Roman"/>
                <w:color w:val="000000"/>
                <w:lang w:val="it-IT"/>
              </w:rPr>
              <w:t>93 (21.6)</w:t>
            </w:r>
          </w:p>
        </w:tc>
        <w:tc>
          <w:tcPr>
            <w:tcW w:w="1843" w:type="dxa"/>
            <w:tcBorders>
              <w:top w:val="nil"/>
              <w:bottom w:val="nil"/>
            </w:tcBorders>
          </w:tcPr>
          <w:p w14:paraId="031E2A52"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r w:rsidRPr="00A61946">
              <w:rPr>
                <w:rFonts w:ascii="Times New Roman" w:hAnsi="Times New Roman"/>
                <w:color w:val="000000"/>
                <w:lang w:val="it-IT"/>
              </w:rPr>
              <w:t>143 (31.5)</w:t>
            </w:r>
          </w:p>
        </w:tc>
        <w:tc>
          <w:tcPr>
            <w:tcW w:w="1843" w:type="dxa"/>
            <w:tcBorders>
              <w:top w:val="nil"/>
              <w:bottom w:val="nil"/>
            </w:tcBorders>
          </w:tcPr>
          <w:p w14:paraId="374A48C8"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r w:rsidRPr="00A61946">
              <w:rPr>
                <w:rFonts w:ascii="Times New Roman" w:hAnsi="Times New Roman"/>
                <w:color w:val="000000"/>
                <w:lang w:val="it-IT"/>
              </w:rPr>
              <w:t>8 (1.8)</w:t>
            </w:r>
          </w:p>
        </w:tc>
      </w:tr>
      <w:tr w:rsidR="00724837" w:rsidRPr="00A61946" w14:paraId="75FC0FC8" w14:textId="77777777" w:rsidTr="008F24E1">
        <w:tc>
          <w:tcPr>
            <w:tcW w:w="3653" w:type="dxa"/>
            <w:tcBorders>
              <w:top w:val="nil"/>
              <w:bottom w:val="single" w:sz="4" w:space="0" w:color="000000"/>
            </w:tcBorders>
          </w:tcPr>
          <w:p w14:paraId="4C800C62" w14:textId="77777777" w:rsidR="00724837" w:rsidRPr="00A61946" w:rsidRDefault="00724837" w:rsidP="008F24E1">
            <w:pPr>
              <w:autoSpaceDE w:val="0"/>
              <w:autoSpaceDN w:val="0"/>
              <w:spacing w:before="60" w:after="20" w:line="276" w:lineRule="auto"/>
              <w:ind w:left="252"/>
              <w:rPr>
                <w:rFonts w:ascii="Times New Roman" w:hAnsi="Times New Roman"/>
                <w:color w:val="000000"/>
              </w:rPr>
            </w:pPr>
            <w:r w:rsidRPr="00A61946">
              <w:rPr>
                <w:rFonts w:ascii="Times New Roman" w:hAnsi="Times New Roman"/>
                <w:color w:val="000000"/>
                <w:lang w:val="it-IT"/>
              </w:rPr>
              <w:t xml:space="preserve">Leucopenia </w:t>
            </w:r>
          </w:p>
        </w:tc>
        <w:tc>
          <w:tcPr>
            <w:tcW w:w="1984" w:type="dxa"/>
            <w:tcBorders>
              <w:top w:val="nil"/>
              <w:bottom w:val="single" w:sz="4" w:space="0" w:color="000000"/>
            </w:tcBorders>
          </w:tcPr>
          <w:p w14:paraId="6767D9F9"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r w:rsidRPr="00A61946">
              <w:rPr>
                <w:rFonts w:ascii="Times New Roman" w:hAnsi="Times New Roman"/>
                <w:color w:val="000000"/>
                <w:lang w:val="it-IT"/>
              </w:rPr>
              <w:t>24 (5.6)</w:t>
            </w:r>
          </w:p>
        </w:tc>
        <w:tc>
          <w:tcPr>
            <w:tcW w:w="1843" w:type="dxa"/>
            <w:tcBorders>
              <w:top w:val="nil"/>
              <w:bottom w:val="single" w:sz="4" w:space="0" w:color="000000"/>
            </w:tcBorders>
          </w:tcPr>
          <w:p w14:paraId="16222583"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r w:rsidRPr="00A61946">
              <w:rPr>
                <w:rFonts w:ascii="Times New Roman" w:hAnsi="Times New Roman"/>
                <w:color w:val="000000"/>
                <w:lang w:val="it-IT"/>
              </w:rPr>
              <w:t>39 (8.6)</w:t>
            </w:r>
          </w:p>
        </w:tc>
        <w:tc>
          <w:tcPr>
            <w:tcW w:w="1843" w:type="dxa"/>
            <w:tcBorders>
              <w:top w:val="nil"/>
              <w:bottom w:val="single" w:sz="4" w:space="0" w:color="000000"/>
            </w:tcBorders>
          </w:tcPr>
          <w:p w14:paraId="3705D653"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r w:rsidRPr="00A61946">
              <w:rPr>
                <w:rFonts w:ascii="Times New Roman" w:hAnsi="Times New Roman"/>
                <w:color w:val="000000"/>
                <w:lang w:val="it-IT"/>
              </w:rPr>
              <w:t>3 (0.7)</w:t>
            </w:r>
          </w:p>
        </w:tc>
      </w:tr>
      <w:tr w:rsidR="00724837" w:rsidRPr="00A61946" w14:paraId="0A55B1D5" w14:textId="77777777" w:rsidTr="008F24E1">
        <w:tc>
          <w:tcPr>
            <w:tcW w:w="3653" w:type="dxa"/>
            <w:tcBorders>
              <w:bottom w:val="nil"/>
            </w:tcBorders>
          </w:tcPr>
          <w:p w14:paraId="61F65F7E" w14:textId="77777777" w:rsidR="00724837" w:rsidRPr="00A61946" w:rsidRDefault="00724837" w:rsidP="008F24E1">
            <w:pPr>
              <w:autoSpaceDE w:val="0"/>
              <w:autoSpaceDN w:val="0"/>
              <w:spacing w:before="60" w:after="20" w:line="276" w:lineRule="auto"/>
              <w:rPr>
                <w:rFonts w:ascii="Times New Roman" w:hAnsi="Times New Roman"/>
                <w:b/>
                <w:lang w:val="en-AU" w:eastAsia="en-AU"/>
              </w:rPr>
            </w:pPr>
            <w:r w:rsidRPr="00A61946">
              <w:rPr>
                <w:rFonts w:ascii="Times New Roman" w:hAnsi="Times New Roman"/>
                <w:b/>
                <w:lang w:val="en-AU" w:eastAsia="en-AU"/>
              </w:rPr>
              <w:t>Musculoskeletal and connective tissue disorders</w:t>
            </w:r>
          </w:p>
        </w:tc>
        <w:tc>
          <w:tcPr>
            <w:tcW w:w="1984" w:type="dxa"/>
            <w:tcBorders>
              <w:bottom w:val="nil"/>
            </w:tcBorders>
          </w:tcPr>
          <w:p w14:paraId="43BA5E15"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p>
        </w:tc>
        <w:tc>
          <w:tcPr>
            <w:tcW w:w="1843" w:type="dxa"/>
            <w:tcBorders>
              <w:bottom w:val="nil"/>
            </w:tcBorders>
          </w:tcPr>
          <w:p w14:paraId="5FB82863"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p>
        </w:tc>
        <w:tc>
          <w:tcPr>
            <w:tcW w:w="1843" w:type="dxa"/>
            <w:tcBorders>
              <w:bottom w:val="nil"/>
            </w:tcBorders>
          </w:tcPr>
          <w:p w14:paraId="36F25939"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p>
        </w:tc>
      </w:tr>
      <w:tr w:rsidR="00724837" w:rsidRPr="00A61946" w14:paraId="6AFEA040" w14:textId="77777777" w:rsidTr="008F24E1">
        <w:tc>
          <w:tcPr>
            <w:tcW w:w="3653" w:type="dxa"/>
            <w:tcBorders>
              <w:top w:val="nil"/>
              <w:bottom w:val="nil"/>
            </w:tcBorders>
          </w:tcPr>
          <w:p w14:paraId="1493EEDB" w14:textId="77777777" w:rsidR="00724837" w:rsidRPr="00A61946" w:rsidRDefault="00724837" w:rsidP="008F24E1">
            <w:pPr>
              <w:autoSpaceDE w:val="0"/>
              <w:autoSpaceDN w:val="0"/>
              <w:spacing w:before="60" w:after="20" w:line="276" w:lineRule="auto"/>
              <w:ind w:left="252"/>
              <w:rPr>
                <w:rFonts w:ascii="Times New Roman" w:hAnsi="Times New Roman"/>
                <w:color w:val="000000"/>
              </w:rPr>
            </w:pPr>
            <w:r w:rsidRPr="00A61946">
              <w:rPr>
                <w:rFonts w:ascii="Times New Roman" w:hAnsi="Times New Roman"/>
                <w:color w:val="000000"/>
              </w:rPr>
              <w:t xml:space="preserve">Back pain </w:t>
            </w:r>
          </w:p>
        </w:tc>
        <w:tc>
          <w:tcPr>
            <w:tcW w:w="1984" w:type="dxa"/>
            <w:tcBorders>
              <w:top w:val="nil"/>
              <w:bottom w:val="nil"/>
            </w:tcBorders>
          </w:tcPr>
          <w:p w14:paraId="0A3EFD10"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r w:rsidRPr="00A61946">
              <w:rPr>
                <w:rFonts w:ascii="Times New Roman" w:hAnsi="Times New Roman"/>
                <w:color w:val="000000"/>
              </w:rPr>
              <w:t>34 (7.9)</w:t>
            </w:r>
          </w:p>
        </w:tc>
        <w:tc>
          <w:tcPr>
            <w:tcW w:w="1843" w:type="dxa"/>
            <w:tcBorders>
              <w:top w:val="nil"/>
              <w:bottom w:val="nil"/>
            </w:tcBorders>
          </w:tcPr>
          <w:p w14:paraId="2D7EF673"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r w:rsidRPr="00A61946">
              <w:rPr>
                <w:rFonts w:ascii="Times New Roman" w:hAnsi="Times New Roman"/>
                <w:color w:val="000000"/>
              </w:rPr>
              <w:t>39 (8.6)</w:t>
            </w:r>
          </w:p>
        </w:tc>
        <w:tc>
          <w:tcPr>
            <w:tcW w:w="1843" w:type="dxa"/>
            <w:tcBorders>
              <w:top w:val="nil"/>
              <w:bottom w:val="nil"/>
            </w:tcBorders>
          </w:tcPr>
          <w:p w14:paraId="7AC176FC"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r w:rsidRPr="00A61946">
              <w:rPr>
                <w:rFonts w:ascii="Times New Roman" w:hAnsi="Times New Roman"/>
                <w:color w:val="000000"/>
              </w:rPr>
              <w:t>28 (6.4)</w:t>
            </w:r>
          </w:p>
        </w:tc>
      </w:tr>
      <w:tr w:rsidR="00724837" w:rsidRPr="00A61946" w14:paraId="7C50A132" w14:textId="77777777" w:rsidTr="008F24E1">
        <w:tc>
          <w:tcPr>
            <w:tcW w:w="3653" w:type="dxa"/>
            <w:tcBorders>
              <w:top w:val="nil"/>
              <w:bottom w:val="nil"/>
            </w:tcBorders>
          </w:tcPr>
          <w:p w14:paraId="45569715" w14:textId="77777777" w:rsidR="00724837" w:rsidRPr="00A61946" w:rsidRDefault="00724837" w:rsidP="008F24E1">
            <w:pPr>
              <w:autoSpaceDE w:val="0"/>
              <w:autoSpaceDN w:val="0"/>
              <w:spacing w:before="60" w:after="20" w:line="276" w:lineRule="auto"/>
              <w:ind w:left="252"/>
              <w:rPr>
                <w:rFonts w:ascii="Times New Roman" w:hAnsi="Times New Roman"/>
                <w:color w:val="000000"/>
              </w:rPr>
            </w:pPr>
            <w:r w:rsidRPr="00A61946">
              <w:rPr>
                <w:rFonts w:ascii="Times New Roman" w:hAnsi="Times New Roman"/>
                <w:color w:val="000000"/>
              </w:rPr>
              <w:t xml:space="preserve">Arthralgia </w:t>
            </w:r>
          </w:p>
        </w:tc>
        <w:tc>
          <w:tcPr>
            <w:tcW w:w="1984" w:type="dxa"/>
            <w:tcBorders>
              <w:top w:val="nil"/>
              <w:bottom w:val="nil"/>
            </w:tcBorders>
          </w:tcPr>
          <w:p w14:paraId="25EEE6C2"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r w:rsidRPr="00A61946">
              <w:rPr>
                <w:rFonts w:ascii="Times New Roman" w:hAnsi="Times New Roman"/>
                <w:color w:val="000000"/>
              </w:rPr>
              <w:t>27 (6.3)</w:t>
            </w:r>
          </w:p>
        </w:tc>
        <w:tc>
          <w:tcPr>
            <w:tcW w:w="1843" w:type="dxa"/>
            <w:tcBorders>
              <w:top w:val="nil"/>
              <w:bottom w:val="nil"/>
            </w:tcBorders>
          </w:tcPr>
          <w:p w14:paraId="59176A0E"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r w:rsidRPr="00A61946">
              <w:rPr>
                <w:rFonts w:ascii="Times New Roman" w:hAnsi="Times New Roman"/>
                <w:color w:val="000000"/>
              </w:rPr>
              <w:t>23 (5.1)</w:t>
            </w:r>
          </w:p>
        </w:tc>
        <w:tc>
          <w:tcPr>
            <w:tcW w:w="1843" w:type="dxa"/>
            <w:tcBorders>
              <w:top w:val="nil"/>
              <w:bottom w:val="nil"/>
            </w:tcBorders>
          </w:tcPr>
          <w:p w14:paraId="724C8329"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r w:rsidRPr="00A61946">
              <w:rPr>
                <w:rFonts w:ascii="Times New Roman" w:hAnsi="Times New Roman"/>
                <w:color w:val="000000"/>
              </w:rPr>
              <w:t>21 (4.8)</w:t>
            </w:r>
          </w:p>
        </w:tc>
      </w:tr>
      <w:tr w:rsidR="00724837" w:rsidRPr="00A61946" w14:paraId="6C1EF103" w14:textId="77777777" w:rsidTr="008F24E1">
        <w:tc>
          <w:tcPr>
            <w:tcW w:w="3653" w:type="dxa"/>
            <w:tcBorders>
              <w:top w:val="nil"/>
              <w:bottom w:val="single" w:sz="4" w:space="0" w:color="000000"/>
            </w:tcBorders>
          </w:tcPr>
          <w:p w14:paraId="3C44EB2F" w14:textId="77777777" w:rsidR="00724837" w:rsidRPr="00A61946" w:rsidRDefault="00724837" w:rsidP="008F24E1">
            <w:pPr>
              <w:autoSpaceDE w:val="0"/>
              <w:autoSpaceDN w:val="0"/>
              <w:spacing w:before="60" w:after="20" w:line="276" w:lineRule="auto"/>
              <w:ind w:left="252"/>
              <w:rPr>
                <w:rFonts w:ascii="Times New Roman" w:hAnsi="Times New Roman"/>
                <w:color w:val="000000"/>
              </w:rPr>
            </w:pPr>
            <w:r w:rsidRPr="00A61946">
              <w:rPr>
                <w:rFonts w:ascii="Times New Roman" w:hAnsi="Times New Roman"/>
                <w:color w:val="000000"/>
              </w:rPr>
              <w:t xml:space="preserve">Pain in extremity </w:t>
            </w:r>
          </w:p>
        </w:tc>
        <w:tc>
          <w:tcPr>
            <w:tcW w:w="1984" w:type="dxa"/>
            <w:tcBorders>
              <w:top w:val="nil"/>
              <w:bottom w:val="single" w:sz="4" w:space="0" w:color="000000"/>
            </w:tcBorders>
          </w:tcPr>
          <w:p w14:paraId="3AFF32D5"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r w:rsidRPr="00A61946">
              <w:rPr>
                <w:rFonts w:ascii="Times New Roman" w:hAnsi="Times New Roman"/>
                <w:color w:val="000000"/>
              </w:rPr>
              <w:t>16 (3.7)</w:t>
            </w:r>
          </w:p>
        </w:tc>
        <w:tc>
          <w:tcPr>
            <w:tcW w:w="1843" w:type="dxa"/>
            <w:tcBorders>
              <w:top w:val="nil"/>
              <w:bottom w:val="single" w:sz="4" w:space="0" w:color="000000"/>
            </w:tcBorders>
          </w:tcPr>
          <w:p w14:paraId="6B4DD72A"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r w:rsidRPr="00A61946">
              <w:rPr>
                <w:rFonts w:ascii="Times New Roman" w:hAnsi="Times New Roman"/>
                <w:color w:val="000000"/>
              </w:rPr>
              <w:t>25 (5.5)</w:t>
            </w:r>
          </w:p>
        </w:tc>
        <w:tc>
          <w:tcPr>
            <w:tcW w:w="1843" w:type="dxa"/>
            <w:tcBorders>
              <w:top w:val="nil"/>
              <w:bottom w:val="single" w:sz="4" w:space="0" w:color="000000"/>
            </w:tcBorders>
          </w:tcPr>
          <w:p w14:paraId="24445288"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r w:rsidRPr="00A61946">
              <w:rPr>
                <w:rFonts w:ascii="Times New Roman" w:hAnsi="Times New Roman"/>
                <w:color w:val="000000"/>
              </w:rPr>
              <w:t>21 (4.8)</w:t>
            </w:r>
          </w:p>
        </w:tc>
      </w:tr>
      <w:tr w:rsidR="00724837" w:rsidRPr="00A61946" w14:paraId="602ECD6D" w14:textId="77777777" w:rsidTr="008F24E1">
        <w:tc>
          <w:tcPr>
            <w:tcW w:w="3653" w:type="dxa"/>
            <w:tcBorders>
              <w:bottom w:val="nil"/>
            </w:tcBorders>
          </w:tcPr>
          <w:p w14:paraId="7A10F679" w14:textId="77777777" w:rsidR="00724837" w:rsidRPr="00A61946" w:rsidRDefault="00724837" w:rsidP="008F24E1">
            <w:pPr>
              <w:autoSpaceDE w:val="0"/>
              <w:autoSpaceDN w:val="0"/>
              <w:spacing w:before="60" w:after="20" w:line="276" w:lineRule="auto"/>
              <w:rPr>
                <w:rFonts w:ascii="Times New Roman" w:hAnsi="Times New Roman"/>
                <w:b/>
                <w:lang w:val="en-AU" w:eastAsia="en-AU"/>
              </w:rPr>
            </w:pPr>
            <w:r w:rsidRPr="00A61946">
              <w:rPr>
                <w:rFonts w:ascii="Times New Roman" w:hAnsi="Times New Roman"/>
                <w:b/>
                <w:lang w:val="en-AU" w:eastAsia="en-AU"/>
              </w:rPr>
              <w:t>General disorders and administration site conditions</w:t>
            </w:r>
          </w:p>
        </w:tc>
        <w:tc>
          <w:tcPr>
            <w:tcW w:w="1984" w:type="dxa"/>
            <w:tcBorders>
              <w:bottom w:val="nil"/>
            </w:tcBorders>
          </w:tcPr>
          <w:p w14:paraId="77CC7FDB"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p>
        </w:tc>
        <w:tc>
          <w:tcPr>
            <w:tcW w:w="1843" w:type="dxa"/>
            <w:tcBorders>
              <w:bottom w:val="nil"/>
            </w:tcBorders>
          </w:tcPr>
          <w:p w14:paraId="7B51F728"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p>
        </w:tc>
        <w:tc>
          <w:tcPr>
            <w:tcW w:w="1843" w:type="dxa"/>
            <w:tcBorders>
              <w:bottom w:val="nil"/>
            </w:tcBorders>
          </w:tcPr>
          <w:p w14:paraId="1283AA74"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p>
        </w:tc>
      </w:tr>
      <w:tr w:rsidR="00724837" w:rsidRPr="00A61946" w14:paraId="726878E4" w14:textId="77777777" w:rsidTr="008F24E1">
        <w:tc>
          <w:tcPr>
            <w:tcW w:w="3653" w:type="dxa"/>
            <w:tcBorders>
              <w:top w:val="nil"/>
              <w:bottom w:val="nil"/>
            </w:tcBorders>
          </w:tcPr>
          <w:p w14:paraId="7E8BABA8" w14:textId="77777777" w:rsidR="00724837" w:rsidRPr="00A61946" w:rsidRDefault="00724837" w:rsidP="008F24E1">
            <w:pPr>
              <w:autoSpaceDE w:val="0"/>
              <w:autoSpaceDN w:val="0"/>
              <w:spacing w:before="60" w:after="20" w:line="276" w:lineRule="auto"/>
              <w:ind w:left="252"/>
              <w:rPr>
                <w:rFonts w:ascii="Times New Roman" w:hAnsi="Times New Roman"/>
                <w:color w:val="000000"/>
              </w:rPr>
            </w:pPr>
            <w:r w:rsidRPr="00A61946">
              <w:rPr>
                <w:rFonts w:ascii="Times New Roman" w:hAnsi="Times New Roman"/>
                <w:color w:val="000000"/>
              </w:rPr>
              <w:t xml:space="preserve">Influenza like illness </w:t>
            </w:r>
          </w:p>
        </w:tc>
        <w:tc>
          <w:tcPr>
            <w:tcW w:w="1984" w:type="dxa"/>
            <w:tcBorders>
              <w:top w:val="nil"/>
              <w:bottom w:val="nil"/>
            </w:tcBorders>
          </w:tcPr>
          <w:p w14:paraId="4F453CCC"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r w:rsidRPr="00A61946">
              <w:rPr>
                <w:rFonts w:ascii="Times New Roman" w:hAnsi="Times New Roman"/>
                <w:color w:val="000000"/>
                <w:lang w:val="fr-FR"/>
              </w:rPr>
              <w:t>34 (7.9)</w:t>
            </w:r>
          </w:p>
        </w:tc>
        <w:tc>
          <w:tcPr>
            <w:tcW w:w="1843" w:type="dxa"/>
            <w:tcBorders>
              <w:top w:val="nil"/>
              <w:bottom w:val="nil"/>
            </w:tcBorders>
          </w:tcPr>
          <w:p w14:paraId="2E3A4630"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r w:rsidRPr="00A61946">
              <w:rPr>
                <w:rFonts w:ascii="Times New Roman" w:hAnsi="Times New Roman"/>
                <w:color w:val="000000"/>
                <w:lang w:val="fr-FR"/>
              </w:rPr>
              <w:t>27 (5.9)</w:t>
            </w:r>
          </w:p>
        </w:tc>
        <w:tc>
          <w:tcPr>
            <w:tcW w:w="1843" w:type="dxa"/>
            <w:tcBorders>
              <w:top w:val="nil"/>
              <w:bottom w:val="nil"/>
            </w:tcBorders>
          </w:tcPr>
          <w:p w14:paraId="0CA35E61"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r w:rsidRPr="00A61946">
              <w:rPr>
                <w:rFonts w:ascii="Times New Roman" w:hAnsi="Times New Roman"/>
                <w:color w:val="000000"/>
                <w:lang w:val="fr-FR"/>
              </w:rPr>
              <w:t>31 (7.1)</w:t>
            </w:r>
          </w:p>
        </w:tc>
      </w:tr>
      <w:tr w:rsidR="00724837" w:rsidRPr="00A61946" w14:paraId="3CBB78E0" w14:textId="77777777" w:rsidTr="008F24E1">
        <w:tc>
          <w:tcPr>
            <w:tcW w:w="3653" w:type="dxa"/>
            <w:tcBorders>
              <w:top w:val="nil"/>
              <w:bottom w:val="single" w:sz="4" w:space="0" w:color="000000"/>
            </w:tcBorders>
          </w:tcPr>
          <w:p w14:paraId="2CF2B1E0" w14:textId="77777777" w:rsidR="00724837" w:rsidRPr="00A61946" w:rsidRDefault="00724837" w:rsidP="008F24E1">
            <w:pPr>
              <w:autoSpaceDE w:val="0"/>
              <w:autoSpaceDN w:val="0"/>
              <w:spacing w:before="60" w:after="20" w:line="276" w:lineRule="auto"/>
              <w:ind w:left="252"/>
              <w:rPr>
                <w:rFonts w:ascii="Times New Roman" w:hAnsi="Times New Roman"/>
                <w:color w:val="000000"/>
              </w:rPr>
            </w:pPr>
            <w:r w:rsidRPr="00A61946">
              <w:rPr>
                <w:rFonts w:ascii="Times New Roman" w:hAnsi="Times New Roman"/>
                <w:color w:val="000000"/>
                <w:lang w:val="fr-FR"/>
              </w:rPr>
              <w:t xml:space="preserve">Fatigue </w:t>
            </w:r>
          </w:p>
        </w:tc>
        <w:tc>
          <w:tcPr>
            <w:tcW w:w="1984" w:type="dxa"/>
            <w:tcBorders>
              <w:top w:val="nil"/>
              <w:bottom w:val="single" w:sz="4" w:space="0" w:color="000000"/>
            </w:tcBorders>
          </w:tcPr>
          <w:p w14:paraId="759E9957"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r w:rsidRPr="00A61946">
              <w:rPr>
                <w:rFonts w:ascii="Times New Roman" w:hAnsi="Times New Roman"/>
                <w:color w:val="000000"/>
                <w:lang w:val="fr-FR"/>
              </w:rPr>
              <w:t>20 (4.7)</w:t>
            </w:r>
          </w:p>
        </w:tc>
        <w:tc>
          <w:tcPr>
            <w:tcW w:w="1843" w:type="dxa"/>
            <w:tcBorders>
              <w:top w:val="nil"/>
              <w:bottom w:val="single" w:sz="4" w:space="0" w:color="000000"/>
            </w:tcBorders>
          </w:tcPr>
          <w:p w14:paraId="606D9CEF"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r w:rsidRPr="00A61946">
              <w:rPr>
                <w:rFonts w:ascii="Times New Roman" w:hAnsi="Times New Roman"/>
                <w:color w:val="000000"/>
                <w:lang w:val="fr-FR"/>
              </w:rPr>
              <w:t>27 (5.9)</w:t>
            </w:r>
          </w:p>
        </w:tc>
        <w:tc>
          <w:tcPr>
            <w:tcW w:w="1843" w:type="dxa"/>
            <w:tcBorders>
              <w:top w:val="nil"/>
              <w:bottom w:val="single" w:sz="4" w:space="0" w:color="000000"/>
            </w:tcBorders>
          </w:tcPr>
          <w:p w14:paraId="682A6040"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r w:rsidRPr="00A61946">
              <w:rPr>
                <w:rFonts w:ascii="Times New Roman" w:hAnsi="Times New Roman"/>
                <w:color w:val="000000"/>
                <w:lang w:val="fr-FR"/>
              </w:rPr>
              <w:t>26 (6.0)</w:t>
            </w:r>
          </w:p>
        </w:tc>
      </w:tr>
      <w:tr w:rsidR="00724837" w:rsidRPr="00A61946" w14:paraId="4714927D" w14:textId="77777777" w:rsidTr="008F24E1">
        <w:tc>
          <w:tcPr>
            <w:tcW w:w="3653" w:type="dxa"/>
            <w:tcBorders>
              <w:bottom w:val="nil"/>
            </w:tcBorders>
          </w:tcPr>
          <w:p w14:paraId="7F190C5A" w14:textId="77777777" w:rsidR="00724837" w:rsidRPr="00A61946" w:rsidRDefault="00724837" w:rsidP="008F24E1">
            <w:pPr>
              <w:autoSpaceDE w:val="0"/>
              <w:autoSpaceDN w:val="0"/>
              <w:spacing w:before="60" w:after="20" w:line="276" w:lineRule="auto"/>
              <w:rPr>
                <w:rFonts w:ascii="Times New Roman" w:hAnsi="Times New Roman"/>
                <w:b/>
                <w:lang w:val="en-AU" w:eastAsia="en-AU"/>
              </w:rPr>
            </w:pPr>
            <w:r w:rsidRPr="00A61946">
              <w:rPr>
                <w:rFonts w:ascii="Times New Roman" w:hAnsi="Times New Roman"/>
                <w:b/>
                <w:lang w:val="en-AU" w:eastAsia="en-AU"/>
              </w:rPr>
              <w:t>Respiratory, thoracic and mediastinal disorders</w:t>
            </w:r>
          </w:p>
        </w:tc>
        <w:tc>
          <w:tcPr>
            <w:tcW w:w="1984" w:type="dxa"/>
            <w:tcBorders>
              <w:bottom w:val="nil"/>
            </w:tcBorders>
          </w:tcPr>
          <w:p w14:paraId="7EFBD6DF"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p>
        </w:tc>
        <w:tc>
          <w:tcPr>
            <w:tcW w:w="1843" w:type="dxa"/>
            <w:tcBorders>
              <w:bottom w:val="nil"/>
            </w:tcBorders>
          </w:tcPr>
          <w:p w14:paraId="1E6F24B9"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p>
        </w:tc>
        <w:tc>
          <w:tcPr>
            <w:tcW w:w="1843" w:type="dxa"/>
            <w:tcBorders>
              <w:bottom w:val="nil"/>
            </w:tcBorders>
          </w:tcPr>
          <w:p w14:paraId="28E07C7D"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p>
        </w:tc>
      </w:tr>
      <w:tr w:rsidR="00724837" w:rsidRPr="00A61946" w14:paraId="74AEC0AF" w14:textId="77777777" w:rsidTr="008F24E1">
        <w:tc>
          <w:tcPr>
            <w:tcW w:w="3653" w:type="dxa"/>
            <w:tcBorders>
              <w:top w:val="nil"/>
              <w:bottom w:val="single" w:sz="4" w:space="0" w:color="000000"/>
            </w:tcBorders>
          </w:tcPr>
          <w:p w14:paraId="7B449F65" w14:textId="77777777" w:rsidR="00724837" w:rsidRPr="00A61946" w:rsidRDefault="00724837" w:rsidP="008F24E1">
            <w:pPr>
              <w:autoSpaceDE w:val="0"/>
              <w:autoSpaceDN w:val="0"/>
              <w:spacing w:before="60" w:after="20" w:line="276" w:lineRule="auto"/>
              <w:ind w:left="252"/>
              <w:rPr>
                <w:rFonts w:ascii="Times New Roman" w:hAnsi="Times New Roman"/>
                <w:color w:val="000000"/>
              </w:rPr>
            </w:pPr>
            <w:proofErr w:type="spellStart"/>
            <w:r w:rsidRPr="00A61946">
              <w:rPr>
                <w:rFonts w:ascii="Times New Roman" w:hAnsi="Times New Roman"/>
                <w:color w:val="000000"/>
              </w:rPr>
              <w:t>Pharyngolaryngeal</w:t>
            </w:r>
            <w:proofErr w:type="spellEnd"/>
            <w:r w:rsidRPr="00A61946">
              <w:rPr>
                <w:rFonts w:ascii="Times New Roman" w:hAnsi="Times New Roman"/>
                <w:color w:val="000000"/>
              </w:rPr>
              <w:t xml:space="preserve"> pain</w:t>
            </w:r>
          </w:p>
        </w:tc>
        <w:tc>
          <w:tcPr>
            <w:tcW w:w="1984" w:type="dxa"/>
            <w:tcBorders>
              <w:top w:val="nil"/>
              <w:bottom w:val="single" w:sz="4" w:space="0" w:color="000000"/>
            </w:tcBorders>
          </w:tcPr>
          <w:p w14:paraId="12A3EBAB"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r w:rsidRPr="00A61946">
              <w:rPr>
                <w:rFonts w:ascii="Times New Roman" w:hAnsi="Times New Roman"/>
                <w:color w:val="000000"/>
              </w:rPr>
              <w:t>19 (4.4)</w:t>
            </w:r>
          </w:p>
        </w:tc>
        <w:tc>
          <w:tcPr>
            <w:tcW w:w="1843" w:type="dxa"/>
            <w:tcBorders>
              <w:top w:val="nil"/>
              <w:bottom w:val="single" w:sz="4" w:space="0" w:color="000000"/>
            </w:tcBorders>
          </w:tcPr>
          <w:p w14:paraId="3594A9E8"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r w:rsidRPr="00A61946">
              <w:rPr>
                <w:rFonts w:ascii="Times New Roman" w:hAnsi="Times New Roman"/>
                <w:color w:val="000000"/>
              </w:rPr>
              <w:t>24 (5.3)</w:t>
            </w:r>
          </w:p>
        </w:tc>
        <w:tc>
          <w:tcPr>
            <w:tcW w:w="1843" w:type="dxa"/>
            <w:tcBorders>
              <w:top w:val="nil"/>
              <w:bottom w:val="single" w:sz="4" w:space="0" w:color="000000"/>
            </w:tcBorders>
          </w:tcPr>
          <w:p w14:paraId="2346F842"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r w:rsidRPr="00A61946">
              <w:rPr>
                <w:rFonts w:ascii="Times New Roman" w:hAnsi="Times New Roman"/>
                <w:color w:val="000000"/>
              </w:rPr>
              <w:t>25 (5.7)</w:t>
            </w:r>
          </w:p>
        </w:tc>
      </w:tr>
      <w:tr w:rsidR="00724837" w:rsidRPr="00A61946" w14:paraId="5AEC19C4" w14:textId="77777777" w:rsidTr="008F24E1">
        <w:tc>
          <w:tcPr>
            <w:tcW w:w="3653" w:type="dxa"/>
            <w:tcBorders>
              <w:bottom w:val="nil"/>
            </w:tcBorders>
          </w:tcPr>
          <w:p w14:paraId="6F22E911" w14:textId="77777777" w:rsidR="00724837" w:rsidRPr="00A61946" w:rsidRDefault="00724837" w:rsidP="008F24E1">
            <w:pPr>
              <w:autoSpaceDE w:val="0"/>
              <w:autoSpaceDN w:val="0"/>
              <w:spacing w:before="60" w:after="20" w:line="276" w:lineRule="auto"/>
              <w:rPr>
                <w:rFonts w:ascii="Times New Roman" w:hAnsi="Times New Roman"/>
                <w:b/>
                <w:lang w:val="en-AU" w:eastAsia="en-AU"/>
              </w:rPr>
            </w:pPr>
            <w:r w:rsidRPr="00A61946">
              <w:rPr>
                <w:rFonts w:ascii="Times New Roman" w:hAnsi="Times New Roman"/>
                <w:b/>
                <w:lang w:val="en-AU" w:eastAsia="en-AU"/>
              </w:rPr>
              <w:t>Psychiatric disorders</w:t>
            </w:r>
          </w:p>
        </w:tc>
        <w:tc>
          <w:tcPr>
            <w:tcW w:w="1984" w:type="dxa"/>
            <w:tcBorders>
              <w:bottom w:val="nil"/>
            </w:tcBorders>
          </w:tcPr>
          <w:p w14:paraId="295415CE"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p>
        </w:tc>
        <w:tc>
          <w:tcPr>
            <w:tcW w:w="1843" w:type="dxa"/>
            <w:tcBorders>
              <w:bottom w:val="nil"/>
            </w:tcBorders>
          </w:tcPr>
          <w:p w14:paraId="19D55794"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p>
        </w:tc>
        <w:tc>
          <w:tcPr>
            <w:tcW w:w="1843" w:type="dxa"/>
            <w:tcBorders>
              <w:bottom w:val="nil"/>
            </w:tcBorders>
          </w:tcPr>
          <w:p w14:paraId="288D9724"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p>
        </w:tc>
      </w:tr>
      <w:tr w:rsidR="00724837" w:rsidRPr="00A61946" w14:paraId="24E601D4" w14:textId="77777777" w:rsidTr="008F24E1">
        <w:tc>
          <w:tcPr>
            <w:tcW w:w="3653" w:type="dxa"/>
            <w:tcBorders>
              <w:top w:val="nil"/>
              <w:bottom w:val="nil"/>
            </w:tcBorders>
          </w:tcPr>
          <w:p w14:paraId="2EA55E4E" w14:textId="77777777" w:rsidR="00724837" w:rsidRPr="00A61946" w:rsidRDefault="00724837" w:rsidP="008F24E1">
            <w:pPr>
              <w:autoSpaceDE w:val="0"/>
              <w:autoSpaceDN w:val="0"/>
              <w:spacing w:before="60" w:after="20" w:line="276" w:lineRule="auto"/>
              <w:ind w:left="252"/>
              <w:rPr>
                <w:rFonts w:ascii="Times New Roman" w:hAnsi="Times New Roman"/>
                <w:color w:val="000000"/>
              </w:rPr>
            </w:pPr>
            <w:r w:rsidRPr="00A61946">
              <w:rPr>
                <w:rFonts w:ascii="Times New Roman" w:hAnsi="Times New Roman"/>
                <w:color w:val="000000"/>
              </w:rPr>
              <w:t xml:space="preserve">Depression </w:t>
            </w:r>
          </w:p>
        </w:tc>
        <w:tc>
          <w:tcPr>
            <w:tcW w:w="1984" w:type="dxa"/>
            <w:tcBorders>
              <w:top w:val="nil"/>
              <w:bottom w:val="nil"/>
            </w:tcBorders>
          </w:tcPr>
          <w:p w14:paraId="191F919B" w14:textId="77777777" w:rsidR="00724837" w:rsidRPr="00A61946" w:rsidRDefault="00724837" w:rsidP="008F24E1">
            <w:pPr>
              <w:autoSpaceDE w:val="0"/>
              <w:autoSpaceDN w:val="0"/>
              <w:spacing w:before="60" w:line="276" w:lineRule="auto"/>
              <w:jc w:val="center"/>
              <w:rPr>
                <w:rFonts w:ascii="Times New Roman" w:hAnsi="Times New Roman"/>
                <w:color w:val="000000"/>
              </w:rPr>
            </w:pPr>
            <w:r w:rsidRPr="00A61946">
              <w:rPr>
                <w:rFonts w:ascii="Times New Roman" w:hAnsi="Times New Roman"/>
                <w:color w:val="000000"/>
              </w:rPr>
              <w:t>18 (4.2)</w:t>
            </w:r>
          </w:p>
        </w:tc>
        <w:tc>
          <w:tcPr>
            <w:tcW w:w="1843" w:type="dxa"/>
            <w:tcBorders>
              <w:top w:val="nil"/>
              <w:bottom w:val="nil"/>
            </w:tcBorders>
          </w:tcPr>
          <w:p w14:paraId="6B21B4C8"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r w:rsidRPr="00A61946">
              <w:rPr>
                <w:rFonts w:ascii="Times New Roman" w:hAnsi="Times New Roman"/>
                <w:color w:val="000000"/>
              </w:rPr>
              <w:t>25 (5.5)</w:t>
            </w:r>
          </w:p>
        </w:tc>
        <w:tc>
          <w:tcPr>
            <w:tcW w:w="1843" w:type="dxa"/>
            <w:tcBorders>
              <w:top w:val="nil"/>
              <w:bottom w:val="nil"/>
            </w:tcBorders>
          </w:tcPr>
          <w:p w14:paraId="072155D2"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r w:rsidRPr="00A61946">
              <w:rPr>
                <w:rFonts w:ascii="Times New Roman" w:hAnsi="Times New Roman"/>
                <w:color w:val="000000"/>
              </w:rPr>
              <w:t>13 (3.0)</w:t>
            </w:r>
          </w:p>
        </w:tc>
      </w:tr>
      <w:tr w:rsidR="00724837" w:rsidRPr="00A61946" w14:paraId="1E9B8E1F" w14:textId="77777777" w:rsidTr="008F24E1">
        <w:tc>
          <w:tcPr>
            <w:tcW w:w="3653" w:type="dxa"/>
            <w:tcBorders>
              <w:top w:val="nil"/>
              <w:bottom w:val="single" w:sz="4" w:space="0" w:color="000000"/>
            </w:tcBorders>
          </w:tcPr>
          <w:p w14:paraId="26E0DFC2" w14:textId="77777777" w:rsidR="00724837" w:rsidRPr="00A61946" w:rsidRDefault="00724837" w:rsidP="008F24E1">
            <w:pPr>
              <w:autoSpaceDE w:val="0"/>
              <w:autoSpaceDN w:val="0"/>
              <w:spacing w:before="60" w:after="20" w:line="276" w:lineRule="auto"/>
              <w:ind w:left="252"/>
              <w:rPr>
                <w:rFonts w:ascii="Times New Roman" w:hAnsi="Times New Roman"/>
                <w:color w:val="000000"/>
              </w:rPr>
            </w:pPr>
            <w:r w:rsidRPr="00A61946">
              <w:rPr>
                <w:rFonts w:ascii="Times New Roman" w:hAnsi="Times New Roman"/>
                <w:color w:val="000000"/>
              </w:rPr>
              <w:t xml:space="preserve">Insomnia </w:t>
            </w:r>
          </w:p>
        </w:tc>
        <w:tc>
          <w:tcPr>
            <w:tcW w:w="1984" w:type="dxa"/>
            <w:tcBorders>
              <w:top w:val="nil"/>
              <w:bottom w:val="single" w:sz="4" w:space="0" w:color="000000"/>
            </w:tcBorders>
          </w:tcPr>
          <w:p w14:paraId="1BF4E2BB" w14:textId="77777777" w:rsidR="00724837" w:rsidRPr="00A61946" w:rsidRDefault="00724837" w:rsidP="008F24E1">
            <w:pPr>
              <w:autoSpaceDE w:val="0"/>
              <w:autoSpaceDN w:val="0"/>
              <w:spacing w:before="60" w:line="276" w:lineRule="auto"/>
              <w:jc w:val="center"/>
              <w:rPr>
                <w:rFonts w:ascii="Times New Roman" w:hAnsi="Times New Roman"/>
                <w:color w:val="000000"/>
              </w:rPr>
            </w:pPr>
            <w:r w:rsidRPr="00A61946">
              <w:rPr>
                <w:rFonts w:ascii="Times New Roman" w:hAnsi="Times New Roman"/>
                <w:color w:val="000000"/>
              </w:rPr>
              <w:t>25 (5.8)</w:t>
            </w:r>
          </w:p>
        </w:tc>
        <w:tc>
          <w:tcPr>
            <w:tcW w:w="1843" w:type="dxa"/>
            <w:tcBorders>
              <w:top w:val="nil"/>
              <w:bottom w:val="single" w:sz="4" w:space="0" w:color="000000"/>
            </w:tcBorders>
          </w:tcPr>
          <w:p w14:paraId="1CAADDD4"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r w:rsidRPr="00A61946">
              <w:rPr>
                <w:rFonts w:ascii="Times New Roman" w:hAnsi="Times New Roman"/>
                <w:color w:val="000000"/>
              </w:rPr>
              <w:t>14 (3.1)</w:t>
            </w:r>
          </w:p>
        </w:tc>
        <w:tc>
          <w:tcPr>
            <w:tcW w:w="1843" w:type="dxa"/>
            <w:tcBorders>
              <w:top w:val="nil"/>
              <w:bottom w:val="single" w:sz="4" w:space="0" w:color="000000"/>
            </w:tcBorders>
          </w:tcPr>
          <w:p w14:paraId="620CC2D7"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r w:rsidRPr="00A61946">
              <w:rPr>
                <w:rFonts w:ascii="Times New Roman" w:hAnsi="Times New Roman"/>
                <w:color w:val="000000"/>
              </w:rPr>
              <w:t>17 (3.9)</w:t>
            </w:r>
          </w:p>
        </w:tc>
      </w:tr>
      <w:tr w:rsidR="00724837" w:rsidRPr="00A61946" w14:paraId="3233D055" w14:textId="77777777" w:rsidTr="008F24E1">
        <w:tc>
          <w:tcPr>
            <w:tcW w:w="3653" w:type="dxa"/>
            <w:tcBorders>
              <w:bottom w:val="nil"/>
            </w:tcBorders>
          </w:tcPr>
          <w:p w14:paraId="50A7F0D6" w14:textId="77777777" w:rsidR="00724837" w:rsidRPr="00A61946" w:rsidRDefault="00724837" w:rsidP="008F24E1">
            <w:pPr>
              <w:keepNext/>
              <w:autoSpaceDE w:val="0"/>
              <w:autoSpaceDN w:val="0"/>
              <w:spacing w:before="60" w:after="20" w:line="276" w:lineRule="auto"/>
              <w:rPr>
                <w:rFonts w:ascii="Times New Roman" w:hAnsi="Times New Roman"/>
                <w:b/>
                <w:lang w:val="en-AU" w:eastAsia="en-AU"/>
              </w:rPr>
            </w:pPr>
            <w:r w:rsidRPr="00A61946">
              <w:rPr>
                <w:rFonts w:ascii="Times New Roman" w:hAnsi="Times New Roman"/>
                <w:b/>
                <w:lang w:val="en-AU" w:eastAsia="en-AU"/>
              </w:rPr>
              <w:t>Investigations</w:t>
            </w:r>
          </w:p>
        </w:tc>
        <w:tc>
          <w:tcPr>
            <w:tcW w:w="1984" w:type="dxa"/>
            <w:tcBorders>
              <w:bottom w:val="nil"/>
            </w:tcBorders>
          </w:tcPr>
          <w:p w14:paraId="55CF16B6"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p>
        </w:tc>
        <w:tc>
          <w:tcPr>
            <w:tcW w:w="1843" w:type="dxa"/>
            <w:tcBorders>
              <w:bottom w:val="nil"/>
            </w:tcBorders>
          </w:tcPr>
          <w:p w14:paraId="04A71D36"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p>
        </w:tc>
        <w:tc>
          <w:tcPr>
            <w:tcW w:w="1843" w:type="dxa"/>
            <w:tcBorders>
              <w:bottom w:val="nil"/>
            </w:tcBorders>
          </w:tcPr>
          <w:p w14:paraId="1A1852F9"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p>
        </w:tc>
      </w:tr>
      <w:tr w:rsidR="00724837" w:rsidRPr="00A61946" w14:paraId="16C77C46" w14:textId="77777777" w:rsidTr="008F24E1">
        <w:tc>
          <w:tcPr>
            <w:tcW w:w="3653" w:type="dxa"/>
            <w:tcBorders>
              <w:top w:val="nil"/>
              <w:bottom w:val="single" w:sz="4" w:space="0" w:color="000000"/>
            </w:tcBorders>
          </w:tcPr>
          <w:p w14:paraId="08CC175C" w14:textId="77777777" w:rsidR="00724837" w:rsidRPr="00A61946" w:rsidRDefault="00724837" w:rsidP="008F24E1">
            <w:pPr>
              <w:autoSpaceDE w:val="0"/>
              <w:autoSpaceDN w:val="0"/>
              <w:spacing w:before="60" w:after="20" w:line="276" w:lineRule="auto"/>
              <w:ind w:left="252"/>
              <w:rPr>
                <w:rFonts w:ascii="Times New Roman" w:hAnsi="Times New Roman"/>
                <w:color w:val="000000"/>
              </w:rPr>
            </w:pPr>
            <w:r w:rsidRPr="00A61946">
              <w:rPr>
                <w:rFonts w:ascii="Times New Roman" w:hAnsi="Times New Roman"/>
                <w:color w:val="000000"/>
              </w:rPr>
              <w:t>Lymphocyte count decreased</w:t>
            </w:r>
          </w:p>
        </w:tc>
        <w:tc>
          <w:tcPr>
            <w:tcW w:w="1984" w:type="dxa"/>
            <w:tcBorders>
              <w:top w:val="nil"/>
              <w:bottom w:val="single" w:sz="4" w:space="0" w:color="000000"/>
            </w:tcBorders>
          </w:tcPr>
          <w:p w14:paraId="18A8ED08"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r w:rsidRPr="00A61946">
              <w:rPr>
                <w:rFonts w:ascii="Times New Roman" w:hAnsi="Times New Roman"/>
                <w:color w:val="000000"/>
              </w:rPr>
              <w:t>13 (3.0)</w:t>
            </w:r>
          </w:p>
        </w:tc>
        <w:tc>
          <w:tcPr>
            <w:tcW w:w="1843" w:type="dxa"/>
            <w:tcBorders>
              <w:top w:val="nil"/>
              <w:bottom w:val="single" w:sz="4" w:space="0" w:color="000000"/>
            </w:tcBorders>
          </w:tcPr>
          <w:p w14:paraId="2399FFC2"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r w:rsidRPr="00A61946">
              <w:rPr>
                <w:rFonts w:ascii="Times New Roman" w:hAnsi="Times New Roman"/>
                <w:color w:val="000000"/>
              </w:rPr>
              <w:t>26 (5.7)</w:t>
            </w:r>
          </w:p>
        </w:tc>
        <w:tc>
          <w:tcPr>
            <w:tcW w:w="1843" w:type="dxa"/>
            <w:tcBorders>
              <w:top w:val="nil"/>
              <w:bottom w:val="single" w:sz="4" w:space="0" w:color="000000"/>
            </w:tcBorders>
          </w:tcPr>
          <w:p w14:paraId="65F583A0"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r w:rsidRPr="00A61946">
              <w:rPr>
                <w:rFonts w:ascii="Times New Roman" w:hAnsi="Times New Roman"/>
                <w:color w:val="000000"/>
              </w:rPr>
              <w:t>0</w:t>
            </w:r>
          </w:p>
        </w:tc>
      </w:tr>
      <w:tr w:rsidR="00724837" w:rsidRPr="00A61946" w14:paraId="25AFBF10" w14:textId="77777777" w:rsidTr="008F24E1">
        <w:tc>
          <w:tcPr>
            <w:tcW w:w="3653" w:type="dxa"/>
            <w:tcBorders>
              <w:bottom w:val="nil"/>
            </w:tcBorders>
          </w:tcPr>
          <w:p w14:paraId="7DF75986" w14:textId="77777777" w:rsidR="00724837" w:rsidRPr="00A61946" w:rsidRDefault="00724837" w:rsidP="008F24E1">
            <w:pPr>
              <w:autoSpaceDE w:val="0"/>
              <w:autoSpaceDN w:val="0"/>
              <w:spacing w:before="60" w:after="20" w:line="276" w:lineRule="auto"/>
              <w:rPr>
                <w:rFonts w:ascii="Times New Roman" w:hAnsi="Times New Roman"/>
                <w:b/>
                <w:lang w:val="en-AU" w:eastAsia="en-AU"/>
              </w:rPr>
            </w:pPr>
            <w:r w:rsidRPr="00A61946">
              <w:rPr>
                <w:rFonts w:ascii="Times New Roman" w:hAnsi="Times New Roman"/>
                <w:b/>
                <w:lang w:val="en-AU" w:eastAsia="en-AU"/>
              </w:rPr>
              <w:lastRenderedPageBreak/>
              <w:t>Ear and labyrinth disorders</w:t>
            </w:r>
          </w:p>
        </w:tc>
        <w:tc>
          <w:tcPr>
            <w:tcW w:w="1984" w:type="dxa"/>
            <w:tcBorders>
              <w:bottom w:val="nil"/>
            </w:tcBorders>
          </w:tcPr>
          <w:p w14:paraId="1532708E"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p>
        </w:tc>
        <w:tc>
          <w:tcPr>
            <w:tcW w:w="1843" w:type="dxa"/>
            <w:tcBorders>
              <w:bottom w:val="nil"/>
            </w:tcBorders>
          </w:tcPr>
          <w:p w14:paraId="4B14A943"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p>
        </w:tc>
        <w:tc>
          <w:tcPr>
            <w:tcW w:w="1843" w:type="dxa"/>
            <w:tcBorders>
              <w:bottom w:val="nil"/>
            </w:tcBorders>
          </w:tcPr>
          <w:p w14:paraId="72AE5996"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p>
        </w:tc>
      </w:tr>
      <w:tr w:rsidR="00724837" w:rsidRPr="00A61946" w14:paraId="7894C6EE" w14:textId="77777777" w:rsidTr="008F24E1">
        <w:tc>
          <w:tcPr>
            <w:tcW w:w="3653" w:type="dxa"/>
            <w:tcBorders>
              <w:top w:val="nil"/>
              <w:bottom w:val="single" w:sz="4" w:space="0" w:color="000000"/>
            </w:tcBorders>
          </w:tcPr>
          <w:p w14:paraId="62418E1F" w14:textId="77777777" w:rsidR="00724837" w:rsidRPr="00A61946" w:rsidRDefault="00724837" w:rsidP="008F24E1">
            <w:pPr>
              <w:autoSpaceDE w:val="0"/>
              <w:autoSpaceDN w:val="0"/>
              <w:spacing w:before="60" w:after="20" w:line="276" w:lineRule="auto"/>
              <w:ind w:left="252"/>
              <w:rPr>
                <w:rFonts w:ascii="Times New Roman" w:hAnsi="Times New Roman"/>
                <w:color w:val="000000"/>
              </w:rPr>
            </w:pPr>
            <w:r w:rsidRPr="00A61946">
              <w:rPr>
                <w:rFonts w:ascii="Times New Roman" w:hAnsi="Times New Roman"/>
                <w:color w:val="000000"/>
              </w:rPr>
              <w:t>Vertigo</w:t>
            </w:r>
          </w:p>
        </w:tc>
        <w:tc>
          <w:tcPr>
            <w:tcW w:w="1984" w:type="dxa"/>
            <w:tcBorders>
              <w:top w:val="nil"/>
              <w:bottom w:val="single" w:sz="4" w:space="0" w:color="000000"/>
            </w:tcBorders>
          </w:tcPr>
          <w:p w14:paraId="07F615C7"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r w:rsidRPr="00A61946">
              <w:rPr>
                <w:rFonts w:ascii="Times New Roman" w:hAnsi="Times New Roman"/>
                <w:color w:val="000000"/>
              </w:rPr>
              <w:t>14 (3.3)</w:t>
            </w:r>
          </w:p>
        </w:tc>
        <w:tc>
          <w:tcPr>
            <w:tcW w:w="1843" w:type="dxa"/>
            <w:tcBorders>
              <w:top w:val="nil"/>
              <w:bottom w:val="single" w:sz="4" w:space="0" w:color="000000"/>
            </w:tcBorders>
          </w:tcPr>
          <w:p w14:paraId="06AE36F5"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r w:rsidRPr="00A61946">
              <w:rPr>
                <w:rFonts w:ascii="Times New Roman" w:hAnsi="Times New Roman"/>
                <w:color w:val="000000"/>
              </w:rPr>
              <w:t>23 (5.1)</w:t>
            </w:r>
          </w:p>
        </w:tc>
        <w:tc>
          <w:tcPr>
            <w:tcW w:w="1843" w:type="dxa"/>
            <w:tcBorders>
              <w:top w:val="nil"/>
              <w:bottom w:val="single" w:sz="4" w:space="0" w:color="000000"/>
            </w:tcBorders>
          </w:tcPr>
          <w:p w14:paraId="647F094D" w14:textId="77777777" w:rsidR="00724837" w:rsidRPr="00A61946" w:rsidRDefault="00724837" w:rsidP="008F24E1">
            <w:pPr>
              <w:autoSpaceDE w:val="0"/>
              <w:autoSpaceDN w:val="0"/>
              <w:spacing w:before="60" w:after="20" w:line="276" w:lineRule="auto"/>
              <w:jc w:val="center"/>
              <w:rPr>
                <w:rFonts w:ascii="Times New Roman" w:hAnsi="Times New Roman"/>
                <w:color w:val="000000"/>
              </w:rPr>
            </w:pPr>
            <w:r w:rsidRPr="00A61946">
              <w:rPr>
                <w:rFonts w:ascii="Times New Roman" w:hAnsi="Times New Roman"/>
                <w:color w:val="000000"/>
              </w:rPr>
              <w:t>11 (2.5)</w:t>
            </w:r>
          </w:p>
        </w:tc>
      </w:tr>
      <w:tr w:rsidR="00724837" w:rsidRPr="00A61946" w14:paraId="663CF93F" w14:textId="77777777" w:rsidTr="008F24E1">
        <w:tc>
          <w:tcPr>
            <w:tcW w:w="9323" w:type="dxa"/>
            <w:gridSpan w:val="4"/>
            <w:tcBorders>
              <w:left w:val="nil"/>
              <w:bottom w:val="nil"/>
              <w:right w:val="nil"/>
            </w:tcBorders>
          </w:tcPr>
          <w:p w14:paraId="7EA0913E" w14:textId="77777777" w:rsidR="00724837" w:rsidRPr="00A61946" w:rsidRDefault="00724837" w:rsidP="008F24E1">
            <w:pPr>
              <w:pStyle w:val="SPCtablefootnote"/>
              <w:tabs>
                <w:tab w:val="left" w:pos="278"/>
              </w:tabs>
              <w:spacing w:before="60" w:line="276" w:lineRule="auto"/>
              <w:rPr>
                <w:sz w:val="22"/>
                <w:szCs w:val="22"/>
              </w:rPr>
            </w:pPr>
            <w:r w:rsidRPr="00A61946">
              <w:rPr>
                <w:sz w:val="22"/>
                <w:szCs w:val="22"/>
                <w:vertAlign w:val="superscript"/>
              </w:rPr>
              <w:t>1</w:t>
            </w:r>
            <w:r w:rsidRPr="00A61946">
              <w:rPr>
                <w:sz w:val="22"/>
                <w:szCs w:val="22"/>
              </w:rPr>
              <w:tab/>
              <w:t>MedDRA dictionary</w:t>
            </w:r>
          </w:p>
          <w:p w14:paraId="70F0F03B" w14:textId="77777777" w:rsidR="00724837" w:rsidRPr="00A61946" w:rsidRDefault="00724837" w:rsidP="008F24E1">
            <w:pPr>
              <w:tabs>
                <w:tab w:val="left" w:pos="312"/>
              </w:tabs>
              <w:autoSpaceDE w:val="0"/>
              <w:autoSpaceDN w:val="0"/>
              <w:spacing w:before="60" w:after="20" w:line="276" w:lineRule="auto"/>
              <w:ind w:left="312" w:hanging="312"/>
              <w:rPr>
                <w:rFonts w:ascii="Times New Roman" w:hAnsi="Times New Roman"/>
                <w:color w:val="000000"/>
              </w:rPr>
            </w:pPr>
            <w:r w:rsidRPr="00A61946">
              <w:rPr>
                <w:rFonts w:ascii="Times New Roman" w:hAnsi="Times New Roman"/>
                <w:vertAlign w:val="superscript"/>
                <w:lang w:eastAsia="en-US"/>
              </w:rPr>
              <w:t>2</w:t>
            </w:r>
            <w:r w:rsidRPr="00A61946">
              <w:rPr>
                <w:rFonts w:ascii="Times New Roman" w:hAnsi="Times New Roman"/>
                <w:color w:val="000000"/>
              </w:rPr>
              <w:tab/>
              <w:t>two patients in the placebo group had actually received a small amount of cladribine</w:t>
            </w:r>
          </w:p>
        </w:tc>
      </w:tr>
    </w:tbl>
    <w:p w14:paraId="573357B7" w14:textId="77777777" w:rsidR="00724837" w:rsidRPr="00A61946" w:rsidRDefault="00724837" w:rsidP="008F24E1">
      <w:pPr>
        <w:pStyle w:val="SPCnormal"/>
        <w:spacing w:before="180" w:line="276" w:lineRule="auto"/>
        <w:rPr>
          <w:sz w:val="24"/>
          <w:szCs w:val="24"/>
        </w:rPr>
      </w:pPr>
      <w:r w:rsidRPr="00A61946">
        <w:rPr>
          <w:sz w:val="24"/>
          <w:szCs w:val="24"/>
        </w:rPr>
        <w:t>Listed below are adverse reactions (i.e. causal association with the treatment is considered at least possible) derived from clinical studies with MAVENCLAD in MS, including those with lower incidence than 5%.  The following definitions apply to the frequency terminology:</w:t>
      </w:r>
    </w:p>
    <w:p w14:paraId="67B8FCBE" w14:textId="77777777" w:rsidR="00724837" w:rsidRPr="00A61946" w:rsidRDefault="00724837" w:rsidP="008F24E1">
      <w:pPr>
        <w:pStyle w:val="SPCnormal"/>
        <w:spacing w:line="276" w:lineRule="auto"/>
        <w:rPr>
          <w:noProof/>
          <w:sz w:val="24"/>
          <w:szCs w:val="24"/>
        </w:rPr>
      </w:pPr>
      <w:r w:rsidRPr="00A61946">
        <w:rPr>
          <w:noProof/>
          <w:sz w:val="24"/>
          <w:szCs w:val="24"/>
        </w:rPr>
        <w:t xml:space="preserve">Very common: </w:t>
      </w:r>
      <w:r w:rsidRPr="00A61946">
        <w:rPr>
          <w:noProof/>
          <w:sz w:val="24"/>
          <w:szCs w:val="24"/>
        </w:rPr>
        <w:sym w:font="Symbol" w:char="F0B3"/>
      </w:r>
      <w:r w:rsidRPr="00A61946">
        <w:rPr>
          <w:noProof/>
          <w:sz w:val="24"/>
          <w:szCs w:val="24"/>
        </w:rPr>
        <w:t> 1/10</w:t>
      </w:r>
    </w:p>
    <w:p w14:paraId="3EC4E921" w14:textId="77777777" w:rsidR="00724837" w:rsidRPr="00A61946" w:rsidRDefault="00724837" w:rsidP="008F24E1">
      <w:pPr>
        <w:pStyle w:val="SPCnormal"/>
        <w:spacing w:line="276" w:lineRule="auto"/>
        <w:rPr>
          <w:noProof/>
          <w:sz w:val="24"/>
          <w:szCs w:val="24"/>
        </w:rPr>
      </w:pPr>
      <w:r w:rsidRPr="00A61946">
        <w:rPr>
          <w:noProof/>
          <w:sz w:val="24"/>
          <w:szCs w:val="24"/>
        </w:rPr>
        <w:t xml:space="preserve">Common: </w:t>
      </w:r>
      <w:r w:rsidRPr="00A61946">
        <w:rPr>
          <w:noProof/>
          <w:sz w:val="24"/>
          <w:szCs w:val="24"/>
        </w:rPr>
        <w:sym w:font="Symbol" w:char="F0B3"/>
      </w:r>
      <w:r w:rsidRPr="00A61946">
        <w:rPr>
          <w:noProof/>
          <w:sz w:val="24"/>
          <w:szCs w:val="24"/>
        </w:rPr>
        <w:t> 1/100 to &lt; 1/10</w:t>
      </w:r>
    </w:p>
    <w:p w14:paraId="2330643E" w14:textId="77777777" w:rsidR="00724837" w:rsidRPr="00A61946" w:rsidRDefault="00724837" w:rsidP="008F24E1">
      <w:pPr>
        <w:pStyle w:val="SPCnormal"/>
        <w:spacing w:line="276" w:lineRule="auto"/>
        <w:rPr>
          <w:noProof/>
          <w:sz w:val="24"/>
          <w:szCs w:val="24"/>
        </w:rPr>
      </w:pPr>
      <w:r w:rsidRPr="00A61946">
        <w:rPr>
          <w:noProof/>
          <w:sz w:val="24"/>
          <w:szCs w:val="24"/>
        </w:rPr>
        <w:t xml:space="preserve">Uncommon: </w:t>
      </w:r>
      <w:r w:rsidRPr="00A61946">
        <w:rPr>
          <w:noProof/>
          <w:sz w:val="24"/>
          <w:szCs w:val="24"/>
        </w:rPr>
        <w:sym w:font="Symbol" w:char="F0B3"/>
      </w:r>
      <w:r w:rsidRPr="00A61946">
        <w:rPr>
          <w:noProof/>
          <w:sz w:val="24"/>
          <w:szCs w:val="24"/>
        </w:rPr>
        <w:t> 1/1,000 to &lt; 1/100</w:t>
      </w:r>
    </w:p>
    <w:p w14:paraId="12825C6B" w14:textId="77777777" w:rsidR="00724837" w:rsidRPr="00A61946" w:rsidRDefault="00724837" w:rsidP="008F24E1">
      <w:pPr>
        <w:pStyle w:val="SPCnormal"/>
        <w:spacing w:line="276" w:lineRule="auto"/>
        <w:rPr>
          <w:noProof/>
          <w:sz w:val="24"/>
          <w:szCs w:val="24"/>
        </w:rPr>
      </w:pPr>
      <w:r w:rsidRPr="00A61946">
        <w:rPr>
          <w:noProof/>
          <w:sz w:val="24"/>
          <w:szCs w:val="24"/>
        </w:rPr>
        <w:t xml:space="preserve">Rare: </w:t>
      </w:r>
      <w:r w:rsidRPr="00A61946">
        <w:rPr>
          <w:noProof/>
          <w:sz w:val="24"/>
          <w:szCs w:val="24"/>
        </w:rPr>
        <w:sym w:font="Symbol" w:char="F0B3"/>
      </w:r>
      <w:r w:rsidRPr="00A61946">
        <w:rPr>
          <w:noProof/>
          <w:sz w:val="24"/>
          <w:szCs w:val="24"/>
        </w:rPr>
        <w:t> 1/10,000 to &lt; 1/1,000</w:t>
      </w:r>
    </w:p>
    <w:p w14:paraId="2E2029B2" w14:textId="77777777" w:rsidR="00724837" w:rsidRPr="00A61946" w:rsidRDefault="00724837" w:rsidP="008F24E1">
      <w:pPr>
        <w:pStyle w:val="SPCnormal"/>
        <w:spacing w:line="276" w:lineRule="auto"/>
        <w:rPr>
          <w:noProof/>
          <w:sz w:val="24"/>
          <w:szCs w:val="24"/>
        </w:rPr>
      </w:pPr>
      <w:r w:rsidRPr="00A61946">
        <w:rPr>
          <w:noProof/>
          <w:sz w:val="24"/>
          <w:szCs w:val="24"/>
        </w:rPr>
        <w:t>Very rare: &lt; 1/10,000</w:t>
      </w:r>
    </w:p>
    <w:p w14:paraId="22EC6DAE" w14:textId="77777777" w:rsidR="00724837" w:rsidRPr="00A61946" w:rsidRDefault="00724837" w:rsidP="008F24E1">
      <w:pPr>
        <w:pStyle w:val="SPCnormal"/>
        <w:spacing w:line="276" w:lineRule="auto"/>
        <w:rPr>
          <w:sz w:val="24"/>
          <w:szCs w:val="24"/>
          <w:u w:val="single"/>
        </w:rPr>
      </w:pPr>
      <w:r w:rsidRPr="00A61946">
        <w:rPr>
          <w:noProof/>
          <w:sz w:val="24"/>
          <w:szCs w:val="24"/>
        </w:rPr>
        <w:t>Frequency not known: cannot be estimated from the available data</w:t>
      </w:r>
    </w:p>
    <w:p w14:paraId="050C30FE" w14:textId="77777777" w:rsidR="00724837" w:rsidRPr="00A61946" w:rsidRDefault="00724837" w:rsidP="008F24E1">
      <w:pPr>
        <w:pStyle w:val="SPCHeading4"/>
        <w:spacing w:before="180" w:line="276" w:lineRule="auto"/>
        <w:rPr>
          <w:bCs/>
          <w:sz w:val="24"/>
          <w:szCs w:val="24"/>
        </w:rPr>
      </w:pPr>
      <w:r w:rsidRPr="00A61946">
        <w:rPr>
          <w:bCs/>
          <w:noProof/>
          <w:sz w:val="24"/>
          <w:szCs w:val="24"/>
        </w:rPr>
        <w:t>Infections and infestations</w:t>
      </w:r>
    </w:p>
    <w:p w14:paraId="3FC03300" w14:textId="77777777" w:rsidR="00724837" w:rsidRPr="00A61946" w:rsidRDefault="00724837" w:rsidP="008F24E1">
      <w:pPr>
        <w:pStyle w:val="SPCList"/>
        <w:tabs>
          <w:tab w:val="left" w:pos="1560"/>
        </w:tabs>
        <w:spacing w:before="180" w:line="276" w:lineRule="auto"/>
        <w:ind w:left="0" w:firstLine="0"/>
        <w:rPr>
          <w:sz w:val="24"/>
          <w:szCs w:val="24"/>
        </w:rPr>
      </w:pPr>
      <w:r w:rsidRPr="00A61946">
        <w:rPr>
          <w:sz w:val="24"/>
          <w:szCs w:val="24"/>
        </w:rPr>
        <w:t>Common:</w:t>
      </w:r>
      <w:r w:rsidRPr="00A61946">
        <w:rPr>
          <w:sz w:val="24"/>
          <w:szCs w:val="24"/>
        </w:rPr>
        <w:tab/>
        <w:t>Oral herpes, d</w:t>
      </w:r>
      <w:r w:rsidRPr="00A61946">
        <w:rPr>
          <w:bCs/>
          <w:sz w:val="24"/>
          <w:szCs w:val="24"/>
        </w:rPr>
        <w:t>ermatomal herpes zoster</w:t>
      </w:r>
    </w:p>
    <w:p w14:paraId="4B715FB7" w14:textId="77777777" w:rsidR="00724837" w:rsidRPr="00A61946" w:rsidRDefault="00724837" w:rsidP="008F24E1">
      <w:pPr>
        <w:pStyle w:val="SPCList"/>
        <w:tabs>
          <w:tab w:val="left" w:pos="1560"/>
        </w:tabs>
        <w:spacing w:before="180" w:line="276" w:lineRule="auto"/>
        <w:ind w:left="0" w:firstLine="0"/>
        <w:rPr>
          <w:sz w:val="24"/>
          <w:szCs w:val="24"/>
        </w:rPr>
      </w:pPr>
      <w:r w:rsidRPr="00A61946">
        <w:rPr>
          <w:sz w:val="24"/>
          <w:szCs w:val="24"/>
        </w:rPr>
        <w:t>Very rare:</w:t>
      </w:r>
      <w:r w:rsidRPr="00A61946">
        <w:rPr>
          <w:sz w:val="24"/>
          <w:szCs w:val="24"/>
        </w:rPr>
        <w:tab/>
        <w:t>Tuberculosis.</w:t>
      </w:r>
    </w:p>
    <w:p w14:paraId="5771CBB7" w14:textId="77777777" w:rsidR="00724837" w:rsidRPr="00A61946" w:rsidRDefault="00724837" w:rsidP="008F24E1">
      <w:pPr>
        <w:pStyle w:val="SPCHeading4"/>
        <w:spacing w:before="180" w:line="276" w:lineRule="auto"/>
        <w:rPr>
          <w:bCs/>
          <w:sz w:val="24"/>
          <w:szCs w:val="24"/>
        </w:rPr>
      </w:pPr>
      <w:r w:rsidRPr="00A61946">
        <w:rPr>
          <w:bCs/>
          <w:noProof/>
          <w:sz w:val="24"/>
          <w:szCs w:val="24"/>
        </w:rPr>
        <w:t>Blood and lymphatic system disorders</w:t>
      </w:r>
    </w:p>
    <w:p w14:paraId="43A11C53" w14:textId="77777777" w:rsidR="00724837" w:rsidRPr="00A61946" w:rsidRDefault="00724837" w:rsidP="008F24E1">
      <w:pPr>
        <w:pStyle w:val="SPCnormal"/>
        <w:tabs>
          <w:tab w:val="left" w:pos="1560"/>
        </w:tabs>
        <w:spacing w:before="180" w:line="276" w:lineRule="auto"/>
        <w:rPr>
          <w:sz w:val="24"/>
          <w:szCs w:val="24"/>
        </w:rPr>
      </w:pPr>
      <w:r w:rsidRPr="00A61946">
        <w:rPr>
          <w:sz w:val="24"/>
          <w:szCs w:val="24"/>
        </w:rPr>
        <w:t>Very common:</w:t>
      </w:r>
      <w:r w:rsidRPr="00A61946">
        <w:rPr>
          <w:sz w:val="24"/>
          <w:szCs w:val="24"/>
        </w:rPr>
        <w:tab/>
        <w:t>Lymphopenia, which may be severe (grade 3 or 4)</w:t>
      </w:r>
    </w:p>
    <w:p w14:paraId="16C864C3" w14:textId="77777777" w:rsidR="00724837" w:rsidRPr="00A61946" w:rsidRDefault="00724837" w:rsidP="008F24E1">
      <w:pPr>
        <w:pStyle w:val="SPCnormal"/>
        <w:tabs>
          <w:tab w:val="left" w:pos="1560"/>
        </w:tabs>
        <w:spacing w:before="180" w:line="276" w:lineRule="auto"/>
        <w:rPr>
          <w:sz w:val="24"/>
          <w:szCs w:val="24"/>
        </w:rPr>
      </w:pPr>
      <w:r w:rsidRPr="00A61946">
        <w:rPr>
          <w:sz w:val="24"/>
          <w:szCs w:val="24"/>
        </w:rPr>
        <w:t>Common:</w:t>
      </w:r>
      <w:r w:rsidRPr="00A61946">
        <w:rPr>
          <w:sz w:val="24"/>
          <w:szCs w:val="24"/>
        </w:rPr>
        <w:tab/>
        <w:t>Decrease in neutrophil count</w:t>
      </w:r>
    </w:p>
    <w:p w14:paraId="20CE40B1" w14:textId="77777777" w:rsidR="00724837" w:rsidRPr="00A61946" w:rsidRDefault="00724837" w:rsidP="008F24E1">
      <w:pPr>
        <w:pStyle w:val="SPCHeading4"/>
        <w:spacing w:before="180" w:line="276" w:lineRule="auto"/>
        <w:rPr>
          <w:bCs/>
          <w:sz w:val="24"/>
          <w:szCs w:val="24"/>
        </w:rPr>
      </w:pPr>
      <w:r w:rsidRPr="00A61946">
        <w:rPr>
          <w:bCs/>
          <w:noProof/>
          <w:sz w:val="24"/>
          <w:szCs w:val="24"/>
        </w:rPr>
        <w:t>Skin and subcutaneous tissue disorders</w:t>
      </w:r>
    </w:p>
    <w:p w14:paraId="23949474" w14:textId="77777777" w:rsidR="00724837" w:rsidRPr="00A61946" w:rsidRDefault="00724837" w:rsidP="008F24E1">
      <w:pPr>
        <w:pStyle w:val="SPCnormal"/>
        <w:tabs>
          <w:tab w:val="left" w:pos="1560"/>
        </w:tabs>
        <w:spacing w:before="180" w:line="276" w:lineRule="auto"/>
        <w:rPr>
          <w:sz w:val="24"/>
          <w:szCs w:val="24"/>
        </w:rPr>
      </w:pPr>
      <w:r w:rsidRPr="00A61946">
        <w:rPr>
          <w:sz w:val="24"/>
          <w:szCs w:val="24"/>
        </w:rPr>
        <w:t>Common:</w:t>
      </w:r>
      <w:r w:rsidRPr="00A61946">
        <w:rPr>
          <w:sz w:val="24"/>
          <w:szCs w:val="24"/>
        </w:rPr>
        <w:tab/>
        <w:t>Rash (e.g. pustular, papular, macular, pruritic, erythematous rash), alopecia</w:t>
      </w:r>
    </w:p>
    <w:p w14:paraId="160FEAED" w14:textId="77777777" w:rsidR="00724837" w:rsidRPr="00A61946" w:rsidRDefault="00724837" w:rsidP="008F24E1">
      <w:pPr>
        <w:keepNext/>
        <w:autoSpaceDE w:val="0"/>
        <w:autoSpaceDN w:val="0"/>
        <w:spacing w:before="180" w:line="276" w:lineRule="auto"/>
        <w:rPr>
          <w:rFonts w:ascii="Times New Roman" w:hAnsi="Times New Roman"/>
          <w:sz w:val="24"/>
          <w:szCs w:val="24"/>
          <w:u w:val="single"/>
          <w:lang w:val="en-AU"/>
        </w:rPr>
      </w:pPr>
      <w:r w:rsidRPr="00A61946">
        <w:rPr>
          <w:rFonts w:ascii="Times New Roman" w:hAnsi="Times New Roman"/>
          <w:sz w:val="24"/>
          <w:szCs w:val="24"/>
          <w:u w:val="single"/>
          <w:lang w:val="en-AU"/>
        </w:rPr>
        <w:t>Lymphopenia</w:t>
      </w:r>
    </w:p>
    <w:p w14:paraId="7BB45631" w14:textId="77777777" w:rsidR="00724837" w:rsidRPr="00A61946" w:rsidRDefault="00724837" w:rsidP="008F24E1">
      <w:pPr>
        <w:autoSpaceDE w:val="0"/>
        <w:autoSpaceDN w:val="0"/>
        <w:spacing w:before="180" w:line="276" w:lineRule="auto"/>
        <w:rPr>
          <w:rFonts w:ascii="Times New Roman" w:hAnsi="Times New Roman"/>
          <w:sz w:val="24"/>
          <w:szCs w:val="24"/>
        </w:rPr>
      </w:pPr>
      <w:r w:rsidRPr="00A61946">
        <w:rPr>
          <w:rFonts w:ascii="Times New Roman" w:hAnsi="Times New Roman"/>
          <w:sz w:val="24"/>
          <w:szCs w:val="24"/>
          <w:lang w:val="en-AU"/>
        </w:rPr>
        <w:t xml:space="preserve">In clinical studies, 20% to 25% of the patients treated with a cumulative dose of cladribine 3.5 mg/kg over 2 years as monotherapy developed transient grade 3 or 4 lymphopenia.  Grade 4 lymphopenia was seen in less than 1% of the patients.  </w:t>
      </w:r>
      <w:r w:rsidRPr="00A61946">
        <w:rPr>
          <w:rFonts w:ascii="Times New Roman" w:hAnsi="Times New Roman"/>
          <w:bCs/>
          <w:sz w:val="24"/>
          <w:szCs w:val="24"/>
        </w:rPr>
        <w:t xml:space="preserve">The largest proportion of patients with grade 3 or 4 lymphopenia was seen 2 months after the first cladribine dose in each year (4.0% and 11.3% of patients with grade 3 lymphopenia in year 1 and year 2, 0% and 0.4% of patients with grade 4 lymphopenia in year 1 and year 2).  </w:t>
      </w:r>
      <w:r w:rsidRPr="00A61946">
        <w:rPr>
          <w:rFonts w:ascii="Times New Roman" w:hAnsi="Times New Roman"/>
          <w:sz w:val="24"/>
          <w:szCs w:val="24"/>
          <w:lang w:val="en-AU"/>
        </w:rPr>
        <w:t xml:space="preserve">It is expected that most patients with grade 3 </w:t>
      </w:r>
      <w:r w:rsidRPr="00A61946">
        <w:rPr>
          <w:rFonts w:ascii="Times New Roman" w:hAnsi="Times New Roman"/>
          <w:sz w:val="24"/>
          <w:szCs w:val="24"/>
          <w:lang w:val="en-AU"/>
        </w:rPr>
        <w:lastRenderedPageBreak/>
        <w:t>lymphopenia recover to either normal lymphocyte counts or grade 1 lymphopenia within 9 months.</w:t>
      </w:r>
    </w:p>
    <w:p w14:paraId="505B9CAC"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rPr>
        <w:t>To decrease the risk for severe lymphopenia, lymphocyte counts must be determined before, during and after cladribine treatment and strict criteria for initiating and continuing cladribine treatment must be followed (refer to PRECAUTIONS and DOSAGE AND ADMINISTRATION).</w:t>
      </w:r>
    </w:p>
    <w:p w14:paraId="51B5E0ED" w14:textId="77777777" w:rsidR="00724837" w:rsidRPr="00A61946" w:rsidRDefault="00724837" w:rsidP="008F24E1">
      <w:pPr>
        <w:keepNext/>
        <w:autoSpaceDE w:val="0"/>
        <w:autoSpaceDN w:val="0"/>
        <w:spacing w:before="180" w:line="276" w:lineRule="auto"/>
        <w:rPr>
          <w:rFonts w:ascii="Times New Roman" w:hAnsi="Times New Roman"/>
          <w:sz w:val="24"/>
          <w:szCs w:val="24"/>
          <w:lang w:val="en-AU"/>
        </w:rPr>
      </w:pPr>
      <w:r w:rsidRPr="00A61946">
        <w:rPr>
          <w:rFonts w:ascii="Times New Roman" w:hAnsi="Times New Roman"/>
          <w:b/>
          <w:sz w:val="24"/>
          <w:szCs w:val="24"/>
          <w:lang w:val="en-AU"/>
        </w:rPr>
        <w:t>DOSAGE AND ADMINISTRATION</w:t>
      </w:r>
    </w:p>
    <w:p w14:paraId="4982D3AA" w14:textId="77777777" w:rsidR="00724837" w:rsidRPr="00A61946" w:rsidRDefault="00724837" w:rsidP="008F24E1">
      <w:pPr>
        <w:keepNext/>
        <w:autoSpaceDE w:val="0"/>
        <w:autoSpaceDN w:val="0"/>
        <w:spacing w:before="180" w:line="276" w:lineRule="auto"/>
        <w:rPr>
          <w:rFonts w:ascii="Times New Roman" w:hAnsi="Times New Roman"/>
          <w:b/>
          <w:sz w:val="24"/>
          <w:szCs w:val="24"/>
          <w:lang w:val="en-AU"/>
        </w:rPr>
      </w:pPr>
      <w:r w:rsidRPr="00A61946">
        <w:rPr>
          <w:rFonts w:ascii="Times New Roman" w:hAnsi="Times New Roman"/>
          <w:b/>
          <w:sz w:val="24"/>
          <w:szCs w:val="24"/>
          <w:lang w:val="en-AU"/>
        </w:rPr>
        <w:t>General Treatment Schedule</w:t>
      </w:r>
    </w:p>
    <w:p w14:paraId="3AFF0C5B" w14:textId="77777777" w:rsidR="00724837" w:rsidRPr="00A61946" w:rsidRDefault="00724837" w:rsidP="008F24E1">
      <w:pPr>
        <w:spacing w:before="180" w:line="276" w:lineRule="auto"/>
        <w:rPr>
          <w:rFonts w:ascii="Times New Roman" w:hAnsi="Times New Roman"/>
          <w:sz w:val="24"/>
          <w:szCs w:val="24"/>
          <w:lang w:val="en-AU"/>
        </w:rPr>
      </w:pPr>
      <w:r w:rsidRPr="00A61946">
        <w:rPr>
          <w:rFonts w:ascii="Times New Roman" w:hAnsi="Times New Roman"/>
          <w:sz w:val="24"/>
          <w:szCs w:val="24"/>
          <w:lang w:eastAsia="sv-SE"/>
        </w:rPr>
        <w:t>The recommended cumulative dose of MAVENCLAD is 3.5 mg/kg body weight over 2 years, administered as 1 treatment course of 1.75 mg/kg per year.  Each treatment course consists of 2 treatment weeks, one at the beginning of the first month and one at the beginning of the second month of the respective year.  Each treatment week consists of 4 or 5 days on which a patient receives 10 mg or 20 mg (one or two tablets) as a single daily dose, depending on body weight.</w:t>
      </w:r>
    </w:p>
    <w:p w14:paraId="6589D29A"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Patients should receive no more than 2 treatment courses over two consecutive years.  The recommended dose should not be exceeded.</w:t>
      </w:r>
      <w:r w:rsidRPr="00A61946">
        <w:t xml:space="preserve"> </w:t>
      </w:r>
      <w:r w:rsidRPr="00A61946">
        <w:rPr>
          <w:rFonts w:ascii="Times New Roman" w:hAnsi="Times New Roman"/>
          <w:sz w:val="24"/>
          <w:szCs w:val="24"/>
        </w:rPr>
        <w:t>Following completion of the 2 treatment courses, no further cladribine treatment is required in year 3 and year 4 (refer to CLINICAL TRIALS). Re-initiation of therapy after year 4 has not been studied.</w:t>
      </w:r>
    </w:p>
    <w:p w14:paraId="73614C16" w14:textId="77777777" w:rsidR="00724837" w:rsidRPr="00A61946" w:rsidRDefault="00724837" w:rsidP="008F24E1">
      <w:pPr>
        <w:keepNext/>
        <w:autoSpaceDE w:val="0"/>
        <w:autoSpaceDN w:val="0"/>
        <w:spacing w:before="180" w:line="276" w:lineRule="auto"/>
        <w:rPr>
          <w:rFonts w:ascii="Times New Roman" w:hAnsi="Times New Roman"/>
          <w:b/>
          <w:sz w:val="24"/>
          <w:szCs w:val="24"/>
          <w:lang w:val="en-AU"/>
        </w:rPr>
      </w:pPr>
      <w:bookmarkStart w:id="0" w:name="_Hlk231380002"/>
      <w:r w:rsidRPr="00A61946">
        <w:rPr>
          <w:rFonts w:ascii="Times New Roman" w:hAnsi="Times New Roman"/>
          <w:b/>
          <w:sz w:val="24"/>
          <w:szCs w:val="24"/>
          <w:lang w:val="en-AU"/>
        </w:rPr>
        <w:t>Criteria for Starting and Continuing Therapy</w:t>
      </w:r>
    </w:p>
    <w:p w14:paraId="76B0E8A4" w14:textId="77777777" w:rsidR="00724837" w:rsidRPr="00A61946" w:rsidRDefault="00724837" w:rsidP="008F24E1">
      <w:pPr>
        <w:keepNext/>
        <w:autoSpaceDE w:val="0"/>
        <w:autoSpaceDN w:val="0"/>
        <w:spacing w:before="180" w:line="276" w:lineRule="auto"/>
        <w:rPr>
          <w:rFonts w:ascii="Times New Roman" w:hAnsi="Times New Roman"/>
          <w:sz w:val="24"/>
          <w:szCs w:val="24"/>
          <w:u w:val="single"/>
          <w:lang w:eastAsia="de-DE"/>
        </w:rPr>
      </w:pPr>
      <w:r w:rsidRPr="00A61946">
        <w:rPr>
          <w:rFonts w:ascii="Times New Roman" w:hAnsi="Times New Roman"/>
          <w:sz w:val="24"/>
          <w:szCs w:val="24"/>
          <w:u w:val="single"/>
          <w:lang w:eastAsia="de-DE"/>
        </w:rPr>
        <w:t>Screening for infections</w:t>
      </w:r>
    </w:p>
    <w:p w14:paraId="7BD9D722" w14:textId="77777777" w:rsidR="00724837" w:rsidRPr="00A61946" w:rsidRDefault="00724837" w:rsidP="008F24E1">
      <w:pPr>
        <w:keepLines/>
        <w:widowControl/>
        <w:adjustRightInd/>
        <w:spacing w:before="180" w:line="240" w:lineRule="auto"/>
        <w:jc w:val="left"/>
        <w:textAlignment w:val="auto"/>
        <w:rPr>
          <w:rFonts w:ascii="Times New Roman" w:hAnsi="Times New Roman"/>
          <w:sz w:val="24"/>
          <w:szCs w:val="24"/>
          <w:lang w:eastAsia="de-DE"/>
        </w:rPr>
      </w:pPr>
      <w:r w:rsidRPr="00A61946">
        <w:rPr>
          <w:rFonts w:ascii="Times New Roman" w:hAnsi="Times New Roman"/>
          <w:sz w:val="24"/>
          <w:szCs w:val="24"/>
          <w:lang w:eastAsia="en-US"/>
        </w:rPr>
        <w:t xml:space="preserve">HIV infection, active tuberculosis and active hepatitis must be excluded before initiation of </w:t>
      </w:r>
      <w:r w:rsidRPr="00A61946">
        <w:rPr>
          <w:rFonts w:ascii="Times New Roman" w:hAnsi="Times New Roman"/>
          <w:lang w:eastAsia="sv-SE"/>
        </w:rPr>
        <w:t xml:space="preserve">MAVENCLAD </w:t>
      </w:r>
      <w:r w:rsidRPr="00A61946">
        <w:rPr>
          <w:rFonts w:ascii="Times New Roman" w:hAnsi="Times New Roman"/>
          <w:sz w:val="24"/>
          <w:szCs w:val="24"/>
          <w:lang w:eastAsia="en-US"/>
        </w:rPr>
        <w:t>(refer to CONTRAINDICATIONS).</w:t>
      </w:r>
    </w:p>
    <w:p w14:paraId="6F1F216B" w14:textId="77777777" w:rsidR="00724837" w:rsidRPr="00A61946" w:rsidRDefault="00724837" w:rsidP="008F24E1">
      <w:pPr>
        <w:autoSpaceDE w:val="0"/>
        <w:autoSpaceDN w:val="0"/>
        <w:spacing w:before="180" w:line="276" w:lineRule="auto"/>
        <w:rPr>
          <w:rFonts w:ascii="Times New Roman" w:hAnsi="Times New Roman"/>
          <w:sz w:val="24"/>
          <w:szCs w:val="24"/>
          <w:lang w:eastAsia="de-DE"/>
        </w:rPr>
      </w:pPr>
      <w:r w:rsidRPr="00A61946">
        <w:rPr>
          <w:rFonts w:ascii="Times New Roman" w:hAnsi="Times New Roman"/>
          <w:bCs/>
          <w:sz w:val="24"/>
          <w:szCs w:val="24"/>
          <w:lang w:eastAsia="sv-SE"/>
        </w:rPr>
        <w:t>Screening for latent infections</w:t>
      </w:r>
      <w:r w:rsidRPr="00A61946">
        <w:rPr>
          <w:rFonts w:ascii="Times New Roman" w:hAnsi="Times New Roman"/>
          <w:sz w:val="24"/>
          <w:szCs w:val="24"/>
          <w:lang w:eastAsia="sv-SE"/>
        </w:rPr>
        <w:t>, in particular tuberculosis and hepatitis B and C, must be performed</w:t>
      </w:r>
      <w:r w:rsidRPr="00A61946">
        <w:rPr>
          <w:rFonts w:ascii="Times New Roman" w:hAnsi="Times New Roman"/>
          <w:bCs/>
          <w:sz w:val="24"/>
          <w:szCs w:val="24"/>
          <w:lang w:eastAsia="sv-SE"/>
        </w:rPr>
        <w:t xml:space="preserve"> prior to initiation of therapy in year 1 and year 2. </w:t>
      </w:r>
      <w:r w:rsidRPr="00A61946">
        <w:rPr>
          <w:rFonts w:ascii="Times New Roman" w:hAnsi="Times New Roman"/>
          <w:sz w:val="24"/>
          <w:szCs w:val="24"/>
          <w:lang w:eastAsia="sv-SE"/>
        </w:rPr>
        <w:t xml:space="preserve"> </w:t>
      </w:r>
      <w:r w:rsidRPr="00A61946">
        <w:rPr>
          <w:rFonts w:ascii="Times New Roman" w:hAnsi="Times New Roman"/>
          <w:lang w:eastAsia="sv-SE"/>
        </w:rPr>
        <w:t>Initiation of MAVENCLAD should be delayed until the infection has been adequately treated (refer to PRECAUTIONS, Infections).</w:t>
      </w:r>
    </w:p>
    <w:p w14:paraId="1851FFA2" w14:textId="77777777" w:rsidR="00724837" w:rsidRPr="00A61946" w:rsidRDefault="00724837" w:rsidP="008F24E1">
      <w:pPr>
        <w:autoSpaceDE w:val="0"/>
        <w:autoSpaceDN w:val="0"/>
        <w:spacing w:before="180" w:line="276" w:lineRule="auto"/>
        <w:rPr>
          <w:rFonts w:ascii="Times New Roman" w:hAnsi="Times New Roman"/>
          <w:sz w:val="24"/>
          <w:szCs w:val="24"/>
          <w:lang w:eastAsia="de-DE"/>
        </w:rPr>
      </w:pPr>
      <w:r w:rsidRPr="00A61946">
        <w:rPr>
          <w:rFonts w:ascii="Times New Roman" w:hAnsi="Times New Roman"/>
          <w:sz w:val="24"/>
          <w:szCs w:val="24"/>
          <w:lang w:eastAsia="en-US"/>
        </w:rPr>
        <w:t xml:space="preserve">A delay in initiation of </w:t>
      </w:r>
      <w:r w:rsidRPr="00A61946">
        <w:rPr>
          <w:rFonts w:ascii="Times New Roman" w:hAnsi="Times New Roman"/>
          <w:lang w:eastAsia="sv-SE"/>
        </w:rPr>
        <w:t xml:space="preserve">MAVENCLAD </w:t>
      </w:r>
      <w:r w:rsidRPr="00A61946">
        <w:rPr>
          <w:rFonts w:ascii="Times New Roman" w:hAnsi="Times New Roman"/>
          <w:sz w:val="24"/>
          <w:szCs w:val="24"/>
          <w:lang w:eastAsia="en-US"/>
        </w:rPr>
        <w:t xml:space="preserve">should also be considered in patients with an acute infection until the infection is fully controlled </w:t>
      </w:r>
      <w:r w:rsidRPr="00A61946">
        <w:rPr>
          <w:rFonts w:ascii="Times New Roman" w:hAnsi="Times New Roman"/>
          <w:lang w:eastAsia="sv-SE"/>
        </w:rPr>
        <w:t>(refer to PRECAUTIONS, Infections)</w:t>
      </w:r>
      <w:r w:rsidRPr="00A61946">
        <w:rPr>
          <w:rFonts w:ascii="Times New Roman" w:hAnsi="Times New Roman"/>
          <w:sz w:val="24"/>
          <w:szCs w:val="24"/>
          <w:lang w:eastAsia="en-US"/>
        </w:rPr>
        <w:t>.</w:t>
      </w:r>
    </w:p>
    <w:p w14:paraId="1CC8A3C6" w14:textId="77777777" w:rsidR="00724837" w:rsidRPr="00A61946" w:rsidRDefault="00724837" w:rsidP="008F24E1">
      <w:pPr>
        <w:keepNext/>
        <w:autoSpaceDE w:val="0"/>
        <w:autoSpaceDN w:val="0"/>
        <w:spacing w:before="180" w:line="276" w:lineRule="auto"/>
        <w:rPr>
          <w:rFonts w:ascii="Times New Roman" w:hAnsi="Times New Roman"/>
          <w:sz w:val="24"/>
          <w:szCs w:val="24"/>
          <w:u w:val="single"/>
          <w:lang w:val="en-AU"/>
        </w:rPr>
      </w:pPr>
      <w:r w:rsidRPr="00A61946">
        <w:rPr>
          <w:rFonts w:ascii="Times New Roman" w:hAnsi="Times New Roman"/>
          <w:sz w:val="24"/>
          <w:szCs w:val="24"/>
          <w:u w:val="single"/>
          <w:lang w:val="en-AU"/>
        </w:rPr>
        <w:t>Lymphocyte monitoring</w:t>
      </w:r>
    </w:p>
    <w:p w14:paraId="583FA610" w14:textId="77777777" w:rsidR="00724837" w:rsidRPr="00A61946" w:rsidRDefault="00724837" w:rsidP="008F24E1">
      <w:pPr>
        <w:keepNext/>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Lymphocyte counts must be</w:t>
      </w:r>
    </w:p>
    <w:p w14:paraId="1CD2AA6D" w14:textId="77777777" w:rsidR="00724837" w:rsidRPr="00A61946" w:rsidRDefault="00724837" w:rsidP="008F24E1">
      <w:pPr>
        <w:keepNext/>
        <w:numPr>
          <w:ilvl w:val="0"/>
          <w:numId w:val="5"/>
        </w:numPr>
        <w:autoSpaceDE w:val="0"/>
        <w:autoSpaceDN w:val="0"/>
        <w:spacing w:line="276" w:lineRule="auto"/>
        <w:ind w:left="714" w:hanging="357"/>
        <w:rPr>
          <w:rFonts w:ascii="Times New Roman" w:hAnsi="Times New Roman"/>
          <w:sz w:val="24"/>
          <w:szCs w:val="24"/>
          <w:lang w:val="en-AU"/>
        </w:rPr>
      </w:pPr>
      <w:r w:rsidRPr="00A61946">
        <w:rPr>
          <w:rFonts w:ascii="Times New Roman" w:hAnsi="Times New Roman"/>
          <w:sz w:val="24"/>
          <w:szCs w:val="24"/>
          <w:lang w:val="en-AU"/>
        </w:rPr>
        <w:t>normal before initiating MAVENCLAD therapy,</w:t>
      </w:r>
    </w:p>
    <w:p w14:paraId="58E0DFAD" w14:textId="77777777" w:rsidR="00724837" w:rsidRPr="00A61946" w:rsidRDefault="00724837" w:rsidP="008F24E1">
      <w:pPr>
        <w:numPr>
          <w:ilvl w:val="0"/>
          <w:numId w:val="5"/>
        </w:numPr>
        <w:autoSpaceDE w:val="0"/>
        <w:autoSpaceDN w:val="0"/>
        <w:spacing w:line="276" w:lineRule="auto"/>
        <w:ind w:left="714" w:hanging="357"/>
        <w:rPr>
          <w:rFonts w:ascii="Times New Roman" w:hAnsi="Times New Roman"/>
          <w:sz w:val="24"/>
          <w:szCs w:val="24"/>
          <w:lang w:val="en-AU"/>
        </w:rPr>
      </w:pPr>
      <w:proofErr w:type="gramStart"/>
      <w:r w:rsidRPr="00A61946">
        <w:rPr>
          <w:rFonts w:ascii="Times New Roman" w:hAnsi="Times New Roman"/>
          <w:sz w:val="24"/>
          <w:szCs w:val="24"/>
          <w:lang w:val="en-AU"/>
        </w:rPr>
        <w:t>at</w:t>
      </w:r>
      <w:proofErr w:type="gramEnd"/>
      <w:r w:rsidRPr="00A61946">
        <w:rPr>
          <w:rFonts w:ascii="Times New Roman" w:hAnsi="Times New Roman"/>
          <w:sz w:val="24"/>
          <w:szCs w:val="24"/>
          <w:lang w:val="en-AU"/>
        </w:rPr>
        <w:t xml:space="preserve"> least 800 cells/mm³ before the second treatment course in year 2.</w:t>
      </w:r>
    </w:p>
    <w:p w14:paraId="45F1E602"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eastAsia="de-DE"/>
        </w:rPr>
        <w:t>If necessary, the treatment course in year 2 can be delayed for up to 6 months to allow for recovery of lymphocytes.  If this recovery takes more than 6 months, the patient should not receive MAVENCLAD anymore</w:t>
      </w:r>
      <w:r w:rsidRPr="00A61946">
        <w:rPr>
          <w:rFonts w:ascii="Times New Roman" w:hAnsi="Times New Roman"/>
          <w:sz w:val="24"/>
          <w:szCs w:val="24"/>
          <w:lang w:eastAsia="en-US"/>
        </w:rPr>
        <w:t>.</w:t>
      </w:r>
    </w:p>
    <w:p w14:paraId="6C11C5B9" w14:textId="77777777" w:rsidR="00724837" w:rsidRPr="00A61946" w:rsidRDefault="00724837" w:rsidP="008F24E1">
      <w:pPr>
        <w:keepNext/>
        <w:autoSpaceDE w:val="0"/>
        <w:autoSpaceDN w:val="0"/>
        <w:spacing w:before="180" w:line="276" w:lineRule="auto"/>
        <w:rPr>
          <w:rFonts w:ascii="Times New Roman" w:hAnsi="Times New Roman"/>
          <w:sz w:val="24"/>
          <w:szCs w:val="24"/>
          <w:lang w:eastAsia="de-DE"/>
        </w:rPr>
      </w:pPr>
      <w:r w:rsidRPr="00A61946">
        <w:rPr>
          <w:rFonts w:ascii="Times New Roman" w:hAnsi="Times New Roman"/>
          <w:b/>
          <w:sz w:val="24"/>
          <w:szCs w:val="24"/>
          <w:lang w:val="en-AU"/>
        </w:rPr>
        <w:t>Distribution of dose</w:t>
      </w:r>
    </w:p>
    <w:bookmarkEnd w:id="0"/>
    <w:p w14:paraId="00DB32BC"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rPr>
        <w:t>The distribution of the total dose over the 2 years of treatment</w:t>
      </w:r>
      <w:r w:rsidRPr="00A61946">
        <w:rPr>
          <w:rFonts w:ascii="Times New Roman" w:hAnsi="Times New Roman"/>
          <w:sz w:val="24"/>
          <w:szCs w:val="24"/>
          <w:lang w:val="en-AU"/>
        </w:rPr>
        <w:t xml:space="preserve"> is provided in Table 3.  Note that for some weight ranges the number of tablets may vary from one treatment week to the next. </w:t>
      </w:r>
    </w:p>
    <w:tbl>
      <w:tblPr>
        <w:tblW w:w="8959" w:type="dxa"/>
        <w:tblInd w:w="108" w:type="dxa"/>
        <w:tblLook w:val="01E0" w:firstRow="1" w:lastRow="1" w:firstColumn="1" w:lastColumn="1" w:noHBand="0" w:noVBand="0"/>
      </w:tblPr>
      <w:tblGrid>
        <w:gridCol w:w="1872"/>
        <w:gridCol w:w="3544"/>
        <w:gridCol w:w="3543"/>
      </w:tblGrid>
      <w:tr w:rsidR="00724837" w:rsidRPr="00A61946" w14:paraId="49362D02" w14:textId="77777777" w:rsidTr="008F24E1">
        <w:tc>
          <w:tcPr>
            <w:tcW w:w="8959" w:type="dxa"/>
            <w:gridSpan w:val="3"/>
            <w:tcBorders>
              <w:top w:val="single" w:sz="4" w:space="0" w:color="auto"/>
              <w:left w:val="single" w:sz="4" w:space="0" w:color="auto"/>
              <w:bottom w:val="single" w:sz="4" w:space="0" w:color="auto"/>
              <w:right w:val="single" w:sz="4" w:space="0" w:color="auto"/>
            </w:tcBorders>
            <w:shd w:val="clear" w:color="auto" w:fill="F3F3F3"/>
            <w:noWrap/>
          </w:tcPr>
          <w:p w14:paraId="5A60A8BC" w14:textId="77777777" w:rsidR="00724837" w:rsidRPr="00A61946" w:rsidRDefault="00724837" w:rsidP="008F24E1">
            <w:pPr>
              <w:keepNext/>
              <w:tabs>
                <w:tab w:val="left" w:pos="960"/>
              </w:tabs>
              <w:autoSpaceDE w:val="0"/>
              <w:autoSpaceDN w:val="0"/>
              <w:spacing w:after="60" w:line="276" w:lineRule="auto"/>
              <w:ind w:left="958" w:hanging="958"/>
              <w:rPr>
                <w:rFonts w:ascii="Times New Roman" w:hAnsi="Times New Roman"/>
                <w:b/>
                <w:lang w:val="en-AU" w:eastAsia="en-AU"/>
              </w:rPr>
            </w:pPr>
            <w:r w:rsidRPr="00A61946">
              <w:rPr>
                <w:rFonts w:ascii="Times New Roman" w:hAnsi="Times New Roman"/>
                <w:b/>
                <w:lang w:val="en-AU" w:eastAsia="en-AU"/>
              </w:rPr>
              <w:t>Table 3:</w:t>
            </w:r>
            <w:r w:rsidRPr="00A61946">
              <w:rPr>
                <w:rFonts w:ascii="Times New Roman" w:hAnsi="Times New Roman"/>
                <w:b/>
                <w:lang w:val="en-AU" w:eastAsia="en-AU"/>
              </w:rPr>
              <w:tab/>
              <w:t xml:space="preserve">Dose of </w:t>
            </w:r>
            <w:r w:rsidRPr="00A61946">
              <w:rPr>
                <w:rFonts w:ascii="Times New Roman" w:hAnsi="Times New Roman"/>
                <w:b/>
                <w:lang w:val="en-AU"/>
              </w:rPr>
              <w:t>MAVENCLAD</w:t>
            </w:r>
            <w:r w:rsidRPr="00A61946">
              <w:rPr>
                <w:rFonts w:ascii="Times New Roman" w:hAnsi="Times New Roman"/>
                <w:lang w:val="en-AU"/>
              </w:rPr>
              <w:t xml:space="preserve"> </w:t>
            </w:r>
            <w:r w:rsidRPr="00A61946">
              <w:rPr>
                <w:rFonts w:ascii="Times New Roman" w:hAnsi="Times New Roman"/>
                <w:b/>
                <w:lang w:val="en-AU" w:eastAsia="en-AU"/>
              </w:rPr>
              <w:t>per treatment week by patient weight in each treatment year</w:t>
            </w:r>
          </w:p>
        </w:tc>
      </w:tr>
      <w:tr w:rsidR="00724837" w:rsidRPr="00A61946" w14:paraId="18F0EDD4" w14:textId="77777777" w:rsidTr="008F24E1">
        <w:tc>
          <w:tcPr>
            <w:tcW w:w="1872" w:type="dxa"/>
            <w:tcBorders>
              <w:top w:val="single" w:sz="4" w:space="0" w:color="auto"/>
              <w:left w:val="single" w:sz="4" w:space="0" w:color="auto"/>
              <w:bottom w:val="single" w:sz="4" w:space="0" w:color="auto"/>
              <w:right w:val="single" w:sz="4" w:space="0" w:color="auto"/>
            </w:tcBorders>
            <w:vAlign w:val="center"/>
          </w:tcPr>
          <w:p w14:paraId="3E69711B" w14:textId="77777777" w:rsidR="00724837" w:rsidRPr="00A61946" w:rsidRDefault="00724837" w:rsidP="008F24E1">
            <w:pPr>
              <w:pStyle w:val="SPCTabletitlecenter"/>
              <w:spacing w:after="40" w:line="276" w:lineRule="auto"/>
              <w:rPr>
                <w:b w:val="0"/>
                <w:bCs/>
                <w:sz w:val="22"/>
                <w:szCs w:val="22"/>
              </w:rPr>
            </w:pPr>
            <w:r w:rsidRPr="00A61946">
              <w:rPr>
                <w:b w:val="0"/>
                <w:bCs/>
                <w:sz w:val="22"/>
                <w:szCs w:val="22"/>
              </w:rPr>
              <w:t>Weight range</w:t>
            </w:r>
          </w:p>
        </w:tc>
        <w:tc>
          <w:tcPr>
            <w:tcW w:w="7087" w:type="dxa"/>
            <w:gridSpan w:val="2"/>
            <w:tcBorders>
              <w:top w:val="single" w:sz="4" w:space="0" w:color="auto"/>
              <w:left w:val="single" w:sz="4" w:space="0" w:color="auto"/>
              <w:bottom w:val="single" w:sz="4" w:space="0" w:color="auto"/>
              <w:right w:val="single" w:sz="4" w:space="0" w:color="auto"/>
            </w:tcBorders>
            <w:noWrap/>
          </w:tcPr>
          <w:p w14:paraId="6E24E84E" w14:textId="77777777" w:rsidR="00724837" w:rsidRPr="00A61946" w:rsidRDefault="00724837" w:rsidP="008F24E1">
            <w:pPr>
              <w:pStyle w:val="SPCTabletitlecenter"/>
              <w:spacing w:after="40" w:line="276" w:lineRule="auto"/>
              <w:rPr>
                <w:b w:val="0"/>
                <w:bCs/>
                <w:sz w:val="22"/>
                <w:szCs w:val="22"/>
              </w:rPr>
            </w:pPr>
            <w:r w:rsidRPr="00A61946">
              <w:rPr>
                <w:b w:val="0"/>
                <w:bCs/>
                <w:sz w:val="22"/>
                <w:szCs w:val="22"/>
              </w:rPr>
              <w:t>Dose in mg (number of 10 mg tablets) per  treatment week</w:t>
            </w:r>
          </w:p>
        </w:tc>
      </w:tr>
      <w:tr w:rsidR="00724837" w:rsidRPr="00A61946" w14:paraId="037C2F57" w14:textId="77777777" w:rsidTr="008F24E1">
        <w:tc>
          <w:tcPr>
            <w:tcW w:w="1872" w:type="dxa"/>
            <w:tcBorders>
              <w:top w:val="single" w:sz="4" w:space="0" w:color="auto"/>
              <w:left w:val="single" w:sz="4" w:space="0" w:color="auto"/>
              <w:bottom w:val="single" w:sz="4" w:space="0" w:color="auto"/>
              <w:right w:val="single" w:sz="4" w:space="0" w:color="auto"/>
            </w:tcBorders>
          </w:tcPr>
          <w:p w14:paraId="6DE08A4C" w14:textId="77777777" w:rsidR="00724837" w:rsidRPr="00A61946" w:rsidRDefault="00724837" w:rsidP="008F24E1">
            <w:pPr>
              <w:pStyle w:val="SPCTabletitlecenter"/>
              <w:spacing w:after="40" w:line="276" w:lineRule="auto"/>
              <w:rPr>
                <w:b w:val="0"/>
                <w:bCs/>
                <w:sz w:val="22"/>
                <w:szCs w:val="22"/>
              </w:rPr>
            </w:pPr>
            <w:r w:rsidRPr="00A61946">
              <w:rPr>
                <w:b w:val="0"/>
                <w:bCs/>
                <w:sz w:val="22"/>
                <w:szCs w:val="22"/>
              </w:rPr>
              <w:t>Kg</w:t>
            </w:r>
          </w:p>
        </w:tc>
        <w:tc>
          <w:tcPr>
            <w:tcW w:w="3544" w:type="dxa"/>
            <w:tcBorders>
              <w:top w:val="single" w:sz="4" w:space="0" w:color="auto"/>
              <w:left w:val="single" w:sz="4" w:space="0" w:color="auto"/>
              <w:bottom w:val="single" w:sz="4" w:space="0" w:color="auto"/>
              <w:right w:val="single" w:sz="4" w:space="0" w:color="auto"/>
            </w:tcBorders>
            <w:noWrap/>
          </w:tcPr>
          <w:p w14:paraId="5A266CDC" w14:textId="77777777" w:rsidR="00724837" w:rsidRPr="00A61946" w:rsidRDefault="00724837" w:rsidP="008F24E1">
            <w:pPr>
              <w:pStyle w:val="SPCTabletitlecenter"/>
              <w:spacing w:after="40" w:line="276" w:lineRule="auto"/>
              <w:rPr>
                <w:b w:val="0"/>
                <w:bCs/>
                <w:sz w:val="22"/>
                <w:szCs w:val="22"/>
              </w:rPr>
            </w:pPr>
            <w:r w:rsidRPr="00A61946">
              <w:rPr>
                <w:b w:val="0"/>
                <w:bCs/>
                <w:sz w:val="22"/>
                <w:szCs w:val="22"/>
              </w:rPr>
              <w:t>Treatment week 1</w:t>
            </w:r>
          </w:p>
        </w:tc>
        <w:tc>
          <w:tcPr>
            <w:tcW w:w="3543" w:type="dxa"/>
            <w:tcBorders>
              <w:top w:val="single" w:sz="4" w:space="0" w:color="auto"/>
              <w:left w:val="single" w:sz="4" w:space="0" w:color="auto"/>
              <w:bottom w:val="single" w:sz="4" w:space="0" w:color="auto"/>
              <w:right w:val="single" w:sz="4" w:space="0" w:color="auto"/>
            </w:tcBorders>
            <w:noWrap/>
          </w:tcPr>
          <w:p w14:paraId="0F2B1974" w14:textId="77777777" w:rsidR="00724837" w:rsidRPr="00A61946" w:rsidRDefault="00724837" w:rsidP="008F24E1">
            <w:pPr>
              <w:pStyle w:val="SPCTabletitlecenter"/>
              <w:spacing w:after="40" w:line="276" w:lineRule="auto"/>
              <w:rPr>
                <w:b w:val="0"/>
                <w:bCs/>
                <w:sz w:val="22"/>
                <w:szCs w:val="22"/>
              </w:rPr>
            </w:pPr>
            <w:r w:rsidRPr="00A61946">
              <w:rPr>
                <w:b w:val="0"/>
                <w:bCs/>
                <w:sz w:val="22"/>
                <w:szCs w:val="22"/>
              </w:rPr>
              <w:t>Treatment week 2</w:t>
            </w:r>
          </w:p>
        </w:tc>
      </w:tr>
      <w:tr w:rsidR="00724837" w:rsidRPr="00A61946" w14:paraId="022DABF1" w14:textId="77777777" w:rsidTr="008F24E1">
        <w:tc>
          <w:tcPr>
            <w:tcW w:w="1872" w:type="dxa"/>
            <w:tcBorders>
              <w:top w:val="single" w:sz="4" w:space="0" w:color="auto"/>
              <w:left w:val="single" w:sz="4" w:space="0" w:color="auto"/>
              <w:bottom w:val="single" w:sz="4" w:space="0" w:color="auto"/>
              <w:right w:val="single" w:sz="4" w:space="0" w:color="auto"/>
            </w:tcBorders>
          </w:tcPr>
          <w:p w14:paraId="4E30D8EC" w14:textId="77777777" w:rsidR="00724837" w:rsidRPr="00A61946" w:rsidRDefault="00724837" w:rsidP="008F24E1">
            <w:pPr>
              <w:pStyle w:val="SPCTabletitlecenter"/>
              <w:spacing w:after="40" w:line="276" w:lineRule="auto"/>
              <w:rPr>
                <w:b w:val="0"/>
                <w:bCs/>
                <w:sz w:val="22"/>
                <w:szCs w:val="22"/>
              </w:rPr>
            </w:pPr>
            <w:r w:rsidRPr="00A61946">
              <w:rPr>
                <w:b w:val="0"/>
                <w:bCs/>
                <w:sz w:val="22"/>
                <w:szCs w:val="22"/>
              </w:rPr>
              <w:t>40* to &lt; 50</w:t>
            </w:r>
          </w:p>
        </w:tc>
        <w:tc>
          <w:tcPr>
            <w:tcW w:w="3544" w:type="dxa"/>
            <w:tcBorders>
              <w:top w:val="single" w:sz="4" w:space="0" w:color="auto"/>
              <w:left w:val="single" w:sz="4" w:space="0" w:color="auto"/>
              <w:bottom w:val="single" w:sz="4" w:space="0" w:color="auto"/>
              <w:right w:val="single" w:sz="4" w:space="0" w:color="auto"/>
            </w:tcBorders>
            <w:noWrap/>
          </w:tcPr>
          <w:p w14:paraId="42FEB80A" w14:textId="77777777" w:rsidR="00724837" w:rsidRPr="00A61946" w:rsidRDefault="00724837" w:rsidP="008F24E1">
            <w:pPr>
              <w:pStyle w:val="SPCTabletitlecenter"/>
              <w:spacing w:after="40" w:line="276" w:lineRule="auto"/>
              <w:rPr>
                <w:b w:val="0"/>
                <w:bCs/>
                <w:sz w:val="22"/>
                <w:szCs w:val="22"/>
              </w:rPr>
            </w:pPr>
            <w:r w:rsidRPr="00A61946">
              <w:rPr>
                <w:b w:val="0"/>
                <w:bCs/>
                <w:sz w:val="22"/>
                <w:szCs w:val="22"/>
              </w:rPr>
              <w:t>40 mg (4 tablets)</w:t>
            </w:r>
          </w:p>
        </w:tc>
        <w:tc>
          <w:tcPr>
            <w:tcW w:w="3543" w:type="dxa"/>
            <w:tcBorders>
              <w:top w:val="single" w:sz="4" w:space="0" w:color="auto"/>
              <w:left w:val="single" w:sz="4" w:space="0" w:color="auto"/>
              <w:bottom w:val="single" w:sz="4" w:space="0" w:color="auto"/>
              <w:right w:val="single" w:sz="4" w:space="0" w:color="auto"/>
            </w:tcBorders>
            <w:noWrap/>
          </w:tcPr>
          <w:p w14:paraId="40E73D76" w14:textId="77777777" w:rsidR="00724837" w:rsidRPr="00A61946" w:rsidRDefault="00724837" w:rsidP="008F24E1">
            <w:pPr>
              <w:pStyle w:val="SPCTabletitlecenter"/>
              <w:spacing w:after="40" w:line="276" w:lineRule="auto"/>
              <w:rPr>
                <w:b w:val="0"/>
                <w:bCs/>
                <w:sz w:val="22"/>
                <w:szCs w:val="22"/>
              </w:rPr>
            </w:pPr>
            <w:r w:rsidRPr="00A61946">
              <w:rPr>
                <w:b w:val="0"/>
                <w:bCs/>
                <w:sz w:val="22"/>
                <w:szCs w:val="22"/>
              </w:rPr>
              <w:t>40 mg (4 tablets)</w:t>
            </w:r>
          </w:p>
        </w:tc>
      </w:tr>
      <w:tr w:rsidR="00724837" w:rsidRPr="00A61946" w14:paraId="5853E75A" w14:textId="77777777" w:rsidTr="008F24E1">
        <w:tc>
          <w:tcPr>
            <w:tcW w:w="1872" w:type="dxa"/>
            <w:tcBorders>
              <w:top w:val="single" w:sz="4" w:space="0" w:color="auto"/>
              <w:left w:val="single" w:sz="4" w:space="0" w:color="auto"/>
              <w:bottom w:val="single" w:sz="4" w:space="0" w:color="auto"/>
              <w:right w:val="single" w:sz="4" w:space="0" w:color="auto"/>
            </w:tcBorders>
          </w:tcPr>
          <w:p w14:paraId="2D29E863" w14:textId="77777777" w:rsidR="00724837" w:rsidRPr="00A61946" w:rsidRDefault="00724837" w:rsidP="008F24E1">
            <w:pPr>
              <w:pStyle w:val="SPCTabletitlecenter"/>
              <w:spacing w:after="40" w:line="276" w:lineRule="auto"/>
              <w:rPr>
                <w:b w:val="0"/>
                <w:bCs/>
                <w:sz w:val="22"/>
                <w:szCs w:val="22"/>
              </w:rPr>
            </w:pPr>
            <w:r w:rsidRPr="00A61946">
              <w:rPr>
                <w:b w:val="0"/>
                <w:bCs/>
                <w:sz w:val="22"/>
                <w:szCs w:val="22"/>
              </w:rPr>
              <w:t>50 to &lt; 60</w:t>
            </w:r>
          </w:p>
        </w:tc>
        <w:tc>
          <w:tcPr>
            <w:tcW w:w="3544" w:type="dxa"/>
            <w:tcBorders>
              <w:top w:val="single" w:sz="4" w:space="0" w:color="auto"/>
              <w:left w:val="single" w:sz="4" w:space="0" w:color="auto"/>
              <w:bottom w:val="single" w:sz="4" w:space="0" w:color="auto"/>
              <w:right w:val="single" w:sz="4" w:space="0" w:color="auto"/>
            </w:tcBorders>
            <w:noWrap/>
          </w:tcPr>
          <w:p w14:paraId="3BC4DB69" w14:textId="77777777" w:rsidR="00724837" w:rsidRPr="00A61946" w:rsidRDefault="00724837" w:rsidP="008F24E1">
            <w:pPr>
              <w:pStyle w:val="SPCTabletitlecenter"/>
              <w:spacing w:after="40" w:line="276" w:lineRule="auto"/>
              <w:rPr>
                <w:b w:val="0"/>
                <w:bCs/>
                <w:sz w:val="22"/>
                <w:szCs w:val="22"/>
              </w:rPr>
            </w:pPr>
            <w:r w:rsidRPr="00A61946">
              <w:rPr>
                <w:b w:val="0"/>
                <w:bCs/>
                <w:sz w:val="22"/>
                <w:szCs w:val="22"/>
              </w:rPr>
              <w:t>50 mg (5 tablets)</w:t>
            </w:r>
          </w:p>
        </w:tc>
        <w:tc>
          <w:tcPr>
            <w:tcW w:w="3543" w:type="dxa"/>
            <w:tcBorders>
              <w:top w:val="single" w:sz="4" w:space="0" w:color="auto"/>
              <w:left w:val="single" w:sz="4" w:space="0" w:color="auto"/>
              <w:bottom w:val="single" w:sz="4" w:space="0" w:color="auto"/>
              <w:right w:val="single" w:sz="4" w:space="0" w:color="auto"/>
            </w:tcBorders>
            <w:noWrap/>
          </w:tcPr>
          <w:p w14:paraId="0A221387" w14:textId="77777777" w:rsidR="00724837" w:rsidRPr="00A61946" w:rsidRDefault="00724837" w:rsidP="008F24E1">
            <w:pPr>
              <w:pStyle w:val="SPCTabletitlecenter"/>
              <w:spacing w:after="40" w:line="276" w:lineRule="auto"/>
              <w:rPr>
                <w:b w:val="0"/>
                <w:bCs/>
                <w:sz w:val="22"/>
                <w:szCs w:val="22"/>
              </w:rPr>
            </w:pPr>
            <w:r w:rsidRPr="00A61946">
              <w:rPr>
                <w:b w:val="0"/>
                <w:bCs/>
                <w:sz w:val="22"/>
                <w:szCs w:val="22"/>
              </w:rPr>
              <w:t>50 mg (5 tablets)</w:t>
            </w:r>
          </w:p>
        </w:tc>
      </w:tr>
      <w:tr w:rsidR="00724837" w:rsidRPr="00A61946" w14:paraId="0C565D1B" w14:textId="77777777" w:rsidTr="008F24E1">
        <w:tc>
          <w:tcPr>
            <w:tcW w:w="1872" w:type="dxa"/>
            <w:tcBorders>
              <w:top w:val="single" w:sz="4" w:space="0" w:color="auto"/>
              <w:left w:val="single" w:sz="4" w:space="0" w:color="auto"/>
              <w:bottom w:val="single" w:sz="4" w:space="0" w:color="auto"/>
              <w:right w:val="single" w:sz="4" w:space="0" w:color="auto"/>
            </w:tcBorders>
            <w:shd w:val="clear" w:color="auto" w:fill="auto"/>
          </w:tcPr>
          <w:p w14:paraId="25DF4236" w14:textId="77777777" w:rsidR="00724837" w:rsidRPr="00A61946" w:rsidRDefault="00724837" w:rsidP="008F24E1">
            <w:pPr>
              <w:pStyle w:val="SPCTabletitlecenter"/>
              <w:spacing w:after="40" w:line="276" w:lineRule="auto"/>
              <w:rPr>
                <w:b w:val="0"/>
                <w:bCs/>
                <w:sz w:val="22"/>
                <w:szCs w:val="22"/>
              </w:rPr>
            </w:pPr>
            <w:r w:rsidRPr="00A61946">
              <w:rPr>
                <w:b w:val="0"/>
                <w:bCs/>
                <w:sz w:val="22"/>
                <w:szCs w:val="22"/>
              </w:rPr>
              <w:t>60 to &lt; 70</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0FBD548" w14:textId="77777777" w:rsidR="00724837" w:rsidRPr="00A61946" w:rsidRDefault="00724837" w:rsidP="008F24E1">
            <w:pPr>
              <w:pStyle w:val="SPCTabletitlecenter"/>
              <w:spacing w:after="40" w:line="276" w:lineRule="auto"/>
              <w:rPr>
                <w:b w:val="0"/>
                <w:bCs/>
                <w:sz w:val="22"/>
                <w:szCs w:val="22"/>
              </w:rPr>
            </w:pPr>
            <w:r w:rsidRPr="00A61946">
              <w:rPr>
                <w:b w:val="0"/>
                <w:bCs/>
                <w:sz w:val="22"/>
                <w:szCs w:val="22"/>
              </w:rPr>
              <w:t>60 mg (6 tablets)</w:t>
            </w:r>
          </w:p>
        </w:tc>
        <w:tc>
          <w:tcPr>
            <w:tcW w:w="3543" w:type="dxa"/>
            <w:tcBorders>
              <w:top w:val="single" w:sz="4" w:space="0" w:color="auto"/>
              <w:left w:val="single" w:sz="4" w:space="0" w:color="auto"/>
              <w:bottom w:val="single" w:sz="4" w:space="0" w:color="auto"/>
              <w:right w:val="single" w:sz="4" w:space="0" w:color="auto"/>
            </w:tcBorders>
            <w:shd w:val="clear" w:color="auto" w:fill="auto"/>
            <w:noWrap/>
          </w:tcPr>
          <w:p w14:paraId="5831DF74" w14:textId="77777777" w:rsidR="00724837" w:rsidRPr="00A61946" w:rsidRDefault="00724837" w:rsidP="008F24E1">
            <w:pPr>
              <w:pStyle w:val="SPCTabletitlecenter"/>
              <w:spacing w:after="40" w:line="276" w:lineRule="auto"/>
              <w:rPr>
                <w:b w:val="0"/>
                <w:bCs/>
                <w:sz w:val="22"/>
                <w:szCs w:val="22"/>
              </w:rPr>
            </w:pPr>
            <w:r w:rsidRPr="00A61946">
              <w:rPr>
                <w:b w:val="0"/>
                <w:bCs/>
                <w:sz w:val="22"/>
                <w:szCs w:val="22"/>
              </w:rPr>
              <w:t>60 mg (6 tablets)</w:t>
            </w:r>
          </w:p>
        </w:tc>
      </w:tr>
      <w:tr w:rsidR="00724837" w:rsidRPr="00A61946" w14:paraId="2C22D7FA" w14:textId="77777777" w:rsidTr="008F24E1">
        <w:tc>
          <w:tcPr>
            <w:tcW w:w="1872" w:type="dxa"/>
            <w:tcBorders>
              <w:top w:val="single" w:sz="4" w:space="0" w:color="auto"/>
              <w:left w:val="single" w:sz="4" w:space="0" w:color="auto"/>
              <w:bottom w:val="single" w:sz="4" w:space="0" w:color="auto"/>
              <w:right w:val="single" w:sz="4" w:space="0" w:color="auto"/>
            </w:tcBorders>
            <w:shd w:val="clear" w:color="auto" w:fill="auto"/>
          </w:tcPr>
          <w:p w14:paraId="683E8C54" w14:textId="77777777" w:rsidR="00724837" w:rsidRPr="00A61946" w:rsidRDefault="00724837" w:rsidP="008F24E1">
            <w:pPr>
              <w:pStyle w:val="SPCTabletitlecenter"/>
              <w:spacing w:after="40" w:line="276" w:lineRule="auto"/>
              <w:rPr>
                <w:b w:val="0"/>
                <w:bCs/>
                <w:sz w:val="22"/>
                <w:szCs w:val="22"/>
              </w:rPr>
            </w:pPr>
            <w:r w:rsidRPr="00A61946">
              <w:rPr>
                <w:b w:val="0"/>
                <w:bCs/>
                <w:sz w:val="22"/>
                <w:szCs w:val="22"/>
              </w:rPr>
              <w:t>70 to &lt; 80</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29A6335" w14:textId="77777777" w:rsidR="00724837" w:rsidRPr="00A61946" w:rsidRDefault="00724837" w:rsidP="008F24E1">
            <w:pPr>
              <w:pStyle w:val="SPCTabletitlecenter"/>
              <w:spacing w:after="40" w:line="276" w:lineRule="auto"/>
              <w:rPr>
                <w:b w:val="0"/>
                <w:bCs/>
                <w:sz w:val="22"/>
                <w:szCs w:val="22"/>
              </w:rPr>
            </w:pPr>
            <w:r w:rsidRPr="00A61946">
              <w:rPr>
                <w:b w:val="0"/>
                <w:bCs/>
                <w:sz w:val="22"/>
                <w:szCs w:val="22"/>
              </w:rPr>
              <w:t>70 mg (7 tablets)</w:t>
            </w:r>
          </w:p>
        </w:tc>
        <w:tc>
          <w:tcPr>
            <w:tcW w:w="3543" w:type="dxa"/>
            <w:tcBorders>
              <w:top w:val="single" w:sz="4" w:space="0" w:color="auto"/>
              <w:left w:val="single" w:sz="4" w:space="0" w:color="auto"/>
              <w:bottom w:val="single" w:sz="4" w:space="0" w:color="auto"/>
              <w:right w:val="single" w:sz="4" w:space="0" w:color="auto"/>
            </w:tcBorders>
            <w:shd w:val="clear" w:color="auto" w:fill="auto"/>
            <w:noWrap/>
          </w:tcPr>
          <w:p w14:paraId="37DCC949" w14:textId="77777777" w:rsidR="00724837" w:rsidRPr="00A61946" w:rsidRDefault="00724837" w:rsidP="008F24E1">
            <w:pPr>
              <w:pStyle w:val="SPCTabletitlecenter"/>
              <w:spacing w:after="40" w:line="276" w:lineRule="auto"/>
              <w:rPr>
                <w:b w:val="0"/>
                <w:bCs/>
                <w:sz w:val="22"/>
                <w:szCs w:val="22"/>
              </w:rPr>
            </w:pPr>
            <w:r w:rsidRPr="00A61946">
              <w:rPr>
                <w:b w:val="0"/>
                <w:bCs/>
                <w:sz w:val="22"/>
                <w:szCs w:val="22"/>
              </w:rPr>
              <w:t>70 mg (7 tablets)</w:t>
            </w:r>
          </w:p>
        </w:tc>
      </w:tr>
      <w:tr w:rsidR="00724837" w:rsidRPr="00A61946" w14:paraId="5DEE5C3D" w14:textId="77777777" w:rsidTr="008F24E1">
        <w:tc>
          <w:tcPr>
            <w:tcW w:w="1872" w:type="dxa"/>
            <w:tcBorders>
              <w:top w:val="single" w:sz="4" w:space="0" w:color="auto"/>
              <w:left w:val="single" w:sz="4" w:space="0" w:color="auto"/>
              <w:bottom w:val="single" w:sz="4" w:space="0" w:color="auto"/>
              <w:right w:val="single" w:sz="4" w:space="0" w:color="auto"/>
            </w:tcBorders>
            <w:shd w:val="clear" w:color="auto" w:fill="auto"/>
          </w:tcPr>
          <w:p w14:paraId="4FC45F38" w14:textId="77777777" w:rsidR="00724837" w:rsidRPr="00A61946" w:rsidRDefault="00724837" w:rsidP="008F24E1">
            <w:pPr>
              <w:pStyle w:val="SPCTabletitlecenter"/>
              <w:spacing w:after="40" w:line="276" w:lineRule="auto"/>
              <w:rPr>
                <w:b w:val="0"/>
                <w:bCs/>
                <w:sz w:val="22"/>
                <w:szCs w:val="22"/>
              </w:rPr>
            </w:pPr>
            <w:r w:rsidRPr="00A61946">
              <w:rPr>
                <w:b w:val="0"/>
                <w:bCs/>
                <w:sz w:val="22"/>
                <w:szCs w:val="22"/>
              </w:rPr>
              <w:t>80 to &lt; 90</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B85D989" w14:textId="77777777" w:rsidR="00724837" w:rsidRPr="00A61946" w:rsidRDefault="00724837" w:rsidP="008F24E1">
            <w:pPr>
              <w:pStyle w:val="SPCTabletitlecenter"/>
              <w:spacing w:after="40" w:line="276" w:lineRule="auto"/>
              <w:rPr>
                <w:b w:val="0"/>
                <w:bCs/>
                <w:sz w:val="22"/>
                <w:szCs w:val="22"/>
              </w:rPr>
            </w:pPr>
            <w:r w:rsidRPr="00A61946">
              <w:rPr>
                <w:b w:val="0"/>
                <w:bCs/>
                <w:sz w:val="22"/>
                <w:szCs w:val="22"/>
              </w:rPr>
              <w:t>80 mg (8 Tablets)</w:t>
            </w:r>
          </w:p>
        </w:tc>
        <w:tc>
          <w:tcPr>
            <w:tcW w:w="3543" w:type="dxa"/>
            <w:tcBorders>
              <w:top w:val="single" w:sz="4" w:space="0" w:color="auto"/>
              <w:left w:val="single" w:sz="4" w:space="0" w:color="auto"/>
              <w:bottom w:val="single" w:sz="4" w:space="0" w:color="auto"/>
              <w:right w:val="single" w:sz="4" w:space="0" w:color="auto"/>
            </w:tcBorders>
            <w:shd w:val="clear" w:color="auto" w:fill="auto"/>
            <w:noWrap/>
          </w:tcPr>
          <w:p w14:paraId="18F72FB8" w14:textId="77777777" w:rsidR="00724837" w:rsidRPr="00A61946" w:rsidRDefault="00724837" w:rsidP="008F24E1">
            <w:pPr>
              <w:pStyle w:val="SPCTabletitlecenter"/>
              <w:spacing w:after="40" w:line="276" w:lineRule="auto"/>
              <w:rPr>
                <w:b w:val="0"/>
                <w:bCs/>
                <w:sz w:val="22"/>
                <w:szCs w:val="22"/>
              </w:rPr>
            </w:pPr>
            <w:r w:rsidRPr="00A61946">
              <w:rPr>
                <w:b w:val="0"/>
                <w:bCs/>
                <w:sz w:val="22"/>
                <w:szCs w:val="22"/>
              </w:rPr>
              <w:t>70 mg (7  tablets)</w:t>
            </w:r>
          </w:p>
        </w:tc>
      </w:tr>
      <w:tr w:rsidR="00724837" w:rsidRPr="00A61946" w14:paraId="3B9C0809" w14:textId="77777777" w:rsidTr="008F24E1">
        <w:tc>
          <w:tcPr>
            <w:tcW w:w="1872" w:type="dxa"/>
            <w:tcBorders>
              <w:top w:val="single" w:sz="4" w:space="0" w:color="auto"/>
              <w:left w:val="single" w:sz="4" w:space="0" w:color="auto"/>
              <w:bottom w:val="single" w:sz="4" w:space="0" w:color="auto"/>
              <w:right w:val="single" w:sz="4" w:space="0" w:color="auto"/>
            </w:tcBorders>
            <w:shd w:val="clear" w:color="auto" w:fill="auto"/>
          </w:tcPr>
          <w:p w14:paraId="1C558B6B" w14:textId="77777777" w:rsidR="00724837" w:rsidRPr="00A61946" w:rsidRDefault="00724837" w:rsidP="008F24E1">
            <w:pPr>
              <w:pStyle w:val="SPCTabletitlecenter"/>
              <w:spacing w:after="40" w:line="276" w:lineRule="auto"/>
              <w:rPr>
                <w:b w:val="0"/>
                <w:bCs/>
                <w:sz w:val="22"/>
                <w:szCs w:val="22"/>
              </w:rPr>
            </w:pPr>
            <w:r w:rsidRPr="00A61946">
              <w:rPr>
                <w:b w:val="0"/>
                <w:bCs/>
                <w:sz w:val="22"/>
                <w:szCs w:val="22"/>
              </w:rPr>
              <w:t>90 to &lt; 100</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8D259FF" w14:textId="77777777" w:rsidR="00724837" w:rsidRPr="00A61946" w:rsidRDefault="00724837" w:rsidP="008F24E1">
            <w:pPr>
              <w:pStyle w:val="SPCTabletitlecenter"/>
              <w:spacing w:after="40" w:line="276" w:lineRule="auto"/>
              <w:rPr>
                <w:b w:val="0"/>
                <w:bCs/>
                <w:sz w:val="22"/>
                <w:szCs w:val="22"/>
              </w:rPr>
            </w:pPr>
            <w:r w:rsidRPr="00A61946">
              <w:rPr>
                <w:b w:val="0"/>
                <w:bCs/>
                <w:sz w:val="22"/>
                <w:szCs w:val="22"/>
              </w:rPr>
              <w:t>90 mg (9 tablets)</w:t>
            </w:r>
          </w:p>
        </w:tc>
        <w:tc>
          <w:tcPr>
            <w:tcW w:w="3543" w:type="dxa"/>
            <w:tcBorders>
              <w:top w:val="single" w:sz="4" w:space="0" w:color="auto"/>
              <w:left w:val="single" w:sz="4" w:space="0" w:color="auto"/>
              <w:bottom w:val="single" w:sz="4" w:space="0" w:color="auto"/>
              <w:right w:val="single" w:sz="4" w:space="0" w:color="auto"/>
            </w:tcBorders>
            <w:shd w:val="clear" w:color="auto" w:fill="auto"/>
            <w:noWrap/>
          </w:tcPr>
          <w:p w14:paraId="58D3421C" w14:textId="77777777" w:rsidR="00724837" w:rsidRPr="00A61946" w:rsidRDefault="00724837" w:rsidP="008F24E1">
            <w:pPr>
              <w:pStyle w:val="SPCTabletitlecenter"/>
              <w:spacing w:after="40" w:line="276" w:lineRule="auto"/>
              <w:rPr>
                <w:b w:val="0"/>
                <w:bCs/>
                <w:sz w:val="22"/>
                <w:szCs w:val="22"/>
              </w:rPr>
            </w:pPr>
            <w:r w:rsidRPr="00A61946">
              <w:rPr>
                <w:b w:val="0"/>
                <w:bCs/>
                <w:sz w:val="22"/>
                <w:szCs w:val="22"/>
              </w:rPr>
              <w:t>80 mg (8 tablets)</w:t>
            </w:r>
          </w:p>
        </w:tc>
      </w:tr>
      <w:tr w:rsidR="00724837" w:rsidRPr="00A61946" w14:paraId="4DF7231C" w14:textId="77777777" w:rsidTr="008F24E1">
        <w:tc>
          <w:tcPr>
            <w:tcW w:w="1872" w:type="dxa"/>
            <w:tcBorders>
              <w:top w:val="single" w:sz="4" w:space="0" w:color="auto"/>
              <w:left w:val="single" w:sz="4" w:space="0" w:color="auto"/>
              <w:bottom w:val="single" w:sz="4" w:space="0" w:color="auto"/>
              <w:right w:val="single" w:sz="4" w:space="0" w:color="auto"/>
            </w:tcBorders>
            <w:shd w:val="clear" w:color="auto" w:fill="auto"/>
          </w:tcPr>
          <w:p w14:paraId="6BED0F44" w14:textId="77777777" w:rsidR="00724837" w:rsidRPr="00A61946" w:rsidRDefault="00724837" w:rsidP="008F24E1">
            <w:pPr>
              <w:pStyle w:val="SPCTabletitlecenter"/>
              <w:spacing w:after="40" w:line="276" w:lineRule="auto"/>
              <w:rPr>
                <w:b w:val="0"/>
                <w:bCs/>
                <w:sz w:val="22"/>
                <w:szCs w:val="22"/>
              </w:rPr>
            </w:pPr>
            <w:r w:rsidRPr="00A61946">
              <w:rPr>
                <w:b w:val="0"/>
                <w:bCs/>
                <w:sz w:val="22"/>
                <w:szCs w:val="22"/>
              </w:rPr>
              <w:t>100 to &lt; 110</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06FA748" w14:textId="77777777" w:rsidR="00724837" w:rsidRPr="00A61946" w:rsidRDefault="00724837" w:rsidP="008F24E1">
            <w:pPr>
              <w:pStyle w:val="SPCTabletitlecenter"/>
              <w:spacing w:after="40" w:line="276" w:lineRule="auto"/>
              <w:rPr>
                <w:b w:val="0"/>
                <w:bCs/>
                <w:sz w:val="22"/>
                <w:szCs w:val="22"/>
              </w:rPr>
            </w:pPr>
            <w:r w:rsidRPr="00A61946">
              <w:rPr>
                <w:b w:val="0"/>
                <w:bCs/>
                <w:sz w:val="22"/>
                <w:szCs w:val="22"/>
              </w:rPr>
              <w:t>100 mg (10 tablets)</w:t>
            </w:r>
          </w:p>
        </w:tc>
        <w:tc>
          <w:tcPr>
            <w:tcW w:w="3543" w:type="dxa"/>
            <w:tcBorders>
              <w:top w:val="single" w:sz="4" w:space="0" w:color="auto"/>
              <w:left w:val="single" w:sz="4" w:space="0" w:color="auto"/>
              <w:bottom w:val="single" w:sz="4" w:space="0" w:color="auto"/>
              <w:right w:val="single" w:sz="4" w:space="0" w:color="auto"/>
            </w:tcBorders>
            <w:shd w:val="clear" w:color="auto" w:fill="auto"/>
            <w:noWrap/>
          </w:tcPr>
          <w:p w14:paraId="56712722" w14:textId="77777777" w:rsidR="00724837" w:rsidRPr="00A61946" w:rsidRDefault="00724837" w:rsidP="008F24E1">
            <w:pPr>
              <w:pStyle w:val="SPCTabletitlecenter"/>
              <w:spacing w:after="40" w:line="276" w:lineRule="auto"/>
              <w:rPr>
                <w:b w:val="0"/>
                <w:bCs/>
                <w:sz w:val="22"/>
                <w:szCs w:val="22"/>
              </w:rPr>
            </w:pPr>
            <w:r w:rsidRPr="00A61946">
              <w:rPr>
                <w:b w:val="0"/>
                <w:bCs/>
                <w:sz w:val="22"/>
                <w:szCs w:val="22"/>
              </w:rPr>
              <w:t>90 mg (9 tablets)</w:t>
            </w:r>
          </w:p>
        </w:tc>
      </w:tr>
      <w:tr w:rsidR="00724837" w:rsidRPr="00A61946" w14:paraId="0EB03FE1" w14:textId="77777777" w:rsidTr="008F24E1">
        <w:tc>
          <w:tcPr>
            <w:tcW w:w="1872" w:type="dxa"/>
            <w:tcBorders>
              <w:top w:val="single" w:sz="4" w:space="0" w:color="auto"/>
              <w:left w:val="single" w:sz="4" w:space="0" w:color="auto"/>
              <w:bottom w:val="single" w:sz="4" w:space="0" w:color="auto"/>
              <w:right w:val="single" w:sz="4" w:space="0" w:color="auto"/>
            </w:tcBorders>
          </w:tcPr>
          <w:p w14:paraId="1D0AD3B9" w14:textId="77777777" w:rsidR="00724837" w:rsidRPr="00A61946" w:rsidRDefault="00724837" w:rsidP="008F24E1">
            <w:pPr>
              <w:pStyle w:val="SPCTabletitlecenter"/>
              <w:spacing w:after="40" w:line="276" w:lineRule="auto"/>
              <w:rPr>
                <w:b w:val="0"/>
                <w:bCs/>
                <w:sz w:val="22"/>
                <w:szCs w:val="22"/>
              </w:rPr>
            </w:pPr>
            <w:r w:rsidRPr="00A61946">
              <w:rPr>
                <w:b w:val="0"/>
                <w:bCs/>
                <w:sz w:val="22"/>
                <w:szCs w:val="22"/>
              </w:rPr>
              <w:t>110 and above</w:t>
            </w:r>
          </w:p>
        </w:tc>
        <w:tc>
          <w:tcPr>
            <w:tcW w:w="3544" w:type="dxa"/>
            <w:tcBorders>
              <w:top w:val="single" w:sz="4" w:space="0" w:color="auto"/>
              <w:left w:val="single" w:sz="4" w:space="0" w:color="auto"/>
              <w:bottom w:val="single" w:sz="4" w:space="0" w:color="auto"/>
              <w:right w:val="single" w:sz="4" w:space="0" w:color="auto"/>
            </w:tcBorders>
            <w:noWrap/>
          </w:tcPr>
          <w:p w14:paraId="43691EEC" w14:textId="77777777" w:rsidR="00724837" w:rsidRPr="00A61946" w:rsidRDefault="00724837" w:rsidP="008F24E1">
            <w:pPr>
              <w:pStyle w:val="SPCTabletitlecenter"/>
              <w:spacing w:after="40" w:line="276" w:lineRule="auto"/>
              <w:rPr>
                <w:b w:val="0"/>
                <w:bCs/>
                <w:sz w:val="22"/>
                <w:szCs w:val="22"/>
              </w:rPr>
            </w:pPr>
            <w:r w:rsidRPr="00A61946">
              <w:rPr>
                <w:b w:val="0"/>
                <w:bCs/>
                <w:sz w:val="22"/>
                <w:szCs w:val="22"/>
              </w:rPr>
              <w:t>100 mg (10 tablets)</w:t>
            </w:r>
          </w:p>
        </w:tc>
        <w:tc>
          <w:tcPr>
            <w:tcW w:w="3543" w:type="dxa"/>
            <w:tcBorders>
              <w:top w:val="single" w:sz="4" w:space="0" w:color="auto"/>
              <w:left w:val="single" w:sz="4" w:space="0" w:color="auto"/>
              <w:bottom w:val="single" w:sz="4" w:space="0" w:color="auto"/>
              <w:right w:val="single" w:sz="4" w:space="0" w:color="auto"/>
            </w:tcBorders>
            <w:noWrap/>
          </w:tcPr>
          <w:p w14:paraId="32D41ED9" w14:textId="77777777" w:rsidR="00724837" w:rsidRPr="00A61946" w:rsidRDefault="00724837" w:rsidP="008F24E1">
            <w:pPr>
              <w:pStyle w:val="SPCTabletitlecenter"/>
              <w:spacing w:after="40" w:line="276" w:lineRule="auto"/>
              <w:rPr>
                <w:b w:val="0"/>
                <w:bCs/>
                <w:sz w:val="22"/>
                <w:szCs w:val="22"/>
              </w:rPr>
            </w:pPr>
            <w:r w:rsidRPr="00A61946">
              <w:rPr>
                <w:b w:val="0"/>
                <w:bCs/>
                <w:sz w:val="22"/>
                <w:szCs w:val="22"/>
              </w:rPr>
              <w:t>100 mg (10 tablets)</w:t>
            </w:r>
          </w:p>
        </w:tc>
      </w:tr>
      <w:tr w:rsidR="00724837" w:rsidRPr="00A61946" w14:paraId="07A6FAEC" w14:textId="77777777" w:rsidTr="008F24E1">
        <w:tc>
          <w:tcPr>
            <w:tcW w:w="8959" w:type="dxa"/>
            <w:gridSpan w:val="3"/>
            <w:tcBorders>
              <w:left w:val="nil"/>
              <w:bottom w:val="nil"/>
              <w:right w:val="nil"/>
            </w:tcBorders>
          </w:tcPr>
          <w:p w14:paraId="1A8F5470" w14:textId="77777777" w:rsidR="00724837" w:rsidRPr="00A61946" w:rsidRDefault="00724837" w:rsidP="008F24E1">
            <w:pPr>
              <w:pStyle w:val="SPCtablefootnote"/>
              <w:tabs>
                <w:tab w:val="left" w:pos="453"/>
              </w:tabs>
              <w:spacing w:line="276" w:lineRule="auto"/>
              <w:ind w:left="454" w:hanging="454"/>
              <w:rPr>
                <w:sz w:val="22"/>
                <w:szCs w:val="22"/>
              </w:rPr>
            </w:pPr>
            <w:r w:rsidRPr="00A61946">
              <w:rPr>
                <w:sz w:val="22"/>
                <w:szCs w:val="22"/>
              </w:rPr>
              <w:t>*</w:t>
            </w:r>
            <w:r w:rsidRPr="00A61946">
              <w:rPr>
                <w:sz w:val="22"/>
                <w:szCs w:val="22"/>
              </w:rPr>
              <w:tab/>
              <w:t xml:space="preserve">Use of </w:t>
            </w:r>
            <w:r w:rsidRPr="00A61946">
              <w:rPr>
                <w:sz w:val="22"/>
                <w:szCs w:val="22"/>
                <w:lang w:val="en-AU"/>
              </w:rPr>
              <w:t xml:space="preserve">MAVENCLAD </w:t>
            </w:r>
            <w:r w:rsidRPr="00A61946">
              <w:rPr>
                <w:sz w:val="22"/>
                <w:szCs w:val="22"/>
              </w:rPr>
              <w:t>in patients weighing less than 40 kg has not been investigated.</w:t>
            </w:r>
          </w:p>
        </w:tc>
      </w:tr>
    </w:tbl>
    <w:p w14:paraId="2BF4E5FC"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Table 4 shows how the total number of tablets per treatment week is distributed over the individual days.  It is recommended that the daily MAVENCLAD doses in each treatment week be taken at intervals of 24 hours at approximately the same time each day.  If a daily dose consists of two tablets, both tablets are taken together as a single dose.</w:t>
      </w:r>
    </w:p>
    <w:p w14:paraId="6D27BB80"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p>
    <w:tbl>
      <w:tblPr>
        <w:tblW w:w="8952" w:type="dxa"/>
        <w:tblInd w:w="115" w:type="dxa"/>
        <w:tblCellMar>
          <w:top w:w="29" w:type="dxa"/>
          <w:left w:w="115" w:type="dxa"/>
          <w:right w:w="115" w:type="dxa"/>
        </w:tblCellMar>
        <w:tblLook w:val="0000" w:firstRow="0" w:lastRow="0" w:firstColumn="0" w:lastColumn="0" w:noHBand="0" w:noVBand="0"/>
      </w:tblPr>
      <w:tblGrid>
        <w:gridCol w:w="2574"/>
        <w:gridCol w:w="1275"/>
        <w:gridCol w:w="1276"/>
        <w:gridCol w:w="1276"/>
        <w:gridCol w:w="1276"/>
        <w:gridCol w:w="1275"/>
      </w:tblGrid>
      <w:tr w:rsidR="00724837" w:rsidRPr="00A61946" w14:paraId="4B01734F" w14:textId="77777777" w:rsidTr="008F24E1">
        <w:trPr>
          <w:cantSplit/>
          <w:trHeight w:val="274"/>
          <w:tblHeader/>
        </w:trPr>
        <w:tc>
          <w:tcPr>
            <w:tcW w:w="8952" w:type="dxa"/>
            <w:gridSpan w:val="6"/>
            <w:tcBorders>
              <w:top w:val="single" w:sz="4" w:space="0" w:color="auto"/>
              <w:left w:val="single" w:sz="4" w:space="0" w:color="auto"/>
              <w:right w:val="single" w:sz="4" w:space="0" w:color="auto"/>
            </w:tcBorders>
            <w:shd w:val="clear" w:color="auto" w:fill="F3F3F3"/>
            <w:vAlign w:val="center"/>
          </w:tcPr>
          <w:p w14:paraId="28511E3B" w14:textId="77777777" w:rsidR="00724837" w:rsidRPr="00A61946" w:rsidRDefault="00724837" w:rsidP="008F24E1">
            <w:pPr>
              <w:tabs>
                <w:tab w:val="left" w:pos="960"/>
              </w:tabs>
              <w:autoSpaceDE w:val="0"/>
              <w:autoSpaceDN w:val="0"/>
              <w:spacing w:after="60" w:line="276" w:lineRule="auto"/>
              <w:ind w:left="958" w:hanging="958"/>
              <w:rPr>
                <w:rFonts w:ascii="Times New Roman" w:hAnsi="Times New Roman"/>
                <w:b/>
                <w:lang w:val="en-AU" w:eastAsia="en-AU"/>
              </w:rPr>
            </w:pPr>
            <w:r w:rsidRPr="00A61946">
              <w:rPr>
                <w:rFonts w:ascii="Times New Roman" w:hAnsi="Times New Roman"/>
                <w:b/>
                <w:lang w:val="en-AU" w:eastAsia="en-AU"/>
              </w:rPr>
              <w:t>Table 4:</w:t>
            </w:r>
            <w:r w:rsidRPr="00A61946">
              <w:rPr>
                <w:rFonts w:ascii="Times New Roman" w:hAnsi="Times New Roman"/>
                <w:b/>
                <w:lang w:val="en-AU" w:eastAsia="en-AU"/>
              </w:rPr>
              <w:tab/>
            </w:r>
            <w:r w:rsidRPr="00A61946">
              <w:rPr>
                <w:rFonts w:ascii="Times New Roman" w:hAnsi="Times New Roman"/>
                <w:b/>
                <w:lang w:val="en-AU"/>
              </w:rPr>
              <w:t>MAVENCLAD</w:t>
            </w:r>
            <w:r w:rsidRPr="00A61946">
              <w:rPr>
                <w:rFonts w:ascii="Times New Roman" w:hAnsi="Times New Roman"/>
                <w:lang w:val="en-AU"/>
              </w:rPr>
              <w:t xml:space="preserve"> </w:t>
            </w:r>
            <w:r w:rsidRPr="00A61946">
              <w:rPr>
                <w:rFonts w:ascii="Times New Roman" w:hAnsi="Times New Roman"/>
                <w:b/>
                <w:lang w:val="en-AU" w:eastAsia="en-AU"/>
              </w:rPr>
              <w:t>10 mg tablets per week day</w:t>
            </w:r>
          </w:p>
        </w:tc>
      </w:tr>
      <w:tr w:rsidR="00724837" w:rsidRPr="00A61946" w14:paraId="1A5BF510" w14:textId="77777777" w:rsidTr="008F24E1">
        <w:trPr>
          <w:cantSplit/>
          <w:trHeight w:val="165"/>
          <w:tblHeader/>
        </w:trPr>
        <w:tc>
          <w:tcPr>
            <w:tcW w:w="2574" w:type="dxa"/>
            <w:tcBorders>
              <w:top w:val="single" w:sz="4" w:space="0" w:color="auto"/>
              <w:left w:val="single" w:sz="4" w:space="0" w:color="auto"/>
              <w:bottom w:val="single" w:sz="4" w:space="0" w:color="auto"/>
              <w:right w:val="single" w:sz="4" w:space="0" w:color="auto"/>
            </w:tcBorders>
          </w:tcPr>
          <w:p w14:paraId="11B1682E" w14:textId="77777777" w:rsidR="00724837" w:rsidRPr="00A61946" w:rsidRDefault="00724837" w:rsidP="008F24E1">
            <w:pPr>
              <w:pStyle w:val="SPCnormal"/>
              <w:spacing w:after="20" w:line="276" w:lineRule="auto"/>
              <w:jc w:val="center"/>
              <w:rPr>
                <w:szCs w:val="22"/>
                <w:lang w:eastAsia="en-US"/>
              </w:rPr>
            </w:pPr>
            <w:r w:rsidRPr="00A61946">
              <w:rPr>
                <w:szCs w:val="22"/>
                <w:lang w:eastAsia="en-US"/>
              </w:rPr>
              <w:t>Total number of tablets per treatment week</w:t>
            </w:r>
          </w:p>
        </w:tc>
        <w:tc>
          <w:tcPr>
            <w:tcW w:w="1275" w:type="dxa"/>
            <w:tcBorders>
              <w:top w:val="single" w:sz="4" w:space="0" w:color="auto"/>
              <w:left w:val="single" w:sz="4" w:space="0" w:color="auto"/>
              <w:bottom w:val="single" w:sz="4" w:space="0" w:color="auto"/>
              <w:right w:val="single" w:sz="4" w:space="0" w:color="auto"/>
            </w:tcBorders>
            <w:vAlign w:val="center"/>
          </w:tcPr>
          <w:p w14:paraId="5DF67551" w14:textId="77777777" w:rsidR="00724837" w:rsidRPr="00A61946" w:rsidRDefault="00724837" w:rsidP="008F24E1">
            <w:pPr>
              <w:pStyle w:val="SPCnormal"/>
              <w:spacing w:after="20" w:line="276" w:lineRule="auto"/>
              <w:jc w:val="center"/>
              <w:rPr>
                <w:szCs w:val="22"/>
                <w:lang w:eastAsia="en-US"/>
              </w:rPr>
            </w:pPr>
            <w:r w:rsidRPr="00A61946">
              <w:rPr>
                <w:szCs w:val="22"/>
                <w:lang w:eastAsia="en-US"/>
              </w:rPr>
              <w:t>Day 1</w:t>
            </w:r>
          </w:p>
        </w:tc>
        <w:tc>
          <w:tcPr>
            <w:tcW w:w="1276" w:type="dxa"/>
            <w:tcBorders>
              <w:top w:val="single" w:sz="4" w:space="0" w:color="auto"/>
              <w:left w:val="single" w:sz="4" w:space="0" w:color="auto"/>
              <w:bottom w:val="single" w:sz="4" w:space="0" w:color="auto"/>
              <w:right w:val="single" w:sz="4" w:space="0" w:color="auto"/>
            </w:tcBorders>
            <w:vAlign w:val="center"/>
          </w:tcPr>
          <w:p w14:paraId="52FF7EA3" w14:textId="77777777" w:rsidR="00724837" w:rsidRPr="00A61946" w:rsidRDefault="00724837" w:rsidP="008F24E1">
            <w:pPr>
              <w:pStyle w:val="SPCnormal"/>
              <w:spacing w:after="20" w:line="276" w:lineRule="auto"/>
              <w:jc w:val="center"/>
              <w:rPr>
                <w:szCs w:val="22"/>
                <w:lang w:eastAsia="en-US"/>
              </w:rPr>
            </w:pPr>
            <w:r w:rsidRPr="00A61946">
              <w:rPr>
                <w:szCs w:val="22"/>
                <w:lang w:eastAsia="en-US"/>
              </w:rPr>
              <w:t>Day 2</w:t>
            </w:r>
          </w:p>
        </w:tc>
        <w:tc>
          <w:tcPr>
            <w:tcW w:w="1276" w:type="dxa"/>
            <w:tcBorders>
              <w:top w:val="single" w:sz="4" w:space="0" w:color="auto"/>
              <w:left w:val="single" w:sz="4" w:space="0" w:color="auto"/>
              <w:bottom w:val="single" w:sz="4" w:space="0" w:color="auto"/>
              <w:right w:val="single" w:sz="4" w:space="0" w:color="auto"/>
            </w:tcBorders>
            <w:vAlign w:val="center"/>
          </w:tcPr>
          <w:p w14:paraId="2EAA27BB" w14:textId="77777777" w:rsidR="00724837" w:rsidRPr="00A61946" w:rsidRDefault="00724837" w:rsidP="008F24E1">
            <w:pPr>
              <w:pStyle w:val="SPCnormal"/>
              <w:spacing w:after="20" w:line="276" w:lineRule="auto"/>
              <w:jc w:val="center"/>
              <w:rPr>
                <w:szCs w:val="22"/>
                <w:lang w:eastAsia="en-US"/>
              </w:rPr>
            </w:pPr>
            <w:r w:rsidRPr="00A61946">
              <w:rPr>
                <w:szCs w:val="22"/>
                <w:lang w:eastAsia="en-US"/>
              </w:rPr>
              <w:t>Day 3</w:t>
            </w:r>
          </w:p>
        </w:tc>
        <w:tc>
          <w:tcPr>
            <w:tcW w:w="1276" w:type="dxa"/>
            <w:tcBorders>
              <w:top w:val="single" w:sz="4" w:space="0" w:color="auto"/>
              <w:left w:val="single" w:sz="4" w:space="0" w:color="auto"/>
              <w:bottom w:val="single" w:sz="4" w:space="0" w:color="auto"/>
              <w:right w:val="single" w:sz="4" w:space="0" w:color="auto"/>
            </w:tcBorders>
            <w:vAlign w:val="center"/>
          </w:tcPr>
          <w:p w14:paraId="50C2F5B8" w14:textId="77777777" w:rsidR="00724837" w:rsidRPr="00A61946" w:rsidRDefault="00724837" w:rsidP="008F24E1">
            <w:pPr>
              <w:pStyle w:val="SPCnormal"/>
              <w:spacing w:after="20" w:line="276" w:lineRule="auto"/>
              <w:jc w:val="center"/>
              <w:rPr>
                <w:szCs w:val="22"/>
                <w:lang w:eastAsia="en-US"/>
              </w:rPr>
            </w:pPr>
            <w:r w:rsidRPr="00A61946">
              <w:rPr>
                <w:szCs w:val="22"/>
                <w:lang w:eastAsia="en-US"/>
              </w:rPr>
              <w:t>Day 4</w:t>
            </w:r>
          </w:p>
        </w:tc>
        <w:tc>
          <w:tcPr>
            <w:tcW w:w="1275" w:type="dxa"/>
            <w:tcBorders>
              <w:top w:val="single" w:sz="4" w:space="0" w:color="auto"/>
              <w:left w:val="single" w:sz="4" w:space="0" w:color="auto"/>
              <w:bottom w:val="single" w:sz="4" w:space="0" w:color="auto"/>
              <w:right w:val="single" w:sz="4" w:space="0" w:color="auto"/>
            </w:tcBorders>
            <w:vAlign w:val="center"/>
          </w:tcPr>
          <w:p w14:paraId="625963F1" w14:textId="77777777" w:rsidR="00724837" w:rsidRPr="00A61946" w:rsidRDefault="00724837" w:rsidP="008F24E1">
            <w:pPr>
              <w:pStyle w:val="SPCnormal"/>
              <w:spacing w:after="20" w:line="276" w:lineRule="auto"/>
              <w:jc w:val="center"/>
              <w:rPr>
                <w:szCs w:val="22"/>
                <w:lang w:eastAsia="en-US"/>
              </w:rPr>
            </w:pPr>
            <w:r w:rsidRPr="00A61946">
              <w:rPr>
                <w:szCs w:val="22"/>
                <w:lang w:eastAsia="en-US"/>
              </w:rPr>
              <w:t>Day 5</w:t>
            </w:r>
          </w:p>
        </w:tc>
      </w:tr>
      <w:tr w:rsidR="00724837" w:rsidRPr="00A61946" w14:paraId="307EB5C4" w14:textId="77777777" w:rsidTr="008F24E1">
        <w:trPr>
          <w:cantSplit/>
        </w:trPr>
        <w:tc>
          <w:tcPr>
            <w:tcW w:w="2574" w:type="dxa"/>
            <w:tcBorders>
              <w:top w:val="single" w:sz="4" w:space="0" w:color="auto"/>
              <w:left w:val="single" w:sz="4" w:space="0" w:color="auto"/>
              <w:bottom w:val="single" w:sz="4" w:space="0" w:color="auto"/>
              <w:right w:val="single" w:sz="4" w:space="0" w:color="auto"/>
            </w:tcBorders>
          </w:tcPr>
          <w:p w14:paraId="54D5187D" w14:textId="77777777" w:rsidR="00724837" w:rsidRPr="00A61946" w:rsidRDefault="00724837" w:rsidP="008F24E1">
            <w:pPr>
              <w:pStyle w:val="SPCTabletextcenter"/>
              <w:spacing w:before="0" w:after="20" w:line="276" w:lineRule="auto"/>
              <w:rPr>
                <w:sz w:val="22"/>
                <w:szCs w:val="22"/>
              </w:rPr>
            </w:pPr>
            <w:r w:rsidRPr="00A61946">
              <w:rPr>
                <w:sz w:val="22"/>
                <w:szCs w:val="22"/>
              </w:rPr>
              <w:t>4</w:t>
            </w:r>
          </w:p>
        </w:tc>
        <w:tc>
          <w:tcPr>
            <w:tcW w:w="1275" w:type="dxa"/>
            <w:tcBorders>
              <w:top w:val="single" w:sz="4" w:space="0" w:color="auto"/>
              <w:left w:val="single" w:sz="4" w:space="0" w:color="auto"/>
              <w:bottom w:val="single" w:sz="4" w:space="0" w:color="auto"/>
              <w:right w:val="single" w:sz="4" w:space="0" w:color="auto"/>
            </w:tcBorders>
          </w:tcPr>
          <w:p w14:paraId="0E195DA9" w14:textId="77777777" w:rsidR="00724837" w:rsidRPr="00A61946" w:rsidRDefault="00724837" w:rsidP="008F24E1">
            <w:pPr>
              <w:pStyle w:val="SPCTabletextcenter"/>
              <w:spacing w:before="0" w:after="20" w:line="276" w:lineRule="auto"/>
              <w:rPr>
                <w:sz w:val="22"/>
                <w:szCs w:val="22"/>
              </w:rPr>
            </w:pPr>
            <w:r w:rsidRPr="00A61946">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7E2AE599" w14:textId="77777777" w:rsidR="00724837" w:rsidRPr="00A61946" w:rsidRDefault="00724837" w:rsidP="008F24E1">
            <w:pPr>
              <w:pStyle w:val="SPCTabletextcenter"/>
              <w:spacing w:before="0" w:after="20" w:line="276" w:lineRule="auto"/>
              <w:rPr>
                <w:sz w:val="22"/>
                <w:szCs w:val="22"/>
              </w:rPr>
            </w:pPr>
            <w:r w:rsidRPr="00A61946">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4EB70A2E" w14:textId="77777777" w:rsidR="00724837" w:rsidRPr="00A61946" w:rsidRDefault="00724837" w:rsidP="008F24E1">
            <w:pPr>
              <w:pStyle w:val="SPCTabletextcenter"/>
              <w:spacing w:before="0" w:after="20" w:line="276" w:lineRule="auto"/>
              <w:rPr>
                <w:sz w:val="22"/>
                <w:szCs w:val="22"/>
              </w:rPr>
            </w:pPr>
            <w:r w:rsidRPr="00A61946">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5F0E5A41" w14:textId="77777777" w:rsidR="00724837" w:rsidRPr="00A61946" w:rsidRDefault="00724837" w:rsidP="008F24E1">
            <w:pPr>
              <w:pStyle w:val="SPCTabletextcenter"/>
              <w:spacing w:before="0" w:after="20" w:line="276" w:lineRule="auto"/>
              <w:rPr>
                <w:sz w:val="22"/>
                <w:szCs w:val="22"/>
              </w:rPr>
            </w:pPr>
            <w:r w:rsidRPr="00A61946">
              <w:rPr>
                <w:sz w:val="22"/>
                <w:szCs w:val="22"/>
              </w:rPr>
              <w:t>1</w:t>
            </w:r>
          </w:p>
        </w:tc>
        <w:tc>
          <w:tcPr>
            <w:tcW w:w="1275" w:type="dxa"/>
            <w:tcBorders>
              <w:top w:val="single" w:sz="4" w:space="0" w:color="auto"/>
              <w:left w:val="single" w:sz="4" w:space="0" w:color="auto"/>
              <w:bottom w:val="single" w:sz="4" w:space="0" w:color="auto"/>
              <w:right w:val="single" w:sz="4" w:space="0" w:color="auto"/>
            </w:tcBorders>
          </w:tcPr>
          <w:p w14:paraId="44A95DC2" w14:textId="77777777" w:rsidR="00724837" w:rsidRPr="00A61946" w:rsidRDefault="00724837" w:rsidP="008F24E1">
            <w:pPr>
              <w:pStyle w:val="SPCTabletextcenter"/>
              <w:spacing w:before="0" w:after="20" w:line="276" w:lineRule="auto"/>
              <w:rPr>
                <w:sz w:val="22"/>
                <w:szCs w:val="22"/>
              </w:rPr>
            </w:pPr>
            <w:r w:rsidRPr="00A61946">
              <w:rPr>
                <w:sz w:val="22"/>
                <w:szCs w:val="22"/>
              </w:rPr>
              <w:t>0</w:t>
            </w:r>
          </w:p>
        </w:tc>
      </w:tr>
      <w:tr w:rsidR="00724837" w:rsidRPr="00A61946" w14:paraId="52271997" w14:textId="77777777" w:rsidTr="008F24E1">
        <w:trPr>
          <w:cantSplit/>
        </w:trPr>
        <w:tc>
          <w:tcPr>
            <w:tcW w:w="2574" w:type="dxa"/>
            <w:tcBorders>
              <w:top w:val="single" w:sz="4" w:space="0" w:color="auto"/>
              <w:left w:val="single" w:sz="4" w:space="0" w:color="auto"/>
              <w:bottom w:val="single" w:sz="4" w:space="0" w:color="auto"/>
              <w:right w:val="single" w:sz="4" w:space="0" w:color="auto"/>
            </w:tcBorders>
          </w:tcPr>
          <w:p w14:paraId="080FF553" w14:textId="77777777" w:rsidR="00724837" w:rsidRPr="00A61946" w:rsidRDefault="00724837" w:rsidP="008F24E1">
            <w:pPr>
              <w:pStyle w:val="SPCTabletextcenter"/>
              <w:spacing w:before="0" w:after="20" w:line="276" w:lineRule="auto"/>
              <w:rPr>
                <w:sz w:val="22"/>
                <w:szCs w:val="22"/>
              </w:rPr>
            </w:pPr>
            <w:r w:rsidRPr="00A61946">
              <w:rPr>
                <w:sz w:val="22"/>
                <w:szCs w:val="22"/>
              </w:rPr>
              <w:t>5</w:t>
            </w:r>
          </w:p>
        </w:tc>
        <w:tc>
          <w:tcPr>
            <w:tcW w:w="1275" w:type="dxa"/>
            <w:tcBorders>
              <w:top w:val="single" w:sz="4" w:space="0" w:color="auto"/>
              <w:left w:val="single" w:sz="4" w:space="0" w:color="auto"/>
              <w:bottom w:val="single" w:sz="4" w:space="0" w:color="auto"/>
              <w:right w:val="single" w:sz="4" w:space="0" w:color="auto"/>
            </w:tcBorders>
          </w:tcPr>
          <w:p w14:paraId="674331D0" w14:textId="77777777" w:rsidR="00724837" w:rsidRPr="00A61946" w:rsidRDefault="00724837" w:rsidP="008F24E1">
            <w:pPr>
              <w:pStyle w:val="SPCTabletextcenter"/>
              <w:spacing w:before="0" w:after="20" w:line="276" w:lineRule="auto"/>
              <w:rPr>
                <w:sz w:val="22"/>
                <w:szCs w:val="22"/>
              </w:rPr>
            </w:pPr>
            <w:r w:rsidRPr="00A61946">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17DAEF67" w14:textId="77777777" w:rsidR="00724837" w:rsidRPr="00A61946" w:rsidRDefault="00724837" w:rsidP="008F24E1">
            <w:pPr>
              <w:pStyle w:val="SPCTabletextcenter"/>
              <w:spacing w:before="0" w:after="20" w:line="276" w:lineRule="auto"/>
              <w:rPr>
                <w:sz w:val="22"/>
                <w:szCs w:val="22"/>
              </w:rPr>
            </w:pPr>
            <w:r w:rsidRPr="00A61946">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451EF90A" w14:textId="77777777" w:rsidR="00724837" w:rsidRPr="00A61946" w:rsidRDefault="00724837" w:rsidP="008F24E1">
            <w:pPr>
              <w:pStyle w:val="SPCTabletextcenter"/>
              <w:spacing w:before="0" w:after="20" w:line="276" w:lineRule="auto"/>
              <w:rPr>
                <w:sz w:val="22"/>
                <w:szCs w:val="22"/>
              </w:rPr>
            </w:pPr>
            <w:r w:rsidRPr="00A61946">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5044DE6E" w14:textId="77777777" w:rsidR="00724837" w:rsidRPr="00A61946" w:rsidRDefault="00724837" w:rsidP="008F24E1">
            <w:pPr>
              <w:pStyle w:val="SPCTabletextcenter"/>
              <w:spacing w:before="0" w:after="20" w:line="276" w:lineRule="auto"/>
              <w:rPr>
                <w:sz w:val="22"/>
                <w:szCs w:val="22"/>
              </w:rPr>
            </w:pPr>
            <w:r w:rsidRPr="00A61946">
              <w:rPr>
                <w:sz w:val="22"/>
                <w:szCs w:val="22"/>
              </w:rPr>
              <w:t>1</w:t>
            </w:r>
          </w:p>
        </w:tc>
        <w:tc>
          <w:tcPr>
            <w:tcW w:w="1275" w:type="dxa"/>
            <w:tcBorders>
              <w:top w:val="single" w:sz="4" w:space="0" w:color="auto"/>
              <w:left w:val="single" w:sz="4" w:space="0" w:color="auto"/>
              <w:bottom w:val="single" w:sz="4" w:space="0" w:color="auto"/>
              <w:right w:val="single" w:sz="4" w:space="0" w:color="auto"/>
            </w:tcBorders>
          </w:tcPr>
          <w:p w14:paraId="7D160E14" w14:textId="77777777" w:rsidR="00724837" w:rsidRPr="00A61946" w:rsidRDefault="00724837" w:rsidP="008F24E1">
            <w:pPr>
              <w:pStyle w:val="SPCTabletextcenter"/>
              <w:spacing w:before="0" w:after="20" w:line="276" w:lineRule="auto"/>
              <w:rPr>
                <w:sz w:val="22"/>
                <w:szCs w:val="22"/>
              </w:rPr>
            </w:pPr>
            <w:r w:rsidRPr="00A61946">
              <w:rPr>
                <w:sz w:val="22"/>
                <w:szCs w:val="22"/>
              </w:rPr>
              <w:t>1</w:t>
            </w:r>
          </w:p>
        </w:tc>
      </w:tr>
      <w:tr w:rsidR="00724837" w:rsidRPr="00A61946" w14:paraId="314C9F55" w14:textId="77777777" w:rsidTr="008F24E1">
        <w:trPr>
          <w:cantSplit/>
        </w:trPr>
        <w:tc>
          <w:tcPr>
            <w:tcW w:w="2574" w:type="dxa"/>
            <w:tcBorders>
              <w:top w:val="single" w:sz="4" w:space="0" w:color="auto"/>
              <w:left w:val="single" w:sz="4" w:space="0" w:color="auto"/>
              <w:bottom w:val="single" w:sz="4" w:space="0" w:color="auto"/>
              <w:right w:val="single" w:sz="4" w:space="0" w:color="auto"/>
            </w:tcBorders>
          </w:tcPr>
          <w:p w14:paraId="410D874E" w14:textId="77777777" w:rsidR="00724837" w:rsidRPr="00A61946" w:rsidRDefault="00724837" w:rsidP="008F24E1">
            <w:pPr>
              <w:pStyle w:val="SPCTabletextcenter"/>
              <w:spacing w:before="0" w:after="20" w:line="276" w:lineRule="auto"/>
              <w:rPr>
                <w:sz w:val="22"/>
                <w:szCs w:val="22"/>
              </w:rPr>
            </w:pPr>
            <w:r w:rsidRPr="00A61946">
              <w:rPr>
                <w:sz w:val="22"/>
                <w:szCs w:val="22"/>
              </w:rPr>
              <w:t>6</w:t>
            </w:r>
          </w:p>
        </w:tc>
        <w:tc>
          <w:tcPr>
            <w:tcW w:w="1275" w:type="dxa"/>
            <w:tcBorders>
              <w:top w:val="single" w:sz="4" w:space="0" w:color="auto"/>
              <w:left w:val="single" w:sz="4" w:space="0" w:color="auto"/>
              <w:bottom w:val="single" w:sz="4" w:space="0" w:color="auto"/>
              <w:right w:val="single" w:sz="4" w:space="0" w:color="auto"/>
            </w:tcBorders>
          </w:tcPr>
          <w:p w14:paraId="3F0C7FD2" w14:textId="77777777" w:rsidR="00724837" w:rsidRPr="00A61946" w:rsidRDefault="00724837" w:rsidP="008F24E1">
            <w:pPr>
              <w:pStyle w:val="SPCTabletextcenter"/>
              <w:spacing w:before="0" w:after="20" w:line="276" w:lineRule="auto"/>
              <w:rPr>
                <w:sz w:val="22"/>
                <w:szCs w:val="22"/>
              </w:rPr>
            </w:pPr>
            <w:r w:rsidRPr="00A61946">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14:paraId="5D9075E0" w14:textId="77777777" w:rsidR="00724837" w:rsidRPr="00A61946" w:rsidRDefault="00724837" w:rsidP="008F24E1">
            <w:pPr>
              <w:pStyle w:val="SPCTabletextcenter"/>
              <w:spacing w:before="0" w:after="20" w:line="276" w:lineRule="auto"/>
              <w:rPr>
                <w:sz w:val="22"/>
                <w:szCs w:val="22"/>
              </w:rPr>
            </w:pPr>
            <w:r w:rsidRPr="00A61946">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0A07035F" w14:textId="77777777" w:rsidR="00724837" w:rsidRPr="00A61946" w:rsidRDefault="00724837" w:rsidP="008F24E1">
            <w:pPr>
              <w:pStyle w:val="SPCTabletextcenter"/>
              <w:spacing w:before="0" w:after="20" w:line="276" w:lineRule="auto"/>
              <w:rPr>
                <w:sz w:val="22"/>
                <w:szCs w:val="22"/>
              </w:rPr>
            </w:pPr>
            <w:r w:rsidRPr="00A61946">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4A1903B1" w14:textId="77777777" w:rsidR="00724837" w:rsidRPr="00A61946" w:rsidRDefault="00724837" w:rsidP="008F24E1">
            <w:pPr>
              <w:pStyle w:val="SPCTabletextcenter"/>
              <w:spacing w:before="0" w:after="20" w:line="276" w:lineRule="auto"/>
              <w:rPr>
                <w:sz w:val="22"/>
                <w:szCs w:val="22"/>
              </w:rPr>
            </w:pPr>
            <w:r w:rsidRPr="00A61946">
              <w:rPr>
                <w:sz w:val="22"/>
                <w:szCs w:val="22"/>
              </w:rPr>
              <w:t>1</w:t>
            </w:r>
          </w:p>
        </w:tc>
        <w:tc>
          <w:tcPr>
            <w:tcW w:w="1275" w:type="dxa"/>
            <w:tcBorders>
              <w:top w:val="single" w:sz="4" w:space="0" w:color="auto"/>
              <w:left w:val="single" w:sz="4" w:space="0" w:color="auto"/>
              <w:bottom w:val="single" w:sz="4" w:space="0" w:color="auto"/>
              <w:right w:val="single" w:sz="4" w:space="0" w:color="auto"/>
            </w:tcBorders>
          </w:tcPr>
          <w:p w14:paraId="3CAF6F46" w14:textId="77777777" w:rsidR="00724837" w:rsidRPr="00A61946" w:rsidRDefault="00724837" w:rsidP="008F24E1">
            <w:pPr>
              <w:pStyle w:val="SPCTabletextcenter"/>
              <w:spacing w:before="0" w:after="20" w:line="276" w:lineRule="auto"/>
              <w:rPr>
                <w:sz w:val="22"/>
                <w:szCs w:val="22"/>
              </w:rPr>
            </w:pPr>
            <w:r w:rsidRPr="00A61946">
              <w:rPr>
                <w:sz w:val="22"/>
                <w:szCs w:val="22"/>
              </w:rPr>
              <w:t>1</w:t>
            </w:r>
          </w:p>
        </w:tc>
      </w:tr>
      <w:tr w:rsidR="00724837" w:rsidRPr="00A61946" w14:paraId="6E54D14A" w14:textId="77777777" w:rsidTr="008F24E1">
        <w:trPr>
          <w:cantSplit/>
        </w:trPr>
        <w:tc>
          <w:tcPr>
            <w:tcW w:w="2574" w:type="dxa"/>
            <w:tcBorders>
              <w:top w:val="single" w:sz="4" w:space="0" w:color="auto"/>
              <w:left w:val="single" w:sz="4" w:space="0" w:color="auto"/>
              <w:bottom w:val="single" w:sz="4" w:space="0" w:color="auto"/>
              <w:right w:val="single" w:sz="4" w:space="0" w:color="auto"/>
            </w:tcBorders>
          </w:tcPr>
          <w:p w14:paraId="63893D9E" w14:textId="77777777" w:rsidR="00724837" w:rsidRPr="00A61946" w:rsidRDefault="00724837" w:rsidP="008F24E1">
            <w:pPr>
              <w:pStyle w:val="SPCTabletextcenter"/>
              <w:spacing w:before="0" w:after="20" w:line="276" w:lineRule="auto"/>
              <w:rPr>
                <w:sz w:val="22"/>
                <w:szCs w:val="22"/>
              </w:rPr>
            </w:pPr>
            <w:r w:rsidRPr="00A61946">
              <w:rPr>
                <w:sz w:val="22"/>
                <w:szCs w:val="22"/>
              </w:rPr>
              <w:t>7</w:t>
            </w:r>
          </w:p>
        </w:tc>
        <w:tc>
          <w:tcPr>
            <w:tcW w:w="1275" w:type="dxa"/>
            <w:tcBorders>
              <w:top w:val="single" w:sz="4" w:space="0" w:color="auto"/>
              <w:left w:val="single" w:sz="4" w:space="0" w:color="auto"/>
              <w:bottom w:val="single" w:sz="4" w:space="0" w:color="auto"/>
              <w:right w:val="single" w:sz="4" w:space="0" w:color="auto"/>
            </w:tcBorders>
          </w:tcPr>
          <w:p w14:paraId="230DCA04" w14:textId="77777777" w:rsidR="00724837" w:rsidRPr="00A61946" w:rsidRDefault="00724837" w:rsidP="008F24E1">
            <w:pPr>
              <w:pStyle w:val="SPCTabletextcenter"/>
              <w:spacing w:before="0" w:after="20" w:line="276" w:lineRule="auto"/>
              <w:rPr>
                <w:sz w:val="22"/>
                <w:szCs w:val="22"/>
              </w:rPr>
            </w:pPr>
            <w:r w:rsidRPr="00A61946">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14:paraId="630BB958" w14:textId="77777777" w:rsidR="00724837" w:rsidRPr="00A61946" w:rsidRDefault="00724837" w:rsidP="008F24E1">
            <w:pPr>
              <w:pStyle w:val="SPCTabletextcenter"/>
              <w:spacing w:before="0" w:after="20" w:line="276" w:lineRule="auto"/>
              <w:rPr>
                <w:sz w:val="22"/>
                <w:szCs w:val="22"/>
              </w:rPr>
            </w:pPr>
            <w:r w:rsidRPr="00A61946">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14:paraId="53D24028" w14:textId="77777777" w:rsidR="00724837" w:rsidRPr="00A61946" w:rsidRDefault="00724837" w:rsidP="008F24E1">
            <w:pPr>
              <w:pStyle w:val="SPCTabletextcenter"/>
              <w:spacing w:before="0" w:after="20" w:line="276" w:lineRule="auto"/>
              <w:rPr>
                <w:sz w:val="22"/>
                <w:szCs w:val="22"/>
              </w:rPr>
            </w:pPr>
            <w:r w:rsidRPr="00A61946">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43F41A8B" w14:textId="77777777" w:rsidR="00724837" w:rsidRPr="00A61946" w:rsidRDefault="00724837" w:rsidP="008F24E1">
            <w:pPr>
              <w:pStyle w:val="SPCTabletextcenter"/>
              <w:spacing w:before="0" w:after="20" w:line="276" w:lineRule="auto"/>
              <w:rPr>
                <w:sz w:val="22"/>
                <w:szCs w:val="22"/>
              </w:rPr>
            </w:pPr>
            <w:r w:rsidRPr="00A61946">
              <w:rPr>
                <w:sz w:val="22"/>
                <w:szCs w:val="22"/>
              </w:rPr>
              <w:t>1</w:t>
            </w:r>
          </w:p>
        </w:tc>
        <w:tc>
          <w:tcPr>
            <w:tcW w:w="1275" w:type="dxa"/>
            <w:tcBorders>
              <w:top w:val="single" w:sz="4" w:space="0" w:color="auto"/>
              <w:left w:val="single" w:sz="4" w:space="0" w:color="auto"/>
              <w:bottom w:val="single" w:sz="4" w:space="0" w:color="auto"/>
              <w:right w:val="single" w:sz="4" w:space="0" w:color="auto"/>
            </w:tcBorders>
          </w:tcPr>
          <w:p w14:paraId="06AB2270" w14:textId="77777777" w:rsidR="00724837" w:rsidRPr="00A61946" w:rsidRDefault="00724837" w:rsidP="008F24E1">
            <w:pPr>
              <w:pStyle w:val="SPCTabletextcenter"/>
              <w:spacing w:before="0" w:after="20" w:line="276" w:lineRule="auto"/>
              <w:rPr>
                <w:sz w:val="22"/>
                <w:szCs w:val="22"/>
              </w:rPr>
            </w:pPr>
            <w:r w:rsidRPr="00A61946">
              <w:rPr>
                <w:sz w:val="22"/>
                <w:szCs w:val="22"/>
              </w:rPr>
              <w:t>1</w:t>
            </w:r>
          </w:p>
        </w:tc>
      </w:tr>
      <w:tr w:rsidR="00724837" w:rsidRPr="00A61946" w14:paraId="0BAE79A6" w14:textId="77777777" w:rsidTr="008F24E1">
        <w:trPr>
          <w:cantSplit/>
        </w:trPr>
        <w:tc>
          <w:tcPr>
            <w:tcW w:w="2574" w:type="dxa"/>
            <w:tcBorders>
              <w:top w:val="single" w:sz="4" w:space="0" w:color="auto"/>
              <w:left w:val="single" w:sz="4" w:space="0" w:color="auto"/>
              <w:bottom w:val="single" w:sz="4" w:space="0" w:color="auto"/>
              <w:right w:val="single" w:sz="4" w:space="0" w:color="auto"/>
            </w:tcBorders>
          </w:tcPr>
          <w:p w14:paraId="46EE0356" w14:textId="77777777" w:rsidR="00724837" w:rsidRPr="00A61946" w:rsidRDefault="00724837" w:rsidP="008F24E1">
            <w:pPr>
              <w:pStyle w:val="SPCTabletextcenter"/>
              <w:spacing w:before="0" w:after="20" w:line="276" w:lineRule="auto"/>
              <w:rPr>
                <w:sz w:val="22"/>
                <w:szCs w:val="22"/>
              </w:rPr>
            </w:pPr>
            <w:r w:rsidRPr="00A61946">
              <w:rPr>
                <w:sz w:val="22"/>
                <w:szCs w:val="22"/>
              </w:rPr>
              <w:t>8</w:t>
            </w:r>
          </w:p>
        </w:tc>
        <w:tc>
          <w:tcPr>
            <w:tcW w:w="1275" w:type="dxa"/>
            <w:tcBorders>
              <w:top w:val="single" w:sz="4" w:space="0" w:color="auto"/>
              <w:left w:val="single" w:sz="4" w:space="0" w:color="auto"/>
              <w:bottom w:val="single" w:sz="4" w:space="0" w:color="auto"/>
              <w:right w:val="single" w:sz="4" w:space="0" w:color="auto"/>
            </w:tcBorders>
          </w:tcPr>
          <w:p w14:paraId="3402D309" w14:textId="77777777" w:rsidR="00724837" w:rsidRPr="00A61946" w:rsidRDefault="00724837" w:rsidP="008F24E1">
            <w:pPr>
              <w:pStyle w:val="SPCTabletextcenter"/>
              <w:spacing w:before="0" w:after="20" w:line="276" w:lineRule="auto"/>
              <w:rPr>
                <w:sz w:val="22"/>
                <w:szCs w:val="22"/>
              </w:rPr>
            </w:pPr>
            <w:r w:rsidRPr="00A61946">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14:paraId="6B66BD1C" w14:textId="77777777" w:rsidR="00724837" w:rsidRPr="00A61946" w:rsidRDefault="00724837" w:rsidP="008F24E1">
            <w:pPr>
              <w:pStyle w:val="SPCTabletextcenter"/>
              <w:spacing w:before="0" w:after="20" w:line="276" w:lineRule="auto"/>
              <w:rPr>
                <w:sz w:val="22"/>
                <w:szCs w:val="22"/>
              </w:rPr>
            </w:pPr>
            <w:r w:rsidRPr="00A61946">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14:paraId="5F71C7E4" w14:textId="77777777" w:rsidR="00724837" w:rsidRPr="00A61946" w:rsidRDefault="00724837" w:rsidP="008F24E1">
            <w:pPr>
              <w:pStyle w:val="SPCTabletextcenter"/>
              <w:spacing w:before="0" w:after="20" w:line="276" w:lineRule="auto"/>
              <w:rPr>
                <w:sz w:val="22"/>
                <w:szCs w:val="22"/>
              </w:rPr>
            </w:pPr>
            <w:r w:rsidRPr="00A61946">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14:paraId="2B0E6540" w14:textId="77777777" w:rsidR="00724837" w:rsidRPr="00A61946" w:rsidRDefault="00724837" w:rsidP="008F24E1">
            <w:pPr>
              <w:pStyle w:val="SPCTabletextcenter"/>
              <w:spacing w:before="0" w:after="20" w:line="276" w:lineRule="auto"/>
              <w:rPr>
                <w:sz w:val="22"/>
                <w:szCs w:val="22"/>
              </w:rPr>
            </w:pPr>
            <w:r w:rsidRPr="00A61946">
              <w:rPr>
                <w:sz w:val="22"/>
                <w:szCs w:val="22"/>
              </w:rPr>
              <w:t>1</w:t>
            </w:r>
          </w:p>
        </w:tc>
        <w:tc>
          <w:tcPr>
            <w:tcW w:w="1275" w:type="dxa"/>
            <w:tcBorders>
              <w:top w:val="single" w:sz="4" w:space="0" w:color="auto"/>
              <w:left w:val="single" w:sz="4" w:space="0" w:color="auto"/>
              <w:bottom w:val="single" w:sz="4" w:space="0" w:color="auto"/>
              <w:right w:val="single" w:sz="4" w:space="0" w:color="auto"/>
            </w:tcBorders>
          </w:tcPr>
          <w:p w14:paraId="624EFF8C" w14:textId="77777777" w:rsidR="00724837" w:rsidRPr="00A61946" w:rsidRDefault="00724837" w:rsidP="008F24E1">
            <w:pPr>
              <w:pStyle w:val="SPCTabletextcenter"/>
              <w:spacing w:before="0" w:after="20" w:line="276" w:lineRule="auto"/>
              <w:rPr>
                <w:sz w:val="22"/>
                <w:szCs w:val="22"/>
              </w:rPr>
            </w:pPr>
            <w:r w:rsidRPr="00A61946">
              <w:rPr>
                <w:sz w:val="22"/>
                <w:szCs w:val="22"/>
              </w:rPr>
              <w:t>1</w:t>
            </w:r>
          </w:p>
        </w:tc>
      </w:tr>
      <w:tr w:rsidR="00724837" w:rsidRPr="00A61946" w14:paraId="4A47CC2A" w14:textId="77777777" w:rsidTr="008F24E1">
        <w:trPr>
          <w:cantSplit/>
        </w:trPr>
        <w:tc>
          <w:tcPr>
            <w:tcW w:w="2574" w:type="dxa"/>
            <w:tcBorders>
              <w:top w:val="single" w:sz="4" w:space="0" w:color="auto"/>
              <w:left w:val="single" w:sz="4" w:space="0" w:color="auto"/>
              <w:bottom w:val="single" w:sz="4" w:space="0" w:color="auto"/>
              <w:right w:val="single" w:sz="4" w:space="0" w:color="auto"/>
            </w:tcBorders>
          </w:tcPr>
          <w:p w14:paraId="3F7D9C56" w14:textId="77777777" w:rsidR="00724837" w:rsidRPr="00A61946" w:rsidRDefault="00724837" w:rsidP="008F24E1">
            <w:pPr>
              <w:pStyle w:val="SPCTabletextcenter"/>
              <w:spacing w:before="0" w:after="20" w:line="276" w:lineRule="auto"/>
              <w:rPr>
                <w:sz w:val="22"/>
                <w:szCs w:val="22"/>
              </w:rPr>
            </w:pPr>
            <w:r w:rsidRPr="00A61946">
              <w:rPr>
                <w:sz w:val="22"/>
                <w:szCs w:val="22"/>
              </w:rPr>
              <w:t>9</w:t>
            </w:r>
          </w:p>
        </w:tc>
        <w:tc>
          <w:tcPr>
            <w:tcW w:w="1275" w:type="dxa"/>
            <w:tcBorders>
              <w:top w:val="single" w:sz="4" w:space="0" w:color="auto"/>
              <w:left w:val="single" w:sz="4" w:space="0" w:color="auto"/>
              <w:bottom w:val="single" w:sz="4" w:space="0" w:color="auto"/>
              <w:right w:val="single" w:sz="4" w:space="0" w:color="auto"/>
            </w:tcBorders>
          </w:tcPr>
          <w:p w14:paraId="50E37093" w14:textId="77777777" w:rsidR="00724837" w:rsidRPr="00A61946" w:rsidRDefault="00724837" w:rsidP="008F24E1">
            <w:pPr>
              <w:pStyle w:val="SPCTabletextcenter"/>
              <w:spacing w:before="0" w:after="20" w:line="276" w:lineRule="auto"/>
              <w:rPr>
                <w:sz w:val="22"/>
                <w:szCs w:val="22"/>
              </w:rPr>
            </w:pPr>
            <w:r w:rsidRPr="00A61946">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14:paraId="40628F5E" w14:textId="77777777" w:rsidR="00724837" w:rsidRPr="00A61946" w:rsidRDefault="00724837" w:rsidP="008F24E1">
            <w:pPr>
              <w:pStyle w:val="SPCTabletextcenter"/>
              <w:spacing w:before="0" w:after="20" w:line="276" w:lineRule="auto"/>
              <w:rPr>
                <w:sz w:val="22"/>
                <w:szCs w:val="22"/>
              </w:rPr>
            </w:pPr>
            <w:r w:rsidRPr="00A61946">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14:paraId="2022EC6E" w14:textId="77777777" w:rsidR="00724837" w:rsidRPr="00A61946" w:rsidRDefault="00724837" w:rsidP="008F24E1">
            <w:pPr>
              <w:pStyle w:val="SPCTabletextcenter"/>
              <w:spacing w:before="0" w:after="20" w:line="276" w:lineRule="auto"/>
              <w:rPr>
                <w:sz w:val="22"/>
                <w:szCs w:val="22"/>
              </w:rPr>
            </w:pPr>
            <w:r w:rsidRPr="00A61946">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14:paraId="76D50549" w14:textId="77777777" w:rsidR="00724837" w:rsidRPr="00A61946" w:rsidRDefault="00724837" w:rsidP="008F24E1">
            <w:pPr>
              <w:pStyle w:val="SPCTabletextcenter"/>
              <w:spacing w:before="0" w:after="20" w:line="276" w:lineRule="auto"/>
              <w:rPr>
                <w:sz w:val="22"/>
                <w:szCs w:val="22"/>
              </w:rPr>
            </w:pPr>
            <w:r w:rsidRPr="00A61946">
              <w:rPr>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6538ACBD" w14:textId="77777777" w:rsidR="00724837" w:rsidRPr="00A61946" w:rsidRDefault="00724837" w:rsidP="008F24E1">
            <w:pPr>
              <w:pStyle w:val="SPCTabletextcenter"/>
              <w:spacing w:before="0" w:after="20" w:line="276" w:lineRule="auto"/>
              <w:rPr>
                <w:sz w:val="22"/>
                <w:szCs w:val="22"/>
              </w:rPr>
            </w:pPr>
            <w:r w:rsidRPr="00A61946">
              <w:rPr>
                <w:sz w:val="22"/>
                <w:szCs w:val="22"/>
              </w:rPr>
              <w:t>1</w:t>
            </w:r>
          </w:p>
        </w:tc>
      </w:tr>
      <w:tr w:rsidR="00724837" w:rsidRPr="00A61946" w14:paraId="5FF6074D" w14:textId="77777777" w:rsidTr="008F24E1">
        <w:trPr>
          <w:cantSplit/>
        </w:trPr>
        <w:tc>
          <w:tcPr>
            <w:tcW w:w="2574" w:type="dxa"/>
            <w:tcBorders>
              <w:top w:val="single" w:sz="4" w:space="0" w:color="auto"/>
              <w:left w:val="single" w:sz="4" w:space="0" w:color="auto"/>
              <w:bottom w:val="single" w:sz="4" w:space="0" w:color="auto"/>
              <w:right w:val="single" w:sz="4" w:space="0" w:color="auto"/>
            </w:tcBorders>
          </w:tcPr>
          <w:p w14:paraId="3F704A9D" w14:textId="77777777" w:rsidR="00724837" w:rsidRPr="00A61946" w:rsidRDefault="00724837" w:rsidP="008F24E1">
            <w:pPr>
              <w:pStyle w:val="SPCTabletextcenter"/>
              <w:spacing w:before="0" w:after="20" w:line="276" w:lineRule="auto"/>
              <w:rPr>
                <w:sz w:val="22"/>
                <w:szCs w:val="22"/>
              </w:rPr>
            </w:pPr>
            <w:r w:rsidRPr="00A61946">
              <w:rPr>
                <w:sz w:val="22"/>
                <w:szCs w:val="22"/>
              </w:rPr>
              <w:t>10</w:t>
            </w:r>
          </w:p>
        </w:tc>
        <w:tc>
          <w:tcPr>
            <w:tcW w:w="1275" w:type="dxa"/>
            <w:tcBorders>
              <w:top w:val="single" w:sz="4" w:space="0" w:color="auto"/>
              <w:left w:val="single" w:sz="4" w:space="0" w:color="auto"/>
              <w:bottom w:val="single" w:sz="4" w:space="0" w:color="auto"/>
              <w:right w:val="single" w:sz="4" w:space="0" w:color="auto"/>
            </w:tcBorders>
          </w:tcPr>
          <w:p w14:paraId="51EB3D54" w14:textId="77777777" w:rsidR="00724837" w:rsidRPr="00A61946" w:rsidRDefault="00724837" w:rsidP="008F24E1">
            <w:pPr>
              <w:pStyle w:val="SPCTabletextcenter"/>
              <w:spacing w:before="0" w:after="20" w:line="276" w:lineRule="auto"/>
              <w:rPr>
                <w:sz w:val="22"/>
                <w:szCs w:val="22"/>
              </w:rPr>
            </w:pPr>
            <w:r w:rsidRPr="00A61946">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14:paraId="489CA69E" w14:textId="77777777" w:rsidR="00724837" w:rsidRPr="00A61946" w:rsidRDefault="00724837" w:rsidP="008F24E1">
            <w:pPr>
              <w:pStyle w:val="SPCTabletextcenter"/>
              <w:spacing w:before="0" w:after="20" w:line="276" w:lineRule="auto"/>
              <w:rPr>
                <w:sz w:val="22"/>
                <w:szCs w:val="22"/>
              </w:rPr>
            </w:pPr>
            <w:r w:rsidRPr="00A61946">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14:paraId="3CB0D2D7" w14:textId="77777777" w:rsidR="00724837" w:rsidRPr="00A61946" w:rsidRDefault="00724837" w:rsidP="008F24E1">
            <w:pPr>
              <w:pStyle w:val="SPCTabletextcenter"/>
              <w:spacing w:before="0" w:after="20" w:line="276" w:lineRule="auto"/>
              <w:rPr>
                <w:sz w:val="22"/>
                <w:szCs w:val="22"/>
              </w:rPr>
            </w:pPr>
            <w:r w:rsidRPr="00A61946">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14:paraId="66955AF8" w14:textId="77777777" w:rsidR="00724837" w:rsidRPr="00A61946" w:rsidRDefault="00724837" w:rsidP="008F24E1">
            <w:pPr>
              <w:pStyle w:val="SPCTabletextcenter"/>
              <w:spacing w:before="0" w:after="20" w:line="276" w:lineRule="auto"/>
              <w:rPr>
                <w:sz w:val="22"/>
                <w:szCs w:val="22"/>
              </w:rPr>
            </w:pPr>
            <w:r w:rsidRPr="00A61946">
              <w:rPr>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0ACFC645" w14:textId="77777777" w:rsidR="00724837" w:rsidRPr="00A61946" w:rsidRDefault="00724837" w:rsidP="008F24E1">
            <w:pPr>
              <w:pStyle w:val="SPCTabletextcenter"/>
              <w:spacing w:before="0" w:after="20" w:line="276" w:lineRule="auto"/>
              <w:rPr>
                <w:sz w:val="22"/>
                <w:szCs w:val="22"/>
              </w:rPr>
            </w:pPr>
            <w:r w:rsidRPr="00A61946">
              <w:rPr>
                <w:sz w:val="22"/>
                <w:szCs w:val="22"/>
              </w:rPr>
              <w:t>2</w:t>
            </w:r>
          </w:p>
        </w:tc>
      </w:tr>
    </w:tbl>
    <w:p w14:paraId="4957CD79" w14:textId="77777777" w:rsidR="00724837" w:rsidRPr="00A61946" w:rsidRDefault="00724837" w:rsidP="008F24E1">
      <w:pPr>
        <w:keepNext/>
        <w:autoSpaceDE w:val="0"/>
        <w:autoSpaceDN w:val="0"/>
        <w:spacing w:before="180" w:line="276" w:lineRule="auto"/>
        <w:rPr>
          <w:rFonts w:ascii="Times New Roman" w:hAnsi="Times New Roman"/>
          <w:b/>
          <w:sz w:val="24"/>
          <w:szCs w:val="24"/>
          <w:lang w:val="en-AU"/>
        </w:rPr>
      </w:pPr>
      <w:r w:rsidRPr="00A61946">
        <w:rPr>
          <w:rFonts w:ascii="Times New Roman" w:hAnsi="Times New Roman"/>
          <w:b/>
          <w:sz w:val="24"/>
          <w:szCs w:val="24"/>
          <w:lang w:val="en-AU"/>
        </w:rPr>
        <w:t>Dosing Errors</w:t>
      </w:r>
    </w:p>
    <w:p w14:paraId="48726669"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A missed dose can be taken as soon as remembered, if remembered on the same calendar day.</w:t>
      </w:r>
    </w:p>
    <w:p w14:paraId="67CFA09C"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 xml:space="preserve">A missed dose must </w:t>
      </w:r>
      <w:r w:rsidRPr="00A61946">
        <w:rPr>
          <w:rFonts w:ascii="Times New Roman" w:hAnsi="Times New Roman"/>
          <w:sz w:val="24"/>
          <w:szCs w:val="24"/>
          <w:u w:val="single"/>
          <w:lang w:val="en-AU"/>
        </w:rPr>
        <w:t>not</w:t>
      </w:r>
      <w:r w:rsidRPr="00A61946">
        <w:rPr>
          <w:rFonts w:ascii="Times New Roman" w:hAnsi="Times New Roman"/>
          <w:sz w:val="24"/>
          <w:szCs w:val="24"/>
          <w:lang w:val="en-AU"/>
        </w:rPr>
        <w:t xml:space="preserve"> be taken if it is not remembered until the following day.  In this case, the patient must take the next dose as scheduled, and extend the number of days in that treatment week.  For example, if a patient forgets to take the Day 3 dose and does not remember until Day 4, the Day 3 dose is taken on Day 4, and the total number of days in the treatment week is extended by one day.  If two consecutive doses are missed, the same rule applies, and the treatment week is extended by two days.</w:t>
      </w:r>
    </w:p>
    <w:p w14:paraId="2351720A" w14:textId="248DC6C0"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 xml:space="preserve">In case of an accidental dose higher than prescribed, the clinical status of the patient must be reviewed and a decision made as to whether </w:t>
      </w:r>
      <w:r w:rsidR="00C14BEA">
        <w:rPr>
          <w:rFonts w:ascii="Times New Roman" w:hAnsi="Times New Roman"/>
          <w:sz w:val="24"/>
          <w:szCs w:val="24"/>
          <w:lang w:val="en-AU"/>
        </w:rPr>
        <w:t>and how to continue treatment.</w:t>
      </w:r>
    </w:p>
    <w:p w14:paraId="0690BCA8" w14:textId="77777777" w:rsidR="00724837" w:rsidRPr="00A61946" w:rsidRDefault="00724837" w:rsidP="008F24E1">
      <w:pPr>
        <w:keepNext/>
        <w:autoSpaceDE w:val="0"/>
        <w:autoSpaceDN w:val="0"/>
        <w:spacing w:before="180" w:line="276" w:lineRule="auto"/>
        <w:rPr>
          <w:rFonts w:ascii="Times New Roman" w:hAnsi="Times New Roman"/>
          <w:b/>
          <w:sz w:val="24"/>
          <w:szCs w:val="24"/>
          <w:lang w:val="en-AU"/>
        </w:rPr>
      </w:pPr>
      <w:r w:rsidRPr="00A61946">
        <w:rPr>
          <w:rFonts w:ascii="Times New Roman" w:hAnsi="Times New Roman"/>
          <w:b/>
          <w:sz w:val="24"/>
          <w:szCs w:val="24"/>
          <w:lang w:val="en-AU"/>
        </w:rPr>
        <w:lastRenderedPageBreak/>
        <w:t>Administration</w:t>
      </w:r>
    </w:p>
    <w:p w14:paraId="79A23665"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MAVENCLAD tablets must be taken orally, with water, and swallowed without chewing.  It is unlikely that food intake will have a clinically significant effect on absorption of cladribine.  Therefore, MAVENCLAD can be taken before or after a meal.</w:t>
      </w:r>
    </w:p>
    <w:p w14:paraId="5F0DB7D3"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 xml:space="preserve">As tablets are uncoated, they must be swallowed </w:t>
      </w:r>
      <w:r w:rsidRPr="00A61946">
        <w:rPr>
          <w:rFonts w:ascii="Times New Roman" w:hAnsi="Times New Roman"/>
          <w:sz w:val="24"/>
          <w:szCs w:val="24"/>
          <w:u w:val="single"/>
          <w:lang w:val="en-AU"/>
        </w:rPr>
        <w:t>immediately</w:t>
      </w:r>
      <w:r w:rsidRPr="00A61946">
        <w:rPr>
          <w:rFonts w:ascii="Times New Roman" w:hAnsi="Times New Roman"/>
          <w:sz w:val="24"/>
          <w:szCs w:val="24"/>
          <w:lang w:val="en-AU"/>
        </w:rPr>
        <w:t xml:space="preserve"> once removed from the blister and not left exposed on surfaces or handled for any period of time greater than that required for dosing.  If a tablet is left on a surface, or if a broken or fragmented tablet is released from the blister, the area must be thoroughly washed afterwards.</w:t>
      </w:r>
    </w:p>
    <w:p w14:paraId="2C5212AA"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The patient’s hands must be dry when handling the tablets and washed thoroughly afterwards.</w:t>
      </w:r>
    </w:p>
    <w:p w14:paraId="765ED351" w14:textId="77777777" w:rsidR="00724837" w:rsidRPr="00A61946" w:rsidRDefault="00724837" w:rsidP="008F24E1">
      <w:pPr>
        <w:keepNext/>
        <w:autoSpaceDE w:val="0"/>
        <w:autoSpaceDN w:val="0"/>
        <w:spacing w:before="180" w:line="276" w:lineRule="auto"/>
        <w:rPr>
          <w:rFonts w:ascii="Times New Roman" w:hAnsi="Times New Roman"/>
          <w:sz w:val="24"/>
          <w:szCs w:val="24"/>
          <w:lang w:val="en-AU"/>
        </w:rPr>
      </w:pPr>
      <w:r w:rsidRPr="00A61946">
        <w:rPr>
          <w:rFonts w:ascii="Times New Roman" w:hAnsi="Times New Roman"/>
          <w:b/>
          <w:sz w:val="24"/>
          <w:szCs w:val="24"/>
          <w:lang w:val="en-AU"/>
        </w:rPr>
        <w:t>OVERDOSAGE</w:t>
      </w:r>
    </w:p>
    <w:p w14:paraId="2EDDC16A"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 xml:space="preserve">There is limited experience with overdose of MAVENCLAD.  Lymphopenia is known to be dose-dependent (refer to PRECAUTIONS and ADVERSE REACTIONS).  </w:t>
      </w:r>
    </w:p>
    <w:p w14:paraId="0C51C412"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 xml:space="preserve">There is no known specific antidote to an overdose of MAVENCLAD.  Treatment consists of careful observation and initiation of appropriate supportive measures.  </w:t>
      </w:r>
      <w:r w:rsidRPr="00A61946">
        <w:rPr>
          <w:rFonts w:ascii="Times New Roman" w:hAnsi="Times New Roman"/>
          <w:sz w:val="24"/>
          <w:szCs w:val="24"/>
        </w:rPr>
        <w:t>Discontinuation of MAVENCLAD may need to be considered.  Because</w:t>
      </w:r>
      <w:r w:rsidRPr="00A61946">
        <w:rPr>
          <w:rFonts w:ascii="Times New Roman" w:hAnsi="Times New Roman"/>
          <w:sz w:val="24"/>
        </w:rPr>
        <w:t xml:space="preserve"> of </w:t>
      </w:r>
      <w:r w:rsidRPr="00A61946">
        <w:rPr>
          <w:rFonts w:ascii="Times New Roman" w:hAnsi="Times New Roman"/>
          <w:sz w:val="24"/>
          <w:szCs w:val="24"/>
        </w:rPr>
        <w:t xml:space="preserve">the extensive intracellular and tissue distribution, haemodialysis is unlikely to eliminate </w:t>
      </w:r>
      <w:r w:rsidRPr="00A61946">
        <w:rPr>
          <w:rFonts w:ascii="Times New Roman" w:hAnsi="Times New Roman"/>
          <w:sz w:val="24"/>
        </w:rPr>
        <w:t>cladribine</w:t>
      </w:r>
      <w:r w:rsidRPr="00A61946">
        <w:rPr>
          <w:rFonts w:ascii="Times New Roman" w:hAnsi="Times New Roman"/>
          <w:sz w:val="24"/>
          <w:szCs w:val="24"/>
        </w:rPr>
        <w:t xml:space="preserve"> to a significant extent</w:t>
      </w:r>
      <w:r w:rsidRPr="00A61946">
        <w:rPr>
          <w:rFonts w:ascii="Times New Roman" w:hAnsi="Times New Roman"/>
          <w:sz w:val="24"/>
        </w:rPr>
        <w:t>.</w:t>
      </w:r>
      <w:r w:rsidRPr="00A61946">
        <w:rPr>
          <w:rFonts w:ascii="Times New Roman" w:hAnsi="Times New Roman"/>
          <w:sz w:val="24"/>
          <w:szCs w:val="24"/>
          <w:lang w:val="en-AU"/>
        </w:rPr>
        <w:t xml:space="preserve"> </w:t>
      </w:r>
    </w:p>
    <w:p w14:paraId="37DBA1BC"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Particularly close monitoring of haematological parameters is recommended in patients who have been exposed to an overdose of MAVENCLAD.</w:t>
      </w:r>
    </w:p>
    <w:p w14:paraId="7FD86FCD"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Contact the Poisons Information Centre (telephone 131 126) for advice on the management of an overdose.</w:t>
      </w:r>
    </w:p>
    <w:p w14:paraId="72CAA28F" w14:textId="77777777" w:rsidR="00724837" w:rsidRPr="00A61946" w:rsidRDefault="00724837" w:rsidP="008F24E1">
      <w:pPr>
        <w:keepNext/>
        <w:autoSpaceDE w:val="0"/>
        <w:autoSpaceDN w:val="0"/>
        <w:spacing w:before="180" w:line="276" w:lineRule="auto"/>
        <w:rPr>
          <w:rFonts w:ascii="Times New Roman" w:hAnsi="Times New Roman"/>
          <w:sz w:val="24"/>
          <w:szCs w:val="24"/>
          <w:lang w:val="en-AU"/>
        </w:rPr>
      </w:pPr>
      <w:r w:rsidRPr="00A61946">
        <w:rPr>
          <w:rFonts w:ascii="Times New Roman" w:hAnsi="Times New Roman"/>
          <w:b/>
          <w:sz w:val="24"/>
          <w:szCs w:val="24"/>
          <w:lang w:val="en-AU"/>
        </w:rPr>
        <w:t>PRESENTATION AND STORAGE CONDITIONS</w:t>
      </w:r>
    </w:p>
    <w:p w14:paraId="62CB4EF8"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 xml:space="preserve">Tablets 10 mg (uncoated, white, round, biconvex tablets engraved with ‘C’ on one side and ‘10’ on the other) in an aluminium-aluminium blister, </w:t>
      </w:r>
      <w:r w:rsidRPr="00A61946">
        <w:rPr>
          <w:rFonts w:ascii="Times New Roman" w:hAnsi="Times New Roman"/>
          <w:sz w:val="24"/>
          <w:szCs w:val="24"/>
        </w:rPr>
        <w:t>sealed in a cardboard wallet and fixed in a</w:t>
      </w:r>
      <w:r w:rsidRPr="00A61946">
        <w:rPr>
          <w:rFonts w:ascii="Times New Roman" w:hAnsi="Times New Roman"/>
          <w:sz w:val="24"/>
        </w:rPr>
        <w:t xml:space="preserve"> </w:t>
      </w:r>
      <w:r w:rsidRPr="00A61946">
        <w:rPr>
          <w:rFonts w:ascii="Times New Roman" w:hAnsi="Times New Roman"/>
          <w:sz w:val="24"/>
          <w:szCs w:val="24"/>
          <w:lang w:val="en-AU"/>
        </w:rPr>
        <w:t>child-resistant carton: packs of 1, 4, 5, 6, 7, 8, 9 or 10 tablets*.</w:t>
      </w:r>
    </w:p>
    <w:p w14:paraId="2CA16639" w14:textId="77777777" w:rsidR="00724837" w:rsidRPr="00A61946" w:rsidRDefault="00724837" w:rsidP="008F24E1">
      <w:pPr>
        <w:autoSpaceDE w:val="0"/>
        <w:autoSpaceDN w:val="0"/>
        <w:spacing w:before="180" w:line="276" w:lineRule="auto"/>
        <w:rPr>
          <w:rFonts w:ascii="Times New Roman" w:hAnsi="Times New Roman"/>
          <w:sz w:val="24"/>
        </w:rPr>
      </w:pPr>
      <w:r w:rsidRPr="00A61946">
        <w:rPr>
          <w:rFonts w:ascii="Times New Roman" w:hAnsi="Times New Roman"/>
          <w:sz w:val="24"/>
          <w:szCs w:val="24"/>
        </w:rPr>
        <w:t>*Not all pack sizes may be marketed</w:t>
      </w:r>
      <w:r w:rsidRPr="00A61946">
        <w:rPr>
          <w:rFonts w:ascii="Times New Roman" w:hAnsi="Times New Roman"/>
          <w:sz w:val="24"/>
        </w:rPr>
        <w:t>.</w:t>
      </w:r>
    </w:p>
    <w:p w14:paraId="46DB6249" w14:textId="24F31886"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 xml:space="preserve">Protect from moisture.  </w:t>
      </w:r>
      <w:proofErr w:type="gramStart"/>
      <w:r w:rsidRPr="00A61946">
        <w:rPr>
          <w:rFonts w:ascii="Times New Roman" w:hAnsi="Times New Roman"/>
          <w:sz w:val="24"/>
          <w:szCs w:val="24"/>
          <w:lang w:val="en-AU"/>
        </w:rPr>
        <w:t>Store below 2</w:t>
      </w:r>
      <w:r w:rsidR="00902FE3">
        <w:rPr>
          <w:rFonts w:ascii="Times New Roman" w:hAnsi="Times New Roman"/>
          <w:sz w:val="24"/>
          <w:szCs w:val="24"/>
          <w:lang w:val="en-AU"/>
        </w:rPr>
        <w:t>5°C in the original container.</w:t>
      </w:r>
      <w:proofErr w:type="gramEnd"/>
    </w:p>
    <w:p w14:paraId="34771686" w14:textId="77777777" w:rsidR="00724837" w:rsidRPr="00A61946" w:rsidRDefault="00724837" w:rsidP="008F24E1">
      <w:pPr>
        <w:keepNext/>
        <w:autoSpaceDE w:val="0"/>
        <w:autoSpaceDN w:val="0"/>
        <w:spacing w:before="180" w:line="276" w:lineRule="auto"/>
        <w:rPr>
          <w:rFonts w:ascii="Times New Roman" w:hAnsi="Times New Roman"/>
          <w:sz w:val="24"/>
          <w:szCs w:val="24"/>
          <w:lang w:val="en-AU"/>
        </w:rPr>
      </w:pPr>
      <w:r w:rsidRPr="00A61946">
        <w:rPr>
          <w:rFonts w:ascii="Times New Roman" w:hAnsi="Times New Roman"/>
          <w:b/>
          <w:sz w:val="24"/>
          <w:szCs w:val="24"/>
          <w:lang w:val="en-AU"/>
        </w:rPr>
        <w:t>POISON SCHEDULE OF THE MEDICINE</w:t>
      </w:r>
    </w:p>
    <w:p w14:paraId="57A7DC55" w14:textId="77777777" w:rsidR="00724837" w:rsidRPr="00A61946" w:rsidRDefault="00724837" w:rsidP="008F24E1">
      <w:pPr>
        <w:autoSpaceDE w:val="0"/>
        <w:autoSpaceDN w:val="0"/>
        <w:spacing w:before="180" w:line="276" w:lineRule="auto"/>
        <w:rPr>
          <w:rFonts w:ascii="Times New Roman" w:hAnsi="Times New Roman"/>
          <w:sz w:val="24"/>
          <w:szCs w:val="24"/>
          <w:lang w:val="en-AU"/>
        </w:rPr>
      </w:pPr>
      <w:r w:rsidRPr="00A61946">
        <w:rPr>
          <w:rFonts w:ascii="Times New Roman" w:hAnsi="Times New Roman"/>
          <w:sz w:val="24"/>
          <w:szCs w:val="24"/>
          <w:lang w:val="en-AU"/>
        </w:rPr>
        <w:t>S4 (Prescription Only Medicine)</w:t>
      </w:r>
    </w:p>
    <w:p w14:paraId="271D19EB" w14:textId="77777777" w:rsidR="00724837" w:rsidRPr="00A61946" w:rsidRDefault="00724837" w:rsidP="00C678E0">
      <w:pPr>
        <w:keepNext/>
        <w:keepLines/>
        <w:autoSpaceDE w:val="0"/>
        <w:autoSpaceDN w:val="0"/>
        <w:spacing w:before="180" w:line="276" w:lineRule="auto"/>
        <w:rPr>
          <w:rFonts w:ascii="Times New Roman" w:hAnsi="Times New Roman"/>
          <w:sz w:val="24"/>
          <w:szCs w:val="24"/>
          <w:lang w:val="en-AU"/>
        </w:rPr>
      </w:pPr>
      <w:bookmarkStart w:id="1" w:name="_GoBack"/>
      <w:r w:rsidRPr="00A61946">
        <w:rPr>
          <w:rFonts w:ascii="Times New Roman" w:hAnsi="Times New Roman"/>
          <w:b/>
          <w:sz w:val="24"/>
          <w:szCs w:val="24"/>
          <w:lang w:val="en-AU"/>
        </w:rPr>
        <w:t>NAME AND ADDRESS OF THE SPONSOR</w:t>
      </w:r>
    </w:p>
    <w:p w14:paraId="22781667" w14:textId="77777777" w:rsidR="00724837" w:rsidRPr="00A61946" w:rsidRDefault="00724837" w:rsidP="00C678E0">
      <w:pPr>
        <w:keepNext/>
        <w:keepLines/>
        <w:autoSpaceDE w:val="0"/>
        <w:autoSpaceDN w:val="0"/>
        <w:spacing w:line="276" w:lineRule="auto"/>
        <w:rPr>
          <w:rFonts w:ascii="Times New Roman" w:hAnsi="Times New Roman"/>
          <w:sz w:val="24"/>
          <w:szCs w:val="24"/>
          <w:lang w:val="it-IT"/>
        </w:rPr>
      </w:pPr>
      <w:r w:rsidRPr="00A61946">
        <w:rPr>
          <w:rFonts w:ascii="Times New Roman" w:hAnsi="Times New Roman"/>
          <w:sz w:val="24"/>
          <w:szCs w:val="24"/>
          <w:lang w:val="it-IT"/>
        </w:rPr>
        <w:t xml:space="preserve">Merck </w:t>
      </w:r>
      <w:bookmarkEnd w:id="1"/>
      <w:r w:rsidRPr="00A61946">
        <w:rPr>
          <w:rFonts w:ascii="Times New Roman" w:hAnsi="Times New Roman"/>
          <w:sz w:val="24"/>
          <w:szCs w:val="24"/>
          <w:lang w:val="it-IT"/>
        </w:rPr>
        <w:t>Serono Australia Pty Ltd</w:t>
      </w:r>
    </w:p>
    <w:p w14:paraId="74003293" w14:textId="77777777" w:rsidR="00724837" w:rsidRPr="00A61946" w:rsidRDefault="00724837" w:rsidP="008F24E1">
      <w:pPr>
        <w:autoSpaceDE w:val="0"/>
        <w:autoSpaceDN w:val="0"/>
        <w:spacing w:line="276" w:lineRule="auto"/>
        <w:rPr>
          <w:rFonts w:ascii="Times New Roman" w:hAnsi="Times New Roman"/>
          <w:sz w:val="24"/>
          <w:szCs w:val="24"/>
          <w:lang w:val="en-AU"/>
        </w:rPr>
      </w:pPr>
      <w:r w:rsidRPr="00A61946">
        <w:rPr>
          <w:rFonts w:ascii="Times New Roman" w:hAnsi="Times New Roman"/>
          <w:sz w:val="24"/>
          <w:szCs w:val="24"/>
          <w:lang w:val="en-AU"/>
        </w:rPr>
        <w:t>Units 3-4, 25 Frenchs Forest Road East</w:t>
      </w:r>
    </w:p>
    <w:p w14:paraId="46A12458" w14:textId="77777777" w:rsidR="00724837" w:rsidRPr="00A61946" w:rsidRDefault="00724837" w:rsidP="008F24E1">
      <w:pPr>
        <w:autoSpaceDE w:val="0"/>
        <w:autoSpaceDN w:val="0"/>
        <w:spacing w:line="276" w:lineRule="auto"/>
        <w:rPr>
          <w:rFonts w:ascii="Times New Roman" w:hAnsi="Times New Roman"/>
          <w:sz w:val="24"/>
          <w:szCs w:val="24"/>
          <w:lang w:val="en-AU"/>
        </w:rPr>
      </w:pPr>
      <w:r w:rsidRPr="00A61946">
        <w:rPr>
          <w:rFonts w:ascii="Times New Roman" w:hAnsi="Times New Roman"/>
          <w:sz w:val="24"/>
          <w:szCs w:val="24"/>
          <w:lang w:val="en-AU"/>
        </w:rPr>
        <w:t xml:space="preserve">Frenchs </w:t>
      </w:r>
      <w:smartTag w:uri="urn:schemas-microsoft-com:office:smarttags" w:element="PlaceType">
        <w:r w:rsidRPr="00A61946">
          <w:rPr>
            <w:rFonts w:ascii="Times New Roman" w:hAnsi="Times New Roman"/>
            <w:sz w:val="24"/>
            <w:szCs w:val="24"/>
            <w:lang w:val="en-AU"/>
          </w:rPr>
          <w:t>Forest</w:t>
        </w:r>
      </w:smartTag>
      <w:r w:rsidRPr="00A61946">
        <w:rPr>
          <w:rFonts w:ascii="Times New Roman" w:hAnsi="Times New Roman"/>
          <w:sz w:val="24"/>
          <w:szCs w:val="24"/>
          <w:lang w:val="en-AU"/>
        </w:rPr>
        <w:t xml:space="preserve"> NSW 2086</w:t>
      </w:r>
    </w:p>
    <w:p w14:paraId="6E0E6BB8" w14:textId="77777777" w:rsidR="00C14BEA" w:rsidRDefault="00C14BEA" w:rsidP="008F24E1">
      <w:pPr>
        <w:autoSpaceDE w:val="0"/>
        <w:autoSpaceDN w:val="0"/>
        <w:spacing w:line="276" w:lineRule="auto"/>
        <w:rPr>
          <w:rFonts w:ascii="Times New Roman" w:hAnsi="Times New Roman"/>
          <w:b/>
          <w:sz w:val="24"/>
          <w:lang w:val="en-AU"/>
        </w:rPr>
      </w:pPr>
    </w:p>
    <w:p w14:paraId="619EAB84" w14:textId="77777777" w:rsidR="00724837" w:rsidRPr="00A61946" w:rsidRDefault="00724837" w:rsidP="008F24E1">
      <w:pPr>
        <w:autoSpaceDE w:val="0"/>
        <w:autoSpaceDN w:val="0"/>
        <w:spacing w:line="276" w:lineRule="auto"/>
        <w:rPr>
          <w:rFonts w:ascii="Times New Roman" w:hAnsi="Times New Roman"/>
          <w:sz w:val="24"/>
          <w:lang w:val="en-AU"/>
        </w:rPr>
      </w:pPr>
      <w:r w:rsidRPr="00A61946">
        <w:rPr>
          <w:rFonts w:ascii="Times New Roman" w:hAnsi="Times New Roman"/>
          <w:b/>
          <w:sz w:val="24"/>
          <w:lang w:val="en-AU"/>
        </w:rPr>
        <w:t xml:space="preserve">DATE OF </w:t>
      </w:r>
      <w:r w:rsidRPr="00A61946">
        <w:rPr>
          <w:rFonts w:ascii="Times New Roman" w:hAnsi="Times New Roman"/>
          <w:b/>
          <w:sz w:val="24"/>
          <w:szCs w:val="24"/>
          <w:lang w:val="en-AU"/>
        </w:rPr>
        <w:t>FIRST INCLUSION IN THE ARTG:</w:t>
      </w:r>
      <w:r w:rsidRPr="00A61946">
        <w:rPr>
          <w:rFonts w:ascii="Times New Roman" w:hAnsi="Times New Roman"/>
          <w:sz w:val="24"/>
          <w:szCs w:val="24"/>
          <w:lang w:val="en-AU"/>
        </w:rPr>
        <w:t xml:space="preserve"> 9 September 2010</w:t>
      </w:r>
    </w:p>
    <w:p w14:paraId="1F26E356" w14:textId="77777777" w:rsidR="00724837" w:rsidRPr="00A61946" w:rsidRDefault="00724837" w:rsidP="008F24E1">
      <w:pPr>
        <w:autoSpaceDE w:val="0"/>
        <w:autoSpaceDN w:val="0"/>
        <w:spacing w:line="276" w:lineRule="auto"/>
        <w:rPr>
          <w:rFonts w:ascii="Times New Roman" w:hAnsi="Times New Roman"/>
          <w:sz w:val="24"/>
          <w:szCs w:val="24"/>
          <w:lang w:val="en-AU"/>
        </w:rPr>
      </w:pPr>
    </w:p>
    <w:p w14:paraId="6D140E0F" w14:textId="7191F3A7" w:rsidR="00847197" w:rsidRDefault="00724837" w:rsidP="00C14BEA">
      <w:pPr>
        <w:autoSpaceDE w:val="0"/>
        <w:autoSpaceDN w:val="0"/>
        <w:spacing w:line="276" w:lineRule="auto"/>
        <w:rPr>
          <w:rFonts w:ascii="Times New Roman" w:hAnsi="Times New Roman"/>
          <w:sz w:val="24"/>
          <w:szCs w:val="24"/>
          <w:lang w:val="en-AU"/>
        </w:rPr>
      </w:pPr>
      <w:r w:rsidRPr="00A61946">
        <w:rPr>
          <w:rFonts w:ascii="Times New Roman" w:hAnsi="Times New Roman"/>
          <w:b/>
          <w:sz w:val="24"/>
          <w:szCs w:val="24"/>
          <w:lang w:val="en-AU"/>
        </w:rPr>
        <w:t>DATE OF MOST RECENT AMENDMENT:</w:t>
      </w:r>
      <w:r w:rsidRPr="00A61946">
        <w:rPr>
          <w:rFonts w:ascii="Times New Roman" w:hAnsi="Times New Roman"/>
          <w:sz w:val="24"/>
          <w:szCs w:val="24"/>
          <w:lang w:val="en-AU"/>
        </w:rPr>
        <w:t xml:space="preserve"> </w:t>
      </w:r>
      <w:r w:rsidR="00EE3901">
        <w:rPr>
          <w:rFonts w:ascii="Times New Roman" w:hAnsi="Times New Roman"/>
          <w:sz w:val="24"/>
          <w:szCs w:val="24"/>
          <w:lang w:val="en-AU"/>
        </w:rPr>
        <w:t>5 December 2017</w:t>
      </w:r>
    </w:p>
    <w:sectPr w:rsidR="00847197" w:rsidSect="00724837">
      <w:headerReference w:type="default" r:id="rId11"/>
      <w:footerReference w:type="default" r:id="rId12"/>
      <w:footerReference w:type="first" r:id="rId13"/>
      <w:pgSz w:w="11907" w:h="16840" w:code="9"/>
      <w:pgMar w:top="1134" w:right="1135" w:bottom="1134" w:left="1135" w:header="567" w:footer="176"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E343CE" w14:textId="77777777" w:rsidR="009A4818" w:rsidRDefault="009A4818">
      <w:r>
        <w:separator/>
      </w:r>
    </w:p>
  </w:endnote>
  <w:endnote w:type="continuationSeparator" w:id="0">
    <w:p w14:paraId="53086877" w14:textId="77777777" w:rsidR="009A4818" w:rsidRDefault="009A4818">
      <w:r>
        <w:continuationSeparator/>
      </w:r>
    </w:p>
  </w:endnote>
  <w:endnote w:type="continuationNotice" w:id="1">
    <w:p w14:paraId="0442A02D" w14:textId="77777777" w:rsidR="009A4818" w:rsidRDefault="009A4818" w:rsidP="00BF64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A9B85" w14:textId="77777777" w:rsidR="009A4818" w:rsidRDefault="009A4818" w:rsidP="006F0B8C">
    <w:pPr>
      <w:pStyle w:val="Header"/>
    </w:pPr>
  </w:p>
  <w:p w14:paraId="557B407D" w14:textId="27F31D28" w:rsidR="009A4818" w:rsidRPr="002B1F5E" w:rsidRDefault="009A4818" w:rsidP="006F0B8C">
    <w:pPr>
      <w:pStyle w:val="Footer"/>
      <w:pBdr>
        <w:top w:val="single" w:sz="4" w:space="3" w:color="auto"/>
      </w:pBdr>
      <w:tabs>
        <w:tab w:val="clear" w:pos="4153"/>
        <w:tab w:val="clear" w:pos="8306"/>
        <w:tab w:val="center" w:pos="4560"/>
        <w:tab w:val="right" w:pos="9000"/>
      </w:tabs>
      <w:rPr>
        <w:rFonts w:ascii="Times New Roman" w:hAnsi="Times New Roman"/>
        <w:sz w:val="20"/>
        <w:szCs w:val="20"/>
        <w:lang w:val="en-AU"/>
      </w:rPr>
    </w:pPr>
    <w:r>
      <w:rPr>
        <w:rFonts w:ascii="Times New Roman" w:hAnsi="Times New Roman"/>
        <w:sz w:val="20"/>
        <w:szCs w:val="20"/>
        <w:lang w:val="en-AU"/>
      </w:rPr>
      <w:t xml:space="preserve">Version: </w:t>
    </w:r>
    <w:r w:rsidR="00EE3901">
      <w:rPr>
        <w:rFonts w:ascii="Times New Roman" w:hAnsi="Times New Roman"/>
        <w:sz w:val="20"/>
        <w:szCs w:val="20"/>
        <w:lang w:val="en-AU"/>
      </w:rPr>
      <w:t>A006</w:t>
    </w:r>
    <w:r>
      <w:rPr>
        <w:rFonts w:ascii="Times New Roman" w:hAnsi="Times New Roman"/>
        <w:sz w:val="20"/>
        <w:szCs w:val="20"/>
        <w:lang w:val="en-AU"/>
      </w:rPr>
      <w:t>-1</w:t>
    </w:r>
    <w:r w:rsidR="0035629B">
      <w:rPr>
        <w:rFonts w:ascii="Times New Roman" w:hAnsi="Times New Roman"/>
        <w:sz w:val="20"/>
        <w:szCs w:val="20"/>
        <w:lang w:val="en-AU"/>
      </w:rPr>
      <w:t>2</w:t>
    </w:r>
    <w:r>
      <w:rPr>
        <w:rFonts w:ascii="Times New Roman" w:hAnsi="Times New Roman"/>
        <w:sz w:val="20"/>
        <w:szCs w:val="20"/>
        <w:lang w:val="en-AU"/>
      </w:rPr>
      <w:t>17</w:t>
    </w:r>
    <w:r w:rsidRPr="002B1F5E">
      <w:rPr>
        <w:rFonts w:ascii="Times New Roman" w:hAnsi="Times New Roman"/>
        <w:sz w:val="20"/>
        <w:szCs w:val="20"/>
        <w:lang w:val="en-AU"/>
      </w:rPr>
      <w:tab/>
      <w:t xml:space="preserve">Page </w:t>
    </w:r>
    <w:r w:rsidRPr="002B1F5E">
      <w:rPr>
        <w:rStyle w:val="PageNumber"/>
        <w:rFonts w:ascii="Times New Roman" w:hAnsi="Times New Roman"/>
        <w:sz w:val="20"/>
        <w:szCs w:val="20"/>
      </w:rPr>
      <w:fldChar w:fldCharType="begin"/>
    </w:r>
    <w:r w:rsidRPr="002B1F5E">
      <w:rPr>
        <w:rStyle w:val="PageNumber"/>
        <w:rFonts w:ascii="Times New Roman" w:hAnsi="Times New Roman"/>
        <w:sz w:val="20"/>
        <w:szCs w:val="20"/>
      </w:rPr>
      <w:instrText xml:space="preserve"> PAGE </w:instrText>
    </w:r>
    <w:r w:rsidRPr="002B1F5E">
      <w:rPr>
        <w:rStyle w:val="PageNumber"/>
        <w:rFonts w:ascii="Times New Roman" w:hAnsi="Times New Roman"/>
        <w:sz w:val="20"/>
        <w:szCs w:val="20"/>
      </w:rPr>
      <w:fldChar w:fldCharType="separate"/>
    </w:r>
    <w:r w:rsidR="00C678E0">
      <w:rPr>
        <w:rStyle w:val="PageNumber"/>
        <w:rFonts w:ascii="Times New Roman" w:hAnsi="Times New Roman"/>
        <w:noProof/>
        <w:sz w:val="20"/>
        <w:szCs w:val="20"/>
      </w:rPr>
      <w:t>1</w:t>
    </w:r>
    <w:r w:rsidRPr="002B1F5E">
      <w:rPr>
        <w:rStyle w:val="PageNumber"/>
        <w:rFonts w:ascii="Times New Roman" w:hAnsi="Times New Roman"/>
        <w:sz w:val="20"/>
        <w:szCs w:val="20"/>
      </w:rPr>
      <w:fldChar w:fldCharType="end"/>
    </w:r>
    <w:r w:rsidRPr="002B1F5E">
      <w:rPr>
        <w:rStyle w:val="PageNumber"/>
        <w:rFonts w:ascii="Times New Roman" w:hAnsi="Times New Roman"/>
        <w:sz w:val="20"/>
        <w:szCs w:val="20"/>
      </w:rPr>
      <w:t xml:space="preserve"> of </w:t>
    </w:r>
    <w:r w:rsidRPr="002B1F5E">
      <w:rPr>
        <w:rStyle w:val="PageNumber"/>
        <w:rFonts w:ascii="Times New Roman" w:hAnsi="Times New Roman"/>
        <w:sz w:val="20"/>
        <w:szCs w:val="20"/>
      </w:rPr>
      <w:fldChar w:fldCharType="begin"/>
    </w:r>
    <w:r w:rsidRPr="002B1F5E">
      <w:rPr>
        <w:rStyle w:val="PageNumber"/>
        <w:rFonts w:ascii="Times New Roman" w:hAnsi="Times New Roman"/>
        <w:sz w:val="20"/>
        <w:szCs w:val="20"/>
      </w:rPr>
      <w:instrText xml:space="preserve"> NUMPAGES </w:instrText>
    </w:r>
    <w:r w:rsidRPr="002B1F5E">
      <w:rPr>
        <w:rStyle w:val="PageNumber"/>
        <w:rFonts w:ascii="Times New Roman" w:hAnsi="Times New Roman"/>
        <w:sz w:val="20"/>
        <w:szCs w:val="20"/>
      </w:rPr>
      <w:fldChar w:fldCharType="separate"/>
    </w:r>
    <w:r w:rsidR="00C678E0">
      <w:rPr>
        <w:rStyle w:val="PageNumber"/>
        <w:rFonts w:ascii="Times New Roman" w:hAnsi="Times New Roman"/>
        <w:noProof/>
        <w:sz w:val="20"/>
        <w:szCs w:val="20"/>
      </w:rPr>
      <w:t>21</w:t>
    </w:r>
    <w:r w:rsidRPr="002B1F5E">
      <w:rPr>
        <w:rStyle w:val="PageNumber"/>
        <w:rFonts w:ascii="Times New Roman" w:hAnsi="Times New Roman"/>
        <w:sz w:val="20"/>
        <w:szCs w:val="20"/>
      </w:rPr>
      <w:fldChar w:fldCharType="end"/>
    </w:r>
    <w:r>
      <w:rPr>
        <w:rStyle w:val="PageNumber"/>
        <w:rFonts w:ascii="Times New Roman" w:hAnsi="Times New Roman"/>
        <w:sz w:val="20"/>
        <w:szCs w:val="20"/>
      </w:rPr>
      <w:tab/>
      <w:t xml:space="preserve">Supersedes: </w:t>
    </w:r>
    <w:r w:rsidR="00EE3901">
      <w:rPr>
        <w:rStyle w:val="PageNumber"/>
        <w:rFonts w:ascii="Times New Roman" w:hAnsi="Times New Roman"/>
        <w:sz w:val="20"/>
        <w:szCs w:val="20"/>
      </w:rPr>
      <w:t>A</w:t>
    </w:r>
    <w:r>
      <w:rPr>
        <w:rFonts w:ascii="Times New Roman" w:hAnsi="Times New Roman"/>
        <w:sz w:val="20"/>
        <w:szCs w:val="20"/>
        <w:lang w:val="en-AU"/>
      </w:rPr>
      <w:t>00</w:t>
    </w:r>
    <w:r w:rsidR="00EE3901">
      <w:rPr>
        <w:rFonts w:ascii="Times New Roman" w:hAnsi="Times New Roman"/>
        <w:sz w:val="20"/>
        <w:szCs w:val="20"/>
        <w:lang w:val="en-AU"/>
      </w:rPr>
      <w:t>5</w:t>
    </w:r>
    <w:r>
      <w:rPr>
        <w:rFonts w:ascii="Times New Roman" w:hAnsi="Times New Roman"/>
        <w:sz w:val="20"/>
        <w:szCs w:val="20"/>
        <w:lang w:val="en-AU"/>
      </w:rPr>
      <w:t>-0</w:t>
    </w:r>
    <w:r w:rsidR="00EE3901">
      <w:rPr>
        <w:rFonts w:ascii="Times New Roman" w:hAnsi="Times New Roman"/>
        <w:sz w:val="20"/>
        <w:szCs w:val="20"/>
        <w:lang w:val="en-AU"/>
      </w:rPr>
      <w:t>7</w:t>
    </w:r>
    <w:r>
      <w:rPr>
        <w:rFonts w:ascii="Times New Roman" w:hAnsi="Times New Roman"/>
        <w:sz w:val="20"/>
        <w:szCs w:val="20"/>
        <w:lang w:val="en-AU"/>
      </w:rPr>
      <w:t>17</w:t>
    </w:r>
  </w:p>
  <w:p w14:paraId="19C39D33" w14:textId="79AF9CAD" w:rsidR="009A4818" w:rsidRPr="006F0B8C" w:rsidRDefault="009A4818" w:rsidP="006F0B8C">
    <w:pPr>
      <w:pStyle w:val="Footer"/>
      <w:rPr>
        <w:lang w:val="en-A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ABBC3" w14:textId="1B85CBA9" w:rsidR="009A4818" w:rsidRPr="009C71C0" w:rsidRDefault="009A4818" w:rsidP="009C71C0">
    <w:pPr>
      <w:pStyle w:val="Footer"/>
      <w:pBdr>
        <w:top w:val="single" w:sz="4" w:space="3" w:color="auto"/>
      </w:pBdr>
      <w:tabs>
        <w:tab w:val="clear" w:pos="8306"/>
        <w:tab w:val="right" w:pos="8760"/>
      </w:tabs>
      <w:rPr>
        <w:rFonts w:ascii="Times New Roman" w:hAnsi="Times New Roman"/>
        <w:sz w:val="20"/>
        <w:szCs w:val="20"/>
        <w:lang w:val="en-AU"/>
      </w:rPr>
    </w:pPr>
    <w:r>
      <w:rPr>
        <w:rFonts w:ascii="Times New Roman" w:hAnsi="Times New Roman"/>
        <w:sz w:val="20"/>
        <w:szCs w:val="20"/>
        <w:lang w:val="en-AU"/>
      </w:rPr>
      <w:t>Version: D006-0810</w:t>
    </w:r>
    <w:r w:rsidRPr="002B1F5E">
      <w:rPr>
        <w:rFonts w:ascii="Times New Roman" w:hAnsi="Times New Roman"/>
        <w:sz w:val="20"/>
        <w:szCs w:val="20"/>
        <w:lang w:val="en-AU"/>
      </w:rPr>
      <w:tab/>
      <w:t xml:space="preserve">Page </w:t>
    </w:r>
    <w:r w:rsidRPr="002B1F5E">
      <w:rPr>
        <w:rStyle w:val="PageNumber"/>
        <w:rFonts w:ascii="Times New Roman" w:hAnsi="Times New Roman"/>
        <w:sz w:val="20"/>
        <w:szCs w:val="20"/>
      </w:rPr>
      <w:fldChar w:fldCharType="begin"/>
    </w:r>
    <w:r w:rsidRPr="002B1F5E">
      <w:rPr>
        <w:rStyle w:val="PageNumber"/>
        <w:rFonts w:ascii="Times New Roman" w:hAnsi="Times New Roman"/>
        <w:sz w:val="20"/>
        <w:szCs w:val="20"/>
      </w:rPr>
      <w:instrText xml:space="preserve"> PAGE </w:instrText>
    </w:r>
    <w:r w:rsidRPr="002B1F5E">
      <w:rPr>
        <w:rStyle w:val="PageNumber"/>
        <w:rFonts w:ascii="Times New Roman" w:hAnsi="Times New Roman"/>
        <w:sz w:val="20"/>
        <w:szCs w:val="20"/>
      </w:rPr>
      <w:fldChar w:fldCharType="separate"/>
    </w:r>
    <w:r>
      <w:rPr>
        <w:rStyle w:val="PageNumber"/>
        <w:rFonts w:ascii="Times New Roman" w:hAnsi="Times New Roman"/>
        <w:noProof/>
        <w:sz w:val="20"/>
        <w:szCs w:val="20"/>
      </w:rPr>
      <w:t>36</w:t>
    </w:r>
    <w:r w:rsidRPr="002B1F5E">
      <w:rPr>
        <w:rStyle w:val="PageNumber"/>
        <w:rFonts w:ascii="Times New Roman" w:hAnsi="Times New Roman"/>
        <w:sz w:val="20"/>
        <w:szCs w:val="20"/>
      </w:rPr>
      <w:fldChar w:fldCharType="end"/>
    </w:r>
    <w:r w:rsidRPr="002B1F5E">
      <w:rPr>
        <w:rStyle w:val="PageNumber"/>
        <w:rFonts w:ascii="Times New Roman" w:hAnsi="Times New Roman"/>
        <w:sz w:val="20"/>
        <w:szCs w:val="20"/>
      </w:rPr>
      <w:t xml:space="preserve"> of </w:t>
    </w:r>
    <w:r w:rsidRPr="002B1F5E">
      <w:rPr>
        <w:rStyle w:val="PageNumber"/>
        <w:rFonts w:ascii="Times New Roman" w:hAnsi="Times New Roman"/>
        <w:sz w:val="20"/>
        <w:szCs w:val="20"/>
      </w:rPr>
      <w:fldChar w:fldCharType="begin"/>
    </w:r>
    <w:r w:rsidRPr="002B1F5E">
      <w:rPr>
        <w:rStyle w:val="PageNumber"/>
        <w:rFonts w:ascii="Times New Roman" w:hAnsi="Times New Roman"/>
        <w:sz w:val="20"/>
        <w:szCs w:val="20"/>
      </w:rPr>
      <w:instrText xml:space="preserve"> NUMPAGES </w:instrText>
    </w:r>
    <w:r w:rsidRPr="002B1F5E">
      <w:rPr>
        <w:rStyle w:val="PageNumber"/>
        <w:rFonts w:ascii="Times New Roman" w:hAnsi="Times New Roman"/>
        <w:sz w:val="20"/>
        <w:szCs w:val="20"/>
      </w:rPr>
      <w:fldChar w:fldCharType="separate"/>
    </w:r>
    <w:r>
      <w:rPr>
        <w:rStyle w:val="PageNumber"/>
        <w:rFonts w:ascii="Times New Roman" w:hAnsi="Times New Roman"/>
        <w:noProof/>
        <w:sz w:val="20"/>
        <w:szCs w:val="20"/>
      </w:rPr>
      <w:t>1</w:t>
    </w:r>
    <w:r w:rsidRPr="002B1F5E">
      <w:rPr>
        <w:rStyle w:val="PageNumber"/>
        <w:rFonts w:ascii="Times New Roman" w:hAnsi="Times New Roman"/>
        <w:sz w:val="20"/>
        <w:szCs w:val="20"/>
      </w:rPr>
      <w:fldChar w:fldCharType="end"/>
    </w:r>
    <w:r>
      <w:rPr>
        <w:rStyle w:val="PageNumber"/>
        <w:rFonts w:ascii="Times New Roman" w:hAnsi="Times New Roman"/>
        <w:sz w:val="20"/>
        <w:szCs w:val="20"/>
      </w:rPr>
      <w:tab/>
      <w:t xml:space="preserve">Supersedes: </w:t>
    </w:r>
    <w:r>
      <w:rPr>
        <w:rFonts w:ascii="Times New Roman" w:hAnsi="Times New Roman"/>
        <w:sz w:val="20"/>
        <w:szCs w:val="20"/>
        <w:lang w:val="en-AU"/>
      </w:rPr>
      <w:t>D005-0710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CEE80" w14:textId="77777777" w:rsidR="009A4818" w:rsidRDefault="009A4818">
      <w:r>
        <w:separator/>
      </w:r>
    </w:p>
  </w:footnote>
  <w:footnote w:type="continuationSeparator" w:id="0">
    <w:p w14:paraId="203C9C1B" w14:textId="77777777" w:rsidR="009A4818" w:rsidRDefault="009A4818">
      <w:r>
        <w:continuationSeparator/>
      </w:r>
    </w:p>
  </w:footnote>
  <w:footnote w:type="continuationNotice" w:id="1">
    <w:p w14:paraId="63433368" w14:textId="77777777" w:rsidR="009A4818" w:rsidRDefault="009A4818" w:rsidP="00BF641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C678E0" w14:paraId="489EB892" w14:textId="77777777" w:rsidTr="006A19A0">
      <w:tc>
        <w:tcPr>
          <w:tcW w:w="8720" w:type="dxa"/>
          <w:shd w:val="clear" w:color="auto" w:fill="E4F2E0"/>
        </w:tcPr>
        <w:p w14:paraId="2C3D597C" w14:textId="68A7D739" w:rsidR="00C678E0" w:rsidRPr="00C678E0" w:rsidRDefault="00C678E0" w:rsidP="00C678E0">
          <w:pPr>
            <w:spacing w:before="40" w:after="40" w:line="240" w:lineRule="auto"/>
            <w:rPr>
              <w:rFonts w:ascii="Cambria" w:hAnsi="Cambria"/>
              <w:b/>
              <w:sz w:val="20"/>
              <w:szCs w:val="20"/>
            </w:rPr>
          </w:pPr>
          <w:r w:rsidRPr="00C678E0">
            <w:rPr>
              <w:rFonts w:ascii="Cambria" w:hAnsi="Cambria"/>
              <w:b/>
              <w:sz w:val="20"/>
              <w:szCs w:val="20"/>
            </w:rPr>
            <w:t xml:space="preserve">Attachment 1: Product information for </w:t>
          </w:r>
          <w:proofErr w:type="spellStart"/>
          <w:r w:rsidRPr="00C678E0">
            <w:rPr>
              <w:rFonts w:ascii="Cambria" w:hAnsi="Cambria"/>
              <w:b/>
              <w:sz w:val="20"/>
              <w:szCs w:val="20"/>
            </w:rPr>
            <w:t>AusPAR</w:t>
          </w:r>
          <w:proofErr w:type="spellEnd"/>
          <w:r w:rsidRPr="00C678E0">
            <w:rPr>
              <w:rFonts w:ascii="Cambria" w:hAnsi="Cambria"/>
              <w:b/>
              <w:sz w:val="20"/>
              <w:szCs w:val="20"/>
            </w:rPr>
            <w:t xml:space="preserve"> </w:t>
          </w:r>
          <w:proofErr w:type="spellStart"/>
          <w:r w:rsidRPr="00C678E0">
            <w:rPr>
              <w:rFonts w:ascii="Cambria" w:hAnsi="Cambria"/>
              <w:b/>
              <w:sz w:val="20"/>
              <w:szCs w:val="20"/>
            </w:rPr>
            <w:t>Mavenclad</w:t>
          </w:r>
          <w:proofErr w:type="spellEnd"/>
          <w:r w:rsidRPr="00C678E0">
            <w:rPr>
              <w:rFonts w:ascii="Cambria" w:hAnsi="Cambria"/>
              <w:b/>
              <w:sz w:val="20"/>
              <w:szCs w:val="20"/>
            </w:rPr>
            <w:t xml:space="preserve"> </w:t>
          </w:r>
          <w:proofErr w:type="spellStart"/>
          <w:r w:rsidRPr="00C678E0">
            <w:rPr>
              <w:rFonts w:ascii="Cambria" w:hAnsi="Cambria"/>
              <w:b/>
              <w:sz w:val="20"/>
              <w:szCs w:val="20"/>
            </w:rPr>
            <w:t>Cladribine</w:t>
          </w:r>
          <w:proofErr w:type="spellEnd"/>
          <w:r w:rsidRPr="00C678E0">
            <w:rPr>
              <w:rFonts w:ascii="Cambria" w:hAnsi="Cambria"/>
              <w:b/>
              <w:sz w:val="20"/>
              <w:szCs w:val="20"/>
            </w:rPr>
            <w:t xml:space="preserve"> Merck </w:t>
          </w:r>
          <w:proofErr w:type="spellStart"/>
          <w:r w:rsidRPr="00C678E0">
            <w:rPr>
              <w:rFonts w:ascii="Cambria" w:hAnsi="Cambria"/>
              <w:b/>
              <w:sz w:val="20"/>
              <w:szCs w:val="20"/>
            </w:rPr>
            <w:t>Serono</w:t>
          </w:r>
          <w:proofErr w:type="spellEnd"/>
          <w:r w:rsidRPr="00C678E0">
            <w:rPr>
              <w:rFonts w:ascii="Cambria" w:hAnsi="Cambria"/>
              <w:b/>
              <w:sz w:val="20"/>
              <w:szCs w:val="20"/>
            </w:rPr>
            <w:t xml:space="preserve"> Australia Pty Ltd PM-2016-03923-1-1</w:t>
          </w:r>
          <w:r>
            <w:rPr>
              <w:rFonts w:ascii="Cambria" w:hAnsi="Cambria"/>
              <w:b/>
              <w:sz w:val="20"/>
              <w:szCs w:val="20"/>
            </w:rPr>
            <w:t xml:space="preserve"> </w:t>
          </w:r>
          <w:r w:rsidRPr="00C678E0">
            <w:rPr>
              <w:rFonts w:ascii="Cambria" w:hAnsi="Cambria"/>
              <w:b/>
              <w:sz w:val="20"/>
              <w:szCs w:val="20"/>
            </w:rPr>
            <w:t xml:space="preserve">Final 25 June 2018. This Product Information was approved at the time this </w:t>
          </w:r>
          <w:proofErr w:type="spellStart"/>
          <w:r w:rsidRPr="00C678E0">
            <w:rPr>
              <w:rFonts w:ascii="Cambria" w:hAnsi="Cambria"/>
              <w:b/>
              <w:sz w:val="20"/>
              <w:szCs w:val="20"/>
            </w:rPr>
            <w:t>AusPAR</w:t>
          </w:r>
          <w:proofErr w:type="spellEnd"/>
          <w:r w:rsidRPr="00C678E0">
            <w:rPr>
              <w:rFonts w:ascii="Cambria" w:hAnsi="Cambria"/>
              <w:b/>
              <w:sz w:val="20"/>
              <w:szCs w:val="20"/>
            </w:rPr>
            <w:t xml:space="preserve"> was published.</w:t>
          </w:r>
        </w:p>
      </w:tc>
    </w:tr>
  </w:tbl>
  <w:p w14:paraId="255DC22C" w14:textId="77777777" w:rsidR="00C678E0" w:rsidRDefault="00C678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3ABF"/>
    <w:multiLevelType w:val="hybridMultilevel"/>
    <w:tmpl w:val="FF90CE2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nsid w:val="19852F33"/>
    <w:multiLevelType w:val="hybridMultilevel"/>
    <w:tmpl w:val="EF1CC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FD26619"/>
    <w:multiLevelType w:val="hybridMultilevel"/>
    <w:tmpl w:val="4A447E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9553599"/>
    <w:multiLevelType w:val="hybridMultilevel"/>
    <w:tmpl w:val="F4087E10"/>
    <w:lvl w:ilvl="0" w:tplc="E2CA230E">
      <w:start w:val="1"/>
      <w:numFmt w:val="bullet"/>
      <w:lvlText w:val=""/>
      <w:lvlJc w:val="left"/>
      <w:pPr>
        <w:tabs>
          <w:tab w:val="num" w:pos="270"/>
        </w:tabs>
        <w:ind w:left="270" w:hanging="567"/>
      </w:pPr>
      <w:rPr>
        <w:rFonts w:ascii="Symbol" w:hAnsi="Symbol" w:hint="default"/>
      </w:rPr>
    </w:lvl>
    <w:lvl w:ilvl="1" w:tplc="04070003" w:tentative="1">
      <w:start w:val="1"/>
      <w:numFmt w:val="bullet"/>
      <w:lvlText w:val="o"/>
      <w:lvlJc w:val="left"/>
      <w:pPr>
        <w:tabs>
          <w:tab w:val="num" w:pos="1143"/>
        </w:tabs>
        <w:ind w:left="1143" w:hanging="360"/>
      </w:pPr>
      <w:rPr>
        <w:rFonts w:ascii="Courier New" w:hAnsi="Courier New" w:cs="Courier New" w:hint="default"/>
      </w:rPr>
    </w:lvl>
    <w:lvl w:ilvl="2" w:tplc="04070005" w:tentative="1">
      <w:start w:val="1"/>
      <w:numFmt w:val="bullet"/>
      <w:lvlText w:val=""/>
      <w:lvlJc w:val="left"/>
      <w:pPr>
        <w:tabs>
          <w:tab w:val="num" w:pos="1863"/>
        </w:tabs>
        <w:ind w:left="1863" w:hanging="360"/>
      </w:pPr>
      <w:rPr>
        <w:rFonts w:ascii="Wingdings" w:hAnsi="Wingdings" w:hint="default"/>
      </w:rPr>
    </w:lvl>
    <w:lvl w:ilvl="3" w:tplc="04070001" w:tentative="1">
      <w:start w:val="1"/>
      <w:numFmt w:val="bullet"/>
      <w:lvlText w:val=""/>
      <w:lvlJc w:val="left"/>
      <w:pPr>
        <w:tabs>
          <w:tab w:val="num" w:pos="2583"/>
        </w:tabs>
        <w:ind w:left="2583" w:hanging="360"/>
      </w:pPr>
      <w:rPr>
        <w:rFonts w:ascii="Symbol" w:hAnsi="Symbol" w:hint="default"/>
      </w:rPr>
    </w:lvl>
    <w:lvl w:ilvl="4" w:tplc="04070003" w:tentative="1">
      <w:start w:val="1"/>
      <w:numFmt w:val="bullet"/>
      <w:lvlText w:val="o"/>
      <w:lvlJc w:val="left"/>
      <w:pPr>
        <w:tabs>
          <w:tab w:val="num" w:pos="3303"/>
        </w:tabs>
        <w:ind w:left="3303" w:hanging="360"/>
      </w:pPr>
      <w:rPr>
        <w:rFonts w:ascii="Courier New" w:hAnsi="Courier New" w:cs="Courier New" w:hint="default"/>
      </w:rPr>
    </w:lvl>
    <w:lvl w:ilvl="5" w:tplc="04070005" w:tentative="1">
      <w:start w:val="1"/>
      <w:numFmt w:val="bullet"/>
      <w:lvlText w:val=""/>
      <w:lvlJc w:val="left"/>
      <w:pPr>
        <w:tabs>
          <w:tab w:val="num" w:pos="4023"/>
        </w:tabs>
        <w:ind w:left="4023" w:hanging="360"/>
      </w:pPr>
      <w:rPr>
        <w:rFonts w:ascii="Wingdings" w:hAnsi="Wingdings" w:hint="default"/>
      </w:rPr>
    </w:lvl>
    <w:lvl w:ilvl="6" w:tplc="04070001" w:tentative="1">
      <w:start w:val="1"/>
      <w:numFmt w:val="bullet"/>
      <w:lvlText w:val=""/>
      <w:lvlJc w:val="left"/>
      <w:pPr>
        <w:tabs>
          <w:tab w:val="num" w:pos="4743"/>
        </w:tabs>
        <w:ind w:left="4743" w:hanging="360"/>
      </w:pPr>
      <w:rPr>
        <w:rFonts w:ascii="Symbol" w:hAnsi="Symbol" w:hint="default"/>
      </w:rPr>
    </w:lvl>
    <w:lvl w:ilvl="7" w:tplc="04070003" w:tentative="1">
      <w:start w:val="1"/>
      <w:numFmt w:val="bullet"/>
      <w:lvlText w:val="o"/>
      <w:lvlJc w:val="left"/>
      <w:pPr>
        <w:tabs>
          <w:tab w:val="num" w:pos="5463"/>
        </w:tabs>
        <w:ind w:left="5463" w:hanging="360"/>
      </w:pPr>
      <w:rPr>
        <w:rFonts w:ascii="Courier New" w:hAnsi="Courier New" w:cs="Courier New" w:hint="default"/>
      </w:rPr>
    </w:lvl>
    <w:lvl w:ilvl="8" w:tplc="04070005" w:tentative="1">
      <w:start w:val="1"/>
      <w:numFmt w:val="bullet"/>
      <w:lvlText w:val=""/>
      <w:lvlJc w:val="left"/>
      <w:pPr>
        <w:tabs>
          <w:tab w:val="num" w:pos="6183"/>
        </w:tabs>
        <w:ind w:left="6183" w:hanging="360"/>
      </w:pPr>
      <w:rPr>
        <w:rFonts w:ascii="Wingdings" w:hAnsi="Wingdings" w:hint="default"/>
      </w:rPr>
    </w:lvl>
  </w:abstractNum>
  <w:abstractNum w:abstractNumId="4">
    <w:nsid w:val="55415EF2"/>
    <w:multiLevelType w:val="hybridMultilevel"/>
    <w:tmpl w:val="7B423590"/>
    <w:lvl w:ilvl="0" w:tplc="0C090001">
      <w:start w:val="1"/>
      <w:numFmt w:val="bullet"/>
      <w:lvlText w:val=""/>
      <w:lvlJc w:val="left"/>
      <w:pPr>
        <w:tabs>
          <w:tab w:val="num" w:pos="1077"/>
        </w:tabs>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5">
    <w:nsid w:val="5E5657FC"/>
    <w:multiLevelType w:val="hybridMultilevel"/>
    <w:tmpl w:val="58D09B52"/>
    <w:lvl w:ilvl="0" w:tplc="060687AE">
      <w:start w:val="1"/>
      <w:numFmt w:val="bullet"/>
      <w:pStyle w:val="SPCListbulleted"/>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E31AB5"/>
    <w:multiLevelType w:val="hybridMultilevel"/>
    <w:tmpl w:val="6B3C50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7481379B"/>
    <w:multiLevelType w:val="hybridMultilevel"/>
    <w:tmpl w:val="897E2DB0"/>
    <w:lvl w:ilvl="0" w:tplc="4A6ECE64">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nsid w:val="77460F13"/>
    <w:multiLevelType w:val="multilevel"/>
    <w:tmpl w:val="F4087E10"/>
    <w:lvl w:ilvl="0">
      <w:start w:val="1"/>
      <w:numFmt w:val="bullet"/>
      <w:lvlText w:val=""/>
      <w:lvlJc w:val="left"/>
      <w:pPr>
        <w:tabs>
          <w:tab w:val="num" w:pos="270"/>
        </w:tabs>
        <w:ind w:left="270" w:hanging="567"/>
      </w:pPr>
      <w:rPr>
        <w:rFonts w:ascii="Symbol" w:hAnsi="Symbol" w:hint="default"/>
      </w:rPr>
    </w:lvl>
    <w:lvl w:ilvl="1">
      <w:start w:val="1"/>
      <w:numFmt w:val="bullet"/>
      <w:lvlText w:val="o"/>
      <w:lvlJc w:val="left"/>
      <w:pPr>
        <w:tabs>
          <w:tab w:val="num" w:pos="1143"/>
        </w:tabs>
        <w:ind w:left="1143" w:hanging="360"/>
      </w:pPr>
      <w:rPr>
        <w:rFonts w:ascii="Courier New" w:hAnsi="Courier New" w:cs="Courier New" w:hint="default"/>
      </w:rPr>
    </w:lvl>
    <w:lvl w:ilvl="2">
      <w:start w:val="1"/>
      <w:numFmt w:val="bullet"/>
      <w:lvlText w:val=""/>
      <w:lvlJc w:val="left"/>
      <w:pPr>
        <w:tabs>
          <w:tab w:val="num" w:pos="1863"/>
        </w:tabs>
        <w:ind w:left="1863" w:hanging="360"/>
      </w:pPr>
      <w:rPr>
        <w:rFonts w:ascii="Wingdings" w:hAnsi="Wingdings" w:hint="default"/>
      </w:rPr>
    </w:lvl>
    <w:lvl w:ilvl="3">
      <w:start w:val="1"/>
      <w:numFmt w:val="bullet"/>
      <w:lvlText w:val=""/>
      <w:lvlJc w:val="left"/>
      <w:pPr>
        <w:tabs>
          <w:tab w:val="num" w:pos="2583"/>
        </w:tabs>
        <w:ind w:left="2583" w:hanging="360"/>
      </w:pPr>
      <w:rPr>
        <w:rFonts w:ascii="Symbol" w:hAnsi="Symbol" w:hint="default"/>
      </w:rPr>
    </w:lvl>
    <w:lvl w:ilvl="4">
      <w:start w:val="1"/>
      <w:numFmt w:val="bullet"/>
      <w:lvlText w:val="o"/>
      <w:lvlJc w:val="left"/>
      <w:pPr>
        <w:tabs>
          <w:tab w:val="num" w:pos="3303"/>
        </w:tabs>
        <w:ind w:left="3303" w:hanging="360"/>
      </w:pPr>
      <w:rPr>
        <w:rFonts w:ascii="Courier New" w:hAnsi="Courier New" w:cs="Courier New" w:hint="default"/>
      </w:rPr>
    </w:lvl>
    <w:lvl w:ilvl="5">
      <w:start w:val="1"/>
      <w:numFmt w:val="bullet"/>
      <w:lvlText w:val=""/>
      <w:lvlJc w:val="left"/>
      <w:pPr>
        <w:tabs>
          <w:tab w:val="num" w:pos="4023"/>
        </w:tabs>
        <w:ind w:left="4023" w:hanging="360"/>
      </w:pPr>
      <w:rPr>
        <w:rFonts w:ascii="Wingdings" w:hAnsi="Wingdings" w:hint="default"/>
      </w:rPr>
    </w:lvl>
    <w:lvl w:ilvl="6">
      <w:start w:val="1"/>
      <w:numFmt w:val="bullet"/>
      <w:lvlText w:val=""/>
      <w:lvlJc w:val="left"/>
      <w:pPr>
        <w:tabs>
          <w:tab w:val="num" w:pos="4743"/>
        </w:tabs>
        <w:ind w:left="4743" w:hanging="360"/>
      </w:pPr>
      <w:rPr>
        <w:rFonts w:ascii="Symbol" w:hAnsi="Symbol" w:hint="default"/>
      </w:rPr>
    </w:lvl>
    <w:lvl w:ilvl="7">
      <w:start w:val="1"/>
      <w:numFmt w:val="bullet"/>
      <w:lvlText w:val="o"/>
      <w:lvlJc w:val="left"/>
      <w:pPr>
        <w:tabs>
          <w:tab w:val="num" w:pos="5463"/>
        </w:tabs>
        <w:ind w:left="5463" w:hanging="360"/>
      </w:pPr>
      <w:rPr>
        <w:rFonts w:ascii="Courier New" w:hAnsi="Courier New" w:cs="Courier New" w:hint="default"/>
      </w:rPr>
    </w:lvl>
    <w:lvl w:ilvl="8">
      <w:start w:val="1"/>
      <w:numFmt w:val="bullet"/>
      <w:lvlText w:val=""/>
      <w:lvlJc w:val="left"/>
      <w:pPr>
        <w:tabs>
          <w:tab w:val="num" w:pos="6183"/>
        </w:tabs>
        <w:ind w:left="6183" w:hanging="360"/>
      </w:pPr>
      <w:rPr>
        <w:rFonts w:ascii="Wingdings" w:hAnsi="Wingdings" w:hint="default"/>
      </w:rPr>
    </w:lvl>
  </w:abstractNum>
  <w:abstractNum w:abstractNumId="9">
    <w:nsid w:val="79840800"/>
    <w:multiLevelType w:val="hybridMultilevel"/>
    <w:tmpl w:val="4B8A49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3"/>
  </w:num>
  <w:num w:numId="4">
    <w:abstractNumId w:val="8"/>
  </w:num>
  <w:num w:numId="5">
    <w:abstractNumId w:val="9"/>
  </w:num>
  <w:num w:numId="6">
    <w:abstractNumId w:val="4"/>
  </w:num>
  <w:num w:numId="7">
    <w:abstractNumId w:val="2"/>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activeWritingStyle w:appName="MSWord" w:lang="it-IT" w:vendorID="64" w:dllVersion="131078" w:nlCheck="1" w:checkStyle="0"/>
  <w:activeWritingStyle w:appName="MSWord" w:lang="en-AU"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285"/>
    <w:rsid w:val="0000053B"/>
    <w:rsid w:val="00004A38"/>
    <w:rsid w:val="000052B6"/>
    <w:rsid w:val="000059CF"/>
    <w:rsid w:val="000143C7"/>
    <w:rsid w:val="0001587D"/>
    <w:rsid w:val="00021FCB"/>
    <w:rsid w:val="00024998"/>
    <w:rsid w:val="0002513D"/>
    <w:rsid w:val="00031E04"/>
    <w:rsid w:val="00035816"/>
    <w:rsid w:val="000369FE"/>
    <w:rsid w:val="0004171C"/>
    <w:rsid w:val="00047C0E"/>
    <w:rsid w:val="00047DA0"/>
    <w:rsid w:val="00047F80"/>
    <w:rsid w:val="00050A14"/>
    <w:rsid w:val="000518E7"/>
    <w:rsid w:val="00052F95"/>
    <w:rsid w:val="00053240"/>
    <w:rsid w:val="000537DD"/>
    <w:rsid w:val="00054494"/>
    <w:rsid w:val="00060175"/>
    <w:rsid w:val="000627ED"/>
    <w:rsid w:val="000645E7"/>
    <w:rsid w:val="0006592A"/>
    <w:rsid w:val="00067779"/>
    <w:rsid w:val="00073497"/>
    <w:rsid w:val="00073F9E"/>
    <w:rsid w:val="00074794"/>
    <w:rsid w:val="00076A67"/>
    <w:rsid w:val="00077D50"/>
    <w:rsid w:val="000814D4"/>
    <w:rsid w:val="00081B31"/>
    <w:rsid w:val="000877A4"/>
    <w:rsid w:val="00090BB8"/>
    <w:rsid w:val="00091463"/>
    <w:rsid w:val="0009252B"/>
    <w:rsid w:val="00096A8D"/>
    <w:rsid w:val="000A0374"/>
    <w:rsid w:val="000A1700"/>
    <w:rsid w:val="000A4E48"/>
    <w:rsid w:val="000A7B27"/>
    <w:rsid w:val="000B45B9"/>
    <w:rsid w:val="000B6C93"/>
    <w:rsid w:val="000B7452"/>
    <w:rsid w:val="000C002F"/>
    <w:rsid w:val="000C0C94"/>
    <w:rsid w:val="000C0F97"/>
    <w:rsid w:val="000C61F1"/>
    <w:rsid w:val="000C7DED"/>
    <w:rsid w:val="000D20E5"/>
    <w:rsid w:val="000D236E"/>
    <w:rsid w:val="000D2B4D"/>
    <w:rsid w:val="000D3347"/>
    <w:rsid w:val="000E2614"/>
    <w:rsid w:val="000E482F"/>
    <w:rsid w:val="000E6B3E"/>
    <w:rsid w:val="000F3C28"/>
    <w:rsid w:val="000F5FA7"/>
    <w:rsid w:val="000F6A3D"/>
    <w:rsid w:val="00103D63"/>
    <w:rsid w:val="00106530"/>
    <w:rsid w:val="00106AB8"/>
    <w:rsid w:val="00114DC7"/>
    <w:rsid w:val="0012101B"/>
    <w:rsid w:val="001211CE"/>
    <w:rsid w:val="00123D1E"/>
    <w:rsid w:val="00124A63"/>
    <w:rsid w:val="00126179"/>
    <w:rsid w:val="001264BA"/>
    <w:rsid w:val="001313D1"/>
    <w:rsid w:val="001340B4"/>
    <w:rsid w:val="001361AE"/>
    <w:rsid w:val="001371EE"/>
    <w:rsid w:val="00141BB5"/>
    <w:rsid w:val="0014422D"/>
    <w:rsid w:val="00144495"/>
    <w:rsid w:val="00144FDD"/>
    <w:rsid w:val="00147037"/>
    <w:rsid w:val="0014776B"/>
    <w:rsid w:val="0015025F"/>
    <w:rsid w:val="00151A63"/>
    <w:rsid w:val="001531F1"/>
    <w:rsid w:val="00154A95"/>
    <w:rsid w:val="001610B0"/>
    <w:rsid w:val="00162F94"/>
    <w:rsid w:val="0016492A"/>
    <w:rsid w:val="0016596A"/>
    <w:rsid w:val="00167238"/>
    <w:rsid w:val="00172506"/>
    <w:rsid w:val="0017304B"/>
    <w:rsid w:val="001818A4"/>
    <w:rsid w:val="00184B05"/>
    <w:rsid w:val="00186A79"/>
    <w:rsid w:val="001874F7"/>
    <w:rsid w:val="00194038"/>
    <w:rsid w:val="001956FA"/>
    <w:rsid w:val="00195BD6"/>
    <w:rsid w:val="00196CBC"/>
    <w:rsid w:val="00196ED7"/>
    <w:rsid w:val="001A0083"/>
    <w:rsid w:val="001A0E62"/>
    <w:rsid w:val="001A4137"/>
    <w:rsid w:val="001A452C"/>
    <w:rsid w:val="001B2046"/>
    <w:rsid w:val="001B4C92"/>
    <w:rsid w:val="001B692B"/>
    <w:rsid w:val="001B749F"/>
    <w:rsid w:val="001B7B42"/>
    <w:rsid w:val="001C0B13"/>
    <w:rsid w:val="001C5160"/>
    <w:rsid w:val="001C5B8F"/>
    <w:rsid w:val="001C5E14"/>
    <w:rsid w:val="001C6CCE"/>
    <w:rsid w:val="001D064C"/>
    <w:rsid w:val="001D40D8"/>
    <w:rsid w:val="001D4EA7"/>
    <w:rsid w:val="001D542A"/>
    <w:rsid w:val="001D73B4"/>
    <w:rsid w:val="001D74C9"/>
    <w:rsid w:val="001F05F2"/>
    <w:rsid w:val="001F58A8"/>
    <w:rsid w:val="00201AC0"/>
    <w:rsid w:val="00207C6B"/>
    <w:rsid w:val="0021188D"/>
    <w:rsid w:val="002146F2"/>
    <w:rsid w:val="00220DE3"/>
    <w:rsid w:val="00222190"/>
    <w:rsid w:val="002272CF"/>
    <w:rsid w:val="00231A04"/>
    <w:rsid w:val="0023555F"/>
    <w:rsid w:val="002424BF"/>
    <w:rsid w:val="002450A6"/>
    <w:rsid w:val="002534FB"/>
    <w:rsid w:val="0025351A"/>
    <w:rsid w:val="00253D73"/>
    <w:rsid w:val="002604F4"/>
    <w:rsid w:val="00264A38"/>
    <w:rsid w:val="00276154"/>
    <w:rsid w:val="002761C9"/>
    <w:rsid w:val="002826A0"/>
    <w:rsid w:val="00283DE8"/>
    <w:rsid w:val="002840EF"/>
    <w:rsid w:val="00284CEA"/>
    <w:rsid w:val="00290AB7"/>
    <w:rsid w:val="002920F2"/>
    <w:rsid w:val="00296AD5"/>
    <w:rsid w:val="00297A94"/>
    <w:rsid w:val="002A1407"/>
    <w:rsid w:val="002A3212"/>
    <w:rsid w:val="002A6569"/>
    <w:rsid w:val="002A6911"/>
    <w:rsid w:val="002B1F5E"/>
    <w:rsid w:val="002C2413"/>
    <w:rsid w:val="002C3055"/>
    <w:rsid w:val="002C3F61"/>
    <w:rsid w:val="002C5162"/>
    <w:rsid w:val="002C5CD5"/>
    <w:rsid w:val="002C7A83"/>
    <w:rsid w:val="002D06CC"/>
    <w:rsid w:val="002D081D"/>
    <w:rsid w:val="002D2E4A"/>
    <w:rsid w:val="002D5369"/>
    <w:rsid w:val="002D6275"/>
    <w:rsid w:val="002E0B3C"/>
    <w:rsid w:val="002E621C"/>
    <w:rsid w:val="002E74E8"/>
    <w:rsid w:val="002F004C"/>
    <w:rsid w:val="002F0F14"/>
    <w:rsid w:val="002F1412"/>
    <w:rsid w:val="002F1BB5"/>
    <w:rsid w:val="002F6981"/>
    <w:rsid w:val="003030C8"/>
    <w:rsid w:val="00315942"/>
    <w:rsid w:val="00315FA2"/>
    <w:rsid w:val="00317841"/>
    <w:rsid w:val="00322387"/>
    <w:rsid w:val="0032254C"/>
    <w:rsid w:val="00324BCC"/>
    <w:rsid w:val="00327BFA"/>
    <w:rsid w:val="003306BA"/>
    <w:rsid w:val="0033373E"/>
    <w:rsid w:val="003348A1"/>
    <w:rsid w:val="00336428"/>
    <w:rsid w:val="00337122"/>
    <w:rsid w:val="0034035C"/>
    <w:rsid w:val="00340A4B"/>
    <w:rsid w:val="003437D4"/>
    <w:rsid w:val="00343FF3"/>
    <w:rsid w:val="00344684"/>
    <w:rsid w:val="00347706"/>
    <w:rsid w:val="00350F55"/>
    <w:rsid w:val="00351D4A"/>
    <w:rsid w:val="00352030"/>
    <w:rsid w:val="0035250F"/>
    <w:rsid w:val="00352CE9"/>
    <w:rsid w:val="00353FC8"/>
    <w:rsid w:val="0035629B"/>
    <w:rsid w:val="003619EB"/>
    <w:rsid w:val="00361BFC"/>
    <w:rsid w:val="00362529"/>
    <w:rsid w:val="00366CC2"/>
    <w:rsid w:val="0036727C"/>
    <w:rsid w:val="00372653"/>
    <w:rsid w:val="00372EFF"/>
    <w:rsid w:val="003737F5"/>
    <w:rsid w:val="0037515D"/>
    <w:rsid w:val="00375B82"/>
    <w:rsid w:val="00377D1D"/>
    <w:rsid w:val="00381C41"/>
    <w:rsid w:val="003822B1"/>
    <w:rsid w:val="0038419B"/>
    <w:rsid w:val="003849BD"/>
    <w:rsid w:val="00385ABA"/>
    <w:rsid w:val="0038702B"/>
    <w:rsid w:val="0038749A"/>
    <w:rsid w:val="00390210"/>
    <w:rsid w:val="003913D3"/>
    <w:rsid w:val="00392436"/>
    <w:rsid w:val="00392626"/>
    <w:rsid w:val="003A1209"/>
    <w:rsid w:val="003A128A"/>
    <w:rsid w:val="003A4BEF"/>
    <w:rsid w:val="003A5157"/>
    <w:rsid w:val="003A62BC"/>
    <w:rsid w:val="003A6DB3"/>
    <w:rsid w:val="003B0139"/>
    <w:rsid w:val="003B2263"/>
    <w:rsid w:val="003B55F3"/>
    <w:rsid w:val="003B5EF0"/>
    <w:rsid w:val="003C2C77"/>
    <w:rsid w:val="003C3B1E"/>
    <w:rsid w:val="003C4459"/>
    <w:rsid w:val="003C69EE"/>
    <w:rsid w:val="003C6B92"/>
    <w:rsid w:val="003D2B51"/>
    <w:rsid w:val="003D3A77"/>
    <w:rsid w:val="003D7AA8"/>
    <w:rsid w:val="003F1CEF"/>
    <w:rsid w:val="003F267F"/>
    <w:rsid w:val="003F2E06"/>
    <w:rsid w:val="003F3856"/>
    <w:rsid w:val="003F5BE2"/>
    <w:rsid w:val="003F7562"/>
    <w:rsid w:val="00401587"/>
    <w:rsid w:val="00404AA5"/>
    <w:rsid w:val="004056C0"/>
    <w:rsid w:val="00406A50"/>
    <w:rsid w:val="00406C33"/>
    <w:rsid w:val="004070AD"/>
    <w:rsid w:val="004078CC"/>
    <w:rsid w:val="004101C9"/>
    <w:rsid w:val="00410622"/>
    <w:rsid w:val="0041131A"/>
    <w:rsid w:val="004136FD"/>
    <w:rsid w:val="004149A0"/>
    <w:rsid w:val="00421488"/>
    <w:rsid w:val="00424105"/>
    <w:rsid w:val="00424FDD"/>
    <w:rsid w:val="00425C8B"/>
    <w:rsid w:val="00427B4B"/>
    <w:rsid w:val="0043209B"/>
    <w:rsid w:val="0043341D"/>
    <w:rsid w:val="004341AB"/>
    <w:rsid w:val="00435F7C"/>
    <w:rsid w:val="00437D35"/>
    <w:rsid w:val="004455AA"/>
    <w:rsid w:val="00446718"/>
    <w:rsid w:val="00447522"/>
    <w:rsid w:val="0045085C"/>
    <w:rsid w:val="00453377"/>
    <w:rsid w:val="00461B9F"/>
    <w:rsid w:val="004639EC"/>
    <w:rsid w:val="00465372"/>
    <w:rsid w:val="00465447"/>
    <w:rsid w:val="00473834"/>
    <w:rsid w:val="00474012"/>
    <w:rsid w:val="004760C3"/>
    <w:rsid w:val="004817D2"/>
    <w:rsid w:val="00483F23"/>
    <w:rsid w:val="00484DFE"/>
    <w:rsid w:val="004869CC"/>
    <w:rsid w:val="00487DA1"/>
    <w:rsid w:val="00495576"/>
    <w:rsid w:val="004A3871"/>
    <w:rsid w:val="004A544A"/>
    <w:rsid w:val="004A79BF"/>
    <w:rsid w:val="004B0639"/>
    <w:rsid w:val="004B261D"/>
    <w:rsid w:val="004B4AEE"/>
    <w:rsid w:val="004B55F7"/>
    <w:rsid w:val="004C0572"/>
    <w:rsid w:val="004C11A5"/>
    <w:rsid w:val="004C15AF"/>
    <w:rsid w:val="004D07DC"/>
    <w:rsid w:val="004D0E88"/>
    <w:rsid w:val="004D500B"/>
    <w:rsid w:val="004D525D"/>
    <w:rsid w:val="004D7EB9"/>
    <w:rsid w:val="004E2E2E"/>
    <w:rsid w:val="004E407B"/>
    <w:rsid w:val="004F0379"/>
    <w:rsid w:val="004F1261"/>
    <w:rsid w:val="004F4829"/>
    <w:rsid w:val="004F4E86"/>
    <w:rsid w:val="004F7481"/>
    <w:rsid w:val="0050440E"/>
    <w:rsid w:val="005061B3"/>
    <w:rsid w:val="00507392"/>
    <w:rsid w:val="005102F5"/>
    <w:rsid w:val="00513F96"/>
    <w:rsid w:val="0051418C"/>
    <w:rsid w:val="00514D28"/>
    <w:rsid w:val="00521693"/>
    <w:rsid w:val="00521C24"/>
    <w:rsid w:val="00522D4A"/>
    <w:rsid w:val="00526F07"/>
    <w:rsid w:val="0052775F"/>
    <w:rsid w:val="0052786D"/>
    <w:rsid w:val="00531274"/>
    <w:rsid w:val="00532476"/>
    <w:rsid w:val="005341C7"/>
    <w:rsid w:val="00535DE8"/>
    <w:rsid w:val="005376F8"/>
    <w:rsid w:val="0054046A"/>
    <w:rsid w:val="0054171A"/>
    <w:rsid w:val="00542194"/>
    <w:rsid w:val="00542907"/>
    <w:rsid w:val="00544820"/>
    <w:rsid w:val="00545666"/>
    <w:rsid w:val="005468F1"/>
    <w:rsid w:val="00547199"/>
    <w:rsid w:val="00547859"/>
    <w:rsid w:val="00552B5A"/>
    <w:rsid w:val="00556B33"/>
    <w:rsid w:val="00557B9A"/>
    <w:rsid w:val="00557EA5"/>
    <w:rsid w:val="005631A9"/>
    <w:rsid w:val="005656C8"/>
    <w:rsid w:val="005666BB"/>
    <w:rsid w:val="00571016"/>
    <w:rsid w:val="0058060D"/>
    <w:rsid w:val="00581985"/>
    <w:rsid w:val="00583A1E"/>
    <w:rsid w:val="00585B18"/>
    <w:rsid w:val="00595723"/>
    <w:rsid w:val="005A09D3"/>
    <w:rsid w:val="005A1E87"/>
    <w:rsid w:val="005A7633"/>
    <w:rsid w:val="005B01AE"/>
    <w:rsid w:val="005B4706"/>
    <w:rsid w:val="005B4B5A"/>
    <w:rsid w:val="005B5A73"/>
    <w:rsid w:val="005B6747"/>
    <w:rsid w:val="005C0683"/>
    <w:rsid w:val="005C0B81"/>
    <w:rsid w:val="005C3512"/>
    <w:rsid w:val="005C6C25"/>
    <w:rsid w:val="005D0509"/>
    <w:rsid w:val="005D3DF5"/>
    <w:rsid w:val="005D6B0A"/>
    <w:rsid w:val="005E0AD9"/>
    <w:rsid w:val="005E14D6"/>
    <w:rsid w:val="005E1C4B"/>
    <w:rsid w:val="005E2076"/>
    <w:rsid w:val="005E6BD3"/>
    <w:rsid w:val="005F5C12"/>
    <w:rsid w:val="00601BC1"/>
    <w:rsid w:val="00605221"/>
    <w:rsid w:val="0061108E"/>
    <w:rsid w:val="00611100"/>
    <w:rsid w:val="006133ED"/>
    <w:rsid w:val="006141E6"/>
    <w:rsid w:val="00617ED3"/>
    <w:rsid w:val="0062374C"/>
    <w:rsid w:val="00624232"/>
    <w:rsid w:val="006259FB"/>
    <w:rsid w:val="00626684"/>
    <w:rsid w:val="006305D8"/>
    <w:rsid w:val="00630DF0"/>
    <w:rsid w:val="006310CB"/>
    <w:rsid w:val="0063410A"/>
    <w:rsid w:val="006350F3"/>
    <w:rsid w:val="006366CB"/>
    <w:rsid w:val="00640359"/>
    <w:rsid w:val="00640719"/>
    <w:rsid w:val="00640CA0"/>
    <w:rsid w:val="0065126E"/>
    <w:rsid w:val="006521B3"/>
    <w:rsid w:val="00654737"/>
    <w:rsid w:val="00657212"/>
    <w:rsid w:val="00657429"/>
    <w:rsid w:val="00657F4F"/>
    <w:rsid w:val="00662B9F"/>
    <w:rsid w:val="00663DD0"/>
    <w:rsid w:val="00666EE4"/>
    <w:rsid w:val="0067291A"/>
    <w:rsid w:val="00677A4E"/>
    <w:rsid w:val="00681FC9"/>
    <w:rsid w:val="006830D4"/>
    <w:rsid w:val="00686BA3"/>
    <w:rsid w:val="00687D10"/>
    <w:rsid w:val="00691E29"/>
    <w:rsid w:val="00693547"/>
    <w:rsid w:val="00695086"/>
    <w:rsid w:val="00697BFE"/>
    <w:rsid w:val="006A45BB"/>
    <w:rsid w:val="006A532F"/>
    <w:rsid w:val="006A6E65"/>
    <w:rsid w:val="006B5DF7"/>
    <w:rsid w:val="006C10A6"/>
    <w:rsid w:val="006C6588"/>
    <w:rsid w:val="006D19BC"/>
    <w:rsid w:val="006D4B41"/>
    <w:rsid w:val="006D543E"/>
    <w:rsid w:val="006D5F3A"/>
    <w:rsid w:val="006E5C50"/>
    <w:rsid w:val="006E6142"/>
    <w:rsid w:val="006E759F"/>
    <w:rsid w:val="006E7F53"/>
    <w:rsid w:val="006F05D3"/>
    <w:rsid w:val="006F0B8C"/>
    <w:rsid w:val="006F1484"/>
    <w:rsid w:val="006F1BC8"/>
    <w:rsid w:val="006F37DA"/>
    <w:rsid w:val="006F4517"/>
    <w:rsid w:val="006F59D1"/>
    <w:rsid w:val="006F695F"/>
    <w:rsid w:val="00701323"/>
    <w:rsid w:val="00702750"/>
    <w:rsid w:val="00702887"/>
    <w:rsid w:val="00702BE6"/>
    <w:rsid w:val="007158A7"/>
    <w:rsid w:val="00716136"/>
    <w:rsid w:val="007203F9"/>
    <w:rsid w:val="00723CDD"/>
    <w:rsid w:val="00724837"/>
    <w:rsid w:val="00724D12"/>
    <w:rsid w:val="0072580C"/>
    <w:rsid w:val="00725F90"/>
    <w:rsid w:val="00727EAA"/>
    <w:rsid w:val="007311CE"/>
    <w:rsid w:val="0073241C"/>
    <w:rsid w:val="00736496"/>
    <w:rsid w:val="00740DBB"/>
    <w:rsid w:val="00741592"/>
    <w:rsid w:val="0074530A"/>
    <w:rsid w:val="007456C0"/>
    <w:rsid w:val="007457E5"/>
    <w:rsid w:val="007474B8"/>
    <w:rsid w:val="00747F59"/>
    <w:rsid w:val="00751750"/>
    <w:rsid w:val="00752A67"/>
    <w:rsid w:val="00755A66"/>
    <w:rsid w:val="00756F3D"/>
    <w:rsid w:val="00761938"/>
    <w:rsid w:val="007642DE"/>
    <w:rsid w:val="0076694A"/>
    <w:rsid w:val="00771777"/>
    <w:rsid w:val="0077198A"/>
    <w:rsid w:val="00771FDA"/>
    <w:rsid w:val="00772150"/>
    <w:rsid w:val="00773124"/>
    <w:rsid w:val="007809D9"/>
    <w:rsid w:val="00782ED5"/>
    <w:rsid w:val="0078670F"/>
    <w:rsid w:val="007878BC"/>
    <w:rsid w:val="007943F1"/>
    <w:rsid w:val="007947CF"/>
    <w:rsid w:val="007A02C7"/>
    <w:rsid w:val="007A17D7"/>
    <w:rsid w:val="007A2241"/>
    <w:rsid w:val="007A316A"/>
    <w:rsid w:val="007A4F40"/>
    <w:rsid w:val="007A5E36"/>
    <w:rsid w:val="007A64AC"/>
    <w:rsid w:val="007A6741"/>
    <w:rsid w:val="007B1E99"/>
    <w:rsid w:val="007B43E5"/>
    <w:rsid w:val="007C19C6"/>
    <w:rsid w:val="007C25D9"/>
    <w:rsid w:val="007C2F70"/>
    <w:rsid w:val="007C4924"/>
    <w:rsid w:val="007D0670"/>
    <w:rsid w:val="007D3238"/>
    <w:rsid w:val="007D366B"/>
    <w:rsid w:val="007D425F"/>
    <w:rsid w:val="007D4CE5"/>
    <w:rsid w:val="007D4DB9"/>
    <w:rsid w:val="007D66AA"/>
    <w:rsid w:val="007E0D87"/>
    <w:rsid w:val="007E41A9"/>
    <w:rsid w:val="007E65FF"/>
    <w:rsid w:val="00802129"/>
    <w:rsid w:val="00812F47"/>
    <w:rsid w:val="00815C6C"/>
    <w:rsid w:val="008165EA"/>
    <w:rsid w:val="00816FC5"/>
    <w:rsid w:val="0082443A"/>
    <w:rsid w:val="0083195C"/>
    <w:rsid w:val="0083276C"/>
    <w:rsid w:val="00832C8A"/>
    <w:rsid w:val="008418E4"/>
    <w:rsid w:val="0084202D"/>
    <w:rsid w:val="0084632B"/>
    <w:rsid w:val="00847197"/>
    <w:rsid w:val="0085163C"/>
    <w:rsid w:val="00852E03"/>
    <w:rsid w:val="00853277"/>
    <w:rsid w:val="0085332B"/>
    <w:rsid w:val="00857DDB"/>
    <w:rsid w:val="00863777"/>
    <w:rsid w:val="00863A99"/>
    <w:rsid w:val="00864388"/>
    <w:rsid w:val="00866AC7"/>
    <w:rsid w:val="00866FD4"/>
    <w:rsid w:val="00870AD2"/>
    <w:rsid w:val="008729E0"/>
    <w:rsid w:val="0087333F"/>
    <w:rsid w:val="00873C5B"/>
    <w:rsid w:val="00874B7A"/>
    <w:rsid w:val="00875160"/>
    <w:rsid w:val="008843AF"/>
    <w:rsid w:val="00892AE0"/>
    <w:rsid w:val="008931DE"/>
    <w:rsid w:val="00893906"/>
    <w:rsid w:val="008958B8"/>
    <w:rsid w:val="008970E8"/>
    <w:rsid w:val="008A0FF6"/>
    <w:rsid w:val="008A12FE"/>
    <w:rsid w:val="008A2BF4"/>
    <w:rsid w:val="008A2EE2"/>
    <w:rsid w:val="008A33EC"/>
    <w:rsid w:val="008A3EB6"/>
    <w:rsid w:val="008B4A40"/>
    <w:rsid w:val="008B7B98"/>
    <w:rsid w:val="008C0731"/>
    <w:rsid w:val="008D02A8"/>
    <w:rsid w:val="008D1C85"/>
    <w:rsid w:val="008D1C87"/>
    <w:rsid w:val="008D7FEF"/>
    <w:rsid w:val="008E14EF"/>
    <w:rsid w:val="008E3070"/>
    <w:rsid w:val="008E3308"/>
    <w:rsid w:val="008E3CD8"/>
    <w:rsid w:val="008F04AF"/>
    <w:rsid w:val="008F0F72"/>
    <w:rsid w:val="008F11B4"/>
    <w:rsid w:val="008F19B7"/>
    <w:rsid w:val="008F21C9"/>
    <w:rsid w:val="008F24E1"/>
    <w:rsid w:val="008F25FF"/>
    <w:rsid w:val="008F5AEF"/>
    <w:rsid w:val="008F5F8D"/>
    <w:rsid w:val="00902FE3"/>
    <w:rsid w:val="00903B5A"/>
    <w:rsid w:val="00906DC2"/>
    <w:rsid w:val="00913812"/>
    <w:rsid w:val="00915532"/>
    <w:rsid w:val="009156A5"/>
    <w:rsid w:val="009163B8"/>
    <w:rsid w:val="00921F2F"/>
    <w:rsid w:val="00923FA0"/>
    <w:rsid w:val="0092492A"/>
    <w:rsid w:val="009261D8"/>
    <w:rsid w:val="0092639E"/>
    <w:rsid w:val="00930015"/>
    <w:rsid w:val="009307FF"/>
    <w:rsid w:val="00931075"/>
    <w:rsid w:val="00931660"/>
    <w:rsid w:val="00932DA9"/>
    <w:rsid w:val="00934A8B"/>
    <w:rsid w:val="00937185"/>
    <w:rsid w:val="00944CD6"/>
    <w:rsid w:val="009525E9"/>
    <w:rsid w:val="009555B6"/>
    <w:rsid w:val="00955609"/>
    <w:rsid w:val="00957268"/>
    <w:rsid w:val="00957454"/>
    <w:rsid w:val="009608FE"/>
    <w:rsid w:val="009625A4"/>
    <w:rsid w:val="00964221"/>
    <w:rsid w:val="00964726"/>
    <w:rsid w:val="0096505B"/>
    <w:rsid w:val="0096523D"/>
    <w:rsid w:val="009713D0"/>
    <w:rsid w:val="009743F0"/>
    <w:rsid w:val="00976197"/>
    <w:rsid w:val="009766BA"/>
    <w:rsid w:val="009803D6"/>
    <w:rsid w:val="00981A11"/>
    <w:rsid w:val="00981DB5"/>
    <w:rsid w:val="009824A4"/>
    <w:rsid w:val="00982A79"/>
    <w:rsid w:val="00985BCB"/>
    <w:rsid w:val="00986285"/>
    <w:rsid w:val="00994D81"/>
    <w:rsid w:val="009A12E3"/>
    <w:rsid w:val="009A4818"/>
    <w:rsid w:val="009A4A9A"/>
    <w:rsid w:val="009A732F"/>
    <w:rsid w:val="009B0765"/>
    <w:rsid w:val="009B1279"/>
    <w:rsid w:val="009B1E1B"/>
    <w:rsid w:val="009B24DB"/>
    <w:rsid w:val="009B291E"/>
    <w:rsid w:val="009B3980"/>
    <w:rsid w:val="009B57AD"/>
    <w:rsid w:val="009B6289"/>
    <w:rsid w:val="009B7A6A"/>
    <w:rsid w:val="009C5E30"/>
    <w:rsid w:val="009C6219"/>
    <w:rsid w:val="009C63AF"/>
    <w:rsid w:val="009C71C0"/>
    <w:rsid w:val="009D1D0A"/>
    <w:rsid w:val="009D1E87"/>
    <w:rsid w:val="009D3744"/>
    <w:rsid w:val="009D5389"/>
    <w:rsid w:val="009E020D"/>
    <w:rsid w:val="009E096B"/>
    <w:rsid w:val="009E19E2"/>
    <w:rsid w:val="009E3BE3"/>
    <w:rsid w:val="009F1F48"/>
    <w:rsid w:val="009F2C30"/>
    <w:rsid w:val="009F3225"/>
    <w:rsid w:val="009F53DE"/>
    <w:rsid w:val="009F771D"/>
    <w:rsid w:val="00A01146"/>
    <w:rsid w:val="00A05090"/>
    <w:rsid w:val="00A0744C"/>
    <w:rsid w:val="00A10A34"/>
    <w:rsid w:val="00A1152F"/>
    <w:rsid w:val="00A11F78"/>
    <w:rsid w:val="00A12C58"/>
    <w:rsid w:val="00A12E22"/>
    <w:rsid w:val="00A14542"/>
    <w:rsid w:val="00A21011"/>
    <w:rsid w:val="00A21C70"/>
    <w:rsid w:val="00A2535B"/>
    <w:rsid w:val="00A25EBD"/>
    <w:rsid w:val="00A25F5C"/>
    <w:rsid w:val="00A2618E"/>
    <w:rsid w:val="00A3028C"/>
    <w:rsid w:val="00A316A2"/>
    <w:rsid w:val="00A355FC"/>
    <w:rsid w:val="00A36CAB"/>
    <w:rsid w:val="00A36F44"/>
    <w:rsid w:val="00A44543"/>
    <w:rsid w:val="00A44833"/>
    <w:rsid w:val="00A45327"/>
    <w:rsid w:val="00A519CE"/>
    <w:rsid w:val="00A530C3"/>
    <w:rsid w:val="00A6024D"/>
    <w:rsid w:val="00A61946"/>
    <w:rsid w:val="00A65C05"/>
    <w:rsid w:val="00A6698B"/>
    <w:rsid w:val="00A66F01"/>
    <w:rsid w:val="00A67305"/>
    <w:rsid w:val="00A742A0"/>
    <w:rsid w:val="00A75F70"/>
    <w:rsid w:val="00A907D4"/>
    <w:rsid w:val="00A926AC"/>
    <w:rsid w:val="00A93C9B"/>
    <w:rsid w:val="00A9528F"/>
    <w:rsid w:val="00AA2F0D"/>
    <w:rsid w:val="00AA4988"/>
    <w:rsid w:val="00AB4C6D"/>
    <w:rsid w:val="00AB519E"/>
    <w:rsid w:val="00AB6167"/>
    <w:rsid w:val="00AC049F"/>
    <w:rsid w:val="00AC0F83"/>
    <w:rsid w:val="00AC2C6D"/>
    <w:rsid w:val="00AC3FBA"/>
    <w:rsid w:val="00AD2958"/>
    <w:rsid w:val="00AD4630"/>
    <w:rsid w:val="00AE413A"/>
    <w:rsid w:val="00AE6C37"/>
    <w:rsid w:val="00AE7E9C"/>
    <w:rsid w:val="00AF34A8"/>
    <w:rsid w:val="00AF4BBF"/>
    <w:rsid w:val="00AF629D"/>
    <w:rsid w:val="00B00902"/>
    <w:rsid w:val="00B011E5"/>
    <w:rsid w:val="00B01240"/>
    <w:rsid w:val="00B02FF1"/>
    <w:rsid w:val="00B06983"/>
    <w:rsid w:val="00B115E8"/>
    <w:rsid w:val="00B14473"/>
    <w:rsid w:val="00B208ED"/>
    <w:rsid w:val="00B2252D"/>
    <w:rsid w:val="00B2291C"/>
    <w:rsid w:val="00B249FF"/>
    <w:rsid w:val="00B2626A"/>
    <w:rsid w:val="00B2795C"/>
    <w:rsid w:val="00B30FD8"/>
    <w:rsid w:val="00B31EF7"/>
    <w:rsid w:val="00B3670E"/>
    <w:rsid w:val="00B403FD"/>
    <w:rsid w:val="00B409CD"/>
    <w:rsid w:val="00B409FB"/>
    <w:rsid w:val="00B44941"/>
    <w:rsid w:val="00B467C6"/>
    <w:rsid w:val="00B477C4"/>
    <w:rsid w:val="00B525C1"/>
    <w:rsid w:val="00B53537"/>
    <w:rsid w:val="00B60849"/>
    <w:rsid w:val="00B62F4A"/>
    <w:rsid w:val="00B65E93"/>
    <w:rsid w:val="00B66879"/>
    <w:rsid w:val="00B67E0D"/>
    <w:rsid w:val="00B73C6E"/>
    <w:rsid w:val="00B75E81"/>
    <w:rsid w:val="00B77FE0"/>
    <w:rsid w:val="00B932DB"/>
    <w:rsid w:val="00BA02EB"/>
    <w:rsid w:val="00BA17D4"/>
    <w:rsid w:val="00BB1BD4"/>
    <w:rsid w:val="00BB20B6"/>
    <w:rsid w:val="00BB21DE"/>
    <w:rsid w:val="00BB2510"/>
    <w:rsid w:val="00BB4568"/>
    <w:rsid w:val="00BB7545"/>
    <w:rsid w:val="00BB7D7C"/>
    <w:rsid w:val="00BC1C1E"/>
    <w:rsid w:val="00BC2A83"/>
    <w:rsid w:val="00BC477D"/>
    <w:rsid w:val="00BC6685"/>
    <w:rsid w:val="00BC6CBE"/>
    <w:rsid w:val="00BC71F4"/>
    <w:rsid w:val="00BD13AA"/>
    <w:rsid w:val="00BD367C"/>
    <w:rsid w:val="00BD5405"/>
    <w:rsid w:val="00BD7429"/>
    <w:rsid w:val="00BD78AD"/>
    <w:rsid w:val="00BE0ED6"/>
    <w:rsid w:val="00BE37D9"/>
    <w:rsid w:val="00BE409C"/>
    <w:rsid w:val="00BE7333"/>
    <w:rsid w:val="00BE73E0"/>
    <w:rsid w:val="00BE74AF"/>
    <w:rsid w:val="00BE7DF2"/>
    <w:rsid w:val="00BF2E34"/>
    <w:rsid w:val="00BF433E"/>
    <w:rsid w:val="00BF4342"/>
    <w:rsid w:val="00BF54EA"/>
    <w:rsid w:val="00BF6418"/>
    <w:rsid w:val="00C00DB0"/>
    <w:rsid w:val="00C04A59"/>
    <w:rsid w:val="00C07052"/>
    <w:rsid w:val="00C103F6"/>
    <w:rsid w:val="00C14BEA"/>
    <w:rsid w:val="00C14F7D"/>
    <w:rsid w:val="00C17186"/>
    <w:rsid w:val="00C20B91"/>
    <w:rsid w:val="00C300E8"/>
    <w:rsid w:val="00C3052F"/>
    <w:rsid w:val="00C32B1B"/>
    <w:rsid w:val="00C44118"/>
    <w:rsid w:val="00C47701"/>
    <w:rsid w:val="00C56039"/>
    <w:rsid w:val="00C56710"/>
    <w:rsid w:val="00C6257A"/>
    <w:rsid w:val="00C6530C"/>
    <w:rsid w:val="00C674AE"/>
    <w:rsid w:val="00C678E0"/>
    <w:rsid w:val="00C70F48"/>
    <w:rsid w:val="00C80187"/>
    <w:rsid w:val="00C80D8D"/>
    <w:rsid w:val="00C83E4A"/>
    <w:rsid w:val="00C90763"/>
    <w:rsid w:val="00C92441"/>
    <w:rsid w:val="00C924FD"/>
    <w:rsid w:val="00C92528"/>
    <w:rsid w:val="00C93E14"/>
    <w:rsid w:val="00C956AE"/>
    <w:rsid w:val="00C97716"/>
    <w:rsid w:val="00CA0DC7"/>
    <w:rsid w:val="00CA4341"/>
    <w:rsid w:val="00CB1C07"/>
    <w:rsid w:val="00CB1DB7"/>
    <w:rsid w:val="00CB2A26"/>
    <w:rsid w:val="00CB2C61"/>
    <w:rsid w:val="00CB758B"/>
    <w:rsid w:val="00CB791A"/>
    <w:rsid w:val="00CC2FFB"/>
    <w:rsid w:val="00CC3DC7"/>
    <w:rsid w:val="00CC4F20"/>
    <w:rsid w:val="00CC5409"/>
    <w:rsid w:val="00CD075C"/>
    <w:rsid w:val="00CD2010"/>
    <w:rsid w:val="00CE0D2A"/>
    <w:rsid w:val="00CE1620"/>
    <w:rsid w:val="00CE6520"/>
    <w:rsid w:val="00CE67EC"/>
    <w:rsid w:val="00CE710B"/>
    <w:rsid w:val="00CF1193"/>
    <w:rsid w:val="00CF1AD7"/>
    <w:rsid w:val="00CF4402"/>
    <w:rsid w:val="00CF6F75"/>
    <w:rsid w:val="00D02426"/>
    <w:rsid w:val="00D077A7"/>
    <w:rsid w:val="00D152B3"/>
    <w:rsid w:val="00D1551B"/>
    <w:rsid w:val="00D15F86"/>
    <w:rsid w:val="00D216A5"/>
    <w:rsid w:val="00D21FFE"/>
    <w:rsid w:val="00D259A1"/>
    <w:rsid w:val="00D265A3"/>
    <w:rsid w:val="00D31DA2"/>
    <w:rsid w:val="00D339C4"/>
    <w:rsid w:val="00D37D13"/>
    <w:rsid w:val="00D42FEA"/>
    <w:rsid w:val="00D45DA6"/>
    <w:rsid w:val="00D47298"/>
    <w:rsid w:val="00D53C86"/>
    <w:rsid w:val="00D575F3"/>
    <w:rsid w:val="00D578AD"/>
    <w:rsid w:val="00D60528"/>
    <w:rsid w:val="00D62BB9"/>
    <w:rsid w:val="00D64324"/>
    <w:rsid w:val="00D647D2"/>
    <w:rsid w:val="00D66AE2"/>
    <w:rsid w:val="00D73AC0"/>
    <w:rsid w:val="00D81120"/>
    <w:rsid w:val="00D8252B"/>
    <w:rsid w:val="00D83395"/>
    <w:rsid w:val="00D87AC7"/>
    <w:rsid w:val="00D87FB5"/>
    <w:rsid w:val="00D927D3"/>
    <w:rsid w:val="00D94C37"/>
    <w:rsid w:val="00D94E0F"/>
    <w:rsid w:val="00D96141"/>
    <w:rsid w:val="00D977F2"/>
    <w:rsid w:val="00DA42A0"/>
    <w:rsid w:val="00DA5408"/>
    <w:rsid w:val="00DA74EC"/>
    <w:rsid w:val="00DB0BB4"/>
    <w:rsid w:val="00DB1FC8"/>
    <w:rsid w:val="00DB2B25"/>
    <w:rsid w:val="00DC15F5"/>
    <w:rsid w:val="00DC2D6E"/>
    <w:rsid w:val="00DC4661"/>
    <w:rsid w:val="00DD0856"/>
    <w:rsid w:val="00DD2640"/>
    <w:rsid w:val="00DD452E"/>
    <w:rsid w:val="00DD4D5B"/>
    <w:rsid w:val="00DD6628"/>
    <w:rsid w:val="00DD79C8"/>
    <w:rsid w:val="00DF187D"/>
    <w:rsid w:val="00DF1AE1"/>
    <w:rsid w:val="00DF36B0"/>
    <w:rsid w:val="00DF4835"/>
    <w:rsid w:val="00DF6F07"/>
    <w:rsid w:val="00E00678"/>
    <w:rsid w:val="00E029EF"/>
    <w:rsid w:val="00E04368"/>
    <w:rsid w:val="00E05542"/>
    <w:rsid w:val="00E05931"/>
    <w:rsid w:val="00E06DDE"/>
    <w:rsid w:val="00E1114E"/>
    <w:rsid w:val="00E126C9"/>
    <w:rsid w:val="00E16AA3"/>
    <w:rsid w:val="00E17187"/>
    <w:rsid w:val="00E17CE1"/>
    <w:rsid w:val="00E2017F"/>
    <w:rsid w:val="00E2674E"/>
    <w:rsid w:val="00E27802"/>
    <w:rsid w:val="00E27C31"/>
    <w:rsid w:val="00E3058D"/>
    <w:rsid w:val="00E316AF"/>
    <w:rsid w:val="00E34DF4"/>
    <w:rsid w:val="00E36DF2"/>
    <w:rsid w:val="00E37700"/>
    <w:rsid w:val="00E411C6"/>
    <w:rsid w:val="00E41B33"/>
    <w:rsid w:val="00E42A53"/>
    <w:rsid w:val="00E439BB"/>
    <w:rsid w:val="00E46F84"/>
    <w:rsid w:val="00E478F1"/>
    <w:rsid w:val="00E53A2D"/>
    <w:rsid w:val="00E54CC1"/>
    <w:rsid w:val="00E5539E"/>
    <w:rsid w:val="00E56A08"/>
    <w:rsid w:val="00E56EC5"/>
    <w:rsid w:val="00E63A83"/>
    <w:rsid w:val="00E63AF6"/>
    <w:rsid w:val="00E64971"/>
    <w:rsid w:val="00E67078"/>
    <w:rsid w:val="00E677BB"/>
    <w:rsid w:val="00E714C4"/>
    <w:rsid w:val="00E73A96"/>
    <w:rsid w:val="00E73DB2"/>
    <w:rsid w:val="00E7464E"/>
    <w:rsid w:val="00E75203"/>
    <w:rsid w:val="00E75EDF"/>
    <w:rsid w:val="00E85B1A"/>
    <w:rsid w:val="00E86508"/>
    <w:rsid w:val="00E919B4"/>
    <w:rsid w:val="00E920DC"/>
    <w:rsid w:val="00E96287"/>
    <w:rsid w:val="00EA4DB6"/>
    <w:rsid w:val="00EA52F7"/>
    <w:rsid w:val="00EB0715"/>
    <w:rsid w:val="00EB2305"/>
    <w:rsid w:val="00EB2684"/>
    <w:rsid w:val="00EB2957"/>
    <w:rsid w:val="00EB2F75"/>
    <w:rsid w:val="00EB455D"/>
    <w:rsid w:val="00EC0475"/>
    <w:rsid w:val="00EC2C4B"/>
    <w:rsid w:val="00EC6A99"/>
    <w:rsid w:val="00ED0267"/>
    <w:rsid w:val="00ED2F77"/>
    <w:rsid w:val="00ED575C"/>
    <w:rsid w:val="00ED59E3"/>
    <w:rsid w:val="00ED6163"/>
    <w:rsid w:val="00ED7BA7"/>
    <w:rsid w:val="00EE2173"/>
    <w:rsid w:val="00EE3901"/>
    <w:rsid w:val="00EF1393"/>
    <w:rsid w:val="00EF251A"/>
    <w:rsid w:val="00EF6040"/>
    <w:rsid w:val="00EF7175"/>
    <w:rsid w:val="00F012F0"/>
    <w:rsid w:val="00F0450B"/>
    <w:rsid w:val="00F051DB"/>
    <w:rsid w:val="00F06033"/>
    <w:rsid w:val="00F16BBB"/>
    <w:rsid w:val="00F24897"/>
    <w:rsid w:val="00F30229"/>
    <w:rsid w:val="00F30241"/>
    <w:rsid w:val="00F3377B"/>
    <w:rsid w:val="00F34DD2"/>
    <w:rsid w:val="00F36FA9"/>
    <w:rsid w:val="00F37AF0"/>
    <w:rsid w:val="00F37DFC"/>
    <w:rsid w:val="00F50E8E"/>
    <w:rsid w:val="00F52A50"/>
    <w:rsid w:val="00F52C36"/>
    <w:rsid w:val="00F52F54"/>
    <w:rsid w:val="00F54544"/>
    <w:rsid w:val="00F55DEF"/>
    <w:rsid w:val="00F565EA"/>
    <w:rsid w:val="00F62CF0"/>
    <w:rsid w:val="00F642D8"/>
    <w:rsid w:val="00F6681A"/>
    <w:rsid w:val="00F66E20"/>
    <w:rsid w:val="00F75813"/>
    <w:rsid w:val="00F80D25"/>
    <w:rsid w:val="00F821D6"/>
    <w:rsid w:val="00F83F7A"/>
    <w:rsid w:val="00F84320"/>
    <w:rsid w:val="00F85378"/>
    <w:rsid w:val="00F93D8D"/>
    <w:rsid w:val="00F96A2C"/>
    <w:rsid w:val="00F976E6"/>
    <w:rsid w:val="00FB0057"/>
    <w:rsid w:val="00FB7514"/>
    <w:rsid w:val="00FB75EE"/>
    <w:rsid w:val="00FC1D55"/>
    <w:rsid w:val="00FC2A73"/>
    <w:rsid w:val="00FC2EEE"/>
    <w:rsid w:val="00FC54EE"/>
    <w:rsid w:val="00FC6768"/>
    <w:rsid w:val="00FC79F1"/>
    <w:rsid w:val="00FD217F"/>
    <w:rsid w:val="00FD3FC3"/>
    <w:rsid w:val="00FD51A5"/>
    <w:rsid w:val="00FD5EBC"/>
    <w:rsid w:val="00FE06AB"/>
    <w:rsid w:val="00FE1579"/>
    <w:rsid w:val="00FE4D1C"/>
    <w:rsid w:val="00FE6F93"/>
    <w:rsid w:val="00FE706D"/>
    <w:rsid w:val="00FF02A0"/>
    <w:rsid w:val="00FF194A"/>
    <w:rsid w:val="00FF49EC"/>
    <w:rsid w:val="00FF6959"/>
    <w:rsid w:val="00FF6B2F"/>
    <w:rsid w:val="00FF7597"/>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418"/>
    <w:pPr>
      <w:widowControl w:val="0"/>
      <w:adjustRightInd w:val="0"/>
      <w:spacing w:line="360" w:lineRule="atLeast"/>
      <w:jc w:val="both"/>
      <w:textAlignment w:val="baseline"/>
    </w:pPr>
    <w:rPr>
      <w:rFonts w:ascii="Arial" w:eastAsia="Times New Roman" w:hAnsi="Arial"/>
      <w:sz w:val="22"/>
      <w:szCs w:val="22"/>
      <w:lang w:val="en-GB" w:eastAsia="zh-CN"/>
    </w:rPr>
  </w:style>
  <w:style w:type="paragraph" w:styleId="Heading8">
    <w:name w:val="heading 8"/>
    <w:basedOn w:val="Normal"/>
    <w:next w:val="Normal"/>
    <w:qFormat/>
    <w:rsid w:val="00F0450B"/>
    <w:pPr>
      <w:keepNext/>
      <w:outlineLvl w:val="7"/>
    </w:pPr>
    <w:rPr>
      <w:rFonts w:ascii="Times New Roman" w:hAnsi="Times New Roman"/>
      <w:strike/>
      <w:sz w:val="24"/>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1F5E"/>
    <w:pPr>
      <w:tabs>
        <w:tab w:val="center" w:pos="4153"/>
        <w:tab w:val="right" w:pos="8306"/>
      </w:tabs>
    </w:pPr>
  </w:style>
  <w:style w:type="paragraph" w:styleId="Footer">
    <w:name w:val="footer"/>
    <w:basedOn w:val="Normal"/>
    <w:rsid w:val="002B1F5E"/>
    <w:pPr>
      <w:tabs>
        <w:tab w:val="center" w:pos="4153"/>
        <w:tab w:val="right" w:pos="8306"/>
      </w:tabs>
    </w:pPr>
  </w:style>
  <w:style w:type="character" w:styleId="PageNumber">
    <w:name w:val="page number"/>
    <w:basedOn w:val="DefaultParagraphFont"/>
    <w:rsid w:val="002B1F5E"/>
  </w:style>
  <w:style w:type="table" w:styleId="TableGrid">
    <w:name w:val="Table Grid"/>
    <w:basedOn w:val="TableNormal"/>
    <w:uiPriority w:val="59"/>
    <w:rsid w:val="00BF43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PCnormal">
    <w:name w:val="SPC_normal"/>
    <w:link w:val="SPCnormalChar"/>
    <w:rsid w:val="00BF6418"/>
    <w:pPr>
      <w:widowControl w:val="0"/>
      <w:adjustRightInd w:val="0"/>
      <w:spacing w:line="360" w:lineRule="atLeast"/>
      <w:jc w:val="both"/>
      <w:textAlignment w:val="baseline"/>
    </w:pPr>
    <w:rPr>
      <w:rFonts w:eastAsia="Times New Roman"/>
      <w:sz w:val="22"/>
      <w:lang w:val="en-GB" w:eastAsia="sv-SE"/>
    </w:rPr>
  </w:style>
  <w:style w:type="paragraph" w:customStyle="1" w:styleId="SPCHeading2">
    <w:name w:val="SPC_Heading2"/>
    <w:basedOn w:val="SPCnormal"/>
    <w:rsid w:val="0038419B"/>
    <w:pPr>
      <w:keepNext/>
      <w:ind w:left="567" w:hanging="567"/>
    </w:pPr>
    <w:rPr>
      <w:b/>
      <w:lang w:eastAsia="en-US"/>
    </w:rPr>
  </w:style>
  <w:style w:type="paragraph" w:customStyle="1" w:styleId="SPCHeading3">
    <w:name w:val="SPC_Heading3"/>
    <w:basedOn w:val="SPCnormal"/>
    <w:rsid w:val="0038419B"/>
    <w:pPr>
      <w:keepNext/>
    </w:pPr>
    <w:rPr>
      <w:b/>
      <w:lang w:eastAsia="en-US"/>
    </w:rPr>
  </w:style>
  <w:style w:type="paragraph" w:customStyle="1" w:styleId="SPCHeading4">
    <w:name w:val="SPC_Heading4"/>
    <w:basedOn w:val="SPCnormal"/>
    <w:next w:val="SPCnormal"/>
    <w:rsid w:val="0038419B"/>
    <w:pPr>
      <w:keepNext/>
    </w:pPr>
    <w:rPr>
      <w:u w:val="single"/>
      <w:lang w:eastAsia="en-US"/>
    </w:rPr>
  </w:style>
  <w:style w:type="paragraph" w:customStyle="1" w:styleId="SPCListbulleted">
    <w:name w:val="SPC_List_bulleted"/>
    <w:basedOn w:val="SPCnormal"/>
    <w:next w:val="SPCnormal"/>
    <w:rsid w:val="0038419B"/>
    <w:pPr>
      <w:numPr>
        <w:numId w:val="1"/>
      </w:numPr>
    </w:pPr>
    <w:rPr>
      <w:lang w:eastAsia="en-US"/>
    </w:rPr>
  </w:style>
  <w:style w:type="paragraph" w:customStyle="1" w:styleId="MDSHeading">
    <w:name w:val="MDS_Heading"/>
    <w:basedOn w:val="SPCnormal"/>
    <w:rsid w:val="0038419B"/>
    <w:pPr>
      <w:keepNext/>
      <w:shd w:val="clear" w:color="auto" w:fill="D9D9D9"/>
    </w:pPr>
    <w:rPr>
      <w:rFonts w:ascii="Times New Roman Bold" w:hAnsi="Times New Roman Bold"/>
      <w:b/>
    </w:rPr>
  </w:style>
  <w:style w:type="paragraph" w:styleId="Caption">
    <w:name w:val="caption"/>
    <w:basedOn w:val="Normal"/>
    <w:next w:val="Normal"/>
    <w:qFormat/>
    <w:rsid w:val="00522D4A"/>
    <w:rPr>
      <w:b/>
      <w:bCs/>
      <w:sz w:val="20"/>
      <w:szCs w:val="20"/>
    </w:rPr>
  </w:style>
  <w:style w:type="paragraph" w:customStyle="1" w:styleId="SPCtablefootnote">
    <w:name w:val="SPC_tablefootnote"/>
    <w:basedOn w:val="Normal"/>
    <w:rsid w:val="00545666"/>
    <w:rPr>
      <w:rFonts w:ascii="Times New Roman" w:hAnsi="Times New Roman"/>
      <w:sz w:val="18"/>
      <w:szCs w:val="20"/>
      <w:lang w:eastAsia="en-US"/>
    </w:rPr>
  </w:style>
  <w:style w:type="paragraph" w:customStyle="1" w:styleId="SPCTabletitlecenter">
    <w:name w:val="SPC_Tabletitle_center"/>
    <w:basedOn w:val="SPCnormal"/>
    <w:next w:val="SPCnormal"/>
    <w:rsid w:val="00CC2FFB"/>
    <w:pPr>
      <w:keepNext/>
      <w:jc w:val="center"/>
    </w:pPr>
    <w:rPr>
      <w:b/>
      <w:sz w:val="18"/>
      <w:lang w:eastAsia="en-US"/>
    </w:rPr>
  </w:style>
  <w:style w:type="paragraph" w:customStyle="1" w:styleId="SPCTabletitleleft">
    <w:name w:val="SPC_Tabletitle_left"/>
    <w:basedOn w:val="SPCnormal"/>
    <w:rsid w:val="00CC2FFB"/>
    <w:rPr>
      <w:b/>
      <w:sz w:val="18"/>
      <w:lang w:eastAsia="en-US"/>
    </w:rPr>
  </w:style>
  <w:style w:type="paragraph" w:customStyle="1" w:styleId="SPCTabletextcenter">
    <w:name w:val="SPC_Tabletext center"/>
    <w:basedOn w:val="SPCnormal"/>
    <w:next w:val="SPCnormal"/>
    <w:rsid w:val="00CC2FFB"/>
    <w:pPr>
      <w:spacing w:before="40" w:after="40"/>
      <w:jc w:val="center"/>
    </w:pPr>
    <w:rPr>
      <w:sz w:val="18"/>
      <w:szCs w:val="18"/>
      <w:lang w:eastAsia="en-US"/>
    </w:rPr>
  </w:style>
  <w:style w:type="paragraph" w:styleId="BalloonText">
    <w:name w:val="Balloon Text"/>
    <w:basedOn w:val="Normal"/>
    <w:semiHidden/>
    <w:rsid w:val="00D60528"/>
    <w:rPr>
      <w:rFonts w:ascii="Tahoma" w:hAnsi="Tahoma" w:cs="Tahoma"/>
      <w:sz w:val="16"/>
      <w:szCs w:val="16"/>
    </w:rPr>
  </w:style>
  <w:style w:type="character" w:styleId="CommentReference">
    <w:name w:val="annotation reference"/>
    <w:basedOn w:val="DefaultParagraphFont"/>
    <w:semiHidden/>
    <w:rsid w:val="002840EF"/>
    <w:rPr>
      <w:sz w:val="16"/>
      <w:szCs w:val="16"/>
    </w:rPr>
  </w:style>
  <w:style w:type="paragraph" w:styleId="CommentText">
    <w:name w:val="annotation text"/>
    <w:basedOn w:val="Normal"/>
    <w:semiHidden/>
    <w:rsid w:val="002840EF"/>
    <w:rPr>
      <w:sz w:val="20"/>
      <w:szCs w:val="20"/>
    </w:rPr>
  </w:style>
  <w:style w:type="paragraph" w:styleId="CommentSubject">
    <w:name w:val="annotation subject"/>
    <w:basedOn w:val="CommentText"/>
    <w:next w:val="CommentText"/>
    <w:semiHidden/>
    <w:rsid w:val="002840EF"/>
    <w:rPr>
      <w:b/>
      <w:bCs/>
    </w:rPr>
  </w:style>
  <w:style w:type="paragraph" w:customStyle="1" w:styleId="SPCList">
    <w:name w:val="SPC_List"/>
    <w:basedOn w:val="SPCnormal"/>
    <w:next w:val="SPCnormal"/>
    <w:rsid w:val="001340B4"/>
    <w:pPr>
      <w:ind w:left="567" w:hanging="567"/>
    </w:pPr>
  </w:style>
  <w:style w:type="character" w:customStyle="1" w:styleId="SPCnormalChar">
    <w:name w:val="SPC_normal Char"/>
    <w:basedOn w:val="DefaultParagraphFont"/>
    <w:link w:val="SPCnormal"/>
    <w:rsid w:val="001340B4"/>
    <w:rPr>
      <w:rFonts w:eastAsia="Times New Roman"/>
      <w:sz w:val="22"/>
      <w:lang w:val="en-GB" w:eastAsia="sv-SE"/>
    </w:rPr>
  </w:style>
  <w:style w:type="paragraph" w:styleId="ListParagraph">
    <w:name w:val="List Paragraph"/>
    <w:basedOn w:val="Normal"/>
    <w:uiPriority w:val="34"/>
    <w:qFormat/>
    <w:rsid w:val="00BE0ED6"/>
    <w:pPr>
      <w:ind w:left="720"/>
      <w:contextualSpacing/>
    </w:pPr>
  </w:style>
  <w:style w:type="paragraph" w:styleId="NormalWeb">
    <w:name w:val="Normal (Web)"/>
    <w:basedOn w:val="Normal"/>
    <w:uiPriority w:val="99"/>
    <w:unhideWhenUsed/>
    <w:rsid w:val="002A1407"/>
    <w:pPr>
      <w:spacing w:before="100" w:beforeAutospacing="1" w:after="100" w:afterAutospacing="1"/>
    </w:pPr>
    <w:rPr>
      <w:rFonts w:ascii="Times New Roman" w:eastAsiaTheme="minorHAnsi" w:hAnsi="Times New Roman"/>
      <w:sz w:val="24"/>
      <w:szCs w:val="24"/>
      <w:lang w:val="de-DE" w:eastAsia="de-DE"/>
    </w:rPr>
  </w:style>
  <w:style w:type="character" w:customStyle="1" w:styleId="BodyTextChar">
    <w:name w:val="Body Text Char"/>
    <w:aliases w:val="Body text Char,Textkörper Char1 Char,Textkörper Char Char Char,Textkörper Char1 Char Char Char,Textkörper Char Char Char Char Char,Body text Char Char Char Char,Body text Char1 Char Char,Textkörper Char Char Char1 Char,Body Text II Char"/>
    <w:basedOn w:val="DefaultParagraphFont"/>
    <w:link w:val="Textkrper1"/>
    <w:semiHidden/>
    <w:locked/>
    <w:rsid w:val="002A1407"/>
  </w:style>
  <w:style w:type="paragraph" w:customStyle="1" w:styleId="Textkrper1">
    <w:name w:val="Textkörper1"/>
    <w:aliases w:val="Body text,Textkörper Char1,Textkörper Char Char,Textkörper Char1 Char Char,Textkörper Char Char Char Char,Body text Char Char Char,Body text Char1 Char,Textkörper Char Char Char1,Textkörper Char,Textkörper Char Char1,Body Text II"/>
    <w:basedOn w:val="Normal"/>
    <w:link w:val="BodyTextChar"/>
    <w:semiHidden/>
    <w:rsid w:val="002A1407"/>
    <w:pPr>
      <w:spacing w:before="240"/>
    </w:pPr>
    <w:rPr>
      <w:rFonts w:ascii="Times New Roman" w:hAnsi="Times New Roman"/>
      <w:sz w:val="20"/>
      <w:szCs w:val="20"/>
      <w:lang w:val="en-AU" w:eastAsia="en-AU"/>
    </w:rPr>
  </w:style>
  <w:style w:type="paragraph" w:styleId="Revision">
    <w:name w:val="Revision"/>
    <w:hidden/>
    <w:uiPriority w:val="99"/>
    <w:semiHidden/>
    <w:rsid w:val="0014422D"/>
    <w:rPr>
      <w:rFonts w:ascii="Arial" w:eastAsia="Times New Roman" w:hAnsi="Arial"/>
      <w:sz w:val="22"/>
      <w:szCs w:val="22"/>
      <w:lang w:val="en-GB" w:eastAsia="zh-CN"/>
    </w:rPr>
  </w:style>
  <w:style w:type="paragraph" w:styleId="EndnoteText">
    <w:name w:val="endnote text"/>
    <w:basedOn w:val="Normal"/>
    <w:link w:val="EndnoteTextChar"/>
    <w:semiHidden/>
    <w:rsid w:val="009743F0"/>
    <w:pPr>
      <w:widowControl/>
      <w:adjustRightInd/>
      <w:spacing w:line="240" w:lineRule="auto"/>
      <w:jc w:val="left"/>
      <w:textAlignment w:val="auto"/>
    </w:pPr>
    <w:rPr>
      <w:sz w:val="20"/>
      <w:szCs w:val="20"/>
      <w:lang w:eastAsia="en-US"/>
    </w:rPr>
  </w:style>
  <w:style w:type="character" w:customStyle="1" w:styleId="EndnoteTextChar">
    <w:name w:val="Endnote Text Char"/>
    <w:basedOn w:val="DefaultParagraphFont"/>
    <w:link w:val="EndnoteText"/>
    <w:semiHidden/>
    <w:rsid w:val="009743F0"/>
    <w:rPr>
      <w:rFonts w:ascii="Arial" w:eastAsia="Times New Roman" w:hAnsi="Arial"/>
      <w:lang w:val="en-GB" w:eastAsia="en-US"/>
    </w:rPr>
  </w:style>
  <w:style w:type="character" w:styleId="EndnoteReference">
    <w:name w:val="endnote reference"/>
    <w:rsid w:val="009743F0"/>
    <w:rPr>
      <w:vertAlign w:val="superscript"/>
    </w:rPr>
  </w:style>
  <w:style w:type="paragraph" w:customStyle="1" w:styleId="Default">
    <w:name w:val="Default"/>
    <w:rsid w:val="00747F59"/>
    <w:pPr>
      <w:autoSpaceDE w:val="0"/>
      <w:autoSpaceDN w:val="0"/>
      <w:adjustRightInd w:val="0"/>
    </w:pPr>
    <w:rPr>
      <w:rFonts w:ascii="Verdana" w:hAnsi="Verdana" w:cs="Verdana"/>
      <w:color w:val="000000"/>
      <w:sz w:val="24"/>
      <w:szCs w:val="24"/>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418"/>
    <w:pPr>
      <w:widowControl w:val="0"/>
      <w:adjustRightInd w:val="0"/>
      <w:spacing w:line="360" w:lineRule="atLeast"/>
      <w:jc w:val="both"/>
      <w:textAlignment w:val="baseline"/>
    </w:pPr>
    <w:rPr>
      <w:rFonts w:ascii="Arial" w:eastAsia="Times New Roman" w:hAnsi="Arial"/>
      <w:sz w:val="22"/>
      <w:szCs w:val="22"/>
      <w:lang w:val="en-GB" w:eastAsia="zh-CN"/>
    </w:rPr>
  </w:style>
  <w:style w:type="paragraph" w:styleId="Heading8">
    <w:name w:val="heading 8"/>
    <w:basedOn w:val="Normal"/>
    <w:next w:val="Normal"/>
    <w:qFormat/>
    <w:rsid w:val="00F0450B"/>
    <w:pPr>
      <w:keepNext/>
      <w:outlineLvl w:val="7"/>
    </w:pPr>
    <w:rPr>
      <w:rFonts w:ascii="Times New Roman" w:hAnsi="Times New Roman"/>
      <w:strike/>
      <w:sz w:val="24"/>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1F5E"/>
    <w:pPr>
      <w:tabs>
        <w:tab w:val="center" w:pos="4153"/>
        <w:tab w:val="right" w:pos="8306"/>
      </w:tabs>
    </w:pPr>
  </w:style>
  <w:style w:type="paragraph" w:styleId="Footer">
    <w:name w:val="footer"/>
    <w:basedOn w:val="Normal"/>
    <w:rsid w:val="002B1F5E"/>
    <w:pPr>
      <w:tabs>
        <w:tab w:val="center" w:pos="4153"/>
        <w:tab w:val="right" w:pos="8306"/>
      </w:tabs>
    </w:pPr>
  </w:style>
  <w:style w:type="character" w:styleId="PageNumber">
    <w:name w:val="page number"/>
    <w:basedOn w:val="DefaultParagraphFont"/>
    <w:rsid w:val="002B1F5E"/>
  </w:style>
  <w:style w:type="table" w:styleId="TableGrid">
    <w:name w:val="Table Grid"/>
    <w:basedOn w:val="TableNormal"/>
    <w:uiPriority w:val="59"/>
    <w:rsid w:val="00BF43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PCnormal">
    <w:name w:val="SPC_normal"/>
    <w:link w:val="SPCnormalChar"/>
    <w:rsid w:val="00BF6418"/>
    <w:pPr>
      <w:widowControl w:val="0"/>
      <w:adjustRightInd w:val="0"/>
      <w:spacing w:line="360" w:lineRule="atLeast"/>
      <w:jc w:val="both"/>
      <w:textAlignment w:val="baseline"/>
    </w:pPr>
    <w:rPr>
      <w:rFonts w:eastAsia="Times New Roman"/>
      <w:sz w:val="22"/>
      <w:lang w:val="en-GB" w:eastAsia="sv-SE"/>
    </w:rPr>
  </w:style>
  <w:style w:type="paragraph" w:customStyle="1" w:styleId="SPCHeading2">
    <w:name w:val="SPC_Heading2"/>
    <w:basedOn w:val="SPCnormal"/>
    <w:rsid w:val="0038419B"/>
    <w:pPr>
      <w:keepNext/>
      <w:ind w:left="567" w:hanging="567"/>
    </w:pPr>
    <w:rPr>
      <w:b/>
      <w:lang w:eastAsia="en-US"/>
    </w:rPr>
  </w:style>
  <w:style w:type="paragraph" w:customStyle="1" w:styleId="SPCHeading3">
    <w:name w:val="SPC_Heading3"/>
    <w:basedOn w:val="SPCnormal"/>
    <w:rsid w:val="0038419B"/>
    <w:pPr>
      <w:keepNext/>
    </w:pPr>
    <w:rPr>
      <w:b/>
      <w:lang w:eastAsia="en-US"/>
    </w:rPr>
  </w:style>
  <w:style w:type="paragraph" w:customStyle="1" w:styleId="SPCHeading4">
    <w:name w:val="SPC_Heading4"/>
    <w:basedOn w:val="SPCnormal"/>
    <w:next w:val="SPCnormal"/>
    <w:rsid w:val="0038419B"/>
    <w:pPr>
      <w:keepNext/>
    </w:pPr>
    <w:rPr>
      <w:u w:val="single"/>
      <w:lang w:eastAsia="en-US"/>
    </w:rPr>
  </w:style>
  <w:style w:type="paragraph" w:customStyle="1" w:styleId="SPCListbulleted">
    <w:name w:val="SPC_List_bulleted"/>
    <w:basedOn w:val="SPCnormal"/>
    <w:next w:val="SPCnormal"/>
    <w:rsid w:val="0038419B"/>
    <w:pPr>
      <w:numPr>
        <w:numId w:val="1"/>
      </w:numPr>
    </w:pPr>
    <w:rPr>
      <w:lang w:eastAsia="en-US"/>
    </w:rPr>
  </w:style>
  <w:style w:type="paragraph" w:customStyle="1" w:styleId="MDSHeading">
    <w:name w:val="MDS_Heading"/>
    <w:basedOn w:val="SPCnormal"/>
    <w:rsid w:val="0038419B"/>
    <w:pPr>
      <w:keepNext/>
      <w:shd w:val="clear" w:color="auto" w:fill="D9D9D9"/>
    </w:pPr>
    <w:rPr>
      <w:rFonts w:ascii="Times New Roman Bold" w:hAnsi="Times New Roman Bold"/>
      <w:b/>
    </w:rPr>
  </w:style>
  <w:style w:type="paragraph" w:styleId="Caption">
    <w:name w:val="caption"/>
    <w:basedOn w:val="Normal"/>
    <w:next w:val="Normal"/>
    <w:qFormat/>
    <w:rsid w:val="00522D4A"/>
    <w:rPr>
      <w:b/>
      <w:bCs/>
      <w:sz w:val="20"/>
      <w:szCs w:val="20"/>
    </w:rPr>
  </w:style>
  <w:style w:type="paragraph" w:customStyle="1" w:styleId="SPCtablefootnote">
    <w:name w:val="SPC_tablefootnote"/>
    <w:basedOn w:val="Normal"/>
    <w:rsid w:val="00545666"/>
    <w:rPr>
      <w:rFonts w:ascii="Times New Roman" w:hAnsi="Times New Roman"/>
      <w:sz w:val="18"/>
      <w:szCs w:val="20"/>
      <w:lang w:eastAsia="en-US"/>
    </w:rPr>
  </w:style>
  <w:style w:type="paragraph" w:customStyle="1" w:styleId="SPCTabletitlecenter">
    <w:name w:val="SPC_Tabletitle_center"/>
    <w:basedOn w:val="SPCnormal"/>
    <w:next w:val="SPCnormal"/>
    <w:rsid w:val="00CC2FFB"/>
    <w:pPr>
      <w:keepNext/>
      <w:jc w:val="center"/>
    </w:pPr>
    <w:rPr>
      <w:b/>
      <w:sz w:val="18"/>
      <w:lang w:eastAsia="en-US"/>
    </w:rPr>
  </w:style>
  <w:style w:type="paragraph" w:customStyle="1" w:styleId="SPCTabletitleleft">
    <w:name w:val="SPC_Tabletitle_left"/>
    <w:basedOn w:val="SPCnormal"/>
    <w:rsid w:val="00CC2FFB"/>
    <w:rPr>
      <w:b/>
      <w:sz w:val="18"/>
      <w:lang w:eastAsia="en-US"/>
    </w:rPr>
  </w:style>
  <w:style w:type="paragraph" w:customStyle="1" w:styleId="SPCTabletextcenter">
    <w:name w:val="SPC_Tabletext center"/>
    <w:basedOn w:val="SPCnormal"/>
    <w:next w:val="SPCnormal"/>
    <w:rsid w:val="00CC2FFB"/>
    <w:pPr>
      <w:spacing w:before="40" w:after="40"/>
      <w:jc w:val="center"/>
    </w:pPr>
    <w:rPr>
      <w:sz w:val="18"/>
      <w:szCs w:val="18"/>
      <w:lang w:eastAsia="en-US"/>
    </w:rPr>
  </w:style>
  <w:style w:type="paragraph" w:styleId="BalloonText">
    <w:name w:val="Balloon Text"/>
    <w:basedOn w:val="Normal"/>
    <w:semiHidden/>
    <w:rsid w:val="00D60528"/>
    <w:rPr>
      <w:rFonts w:ascii="Tahoma" w:hAnsi="Tahoma" w:cs="Tahoma"/>
      <w:sz w:val="16"/>
      <w:szCs w:val="16"/>
    </w:rPr>
  </w:style>
  <w:style w:type="character" w:styleId="CommentReference">
    <w:name w:val="annotation reference"/>
    <w:basedOn w:val="DefaultParagraphFont"/>
    <w:semiHidden/>
    <w:rsid w:val="002840EF"/>
    <w:rPr>
      <w:sz w:val="16"/>
      <w:szCs w:val="16"/>
    </w:rPr>
  </w:style>
  <w:style w:type="paragraph" w:styleId="CommentText">
    <w:name w:val="annotation text"/>
    <w:basedOn w:val="Normal"/>
    <w:semiHidden/>
    <w:rsid w:val="002840EF"/>
    <w:rPr>
      <w:sz w:val="20"/>
      <w:szCs w:val="20"/>
    </w:rPr>
  </w:style>
  <w:style w:type="paragraph" w:styleId="CommentSubject">
    <w:name w:val="annotation subject"/>
    <w:basedOn w:val="CommentText"/>
    <w:next w:val="CommentText"/>
    <w:semiHidden/>
    <w:rsid w:val="002840EF"/>
    <w:rPr>
      <w:b/>
      <w:bCs/>
    </w:rPr>
  </w:style>
  <w:style w:type="paragraph" w:customStyle="1" w:styleId="SPCList">
    <w:name w:val="SPC_List"/>
    <w:basedOn w:val="SPCnormal"/>
    <w:next w:val="SPCnormal"/>
    <w:rsid w:val="001340B4"/>
    <w:pPr>
      <w:ind w:left="567" w:hanging="567"/>
    </w:pPr>
  </w:style>
  <w:style w:type="character" w:customStyle="1" w:styleId="SPCnormalChar">
    <w:name w:val="SPC_normal Char"/>
    <w:basedOn w:val="DefaultParagraphFont"/>
    <w:link w:val="SPCnormal"/>
    <w:rsid w:val="001340B4"/>
    <w:rPr>
      <w:rFonts w:eastAsia="Times New Roman"/>
      <w:sz w:val="22"/>
      <w:lang w:val="en-GB" w:eastAsia="sv-SE"/>
    </w:rPr>
  </w:style>
  <w:style w:type="paragraph" w:styleId="ListParagraph">
    <w:name w:val="List Paragraph"/>
    <w:basedOn w:val="Normal"/>
    <w:uiPriority w:val="34"/>
    <w:qFormat/>
    <w:rsid w:val="00BE0ED6"/>
    <w:pPr>
      <w:ind w:left="720"/>
      <w:contextualSpacing/>
    </w:pPr>
  </w:style>
  <w:style w:type="paragraph" w:styleId="NormalWeb">
    <w:name w:val="Normal (Web)"/>
    <w:basedOn w:val="Normal"/>
    <w:uiPriority w:val="99"/>
    <w:unhideWhenUsed/>
    <w:rsid w:val="002A1407"/>
    <w:pPr>
      <w:spacing w:before="100" w:beforeAutospacing="1" w:after="100" w:afterAutospacing="1"/>
    </w:pPr>
    <w:rPr>
      <w:rFonts w:ascii="Times New Roman" w:eastAsiaTheme="minorHAnsi" w:hAnsi="Times New Roman"/>
      <w:sz w:val="24"/>
      <w:szCs w:val="24"/>
      <w:lang w:val="de-DE" w:eastAsia="de-DE"/>
    </w:rPr>
  </w:style>
  <w:style w:type="character" w:customStyle="1" w:styleId="BodyTextChar">
    <w:name w:val="Body Text Char"/>
    <w:aliases w:val="Body text Char,Textkörper Char1 Char,Textkörper Char Char Char,Textkörper Char1 Char Char Char,Textkörper Char Char Char Char Char,Body text Char Char Char Char,Body text Char1 Char Char,Textkörper Char Char Char1 Char,Body Text II Char"/>
    <w:basedOn w:val="DefaultParagraphFont"/>
    <w:link w:val="Textkrper1"/>
    <w:semiHidden/>
    <w:locked/>
    <w:rsid w:val="002A1407"/>
  </w:style>
  <w:style w:type="paragraph" w:customStyle="1" w:styleId="Textkrper1">
    <w:name w:val="Textkörper1"/>
    <w:aliases w:val="Body text,Textkörper Char1,Textkörper Char Char,Textkörper Char1 Char Char,Textkörper Char Char Char Char,Body text Char Char Char,Body text Char1 Char,Textkörper Char Char Char1,Textkörper Char,Textkörper Char Char1,Body Text II"/>
    <w:basedOn w:val="Normal"/>
    <w:link w:val="BodyTextChar"/>
    <w:semiHidden/>
    <w:rsid w:val="002A1407"/>
    <w:pPr>
      <w:spacing w:before="240"/>
    </w:pPr>
    <w:rPr>
      <w:rFonts w:ascii="Times New Roman" w:hAnsi="Times New Roman"/>
      <w:sz w:val="20"/>
      <w:szCs w:val="20"/>
      <w:lang w:val="en-AU" w:eastAsia="en-AU"/>
    </w:rPr>
  </w:style>
  <w:style w:type="paragraph" w:styleId="Revision">
    <w:name w:val="Revision"/>
    <w:hidden/>
    <w:uiPriority w:val="99"/>
    <w:semiHidden/>
    <w:rsid w:val="0014422D"/>
    <w:rPr>
      <w:rFonts w:ascii="Arial" w:eastAsia="Times New Roman" w:hAnsi="Arial"/>
      <w:sz w:val="22"/>
      <w:szCs w:val="22"/>
      <w:lang w:val="en-GB" w:eastAsia="zh-CN"/>
    </w:rPr>
  </w:style>
  <w:style w:type="paragraph" w:styleId="EndnoteText">
    <w:name w:val="endnote text"/>
    <w:basedOn w:val="Normal"/>
    <w:link w:val="EndnoteTextChar"/>
    <w:semiHidden/>
    <w:rsid w:val="009743F0"/>
    <w:pPr>
      <w:widowControl/>
      <w:adjustRightInd/>
      <w:spacing w:line="240" w:lineRule="auto"/>
      <w:jc w:val="left"/>
      <w:textAlignment w:val="auto"/>
    </w:pPr>
    <w:rPr>
      <w:sz w:val="20"/>
      <w:szCs w:val="20"/>
      <w:lang w:eastAsia="en-US"/>
    </w:rPr>
  </w:style>
  <w:style w:type="character" w:customStyle="1" w:styleId="EndnoteTextChar">
    <w:name w:val="Endnote Text Char"/>
    <w:basedOn w:val="DefaultParagraphFont"/>
    <w:link w:val="EndnoteText"/>
    <w:semiHidden/>
    <w:rsid w:val="009743F0"/>
    <w:rPr>
      <w:rFonts w:ascii="Arial" w:eastAsia="Times New Roman" w:hAnsi="Arial"/>
      <w:lang w:val="en-GB" w:eastAsia="en-US"/>
    </w:rPr>
  </w:style>
  <w:style w:type="character" w:styleId="EndnoteReference">
    <w:name w:val="endnote reference"/>
    <w:rsid w:val="009743F0"/>
    <w:rPr>
      <w:vertAlign w:val="superscript"/>
    </w:rPr>
  </w:style>
  <w:style w:type="paragraph" w:customStyle="1" w:styleId="Default">
    <w:name w:val="Default"/>
    <w:rsid w:val="00747F59"/>
    <w:pPr>
      <w:autoSpaceDE w:val="0"/>
      <w:autoSpaceDN w:val="0"/>
      <w:adjustRightInd w:val="0"/>
    </w:pPr>
    <w:rPr>
      <w:rFonts w:ascii="Verdana" w:hAnsi="Verdana" w:cs="Verdana"/>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528729">
      <w:bodyDiv w:val="1"/>
      <w:marLeft w:val="0"/>
      <w:marRight w:val="0"/>
      <w:marTop w:val="0"/>
      <w:marBottom w:val="0"/>
      <w:divBdr>
        <w:top w:val="none" w:sz="0" w:space="0" w:color="auto"/>
        <w:left w:val="none" w:sz="0" w:space="0" w:color="auto"/>
        <w:bottom w:val="none" w:sz="0" w:space="0" w:color="auto"/>
        <w:right w:val="none" w:sz="0" w:space="0" w:color="auto"/>
      </w:divBdr>
    </w:div>
    <w:div w:id="1893537835">
      <w:bodyDiv w:val="1"/>
      <w:marLeft w:val="0"/>
      <w:marRight w:val="0"/>
      <w:marTop w:val="0"/>
      <w:marBottom w:val="0"/>
      <w:divBdr>
        <w:top w:val="none" w:sz="0" w:space="0" w:color="auto"/>
        <w:left w:val="none" w:sz="0" w:space="0" w:color="auto"/>
        <w:bottom w:val="none" w:sz="0" w:space="0" w:color="auto"/>
        <w:right w:val="none" w:sz="0" w:space="0" w:color="auto"/>
      </w:divBdr>
    </w:div>
    <w:div w:id="1998418017">
      <w:bodyDiv w:val="1"/>
      <w:marLeft w:val="0"/>
      <w:marRight w:val="0"/>
      <w:marTop w:val="0"/>
      <w:marBottom w:val="0"/>
      <w:divBdr>
        <w:top w:val="none" w:sz="0" w:space="0" w:color="auto"/>
        <w:left w:val="none" w:sz="0" w:space="0" w:color="auto"/>
        <w:bottom w:val="none" w:sz="0" w:space="0" w:color="auto"/>
        <w:right w:val="none" w:sz="0" w:space="0" w:color="auto"/>
      </w:divBdr>
    </w:div>
    <w:div w:id="209774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92D646E-17C3-4C8E-91D9-EF69ECFB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21</Pages>
  <Words>7313</Words>
  <Characters>40691</Characters>
  <Application>Microsoft Office Word</Application>
  <DocSecurity>0</DocSecurity>
  <Lines>339</Lines>
  <Paragraphs>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AusPAR Attachment 1. Product Information for Cladribine</vt:lpstr>
      <vt:lpstr>PRODUCT INFORMATION</vt:lpstr>
    </vt:vector>
  </TitlesOfParts>
  <Company>Merck KGaA, Darmstadt, Germany</Company>
  <LinksUpToDate>false</LinksUpToDate>
  <CharactersWithSpaces>47909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Cladribine</dc:title>
  <dc:subject>prescription medicines</dc:subject>
  <dc:creator>Merck Serono Australia Pty Ltd</dc:creator>
  <cp:keywords>AusPARs</cp:keywords>
  <dc:description/>
  <cp:lastModifiedBy>SHEPPARD, Fran</cp:lastModifiedBy>
  <cp:revision>7</cp:revision>
  <cp:lastPrinted>2016-09-30T08:49:00Z</cp:lastPrinted>
  <dcterms:created xsi:type="dcterms:W3CDTF">2018-05-21T23:56:00Z</dcterms:created>
  <dcterms:modified xsi:type="dcterms:W3CDTF">2018-07-16T01:03:00Z</dcterms:modified>
</cp:coreProperties>
</file>