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3C2EAC" w14:textId="77777777" w:rsidR="009F0EFF" w:rsidRDefault="009F0EFF" w:rsidP="009F0EFF">
      <w:pPr>
        <w:pStyle w:val="Title"/>
        <w:jc w:val="center"/>
      </w:pPr>
      <w:bookmarkStart w:id="0" w:name="_GoBack"/>
      <w:bookmarkEnd w:id="0"/>
      <w:r>
        <w:t xml:space="preserve">AUSTRALIAN </w:t>
      </w:r>
      <w:r w:rsidRPr="00CE1B83">
        <w:t>PRODUCT INFORMATION</w:t>
      </w:r>
      <w:r>
        <w:t xml:space="preserve"> </w:t>
      </w:r>
      <w:r>
        <w:br/>
      </w:r>
      <w:r w:rsidRPr="00CE1B83">
        <w:t>CIZINATE</w:t>
      </w:r>
      <w:r w:rsidRPr="008909BA">
        <w:rPr>
          <w:vertAlign w:val="superscript"/>
        </w:rPr>
        <w:t>®</w:t>
      </w:r>
      <w:r w:rsidRPr="00CE1B83">
        <w:t xml:space="preserve"> </w:t>
      </w:r>
      <w:r>
        <w:t xml:space="preserve">(CINNARIZINE/DIMENHYDRINATE) </w:t>
      </w:r>
      <w:r w:rsidRPr="00CE1B83">
        <w:t>20 MG/40 MG TABLET</w:t>
      </w:r>
    </w:p>
    <w:p w14:paraId="6FECED90" w14:textId="77777777" w:rsidR="00FD1F94" w:rsidRPr="001B65BA" w:rsidRDefault="00CE1B83" w:rsidP="00A25889">
      <w:pPr>
        <w:pStyle w:val="Heading1"/>
        <w:rPr>
          <w:lang w:val="en-AU"/>
        </w:rPr>
      </w:pPr>
      <w:r w:rsidRPr="001B65BA">
        <w:rPr>
          <w:lang w:val="en-AU"/>
        </w:rPr>
        <w:t>NAME OF THE MEDICINE</w:t>
      </w:r>
    </w:p>
    <w:p w14:paraId="6F62A652" w14:textId="77777777" w:rsidR="00CE1B83" w:rsidRPr="001B65BA" w:rsidRDefault="00CE1B83" w:rsidP="00A25889">
      <w:r w:rsidRPr="001B65BA">
        <w:t xml:space="preserve">Cinnarizine </w:t>
      </w:r>
    </w:p>
    <w:p w14:paraId="36937F1E" w14:textId="77777777" w:rsidR="00FD1F94" w:rsidRPr="001B65BA" w:rsidRDefault="00CE1B83" w:rsidP="00A25889">
      <w:r w:rsidRPr="001B65BA">
        <w:t>Dimenhydrinate</w:t>
      </w:r>
    </w:p>
    <w:p w14:paraId="538067F5" w14:textId="77777777" w:rsidR="00FD1F94" w:rsidRPr="001B65BA" w:rsidRDefault="00FD1F94" w:rsidP="00A25889">
      <w:pPr>
        <w:pStyle w:val="Heading1"/>
        <w:rPr>
          <w:lang w:val="en-AU"/>
        </w:rPr>
      </w:pPr>
      <w:r w:rsidRPr="001B65BA">
        <w:rPr>
          <w:lang w:val="en-AU"/>
        </w:rPr>
        <w:t>QUALITATIVE AND QUANTITATIVE COMPOSITION</w:t>
      </w:r>
    </w:p>
    <w:p w14:paraId="0020F57A" w14:textId="77777777" w:rsidR="0000699F" w:rsidRPr="001B65BA" w:rsidRDefault="0000699F" w:rsidP="00A25889">
      <w:r w:rsidRPr="001B65BA">
        <w:t>CIZINATE tablets contain the active ingredients cinnarizine and dimenhydrinate.</w:t>
      </w:r>
    </w:p>
    <w:p w14:paraId="0B760A23" w14:textId="77777777" w:rsidR="00CE1B83" w:rsidRPr="001B65BA" w:rsidRDefault="00CE1B83" w:rsidP="00A25889">
      <w:r w:rsidRPr="001B65BA">
        <w:t>Each CIZINATE 20 mg/40 mg tablet contains 20 mg of cinnarizine and 40 mg of dimenhydrinate.</w:t>
      </w:r>
    </w:p>
    <w:p w14:paraId="4A6F98C3" w14:textId="77777777" w:rsidR="00CE1B83" w:rsidRPr="001B65BA" w:rsidRDefault="00CE1B83" w:rsidP="00A25889">
      <w:r w:rsidRPr="001B65BA">
        <w:t>Cinnarizine is a white to almost white powder. It is practically insoluble in water, freely soluble in methylene chloride, soluble in acetone and slightly soluble in ethanol and methanol.</w:t>
      </w:r>
    </w:p>
    <w:p w14:paraId="364453F6" w14:textId="77777777" w:rsidR="00CE1B83" w:rsidRPr="001B65BA" w:rsidRDefault="00CE1B83" w:rsidP="00A25889">
      <w:r w:rsidRPr="001B65BA">
        <w:t>Dimenhydrinate</w:t>
      </w:r>
      <w:r w:rsidR="00DD6696" w:rsidRPr="001B65BA">
        <w:t>, the chlorotheophylline salt of diphenhydramine,</w:t>
      </w:r>
      <w:r w:rsidRPr="001B65BA">
        <w:t xml:space="preserve"> is a white to almost white, crystalline powder or colourless crystals. It is slightly soluble in water and freely soluble in ethanol. </w:t>
      </w:r>
    </w:p>
    <w:p w14:paraId="7655DAD5" w14:textId="77777777" w:rsidR="00011959" w:rsidRPr="001B65BA" w:rsidRDefault="00011959" w:rsidP="00A25889">
      <w:r w:rsidRPr="001B65BA">
        <w:t>For the full list of excipients, see Section 6.1 LIST OF EXCIPIENTS.</w:t>
      </w:r>
    </w:p>
    <w:p w14:paraId="56B90EBF" w14:textId="77777777" w:rsidR="00FD1F94" w:rsidRPr="001B65BA" w:rsidRDefault="00FD1F94" w:rsidP="00A25889">
      <w:pPr>
        <w:pStyle w:val="Heading1"/>
        <w:rPr>
          <w:lang w:val="en-AU"/>
        </w:rPr>
      </w:pPr>
      <w:r w:rsidRPr="001B65BA">
        <w:rPr>
          <w:lang w:val="en-AU"/>
        </w:rPr>
        <w:t>PHARMACEUTICAL FORM</w:t>
      </w:r>
    </w:p>
    <w:p w14:paraId="1477887C" w14:textId="6EAD07D7" w:rsidR="00AD772C" w:rsidRPr="001B65BA" w:rsidRDefault="00AD772C" w:rsidP="00A25889">
      <w:bookmarkStart w:id="1" w:name="_Hlk505168284"/>
      <w:r w:rsidRPr="001B65BA">
        <w:t xml:space="preserve">CIZINATE 20 mg/40 mg tablets are a white to </w:t>
      </w:r>
      <w:r w:rsidR="00896FE9">
        <w:t xml:space="preserve">almost </w:t>
      </w:r>
      <w:r w:rsidRPr="001B65BA">
        <w:t xml:space="preserve">white, round, biconvex </w:t>
      </w:r>
      <w:r w:rsidR="007A5F61">
        <w:t xml:space="preserve">uncoated </w:t>
      </w:r>
      <w:r w:rsidRPr="001B65BA">
        <w:t>tablet 8 mm in diameter</w:t>
      </w:r>
      <w:bookmarkEnd w:id="1"/>
      <w:r w:rsidRPr="001B65BA">
        <w:t xml:space="preserve">. </w:t>
      </w:r>
    </w:p>
    <w:p w14:paraId="48BBC162" w14:textId="77777777" w:rsidR="00FD1F94" w:rsidRPr="001B65BA" w:rsidRDefault="00FD1F94" w:rsidP="00A25889">
      <w:pPr>
        <w:pStyle w:val="Heading1"/>
        <w:rPr>
          <w:lang w:val="en-AU"/>
        </w:rPr>
      </w:pPr>
      <w:bookmarkStart w:id="2" w:name="page2"/>
      <w:bookmarkEnd w:id="2"/>
      <w:r w:rsidRPr="001B65BA">
        <w:rPr>
          <w:lang w:val="en-AU"/>
        </w:rPr>
        <w:t>CLINICAL PARTICULARS</w:t>
      </w:r>
    </w:p>
    <w:p w14:paraId="65F69940" w14:textId="77777777" w:rsidR="00FD1F94" w:rsidRPr="001B65BA" w:rsidRDefault="00CE1B83" w:rsidP="00A25889">
      <w:pPr>
        <w:pStyle w:val="Heading2"/>
        <w:rPr>
          <w:lang w:val="en-AU"/>
        </w:rPr>
      </w:pPr>
      <w:r w:rsidRPr="001B65BA">
        <w:rPr>
          <w:lang w:val="en-AU"/>
        </w:rPr>
        <w:t>THERAPEUTIC INDICATIONS</w:t>
      </w:r>
    </w:p>
    <w:p w14:paraId="4062257C" w14:textId="333C6BAE" w:rsidR="00AD772C" w:rsidRPr="001B65BA" w:rsidRDefault="007D6C24" w:rsidP="00A25889">
      <w:r>
        <w:t>Short-term, symptomatic treatment of vertigo of various causes, in adults who have not responded to alternative treatments.</w:t>
      </w:r>
    </w:p>
    <w:p w14:paraId="1044DBD8" w14:textId="77777777" w:rsidR="00FD1F94" w:rsidRPr="001B65BA" w:rsidRDefault="00FD1F94" w:rsidP="00A25889">
      <w:pPr>
        <w:pStyle w:val="Heading2"/>
        <w:rPr>
          <w:lang w:val="en-AU"/>
        </w:rPr>
      </w:pPr>
      <w:r w:rsidRPr="001B65BA">
        <w:rPr>
          <w:lang w:val="en-AU"/>
        </w:rPr>
        <w:t>DOSE AND METHOD OF ADMINISTRATION</w:t>
      </w:r>
    </w:p>
    <w:p w14:paraId="3CB2A01F" w14:textId="77777777" w:rsidR="00AD772C" w:rsidRPr="001B65BA" w:rsidRDefault="00AD772C" w:rsidP="00A25889">
      <w:pPr>
        <w:pStyle w:val="Heading3"/>
      </w:pPr>
      <w:r w:rsidRPr="000545E1">
        <w:t>Adults</w:t>
      </w:r>
    </w:p>
    <w:p w14:paraId="2BB59703" w14:textId="367D5A28" w:rsidR="00AD772C" w:rsidRPr="001B65BA" w:rsidRDefault="00AD772C" w:rsidP="00A25889">
      <w:r w:rsidRPr="001B65BA">
        <w:t>The recommended dose for adults is one tablet three times daily.</w:t>
      </w:r>
      <w:r w:rsidR="005A003E">
        <w:t xml:space="preserve"> </w:t>
      </w:r>
      <w:r w:rsidR="005A003E" w:rsidRPr="005A003E">
        <w:t>The lowest dose for the shortest duration to achieve symptom control should be used. The recommended dose should not be exceeded.</w:t>
      </w:r>
    </w:p>
    <w:p w14:paraId="706F0815" w14:textId="77777777" w:rsidR="00AD772C" w:rsidRPr="001B65BA" w:rsidRDefault="00AD772C" w:rsidP="00A25889">
      <w:r w:rsidRPr="001B65BA">
        <w:t>CIZINATE tablets should be swallowed without chewing with some liquid after meals to minimise any gastric irritation.</w:t>
      </w:r>
    </w:p>
    <w:p w14:paraId="6E95FE18" w14:textId="2FFBB3ED" w:rsidR="00AD772C" w:rsidRPr="001B65BA" w:rsidRDefault="00AD772C" w:rsidP="00A25889">
      <w:r w:rsidRPr="001B65BA">
        <w:lastRenderedPageBreak/>
        <w:t xml:space="preserve">In general, the duration of treatment should not exceed four weeks. </w:t>
      </w:r>
      <w:r w:rsidR="005A003E" w:rsidRPr="005A003E">
        <w:t>Patients should undergo a reassessment of the risk/benefit if treatment beyond 4 weeks is contemplated.</w:t>
      </w:r>
    </w:p>
    <w:p w14:paraId="0B41D14A" w14:textId="77777777" w:rsidR="00AD772C" w:rsidRPr="001B65BA" w:rsidRDefault="00AD772C" w:rsidP="00A25889">
      <w:pPr>
        <w:pStyle w:val="Heading3"/>
      </w:pPr>
      <w:r w:rsidRPr="001B65BA">
        <w:t>Elderly</w:t>
      </w:r>
    </w:p>
    <w:p w14:paraId="7706AD04" w14:textId="77777777" w:rsidR="00AD772C" w:rsidRPr="001B65BA" w:rsidRDefault="00AD772C" w:rsidP="00A25889">
      <w:r w:rsidRPr="001B65BA">
        <w:t xml:space="preserve">No dose adjustment is necessary. </w:t>
      </w:r>
    </w:p>
    <w:p w14:paraId="562867F1" w14:textId="77777777" w:rsidR="00AD772C" w:rsidRPr="001B65BA" w:rsidRDefault="00AD772C" w:rsidP="00A25889">
      <w:pPr>
        <w:pStyle w:val="Heading3"/>
      </w:pPr>
      <w:r w:rsidRPr="001B65BA">
        <w:t>Renal impairment</w:t>
      </w:r>
    </w:p>
    <w:p w14:paraId="67285B32" w14:textId="77777777" w:rsidR="00AD772C" w:rsidRPr="001B65BA" w:rsidRDefault="00AD772C" w:rsidP="00A25889">
      <w:r w:rsidRPr="001B65BA">
        <w:t xml:space="preserve">CIZINATE is contraindicated in patients with a creatinine clearance of ≤ 25mL/min (severe renal impairment) (see </w:t>
      </w:r>
      <w:r w:rsidR="00731DDE" w:rsidRPr="001B65BA">
        <w:t xml:space="preserve">Section 4.3 </w:t>
      </w:r>
      <w:r w:rsidRPr="001B65BA">
        <w:t xml:space="preserve">CONTRAINDICATIONS). </w:t>
      </w:r>
    </w:p>
    <w:p w14:paraId="123F746B" w14:textId="77777777" w:rsidR="00AD772C" w:rsidRPr="001B65BA" w:rsidRDefault="00AD772C" w:rsidP="00A25889">
      <w:r w:rsidRPr="001B65BA">
        <w:t xml:space="preserve">CIZINATE should be used with caution in patients with mild to moderate renal impairment (see </w:t>
      </w:r>
      <w:r w:rsidR="00731DDE" w:rsidRPr="001B65BA">
        <w:t xml:space="preserve">Section 4.4 SPECIAL WARNINGS AND </w:t>
      </w:r>
      <w:r w:rsidRPr="001B65BA">
        <w:t>PRECAUTIONS</w:t>
      </w:r>
      <w:r w:rsidR="00731DDE" w:rsidRPr="001B65BA">
        <w:t xml:space="preserve"> FOR USE</w:t>
      </w:r>
      <w:r w:rsidRPr="001B65BA">
        <w:t>).</w:t>
      </w:r>
    </w:p>
    <w:p w14:paraId="2761EBE3" w14:textId="77777777" w:rsidR="00AD772C" w:rsidRPr="001B65BA" w:rsidRDefault="00AD772C" w:rsidP="00A25889">
      <w:pPr>
        <w:pStyle w:val="Heading3"/>
      </w:pPr>
      <w:r w:rsidRPr="001B65BA">
        <w:t>Hepatic impairment</w:t>
      </w:r>
    </w:p>
    <w:p w14:paraId="72A33416" w14:textId="77777777" w:rsidR="00AD772C" w:rsidRPr="001B65BA" w:rsidRDefault="00AD772C" w:rsidP="00A25889">
      <w:r w:rsidRPr="001B65BA">
        <w:t>CIZINATE is contraindicated in patients with severe hepatic impairment (</w:t>
      </w:r>
      <w:r w:rsidR="00731DDE" w:rsidRPr="001B65BA">
        <w:t>see Section 4.3 CONTRAINDICATIONS</w:t>
      </w:r>
      <w:r w:rsidRPr="001B65BA">
        <w:t>).</w:t>
      </w:r>
    </w:p>
    <w:p w14:paraId="7A121AE9" w14:textId="77777777" w:rsidR="00AD772C" w:rsidRPr="001B65BA" w:rsidRDefault="00AD772C" w:rsidP="00A25889">
      <w:r w:rsidRPr="001B65BA">
        <w:t>CIZINATE should be used with caution in patients with mild to moderate hepatic impairment (</w:t>
      </w:r>
      <w:r w:rsidR="00731DDE" w:rsidRPr="001B65BA">
        <w:t>see Section 4.4 SPECIAL WARNINGS AND PRECAUTIONS FOR USE</w:t>
      </w:r>
      <w:r w:rsidRPr="001B65BA">
        <w:t>).</w:t>
      </w:r>
    </w:p>
    <w:p w14:paraId="239F64A4" w14:textId="77777777" w:rsidR="00FD1F94" w:rsidRPr="001B65BA" w:rsidRDefault="00FD1F94" w:rsidP="00A25889">
      <w:pPr>
        <w:pStyle w:val="Heading2"/>
        <w:rPr>
          <w:lang w:val="en-AU"/>
        </w:rPr>
      </w:pPr>
      <w:r w:rsidRPr="001B65BA">
        <w:rPr>
          <w:lang w:val="en-AU"/>
        </w:rPr>
        <w:t>CONTRAINDICATIONS</w:t>
      </w:r>
    </w:p>
    <w:p w14:paraId="34E4B521" w14:textId="77777777" w:rsidR="00C341A2" w:rsidRPr="001B65BA" w:rsidRDefault="00C341A2" w:rsidP="00682CC2">
      <w:pPr>
        <w:numPr>
          <w:ilvl w:val="0"/>
          <w:numId w:val="34"/>
        </w:numPr>
        <w:ind w:left="357" w:hanging="357"/>
      </w:pPr>
      <w:r w:rsidRPr="001B65BA">
        <w:t>Hypersensitivity to cinnarizine, dimenhydrinate, diphenhydramine, other antihistamines of a similar structure, or to any of the excipients.</w:t>
      </w:r>
    </w:p>
    <w:p w14:paraId="45058CC1" w14:textId="66324A09" w:rsidR="00C341A2" w:rsidRPr="001B65BA" w:rsidRDefault="00C341A2" w:rsidP="00682CC2">
      <w:pPr>
        <w:numPr>
          <w:ilvl w:val="0"/>
          <w:numId w:val="34"/>
        </w:numPr>
        <w:ind w:left="357" w:hanging="357"/>
      </w:pPr>
      <w:r w:rsidRPr="001B65BA">
        <w:t xml:space="preserve">Patients with a creatinine clearance of ≤ 25 </w:t>
      </w:r>
      <w:r w:rsidR="00300DF8" w:rsidRPr="001B65BA">
        <w:t>m</w:t>
      </w:r>
      <w:r w:rsidR="00300DF8">
        <w:t>L</w:t>
      </w:r>
      <w:r w:rsidRPr="001B65BA">
        <w:t>/min (severe renal impairment) (</w:t>
      </w:r>
      <w:r w:rsidR="00731DDE" w:rsidRPr="001B65BA">
        <w:t>Section 4.4 SPECIAL WARNINGS AND PRECAUTIONS FOR USE</w:t>
      </w:r>
      <w:r w:rsidRPr="001B65BA">
        <w:t>).</w:t>
      </w:r>
    </w:p>
    <w:p w14:paraId="00F592D2" w14:textId="77777777" w:rsidR="00C341A2" w:rsidRPr="001B65BA" w:rsidRDefault="00C341A2" w:rsidP="00682CC2">
      <w:pPr>
        <w:numPr>
          <w:ilvl w:val="0"/>
          <w:numId w:val="34"/>
        </w:numPr>
        <w:ind w:left="357" w:hanging="357"/>
      </w:pPr>
      <w:r w:rsidRPr="001B65BA">
        <w:t>Patients with severe hepatic impairment (</w:t>
      </w:r>
      <w:r w:rsidR="00731DDE" w:rsidRPr="001B65BA">
        <w:t>Section 4.4 SPECIAL WARNINGS AND PRECAUTIONS FOR USE</w:t>
      </w:r>
      <w:r w:rsidRPr="001B65BA">
        <w:t>).</w:t>
      </w:r>
    </w:p>
    <w:p w14:paraId="680E396F" w14:textId="77777777" w:rsidR="00C341A2" w:rsidRPr="001B65BA" w:rsidRDefault="00C341A2" w:rsidP="00682CC2">
      <w:pPr>
        <w:numPr>
          <w:ilvl w:val="0"/>
          <w:numId w:val="34"/>
        </w:numPr>
        <w:ind w:left="357" w:hanging="357"/>
      </w:pPr>
      <w:r w:rsidRPr="001B65BA">
        <w:t>Patients with angle-closure glaucoma, convulsions, suspicion of raised intracranial pressure, alcohol abuse or urine retention due to urethroprostatic disorders.</w:t>
      </w:r>
    </w:p>
    <w:p w14:paraId="04BE4B8B" w14:textId="77777777" w:rsidR="00FD1F94" w:rsidRPr="001B65BA" w:rsidRDefault="00FD1F94" w:rsidP="00A25889">
      <w:pPr>
        <w:pStyle w:val="Heading2"/>
        <w:rPr>
          <w:lang w:val="en-AU"/>
        </w:rPr>
      </w:pPr>
      <w:r w:rsidRPr="001B65BA">
        <w:rPr>
          <w:lang w:val="en-AU"/>
        </w:rPr>
        <w:t>SPECIAL WARNINGS AND PRECAUTIONS FOR USE</w:t>
      </w:r>
    </w:p>
    <w:p w14:paraId="24AA1C65" w14:textId="324F2B4A" w:rsidR="006A0624" w:rsidRPr="001B65BA" w:rsidRDefault="006A0624" w:rsidP="00A25889">
      <w:pPr>
        <w:pStyle w:val="Heading3"/>
      </w:pPr>
      <w:r w:rsidRPr="001B65BA">
        <w:t xml:space="preserve">Extrapyramidal </w:t>
      </w:r>
      <w:r w:rsidR="007538DA">
        <w:t>e</w:t>
      </w:r>
      <w:r w:rsidRPr="001B65BA">
        <w:t>ffects</w:t>
      </w:r>
    </w:p>
    <w:p w14:paraId="3DB573FB" w14:textId="36163DAF" w:rsidR="006A0624" w:rsidRPr="001F5104" w:rsidRDefault="006A0624" w:rsidP="00A25889">
      <w:pPr>
        <w:rPr>
          <w:i/>
        </w:rPr>
      </w:pPr>
      <w:r w:rsidRPr="007464BF">
        <w:t xml:space="preserve">Extrapyramidal effects including tremor, dyskinesia, parkinsonism, tardive </w:t>
      </w:r>
      <w:r w:rsidRPr="008C2432">
        <w:t xml:space="preserve">dyskinesia and akathisia have been reported </w:t>
      </w:r>
      <w:r w:rsidRPr="00F27FF8">
        <w:rPr>
          <w:i/>
        </w:rPr>
        <w:t xml:space="preserve">rarely </w:t>
      </w:r>
      <w:r w:rsidRPr="008C2432">
        <w:t xml:space="preserve">with cinnarizine. These effects are more likely to occur in older patients </w:t>
      </w:r>
      <w:r w:rsidRPr="00AB200B">
        <w:rPr>
          <w:i/>
        </w:rPr>
        <w:t>(&gt; 60 years</w:t>
      </w:r>
      <w:r w:rsidRPr="008C2432">
        <w:t xml:space="preserve">), women, those on high doses </w:t>
      </w:r>
      <w:r w:rsidRPr="00AB200B">
        <w:rPr>
          <w:i/>
        </w:rPr>
        <w:t>(&gt; 150mg daily)</w:t>
      </w:r>
      <w:r w:rsidRPr="008C2432">
        <w:t xml:space="preserve"> and those with prolonged exposure to cinnarizine. Symptoms have arisen after exposures between weeks and years and can commence after exposure has ceased. </w:t>
      </w:r>
      <w:r w:rsidRPr="00F27FF8">
        <w:rPr>
          <w:i/>
        </w:rPr>
        <w:t>It is unclear if these effects are due to the medicine itself, or as a result of an unmaking of a pre-existing primary degenerative process.</w:t>
      </w:r>
    </w:p>
    <w:p w14:paraId="2D93FE93" w14:textId="7F356086" w:rsidR="006A0624" w:rsidRPr="007464BF" w:rsidRDefault="006A0624" w:rsidP="00A25889">
      <w:r w:rsidRPr="007464BF">
        <w:t>While symptoms are usually reversible on cessation of cinnarizine some cases have been irreversible. It should be taken at the lowest effective dose for the shortest duration required to reduce the likelihood of extrapyramidal effects.</w:t>
      </w:r>
    </w:p>
    <w:p w14:paraId="2D17BE4A" w14:textId="77777777" w:rsidR="006A0624" w:rsidRPr="007464BF" w:rsidRDefault="006A0624" w:rsidP="00A25889">
      <w:r w:rsidRPr="007464BF">
        <w:lastRenderedPageBreak/>
        <w:t xml:space="preserve"> Patients should be advised to cease treatment with [tradename] immediately and seek medical advice if any abnormal movements such as, shaking, twitching or twisting movements, muscle stiffness, restless legs, stiff posture, slowed shuffling walk or a need to be in constant motion arise. </w:t>
      </w:r>
    </w:p>
    <w:p w14:paraId="6B604664" w14:textId="3DC4F57B" w:rsidR="00880DFB" w:rsidRPr="001B65BA" w:rsidRDefault="006A0624" w:rsidP="00A25889">
      <w:r>
        <w:t>CIZINATE</w:t>
      </w:r>
      <w:r w:rsidRPr="007464BF">
        <w:t xml:space="preserve"> should not be given to patients with pre-existing extrapyramidal movement disorders such as Parkinson’s disease.</w:t>
      </w:r>
    </w:p>
    <w:p w14:paraId="1364C7E0" w14:textId="77777777" w:rsidR="00C341A2" w:rsidRPr="001B65BA" w:rsidRDefault="00C341A2" w:rsidP="00A25889">
      <w:pPr>
        <w:pStyle w:val="Heading3"/>
      </w:pPr>
      <w:r w:rsidRPr="001B65BA">
        <w:t>Use with caution in the following circumstances:</w:t>
      </w:r>
    </w:p>
    <w:p w14:paraId="1C548E94" w14:textId="77777777" w:rsidR="00C341A2" w:rsidRPr="001B65BA" w:rsidRDefault="00C341A2" w:rsidP="00682CC2">
      <w:pPr>
        <w:numPr>
          <w:ilvl w:val="0"/>
          <w:numId w:val="38"/>
        </w:numPr>
        <w:ind w:left="357" w:hanging="357"/>
      </w:pPr>
      <w:r w:rsidRPr="001B65BA">
        <w:t>Cinnarizine/dimenhydrinate does not reduce blood pressure significantly; however, it should be used with caution in hypotensive patients.</w:t>
      </w:r>
    </w:p>
    <w:p w14:paraId="72EE9210" w14:textId="77777777" w:rsidR="00C341A2" w:rsidRPr="001B65BA" w:rsidRDefault="00C341A2" w:rsidP="00682CC2">
      <w:pPr>
        <w:numPr>
          <w:ilvl w:val="0"/>
          <w:numId w:val="38"/>
        </w:numPr>
        <w:ind w:left="357" w:hanging="357"/>
      </w:pPr>
      <w:r w:rsidRPr="001B65BA">
        <w:t>Cinnarizine/dimenhydrinate tablets should be used with caution in patients with conditions that might be aggravated by anticholinergic therapy, e.g. raised intra-ocular pressure, pyloro-duodenal obstruction, prostatic hypertrophy, hypertension, hyperthyroidism or severe coronary heart disease.</w:t>
      </w:r>
    </w:p>
    <w:p w14:paraId="5CD31942" w14:textId="4DF790DA" w:rsidR="007538DA" w:rsidRPr="001B65BA" w:rsidRDefault="007538DA" w:rsidP="00A25889">
      <w:pPr>
        <w:pStyle w:val="Heading3"/>
      </w:pPr>
      <w:r>
        <w:t>Use in h</w:t>
      </w:r>
      <w:r w:rsidRPr="001B65BA">
        <w:t xml:space="preserve">epatic </w:t>
      </w:r>
      <w:r>
        <w:t>i</w:t>
      </w:r>
      <w:r w:rsidRPr="001B65BA">
        <w:t>mpairment</w:t>
      </w:r>
    </w:p>
    <w:p w14:paraId="297CE793" w14:textId="240A122B" w:rsidR="007538DA" w:rsidRPr="001B65BA" w:rsidRDefault="007538DA" w:rsidP="00A25889">
      <w:r w:rsidRPr="001B65BA">
        <w:t>CIZINATE is contraindicated in patients with severe hepatic impairment (see</w:t>
      </w:r>
      <w:r>
        <w:t xml:space="preserve"> Section 4.3</w:t>
      </w:r>
      <w:r w:rsidRPr="001B65BA">
        <w:t xml:space="preserve"> CONTRAINDICATIONS).</w:t>
      </w:r>
    </w:p>
    <w:p w14:paraId="37CCA9C6" w14:textId="77777777" w:rsidR="007538DA" w:rsidRPr="001B65BA" w:rsidRDefault="007538DA" w:rsidP="00A25889">
      <w:r w:rsidRPr="001B65BA">
        <w:t xml:space="preserve">No studies in patients with hepatic impairment are available. </w:t>
      </w:r>
    </w:p>
    <w:p w14:paraId="4199F3AF" w14:textId="77777777" w:rsidR="007538DA" w:rsidRPr="001B65BA" w:rsidRDefault="007538DA" w:rsidP="00A25889">
      <w:r w:rsidRPr="001B65BA">
        <w:t>Both cinnarizine and dimenhydrinate are extensively metabolised by hepatic cytochrome P450 enzymes. The plasma concentrations of the unchanged drugs and their half-lives will increase in patients with severe hepatic impairment. This has been shown for diphenhydramine in patients with cirrhosis.</w:t>
      </w:r>
    </w:p>
    <w:p w14:paraId="2039C49A" w14:textId="293C297C" w:rsidR="00C341A2" w:rsidRPr="001B65BA" w:rsidRDefault="007538DA" w:rsidP="00A25889">
      <w:pPr>
        <w:pStyle w:val="Heading3"/>
      </w:pPr>
      <w:r>
        <w:t>Use in r</w:t>
      </w:r>
      <w:r w:rsidR="00C341A2" w:rsidRPr="001B65BA">
        <w:t xml:space="preserve">enal </w:t>
      </w:r>
      <w:r>
        <w:t>i</w:t>
      </w:r>
      <w:r w:rsidR="00C341A2" w:rsidRPr="001B65BA">
        <w:t>mpairment</w:t>
      </w:r>
    </w:p>
    <w:p w14:paraId="633800F7" w14:textId="041051DE" w:rsidR="00C341A2" w:rsidRPr="001B65BA" w:rsidRDefault="00C341A2" w:rsidP="00A25889">
      <w:r w:rsidRPr="001B65BA">
        <w:t xml:space="preserve">CIZINATE is contraindicated in patients with a creatinine clearance of ≤ 25 </w:t>
      </w:r>
      <w:r w:rsidR="00300DF8" w:rsidRPr="001B65BA">
        <w:t>m</w:t>
      </w:r>
      <w:r w:rsidR="00300DF8">
        <w:t>L</w:t>
      </w:r>
      <w:r w:rsidRPr="001B65BA">
        <w:t>/min (severe renal impairment) (</w:t>
      </w:r>
      <w:r w:rsidR="00731DDE" w:rsidRPr="001B65BA">
        <w:t>see Section 4.3 CONTRAINDICATIONS</w:t>
      </w:r>
      <w:r w:rsidRPr="001B65BA">
        <w:t>).</w:t>
      </w:r>
    </w:p>
    <w:p w14:paraId="7689E655" w14:textId="77777777" w:rsidR="00C341A2" w:rsidRPr="001B65BA" w:rsidRDefault="00C341A2" w:rsidP="00A25889">
      <w:r w:rsidRPr="001B65BA">
        <w:t xml:space="preserve">Diphenhydramine is completely excreted renally, and patients with severe renal impairment were excluded from the clinical development programme. </w:t>
      </w:r>
    </w:p>
    <w:p w14:paraId="602FC0ED" w14:textId="77777777" w:rsidR="00C341A2" w:rsidRPr="001B65BA" w:rsidRDefault="00C341A2" w:rsidP="006B4A18">
      <w:pPr>
        <w:pStyle w:val="Heading3"/>
      </w:pPr>
      <w:r w:rsidRPr="001B65BA">
        <w:t xml:space="preserve">Use in the elderly </w:t>
      </w:r>
    </w:p>
    <w:p w14:paraId="23093C36" w14:textId="77777777" w:rsidR="00C341A2" w:rsidRPr="001B65BA" w:rsidRDefault="00C341A2" w:rsidP="00A25889">
      <w:r w:rsidRPr="001B65BA">
        <w:t>Safety and efficacy trials conducted with FDC included patients up to 83 years of age, however no relevant sub-analyses were performed in patients aged over 65 years.</w:t>
      </w:r>
    </w:p>
    <w:p w14:paraId="34579D9D" w14:textId="1DCA9548" w:rsidR="00C341A2" w:rsidRDefault="00C341A2" w:rsidP="00A25889">
      <w:r w:rsidRPr="001B65BA">
        <w:t>Increased age may be a potential risk factor associated with cinnarizine induced extrapyramidal adverse events.</w:t>
      </w:r>
    </w:p>
    <w:p w14:paraId="275D96AC" w14:textId="77777777" w:rsidR="007538DA" w:rsidRPr="001B65BA" w:rsidRDefault="007538DA" w:rsidP="00A25889">
      <w:pPr>
        <w:pStyle w:val="Heading3"/>
      </w:pPr>
      <w:r w:rsidRPr="001B65BA">
        <w:t>Paediatric use</w:t>
      </w:r>
    </w:p>
    <w:p w14:paraId="7FCDBEB3" w14:textId="112CD089" w:rsidR="007538DA" w:rsidRPr="001B65BA" w:rsidRDefault="007538DA" w:rsidP="00A25889">
      <w:r w:rsidRPr="001B65BA">
        <w:t>The safety and efficacy of CIZINATE in children and adolescents under the age of 18 years has not been established. No data is available.</w:t>
      </w:r>
      <w:r>
        <w:t xml:space="preserve"> CIZINATE should not be given to children or adolescents aged less 18 years.</w:t>
      </w:r>
    </w:p>
    <w:p w14:paraId="20465A24" w14:textId="77777777" w:rsidR="00C341A2" w:rsidRPr="006B4A18" w:rsidRDefault="00C341A2" w:rsidP="006B4A18">
      <w:pPr>
        <w:pStyle w:val="Heading3"/>
      </w:pPr>
      <w:r w:rsidRPr="006B4A18">
        <w:lastRenderedPageBreak/>
        <w:t>Effect on laboratory tests</w:t>
      </w:r>
    </w:p>
    <w:p w14:paraId="45FCE335" w14:textId="77777777" w:rsidR="00C341A2" w:rsidRPr="001B65BA" w:rsidRDefault="00C341A2" w:rsidP="00A25889">
      <w:r w:rsidRPr="001B65BA">
        <w:t>Interactions with laboratory tests have not been established.</w:t>
      </w:r>
    </w:p>
    <w:p w14:paraId="11A530B6" w14:textId="77777777" w:rsidR="00FD1F94" w:rsidRPr="001B65BA" w:rsidRDefault="00FD1F94" w:rsidP="00A25889">
      <w:pPr>
        <w:pStyle w:val="Heading2"/>
        <w:rPr>
          <w:lang w:val="en-AU"/>
        </w:rPr>
      </w:pPr>
      <w:r w:rsidRPr="001B65BA">
        <w:rPr>
          <w:lang w:val="en-AU"/>
        </w:rPr>
        <w:t>INTERACTIONS WITH OTHER MEDICINES AND OTHER FORMS OF INTERACTIONS</w:t>
      </w:r>
    </w:p>
    <w:p w14:paraId="094A8266" w14:textId="77777777" w:rsidR="00C341A2" w:rsidRPr="001B65BA" w:rsidRDefault="00C341A2" w:rsidP="00A25889">
      <w:r w:rsidRPr="001B65BA">
        <w:t>Information relevant to potential interactions between cinnarizine and diphenhydramine and other medicinal products is limited.</w:t>
      </w:r>
    </w:p>
    <w:p w14:paraId="4263A2F5" w14:textId="77777777" w:rsidR="00232A77" w:rsidRDefault="00232A77" w:rsidP="00A25889">
      <w:r w:rsidRPr="009212FC">
        <w:rPr>
          <w:i/>
        </w:rPr>
        <w:t>In vitro</w:t>
      </w:r>
      <w:r>
        <w:t xml:space="preserve"> studies in human microsomal fractions and other animal studies demonstrate that cinnarizine metabolism is mediated by CYP2D6, CYP2B6, CYP2C9 and CYP1A2, with CYP2D6 the predominant pathway.</w:t>
      </w:r>
    </w:p>
    <w:p w14:paraId="778722ED" w14:textId="6B01504B" w:rsidR="00C341A2" w:rsidRPr="001B65BA" w:rsidRDefault="00232A77" w:rsidP="00A25889">
      <w:r>
        <w:t>As CYP2D6 is prominently involved in the metabolism of both diphenhydrinate and cinnarizine, and</w:t>
      </w:r>
      <w:r w:rsidRPr="001B65BA">
        <w:t xml:space="preserve"> </w:t>
      </w:r>
      <w:r>
        <w:t>d</w:t>
      </w:r>
      <w:r w:rsidR="00C341A2" w:rsidRPr="001B65BA">
        <w:t>iphenhydramine is known to inhibit CYP2D6 mediated metabolism.</w:t>
      </w:r>
    </w:p>
    <w:p w14:paraId="1653D8C2" w14:textId="15731E77" w:rsidR="00C341A2" w:rsidRPr="001B65BA" w:rsidRDefault="00232A77" w:rsidP="00A25889">
      <w:r>
        <w:t>Accordingly,</w:t>
      </w:r>
      <w:r w:rsidR="00C341A2" w:rsidRPr="001B65BA">
        <w:t xml:space="preserve"> care should be taken when administering the combination product with </w:t>
      </w:r>
      <w:r w:rsidR="00CC0500" w:rsidRPr="001B65BA">
        <w:t>CYP2</w:t>
      </w:r>
      <w:r w:rsidR="00CC0500">
        <w:t>D6</w:t>
      </w:r>
      <w:r w:rsidR="00CC0500" w:rsidRPr="001B65BA">
        <w:t xml:space="preserve"> </w:t>
      </w:r>
      <w:r w:rsidR="00C341A2" w:rsidRPr="001B65BA">
        <w:t>substrates such as tricyclic antidepressants, selective serotonin reuptake inhibitors, neuroleptics, beta blockers and antiarrythmics.</w:t>
      </w:r>
    </w:p>
    <w:p w14:paraId="29AF4B4B" w14:textId="77777777" w:rsidR="00C341A2" w:rsidRPr="001B65BA" w:rsidRDefault="00C341A2" w:rsidP="00A25889">
      <w:r w:rsidRPr="001B65BA">
        <w:t>The anticholinergic and sedative effects of cinnarizine/dimenhydrinate may be potentiated by monoamine oxidase inhibitors. Procarbazine may enhance the effect of cinnarizine/dimenhydrinate tablets.</w:t>
      </w:r>
    </w:p>
    <w:p w14:paraId="44E8344B" w14:textId="77777777" w:rsidR="00C341A2" w:rsidRPr="001B65BA" w:rsidRDefault="00C341A2" w:rsidP="00A25889">
      <w:r w:rsidRPr="001B65BA">
        <w:t>In common with other antihistamines, cinnarizine/dimenhydrinate tablets may potentiate the sedative effects of CNS depressants including alcohol, barbiturates, narcotic analgesics and tranquillisers. Patients should be advised to avoid alcoholic drinks. Cinnarizine/dimenhydrinate tablets may also enhance the effects of anti-hypertensives, ephedrine and anticholinergics such as atropine and tricyclic antidepressants.</w:t>
      </w:r>
    </w:p>
    <w:p w14:paraId="1B2AF5FE" w14:textId="77777777" w:rsidR="00C341A2" w:rsidRPr="001B65BA" w:rsidRDefault="00C341A2" w:rsidP="00A25889">
      <w:r w:rsidRPr="001B65BA">
        <w:t>Cinnarizine/dimenhydrinate tablets may mask ototoxic symptoms associated with amino glycosidic antibiotics and mask the response of the skin to allergic skin tests.</w:t>
      </w:r>
    </w:p>
    <w:p w14:paraId="5A2BD575" w14:textId="008B2191" w:rsidR="00C341A2" w:rsidRDefault="00C341A2" w:rsidP="00A25889">
      <w:r w:rsidRPr="001B65BA">
        <w:t>The concomitant administration of medicines that prolong the QT interval of the ECG (such as Class Ia and Class III anti-arrhythmics) should be avoided.</w:t>
      </w:r>
    </w:p>
    <w:p w14:paraId="54748EE1" w14:textId="77777777" w:rsidR="005A003E" w:rsidRDefault="005A003E" w:rsidP="00A25889">
      <w:pPr>
        <w:overflowPunct w:val="0"/>
        <w:autoSpaceDE w:val="0"/>
        <w:autoSpaceDN w:val="0"/>
        <w:adjustRightInd w:val="0"/>
        <w:ind w:right="30"/>
      </w:pPr>
      <w:r>
        <w:t>Cinnarizine may oppose the effect of betahistine.  CIZINATE should not be administered with betahistine.</w:t>
      </w:r>
    </w:p>
    <w:p w14:paraId="74935D70" w14:textId="47E673A0" w:rsidR="005A003E" w:rsidRPr="001B65BA" w:rsidRDefault="005A003E" w:rsidP="00A25889">
      <w:pPr>
        <w:overflowPunct w:val="0"/>
        <w:autoSpaceDE w:val="0"/>
        <w:autoSpaceDN w:val="0"/>
        <w:adjustRightInd w:val="0"/>
        <w:ind w:right="30"/>
      </w:pPr>
      <w:r w:rsidRPr="00DD4FBA">
        <w:t>Dimenhydrinate contains a caffeine derivative (8-chlorotheophylline).  Caffeine is metabolised by the cytochrome P450 1A2 enzyme, and therefore it is possible that 8-chlorotheophylline may inhibit or potentiate the response of common medications such as diltiazem, verapamil, olanzapine, oral contraceptives and omeprazole.</w:t>
      </w:r>
    </w:p>
    <w:p w14:paraId="5EA8CE95" w14:textId="77777777" w:rsidR="00FD1F94" w:rsidRPr="001B65BA" w:rsidRDefault="00FD1F94" w:rsidP="00A25889">
      <w:pPr>
        <w:pStyle w:val="Heading2"/>
        <w:rPr>
          <w:lang w:val="en-AU"/>
        </w:rPr>
      </w:pPr>
      <w:r w:rsidRPr="001B65BA">
        <w:rPr>
          <w:lang w:val="en-AU"/>
        </w:rPr>
        <w:t>FERTILITY, PREGNANCY AND LACTATION</w:t>
      </w:r>
    </w:p>
    <w:p w14:paraId="0D0A053F" w14:textId="77777777" w:rsidR="00FD1F94" w:rsidRPr="001B65BA" w:rsidRDefault="00FD1F94" w:rsidP="00A25889">
      <w:pPr>
        <w:pStyle w:val="Heading3"/>
      </w:pPr>
      <w:r w:rsidRPr="001B65BA">
        <w:t>Effects on fertility</w:t>
      </w:r>
    </w:p>
    <w:p w14:paraId="5477F091" w14:textId="7C647F0A" w:rsidR="00C341A2" w:rsidRPr="001B65BA" w:rsidRDefault="00C341A2" w:rsidP="00A25889">
      <w:r w:rsidRPr="001B65BA">
        <w:t xml:space="preserve">The effects of cinnarizine and dimenhydrinate on fertility </w:t>
      </w:r>
      <w:r w:rsidR="00DB61F0">
        <w:t>are</w:t>
      </w:r>
      <w:r w:rsidR="00DB61F0" w:rsidRPr="001B65BA">
        <w:t xml:space="preserve"> </w:t>
      </w:r>
      <w:r w:rsidRPr="001B65BA">
        <w:t>not known.</w:t>
      </w:r>
    </w:p>
    <w:p w14:paraId="61B52630" w14:textId="77777777" w:rsidR="00696443" w:rsidRDefault="00FD1F94" w:rsidP="00A25889">
      <w:pPr>
        <w:pStyle w:val="Heading3"/>
      </w:pPr>
      <w:r w:rsidRPr="001B65BA">
        <w:lastRenderedPageBreak/>
        <w:t>Use in pregnancy</w:t>
      </w:r>
      <w:r w:rsidR="00C341A2" w:rsidRPr="001B65BA">
        <w:t xml:space="preserve"> </w:t>
      </w:r>
    </w:p>
    <w:p w14:paraId="1854CABD" w14:textId="44CC1957" w:rsidR="00FD1F94" w:rsidRPr="001B65BA" w:rsidRDefault="00C341A2" w:rsidP="00DD4FBA">
      <w:pPr>
        <w:keepNext/>
      </w:pPr>
      <w:r w:rsidRPr="001B65BA">
        <w:t xml:space="preserve">Category </w:t>
      </w:r>
      <w:r w:rsidR="00E3576C">
        <w:t>B2</w:t>
      </w:r>
    </w:p>
    <w:p w14:paraId="61257CC9" w14:textId="55242302" w:rsidR="00E3576C" w:rsidRDefault="00E3576C" w:rsidP="00A25889">
      <w:r w:rsidRPr="00C84777">
        <w:t>Drugs which have been taken by only a limited number of pregnant women and women of childbearing age, without an increase in the frequency</w:t>
      </w:r>
      <w:r>
        <w:t xml:space="preserve"> of malformation or other direct or indirect harmful effects on the human foetus having been observed. Studies in animals are inadequate or may be lacking, but available data show no evidence of an increased occurrence of foetal damage.</w:t>
      </w:r>
    </w:p>
    <w:p w14:paraId="07F262E5" w14:textId="4F305E7D" w:rsidR="00C341A2" w:rsidRPr="001B65BA" w:rsidRDefault="00232A77" w:rsidP="00A25889">
      <w:r>
        <w:t>At high doses associated with maternal toxicity</w:t>
      </w:r>
      <w:r w:rsidR="00C341A2" w:rsidRPr="001B65BA">
        <w:t xml:space="preserve"> in rats, cinnarizine decreased litter size, increased the number of resorbed foetuses and decreased the birth weight of pups. The teratogenic risk of the single actives dimenhydrinate/diphenhydramine and cinnarizine is low. No teratogenic effects were observed in animal studies.</w:t>
      </w:r>
    </w:p>
    <w:p w14:paraId="43E63302" w14:textId="77777777" w:rsidR="00C341A2" w:rsidRPr="001B65BA" w:rsidRDefault="00C341A2" w:rsidP="00A25889">
      <w:r w:rsidRPr="001B65BA">
        <w:t>When administered to pregnant guinea pigs, cinnarizine was recovered from the foetus</w:t>
      </w:r>
      <w:r w:rsidR="00514988" w:rsidRPr="001B65BA">
        <w:t xml:space="preserve">. </w:t>
      </w:r>
      <w:r w:rsidRPr="001B65BA">
        <w:t>The proportion of administered dose recovered from the foetus, compared to the dam, was generally less than 25%.</w:t>
      </w:r>
    </w:p>
    <w:p w14:paraId="713FAE2A" w14:textId="2C9CBA70" w:rsidR="00C341A2" w:rsidRPr="001B65BA" w:rsidRDefault="00C341A2" w:rsidP="00A25889">
      <w:r w:rsidRPr="001B65BA">
        <w:t xml:space="preserve">There are no data from the use of cinnarizine/dimenhydrinate tablets in pregnant women. </w:t>
      </w:r>
    </w:p>
    <w:p w14:paraId="33096450" w14:textId="77777777" w:rsidR="00C341A2" w:rsidRPr="001B65BA" w:rsidRDefault="00C341A2" w:rsidP="00A25889">
      <w:r w:rsidRPr="001B65BA">
        <w:t>Based on human experience dimenhydrinate is suspected to have an oxytocic effect and may shorten labour.</w:t>
      </w:r>
    </w:p>
    <w:p w14:paraId="0A5A3000" w14:textId="13A92133" w:rsidR="00C341A2" w:rsidRPr="001B65BA" w:rsidRDefault="00C341A2" w:rsidP="00A25889">
      <w:r w:rsidRPr="001B65BA">
        <w:t xml:space="preserve">Cinnarizine/dimenhydrinate tablets are not recommended </w:t>
      </w:r>
      <w:r w:rsidR="00232A77" w:rsidRPr="003F1784">
        <w:t>during pregnancy.</w:t>
      </w:r>
    </w:p>
    <w:p w14:paraId="40F028CC" w14:textId="77777777" w:rsidR="00FD1F94" w:rsidRPr="001B65BA" w:rsidRDefault="00FD1F94" w:rsidP="00A25889">
      <w:pPr>
        <w:pStyle w:val="Heading3"/>
      </w:pPr>
      <w:r w:rsidRPr="001B65BA">
        <w:t>Use in lactation</w:t>
      </w:r>
    </w:p>
    <w:p w14:paraId="5859E7CF" w14:textId="77777777" w:rsidR="00C341A2" w:rsidRPr="001B65BA" w:rsidRDefault="00C341A2" w:rsidP="00A25889">
      <w:r w:rsidRPr="001B65BA">
        <w:t>Cinnarizine and dimenhydrinate are excreted in human breast milk. Cinnarizine/dimenhydrinate tablets should not be used during breastfeeding</w:t>
      </w:r>
    </w:p>
    <w:p w14:paraId="0C1ED7E7" w14:textId="77777777" w:rsidR="00FD1F94" w:rsidRPr="001B65BA" w:rsidRDefault="00FD1F94" w:rsidP="00A25889">
      <w:pPr>
        <w:pStyle w:val="Heading2"/>
        <w:rPr>
          <w:lang w:val="en-AU"/>
        </w:rPr>
      </w:pPr>
      <w:bookmarkStart w:id="3" w:name="page4"/>
      <w:bookmarkEnd w:id="3"/>
      <w:r w:rsidRPr="001B65BA">
        <w:rPr>
          <w:lang w:val="en-AU"/>
        </w:rPr>
        <w:t>EFFECTS ON ABILITY TO DRIVE AND USE MACHINES</w:t>
      </w:r>
    </w:p>
    <w:p w14:paraId="164D7B62" w14:textId="77777777" w:rsidR="007F328B" w:rsidRPr="001B65BA" w:rsidRDefault="007F328B" w:rsidP="00A25889">
      <w:r w:rsidRPr="001B65BA">
        <w:t>Cinnarizine/dimenhydrinate tablets may have minor influence on the ability to drive and use machines.</w:t>
      </w:r>
    </w:p>
    <w:p w14:paraId="35831680" w14:textId="77777777" w:rsidR="007F328B" w:rsidRPr="001B65BA" w:rsidRDefault="007F328B" w:rsidP="00A25889">
      <w:r w:rsidRPr="001B65BA">
        <w:t>Cinnarizine/dimenhydrinate tablets may cause drowsiness, especially at the start of treatment. Patients affected in this way should not drive or operate machinery.</w:t>
      </w:r>
    </w:p>
    <w:p w14:paraId="0102F350" w14:textId="77777777" w:rsidR="00FD1F94" w:rsidRPr="001B65BA" w:rsidRDefault="00FD1F94" w:rsidP="00A25889">
      <w:pPr>
        <w:pStyle w:val="Heading2"/>
        <w:rPr>
          <w:lang w:val="en-AU"/>
        </w:rPr>
      </w:pPr>
      <w:r w:rsidRPr="001B65BA">
        <w:rPr>
          <w:lang w:val="en-AU"/>
        </w:rPr>
        <w:t>ADVERSE EFFECTS (UNDESIRABLE EFFECTS)</w:t>
      </w:r>
    </w:p>
    <w:p w14:paraId="693CEA20" w14:textId="77777777" w:rsidR="007F328B" w:rsidRPr="001B65BA" w:rsidRDefault="007F328B" w:rsidP="00A25889">
      <w:r w:rsidRPr="001B65BA">
        <w:t>The most frequently reported adverse drug reactions (ADR) in patients taking FDC in clinical trials are somnolence (including drowsiness, tiredness, fatigue, daze), dry mouth and headache. These reactions are usually mild and disappear within a few days even if treatment is continued. The overall frequency of ADRs associated with CIZINATE in all clinical trials and following spontaneous reports are included in the next table.</w:t>
      </w:r>
    </w:p>
    <w:p w14:paraId="60EEB1F4" w14:textId="5A6B5214" w:rsidR="007F328B" w:rsidRPr="001B65BA" w:rsidRDefault="001B65BA" w:rsidP="00BE2ABC">
      <w:pPr>
        <w:keepNext/>
        <w:rPr>
          <w:b/>
        </w:rPr>
      </w:pPr>
      <w:r w:rsidRPr="001B65BA">
        <w:rPr>
          <w:b/>
        </w:rPr>
        <w:lastRenderedPageBreak/>
        <w:t xml:space="preserve">Table </w:t>
      </w:r>
      <w:r w:rsidRPr="0012531D">
        <w:rPr>
          <w:b/>
        </w:rPr>
        <w:fldChar w:fldCharType="begin"/>
      </w:r>
      <w:r w:rsidRPr="001B65BA">
        <w:rPr>
          <w:b/>
        </w:rPr>
        <w:instrText xml:space="preserve"> SEQ Table \* ARABIC </w:instrText>
      </w:r>
      <w:r w:rsidRPr="0012531D">
        <w:rPr>
          <w:b/>
        </w:rPr>
        <w:fldChar w:fldCharType="separate"/>
      </w:r>
      <w:r w:rsidR="00FD7B60">
        <w:rPr>
          <w:b/>
          <w:noProof/>
        </w:rPr>
        <w:t>1</w:t>
      </w:r>
      <w:r w:rsidRPr="0012531D">
        <w:rPr>
          <w:b/>
        </w:rPr>
        <w:fldChar w:fldCharType="end"/>
      </w:r>
      <w:r w:rsidRPr="001B65BA">
        <w:rPr>
          <w:b/>
        </w:rPr>
        <w:t xml:space="preserve">: </w:t>
      </w:r>
      <w:r w:rsidR="007F328B" w:rsidRPr="001B65BA">
        <w:rPr>
          <w:b/>
        </w:rPr>
        <w:t>Tabulated list of adverse reactions</w:t>
      </w:r>
    </w:p>
    <w:tbl>
      <w:tblPr>
        <w:tblW w:w="5000" w:type="pct"/>
        <w:tblInd w:w="20" w:type="dxa"/>
        <w:tblCellMar>
          <w:left w:w="0" w:type="dxa"/>
          <w:right w:w="0" w:type="dxa"/>
        </w:tblCellMar>
        <w:tblLook w:val="0000" w:firstRow="0" w:lastRow="0" w:firstColumn="0" w:lastColumn="0" w:noHBand="0" w:noVBand="0"/>
      </w:tblPr>
      <w:tblGrid>
        <w:gridCol w:w="1830"/>
        <w:gridCol w:w="9"/>
        <w:gridCol w:w="1841"/>
        <w:gridCol w:w="9"/>
        <w:gridCol w:w="1760"/>
        <w:gridCol w:w="1850"/>
        <w:gridCol w:w="11"/>
        <w:gridCol w:w="1819"/>
        <w:gridCol w:w="11"/>
      </w:tblGrid>
      <w:tr w:rsidR="007F328B" w:rsidRPr="00696443" w14:paraId="747C252C" w14:textId="77777777" w:rsidTr="00EA60AB">
        <w:trPr>
          <w:gridAfter w:val="1"/>
          <w:wAfter w:w="6" w:type="pct"/>
          <w:trHeight w:val="258"/>
          <w:tblHeader/>
        </w:trPr>
        <w:tc>
          <w:tcPr>
            <w:tcW w:w="1001" w:type="pct"/>
            <w:vMerge w:val="restart"/>
            <w:tcBorders>
              <w:top w:val="single" w:sz="8" w:space="0" w:color="auto"/>
              <w:left w:val="single" w:sz="8" w:space="0" w:color="auto"/>
              <w:right w:val="single" w:sz="8" w:space="0" w:color="auto"/>
            </w:tcBorders>
          </w:tcPr>
          <w:p w14:paraId="402DCB43" w14:textId="77777777" w:rsidR="007F328B" w:rsidRPr="00696443" w:rsidRDefault="007F328B" w:rsidP="00A25889">
            <w:pPr>
              <w:spacing w:before="0" w:after="0"/>
              <w:rPr>
                <w:b/>
                <w:sz w:val="20"/>
                <w:szCs w:val="20"/>
              </w:rPr>
            </w:pPr>
            <w:r w:rsidRPr="00696443">
              <w:rPr>
                <w:b/>
                <w:sz w:val="20"/>
                <w:szCs w:val="20"/>
              </w:rPr>
              <w:t>Frequency of ADR</w:t>
            </w:r>
          </w:p>
        </w:tc>
        <w:tc>
          <w:tcPr>
            <w:tcW w:w="1012" w:type="pct"/>
            <w:gridSpan w:val="2"/>
            <w:tcBorders>
              <w:top w:val="single" w:sz="8" w:space="0" w:color="auto"/>
              <w:left w:val="nil"/>
              <w:bottom w:val="nil"/>
              <w:right w:val="single" w:sz="8" w:space="0" w:color="auto"/>
            </w:tcBorders>
          </w:tcPr>
          <w:p w14:paraId="37DB9937" w14:textId="77777777" w:rsidR="007F328B" w:rsidRPr="00696443" w:rsidRDefault="007F328B" w:rsidP="00A25889">
            <w:pPr>
              <w:spacing w:before="0" w:after="0"/>
              <w:rPr>
                <w:b/>
                <w:sz w:val="20"/>
                <w:szCs w:val="20"/>
              </w:rPr>
            </w:pPr>
            <w:r w:rsidRPr="00696443">
              <w:rPr>
                <w:b/>
                <w:sz w:val="20"/>
                <w:szCs w:val="20"/>
              </w:rPr>
              <w:t>Common</w:t>
            </w:r>
          </w:p>
        </w:tc>
        <w:tc>
          <w:tcPr>
            <w:tcW w:w="968" w:type="pct"/>
            <w:gridSpan w:val="2"/>
            <w:tcBorders>
              <w:top w:val="single" w:sz="8" w:space="0" w:color="auto"/>
              <w:left w:val="nil"/>
              <w:bottom w:val="nil"/>
              <w:right w:val="single" w:sz="8" w:space="0" w:color="auto"/>
            </w:tcBorders>
          </w:tcPr>
          <w:p w14:paraId="7E919E94" w14:textId="77777777" w:rsidR="007F328B" w:rsidRPr="00696443" w:rsidRDefault="007F328B" w:rsidP="00A25889">
            <w:pPr>
              <w:spacing w:before="0" w:after="0"/>
              <w:rPr>
                <w:b/>
                <w:sz w:val="20"/>
                <w:szCs w:val="20"/>
              </w:rPr>
            </w:pPr>
            <w:r w:rsidRPr="00696443">
              <w:rPr>
                <w:b/>
                <w:sz w:val="20"/>
                <w:szCs w:val="20"/>
              </w:rPr>
              <w:t>Uncommon</w:t>
            </w:r>
          </w:p>
        </w:tc>
        <w:tc>
          <w:tcPr>
            <w:tcW w:w="1012" w:type="pct"/>
            <w:tcBorders>
              <w:top w:val="single" w:sz="8" w:space="0" w:color="auto"/>
              <w:left w:val="nil"/>
              <w:bottom w:val="nil"/>
              <w:right w:val="single" w:sz="8" w:space="0" w:color="auto"/>
            </w:tcBorders>
          </w:tcPr>
          <w:p w14:paraId="337D9E89" w14:textId="77777777" w:rsidR="007F328B" w:rsidRPr="00696443" w:rsidRDefault="007F328B" w:rsidP="00A25889">
            <w:pPr>
              <w:spacing w:before="0" w:after="0"/>
              <w:rPr>
                <w:b/>
                <w:sz w:val="20"/>
                <w:szCs w:val="20"/>
              </w:rPr>
            </w:pPr>
            <w:r w:rsidRPr="00696443">
              <w:rPr>
                <w:b/>
                <w:sz w:val="20"/>
                <w:szCs w:val="20"/>
              </w:rPr>
              <w:t>Rare</w:t>
            </w:r>
          </w:p>
        </w:tc>
        <w:tc>
          <w:tcPr>
            <w:tcW w:w="1001" w:type="pct"/>
            <w:gridSpan w:val="2"/>
            <w:tcBorders>
              <w:top w:val="single" w:sz="8" w:space="0" w:color="auto"/>
              <w:left w:val="nil"/>
              <w:bottom w:val="nil"/>
              <w:right w:val="single" w:sz="8" w:space="0" w:color="auto"/>
            </w:tcBorders>
          </w:tcPr>
          <w:p w14:paraId="7537B087" w14:textId="77777777" w:rsidR="007F328B" w:rsidRPr="00696443" w:rsidRDefault="007F328B" w:rsidP="00A25889">
            <w:pPr>
              <w:spacing w:before="0" w:after="0"/>
              <w:rPr>
                <w:b/>
                <w:sz w:val="20"/>
                <w:szCs w:val="20"/>
              </w:rPr>
            </w:pPr>
            <w:r w:rsidRPr="00696443">
              <w:rPr>
                <w:b/>
                <w:sz w:val="20"/>
                <w:szCs w:val="20"/>
              </w:rPr>
              <w:t>Very rare</w:t>
            </w:r>
          </w:p>
        </w:tc>
      </w:tr>
      <w:tr w:rsidR="007F328B" w:rsidRPr="00696443" w14:paraId="40AE0212" w14:textId="77777777" w:rsidTr="00EA60AB">
        <w:trPr>
          <w:gridAfter w:val="1"/>
          <w:wAfter w:w="6" w:type="pct"/>
          <w:trHeight w:val="240"/>
          <w:tblHeader/>
        </w:trPr>
        <w:tc>
          <w:tcPr>
            <w:tcW w:w="1001" w:type="pct"/>
            <w:vMerge/>
            <w:tcBorders>
              <w:left w:val="single" w:sz="8" w:space="0" w:color="auto"/>
              <w:bottom w:val="nil"/>
              <w:right w:val="single" w:sz="8" w:space="0" w:color="auto"/>
            </w:tcBorders>
          </w:tcPr>
          <w:p w14:paraId="59AB0C2F" w14:textId="77777777" w:rsidR="007F328B" w:rsidRPr="00696443" w:rsidRDefault="007F328B" w:rsidP="00A25889">
            <w:pPr>
              <w:spacing w:before="0" w:after="0"/>
              <w:rPr>
                <w:b/>
                <w:sz w:val="20"/>
                <w:szCs w:val="20"/>
              </w:rPr>
            </w:pPr>
          </w:p>
        </w:tc>
        <w:tc>
          <w:tcPr>
            <w:tcW w:w="1012" w:type="pct"/>
            <w:gridSpan w:val="2"/>
            <w:tcBorders>
              <w:top w:val="nil"/>
              <w:left w:val="nil"/>
              <w:bottom w:val="nil"/>
              <w:right w:val="single" w:sz="8" w:space="0" w:color="auto"/>
            </w:tcBorders>
          </w:tcPr>
          <w:p w14:paraId="11FF4304" w14:textId="77777777" w:rsidR="007F328B" w:rsidRPr="00696443" w:rsidRDefault="007F328B" w:rsidP="00A25889">
            <w:pPr>
              <w:spacing w:before="0" w:after="0"/>
              <w:rPr>
                <w:b/>
                <w:sz w:val="20"/>
                <w:szCs w:val="20"/>
              </w:rPr>
            </w:pPr>
            <w:r w:rsidRPr="00696443">
              <w:rPr>
                <w:b/>
                <w:sz w:val="20"/>
                <w:szCs w:val="20"/>
              </w:rPr>
              <w:t>≥1/100 to &lt;1/10</w:t>
            </w:r>
          </w:p>
        </w:tc>
        <w:tc>
          <w:tcPr>
            <w:tcW w:w="968" w:type="pct"/>
            <w:gridSpan w:val="2"/>
            <w:tcBorders>
              <w:top w:val="nil"/>
              <w:left w:val="nil"/>
              <w:bottom w:val="nil"/>
              <w:right w:val="single" w:sz="8" w:space="0" w:color="auto"/>
            </w:tcBorders>
          </w:tcPr>
          <w:p w14:paraId="08BA9F10" w14:textId="77777777" w:rsidR="007F328B" w:rsidRPr="00696443" w:rsidRDefault="007F328B" w:rsidP="00A25889">
            <w:pPr>
              <w:spacing w:before="0" w:after="0"/>
              <w:rPr>
                <w:b/>
                <w:sz w:val="20"/>
                <w:szCs w:val="20"/>
              </w:rPr>
            </w:pPr>
            <w:r w:rsidRPr="00696443">
              <w:rPr>
                <w:b/>
                <w:sz w:val="20"/>
                <w:szCs w:val="20"/>
              </w:rPr>
              <w:t>≥1/1,000 to &lt;1/100</w:t>
            </w:r>
          </w:p>
        </w:tc>
        <w:tc>
          <w:tcPr>
            <w:tcW w:w="1012" w:type="pct"/>
            <w:tcBorders>
              <w:top w:val="nil"/>
              <w:left w:val="nil"/>
              <w:bottom w:val="nil"/>
              <w:right w:val="single" w:sz="8" w:space="0" w:color="auto"/>
            </w:tcBorders>
          </w:tcPr>
          <w:p w14:paraId="7A74DB89" w14:textId="77777777" w:rsidR="007F328B" w:rsidRPr="00696443" w:rsidRDefault="007F328B" w:rsidP="00A25889">
            <w:pPr>
              <w:spacing w:before="0" w:after="0"/>
              <w:rPr>
                <w:b/>
                <w:sz w:val="20"/>
                <w:szCs w:val="20"/>
              </w:rPr>
            </w:pPr>
            <w:r w:rsidRPr="00696443">
              <w:rPr>
                <w:b/>
                <w:sz w:val="20"/>
                <w:szCs w:val="20"/>
              </w:rPr>
              <w:t>≥1/10,000 to &lt;1/1,000</w:t>
            </w:r>
          </w:p>
        </w:tc>
        <w:tc>
          <w:tcPr>
            <w:tcW w:w="1001" w:type="pct"/>
            <w:gridSpan w:val="2"/>
            <w:tcBorders>
              <w:top w:val="nil"/>
              <w:left w:val="nil"/>
              <w:bottom w:val="nil"/>
              <w:right w:val="single" w:sz="8" w:space="0" w:color="auto"/>
            </w:tcBorders>
          </w:tcPr>
          <w:p w14:paraId="701715D8" w14:textId="77777777" w:rsidR="007F328B" w:rsidRPr="00696443" w:rsidRDefault="007F328B" w:rsidP="00A25889">
            <w:pPr>
              <w:spacing w:before="0" w:after="0"/>
              <w:rPr>
                <w:b/>
                <w:sz w:val="20"/>
                <w:szCs w:val="20"/>
              </w:rPr>
            </w:pPr>
            <w:r w:rsidRPr="00696443">
              <w:rPr>
                <w:b/>
                <w:sz w:val="20"/>
                <w:szCs w:val="20"/>
              </w:rPr>
              <w:t>&lt;1/10,000</w:t>
            </w:r>
          </w:p>
        </w:tc>
      </w:tr>
      <w:tr w:rsidR="007F328B" w:rsidRPr="00696443" w14:paraId="60C61230" w14:textId="77777777" w:rsidTr="00EA60AB">
        <w:trPr>
          <w:gridAfter w:val="1"/>
          <w:wAfter w:w="6" w:type="pct"/>
          <w:trHeight w:val="246"/>
          <w:tblHeader/>
        </w:trPr>
        <w:tc>
          <w:tcPr>
            <w:tcW w:w="1001" w:type="pct"/>
            <w:tcBorders>
              <w:top w:val="nil"/>
              <w:left w:val="single" w:sz="8" w:space="0" w:color="auto"/>
              <w:bottom w:val="single" w:sz="8" w:space="0" w:color="auto"/>
              <w:right w:val="single" w:sz="8" w:space="0" w:color="auto"/>
            </w:tcBorders>
          </w:tcPr>
          <w:p w14:paraId="6E923717" w14:textId="77777777" w:rsidR="007F328B" w:rsidRPr="00696443" w:rsidRDefault="007F328B" w:rsidP="00A25889">
            <w:pPr>
              <w:spacing w:before="0" w:after="0"/>
              <w:rPr>
                <w:b/>
                <w:sz w:val="20"/>
                <w:szCs w:val="20"/>
              </w:rPr>
            </w:pPr>
            <w:r w:rsidRPr="00696443">
              <w:rPr>
                <w:b/>
                <w:sz w:val="20"/>
                <w:szCs w:val="20"/>
              </w:rPr>
              <w:t>Body system:</w:t>
            </w:r>
          </w:p>
        </w:tc>
        <w:tc>
          <w:tcPr>
            <w:tcW w:w="1012" w:type="pct"/>
            <w:gridSpan w:val="2"/>
            <w:tcBorders>
              <w:top w:val="nil"/>
              <w:left w:val="nil"/>
              <w:bottom w:val="single" w:sz="8" w:space="0" w:color="auto"/>
              <w:right w:val="single" w:sz="8" w:space="0" w:color="auto"/>
            </w:tcBorders>
          </w:tcPr>
          <w:p w14:paraId="7A58634A" w14:textId="77777777" w:rsidR="007F328B" w:rsidRPr="00696443" w:rsidRDefault="007F328B" w:rsidP="00A25889">
            <w:pPr>
              <w:spacing w:before="0" w:after="0"/>
              <w:rPr>
                <w:b/>
                <w:sz w:val="20"/>
                <w:szCs w:val="20"/>
              </w:rPr>
            </w:pPr>
          </w:p>
        </w:tc>
        <w:tc>
          <w:tcPr>
            <w:tcW w:w="968" w:type="pct"/>
            <w:gridSpan w:val="2"/>
            <w:tcBorders>
              <w:top w:val="nil"/>
              <w:left w:val="nil"/>
              <w:bottom w:val="single" w:sz="8" w:space="0" w:color="auto"/>
              <w:right w:val="single" w:sz="8" w:space="0" w:color="auto"/>
            </w:tcBorders>
          </w:tcPr>
          <w:p w14:paraId="2BE60A7D" w14:textId="77777777" w:rsidR="007F328B" w:rsidRPr="00696443" w:rsidRDefault="007F328B" w:rsidP="00A25889">
            <w:pPr>
              <w:spacing w:before="0" w:after="0"/>
              <w:rPr>
                <w:b/>
                <w:sz w:val="20"/>
                <w:szCs w:val="20"/>
              </w:rPr>
            </w:pPr>
          </w:p>
        </w:tc>
        <w:tc>
          <w:tcPr>
            <w:tcW w:w="1012" w:type="pct"/>
            <w:tcBorders>
              <w:top w:val="nil"/>
              <w:left w:val="nil"/>
              <w:bottom w:val="single" w:sz="8" w:space="0" w:color="auto"/>
              <w:right w:val="single" w:sz="8" w:space="0" w:color="auto"/>
            </w:tcBorders>
          </w:tcPr>
          <w:p w14:paraId="332D39F3" w14:textId="77777777" w:rsidR="007F328B" w:rsidRPr="00696443" w:rsidRDefault="007F328B" w:rsidP="00A25889">
            <w:pPr>
              <w:spacing w:before="0" w:after="0"/>
              <w:rPr>
                <w:b/>
                <w:sz w:val="20"/>
                <w:szCs w:val="20"/>
              </w:rPr>
            </w:pPr>
          </w:p>
        </w:tc>
        <w:tc>
          <w:tcPr>
            <w:tcW w:w="1001" w:type="pct"/>
            <w:gridSpan w:val="2"/>
            <w:tcBorders>
              <w:top w:val="nil"/>
              <w:left w:val="nil"/>
              <w:bottom w:val="single" w:sz="8" w:space="0" w:color="auto"/>
              <w:right w:val="single" w:sz="8" w:space="0" w:color="auto"/>
            </w:tcBorders>
          </w:tcPr>
          <w:p w14:paraId="6914DF44" w14:textId="77777777" w:rsidR="007F328B" w:rsidRPr="00696443" w:rsidRDefault="007F328B" w:rsidP="00A25889">
            <w:pPr>
              <w:spacing w:before="0" w:after="0"/>
              <w:rPr>
                <w:b/>
                <w:sz w:val="20"/>
                <w:szCs w:val="20"/>
              </w:rPr>
            </w:pPr>
          </w:p>
        </w:tc>
      </w:tr>
      <w:tr w:rsidR="007F328B" w:rsidRPr="00696443" w14:paraId="266BB458" w14:textId="77777777" w:rsidTr="00EA60AB">
        <w:trPr>
          <w:gridAfter w:val="1"/>
          <w:wAfter w:w="6" w:type="pct"/>
          <w:trHeight w:val="228"/>
        </w:trPr>
        <w:tc>
          <w:tcPr>
            <w:tcW w:w="1001" w:type="pct"/>
            <w:vMerge w:val="restart"/>
            <w:tcBorders>
              <w:top w:val="nil"/>
              <w:left w:val="single" w:sz="8" w:space="0" w:color="auto"/>
              <w:right w:val="single" w:sz="8" w:space="0" w:color="auto"/>
            </w:tcBorders>
          </w:tcPr>
          <w:p w14:paraId="29B49727" w14:textId="77777777" w:rsidR="007F328B" w:rsidRPr="00696443" w:rsidRDefault="007F328B" w:rsidP="00A25889">
            <w:pPr>
              <w:spacing w:before="0" w:after="0"/>
              <w:ind w:right="2"/>
              <w:jc w:val="left"/>
              <w:rPr>
                <w:sz w:val="20"/>
                <w:szCs w:val="20"/>
              </w:rPr>
            </w:pPr>
            <w:r w:rsidRPr="00696443">
              <w:rPr>
                <w:sz w:val="20"/>
                <w:szCs w:val="20"/>
              </w:rPr>
              <w:t>Blood and</w:t>
            </w:r>
            <w:r w:rsidR="00456870" w:rsidRPr="00696443">
              <w:rPr>
                <w:sz w:val="20"/>
                <w:szCs w:val="20"/>
              </w:rPr>
              <w:t xml:space="preserve"> </w:t>
            </w:r>
            <w:r w:rsidRPr="00696443">
              <w:rPr>
                <w:sz w:val="20"/>
                <w:szCs w:val="20"/>
              </w:rPr>
              <w:t>lymphatic system</w:t>
            </w:r>
            <w:r w:rsidR="00456870" w:rsidRPr="00696443">
              <w:rPr>
                <w:sz w:val="20"/>
                <w:szCs w:val="20"/>
              </w:rPr>
              <w:t xml:space="preserve"> </w:t>
            </w:r>
            <w:r w:rsidRPr="00696443">
              <w:rPr>
                <w:sz w:val="20"/>
                <w:szCs w:val="20"/>
              </w:rPr>
              <w:t>disorders</w:t>
            </w:r>
          </w:p>
        </w:tc>
        <w:tc>
          <w:tcPr>
            <w:tcW w:w="1012" w:type="pct"/>
            <w:gridSpan w:val="2"/>
            <w:tcBorders>
              <w:top w:val="nil"/>
              <w:left w:val="nil"/>
              <w:bottom w:val="nil"/>
              <w:right w:val="single" w:sz="8" w:space="0" w:color="auto"/>
            </w:tcBorders>
          </w:tcPr>
          <w:p w14:paraId="1017733C" w14:textId="77777777" w:rsidR="007F328B" w:rsidRPr="00696443" w:rsidRDefault="007F328B" w:rsidP="00A25889">
            <w:pPr>
              <w:spacing w:before="0" w:after="0"/>
              <w:jc w:val="left"/>
              <w:rPr>
                <w:sz w:val="20"/>
                <w:szCs w:val="20"/>
              </w:rPr>
            </w:pPr>
          </w:p>
        </w:tc>
        <w:tc>
          <w:tcPr>
            <w:tcW w:w="968" w:type="pct"/>
            <w:gridSpan w:val="2"/>
            <w:tcBorders>
              <w:top w:val="nil"/>
              <w:left w:val="nil"/>
              <w:bottom w:val="nil"/>
              <w:right w:val="single" w:sz="8" w:space="0" w:color="auto"/>
            </w:tcBorders>
          </w:tcPr>
          <w:p w14:paraId="6EAC83E2" w14:textId="77777777" w:rsidR="007F328B" w:rsidRPr="00696443" w:rsidRDefault="007F328B" w:rsidP="00A25889">
            <w:pPr>
              <w:spacing w:before="0" w:after="0"/>
              <w:jc w:val="left"/>
              <w:rPr>
                <w:sz w:val="20"/>
                <w:szCs w:val="20"/>
              </w:rPr>
            </w:pPr>
          </w:p>
        </w:tc>
        <w:tc>
          <w:tcPr>
            <w:tcW w:w="1012" w:type="pct"/>
            <w:tcBorders>
              <w:top w:val="nil"/>
              <w:left w:val="nil"/>
              <w:bottom w:val="nil"/>
              <w:right w:val="single" w:sz="8" w:space="0" w:color="auto"/>
            </w:tcBorders>
          </w:tcPr>
          <w:p w14:paraId="6B4C730E" w14:textId="77777777" w:rsidR="007F328B" w:rsidRPr="00696443" w:rsidRDefault="007F328B" w:rsidP="00A25889">
            <w:pPr>
              <w:spacing w:before="0" w:after="0"/>
              <w:jc w:val="left"/>
              <w:rPr>
                <w:sz w:val="20"/>
                <w:szCs w:val="20"/>
              </w:rPr>
            </w:pPr>
          </w:p>
        </w:tc>
        <w:tc>
          <w:tcPr>
            <w:tcW w:w="1001" w:type="pct"/>
            <w:gridSpan w:val="2"/>
            <w:tcBorders>
              <w:top w:val="nil"/>
              <w:left w:val="nil"/>
              <w:bottom w:val="nil"/>
              <w:right w:val="single" w:sz="8" w:space="0" w:color="auto"/>
            </w:tcBorders>
          </w:tcPr>
          <w:p w14:paraId="6EE6C6F6" w14:textId="77777777" w:rsidR="007F328B" w:rsidRPr="00696443" w:rsidRDefault="007F328B" w:rsidP="00A25889">
            <w:pPr>
              <w:spacing w:before="0" w:after="0"/>
              <w:jc w:val="left"/>
              <w:rPr>
                <w:sz w:val="20"/>
                <w:szCs w:val="20"/>
              </w:rPr>
            </w:pPr>
            <w:r w:rsidRPr="00696443">
              <w:rPr>
                <w:sz w:val="20"/>
                <w:szCs w:val="20"/>
              </w:rPr>
              <w:t>Leucopenia</w:t>
            </w:r>
          </w:p>
        </w:tc>
      </w:tr>
      <w:tr w:rsidR="007F328B" w:rsidRPr="00696443" w14:paraId="59E01C87" w14:textId="77777777" w:rsidTr="00EA60AB">
        <w:trPr>
          <w:gridAfter w:val="1"/>
          <w:wAfter w:w="6" w:type="pct"/>
          <w:trHeight w:val="255"/>
        </w:trPr>
        <w:tc>
          <w:tcPr>
            <w:tcW w:w="1001" w:type="pct"/>
            <w:vMerge/>
            <w:tcBorders>
              <w:left w:val="single" w:sz="8" w:space="0" w:color="auto"/>
              <w:right w:val="single" w:sz="8" w:space="0" w:color="auto"/>
            </w:tcBorders>
          </w:tcPr>
          <w:p w14:paraId="0CF259E1" w14:textId="77777777" w:rsidR="007F328B" w:rsidRPr="00696443" w:rsidRDefault="007F328B" w:rsidP="00A25889">
            <w:pPr>
              <w:spacing w:before="0" w:after="0"/>
              <w:jc w:val="left"/>
              <w:rPr>
                <w:sz w:val="20"/>
                <w:szCs w:val="20"/>
              </w:rPr>
            </w:pPr>
          </w:p>
        </w:tc>
        <w:tc>
          <w:tcPr>
            <w:tcW w:w="1012" w:type="pct"/>
            <w:gridSpan w:val="2"/>
            <w:tcBorders>
              <w:top w:val="nil"/>
              <w:left w:val="nil"/>
              <w:bottom w:val="nil"/>
              <w:right w:val="single" w:sz="8" w:space="0" w:color="auto"/>
            </w:tcBorders>
          </w:tcPr>
          <w:p w14:paraId="486ED246" w14:textId="77777777" w:rsidR="007F328B" w:rsidRPr="00696443" w:rsidRDefault="007F328B" w:rsidP="00A25889">
            <w:pPr>
              <w:spacing w:before="0" w:after="0"/>
              <w:jc w:val="left"/>
              <w:rPr>
                <w:sz w:val="20"/>
                <w:szCs w:val="20"/>
              </w:rPr>
            </w:pPr>
          </w:p>
        </w:tc>
        <w:tc>
          <w:tcPr>
            <w:tcW w:w="968" w:type="pct"/>
            <w:gridSpan w:val="2"/>
            <w:tcBorders>
              <w:top w:val="nil"/>
              <w:left w:val="nil"/>
              <w:bottom w:val="nil"/>
              <w:right w:val="single" w:sz="8" w:space="0" w:color="auto"/>
            </w:tcBorders>
          </w:tcPr>
          <w:p w14:paraId="5E85907C" w14:textId="77777777" w:rsidR="007F328B" w:rsidRPr="00696443" w:rsidRDefault="007F328B" w:rsidP="00A25889">
            <w:pPr>
              <w:spacing w:before="0" w:after="0"/>
              <w:jc w:val="left"/>
              <w:rPr>
                <w:sz w:val="20"/>
                <w:szCs w:val="20"/>
              </w:rPr>
            </w:pPr>
          </w:p>
        </w:tc>
        <w:tc>
          <w:tcPr>
            <w:tcW w:w="1012" w:type="pct"/>
            <w:tcBorders>
              <w:top w:val="nil"/>
              <w:left w:val="nil"/>
              <w:bottom w:val="nil"/>
              <w:right w:val="single" w:sz="8" w:space="0" w:color="auto"/>
            </w:tcBorders>
          </w:tcPr>
          <w:p w14:paraId="4504C2B5" w14:textId="77777777" w:rsidR="007F328B" w:rsidRPr="00696443" w:rsidRDefault="007F328B" w:rsidP="00A25889">
            <w:pPr>
              <w:spacing w:before="0" w:after="0"/>
              <w:jc w:val="left"/>
              <w:rPr>
                <w:sz w:val="20"/>
                <w:szCs w:val="20"/>
              </w:rPr>
            </w:pPr>
          </w:p>
        </w:tc>
        <w:tc>
          <w:tcPr>
            <w:tcW w:w="1001" w:type="pct"/>
            <w:gridSpan w:val="2"/>
            <w:tcBorders>
              <w:top w:val="nil"/>
              <w:left w:val="nil"/>
              <w:bottom w:val="nil"/>
              <w:right w:val="single" w:sz="8" w:space="0" w:color="auto"/>
            </w:tcBorders>
          </w:tcPr>
          <w:p w14:paraId="62AE758A" w14:textId="77777777" w:rsidR="007F328B" w:rsidRPr="00696443" w:rsidRDefault="007F328B" w:rsidP="00A25889">
            <w:pPr>
              <w:spacing w:before="0" w:after="0"/>
              <w:jc w:val="left"/>
              <w:rPr>
                <w:sz w:val="20"/>
                <w:szCs w:val="20"/>
              </w:rPr>
            </w:pPr>
            <w:r w:rsidRPr="00696443">
              <w:rPr>
                <w:sz w:val="20"/>
                <w:szCs w:val="20"/>
              </w:rPr>
              <w:t>Thrombopenia</w:t>
            </w:r>
          </w:p>
        </w:tc>
      </w:tr>
      <w:tr w:rsidR="007F328B" w:rsidRPr="00696443" w14:paraId="0B8320E1" w14:textId="77777777" w:rsidTr="00EA60AB">
        <w:trPr>
          <w:gridAfter w:val="1"/>
          <w:wAfter w:w="6" w:type="pct"/>
          <w:trHeight w:val="240"/>
        </w:trPr>
        <w:tc>
          <w:tcPr>
            <w:tcW w:w="1001" w:type="pct"/>
            <w:vMerge/>
            <w:tcBorders>
              <w:left w:val="single" w:sz="8" w:space="0" w:color="auto"/>
              <w:bottom w:val="single" w:sz="4" w:space="0" w:color="auto"/>
              <w:right w:val="single" w:sz="8" w:space="0" w:color="auto"/>
            </w:tcBorders>
          </w:tcPr>
          <w:p w14:paraId="05B34861" w14:textId="77777777" w:rsidR="007F328B" w:rsidRPr="00696443" w:rsidRDefault="007F328B" w:rsidP="00A25889">
            <w:pPr>
              <w:spacing w:before="0" w:after="0"/>
              <w:jc w:val="left"/>
              <w:rPr>
                <w:sz w:val="20"/>
                <w:szCs w:val="20"/>
              </w:rPr>
            </w:pPr>
          </w:p>
        </w:tc>
        <w:tc>
          <w:tcPr>
            <w:tcW w:w="1012" w:type="pct"/>
            <w:gridSpan w:val="2"/>
            <w:tcBorders>
              <w:top w:val="nil"/>
              <w:left w:val="nil"/>
              <w:bottom w:val="single" w:sz="4" w:space="0" w:color="auto"/>
              <w:right w:val="single" w:sz="8" w:space="0" w:color="auto"/>
            </w:tcBorders>
          </w:tcPr>
          <w:p w14:paraId="49EC62D7" w14:textId="77777777" w:rsidR="007F328B" w:rsidRPr="00696443" w:rsidRDefault="007F328B" w:rsidP="00A25889">
            <w:pPr>
              <w:spacing w:before="0" w:after="0"/>
              <w:jc w:val="left"/>
              <w:rPr>
                <w:sz w:val="20"/>
                <w:szCs w:val="20"/>
              </w:rPr>
            </w:pPr>
          </w:p>
        </w:tc>
        <w:tc>
          <w:tcPr>
            <w:tcW w:w="968" w:type="pct"/>
            <w:gridSpan w:val="2"/>
            <w:tcBorders>
              <w:top w:val="nil"/>
              <w:left w:val="nil"/>
              <w:bottom w:val="single" w:sz="4" w:space="0" w:color="auto"/>
              <w:right w:val="single" w:sz="8" w:space="0" w:color="auto"/>
            </w:tcBorders>
          </w:tcPr>
          <w:p w14:paraId="0C98B564" w14:textId="77777777" w:rsidR="007F328B" w:rsidRPr="00696443" w:rsidRDefault="007F328B" w:rsidP="00A25889">
            <w:pPr>
              <w:spacing w:before="0" w:after="0"/>
              <w:jc w:val="left"/>
              <w:rPr>
                <w:sz w:val="20"/>
                <w:szCs w:val="20"/>
              </w:rPr>
            </w:pPr>
          </w:p>
        </w:tc>
        <w:tc>
          <w:tcPr>
            <w:tcW w:w="1012" w:type="pct"/>
            <w:tcBorders>
              <w:top w:val="nil"/>
              <w:left w:val="nil"/>
              <w:bottom w:val="single" w:sz="4" w:space="0" w:color="auto"/>
              <w:right w:val="single" w:sz="8" w:space="0" w:color="auto"/>
            </w:tcBorders>
          </w:tcPr>
          <w:p w14:paraId="5973644A" w14:textId="77777777" w:rsidR="007F328B" w:rsidRPr="00696443" w:rsidRDefault="007F328B" w:rsidP="00A25889">
            <w:pPr>
              <w:spacing w:before="0" w:after="0"/>
              <w:jc w:val="left"/>
              <w:rPr>
                <w:sz w:val="20"/>
                <w:szCs w:val="20"/>
              </w:rPr>
            </w:pPr>
          </w:p>
        </w:tc>
        <w:tc>
          <w:tcPr>
            <w:tcW w:w="1001" w:type="pct"/>
            <w:gridSpan w:val="2"/>
            <w:tcBorders>
              <w:top w:val="nil"/>
              <w:left w:val="nil"/>
              <w:bottom w:val="single" w:sz="4" w:space="0" w:color="auto"/>
              <w:right w:val="single" w:sz="8" w:space="0" w:color="auto"/>
            </w:tcBorders>
          </w:tcPr>
          <w:p w14:paraId="3ADB561B" w14:textId="77777777" w:rsidR="007F328B" w:rsidRPr="00696443" w:rsidRDefault="007F328B" w:rsidP="00A25889">
            <w:pPr>
              <w:spacing w:before="0" w:after="0"/>
              <w:jc w:val="left"/>
              <w:rPr>
                <w:sz w:val="20"/>
                <w:szCs w:val="20"/>
              </w:rPr>
            </w:pPr>
            <w:r w:rsidRPr="00696443">
              <w:rPr>
                <w:sz w:val="20"/>
                <w:szCs w:val="20"/>
              </w:rPr>
              <w:t>Aplastic anaemia</w:t>
            </w:r>
          </w:p>
        </w:tc>
      </w:tr>
      <w:tr w:rsidR="007F328B" w:rsidRPr="00696443" w14:paraId="5BD69DBD" w14:textId="77777777" w:rsidTr="00EA60AB">
        <w:trPr>
          <w:gridAfter w:val="1"/>
          <w:wAfter w:w="6" w:type="pct"/>
          <w:trHeight w:val="223"/>
        </w:trPr>
        <w:tc>
          <w:tcPr>
            <w:tcW w:w="1001" w:type="pct"/>
            <w:tcBorders>
              <w:top w:val="single" w:sz="4" w:space="0" w:color="auto"/>
              <w:left w:val="single" w:sz="8" w:space="0" w:color="auto"/>
              <w:bottom w:val="single" w:sz="4" w:space="0" w:color="auto"/>
              <w:right w:val="single" w:sz="8" w:space="0" w:color="auto"/>
            </w:tcBorders>
          </w:tcPr>
          <w:p w14:paraId="40910DC3" w14:textId="77777777" w:rsidR="007F328B" w:rsidRPr="00696443" w:rsidRDefault="007F328B" w:rsidP="00A25889">
            <w:pPr>
              <w:spacing w:before="0" w:after="0"/>
              <w:jc w:val="left"/>
              <w:rPr>
                <w:sz w:val="20"/>
                <w:szCs w:val="20"/>
              </w:rPr>
            </w:pPr>
            <w:r w:rsidRPr="00696443">
              <w:rPr>
                <w:sz w:val="20"/>
                <w:szCs w:val="20"/>
              </w:rPr>
              <w:t>Immune system</w:t>
            </w:r>
            <w:r w:rsidR="00456870" w:rsidRPr="00696443">
              <w:rPr>
                <w:sz w:val="20"/>
                <w:szCs w:val="20"/>
              </w:rPr>
              <w:t xml:space="preserve"> </w:t>
            </w:r>
            <w:r w:rsidRPr="00696443">
              <w:rPr>
                <w:sz w:val="20"/>
                <w:szCs w:val="20"/>
              </w:rPr>
              <w:t>disorders</w:t>
            </w:r>
          </w:p>
        </w:tc>
        <w:tc>
          <w:tcPr>
            <w:tcW w:w="1012" w:type="pct"/>
            <w:gridSpan w:val="2"/>
            <w:tcBorders>
              <w:top w:val="single" w:sz="4" w:space="0" w:color="auto"/>
              <w:left w:val="nil"/>
              <w:bottom w:val="single" w:sz="4" w:space="0" w:color="auto"/>
              <w:right w:val="single" w:sz="8" w:space="0" w:color="auto"/>
            </w:tcBorders>
          </w:tcPr>
          <w:p w14:paraId="17C9CA42" w14:textId="77777777" w:rsidR="007F328B" w:rsidRPr="00696443" w:rsidRDefault="007F328B" w:rsidP="00A25889">
            <w:pPr>
              <w:spacing w:before="0" w:after="0"/>
              <w:jc w:val="left"/>
              <w:rPr>
                <w:sz w:val="20"/>
                <w:szCs w:val="20"/>
              </w:rPr>
            </w:pPr>
          </w:p>
        </w:tc>
        <w:tc>
          <w:tcPr>
            <w:tcW w:w="968" w:type="pct"/>
            <w:gridSpan w:val="2"/>
            <w:tcBorders>
              <w:top w:val="single" w:sz="4" w:space="0" w:color="auto"/>
              <w:left w:val="nil"/>
              <w:bottom w:val="single" w:sz="4" w:space="0" w:color="auto"/>
              <w:right w:val="single" w:sz="8" w:space="0" w:color="auto"/>
            </w:tcBorders>
          </w:tcPr>
          <w:p w14:paraId="33610657" w14:textId="77777777" w:rsidR="007F328B" w:rsidRPr="00696443" w:rsidRDefault="007F328B" w:rsidP="00A25889">
            <w:pPr>
              <w:spacing w:before="0" w:after="0"/>
              <w:jc w:val="left"/>
              <w:rPr>
                <w:sz w:val="20"/>
                <w:szCs w:val="20"/>
              </w:rPr>
            </w:pPr>
          </w:p>
        </w:tc>
        <w:tc>
          <w:tcPr>
            <w:tcW w:w="1012" w:type="pct"/>
            <w:tcBorders>
              <w:top w:val="single" w:sz="4" w:space="0" w:color="auto"/>
              <w:left w:val="nil"/>
              <w:bottom w:val="single" w:sz="4" w:space="0" w:color="auto"/>
              <w:right w:val="single" w:sz="8" w:space="0" w:color="auto"/>
            </w:tcBorders>
          </w:tcPr>
          <w:p w14:paraId="2C3D1292" w14:textId="77777777" w:rsidR="007F328B" w:rsidRPr="00696443" w:rsidRDefault="007F328B" w:rsidP="00A25889">
            <w:pPr>
              <w:spacing w:before="0" w:after="0"/>
              <w:jc w:val="left"/>
              <w:rPr>
                <w:sz w:val="20"/>
                <w:szCs w:val="20"/>
              </w:rPr>
            </w:pPr>
            <w:r w:rsidRPr="00696443">
              <w:rPr>
                <w:sz w:val="20"/>
                <w:szCs w:val="20"/>
              </w:rPr>
              <w:t>Hypersensitivity reactions (e.g. cutaneous reactions)</w:t>
            </w:r>
          </w:p>
        </w:tc>
        <w:tc>
          <w:tcPr>
            <w:tcW w:w="1001" w:type="pct"/>
            <w:gridSpan w:val="2"/>
            <w:tcBorders>
              <w:top w:val="single" w:sz="4" w:space="0" w:color="auto"/>
              <w:left w:val="nil"/>
              <w:bottom w:val="single" w:sz="4" w:space="0" w:color="auto"/>
              <w:right w:val="single" w:sz="8" w:space="0" w:color="auto"/>
            </w:tcBorders>
          </w:tcPr>
          <w:p w14:paraId="3DFE3225" w14:textId="77777777" w:rsidR="007F328B" w:rsidRPr="00696443" w:rsidRDefault="007F328B" w:rsidP="00A25889">
            <w:pPr>
              <w:spacing w:before="0" w:after="0"/>
              <w:jc w:val="left"/>
              <w:rPr>
                <w:sz w:val="20"/>
                <w:szCs w:val="20"/>
              </w:rPr>
            </w:pPr>
          </w:p>
        </w:tc>
      </w:tr>
      <w:tr w:rsidR="007F328B" w:rsidRPr="00696443" w14:paraId="133E6417" w14:textId="77777777" w:rsidTr="00EA60AB">
        <w:trPr>
          <w:gridAfter w:val="1"/>
          <w:wAfter w:w="6" w:type="pct"/>
          <w:trHeight w:val="223"/>
        </w:trPr>
        <w:tc>
          <w:tcPr>
            <w:tcW w:w="1001" w:type="pct"/>
            <w:vMerge w:val="restart"/>
            <w:tcBorders>
              <w:top w:val="single" w:sz="4" w:space="0" w:color="auto"/>
              <w:left w:val="single" w:sz="8" w:space="0" w:color="auto"/>
              <w:right w:val="single" w:sz="8" w:space="0" w:color="auto"/>
            </w:tcBorders>
          </w:tcPr>
          <w:p w14:paraId="536E55DE" w14:textId="77777777" w:rsidR="007F328B" w:rsidRPr="00696443" w:rsidRDefault="007F328B" w:rsidP="00A25889">
            <w:pPr>
              <w:spacing w:before="0" w:after="0"/>
              <w:jc w:val="left"/>
              <w:rPr>
                <w:sz w:val="20"/>
                <w:szCs w:val="20"/>
              </w:rPr>
            </w:pPr>
            <w:r w:rsidRPr="00696443">
              <w:rPr>
                <w:sz w:val="20"/>
                <w:szCs w:val="20"/>
              </w:rPr>
              <w:t>Nervous system</w:t>
            </w:r>
            <w:r w:rsidR="00456870" w:rsidRPr="00696443">
              <w:rPr>
                <w:sz w:val="20"/>
                <w:szCs w:val="20"/>
              </w:rPr>
              <w:t xml:space="preserve"> </w:t>
            </w:r>
            <w:r w:rsidRPr="00696443">
              <w:rPr>
                <w:sz w:val="20"/>
                <w:szCs w:val="20"/>
              </w:rPr>
              <w:t>disorders</w:t>
            </w:r>
          </w:p>
        </w:tc>
        <w:tc>
          <w:tcPr>
            <w:tcW w:w="1012" w:type="pct"/>
            <w:gridSpan w:val="2"/>
            <w:tcBorders>
              <w:top w:val="single" w:sz="4" w:space="0" w:color="auto"/>
              <w:left w:val="nil"/>
              <w:bottom w:val="nil"/>
              <w:right w:val="single" w:sz="8" w:space="0" w:color="auto"/>
            </w:tcBorders>
          </w:tcPr>
          <w:p w14:paraId="4AE1094D" w14:textId="77777777" w:rsidR="007F328B" w:rsidRPr="00696443" w:rsidRDefault="007F328B" w:rsidP="00A25889">
            <w:pPr>
              <w:spacing w:before="0" w:after="0"/>
              <w:jc w:val="left"/>
              <w:rPr>
                <w:sz w:val="20"/>
                <w:szCs w:val="20"/>
              </w:rPr>
            </w:pPr>
            <w:r w:rsidRPr="00696443">
              <w:rPr>
                <w:sz w:val="20"/>
                <w:szCs w:val="20"/>
              </w:rPr>
              <w:t>Somnolence</w:t>
            </w:r>
          </w:p>
        </w:tc>
        <w:tc>
          <w:tcPr>
            <w:tcW w:w="968" w:type="pct"/>
            <w:gridSpan w:val="2"/>
            <w:tcBorders>
              <w:top w:val="single" w:sz="4" w:space="0" w:color="auto"/>
              <w:left w:val="nil"/>
              <w:bottom w:val="nil"/>
              <w:right w:val="single" w:sz="8" w:space="0" w:color="auto"/>
            </w:tcBorders>
          </w:tcPr>
          <w:p w14:paraId="362EBF24" w14:textId="77777777" w:rsidR="007F328B" w:rsidRPr="00696443" w:rsidRDefault="007F328B" w:rsidP="00A25889">
            <w:pPr>
              <w:spacing w:before="0" w:after="0"/>
              <w:jc w:val="left"/>
              <w:rPr>
                <w:sz w:val="20"/>
                <w:szCs w:val="20"/>
              </w:rPr>
            </w:pPr>
            <w:r w:rsidRPr="00696443">
              <w:rPr>
                <w:sz w:val="20"/>
                <w:szCs w:val="20"/>
              </w:rPr>
              <w:t>Paraesthesia</w:t>
            </w:r>
          </w:p>
        </w:tc>
        <w:tc>
          <w:tcPr>
            <w:tcW w:w="1012" w:type="pct"/>
            <w:tcBorders>
              <w:top w:val="single" w:sz="4" w:space="0" w:color="auto"/>
              <w:left w:val="nil"/>
              <w:bottom w:val="nil"/>
              <w:right w:val="single" w:sz="8" w:space="0" w:color="auto"/>
            </w:tcBorders>
          </w:tcPr>
          <w:p w14:paraId="3A679EB2" w14:textId="77777777" w:rsidR="007F328B" w:rsidRPr="00696443" w:rsidRDefault="007F328B" w:rsidP="00A25889">
            <w:pPr>
              <w:spacing w:before="0" w:after="0"/>
              <w:jc w:val="left"/>
              <w:rPr>
                <w:sz w:val="20"/>
                <w:szCs w:val="20"/>
              </w:rPr>
            </w:pPr>
          </w:p>
        </w:tc>
        <w:tc>
          <w:tcPr>
            <w:tcW w:w="1001" w:type="pct"/>
            <w:gridSpan w:val="2"/>
            <w:tcBorders>
              <w:top w:val="single" w:sz="4" w:space="0" w:color="auto"/>
              <w:left w:val="nil"/>
              <w:bottom w:val="nil"/>
              <w:right w:val="single" w:sz="8" w:space="0" w:color="auto"/>
            </w:tcBorders>
          </w:tcPr>
          <w:p w14:paraId="343FEB9B" w14:textId="77777777" w:rsidR="007F328B" w:rsidRPr="00696443" w:rsidRDefault="007F328B" w:rsidP="00A25889">
            <w:pPr>
              <w:spacing w:before="0" w:after="0"/>
              <w:jc w:val="left"/>
              <w:rPr>
                <w:sz w:val="20"/>
                <w:szCs w:val="20"/>
              </w:rPr>
            </w:pPr>
          </w:p>
        </w:tc>
      </w:tr>
      <w:tr w:rsidR="007F328B" w:rsidRPr="00696443" w14:paraId="41EE47E9" w14:textId="77777777" w:rsidTr="00EA60AB">
        <w:trPr>
          <w:gridAfter w:val="1"/>
          <w:wAfter w:w="6" w:type="pct"/>
          <w:trHeight w:val="255"/>
        </w:trPr>
        <w:tc>
          <w:tcPr>
            <w:tcW w:w="1001" w:type="pct"/>
            <w:vMerge/>
            <w:tcBorders>
              <w:left w:val="single" w:sz="8" w:space="0" w:color="auto"/>
              <w:right w:val="single" w:sz="8" w:space="0" w:color="auto"/>
            </w:tcBorders>
          </w:tcPr>
          <w:p w14:paraId="5B928478" w14:textId="77777777" w:rsidR="007F328B" w:rsidRPr="00696443" w:rsidRDefault="007F328B" w:rsidP="00A25889">
            <w:pPr>
              <w:spacing w:before="0" w:after="0"/>
              <w:jc w:val="left"/>
              <w:rPr>
                <w:sz w:val="20"/>
                <w:szCs w:val="20"/>
              </w:rPr>
            </w:pPr>
          </w:p>
        </w:tc>
        <w:tc>
          <w:tcPr>
            <w:tcW w:w="1012" w:type="pct"/>
            <w:gridSpan w:val="2"/>
            <w:tcBorders>
              <w:top w:val="nil"/>
              <w:left w:val="nil"/>
              <w:bottom w:val="nil"/>
              <w:right w:val="single" w:sz="8" w:space="0" w:color="auto"/>
            </w:tcBorders>
          </w:tcPr>
          <w:p w14:paraId="1EF0DFB0" w14:textId="77777777" w:rsidR="007F328B" w:rsidRPr="00696443" w:rsidRDefault="007F328B" w:rsidP="00A25889">
            <w:pPr>
              <w:spacing w:before="0" w:after="0"/>
              <w:jc w:val="left"/>
              <w:rPr>
                <w:sz w:val="20"/>
                <w:szCs w:val="20"/>
              </w:rPr>
            </w:pPr>
            <w:r w:rsidRPr="00696443">
              <w:rPr>
                <w:sz w:val="20"/>
                <w:szCs w:val="20"/>
              </w:rPr>
              <w:t>Headache</w:t>
            </w:r>
          </w:p>
        </w:tc>
        <w:tc>
          <w:tcPr>
            <w:tcW w:w="968" w:type="pct"/>
            <w:gridSpan w:val="2"/>
            <w:tcBorders>
              <w:top w:val="nil"/>
              <w:left w:val="nil"/>
              <w:bottom w:val="nil"/>
              <w:right w:val="single" w:sz="8" w:space="0" w:color="auto"/>
            </w:tcBorders>
          </w:tcPr>
          <w:p w14:paraId="19C23297" w14:textId="77777777" w:rsidR="007F328B" w:rsidRPr="00696443" w:rsidRDefault="007F328B" w:rsidP="00A25889">
            <w:pPr>
              <w:spacing w:before="0" w:after="0"/>
              <w:jc w:val="left"/>
              <w:rPr>
                <w:sz w:val="20"/>
                <w:szCs w:val="20"/>
              </w:rPr>
            </w:pPr>
            <w:r w:rsidRPr="00696443">
              <w:rPr>
                <w:sz w:val="20"/>
                <w:szCs w:val="20"/>
              </w:rPr>
              <w:t>Amnesia Tinnitus</w:t>
            </w:r>
          </w:p>
        </w:tc>
        <w:tc>
          <w:tcPr>
            <w:tcW w:w="1012" w:type="pct"/>
            <w:tcBorders>
              <w:top w:val="nil"/>
              <w:left w:val="nil"/>
              <w:bottom w:val="nil"/>
              <w:right w:val="single" w:sz="8" w:space="0" w:color="auto"/>
            </w:tcBorders>
          </w:tcPr>
          <w:p w14:paraId="4A1B818E" w14:textId="77777777" w:rsidR="007F328B" w:rsidRPr="00696443" w:rsidRDefault="007F328B" w:rsidP="00A25889">
            <w:pPr>
              <w:spacing w:before="0" w:after="0"/>
              <w:jc w:val="left"/>
              <w:rPr>
                <w:sz w:val="20"/>
                <w:szCs w:val="20"/>
              </w:rPr>
            </w:pPr>
          </w:p>
        </w:tc>
        <w:tc>
          <w:tcPr>
            <w:tcW w:w="1001" w:type="pct"/>
            <w:gridSpan w:val="2"/>
            <w:tcBorders>
              <w:top w:val="nil"/>
              <w:left w:val="nil"/>
              <w:bottom w:val="nil"/>
              <w:right w:val="single" w:sz="8" w:space="0" w:color="auto"/>
            </w:tcBorders>
          </w:tcPr>
          <w:p w14:paraId="1C45EEFE" w14:textId="77777777" w:rsidR="007F328B" w:rsidRPr="00696443" w:rsidRDefault="007F328B" w:rsidP="00A25889">
            <w:pPr>
              <w:spacing w:before="0" w:after="0"/>
              <w:jc w:val="left"/>
              <w:rPr>
                <w:sz w:val="20"/>
                <w:szCs w:val="20"/>
              </w:rPr>
            </w:pPr>
          </w:p>
        </w:tc>
      </w:tr>
      <w:tr w:rsidR="007F328B" w:rsidRPr="00696443" w14:paraId="10AD2999" w14:textId="77777777" w:rsidTr="00EA60AB">
        <w:trPr>
          <w:gridAfter w:val="1"/>
          <w:wAfter w:w="6" w:type="pct"/>
          <w:trHeight w:val="241"/>
        </w:trPr>
        <w:tc>
          <w:tcPr>
            <w:tcW w:w="1001" w:type="pct"/>
            <w:vMerge/>
            <w:tcBorders>
              <w:left w:val="single" w:sz="8" w:space="0" w:color="auto"/>
              <w:right w:val="single" w:sz="8" w:space="0" w:color="auto"/>
            </w:tcBorders>
          </w:tcPr>
          <w:p w14:paraId="6D4993FA" w14:textId="77777777" w:rsidR="007F328B" w:rsidRPr="00696443" w:rsidRDefault="007F328B" w:rsidP="00A25889">
            <w:pPr>
              <w:spacing w:before="0" w:after="0"/>
              <w:jc w:val="left"/>
              <w:rPr>
                <w:sz w:val="20"/>
                <w:szCs w:val="20"/>
              </w:rPr>
            </w:pPr>
          </w:p>
        </w:tc>
        <w:tc>
          <w:tcPr>
            <w:tcW w:w="1012" w:type="pct"/>
            <w:gridSpan w:val="2"/>
            <w:tcBorders>
              <w:top w:val="nil"/>
              <w:left w:val="nil"/>
              <w:bottom w:val="nil"/>
              <w:right w:val="single" w:sz="8" w:space="0" w:color="auto"/>
            </w:tcBorders>
          </w:tcPr>
          <w:p w14:paraId="3ABED1F6" w14:textId="77777777" w:rsidR="007F328B" w:rsidRPr="00696443" w:rsidRDefault="007F328B" w:rsidP="00A25889">
            <w:pPr>
              <w:spacing w:before="0" w:after="0"/>
              <w:jc w:val="left"/>
              <w:rPr>
                <w:sz w:val="20"/>
                <w:szCs w:val="20"/>
              </w:rPr>
            </w:pPr>
          </w:p>
        </w:tc>
        <w:tc>
          <w:tcPr>
            <w:tcW w:w="968" w:type="pct"/>
            <w:gridSpan w:val="2"/>
            <w:tcBorders>
              <w:top w:val="nil"/>
              <w:left w:val="nil"/>
              <w:bottom w:val="nil"/>
              <w:right w:val="single" w:sz="8" w:space="0" w:color="auto"/>
            </w:tcBorders>
          </w:tcPr>
          <w:p w14:paraId="458992D3" w14:textId="77777777" w:rsidR="007F328B" w:rsidRPr="00696443" w:rsidRDefault="007F328B" w:rsidP="00A25889">
            <w:pPr>
              <w:spacing w:before="0" w:after="0"/>
              <w:jc w:val="left"/>
              <w:rPr>
                <w:sz w:val="20"/>
                <w:szCs w:val="20"/>
              </w:rPr>
            </w:pPr>
            <w:r w:rsidRPr="00696443">
              <w:rPr>
                <w:sz w:val="20"/>
                <w:szCs w:val="20"/>
              </w:rPr>
              <w:t>Tremor</w:t>
            </w:r>
          </w:p>
        </w:tc>
        <w:tc>
          <w:tcPr>
            <w:tcW w:w="1012" w:type="pct"/>
            <w:tcBorders>
              <w:top w:val="nil"/>
              <w:left w:val="nil"/>
              <w:bottom w:val="nil"/>
              <w:right w:val="single" w:sz="8" w:space="0" w:color="auto"/>
            </w:tcBorders>
          </w:tcPr>
          <w:p w14:paraId="49D274EE" w14:textId="77777777" w:rsidR="007F328B" w:rsidRPr="00696443" w:rsidRDefault="007F328B" w:rsidP="00A25889">
            <w:pPr>
              <w:spacing w:before="0" w:after="0"/>
              <w:jc w:val="left"/>
              <w:rPr>
                <w:sz w:val="20"/>
                <w:szCs w:val="20"/>
              </w:rPr>
            </w:pPr>
          </w:p>
        </w:tc>
        <w:tc>
          <w:tcPr>
            <w:tcW w:w="1001" w:type="pct"/>
            <w:gridSpan w:val="2"/>
            <w:tcBorders>
              <w:top w:val="nil"/>
              <w:left w:val="nil"/>
              <w:bottom w:val="nil"/>
              <w:right w:val="single" w:sz="8" w:space="0" w:color="auto"/>
            </w:tcBorders>
          </w:tcPr>
          <w:p w14:paraId="29DCA4DB" w14:textId="77777777" w:rsidR="007F328B" w:rsidRPr="00696443" w:rsidRDefault="007F328B" w:rsidP="00A25889">
            <w:pPr>
              <w:spacing w:before="0" w:after="0"/>
              <w:jc w:val="left"/>
              <w:rPr>
                <w:sz w:val="20"/>
                <w:szCs w:val="20"/>
              </w:rPr>
            </w:pPr>
          </w:p>
        </w:tc>
      </w:tr>
      <w:tr w:rsidR="007F328B" w:rsidRPr="00696443" w14:paraId="5FA8AC42" w14:textId="77777777" w:rsidTr="00EA60AB">
        <w:trPr>
          <w:gridAfter w:val="1"/>
          <w:wAfter w:w="6" w:type="pct"/>
          <w:trHeight w:val="255"/>
        </w:trPr>
        <w:tc>
          <w:tcPr>
            <w:tcW w:w="1001" w:type="pct"/>
            <w:vMerge/>
            <w:tcBorders>
              <w:left w:val="single" w:sz="8" w:space="0" w:color="auto"/>
              <w:right w:val="single" w:sz="8" w:space="0" w:color="auto"/>
            </w:tcBorders>
          </w:tcPr>
          <w:p w14:paraId="5E21835C" w14:textId="77777777" w:rsidR="007F328B" w:rsidRPr="00696443" w:rsidRDefault="007F328B" w:rsidP="00A25889">
            <w:pPr>
              <w:spacing w:before="0" w:after="0"/>
              <w:jc w:val="left"/>
              <w:rPr>
                <w:sz w:val="20"/>
                <w:szCs w:val="20"/>
              </w:rPr>
            </w:pPr>
          </w:p>
        </w:tc>
        <w:tc>
          <w:tcPr>
            <w:tcW w:w="1012" w:type="pct"/>
            <w:gridSpan w:val="2"/>
            <w:tcBorders>
              <w:top w:val="nil"/>
              <w:left w:val="nil"/>
              <w:bottom w:val="nil"/>
              <w:right w:val="single" w:sz="8" w:space="0" w:color="auto"/>
            </w:tcBorders>
          </w:tcPr>
          <w:p w14:paraId="46B943C7" w14:textId="77777777" w:rsidR="007F328B" w:rsidRPr="00696443" w:rsidRDefault="007F328B" w:rsidP="00A25889">
            <w:pPr>
              <w:spacing w:before="0" w:after="0"/>
              <w:jc w:val="left"/>
              <w:rPr>
                <w:sz w:val="20"/>
                <w:szCs w:val="20"/>
              </w:rPr>
            </w:pPr>
          </w:p>
        </w:tc>
        <w:tc>
          <w:tcPr>
            <w:tcW w:w="968" w:type="pct"/>
            <w:gridSpan w:val="2"/>
            <w:tcBorders>
              <w:top w:val="nil"/>
              <w:left w:val="nil"/>
              <w:bottom w:val="nil"/>
              <w:right w:val="single" w:sz="8" w:space="0" w:color="auto"/>
            </w:tcBorders>
          </w:tcPr>
          <w:p w14:paraId="4C69FD96" w14:textId="77777777" w:rsidR="007F328B" w:rsidRPr="00696443" w:rsidRDefault="007F328B" w:rsidP="00A25889">
            <w:pPr>
              <w:spacing w:before="0" w:after="0"/>
              <w:jc w:val="left"/>
              <w:rPr>
                <w:sz w:val="20"/>
                <w:szCs w:val="20"/>
              </w:rPr>
            </w:pPr>
            <w:r w:rsidRPr="00696443">
              <w:rPr>
                <w:sz w:val="20"/>
                <w:szCs w:val="20"/>
              </w:rPr>
              <w:t>Nervousness</w:t>
            </w:r>
          </w:p>
        </w:tc>
        <w:tc>
          <w:tcPr>
            <w:tcW w:w="1012" w:type="pct"/>
            <w:tcBorders>
              <w:top w:val="nil"/>
              <w:left w:val="nil"/>
              <w:bottom w:val="nil"/>
              <w:right w:val="single" w:sz="8" w:space="0" w:color="auto"/>
            </w:tcBorders>
          </w:tcPr>
          <w:p w14:paraId="19324A99" w14:textId="77777777" w:rsidR="007F328B" w:rsidRPr="00696443" w:rsidRDefault="007F328B" w:rsidP="00A25889">
            <w:pPr>
              <w:spacing w:before="0" w:after="0"/>
              <w:jc w:val="left"/>
              <w:rPr>
                <w:sz w:val="20"/>
                <w:szCs w:val="20"/>
              </w:rPr>
            </w:pPr>
          </w:p>
        </w:tc>
        <w:tc>
          <w:tcPr>
            <w:tcW w:w="1001" w:type="pct"/>
            <w:gridSpan w:val="2"/>
            <w:tcBorders>
              <w:top w:val="nil"/>
              <w:left w:val="nil"/>
              <w:bottom w:val="nil"/>
              <w:right w:val="single" w:sz="8" w:space="0" w:color="auto"/>
            </w:tcBorders>
          </w:tcPr>
          <w:p w14:paraId="396480A9" w14:textId="77777777" w:rsidR="007F328B" w:rsidRPr="00696443" w:rsidRDefault="007F328B" w:rsidP="00A25889">
            <w:pPr>
              <w:spacing w:before="0" w:after="0"/>
              <w:jc w:val="left"/>
              <w:rPr>
                <w:sz w:val="20"/>
                <w:szCs w:val="20"/>
              </w:rPr>
            </w:pPr>
          </w:p>
        </w:tc>
      </w:tr>
      <w:tr w:rsidR="007F328B" w:rsidRPr="00696443" w14:paraId="202AF119" w14:textId="77777777" w:rsidTr="00EA60AB">
        <w:trPr>
          <w:gridAfter w:val="1"/>
          <w:wAfter w:w="6" w:type="pct"/>
          <w:trHeight w:val="87"/>
        </w:trPr>
        <w:tc>
          <w:tcPr>
            <w:tcW w:w="1001" w:type="pct"/>
            <w:vMerge/>
            <w:tcBorders>
              <w:left w:val="single" w:sz="8" w:space="0" w:color="auto"/>
              <w:bottom w:val="single" w:sz="4" w:space="0" w:color="auto"/>
              <w:right w:val="single" w:sz="8" w:space="0" w:color="auto"/>
            </w:tcBorders>
          </w:tcPr>
          <w:p w14:paraId="64E54A26" w14:textId="77777777" w:rsidR="007F328B" w:rsidRPr="00696443" w:rsidRDefault="007F328B" w:rsidP="00A25889">
            <w:pPr>
              <w:spacing w:before="0" w:after="0"/>
              <w:jc w:val="left"/>
              <w:rPr>
                <w:sz w:val="20"/>
                <w:szCs w:val="20"/>
              </w:rPr>
            </w:pPr>
          </w:p>
        </w:tc>
        <w:tc>
          <w:tcPr>
            <w:tcW w:w="1012" w:type="pct"/>
            <w:gridSpan w:val="2"/>
            <w:tcBorders>
              <w:top w:val="nil"/>
              <w:left w:val="nil"/>
              <w:bottom w:val="single" w:sz="4" w:space="0" w:color="auto"/>
              <w:right w:val="single" w:sz="8" w:space="0" w:color="auto"/>
            </w:tcBorders>
          </w:tcPr>
          <w:p w14:paraId="4B5A7C67" w14:textId="77777777" w:rsidR="007F328B" w:rsidRPr="00696443" w:rsidRDefault="007F328B" w:rsidP="00A25889">
            <w:pPr>
              <w:spacing w:before="0" w:after="0"/>
              <w:jc w:val="left"/>
              <w:rPr>
                <w:sz w:val="20"/>
                <w:szCs w:val="20"/>
              </w:rPr>
            </w:pPr>
          </w:p>
        </w:tc>
        <w:tc>
          <w:tcPr>
            <w:tcW w:w="968" w:type="pct"/>
            <w:gridSpan w:val="2"/>
            <w:tcBorders>
              <w:top w:val="nil"/>
              <w:left w:val="nil"/>
              <w:bottom w:val="single" w:sz="4" w:space="0" w:color="auto"/>
              <w:right w:val="single" w:sz="8" w:space="0" w:color="auto"/>
            </w:tcBorders>
          </w:tcPr>
          <w:p w14:paraId="69636B22" w14:textId="77777777" w:rsidR="007F328B" w:rsidRPr="00696443" w:rsidRDefault="007F328B" w:rsidP="00A25889">
            <w:pPr>
              <w:spacing w:before="0" w:after="0"/>
              <w:jc w:val="left"/>
              <w:rPr>
                <w:sz w:val="20"/>
                <w:szCs w:val="20"/>
              </w:rPr>
            </w:pPr>
            <w:r w:rsidRPr="00696443">
              <w:rPr>
                <w:sz w:val="20"/>
                <w:szCs w:val="20"/>
              </w:rPr>
              <w:t>Convulsions</w:t>
            </w:r>
          </w:p>
        </w:tc>
        <w:tc>
          <w:tcPr>
            <w:tcW w:w="1012" w:type="pct"/>
            <w:tcBorders>
              <w:top w:val="nil"/>
              <w:left w:val="nil"/>
              <w:bottom w:val="single" w:sz="4" w:space="0" w:color="auto"/>
              <w:right w:val="single" w:sz="8" w:space="0" w:color="auto"/>
            </w:tcBorders>
          </w:tcPr>
          <w:p w14:paraId="2611F0E3" w14:textId="77777777" w:rsidR="007F328B" w:rsidRPr="00696443" w:rsidRDefault="007F328B" w:rsidP="00A25889">
            <w:pPr>
              <w:spacing w:before="0" w:after="0"/>
              <w:jc w:val="left"/>
              <w:rPr>
                <w:sz w:val="20"/>
                <w:szCs w:val="20"/>
              </w:rPr>
            </w:pPr>
          </w:p>
        </w:tc>
        <w:tc>
          <w:tcPr>
            <w:tcW w:w="1001" w:type="pct"/>
            <w:gridSpan w:val="2"/>
            <w:tcBorders>
              <w:top w:val="nil"/>
              <w:left w:val="nil"/>
              <w:bottom w:val="single" w:sz="4" w:space="0" w:color="auto"/>
              <w:right w:val="single" w:sz="8" w:space="0" w:color="auto"/>
            </w:tcBorders>
          </w:tcPr>
          <w:p w14:paraId="1952FFC5" w14:textId="77777777" w:rsidR="007F328B" w:rsidRPr="00696443" w:rsidRDefault="007F328B" w:rsidP="00A25889">
            <w:pPr>
              <w:spacing w:before="0" w:after="0"/>
              <w:jc w:val="left"/>
              <w:rPr>
                <w:sz w:val="20"/>
                <w:szCs w:val="20"/>
              </w:rPr>
            </w:pPr>
          </w:p>
        </w:tc>
      </w:tr>
      <w:tr w:rsidR="007F328B" w:rsidRPr="00696443" w14:paraId="524960CC" w14:textId="77777777" w:rsidTr="00EA60AB">
        <w:trPr>
          <w:gridAfter w:val="1"/>
          <w:wAfter w:w="6" w:type="pct"/>
          <w:trHeight w:val="230"/>
        </w:trPr>
        <w:tc>
          <w:tcPr>
            <w:tcW w:w="1001" w:type="pct"/>
            <w:tcBorders>
              <w:top w:val="single" w:sz="4" w:space="0" w:color="auto"/>
              <w:left w:val="single" w:sz="8" w:space="0" w:color="auto"/>
              <w:bottom w:val="single" w:sz="8" w:space="0" w:color="auto"/>
              <w:right w:val="single" w:sz="8" w:space="0" w:color="auto"/>
            </w:tcBorders>
          </w:tcPr>
          <w:p w14:paraId="2A701F54" w14:textId="77777777" w:rsidR="007F328B" w:rsidRPr="00696443" w:rsidRDefault="007F328B" w:rsidP="00A25889">
            <w:pPr>
              <w:spacing w:before="0" w:after="0"/>
              <w:jc w:val="left"/>
              <w:rPr>
                <w:sz w:val="20"/>
                <w:szCs w:val="20"/>
              </w:rPr>
            </w:pPr>
            <w:r w:rsidRPr="00696443">
              <w:rPr>
                <w:sz w:val="20"/>
                <w:szCs w:val="20"/>
              </w:rPr>
              <w:t>Eye disorders</w:t>
            </w:r>
          </w:p>
        </w:tc>
        <w:tc>
          <w:tcPr>
            <w:tcW w:w="1012" w:type="pct"/>
            <w:gridSpan w:val="2"/>
            <w:tcBorders>
              <w:top w:val="single" w:sz="4" w:space="0" w:color="auto"/>
              <w:left w:val="nil"/>
              <w:bottom w:val="single" w:sz="8" w:space="0" w:color="auto"/>
              <w:right w:val="single" w:sz="8" w:space="0" w:color="auto"/>
            </w:tcBorders>
          </w:tcPr>
          <w:p w14:paraId="2A6EABCA" w14:textId="77777777" w:rsidR="007F328B" w:rsidRPr="00696443" w:rsidRDefault="007F328B" w:rsidP="00A25889">
            <w:pPr>
              <w:spacing w:before="0" w:after="0"/>
              <w:jc w:val="left"/>
              <w:rPr>
                <w:sz w:val="20"/>
                <w:szCs w:val="20"/>
              </w:rPr>
            </w:pPr>
          </w:p>
        </w:tc>
        <w:tc>
          <w:tcPr>
            <w:tcW w:w="968" w:type="pct"/>
            <w:gridSpan w:val="2"/>
            <w:tcBorders>
              <w:top w:val="single" w:sz="4" w:space="0" w:color="auto"/>
              <w:left w:val="nil"/>
              <w:bottom w:val="single" w:sz="8" w:space="0" w:color="auto"/>
              <w:right w:val="single" w:sz="8" w:space="0" w:color="auto"/>
            </w:tcBorders>
          </w:tcPr>
          <w:p w14:paraId="72C128CA" w14:textId="77777777" w:rsidR="007F328B" w:rsidRPr="00696443" w:rsidRDefault="007F328B" w:rsidP="00A25889">
            <w:pPr>
              <w:spacing w:before="0" w:after="0"/>
              <w:jc w:val="left"/>
              <w:rPr>
                <w:sz w:val="20"/>
                <w:szCs w:val="20"/>
              </w:rPr>
            </w:pPr>
          </w:p>
        </w:tc>
        <w:tc>
          <w:tcPr>
            <w:tcW w:w="1012" w:type="pct"/>
            <w:tcBorders>
              <w:top w:val="single" w:sz="4" w:space="0" w:color="auto"/>
              <w:left w:val="nil"/>
              <w:bottom w:val="single" w:sz="8" w:space="0" w:color="auto"/>
              <w:right w:val="single" w:sz="8" w:space="0" w:color="auto"/>
            </w:tcBorders>
          </w:tcPr>
          <w:p w14:paraId="7746C75D" w14:textId="77777777" w:rsidR="007F328B" w:rsidRPr="00696443" w:rsidRDefault="007F328B" w:rsidP="00A25889">
            <w:pPr>
              <w:spacing w:before="0" w:after="0"/>
              <w:jc w:val="left"/>
              <w:rPr>
                <w:sz w:val="20"/>
                <w:szCs w:val="20"/>
              </w:rPr>
            </w:pPr>
            <w:r w:rsidRPr="00696443">
              <w:rPr>
                <w:sz w:val="20"/>
                <w:szCs w:val="20"/>
              </w:rPr>
              <w:t>Visual disorders</w:t>
            </w:r>
          </w:p>
        </w:tc>
        <w:tc>
          <w:tcPr>
            <w:tcW w:w="1001" w:type="pct"/>
            <w:gridSpan w:val="2"/>
            <w:tcBorders>
              <w:top w:val="single" w:sz="4" w:space="0" w:color="auto"/>
              <w:left w:val="nil"/>
              <w:bottom w:val="single" w:sz="8" w:space="0" w:color="auto"/>
              <w:right w:val="single" w:sz="8" w:space="0" w:color="auto"/>
            </w:tcBorders>
          </w:tcPr>
          <w:p w14:paraId="715B2FE5" w14:textId="77777777" w:rsidR="007F328B" w:rsidRPr="00696443" w:rsidRDefault="007F328B" w:rsidP="00A25889">
            <w:pPr>
              <w:spacing w:before="0" w:after="0"/>
              <w:jc w:val="left"/>
              <w:rPr>
                <w:sz w:val="20"/>
                <w:szCs w:val="20"/>
              </w:rPr>
            </w:pPr>
          </w:p>
        </w:tc>
      </w:tr>
      <w:tr w:rsidR="007F328B" w:rsidRPr="001B65BA" w14:paraId="2F8B219A" w14:textId="77777777" w:rsidTr="00EA60AB">
        <w:trPr>
          <w:trHeight w:val="228"/>
        </w:trPr>
        <w:tc>
          <w:tcPr>
            <w:tcW w:w="1006" w:type="pct"/>
            <w:gridSpan w:val="2"/>
            <w:vMerge w:val="restart"/>
            <w:tcBorders>
              <w:top w:val="single" w:sz="8" w:space="0" w:color="auto"/>
              <w:left w:val="single" w:sz="8" w:space="0" w:color="auto"/>
              <w:right w:val="single" w:sz="8" w:space="0" w:color="auto"/>
            </w:tcBorders>
          </w:tcPr>
          <w:p w14:paraId="64134EA5" w14:textId="77777777" w:rsidR="007F328B" w:rsidRPr="00696443" w:rsidRDefault="007F328B" w:rsidP="00A25889">
            <w:pPr>
              <w:spacing w:before="0" w:after="0"/>
              <w:jc w:val="left"/>
              <w:rPr>
                <w:sz w:val="20"/>
                <w:szCs w:val="20"/>
              </w:rPr>
            </w:pPr>
            <w:r w:rsidRPr="00696443">
              <w:rPr>
                <w:sz w:val="20"/>
                <w:szCs w:val="20"/>
              </w:rPr>
              <w:t>Gastrointestinal</w:t>
            </w:r>
            <w:r w:rsidR="00456870" w:rsidRPr="00696443">
              <w:rPr>
                <w:sz w:val="20"/>
                <w:szCs w:val="20"/>
              </w:rPr>
              <w:t xml:space="preserve"> </w:t>
            </w:r>
            <w:r w:rsidRPr="00696443">
              <w:rPr>
                <w:sz w:val="20"/>
                <w:szCs w:val="20"/>
              </w:rPr>
              <w:t>disorders</w:t>
            </w:r>
          </w:p>
        </w:tc>
        <w:tc>
          <w:tcPr>
            <w:tcW w:w="1012" w:type="pct"/>
            <w:gridSpan w:val="2"/>
            <w:tcBorders>
              <w:top w:val="single" w:sz="8" w:space="0" w:color="auto"/>
              <w:left w:val="nil"/>
              <w:bottom w:val="nil"/>
              <w:right w:val="single" w:sz="8" w:space="0" w:color="auto"/>
            </w:tcBorders>
          </w:tcPr>
          <w:p w14:paraId="53BCF64B" w14:textId="77777777" w:rsidR="007F328B" w:rsidRPr="00696443" w:rsidRDefault="007F328B" w:rsidP="00A25889">
            <w:pPr>
              <w:spacing w:before="0" w:after="0"/>
              <w:jc w:val="left"/>
              <w:rPr>
                <w:sz w:val="20"/>
                <w:szCs w:val="20"/>
              </w:rPr>
            </w:pPr>
            <w:r w:rsidRPr="00696443">
              <w:rPr>
                <w:sz w:val="20"/>
                <w:szCs w:val="20"/>
              </w:rPr>
              <w:t>Dry mouth</w:t>
            </w:r>
          </w:p>
        </w:tc>
        <w:tc>
          <w:tcPr>
            <w:tcW w:w="963" w:type="pct"/>
            <w:tcBorders>
              <w:top w:val="single" w:sz="8" w:space="0" w:color="auto"/>
              <w:left w:val="nil"/>
              <w:bottom w:val="nil"/>
              <w:right w:val="single" w:sz="8" w:space="0" w:color="auto"/>
            </w:tcBorders>
          </w:tcPr>
          <w:p w14:paraId="134179BC" w14:textId="77777777" w:rsidR="007F328B" w:rsidRPr="00696443" w:rsidRDefault="007F328B" w:rsidP="00A25889">
            <w:pPr>
              <w:spacing w:before="0" w:after="0"/>
              <w:jc w:val="left"/>
              <w:rPr>
                <w:sz w:val="20"/>
                <w:szCs w:val="20"/>
              </w:rPr>
            </w:pPr>
            <w:r w:rsidRPr="00696443">
              <w:rPr>
                <w:sz w:val="20"/>
                <w:szCs w:val="20"/>
              </w:rPr>
              <w:t xml:space="preserve">Dyspepsia </w:t>
            </w:r>
          </w:p>
        </w:tc>
        <w:tc>
          <w:tcPr>
            <w:tcW w:w="1018" w:type="pct"/>
            <w:gridSpan w:val="2"/>
            <w:tcBorders>
              <w:top w:val="single" w:sz="8" w:space="0" w:color="auto"/>
              <w:left w:val="nil"/>
              <w:bottom w:val="nil"/>
              <w:right w:val="single" w:sz="8" w:space="0" w:color="auto"/>
            </w:tcBorders>
          </w:tcPr>
          <w:p w14:paraId="51E7D6A5" w14:textId="77777777" w:rsidR="007F328B" w:rsidRPr="00696443" w:rsidRDefault="007F328B" w:rsidP="00A25889">
            <w:pPr>
              <w:spacing w:before="0" w:after="0"/>
              <w:jc w:val="left"/>
              <w:rPr>
                <w:sz w:val="20"/>
                <w:szCs w:val="20"/>
              </w:rPr>
            </w:pPr>
          </w:p>
        </w:tc>
        <w:tc>
          <w:tcPr>
            <w:tcW w:w="1001" w:type="pct"/>
            <w:gridSpan w:val="2"/>
            <w:tcBorders>
              <w:top w:val="single" w:sz="8" w:space="0" w:color="auto"/>
              <w:left w:val="nil"/>
              <w:bottom w:val="nil"/>
              <w:right w:val="single" w:sz="8" w:space="0" w:color="auto"/>
            </w:tcBorders>
          </w:tcPr>
          <w:p w14:paraId="46225E5E" w14:textId="77777777" w:rsidR="007F328B" w:rsidRPr="00696443" w:rsidRDefault="007F328B" w:rsidP="00A25889">
            <w:pPr>
              <w:spacing w:before="0" w:after="0"/>
              <w:jc w:val="left"/>
              <w:rPr>
                <w:sz w:val="20"/>
                <w:szCs w:val="20"/>
              </w:rPr>
            </w:pPr>
          </w:p>
        </w:tc>
      </w:tr>
      <w:tr w:rsidR="007F328B" w:rsidRPr="001B65BA" w14:paraId="4E8D7FC9" w14:textId="77777777" w:rsidTr="00EA60AB">
        <w:trPr>
          <w:trHeight w:val="256"/>
        </w:trPr>
        <w:tc>
          <w:tcPr>
            <w:tcW w:w="1006" w:type="pct"/>
            <w:gridSpan w:val="2"/>
            <w:vMerge/>
            <w:tcBorders>
              <w:left w:val="single" w:sz="8" w:space="0" w:color="auto"/>
              <w:right w:val="single" w:sz="8" w:space="0" w:color="auto"/>
            </w:tcBorders>
          </w:tcPr>
          <w:p w14:paraId="0794E88A" w14:textId="77777777" w:rsidR="007F328B" w:rsidRPr="00696443" w:rsidRDefault="007F328B" w:rsidP="00A25889">
            <w:pPr>
              <w:spacing w:before="0" w:after="0"/>
              <w:jc w:val="left"/>
              <w:rPr>
                <w:sz w:val="20"/>
                <w:szCs w:val="20"/>
              </w:rPr>
            </w:pPr>
          </w:p>
        </w:tc>
        <w:tc>
          <w:tcPr>
            <w:tcW w:w="1012" w:type="pct"/>
            <w:gridSpan w:val="2"/>
            <w:tcBorders>
              <w:top w:val="nil"/>
              <w:left w:val="nil"/>
              <w:bottom w:val="nil"/>
              <w:right w:val="single" w:sz="8" w:space="0" w:color="auto"/>
            </w:tcBorders>
          </w:tcPr>
          <w:p w14:paraId="76A9B691" w14:textId="77777777" w:rsidR="007F328B" w:rsidRPr="00696443" w:rsidRDefault="007F328B" w:rsidP="00A25889">
            <w:pPr>
              <w:spacing w:before="0" w:after="0"/>
              <w:jc w:val="left"/>
              <w:rPr>
                <w:sz w:val="20"/>
                <w:szCs w:val="20"/>
              </w:rPr>
            </w:pPr>
            <w:r w:rsidRPr="00696443">
              <w:rPr>
                <w:sz w:val="20"/>
                <w:szCs w:val="20"/>
              </w:rPr>
              <w:t>Abdominal pain</w:t>
            </w:r>
          </w:p>
        </w:tc>
        <w:tc>
          <w:tcPr>
            <w:tcW w:w="963" w:type="pct"/>
            <w:tcBorders>
              <w:top w:val="nil"/>
              <w:left w:val="nil"/>
              <w:bottom w:val="nil"/>
              <w:right w:val="single" w:sz="8" w:space="0" w:color="auto"/>
            </w:tcBorders>
          </w:tcPr>
          <w:p w14:paraId="67CDE0F8" w14:textId="77777777" w:rsidR="007F328B" w:rsidRPr="00696443" w:rsidRDefault="007F328B" w:rsidP="00A25889">
            <w:pPr>
              <w:spacing w:before="0" w:after="0"/>
              <w:jc w:val="left"/>
              <w:rPr>
                <w:sz w:val="20"/>
                <w:szCs w:val="20"/>
              </w:rPr>
            </w:pPr>
            <w:r w:rsidRPr="00696443">
              <w:rPr>
                <w:sz w:val="20"/>
                <w:szCs w:val="20"/>
              </w:rPr>
              <w:t>Nausea</w:t>
            </w:r>
          </w:p>
        </w:tc>
        <w:tc>
          <w:tcPr>
            <w:tcW w:w="1018" w:type="pct"/>
            <w:gridSpan w:val="2"/>
            <w:tcBorders>
              <w:top w:val="nil"/>
              <w:left w:val="nil"/>
              <w:bottom w:val="nil"/>
              <w:right w:val="single" w:sz="8" w:space="0" w:color="auto"/>
            </w:tcBorders>
          </w:tcPr>
          <w:p w14:paraId="603C7384" w14:textId="77777777" w:rsidR="007F328B" w:rsidRPr="00696443" w:rsidRDefault="007F328B" w:rsidP="00A25889">
            <w:pPr>
              <w:spacing w:before="0" w:after="0"/>
              <w:jc w:val="left"/>
              <w:rPr>
                <w:sz w:val="20"/>
                <w:szCs w:val="20"/>
              </w:rPr>
            </w:pPr>
          </w:p>
        </w:tc>
        <w:tc>
          <w:tcPr>
            <w:tcW w:w="1001" w:type="pct"/>
            <w:gridSpan w:val="2"/>
            <w:tcBorders>
              <w:top w:val="nil"/>
              <w:left w:val="nil"/>
              <w:bottom w:val="nil"/>
              <w:right w:val="single" w:sz="8" w:space="0" w:color="auto"/>
            </w:tcBorders>
          </w:tcPr>
          <w:p w14:paraId="0A287E9A" w14:textId="77777777" w:rsidR="007F328B" w:rsidRPr="00696443" w:rsidRDefault="007F328B" w:rsidP="00A25889">
            <w:pPr>
              <w:spacing w:before="0" w:after="0"/>
              <w:jc w:val="left"/>
              <w:rPr>
                <w:sz w:val="20"/>
                <w:szCs w:val="20"/>
              </w:rPr>
            </w:pPr>
          </w:p>
        </w:tc>
      </w:tr>
      <w:tr w:rsidR="007F328B" w:rsidRPr="001B65BA" w14:paraId="62E8FBAF" w14:textId="77777777" w:rsidTr="00EA60AB">
        <w:trPr>
          <w:trHeight w:val="282"/>
        </w:trPr>
        <w:tc>
          <w:tcPr>
            <w:tcW w:w="1006" w:type="pct"/>
            <w:gridSpan w:val="2"/>
            <w:vMerge/>
            <w:tcBorders>
              <w:left w:val="single" w:sz="8" w:space="0" w:color="auto"/>
              <w:bottom w:val="single" w:sz="8" w:space="0" w:color="auto"/>
              <w:right w:val="single" w:sz="8" w:space="0" w:color="auto"/>
            </w:tcBorders>
          </w:tcPr>
          <w:p w14:paraId="256C1172" w14:textId="77777777" w:rsidR="007F328B" w:rsidRPr="00696443" w:rsidRDefault="007F328B" w:rsidP="00A25889">
            <w:pPr>
              <w:spacing w:before="0" w:after="0"/>
              <w:jc w:val="left"/>
              <w:rPr>
                <w:sz w:val="20"/>
                <w:szCs w:val="20"/>
              </w:rPr>
            </w:pPr>
          </w:p>
        </w:tc>
        <w:tc>
          <w:tcPr>
            <w:tcW w:w="1012" w:type="pct"/>
            <w:gridSpan w:val="2"/>
            <w:tcBorders>
              <w:top w:val="nil"/>
              <w:left w:val="nil"/>
              <w:bottom w:val="single" w:sz="8" w:space="0" w:color="auto"/>
              <w:right w:val="single" w:sz="8" w:space="0" w:color="auto"/>
            </w:tcBorders>
          </w:tcPr>
          <w:p w14:paraId="3DE60A92" w14:textId="77777777" w:rsidR="007F328B" w:rsidRPr="00696443" w:rsidRDefault="007F328B" w:rsidP="00A25889">
            <w:pPr>
              <w:spacing w:before="0" w:after="0"/>
              <w:jc w:val="left"/>
              <w:rPr>
                <w:sz w:val="20"/>
                <w:szCs w:val="20"/>
              </w:rPr>
            </w:pPr>
          </w:p>
        </w:tc>
        <w:tc>
          <w:tcPr>
            <w:tcW w:w="963" w:type="pct"/>
            <w:tcBorders>
              <w:top w:val="nil"/>
              <w:left w:val="nil"/>
              <w:bottom w:val="single" w:sz="8" w:space="0" w:color="auto"/>
              <w:right w:val="single" w:sz="8" w:space="0" w:color="auto"/>
            </w:tcBorders>
          </w:tcPr>
          <w:p w14:paraId="3D3059CE" w14:textId="77777777" w:rsidR="007F328B" w:rsidRPr="00696443" w:rsidRDefault="007F328B" w:rsidP="00A25889">
            <w:pPr>
              <w:spacing w:before="0" w:after="0"/>
              <w:jc w:val="left"/>
              <w:rPr>
                <w:sz w:val="20"/>
                <w:szCs w:val="20"/>
              </w:rPr>
            </w:pPr>
            <w:r w:rsidRPr="00696443">
              <w:rPr>
                <w:sz w:val="20"/>
                <w:szCs w:val="20"/>
              </w:rPr>
              <w:t>Diarrhoea</w:t>
            </w:r>
          </w:p>
        </w:tc>
        <w:tc>
          <w:tcPr>
            <w:tcW w:w="1018" w:type="pct"/>
            <w:gridSpan w:val="2"/>
            <w:tcBorders>
              <w:top w:val="nil"/>
              <w:left w:val="nil"/>
              <w:bottom w:val="single" w:sz="8" w:space="0" w:color="auto"/>
              <w:right w:val="single" w:sz="8" w:space="0" w:color="auto"/>
            </w:tcBorders>
          </w:tcPr>
          <w:p w14:paraId="02F21AB7" w14:textId="77777777" w:rsidR="007F328B" w:rsidRPr="00696443" w:rsidRDefault="007F328B" w:rsidP="00A25889">
            <w:pPr>
              <w:spacing w:before="0" w:after="0"/>
              <w:jc w:val="left"/>
              <w:rPr>
                <w:sz w:val="20"/>
                <w:szCs w:val="20"/>
              </w:rPr>
            </w:pPr>
          </w:p>
        </w:tc>
        <w:tc>
          <w:tcPr>
            <w:tcW w:w="1001" w:type="pct"/>
            <w:gridSpan w:val="2"/>
            <w:tcBorders>
              <w:top w:val="nil"/>
              <w:left w:val="nil"/>
              <w:bottom w:val="single" w:sz="8" w:space="0" w:color="auto"/>
              <w:right w:val="single" w:sz="8" w:space="0" w:color="auto"/>
            </w:tcBorders>
          </w:tcPr>
          <w:p w14:paraId="1CF7A105" w14:textId="77777777" w:rsidR="007F328B" w:rsidRPr="00696443" w:rsidRDefault="007F328B" w:rsidP="00A25889">
            <w:pPr>
              <w:spacing w:before="0" w:after="0"/>
              <w:jc w:val="left"/>
              <w:rPr>
                <w:sz w:val="20"/>
                <w:szCs w:val="20"/>
              </w:rPr>
            </w:pPr>
          </w:p>
        </w:tc>
      </w:tr>
      <w:tr w:rsidR="007F328B" w:rsidRPr="001B65BA" w14:paraId="19BAC354" w14:textId="77777777" w:rsidTr="00EA60AB">
        <w:trPr>
          <w:trHeight w:val="223"/>
        </w:trPr>
        <w:tc>
          <w:tcPr>
            <w:tcW w:w="1006" w:type="pct"/>
            <w:gridSpan w:val="2"/>
            <w:vMerge w:val="restart"/>
            <w:tcBorders>
              <w:top w:val="nil"/>
              <w:left w:val="single" w:sz="8" w:space="0" w:color="auto"/>
              <w:right w:val="single" w:sz="8" w:space="0" w:color="auto"/>
            </w:tcBorders>
          </w:tcPr>
          <w:p w14:paraId="1F0C4244" w14:textId="77777777" w:rsidR="007F328B" w:rsidRPr="00696443" w:rsidRDefault="007F328B" w:rsidP="00A25889">
            <w:pPr>
              <w:keepNext/>
              <w:keepLines/>
              <w:spacing w:before="0" w:after="0"/>
              <w:jc w:val="left"/>
              <w:rPr>
                <w:sz w:val="20"/>
                <w:szCs w:val="20"/>
              </w:rPr>
            </w:pPr>
            <w:r w:rsidRPr="00696443">
              <w:rPr>
                <w:sz w:val="20"/>
                <w:szCs w:val="20"/>
              </w:rPr>
              <w:t>Skin and</w:t>
            </w:r>
            <w:r w:rsidR="00456870" w:rsidRPr="00696443">
              <w:rPr>
                <w:sz w:val="20"/>
                <w:szCs w:val="20"/>
              </w:rPr>
              <w:t xml:space="preserve"> </w:t>
            </w:r>
            <w:r w:rsidRPr="00696443">
              <w:rPr>
                <w:sz w:val="20"/>
                <w:szCs w:val="20"/>
              </w:rPr>
              <w:t>subcutaneous</w:t>
            </w:r>
            <w:r w:rsidR="00456870" w:rsidRPr="00696443">
              <w:rPr>
                <w:sz w:val="20"/>
                <w:szCs w:val="20"/>
              </w:rPr>
              <w:t xml:space="preserve"> </w:t>
            </w:r>
            <w:r w:rsidRPr="00696443">
              <w:rPr>
                <w:sz w:val="20"/>
                <w:szCs w:val="20"/>
              </w:rPr>
              <w:t>tissue disorders</w:t>
            </w:r>
          </w:p>
        </w:tc>
        <w:tc>
          <w:tcPr>
            <w:tcW w:w="1012" w:type="pct"/>
            <w:gridSpan w:val="2"/>
            <w:tcBorders>
              <w:top w:val="nil"/>
              <w:left w:val="nil"/>
              <w:bottom w:val="nil"/>
              <w:right w:val="single" w:sz="8" w:space="0" w:color="auto"/>
            </w:tcBorders>
          </w:tcPr>
          <w:p w14:paraId="3456EE70" w14:textId="77777777" w:rsidR="007F328B" w:rsidRPr="00696443" w:rsidRDefault="007F328B" w:rsidP="00A25889">
            <w:pPr>
              <w:keepNext/>
              <w:keepLines/>
              <w:spacing w:before="0" w:after="0"/>
              <w:jc w:val="left"/>
              <w:rPr>
                <w:sz w:val="20"/>
                <w:szCs w:val="20"/>
              </w:rPr>
            </w:pPr>
          </w:p>
        </w:tc>
        <w:tc>
          <w:tcPr>
            <w:tcW w:w="963" w:type="pct"/>
            <w:tcBorders>
              <w:top w:val="nil"/>
              <w:left w:val="nil"/>
              <w:bottom w:val="nil"/>
              <w:right w:val="single" w:sz="8" w:space="0" w:color="auto"/>
            </w:tcBorders>
          </w:tcPr>
          <w:p w14:paraId="06062053" w14:textId="77777777" w:rsidR="007F328B" w:rsidRPr="00696443" w:rsidRDefault="007F328B" w:rsidP="00A25889">
            <w:pPr>
              <w:keepNext/>
              <w:keepLines/>
              <w:spacing w:before="0" w:after="0"/>
              <w:jc w:val="left"/>
              <w:rPr>
                <w:sz w:val="20"/>
                <w:szCs w:val="20"/>
              </w:rPr>
            </w:pPr>
            <w:r w:rsidRPr="00696443">
              <w:rPr>
                <w:sz w:val="20"/>
                <w:szCs w:val="20"/>
              </w:rPr>
              <w:t xml:space="preserve">Perspiration </w:t>
            </w:r>
          </w:p>
        </w:tc>
        <w:tc>
          <w:tcPr>
            <w:tcW w:w="1018" w:type="pct"/>
            <w:gridSpan w:val="2"/>
            <w:tcBorders>
              <w:top w:val="nil"/>
              <w:left w:val="nil"/>
              <w:bottom w:val="nil"/>
              <w:right w:val="single" w:sz="8" w:space="0" w:color="auto"/>
            </w:tcBorders>
          </w:tcPr>
          <w:p w14:paraId="3412B744" w14:textId="77777777" w:rsidR="007F328B" w:rsidRPr="00696443" w:rsidRDefault="007F328B" w:rsidP="00A25889">
            <w:pPr>
              <w:keepNext/>
              <w:keepLines/>
              <w:spacing w:before="0" w:after="0"/>
              <w:jc w:val="left"/>
              <w:rPr>
                <w:sz w:val="20"/>
                <w:szCs w:val="20"/>
              </w:rPr>
            </w:pPr>
            <w:r w:rsidRPr="00696443">
              <w:rPr>
                <w:sz w:val="20"/>
                <w:szCs w:val="20"/>
              </w:rPr>
              <w:t>Photosensitivity</w:t>
            </w:r>
          </w:p>
        </w:tc>
        <w:tc>
          <w:tcPr>
            <w:tcW w:w="1001" w:type="pct"/>
            <w:gridSpan w:val="2"/>
            <w:tcBorders>
              <w:top w:val="nil"/>
              <w:left w:val="nil"/>
              <w:bottom w:val="nil"/>
              <w:right w:val="single" w:sz="8" w:space="0" w:color="auto"/>
            </w:tcBorders>
          </w:tcPr>
          <w:p w14:paraId="4D0D7E80" w14:textId="77777777" w:rsidR="007F328B" w:rsidRPr="00696443" w:rsidRDefault="007F328B" w:rsidP="00A25889">
            <w:pPr>
              <w:keepNext/>
              <w:keepLines/>
              <w:spacing w:before="0" w:after="0"/>
              <w:jc w:val="left"/>
              <w:rPr>
                <w:sz w:val="20"/>
                <w:szCs w:val="20"/>
              </w:rPr>
            </w:pPr>
          </w:p>
        </w:tc>
      </w:tr>
      <w:tr w:rsidR="007F328B" w:rsidRPr="001B65BA" w14:paraId="51008809" w14:textId="77777777" w:rsidTr="00EA60AB">
        <w:trPr>
          <w:trHeight w:val="255"/>
        </w:trPr>
        <w:tc>
          <w:tcPr>
            <w:tcW w:w="1006" w:type="pct"/>
            <w:gridSpan w:val="2"/>
            <w:vMerge/>
            <w:tcBorders>
              <w:left w:val="single" w:sz="8" w:space="0" w:color="auto"/>
              <w:bottom w:val="single" w:sz="4" w:space="0" w:color="auto"/>
              <w:right w:val="single" w:sz="8" w:space="0" w:color="auto"/>
            </w:tcBorders>
          </w:tcPr>
          <w:p w14:paraId="2CE4244A" w14:textId="77777777" w:rsidR="007F328B" w:rsidRPr="00696443" w:rsidRDefault="007F328B" w:rsidP="00A25889">
            <w:pPr>
              <w:spacing w:before="0" w:after="0"/>
              <w:jc w:val="left"/>
              <w:rPr>
                <w:sz w:val="20"/>
                <w:szCs w:val="20"/>
              </w:rPr>
            </w:pPr>
          </w:p>
        </w:tc>
        <w:tc>
          <w:tcPr>
            <w:tcW w:w="1012" w:type="pct"/>
            <w:gridSpan w:val="2"/>
            <w:tcBorders>
              <w:top w:val="nil"/>
              <w:left w:val="nil"/>
              <w:bottom w:val="single" w:sz="4" w:space="0" w:color="auto"/>
              <w:right w:val="single" w:sz="8" w:space="0" w:color="auto"/>
            </w:tcBorders>
          </w:tcPr>
          <w:p w14:paraId="4750FC41" w14:textId="77777777" w:rsidR="007F328B" w:rsidRPr="00696443" w:rsidRDefault="007F328B" w:rsidP="00A25889">
            <w:pPr>
              <w:spacing w:before="0" w:after="0"/>
              <w:jc w:val="left"/>
              <w:rPr>
                <w:sz w:val="20"/>
                <w:szCs w:val="20"/>
              </w:rPr>
            </w:pPr>
          </w:p>
        </w:tc>
        <w:tc>
          <w:tcPr>
            <w:tcW w:w="963" w:type="pct"/>
            <w:tcBorders>
              <w:top w:val="nil"/>
              <w:left w:val="nil"/>
              <w:bottom w:val="single" w:sz="4" w:space="0" w:color="auto"/>
              <w:right w:val="single" w:sz="8" w:space="0" w:color="auto"/>
            </w:tcBorders>
          </w:tcPr>
          <w:p w14:paraId="08EA2D7F" w14:textId="77777777" w:rsidR="007F328B" w:rsidRPr="00696443" w:rsidRDefault="007F328B" w:rsidP="00A25889">
            <w:pPr>
              <w:keepLines/>
              <w:spacing w:before="0" w:after="0"/>
              <w:jc w:val="left"/>
              <w:rPr>
                <w:sz w:val="20"/>
                <w:szCs w:val="20"/>
              </w:rPr>
            </w:pPr>
            <w:r w:rsidRPr="00696443">
              <w:rPr>
                <w:sz w:val="20"/>
                <w:szCs w:val="20"/>
              </w:rPr>
              <w:t>Rash</w:t>
            </w:r>
          </w:p>
        </w:tc>
        <w:tc>
          <w:tcPr>
            <w:tcW w:w="1018" w:type="pct"/>
            <w:gridSpan w:val="2"/>
            <w:tcBorders>
              <w:top w:val="nil"/>
              <w:left w:val="nil"/>
              <w:bottom w:val="single" w:sz="4" w:space="0" w:color="auto"/>
              <w:right w:val="single" w:sz="8" w:space="0" w:color="auto"/>
            </w:tcBorders>
          </w:tcPr>
          <w:p w14:paraId="1AE0197C" w14:textId="77777777" w:rsidR="007F328B" w:rsidRPr="00696443" w:rsidRDefault="007F328B" w:rsidP="00A25889">
            <w:pPr>
              <w:keepLines/>
              <w:spacing w:before="0" w:after="0"/>
              <w:jc w:val="left"/>
              <w:rPr>
                <w:sz w:val="20"/>
                <w:szCs w:val="20"/>
              </w:rPr>
            </w:pPr>
          </w:p>
        </w:tc>
        <w:tc>
          <w:tcPr>
            <w:tcW w:w="1001" w:type="pct"/>
            <w:gridSpan w:val="2"/>
            <w:tcBorders>
              <w:top w:val="nil"/>
              <w:left w:val="nil"/>
              <w:bottom w:val="single" w:sz="4" w:space="0" w:color="auto"/>
              <w:right w:val="single" w:sz="8" w:space="0" w:color="auto"/>
            </w:tcBorders>
          </w:tcPr>
          <w:p w14:paraId="223E744E" w14:textId="77777777" w:rsidR="007F328B" w:rsidRPr="00696443" w:rsidRDefault="007F328B" w:rsidP="00A25889">
            <w:pPr>
              <w:spacing w:before="0" w:after="0"/>
              <w:jc w:val="left"/>
              <w:rPr>
                <w:sz w:val="20"/>
                <w:szCs w:val="20"/>
              </w:rPr>
            </w:pPr>
          </w:p>
        </w:tc>
      </w:tr>
      <w:tr w:rsidR="007F328B" w:rsidRPr="001B65BA" w14:paraId="46FA0451" w14:textId="77777777" w:rsidTr="00EA60AB">
        <w:trPr>
          <w:trHeight w:val="228"/>
        </w:trPr>
        <w:tc>
          <w:tcPr>
            <w:tcW w:w="1006" w:type="pct"/>
            <w:gridSpan w:val="2"/>
            <w:tcBorders>
              <w:top w:val="single" w:sz="4" w:space="0" w:color="auto"/>
              <w:left w:val="single" w:sz="8" w:space="0" w:color="auto"/>
              <w:bottom w:val="single" w:sz="4" w:space="0" w:color="auto"/>
              <w:right w:val="single" w:sz="8" w:space="0" w:color="auto"/>
            </w:tcBorders>
          </w:tcPr>
          <w:p w14:paraId="1C6FA7D9" w14:textId="77777777" w:rsidR="007F328B" w:rsidRPr="00696443" w:rsidRDefault="007F328B" w:rsidP="00A25889">
            <w:pPr>
              <w:spacing w:before="0" w:after="0"/>
              <w:jc w:val="left"/>
              <w:rPr>
                <w:sz w:val="20"/>
                <w:szCs w:val="20"/>
              </w:rPr>
            </w:pPr>
            <w:r w:rsidRPr="00696443">
              <w:rPr>
                <w:sz w:val="20"/>
                <w:szCs w:val="20"/>
              </w:rPr>
              <w:t>Renal and urinary</w:t>
            </w:r>
            <w:r w:rsidR="00456870" w:rsidRPr="00696443">
              <w:rPr>
                <w:sz w:val="20"/>
                <w:szCs w:val="20"/>
              </w:rPr>
              <w:t xml:space="preserve"> </w:t>
            </w:r>
            <w:r w:rsidRPr="00696443">
              <w:rPr>
                <w:sz w:val="20"/>
                <w:szCs w:val="20"/>
              </w:rPr>
              <w:t>disorders</w:t>
            </w:r>
          </w:p>
        </w:tc>
        <w:tc>
          <w:tcPr>
            <w:tcW w:w="1012" w:type="pct"/>
            <w:gridSpan w:val="2"/>
            <w:tcBorders>
              <w:top w:val="single" w:sz="4" w:space="0" w:color="auto"/>
              <w:left w:val="nil"/>
              <w:bottom w:val="single" w:sz="4" w:space="0" w:color="auto"/>
              <w:right w:val="single" w:sz="8" w:space="0" w:color="auto"/>
            </w:tcBorders>
          </w:tcPr>
          <w:p w14:paraId="0286FCDD" w14:textId="77777777" w:rsidR="007F328B" w:rsidRPr="00696443" w:rsidRDefault="007F328B" w:rsidP="00A25889">
            <w:pPr>
              <w:spacing w:before="0" w:after="0"/>
              <w:jc w:val="left"/>
              <w:rPr>
                <w:sz w:val="20"/>
                <w:szCs w:val="20"/>
              </w:rPr>
            </w:pPr>
          </w:p>
        </w:tc>
        <w:tc>
          <w:tcPr>
            <w:tcW w:w="963" w:type="pct"/>
            <w:tcBorders>
              <w:top w:val="single" w:sz="4" w:space="0" w:color="auto"/>
              <w:left w:val="nil"/>
              <w:bottom w:val="single" w:sz="4" w:space="0" w:color="auto"/>
              <w:right w:val="single" w:sz="8" w:space="0" w:color="auto"/>
            </w:tcBorders>
          </w:tcPr>
          <w:p w14:paraId="0F9F5346" w14:textId="77777777" w:rsidR="007F328B" w:rsidRPr="00696443" w:rsidRDefault="007F328B" w:rsidP="00A25889">
            <w:pPr>
              <w:spacing w:before="0" w:after="0"/>
              <w:jc w:val="left"/>
              <w:rPr>
                <w:sz w:val="20"/>
                <w:szCs w:val="20"/>
              </w:rPr>
            </w:pPr>
          </w:p>
        </w:tc>
        <w:tc>
          <w:tcPr>
            <w:tcW w:w="1018" w:type="pct"/>
            <w:gridSpan w:val="2"/>
            <w:tcBorders>
              <w:top w:val="single" w:sz="4" w:space="0" w:color="auto"/>
              <w:left w:val="nil"/>
              <w:bottom w:val="single" w:sz="4" w:space="0" w:color="auto"/>
              <w:right w:val="single" w:sz="8" w:space="0" w:color="auto"/>
            </w:tcBorders>
          </w:tcPr>
          <w:p w14:paraId="6E4A659E" w14:textId="77777777" w:rsidR="007F328B" w:rsidRPr="00696443" w:rsidRDefault="007F328B" w:rsidP="00A25889">
            <w:pPr>
              <w:spacing w:before="0" w:after="0"/>
              <w:jc w:val="left"/>
              <w:rPr>
                <w:sz w:val="20"/>
                <w:szCs w:val="20"/>
              </w:rPr>
            </w:pPr>
            <w:r w:rsidRPr="00696443">
              <w:rPr>
                <w:sz w:val="20"/>
                <w:szCs w:val="20"/>
              </w:rPr>
              <w:t>Urinary hesitancy</w:t>
            </w:r>
          </w:p>
        </w:tc>
        <w:tc>
          <w:tcPr>
            <w:tcW w:w="1001" w:type="pct"/>
            <w:gridSpan w:val="2"/>
            <w:tcBorders>
              <w:top w:val="single" w:sz="4" w:space="0" w:color="auto"/>
              <w:left w:val="nil"/>
              <w:bottom w:val="single" w:sz="4" w:space="0" w:color="auto"/>
              <w:right w:val="single" w:sz="8" w:space="0" w:color="auto"/>
            </w:tcBorders>
          </w:tcPr>
          <w:p w14:paraId="3729504A" w14:textId="77777777" w:rsidR="007F328B" w:rsidRPr="00696443" w:rsidRDefault="007F328B" w:rsidP="00A25889">
            <w:pPr>
              <w:spacing w:before="0" w:after="0"/>
              <w:jc w:val="left"/>
              <w:rPr>
                <w:sz w:val="20"/>
                <w:szCs w:val="20"/>
              </w:rPr>
            </w:pPr>
          </w:p>
        </w:tc>
      </w:tr>
    </w:tbl>
    <w:p w14:paraId="008484AD" w14:textId="77777777" w:rsidR="007F328B" w:rsidRPr="001B65BA" w:rsidRDefault="007F328B" w:rsidP="00A25889">
      <w:r w:rsidRPr="001B65BA">
        <w:t>In addition the following adverse reactions are associated with cinnarizine and dimenhydrinate (frequency cannot be estimated from the available data):</w:t>
      </w:r>
    </w:p>
    <w:p w14:paraId="76E28DE0" w14:textId="77777777" w:rsidR="007F328B" w:rsidRPr="001B65BA" w:rsidRDefault="007F328B" w:rsidP="00A25889">
      <w:r w:rsidRPr="001B65BA">
        <w:t xml:space="preserve">Dimenhydrinate: </w:t>
      </w:r>
    </w:p>
    <w:p w14:paraId="6C69D0F2" w14:textId="77777777" w:rsidR="007F328B" w:rsidRPr="001B65BA" w:rsidRDefault="007F328B" w:rsidP="00BE2ABC">
      <w:pPr>
        <w:pStyle w:val="ListParagraph"/>
        <w:numPr>
          <w:ilvl w:val="0"/>
          <w:numId w:val="40"/>
        </w:numPr>
        <w:ind w:left="357" w:hanging="357"/>
      </w:pPr>
      <w:r w:rsidRPr="001B65BA">
        <w:t xml:space="preserve">paradoxical excitability (especially in children), </w:t>
      </w:r>
    </w:p>
    <w:p w14:paraId="3281C1FC" w14:textId="77777777" w:rsidR="007F328B" w:rsidRPr="001B65BA" w:rsidRDefault="007F328B" w:rsidP="00BE2ABC">
      <w:pPr>
        <w:pStyle w:val="ListParagraph"/>
        <w:numPr>
          <w:ilvl w:val="0"/>
          <w:numId w:val="40"/>
        </w:numPr>
        <w:ind w:left="357" w:hanging="357"/>
      </w:pPr>
      <w:r w:rsidRPr="001B65BA">
        <w:t>worsening of an existing angle -</w:t>
      </w:r>
      <w:r w:rsidRPr="001B65BA">
        <w:rPr>
          <w:i/>
          <w:iCs/>
        </w:rPr>
        <w:t xml:space="preserve"> </w:t>
      </w:r>
      <w:r w:rsidRPr="001B65BA">
        <w:t xml:space="preserve">closure glaucoma, </w:t>
      </w:r>
    </w:p>
    <w:p w14:paraId="36FBB3F1" w14:textId="77777777" w:rsidR="007F328B" w:rsidRPr="001B65BA" w:rsidRDefault="007F328B" w:rsidP="00BE2ABC">
      <w:pPr>
        <w:pStyle w:val="ListParagraph"/>
        <w:numPr>
          <w:ilvl w:val="0"/>
          <w:numId w:val="40"/>
        </w:numPr>
        <w:ind w:left="357" w:hanging="357"/>
      </w:pPr>
      <w:r w:rsidRPr="001B65BA">
        <w:t>reversible agranulocytosis.</w:t>
      </w:r>
    </w:p>
    <w:p w14:paraId="713304C2" w14:textId="77777777" w:rsidR="007F328B" w:rsidRPr="001B65BA" w:rsidRDefault="007F328B" w:rsidP="00BE2ABC">
      <w:pPr>
        <w:keepNext/>
      </w:pPr>
      <w:r w:rsidRPr="001B65BA">
        <w:t xml:space="preserve">Cinnarizine: </w:t>
      </w:r>
    </w:p>
    <w:p w14:paraId="4D4A6902" w14:textId="77777777" w:rsidR="007F328B" w:rsidRPr="001B65BA" w:rsidRDefault="007F328B" w:rsidP="00BE2ABC">
      <w:pPr>
        <w:pStyle w:val="ListParagraph"/>
        <w:keepNext/>
        <w:numPr>
          <w:ilvl w:val="0"/>
          <w:numId w:val="39"/>
        </w:numPr>
        <w:ind w:left="357" w:hanging="357"/>
      </w:pPr>
      <w:r w:rsidRPr="001B65BA">
        <w:t xml:space="preserve">constipation, </w:t>
      </w:r>
    </w:p>
    <w:p w14:paraId="3AAB462C" w14:textId="77777777" w:rsidR="007F328B" w:rsidRPr="001B65BA" w:rsidRDefault="007F328B" w:rsidP="00BE2ABC">
      <w:pPr>
        <w:pStyle w:val="ListParagraph"/>
        <w:keepNext/>
        <w:numPr>
          <w:ilvl w:val="0"/>
          <w:numId w:val="39"/>
        </w:numPr>
        <w:ind w:left="357" w:hanging="357"/>
      </w:pPr>
      <w:r w:rsidRPr="001B65BA">
        <w:t xml:space="preserve">weight gain, </w:t>
      </w:r>
    </w:p>
    <w:p w14:paraId="57AFD4A8" w14:textId="77777777" w:rsidR="007F328B" w:rsidRPr="001B65BA" w:rsidRDefault="007F328B" w:rsidP="00BE2ABC">
      <w:pPr>
        <w:pStyle w:val="ListParagraph"/>
        <w:keepNext/>
        <w:numPr>
          <w:ilvl w:val="0"/>
          <w:numId w:val="39"/>
        </w:numPr>
        <w:ind w:left="357" w:hanging="357"/>
      </w:pPr>
      <w:r w:rsidRPr="001B65BA">
        <w:t xml:space="preserve">tightness of the chest, </w:t>
      </w:r>
    </w:p>
    <w:p w14:paraId="0F7E2699" w14:textId="77777777" w:rsidR="007F328B" w:rsidRPr="001B65BA" w:rsidRDefault="007F328B" w:rsidP="00BE2ABC">
      <w:pPr>
        <w:pStyle w:val="ListParagraph"/>
        <w:keepNext/>
        <w:numPr>
          <w:ilvl w:val="0"/>
          <w:numId w:val="39"/>
        </w:numPr>
        <w:ind w:left="357" w:hanging="357"/>
      </w:pPr>
      <w:r w:rsidRPr="001B65BA">
        <w:t xml:space="preserve">cholestatic jaundice, </w:t>
      </w:r>
    </w:p>
    <w:p w14:paraId="759B6ED4" w14:textId="77777777" w:rsidR="007F328B" w:rsidRPr="001B65BA" w:rsidRDefault="007F328B" w:rsidP="00BE2ABC">
      <w:pPr>
        <w:pStyle w:val="ListParagraph"/>
        <w:keepNext/>
        <w:numPr>
          <w:ilvl w:val="0"/>
          <w:numId w:val="39"/>
        </w:numPr>
        <w:ind w:left="357" w:hanging="357"/>
      </w:pPr>
      <w:r w:rsidRPr="001B65BA">
        <w:t>extrapyramidal</w:t>
      </w:r>
      <w:r w:rsidRPr="001B65BA">
        <w:rPr>
          <w:i/>
          <w:iCs/>
        </w:rPr>
        <w:t xml:space="preserve"> </w:t>
      </w:r>
      <w:r w:rsidRPr="001B65BA">
        <w:t xml:space="preserve">symptoms, </w:t>
      </w:r>
    </w:p>
    <w:p w14:paraId="66F7C482" w14:textId="77777777" w:rsidR="007F328B" w:rsidRPr="001B65BA" w:rsidRDefault="007F328B" w:rsidP="00BE2ABC">
      <w:pPr>
        <w:pStyle w:val="ListParagraph"/>
        <w:keepNext/>
        <w:numPr>
          <w:ilvl w:val="0"/>
          <w:numId w:val="39"/>
        </w:numPr>
        <w:ind w:left="357" w:hanging="357"/>
      </w:pPr>
      <w:r w:rsidRPr="001B65BA">
        <w:t xml:space="preserve">lupus-like skin reactions, </w:t>
      </w:r>
    </w:p>
    <w:p w14:paraId="4A3A950E" w14:textId="77777777" w:rsidR="007F328B" w:rsidRPr="001B65BA" w:rsidRDefault="007F328B" w:rsidP="00BE2ABC">
      <w:pPr>
        <w:pStyle w:val="ListParagraph"/>
        <w:numPr>
          <w:ilvl w:val="0"/>
          <w:numId w:val="39"/>
        </w:numPr>
        <w:ind w:left="357" w:hanging="357"/>
      </w:pPr>
      <w:r w:rsidRPr="001B65BA">
        <w:t>lichen planus.</w:t>
      </w:r>
    </w:p>
    <w:p w14:paraId="1E70CD5E" w14:textId="54CF70BB" w:rsidR="00696443" w:rsidRDefault="00696443" w:rsidP="00A25889">
      <w:pPr>
        <w:pStyle w:val="Heading3"/>
      </w:pPr>
      <w:bookmarkStart w:id="4" w:name="_Hlk504550979"/>
      <w:r>
        <w:t>Reporting suspected adverse reactions</w:t>
      </w:r>
    </w:p>
    <w:bookmarkEnd w:id="4"/>
    <w:p w14:paraId="44750E28" w14:textId="25BB5321" w:rsidR="00712256" w:rsidRPr="001B65BA" w:rsidRDefault="00712256" w:rsidP="00A25889">
      <w:r w:rsidRPr="001B65BA">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Pr="001B65BA">
          <w:rPr>
            <w:rStyle w:val="Hyperlink"/>
          </w:rPr>
          <w:t>http://www.tga.gov.au/reporting-problems</w:t>
        </w:r>
      </w:hyperlink>
      <w:r w:rsidRPr="001B65BA">
        <w:t>.</w:t>
      </w:r>
    </w:p>
    <w:p w14:paraId="59ACE6BA" w14:textId="77777777" w:rsidR="00FD1F94" w:rsidRPr="001B65BA" w:rsidRDefault="00FD1F94" w:rsidP="00A25889">
      <w:pPr>
        <w:pStyle w:val="Heading2"/>
        <w:rPr>
          <w:lang w:val="en-AU"/>
        </w:rPr>
      </w:pPr>
      <w:r w:rsidRPr="001B65BA">
        <w:rPr>
          <w:lang w:val="en-AU"/>
        </w:rPr>
        <w:lastRenderedPageBreak/>
        <w:t>OVERDOSE</w:t>
      </w:r>
    </w:p>
    <w:p w14:paraId="591C5160" w14:textId="51760FF0" w:rsidR="00712256" w:rsidRPr="001B65BA" w:rsidRDefault="00712256" w:rsidP="00A25889">
      <w:r w:rsidRPr="001B65BA">
        <w:t>For information on the management of overdose, contact the Poisons Information Centre on 13 11 26 (Australia),</w:t>
      </w:r>
    </w:p>
    <w:p w14:paraId="2E6AA79E" w14:textId="77777777" w:rsidR="007F328B" w:rsidRPr="001B65BA" w:rsidRDefault="007F328B" w:rsidP="00A25889">
      <w:pPr>
        <w:pStyle w:val="Heading3"/>
      </w:pPr>
      <w:r w:rsidRPr="001B65BA">
        <w:t>Symptoms</w:t>
      </w:r>
    </w:p>
    <w:p w14:paraId="4CAD26C6" w14:textId="77777777" w:rsidR="007F328B" w:rsidRPr="001B65BA" w:rsidRDefault="007F328B" w:rsidP="00A25889">
      <w:r w:rsidRPr="001B65BA">
        <w:t>Symptoms of overdose with CIZINATE include drowsiness, dizziness and ataxia with anticholinergic effects such as dry mouth, flushing of the face, dilated pupils, tachycardia, pyrexia, headache and urinary retention. Convulsions, hallucinations, excitement, respiratory depression, hypertension, tremor and coma may occur, particularly in cases of ingestion of larger doses.</w:t>
      </w:r>
    </w:p>
    <w:p w14:paraId="29B5539F" w14:textId="77777777" w:rsidR="007F328B" w:rsidRPr="001B65BA" w:rsidRDefault="007F328B" w:rsidP="00A25889">
      <w:pPr>
        <w:pStyle w:val="Heading3"/>
      </w:pPr>
      <w:r w:rsidRPr="001B65BA">
        <w:t>Management</w:t>
      </w:r>
    </w:p>
    <w:p w14:paraId="2C55BE80" w14:textId="77777777" w:rsidR="007F328B" w:rsidRPr="001B65BA" w:rsidRDefault="007F328B" w:rsidP="00A25889">
      <w:pPr>
        <w:rPr>
          <w:i/>
        </w:rPr>
      </w:pPr>
      <w:r w:rsidRPr="001B65BA">
        <w:t>In case of overdose treatment should be supportive and symptomatic</w:t>
      </w:r>
      <w:r w:rsidRPr="001B65BA">
        <w:rPr>
          <w:i/>
          <w:color w:val="3366FF"/>
        </w:rPr>
        <w:t>.</w:t>
      </w:r>
    </w:p>
    <w:p w14:paraId="7079EFC4" w14:textId="77777777" w:rsidR="007F328B" w:rsidRPr="001B65BA" w:rsidRDefault="007F328B" w:rsidP="00A25889">
      <w:r w:rsidRPr="001B65BA">
        <w:t>General supportive measures should be used to treat respiratory insufficiency or circulatory failure. Body temperature should be closely monitored, since pyrexia may occur as a consequence of antihistamine intoxication, especially in children.</w:t>
      </w:r>
    </w:p>
    <w:p w14:paraId="10F0260C" w14:textId="77777777" w:rsidR="007F328B" w:rsidRPr="001B65BA" w:rsidRDefault="007F328B" w:rsidP="00A25889">
      <w:r w:rsidRPr="001B65BA">
        <w:t>Cramp-like symptoms may be controlled by careful application of a short-acting barbiturate. In cases of marked central-anticholinergic effects, physostigmine (after physostigmine test) should be administered slowly intravenously (or, if necessary, intramuscularly): 0.03 mg/kg body weight (adults max. 2 mg, children max. 0.5 mg).</w:t>
      </w:r>
    </w:p>
    <w:p w14:paraId="67F046F1" w14:textId="77777777" w:rsidR="007F328B" w:rsidRPr="001B65BA" w:rsidRDefault="007F328B" w:rsidP="00A25889">
      <w:r w:rsidRPr="001B65BA">
        <w:t xml:space="preserve">Dimenhydrinate is dialyzable, however treatment of overdose by this measure is considered as unsatisfactory. Sufficient elimination can be achieved by means of haemoperfusion using activated charcoal. </w:t>
      </w:r>
    </w:p>
    <w:p w14:paraId="07DE6851" w14:textId="77777777" w:rsidR="007F328B" w:rsidRPr="001B65BA" w:rsidRDefault="007F328B" w:rsidP="00A25889">
      <w:r w:rsidRPr="001B65BA">
        <w:t>No data are available concerning the dialysability of cinnarizine.</w:t>
      </w:r>
    </w:p>
    <w:p w14:paraId="7A5499F4" w14:textId="77777777" w:rsidR="00FD1F94" w:rsidRPr="001B65BA" w:rsidRDefault="00FD1F94" w:rsidP="00A25889">
      <w:pPr>
        <w:pStyle w:val="Heading1"/>
        <w:rPr>
          <w:lang w:val="en-AU"/>
        </w:rPr>
      </w:pPr>
      <w:r w:rsidRPr="001B65BA">
        <w:rPr>
          <w:lang w:val="en-AU"/>
        </w:rPr>
        <w:t>PHARMACOLOGICAL PROPERTIES</w:t>
      </w:r>
    </w:p>
    <w:p w14:paraId="1AA31E21" w14:textId="77777777" w:rsidR="00FD1F94" w:rsidRPr="001B65BA" w:rsidRDefault="00FD1F94" w:rsidP="00A25889">
      <w:pPr>
        <w:pStyle w:val="Heading2"/>
        <w:rPr>
          <w:lang w:val="en-AU"/>
        </w:rPr>
      </w:pPr>
      <w:r w:rsidRPr="001B65BA">
        <w:rPr>
          <w:lang w:val="en-AU"/>
        </w:rPr>
        <w:t>PHARMACODYNAMIC PROPERTIES</w:t>
      </w:r>
    </w:p>
    <w:p w14:paraId="7EC78E75" w14:textId="77777777" w:rsidR="00FD1F94" w:rsidRPr="001B65BA" w:rsidRDefault="00FD1F94" w:rsidP="00A25889">
      <w:pPr>
        <w:pStyle w:val="Heading3"/>
      </w:pPr>
      <w:r w:rsidRPr="001B65BA">
        <w:t>Mechanism of action</w:t>
      </w:r>
    </w:p>
    <w:p w14:paraId="400F34C7" w14:textId="69CA575D" w:rsidR="00DD6696" w:rsidRPr="001B65BA" w:rsidRDefault="00DD6696" w:rsidP="00A25889">
      <w:pPr>
        <w:overflowPunct w:val="0"/>
        <w:autoSpaceDE w:val="0"/>
        <w:autoSpaceDN w:val="0"/>
        <w:adjustRightInd w:val="0"/>
        <w:ind w:right="30"/>
      </w:pPr>
      <w:r w:rsidRPr="001B65BA">
        <w:rPr>
          <w:i/>
          <w:iCs/>
        </w:rPr>
        <w:t xml:space="preserve">In vitro </w:t>
      </w:r>
      <w:r w:rsidRPr="001B65BA">
        <w:t>studies have demonstrated that both diphenhydramine and cinnarizine have inhibitory activity at multiple molecular targets. Diphenhydramine is a potent inhibitor of histamine H</w:t>
      </w:r>
      <w:r w:rsidRPr="001B65BA">
        <w:rPr>
          <w:sz w:val="14"/>
          <w:szCs w:val="14"/>
        </w:rPr>
        <w:t xml:space="preserve">1 </w:t>
      </w:r>
      <w:r w:rsidRPr="001B65BA">
        <w:t>receptors and muscarinic acetylcholine receptors, whilst cinnarizine is a potent inhibitor of histamine H</w:t>
      </w:r>
      <w:r w:rsidRPr="001B65BA">
        <w:rPr>
          <w:sz w:val="14"/>
          <w:szCs w:val="14"/>
        </w:rPr>
        <w:t xml:space="preserve">1 </w:t>
      </w:r>
      <w:r w:rsidRPr="001B65BA">
        <w:t>and H</w:t>
      </w:r>
      <w:r w:rsidRPr="001B65BA">
        <w:rPr>
          <w:sz w:val="14"/>
          <w:szCs w:val="14"/>
        </w:rPr>
        <w:t xml:space="preserve">4 </w:t>
      </w:r>
      <w:r w:rsidRPr="001B65BA">
        <w:t>receptors and dopamine D</w:t>
      </w:r>
      <w:r w:rsidRPr="001B65BA">
        <w:rPr>
          <w:sz w:val="14"/>
          <w:szCs w:val="14"/>
        </w:rPr>
        <w:t xml:space="preserve">2 </w:t>
      </w:r>
      <w:r w:rsidRPr="001B65BA">
        <w:t>receptors and a less potent inhibitor of pressure-sensitive potassium channels and serotonin 2 receptors. All the aforementioned proteins are known to have functions in the central and/or peripheral vestibular system.</w:t>
      </w:r>
    </w:p>
    <w:p w14:paraId="22688665" w14:textId="601D4E63" w:rsidR="00612F52" w:rsidRPr="001B65BA" w:rsidRDefault="00612F52" w:rsidP="00A25889">
      <w:r w:rsidRPr="001B65BA">
        <w:t>The rationale for combining both compounds into a fixed dose combination tablet is to provide a product with a dual mechanism of action, with cinnarizine primarily acting peripherally on the labyrinth, and dimenhydrinate acting predominately centrally on the vestibular nuclei and related vegetative centres in the brainstem</w:t>
      </w:r>
      <w:r w:rsidR="001B65BA" w:rsidRPr="001B65BA">
        <w:t xml:space="preserve">. </w:t>
      </w:r>
      <w:r w:rsidRPr="001B65BA">
        <w:t>This product may then be useful in treating vertigo of various origins.</w:t>
      </w:r>
    </w:p>
    <w:p w14:paraId="1EF88AD7" w14:textId="77777777" w:rsidR="00FD1F94" w:rsidRPr="001B65BA" w:rsidRDefault="00FD1F94" w:rsidP="00A25889">
      <w:pPr>
        <w:pStyle w:val="Heading3"/>
      </w:pPr>
      <w:r w:rsidRPr="001B65BA">
        <w:lastRenderedPageBreak/>
        <w:t>Clinical trials</w:t>
      </w:r>
    </w:p>
    <w:p w14:paraId="6A17E1E7" w14:textId="5D5C0807" w:rsidR="00612F52" w:rsidRPr="001B65BA" w:rsidRDefault="00612F52" w:rsidP="00A25889">
      <w:r w:rsidRPr="001B65BA">
        <w:t>The safety and efficacy of the fixed dose combination tablet (FDC) containing cinnarizine 20</w:t>
      </w:r>
      <w:r w:rsidR="00EA60AB">
        <w:t> </w:t>
      </w:r>
      <w:r w:rsidRPr="001B65BA">
        <w:t>mg and dimenhydrinate 40 mg is supported by five publications summarising the outcome of 9 well designed, randomised, controlled clinical trials (RCT)</w:t>
      </w:r>
      <w:r w:rsidR="00514988" w:rsidRPr="001B65BA">
        <w:t>. All RCT used a three times daily dosing regimen for FDC.</w:t>
      </w:r>
    </w:p>
    <w:p w14:paraId="573062A5" w14:textId="6BEF59DD" w:rsidR="00612F52" w:rsidRPr="001B65BA" w:rsidRDefault="00612F52" w:rsidP="00A25889">
      <w:r w:rsidRPr="001B65BA">
        <w:t>Four of the 9 RCT compared the efficacy of the FDC to equi-doses of the individual component medicines, while 3 studies compared the FDC to doses of the component monotherapies which were 2.5 times greater (cinnarizine 50 mg and dimenhydrinate 100 mg respectively) than the amount included in the FDC</w:t>
      </w:r>
      <w:r w:rsidR="001B65BA" w:rsidRPr="001B65BA">
        <w:t xml:space="preserve">. </w:t>
      </w:r>
      <w:r w:rsidRPr="001B65BA">
        <w:t>Two of the RCT also included a placebo arm</w:t>
      </w:r>
      <w:r w:rsidR="001B65BA" w:rsidRPr="001B65BA">
        <w:t xml:space="preserve">. </w:t>
      </w:r>
      <w:r w:rsidRPr="001B65BA">
        <w:t>The remaining study compared the FDC to betahistine 12 mg three times daily</w:t>
      </w:r>
      <w:r w:rsidR="001B65BA" w:rsidRPr="001B65BA">
        <w:t xml:space="preserve">. </w:t>
      </w:r>
    </w:p>
    <w:p w14:paraId="6BE05F26" w14:textId="153B46EE" w:rsidR="001B65BA" w:rsidRPr="001B65BA" w:rsidRDefault="001B65BA" w:rsidP="00A25889">
      <w:r w:rsidRPr="001B65BA">
        <w:t>The FDC used in all trials contain the same quantities of cinnarizine and dimenhydrinate as the Australian formulation. The studies were performed in a total of 1235 adult patients with an average age in the early 50’s. More females than males were included in the studies, with most individual RCT recruiting more than 60% females. All but one of the RCT recruited patients with vertigo of central, peripheral or combined central and peripheral origin. The remaining study recruited patients with vertigo due to unilateral vestibular failure or neuropathy.</w:t>
      </w:r>
    </w:p>
    <w:p w14:paraId="0D20345E" w14:textId="77777777" w:rsidR="001B65BA" w:rsidRDefault="001B65BA" w:rsidP="00A25889">
      <w:r>
        <w:t>The pivotal studies supporting the efficacy of FDC were reported as publications by Hahn 2001 and Pytel 2007.</w:t>
      </w:r>
    </w:p>
    <w:p w14:paraId="4DEFA9F8" w14:textId="508CC96C" w:rsidR="001B65BA" w:rsidRDefault="001B65BA" w:rsidP="00A25889">
      <w:r>
        <w:t xml:space="preserve">Hahn 2006 was a multicentre, double blind, randomised, three arm, parallel-group, trial comparing the tolerability and efficacy of a FDC medicine containing 20mg of cinnarizine and 40mg of dimenhydrinate, to monotherapy with either 20mg cinnarizine or 40mg dimenhydrinate, in adult patients with vertigo of central, peripheral or mixed origin. </w:t>
      </w:r>
    </w:p>
    <w:p w14:paraId="2262179E" w14:textId="77777777" w:rsidR="001B65BA" w:rsidRDefault="001B65BA" w:rsidP="00A25889">
      <w:r>
        <w:t>The objective of the study was to compare the efficacy and safety of FDC compared to the monocomponents in patients presenting to clinical practice with any symptom of vertigo, regardless of origin, and to test whether the efficacy of the FDC exceeds that of single components without increasing the incidence of adverse events.</w:t>
      </w:r>
    </w:p>
    <w:p w14:paraId="7264BDDF" w14:textId="688D8FD5" w:rsidR="001B65BA" w:rsidRDefault="001B65BA" w:rsidP="00A25889">
      <w:r>
        <w:t xml:space="preserve">The primary efficacy variable was the change in mean vertigo score (MVS) at week 4. The MVS was calculated by adding the individual scores recorded for each of the 12 vertigo symptoms by patients using a 5 point VAS (0=not present, 4=very strong), divided by 12.  Secondary efficacy endpoints were the change in severity of vegetative symptoms associated with vertigo using the same VAS and the Unterberger and Romberg lateral and angular deviation tests, and nystagmus frequency in the caloric test. All assessments were performed at baseline, after one week of treatment and at 4 weeks. </w:t>
      </w:r>
    </w:p>
    <w:p w14:paraId="0E08C6AF" w14:textId="6E20620B" w:rsidR="001B65BA" w:rsidRDefault="001B65BA" w:rsidP="00A25889">
      <w:r>
        <w:t>The incidence, severity and relationship to study medicine of all observed or reported adverse events were recorded. The overall tolerability of treatments was assessed by both the participant and investigator at week 1 and 4 using a 4 point scale (poor to very good).</w:t>
      </w:r>
    </w:p>
    <w:p w14:paraId="7B4992AC" w14:textId="4722BCA1" w:rsidR="001B65BA" w:rsidRDefault="001B65BA" w:rsidP="00A25889">
      <w:r>
        <w:t>The change in MVS following the 4 week treatment period is shown in following table.  Patients assigned FDC treatment demonstrated the greatest improvement in vertigo score during the 4</w:t>
      </w:r>
      <w:r w:rsidR="00EA60AB">
        <w:t> </w:t>
      </w:r>
      <w:r>
        <w:t>week study.  At week 4 the MVS had decreased by &gt; 80% in the FDC group compared to around 60% in the cinnarizine or dimenhydrinate groups. The differences in efficacy were significantly (P &lt; 0.001) at both week 1 and 4.</w:t>
      </w:r>
    </w:p>
    <w:p w14:paraId="68A56077" w14:textId="6BEB00F8" w:rsidR="001B65BA" w:rsidRPr="001B65BA" w:rsidRDefault="001B65BA" w:rsidP="00BE2ABC">
      <w:pPr>
        <w:keepNext/>
        <w:rPr>
          <w:b/>
        </w:rPr>
      </w:pPr>
      <w:r w:rsidRPr="001B65BA">
        <w:rPr>
          <w:b/>
        </w:rPr>
        <w:lastRenderedPageBreak/>
        <w:t xml:space="preserve">Table </w:t>
      </w:r>
      <w:r w:rsidRPr="001B65BA">
        <w:rPr>
          <w:b/>
        </w:rPr>
        <w:fldChar w:fldCharType="begin"/>
      </w:r>
      <w:r w:rsidRPr="001B65BA">
        <w:rPr>
          <w:b/>
        </w:rPr>
        <w:instrText xml:space="preserve"> SEQ Table \* ARABIC </w:instrText>
      </w:r>
      <w:r w:rsidRPr="001B65BA">
        <w:rPr>
          <w:b/>
        </w:rPr>
        <w:fldChar w:fldCharType="separate"/>
      </w:r>
      <w:r w:rsidR="00FD7B60">
        <w:rPr>
          <w:b/>
          <w:noProof/>
        </w:rPr>
        <w:t>2</w:t>
      </w:r>
      <w:r w:rsidRPr="001B65BA">
        <w:rPr>
          <w:b/>
        </w:rPr>
        <w:fldChar w:fldCharType="end"/>
      </w:r>
      <w:r w:rsidRPr="001B65BA">
        <w:rPr>
          <w:b/>
        </w:rPr>
        <w:t>:</w:t>
      </w:r>
      <w:r>
        <w:rPr>
          <w:b/>
        </w:rPr>
        <w:t xml:space="preserve"> </w:t>
      </w:r>
      <w:r w:rsidRPr="001B65BA">
        <w:rPr>
          <w:b/>
        </w:rPr>
        <w:t>Change in MVS, point estimates and 95% CI of treatment differences and effect size.</w:t>
      </w:r>
    </w:p>
    <w:tbl>
      <w:tblPr>
        <w:tblStyle w:val="TableGrid"/>
        <w:tblW w:w="0" w:type="auto"/>
        <w:tblLook w:val="04A0" w:firstRow="1" w:lastRow="0" w:firstColumn="1" w:lastColumn="0" w:noHBand="0" w:noVBand="1"/>
      </w:tblPr>
      <w:tblGrid>
        <w:gridCol w:w="2254"/>
        <w:gridCol w:w="2254"/>
        <w:gridCol w:w="2254"/>
        <w:gridCol w:w="2254"/>
      </w:tblGrid>
      <w:tr w:rsidR="001B65BA" w:rsidRPr="001B65BA" w14:paraId="3474E631" w14:textId="77777777" w:rsidTr="001B65BA">
        <w:tc>
          <w:tcPr>
            <w:tcW w:w="2254" w:type="dxa"/>
          </w:tcPr>
          <w:p w14:paraId="662968B9" w14:textId="77777777" w:rsidR="001B65BA" w:rsidRPr="001B65BA" w:rsidRDefault="001B65BA" w:rsidP="00A25889">
            <w:pPr>
              <w:spacing w:before="0" w:after="0"/>
              <w:jc w:val="center"/>
              <w:rPr>
                <w:b/>
                <w:sz w:val="20"/>
                <w:szCs w:val="20"/>
              </w:rPr>
            </w:pPr>
            <w:r w:rsidRPr="001B65BA">
              <w:rPr>
                <w:b/>
                <w:sz w:val="20"/>
                <w:szCs w:val="20"/>
              </w:rPr>
              <w:t>Parameter</w:t>
            </w:r>
          </w:p>
        </w:tc>
        <w:tc>
          <w:tcPr>
            <w:tcW w:w="2254" w:type="dxa"/>
          </w:tcPr>
          <w:p w14:paraId="5DA37FC2" w14:textId="77777777" w:rsidR="001B65BA" w:rsidRPr="001B65BA" w:rsidRDefault="001B65BA" w:rsidP="00A25889">
            <w:pPr>
              <w:spacing w:before="0" w:after="0"/>
              <w:jc w:val="center"/>
              <w:rPr>
                <w:b/>
                <w:sz w:val="20"/>
                <w:szCs w:val="20"/>
              </w:rPr>
            </w:pPr>
            <w:r w:rsidRPr="001B65BA">
              <w:rPr>
                <w:b/>
                <w:sz w:val="20"/>
                <w:szCs w:val="20"/>
              </w:rPr>
              <w:t>FDC (n=59)</w:t>
            </w:r>
          </w:p>
        </w:tc>
        <w:tc>
          <w:tcPr>
            <w:tcW w:w="2254" w:type="dxa"/>
          </w:tcPr>
          <w:p w14:paraId="64692DA9" w14:textId="77777777" w:rsidR="001B65BA" w:rsidRPr="001B65BA" w:rsidRDefault="001B65BA" w:rsidP="00A25889">
            <w:pPr>
              <w:spacing w:before="0" w:after="0"/>
              <w:jc w:val="center"/>
              <w:rPr>
                <w:b/>
                <w:sz w:val="20"/>
                <w:szCs w:val="20"/>
              </w:rPr>
            </w:pPr>
            <w:r w:rsidRPr="001B65BA">
              <w:rPr>
                <w:b/>
                <w:sz w:val="20"/>
                <w:szCs w:val="20"/>
              </w:rPr>
              <w:t>Cinnarizine 20mg</w:t>
            </w:r>
          </w:p>
        </w:tc>
        <w:tc>
          <w:tcPr>
            <w:tcW w:w="2254" w:type="dxa"/>
          </w:tcPr>
          <w:p w14:paraId="320993B9" w14:textId="77777777" w:rsidR="001B65BA" w:rsidRPr="001B65BA" w:rsidRDefault="001B65BA" w:rsidP="00A25889">
            <w:pPr>
              <w:spacing w:before="0" w:after="0"/>
              <w:jc w:val="center"/>
              <w:rPr>
                <w:b/>
                <w:sz w:val="20"/>
                <w:szCs w:val="20"/>
              </w:rPr>
            </w:pPr>
            <w:r w:rsidRPr="001B65BA">
              <w:rPr>
                <w:b/>
                <w:sz w:val="20"/>
                <w:szCs w:val="20"/>
              </w:rPr>
              <w:t>Dimenhydrinate 40mg</w:t>
            </w:r>
          </w:p>
        </w:tc>
      </w:tr>
      <w:tr w:rsidR="001B65BA" w:rsidRPr="001B65BA" w14:paraId="6395000E" w14:textId="77777777" w:rsidTr="001B65BA">
        <w:tc>
          <w:tcPr>
            <w:tcW w:w="2254" w:type="dxa"/>
          </w:tcPr>
          <w:p w14:paraId="03AFB24E" w14:textId="77777777" w:rsidR="001B65BA" w:rsidRPr="001B65BA" w:rsidRDefault="001B65BA" w:rsidP="00A25889">
            <w:pPr>
              <w:spacing w:before="0" w:after="0"/>
              <w:rPr>
                <w:sz w:val="20"/>
                <w:szCs w:val="20"/>
              </w:rPr>
            </w:pPr>
            <w:r w:rsidRPr="001B65BA">
              <w:rPr>
                <w:b/>
                <w:sz w:val="20"/>
                <w:szCs w:val="20"/>
              </w:rPr>
              <w:t>Baseline MVS</w:t>
            </w:r>
            <w:r w:rsidRPr="001B65BA">
              <w:rPr>
                <w:sz w:val="20"/>
                <w:szCs w:val="20"/>
              </w:rPr>
              <w:t xml:space="preserve"> (mean±SD)</w:t>
            </w:r>
          </w:p>
        </w:tc>
        <w:tc>
          <w:tcPr>
            <w:tcW w:w="2254" w:type="dxa"/>
          </w:tcPr>
          <w:p w14:paraId="06581F46" w14:textId="77777777" w:rsidR="001B65BA" w:rsidRPr="001B65BA" w:rsidRDefault="001B65BA" w:rsidP="00A25889">
            <w:pPr>
              <w:spacing w:before="0" w:after="0"/>
              <w:jc w:val="center"/>
              <w:rPr>
                <w:sz w:val="20"/>
                <w:szCs w:val="20"/>
              </w:rPr>
            </w:pPr>
            <w:r w:rsidRPr="001B65BA">
              <w:rPr>
                <w:sz w:val="20"/>
                <w:szCs w:val="20"/>
              </w:rPr>
              <w:t>1.77±0.44</w:t>
            </w:r>
          </w:p>
        </w:tc>
        <w:tc>
          <w:tcPr>
            <w:tcW w:w="2254" w:type="dxa"/>
          </w:tcPr>
          <w:p w14:paraId="7DB47819" w14:textId="77777777" w:rsidR="001B65BA" w:rsidRPr="001B65BA" w:rsidRDefault="001B65BA" w:rsidP="00A25889">
            <w:pPr>
              <w:spacing w:before="0" w:after="0"/>
              <w:jc w:val="center"/>
              <w:rPr>
                <w:sz w:val="20"/>
                <w:szCs w:val="20"/>
              </w:rPr>
            </w:pPr>
            <w:r w:rsidRPr="001B65BA">
              <w:rPr>
                <w:sz w:val="20"/>
                <w:szCs w:val="20"/>
              </w:rPr>
              <w:t>1.69±0.44</w:t>
            </w:r>
          </w:p>
        </w:tc>
        <w:tc>
          <w:tcPr>
            <w:tcW w:w="2254" w:type="dxa"/>
          </w:tcPr>
          <w:p w14:paraId="0F7055B7" w14:textId="77777777" w:rsidR="001B65BA" w:rsidRPr="001B65BA" w:rsidRDefault="001B65BA" w:rsidP="00A25889">
            <w:pPr>
              <w:spacing w:before="0" w:after="0"/>
              <w:jc w:val="center"/>
              <w:rPr>
                <w:sz w:val="20"/>
                <w:szCs w:val="20"/>
              </w:rPr>
            </w:pPr>
            <w:r w:rsidRPr="001B65BA">
              <w:rPr>
                <w:sz w:val="20"/>
                <w:szCs w:val="20"/>
              </w:rPr>
              <w:t>1.81±0.48</w:t>
            </w:r>
          </w:p>
        </w:tc>
      </w:tr>
      <w:tr w:rsidR="001B65BA" w:rsidRPr="001B65BA" w14:paraId="71BCA0F1" w14:textId="77777777" w:rsidTr="001B65BA">
        <w:tc>
          <w:tcPr>
            <w:tcW w:w="2254" w:type="dxa"/>
          </w:tcPr>
          <w:p w14:paraId="66300A3A" w14:textId="77777777" w:rsidR="001B65BA" w:rsidRPr="001B65BA" w:rsidRDefault="001B65BA" w:rsidP="00A25889">
            <w:pPr>
              <w:spacing w:before="0" w:after="0"/>
              <w:rPr>
                <w:sz w:val="20"/>
                <w:szCs w:val="20"/>
              </w:rPr>
            </w:pPr>
            <w:r w:rsidRPr="001B65BA">
              <w:rPr>
                <w:b/>
                <w:sz w:val="20"/>
                <w:szCs w:val="20"/>
              </w:rPr>
              <w:t>Week 1 MVS</w:t>
            </w:r>
            <w:r w:rsidRPr="001B65BA">
              <w:rPr>
                <w:sz w:val="20"/>
                <w:szCs w:val="20"/>
              </w:rPr>
              <w:t xml:space="preserve"> </w:t>
            </w:r>
            <w:r w:rsidRPr="001B65BA">
              <w:rPr>
                <w:b/>
                <w:sz w:val="20"/>
                <w:szCs w:val="20"/>
              </w:rPr>
              <w:t>Δ baseline</w:t>
            </w:r>
            <w:r w:rsidRPr="001B65BA">
              <w:rPr>
                <w:sz w:val="20"/>
                <w:szCs w:val="20"/>
              </w:rPr>
              <w:t xml:space="preserve"> (mean±SD)</w:t>
            </w:r>
          </w:p>
        </w:tc>
        <w:tc>
          <w:tcPr>
            <w:tcW w:w="2254" w:type="dxa"/>
          </w:tcPr>
          <w:p w14:paraId="5C05378C" w14:textId="77777777" w:rsidR="001B65BA" w:rsidRPr="001B65BA" w:rsidRDefault="001B65BA" w:rsidP="00A25889">
            <w:pPr>
              <w:spacing w:before="0" w:after="0"/>
              <w:jc w:val="center"/>
              <w:rPr>
                <w:sz w:val="20"/>
                <w:szCs w:val="20"/>
              </w:rPr>
            </w:pPr>
            <w:r w:rsidRPr="001B65BA">
              <w:rPr>
                <w:sz w:val="20"/>
                <w:szCs w:val="20"/>
              </w:rPr>
              <w:t>-0.73±0.44</w:t>
            </w:r>
          </w:p>
        </w:tc>
        <w:tc>
          <w:tcPr>
            <w:tcW w:w="2254" w:type="dxa"/>
          </w:tcPr>
          <w:p w14:paraId="4F30E5F4" w14:textId="77777777" w:rsidR="001B65BA" w:rsidRPr="001B65BA" w:rsidRDefault="001B65BA" w:rsidP="00A25889">
            <w:pPr>
              <w:spacing w:before="0" w:after="0"/>
              <w:jc w:val="center"/>
              <w:rPr>
                <w:sz w:val="20"/>
                <w:szCs w:val="20"/>
              </w:rPr>
            </w:pPr>
            <w:r w:rsidRPr="001B65BA">
              <w:rPr>
                <w:sz w:val="20"/>
                <w:szCs w:val="20"/>
              </w:rPr>
              <w:t>-0.47±0.37*</w:t>
            </w:r>
          </w:p>
        </w:tc>
        <w:tc>
          <w:tcPr>
            <w:tcW w:w="2254" w:type="dxa"/>
          </w:tcPr>
          <w:p w14:paraId="21F2914B" w14:textId="77777777" w:rsidR="001B65BA" w:rsidRPr="001B65BA" w:rsidRDefault="001B65BA" w:rsidP="00A25889">
            <w:pPr>
              <w:spacing w:before="0" w:after="0"/>
              <w:jc w:val="center"/>
              <w:rPr>
                <w:sz w:val="20"/>
                <w:szCs w:val="20"/>
              </w:rPr>
            </w:pPr>
            <w:r w:rsidRPr="001B65BA">
              <w:rPr>
                <w:sz w:val="20"/>
                <w:szCs w:val="20"/>
              </w:rPr>
              <w:t>-0.44±0.40*</w:t>
            </w:r>
          </w:p>
        </w:tc>
      </w:tr>
      <w:tr w:rsidR="001B65BA" w:rsidRPr="001B65BA" w14:paraId="744BCC57" w14:textId="77777777" w:rsidTr="001B65BA">
        <w:tc>
          <w:tcPr>
            <w:tcW w:w="2254" w:type="dxa"/>
          </w:tcPr>
          <w:p w14:paraId="6C772E51" w14:textId="77777777" w:rsidR="001B65BA" w:rsidRPr="001B65BA" w:rsidRDefault="001B65BA" w:rsidP="00A25889">
            <w:pPr>
              <w:spacing w:before="0" w:after="0"/>
              <w:rPr>
                <w:sz w:val="20"/>
                <w:szCs w:val="20"/>
              </w:rPr>
            </w:pPr>
            <w:r w:rsidRPr="001B65BA">
              <w:rPr>
                <w:b/>
                <w:sz w:val="20"/>
                <w:szCs w:val="20"/>
              </w:rPr>
              <w:t>Week 4 MVS Δ baseline</w:t>
            </w:r>
            <w:r w:rsidRPr="001B65BA">
              <w:rPr>
                <w:sz w:val="20"/>
                <w:szCs w:val="20"/>
              </w:rPr>
              <w:t xml:space="preserve"> (mean±SD)</w:t>
            </w:r>
          </w:p>
        </w:tc>
        <w:tc>
          <w:tcPr>
            <w:tcW w:w="2254" w:type="dxa"/>
          </w:tcPr>
          <w:p w14:paraId="3338C181" w14:textId="77777777" w:rsidR="001B65BA" w:rsidRPr="001B65BA" w:rsidRDefault="001B65BA" w:rsidP="00A25889">
            <w:pPr>
              <w:spacing w:before="0" w:after="0"/>
              <w:jc w:val="center"/>
              <w:rPr>
                <w:sz w:val="20"/>
                <w:szCs w:val="20"/>
              </w:rPr>
            </w:pPr>
            <w:r w:rsidRPr="001B65BA">
              <w:rPr>
                <w:sz w:val="20"/>
                <w:szCs w:val="20"/>
              </w:rPr>
              <w:t>-1.44±0.56</w:t>
            </w:r>
          </w:p>
        </w:tc>
        <w:tc>
          <w:tcPr>
            <w:tcW w:w="2254" w:type="dxa"/>
          </w:tcPr>
          <w:p w14:paraId="236430E1" w14:textId="77777777" w:rsidR="001B65BA" w:rsidRPr="001B65BA" w:rsidRDefault="001B65BA" w:rsidP="00A25889">
            <w:pPr>
              <w:spacing w:before="0" w:after="0"/>
              <w:jc w:val="center"/>
              <w:rPr>
                <w:sz w:val="20"/>
                <w:szCs w:val="20"/>
              </w:rPr>
            </w:pPr>
            <w:r w:rsidRPr="001B65BA">
              <w:rPr>
                <w:sz w:val="20"/>
                <w:szCs w:val="20"/>
              </w:rPr>
              <w:t>-1.04±0.53*</w:t>
            </w:r>
          </w:p>
        </w:tc>
        <w:tc>
          <w:tcPr>
            <w:tcW w:w="2254" w:type="dxa"/>
          </w:tcPr>
          <w:p w14:paraId="55B3F85C" w14:textId="77777777" w:rsidR="001B65BA" w:rsidRPr="001B65BA" w:rsidRDefault="001B65BA" w:rsidP="00A25889">
            <w:pPr>
              <w:spacing w:before="0" w:after="0"/>
              <w:jc w:val="center"/>
              <w:rPr>
                <w:sz w:val="20"/>
                <w:szCs w:val="20"/>
              </w:rPr>
            </w:pPr>
            <w:r w:rsidRPr="001B65BA">
              <w:rPr>
                <w:sz w:val="20"/>
                <w:szCs w:val="20"/>
              </w:rPr>
              <w:t>-1.06±0.56*</w:t>
            </w:r>
          </w:p>
        </w:tc>
      </w:tr>
      <w:tr w:rsidR="001B65BA" w:rsidRPr="001B65BA" w14:paraId="68EA93BE" w14:textId="77777777" w:rsidTr="001B65BA">
        <w:tc>
          <w:tcPr>
            <w:tcW w:w="2254" w:type="dxa"/>
          </w:tcPr>
          <w:p w14:paraId="1AEB2D87" w14:textId="77777777" w:rsidR="001B65BA" w:rsidRPr="001B65BA" w:rsidRDefault="001B65BA" w:rsidP="00A25889">
            <w:pPr>
              <w:spacing w:before="0" w:after="0"/>
              <w:rPr>
                <w:sz w:val="20"/>
                <w:szCs w:val="20"/>
              </w:rPr>
            </w:pPr>
            <w:r w:rsidRPr="001B65BA">
              <w:rPr>
                <w:b/>
                <w:sz w:val="20"/>
                <w:szCs w:val="20"/>
              </w:rPr>
              <w:t>Week 4 Δ LS</w:t>
            </w:r>
            <w:r w:rsidRPr="001B65BA">
              <w:rPr>
                <w:b/>
                <w:sz w:val="20"/>
                <w:szCs w:val="20"/>
                <w:vertAlign w:val="superscript"/>
              </w:rPr>
              <w:t>@</w:t>
            </w:r>
            <w:r w:rsidRPr="001B65BA">
              <w:rPr>
                <w:sz w:val="20"/>
                <w:szCs w:val="20"/>
              </w:rPr>
              <w:t xml:space="preserve"> </w:t>
            </w:r>
          </w:p>
          <w:p w14:paraId="4B3E5AB3" w14:textId="77777777" w:rsidR="001B65BA" w:rsidRPr="001B65BA" w:rsidRDefault="001B65BA" w:rsidP="00A25889">
            <w:pPr>
              <w:spacing w:before="0" w:after="0"/>
              <w:rPr>
                <w:sz w:val="20"/>
                <w:szCs w:val="20"/>
              </w:rPr>
            </w:pPr>
            <w:r w:rsidRPr="001B65BA">
              <w:rPr>
                <w:sz w:val="20"/>
                <w:szCs w:val="20"/>
              </w:rPr>
              <w:t>(mean, 95% CI)</w:t>
            </w:r>
          </w:p>
        </w:tc>
        <w:tc>
          <w:tcPr>
            <w:tcW w:w="2254" w:type="dxa"/>
          </w:tcPr>
          <w:p w14:paraId="322A69E2" w14:textId="77777777" w:rsidR="001B65BA" w:rsidRPr="001B65BA" w:rsidRDefault="001B65BA" w:rsidP="00A25889">
            <w:pPr>
              <w:spacing w:before="0" w:after="0"/>
              <w:jc w:val="center"/>
              <w:rPr>
                <w:sz w:val="20"/>
                <w:szCs w:val="20"/>
              </w:rPr>
            </w:pPr>
          </w:p>
        </w:tc>
        <w:tc>
          <w:tcPr>
            <w:tcW w:w="2254" w:type="dxa"/>
          </w:tcPr>
          <w:p w14:paraId="202CC950" w14:textId="77777777" w:rsidR="001B65BA" w:rsidRPr="001B65BA" w:rsidRDefault="001B65BA" w:rsidP="00A25889">
            <w:pPr>
              <w:spacing w:before="0" w:after="0"/>
              <w:jc w:val="center"/>
              <w:rPr>
                <w:sz w:val="20"/>
                <w:szCs w:val="20"/>
              </w:rPr>
            </w:pPr>
            <w:r w:rsidRPr="001B65BA">
              <w:rPr>
                <w:sz w:val="20"/>
                <w:szCs w:val="20"/>
              </w:rPr>
              <w:t>0.35 (0.18, 0.52)</w:t>
            </w:r>
          </w:p>
        </w:tc>
        <w:tc>
          <w:tcPr>
            <w:tcW w:w="2254" w:type="dxa"/>
          </w:tcPr>
          <w:p w14:paraId="7133BD1A" w14:textId="77777777" w:rsidR="001B65BA" w:rsidRPr="001B65BA" w:rsidRDefault="001B65BA" w:rsidP="00A25889">
            <w:pPr>
              <w:spacing w:before="0" w:after="0"/>
              <w:jc w:val="center"/>
              <w:rPr>
                <w:sz w:val="20"/>
                <w:szCs w:val="20"/>
              </w:rPr>
            </w:pPr>
            <w:r w:rsidRPr="001B65BA">
              <w:rPr>
                <w:sz w:val="20"/>
                <w:szCs w:val="20"/>
              </w:rPr>
              <w:t>0.41 (0.24, 0.57)</w:t>
            </w:r>
          </w:p>
        </w:tc>
      </w:tr>
      <w:tr w:rsidR="001B65BA" w:rsidRPr="001B65BA" w14:paraId="1BE289B2" w14:textId="77777777" w:rsidTr="001B65BA">
        <w:tc>
          <w:tcPr>
            <w:tcW w:w="2254" w:type="dxa"/>
          </w:tcPr>
          <w:p w14:paraId="0A32BF43" w14:textId="77777777" w:rsidR="001B65BA" w:rsidRPr="001B65BA" w:rsidRDefault="001B65BA" w:rsidP="00A25889">
            <w:pPr>
              <w:spacing w:before="0" w:after="0"/>
              <w:rPr>
                <w:sz w:val="20"/>
                <w:szCs w:val="20"/>
              </w:rPr>
            </w:pPr>
            <w:r w:rsidRPr="001B65BA">
              <w:rPr>
                <w:b/>
                <w:sz w:val="20"/>
                <w:szCs w:val="20"/>
              </w:rPr>
              <w:t xml:space="preserve">Week 4 Cohens std diff </w:t>
            </w:r>
            <w:r w:rsidRPr="001B65BA">
              <w:rPr>
                <w:sz w:val="20"/>
                <w:szCs w:val="20"/>
              </w:rPr>
              <w:t>(d, 95% CI)</w:t>
            </w:r>
          </w:p>
        </w:tc>
        <w:tc>
          <w:tcPr>
            <w:tcW w:w="2254" w:type="dxa"/>
          </w:tcPr>
          <w:p w14:paraId="57E01BA5" w14:textId="77777777" w:rsidR="001B65BA" w:rsidRPr="001B65BA" w:rsidRDefault="001B65BA" w:rsidP="00A25889">
            <w:pPr>
              <w:spacing w:before="0" w:after="0"/>
              <w:jc w:val="center"/>
              <w:rPr>
                <w:sz w:val="20"/>
                <w:szCs w:val="20"/>
              </w:rPr>
            </w:pPr>
          </w:p>
        </w:tc>
        <w:tc>
          <w:tcPr>
            <w:tcW w:w="2254" w:type="dxa"/>
          </w:tcPr>
          <w:p w14:paraId="4B916C85" w14:textId="77777777" w:rsidR="001B65BA" w:rsidRPr="001B65BA" w:rsidRDefault="001B65BA" w:rsidP="00A25889">
            <w:pPr>
              <w:spacing w:before="0" w:after="0"/>
              <w:jc w:val="center"/>
              <w:rPr>
                <w:sz w:val="20"/>
                <w:szCs w:val="20"/>
              </w:rPr>
            </w:pPr>
            <w:r w:rsidRPr="001B65BA">
              <w:rPr>
                <w:sz w:val="20"/>
                <w:szCs w:val="20"/>
              </w:rPr>
              <w:t>0.74 (0.37, 1.12)</w:t>
            </w:r>
          </w:p>
        </w:tc>
        <w:tc>
          <w:tcPr>
            <w:tcW w:w="2254" w:type="dxa"/>
          </w:tcPr>
          <w:p w14:paraId="24FD1385" w14:textId="77777777" w:rsidR="001B65BA" w:rsidRPr="001B65BA" w:rsidRDefault="001B65BA" w:rsidP="00A25889">
            <w:pPr>
              <w:spacing w:before="0" w:after="0"/>
              <w:jc w:val="center"/>
              <w:rPr>
                <w:sz w:val="20"/>
                <w:szCs w:val="20"/>
              </w:rPr>
            </w:pPr>
            <w:r w:rsidRPr="001B65BA">
              <w:rPr>
                <w:sz w:val="20"/>
                <w:szCs w:val="20"/>
              </w:rPr>
              <w:t>0.69 (0.31, 1.06)</w:t>
            </w:r>
          </w:p>
        </w:tc>
      </w:tr>
    </w:tbl>
    <w:p w14:paraId="5CC923DD" w14:textId="77777777" w:rsidR="001B65BA" w:rsidRPr="001B65BA" w:rsidRDefault="001B65BA" w:rsidP="00A25889">
      <w:pPr>
        <w:spacing w:before="0"/>
        <w:rPr>
          <w:sz w:val="20"/>
          <w:szCs w:val="18"/>
        </w:rPr>
      </w:pPr>
      <w:r w:rsidRPr="001B65BA">
        <w:rPr>
          <w:sz w:val="20"/>
          <w:szCs w:val="18"/>
        </w:rPr>
        <w:t>@ comparator versus FDC   * p &lt; 0.001</w:t>
      </w:r>
    </w:p>
    <w:p w14:paraId="475D4200" w14:textId="542900D5" w:rsidR="001B65BA" w:rsidRDefault="001B65BA" w:rsidP="00A25889">
      <w:r>
        <w:t>Furthermore, 11 of the 59 participants treated with FDC were completely symptom free (defined as a MVS = 0) after 4 weeks of treatment, compared to none of the 60 participants treated with cinnarizine (difference p &lt; 0.001) and one of 58 treated with dimenhydrinate (difference p &lt; 0.01).</w:t>
      </w:r>
    </w:p>
    <w:p w14:paraId="744ECFD0" w14:textId="77777777" w:rsidR="001B65BA" w:rsidRDefault="001B65BA" w:rsidP="00A25889">
      <w:r>
        <w:t>Cinnarizine was significantly less effective in reducing vegative symptoms compared to FDC or dimenhydrinate at week 4.  Significantly greater improvements in lateral sway were observed at 1 week but not week 4 in the FDC group compared to the other treatments.</w:t>
      </w:r>
    </w:p>
    <w:p w14:paraId="78F82635" w14:textId="1AAB4595" w:rsidR="001B65BA" w:rsidRDefault="001B65BA" w:rsidP="00A25889">
      <w:r>
        <w:t>Pytel 2007 was a multicentre, double blind, randomised, four arm, parallel-group, trial comparing the tolerability and efficacy of a FDC medicine containing 20mg of cinnarizine and 40</w:t>
      </w:r>
      <w:r w:rsidR="00EA60AB">
        <w:t xml:space="preserve"> </w:t>
      </w:r>
      <w:r>
        <w:t>mg of dimenhydrinate to monotherapy with 50mg cinnarizine or 100mg dimenhydrinate, or placebo, in adult patients with vertigo of central, peripheral or mixed origin.</w:t>
      </w:r>
    </w:p>
    <w:p w14:paraId="1580A765" w14:textId="77777777" w:rsidR="001B65BA" w:rsidRDefault="001B65BA" w:rsidP="00A25889">
      <w:r>
        <w:t>The objective of the study was to compare the efficacy and safety of FDC to the monocomponents in patients presenting to clinical practice with any symptom of vertigo, regardless of origin.</w:t>
      </w:r>
    </w:p>
    <w:p w14:paraId="0EFCA0DF" w14:textId="08DE7223" w:rsidR="001B65BA" w:rsidRDefault="001B65BA" w:rsidP="00A25889">
      <w:r>
        <w:t xml:space="preserve">Similar to Hahn 2006, the primary efficacy variable was the change in mean vertigo score (MVS) at week 4. The MVS was calculated by adding the individual scores recorded for each of the 12 vertigo symptoms by patients using a 5 point VAS (0=not present, 4=very strong), divided by 12. Secondary efficacy endpoints were the change in severity of vegetative symptoms associated with vertigo using the same VAS and the Unterberger and Romberg lateral and angular deviation tests, and spontaneous and positional nystagmus and caloric tests with electronystagmography was also performed. </w:t>
      </w:r>
    </w:p>
    <w:p w14:paraId="79247AB6" w14:textId="379922F2" w:rsidR="001B65BA" w:rsidRDefault="001B65BA" w:rsidP="00A25889">
      <w:r>
        <w:t>Participants and investigators rated overall efficacy of treatment using a 5 point scale ranging from much improved to deteriorated. All assessments were performed at baseline, after one week of treatment and at 4 weeks.</w:t>
      </w:r>
    </w:p>
    <w:p w14:paraId="00F4A03B" w14:textId="18CBDB2A" w:rsidR="001B65BA" w:rsidRDefault="001B65BA" w:rsidP="00A25889">
      <w:r>
        <w:t>The incidence, severity and relationship to study medicine of all observed or reported adverse events were recorded. The overall tolerability of treatments was assessed by both the participant and investigator at week 1 and 4 using a 4 point scale (poor to very good).</w:t>
      </w:r>
    </w:p>
    <w:p w14:paraId="610F0307" w14:textId="77777777" w:rsidR="001B65BA" w:rsidRDefault="001B65BA" w:rsidP="00A25889">
      <w:r>
        <w:t>The decrease in MVS at week 4 was significantly greater in the FDC treatment group (1.37±0.66) compared to 50mg cinnarizine (0.87±0.53; p &lt; 0.001) or 100mg dimenhydrinate alone (0.83±0.66; p &lt; 0.001), even though the dose used for the single components were larger than those used in the FDC.</w:t>
      </w:r>
    </w:p>
    <w:p w14:paraId="09DE8127" w14:textId="77777777" w:rsidR="001B65BA" w:rsidRDefault="001B65BA" w:rsidP="00A25889">
      <w:r>
        <w:lastRenderedPageBreak/>
        <w:t>Compared to placebo, the change in MVS at 4 weeks was 1.37±0.66 in the FDC group, and 0.76±0.48 in placebo (p &lt; 0.001).</w:t>
      </w:r>
    </w:p>
    <w:p w14:paraId="74775EFE" w14:textId="29DA7AF8" w:rsidR="001B65BA" w:rsidRPr="00EA60AB" w:rsidRDefault="00EA60AB" w:rsidP="00BE2ABC">
      <w:pPr>
        <w:keepNext/>
        <w:rPr>
          <w:b/>
        </w:rPr>
      </w:pPr>
      <w:r w:rsidRPr="00EA60AB">
        <w:rPr>
          <w:b/>
        </w:rPr>
        <w:t xml:space="preserve">Table </w:t>
      </w:r>
      <w:r w:rsidRPr="00EA60AB">
        <w:rPr>
          <w:b/>
        </w:rPr>
        <w:fldChar w:fldCharType="begin"/>
      </w:r>
      <w:r w:rsidRPr="00EA60AB">
        <w:rPr>
          <w:b/>
        </w:rPr>
        <w:instrText xml:space="preserve"> SEQ Table \* ARABIC </w:instrText>
      </w:r>
      <w:r w:rsidRPr="00EA60AB">
        <w:rPr>
          <w:b/>
        </w:rPr>
        <w:fldChar w:fldCharType="separate"/>
      </w:r>
      <w:r w:rsidR="00FD7B60">
        <w:rPr>
          <w:b/>
          <w:noProof/>
        </w:rPr>
        <w:t>3</w:t>
      </w:r>
      <w:r w:rsidRPr="00EA60AB">
        <w:rPr>
          <w:b/>
        </w:rPr>
        <w:fldChar w:fldCharType="end"/>
      </w:r>
      <w:r w:rsidRPr="00EA60AB">
        <w:rPr>
          <w:b/>
        </w:rPr>
        <w:t>:</w:t>
      </w:r>
      <w:r w:rsidR="001B65BA" w:rsidRPr="00EA60AB">
        <w:rPr>
          <w:b/>
        </w:rPr>
        <w:t>Change in MVS, point estimates and 95% CI of treatment differences and effect size.</w:t>
      </w:r>
    </w:p>
    <w:tbl>
      <w:tblPr>
        <w:tblStyle w:val="TableGrid"/>
        <w:tblW w:w="0" w:type="auto"/>
        <w:tblLook w:val="04A0" w:firstRow="1" w:lastRow="0" w:firstColumn="1" w:lastColumn="0" w:noHBand="0" w:noVBand="1"/>
      </w:tblPr>
      <w:tblGrid>
        <w:gridCol w:w="2807"/>
        <w:gridCol w:w="1259"/>
        <w:gridCol w:w="1639"/>
        <w:gridCol w:w="2027"/>
        <w:gridCol w:w="1424"/>
      </w:tblGrid>
      <w:tr w:rsidR="001B65BA" w:rsidRPr="00EA60AB" w14:paraId="439910E4" w14:textId="77777777" w:rsidTr="00EA60AB">
        <w:tc>
          <w:tcPr>
            <w:tcW w:w="0" w:type="auto"/>
          </w:tcPr>
          <w:p w14:paraId="41F49D0E" w14:textId="77777777" w:rsidR="001B65BA" w:rsidRPr="00EA60AB" w:rsidRDefault="001B65BA" w:rsidP="00A25889">
            <w:pPr>
              <w:spacing w:before="0" w:after="0"/>
              <w:jc w:val="center"/>
              <w:rPr>
                <w:b/>
                <w:sz w:val="20"/>
                <w:szCs w:val="20"/>
              </w:rPr>
            </w:pPr>
            <w:r w:rsidRPr="00EA60AB">
              <w:rPr>
                <w:b/>
                <w:sz w:val="20"/>
                <w:szCs w:val="20"/>
              </w:rPr>
              <w:t>Parameter</w:t>
            </w:r>
          </w:p>
        </w:tc>
        <w:tc>
          <w:tcPr>
            <w:tcW w:w="0" w:type="auto"/>
            <w:tcBorders>
              <w:bottom w:val="single" w:sz="4" w:space="0" w:color="auto"/>
            </w:tcBorders>
          </w:tcPr>
          <w:p w14:paraId="6039F7CD" w14:textId="77777777" w:rsidR="001B65BA" w:rsidRPr="00EA60AB" w:rsidRDefault="001B65BA" w:rsidP="00A25889">
            <w:pPr>
              <w:spacing w:before="0" w:after="0"/>
              <w:jc w:val="center"/>
              <w:rPr>
                <w:b/>
                <w:sz w:val="20"/>
                <w:szCs w:val="20"/>
              </w:rPr>
            </w:pPr>
            <w:r w:rsidRPr="00EA60AB">
              <w:rPr>
                <w:b/>
                <w:sz w:val="20"/>
                <w:szCs w:val="20"/>
              </w:rPr>
              <w:t>FDC (n=61)</w:t>
            </w:r>
          </w:p>
        </w:tc>
        <w:tc>
          <w:tcPr>
            <w:tcW w:w="0" w:type="auto"/>
            <w:tcBorders>
              <w:bottom w:val="single" w:sz="4" w:space="0" w:color="auto"/>
            </w:tcBorders>
          </w:tcPr>
          <w:p w14:paraId="2AE46BE2" w14:textId="77777777" w:rsidR="001B65BA" w:rsidRPr="00EA60AB" w:rsidRDefault="001B65BA" w:rsidP="00A25889">
            <w:pPr>
              <w:spacing w:before="0" w:after="0"/>
              <w:jc w:val="center"/>
              <w:rPr>
                <w:b/>
                <w:sz w:val="20"/>
                <w:szCs w:val="20"/>
              </w:rPr>
            </w:pPr>
            <w:r w:rsidRPr="00EA60AB">
              <w:rPr>
                <w:b/>
                <w:sz w:val="20"/>
                <w:szCs w:val="20"/>
              </w:rPr>
              <w:t>Cinnarizine  (n=61)</w:t>
            </w:r>
          </w:p>
        </w:tc>
        <w:tc>
          <w:tcPr>
            <w:tcW w:w="0" w:type="auto"/>
            <w:tcBorders>
              <w:bottom w:val="single" w:sz="4" w:space="0" w:color="auto"/>
            </w:tcBorders>
          </w:tcPr>
          <w:p w14:paraId="180B92F9" w14:textId="77777777" w:rsidR="001B65BA" w:rsidRPr="00EA60AB" w:rsidRDefault="001B65BA" w:rsidP="00A25889">
            <w:pPr>
              <w:spacing w:before="0" w:after="0"/>
              <w:jc w:val="center"/>
              <w:rPr>
                <w:b/>
                <w:sz w:val="20"/>
                <w:szCs w:val="20"/>
              </w:rPr>
            </w:pPr>
            <w:r w:rsidRPr="00EA60AB">
              <w:rPr>
                <w:b/>
                <w:sz w:val="20"/>
                <w:szCs w:val="20"/>
              </w:rPr>
              <w:t>Dimenhydrinate  (n=59)</w:t>
            </w:r>
          </w:p>
        </w:tc>
        <w:tc>
          <w:tcPr>
            <w:tcW w:w="0" w:type="auto"/>
            <w:tcBorders>
              <w:bottom w:val="single" w:sz="4" w:space="0" w:color="auto"/>
            </w:tcBorders>
          </w:tcPr>
          <w:p w14:paraId="0F121415" w14:textId="77777777" w:rsidR="001B65BA" w:rsidRPr="00EA60AB" w:rsidRDefault="001B65BA" w:rsidP="00A25889">
            <w:pPr>
              <w:spacing w:before="0" w:after="0"/>
              <w:jc w:val="center"/>
              <w:rPr>
                <w:b/>
                <w:sz w:val="20"/>
                <w:szCs w:val="20"/>
              </w:rPr>
            </w:pPr>
            <w:r w:rsidRPr="00EA60AB">
              <w:rPr>
                <w:b/>
                <w:sz w:val="20"/>
                <w:szCs w:val="20"/>
              </w:rPr>
              <w:t>Placebo (n=58)</w:t>
            </w:r>
          </w:p>
        </w:tc>
      </w:tr>
      <w:tr w:rsidR="001B65BA" w:rsidRPr="00EA60AB" w14:paraId="6086C08A" w14:textId="77777777" w:rsidTr="00EA60AB">
        <w:tc>
          <w:tcPr>
            <w:tcW w:w="0" w:type="auto"/>
            <w:tcBorders>
              <w:bottom w:val="single" w:sz="4" w:space="0" w:color="auto"/>
            </w:tcBorders>
          </w:tcPr>
          <w:p w14:paraId="6229DB8F" w14:textId="77777777" w:rsidR="001B65BA" w:rsidRPr="00EA60AB" w:rsidRDefault="001B65BA" w:rsidP="00A25889">
            <w:pPr>
              <w:spacing w:before="0" w:after="0"/>
              <w:rPr>
                <w:b/>
                <w:sz w:val="20"/>
                <w:szCs w:val="20"/>
              </w:rPr>
            </w:pPr>
            <w:r w:rsidRPr="00EA60AB">
              <w:rPr>
                <w:b/>
                <w:sz w:val="20"/>
                <w:szCs w:val="20"/>
              </w:rPr>
              <w:t>MVS (SD)</w:t>
            </w:r>
          </w:p>
        </w:tc>
        <w:tc>
          <w:tcPr>
            <w:tcW w:w="0" w:type="auto"/>
            <w:tcBorders>
              <w:bottom w:val="single" w:sz="4" w:space="0" w:color="auto"/>
            </w:tcBorders>
          </w:tcPr>
          <w:p w14:paraId="7AD8E9E4" w14:textId="77777777" w:rsidR="001B65BA" w:rsidRPr="00EA60AB" w:rsidRDefault="001B65BA" w:rsidP="00A25889">
            <w:pPr>
              <w:spacing w:before="0" w:after="0"/>
              <w:rPr>
                <w:b/>
                <w:sz w:val="20"/>
                <w:szCs w:val="20"/>
              </w:rPr>
            </w:pPr>
          </w:p>
        </w:tc>
        <w:tc>
          <w:tcPr>
            <w:tcW w:w="0" w:type="auto"/>
            <w:tcBorders>
              <w:bottom w:val="single" w:sz="4" w:space="0" w:color="auto"/>
            </w:tcBorders>
          </w:tcPr>
          <w:p w14:paraId="6E91D413" w14:textId="77777777" w:rsidR="001B65BA" w:rsidRPr="00EA60AB" w:rsidRDefault="001B65BA" w:rsidP="00A25889">
            <w:pPr>
              <w:spacing w:before="0" w:after="0"/>
              <w:rPr>
                <w:b/>
                <w:sz w:val="20"/>
                <w:szCs w:val="20"/>
              </w:rPr>
            </w:pPr>
          </w:p>
        </w:tc>
        <w:tc>
          <w:tcPr>
            <w:tcW w:w="0" w:type="auto"/>
            <w:tcBorders>
              <w:bottom w:val="single" w:sz="4" w:space="0" w:color="auto"/>
            </w:tcBorders>
          </w:tcPr>
          <w:p w14:paraId="6B81CDAB" w14:textId="77777777" w:rsidR="001B65BA" w:rsidRPr="00EA60AB" w:rsidRDefault="001B65BA" w:rsidP="00A25889">
            <w:pPr>
              <w:spacing w:before="0" w:after="0"/>
              <w:rPr>
                <w:b/>
                <w:sz w:val="20"/>
                <w:szCs w:val="20"/>
              </w:rPr>
            </w:pPr>
          </w:p>
        </w:tc>
        <w:tc>
          <w:tcPr>
            <w:tcW w:w="0" w:type="auto"/>
            <w:tcBorders>
              <w:bottom w:val="single" w:sz="4" w:space="0" w:color="auto"/>
            </w:tcBorders>
          </w:tcPr>
          <w:p w14:paraId="6DBC0132" w14:textId="77777777" w:rsidR="001B65BA" w:rsidRPr="00EA60AB" w:rsidRDefault="001B65BA" w:rsidP="00A25889">
            <w:pPr>
              <w:spacing w:before="0" w:after="0"/>
              <w:rPr>
                <w:b/>
                <w:sz w:val="20"/>
                <w:szCs w:val="20"/>
              </w:rPr>
            </w:pPr>
          </w:p>
        </w:tc>
      </w:tr>
      <w:tr w:rsidR="001B65BA" w:rsidRPr="00EA60AB" w14:paraId="22B8C9EE" w14:textId="77777777" w:rsidTr="00EA60AB">
        <w:tc>
          <w:tcPr>
            <w:tcW w:w="0" w:type="auto"/>
            <w:tcBorders>
              <w:bottom w:val="nil"/>
            </w:tcBorders>
          </w:tcPr>
          <w:p w14:paraId="2C956532" w14:textId="77777777" w:rsidR="001B65BA" w:rsidRPr="00EA60AB" w:rsidRDefault="001B65BA" w:rsidP="00A25889">
            <w:pPr>
              <w:spacing w:before="0" w:after="0"/>
              <w:rPr>
                <w:sz w:val="20"/>
                <w:szCs w:val="20"/>
              </w:rPr>
            </w:pPr>
            <w:r w:rsidRPr="00EA60AB">
              <w:rPr>
                <w:sz w:val="20"/>
                <w:szCs w:val="20"/>
              </w:rPr>
              <w:t>Baseline</w:t>
            </w:r>
          </w:p>
        </w:tc>
        <w:tc>
          <w:tcPr>
            <w:tcW w:w="0" w:type="auto"/>
            <w:tcBorders>
              <w:top w:val="single" w:sz="4" w:space="0" w:color="auto"/>
            </w:tcBorders>
          </w:tcPr>
          <w:p w14:paraId="7A57FAB0" w14:textId="77777777" w:rsidR="001B65BA" w:rsidRPr="00EA60AB" w:rsidRDefault="001B65BA" w:rsidP="00A25889">
            <w:pPr>
              <w:spacing w:before="0" w:after="0"/>
              <w:rPr>
                <w:sz w:val="20"/>
                <w:szCs w:val="20"/>
              </w:rPr>
            </w:pPr>
            <w:r w:rsidRPr="00EA60AB">
              <w:rPr>
                <w:sz w:val="20"/>
                <w:szCs w:val="20"/>
              </w:rPr>
              <w:t>1.85 (0.54)</w:t>
            </w:r>
          </w:p>
        </w:tc>
        <w:tc>
          <w:tcPr>
            <w:tcW w:w="0" w:type="auto"/>
            <w:tcBorders>
              <w:top w:val="single" w:sz="4" w:space="0" w:color="auto"/>
            </w:tcBorders>
          </w:tcPr>
          <w:p w14:paraId="1C3935BD" w14:textId="77777777" w:rsidR="001B65BA" w:rsidRPr="00EA60AB" w:rsidRDefault="001B65BA" w:rsidP="00A25889">
            <w:pPr>
              <w:spacing w:before="0" w:after="0"/>
              <w:rPr>
                <w:sz w:val="20"/>
                <w:szCs w:val="20"/>
              </w:rPr>
            </w:pPr>
            <w:r w:rsidRPr="00EA60AB">
              <w:rPr>
                <w:sz w:val="20"/>
                <w:szCs w:val="20"/>
              </w:rPr>
              <w:t>1.72 (0.52)</w:t>
            </w:r>
          </w:p>
        </w:tc>
        <w:tc>
          <w:tcPr>
            <w:tcW w:w="0" w:type="auto"/>
            <w:tcBorders>
              <w:top w:val="single" w:sz="4" w:space="0" w:color="auto"/>
            </w:tcBorders>
          </w:tcPr>
          <w:p w14:paraId="59CF5A9E" w14:textId="77777777" w:rsidR="001B65BA" w:rsidRPr="00EA60AB" w:rsidRDefault="001B65BA" w:rsidP="00A25889">
            <w:pPr>
              <w:spacing w:before="0" w:after="0"/>
              <w:rPr>
                <w:sz w:val="20"/>
                <w:szCs w:val="20"/>
              </w:rPr>
            </w:pPr>
            <w:r w:rsidRPr="00EA60AB">
              <w:rPr>
                <w:sz w:val="20"/>
                <w:szCs w:val="20"/>
              </w:rPr>
              <w:t>1.69 (0.57)</w:t>
            </w:r>
          </w:p>
        </w:tc>
        <w:tc>
          <w:tcPr>
            <w:tcW w:w="0" w:type="auto"/>
            <w:tcBorders>
              <w:top w:val="single" w:sz="4" w:space="0" w:color="auto"/>
            </w:tcBorders>
          </w:tcPr>
          <w:p w14:paraId="02D439C4" w14:textId="77777777" w:rsidR="001B65BA" w:rsidRPr="00EA60AB" w:rsidRDefault="001B65BA" w:rsidP="00A25889">
            <w:pPr>
              <w:spacing w:before="0" w:after="0"/>
              <w:rPr>
                <w:sz w:val="20"/>
                <w:szCs w:val="20"/>
              </w:rPr>
            </w:pPr>
            <w:r w:rsidRPr="00EA60AB">
              <w:rPr>
                <w:sz w:val="20"/>
                <w:szCs w:val="20"/>
              </w:rPr>
              <w:t>1.74 (0.63)</w:t>
            </w:r>
          </w:p>
        </w:tc>
      </w:tr>
      <w:tr w:rsidR="001B65BA" w:rsidRPr="00EA60AB" w14:paraId="76D2CA27" w14:textId="77777777" w:rsidTr="00EA60AB">
        <w:tc>
          <w:tcPr>
            <w:tcW w:w="0" w:type="auto"/>
            <w:tcBorders>
              <w:top w:val="nil"/>
              <w:bottom w:val="nil"/>
            </w:tcBorders>
          </w:tcPr>
          <w:p w14:paraId="26276C02" w14:textId="77777777" w:rsidR="001B65BA" w:rsidRPr="00EA60AB" w:rsidRDefault="001B65BA" w:rsidP="00A25889">
            <w:pPr>
              <w:spacing w:before="0" w:after="0"/>
              <w:rPr>
                <w:sz w:val="20"/>
                <w:szCs w:val="20"/>
              </w:rPr>
            </w:pPr>
            <w:r w:rsidRPr="00EA60AB">
              <w:rPr>
                <w:sz w:val="20"/>
                <w:szCs w:val="20"/>
              </w:rPr>
              <w:t>Week 4</w:t>
            </w:r>
          </w:p>
        </w:tc>
        <w:tc>
          <w:tcPr>
            <w:tcW w:w="0" w:type="auto"/>
          </w:tcPr>
          <w:p w14:paraId="51674A37" w14:textId="77777777" w:rsidR="001B65BA" w:rsidRPr="00EA60AB" w:rsidRDefault="001B65BA" w:rsidP="00A25889">
            <w:pPr>
              <w:spacing w:before="0" w:after="0"/>
              <w:rPr>
                <w:sz w:val="20"/>
                <w:szCs w:val="20"/>
              </w:rPr>
            </w:pPr>
            <w:r w:rsidRPr="00EA60AB">
              <w:rPr>
                <w:sz w:val="20"/>
                <w:szCs w:val="20"/>
              </w:rPr>
              <w:t>0.45 (0.51)</w:t>
            </w:r>
          </w:p>
        </w:tc>
        <w:tc>
          <w:tcPr>
            <w:tcW w:w="0" w:type="auto"/>
          </w:tcPr>
          <w:p w14:paraId="0296F062" w14:textId="77777777" w:rsidR="001B65BA" w:rsidRPr="00EA60AB" w:rsidRDefault="001B65BA" w:rsidP="00A25889">
            <w:pPr>
              <w:spacing w:before="0" w:after="0"/>
              <w:rPr>
                <w:sz w:val="20"/>
                <w:szCs w:val="20"/>
              </w:rPr>
            </w:pPr>
            <w:r w:rsidRPr="00EA60AB">
              <w:rPr>
                <w:sz w:val="20"/>
                <w:szCs w:val="20"/>
              </w:rPr>
              <w:t>0.81 (0.58)</w:t>
            </w:r>
          </w:p>
        </w:tc>
        <w:tc>
          <w:tcPr>
            <w:tcW w:w="0" w:type="auto"/>
          </w:tcPr>
          <w:p w14:paraId="73908F41" w14:textId="77777777" w:rsidR="001B65BA" w:rsidRPr="00EA60AB" w:rsidRDefault="001B65BA" w:rsidP="00A25889">
            <w:pPr>
              <w:spacing w:before="0" w:after="0"/>
              <w:rPr>
                <w:sz w:val="20"/>
                <w:szCs w:val="20"/>
              </w:rPr>
            </w:pPr>
            <w:r w:rsidRPr="00EA60AB">
              <w:rPr>
                <w:sz w:val="20"/>
                <w:szCs w:val="20"/>
              </w:rPr>
              <w:t>0.87 (0.58)</w:t>
            </w:r>
          </w:p>
        </w:tc>
        <w:tc>
          <w:tcPr>
            <w:tcW w:w="0" w:type="auto"/>
          </w:tcPr>
          <w:p w14:paraId="0BD49E8A" w14:textId="77777777" w:rsidR="001B65BA" w:rsidRPr="00EA60AB" w:rsidRDefault="001B65BA" w:rsidP="00A25889">
            <w:pPr>
              <w:spacing w:before="0" w:after="0"/>
              <w:rPr>
                <w:sz w:val="20"/>
                <w:szCs w:val="20"/>
              </w:rPr>
            </w:pPr>
            <w:r w:rsidRPr="00EA60AB">
              <w:rPr>
                <w:sz w:val="20"/>
                <w:szCs w:val="20"/>
              </w:rPr>
              <w:t>1.01 (0.69)</w:t>
            </w:r>
          </w:p>
        </w:tc>
      </w:tr>
      <w:tr w:rsidR="001B65BA" w:rsidRPr="00EA60AB" w14:paraId="6564CBBB" w14:textId="77777777" w:rsidTr="00EA60AB">
        <w:tc>
          <w:tcPr>
            <w:tcW w:w="0" w:type="auto"/>
            <w:tcBorders>
              <w:top w:val="nil"/>
            </w:tcBorders>
          </w:tcPr>
          <w:p w14:paraId="0FA238F3" w14:textId="77777777" w:rsidR="001B65BA" w:rsidRPr="00EA60AB" w:rsidRDefault="001B65BA" w:rsidP="00A25889">
            <w:pPr>
              <w:spacing w:before="0" w:after="0"/>
              <w:rPr>
                <w:sz w:val="20"/>
                <w:szCs w:val="20"/>
              </w:rPr>
            </w:pPr>
            <w:r w:rsidRPr="00EA60AB">
              <w:rPr>
                <w:sz w:val="20"/>
                <w:szCs w:val="20"/>
              </w:rPr>
              <w:t>Δ baseline</w:t>
            </w:r>
          </w:p>
        </w:tc>
        <w:tc>
          <w:tcPr>
            <w:tcW w:w="0" w:type="auto"/>
          </w:tcPr>
          <w:p w14:paraId="5D6F82A4" w14:textId="77777777" w:rsidR="001B65BA" w:rsidRPr="00EA60AB" w:rsidRDefault="001B65BA" w:rsidP="00A25889">
            <w:pPr>
              <w:spacing w:before="0" w:after="0"/>
              <w:rPr>
                <w:sz w:val="20"/>
                <w:szCs w:val="20"/>
              </w:rPr>
            </w:pPr>
            <w:r w:rsidRPr="00EA60AB">
              <w:rPr>
                <w:sz w:val="20"/>
                <w:szCs w:val="20"/>
              </w:rPr>
              <w:t>1.37 (0.66)</w:t>
            </w:r>
          </w:p>
        </w:tc>
        <w:tc>
          <w:tcPr>
            <w:tcW w:w="0" w:type="auto"/>
          </w:tcPr>
          <w:p w14:paraId="19F3A88B" w14:textId="77777777" w:rsidR="001B65BA" w:rsidRPr="00EA60AB" w:rsidRDefault="001B65BA" w:rsidP="00A25889">
            <w:pPr>
              <w:spacing w:before="0" w:after="0"/>
              <w:rPr>
                <w:sz w:val="20"/>
                <w:szCs w:val="20"/>
              </w:rPr>
            </w:pPr>
            <w:r w:rsidRPr="00EA60AB">
              <w:rPr>
                <w:sz w:val="20"/>
                <w:szCs w:val="20"/>
              </w:rPr>
              <w:t>0.87 (0.53)*</w:t>
            </w:r>
          </w:p>
        </w:tc>
        <w:tc>
          <w:tcPr>
            <w:tcW w:w="0" w:type="auto"/>
          </w:tcPr>
          <w:p w14:paraId="3395A39B" w14:textId="77777777" w:rsidR="001B65BA" w:rsidRPr="00EA60AB" w:rsidRDefault="001B65BA" w:rsidP="00A25889">
            <w:pPr>
              <w:spacing w:before="0" w:after="0"/>
              <w:rPr>
                <w:sz w:val="20"/>
                <w:szCs w:val="20"/>
              </w:rPr>
            </w:pPr>
            <w:r w:rsidRPr="00EA60AB">
              <w:rPr>
                <w:sz w:val="20"/>
                <w:szCs w:val="20"/>
              </w:rPr>
              <w:t>0.83 (0.66)*</w:t>
            </w:r>
          </w:p>
        </w:tc>
        <w:tc>
          <w:tcPr>
            <w:tcW w:w="0" w:type="auto"/>
          </w:tcPr>
          <w:p w14:paraId="0EB23340" w14:textId="77777777" w:rsidR="001B65BA" w:rsidRPr="00EA60AB" w:rsidRDefault="001B65BA" w:rsidP="00A25889">
            <w:pPr>
              <w:spacing w:before="0" w:after="0"/>
              <w:rPr>
                <w:sz w:val="20"/>
                <w:szCs w:val="20"/>
              </w:rPr>
            </w:pPr>
            <w:r w:rsidRPr="00EA60AB">
              <w:rPr>
                <w:sz w:val="20"/>
                <w:szCs w:val="20"/>
              </w:rPr>
              <w:t>0.76 (0.48)*</w:t>
            </w:r>
          </w:p>
        </w:tc>
      </w:tr>
      <w:tr w:rsidR="001B65BA" w:rsidRPr="00EA60AB" w14:paraId="3438970E" w14:textId="77777777" w:rsidTr="00EA60AB">
        <w:tc>
          <w:tcPr>
            <w:tcW w:w="0" w:type="auto"/>
          </w:tcPr>
          <w:p w14:paraId="66E8A896" w14:textId="77777777" w:rsidR="001B65BA" w:rsidRPr="00EA60AB" w:rsidRDefault="001B65BA" w:rsidP="00A25889">
            <w:pPr>
              <w:spacing w:before="0" w:after="0"/>
              <w:rPr>
                <w:b/>
                <w:sz w:val="20"/>
                <w:szCs w:val="20"/>
              </w:rPr>
            </w:pPr>
            <w:r w:rsidRPr="00EA60AB">
              <w:rPr>
                <w:b/>
                <w:sz w:val="20"/>
                <w:szCs w:val="20"/>
              </w:rPr>
              <w:t>Adjusted mean LS at week 4 (95% CI)</w:t>
            </w:r>
          </w:p>
        </w:tc>
        <w:tc>
          <w:tcPr>
            <w:tcW w:w="0" w:type="auto"/>
          </w:tcPr>
          <w:p w14:paraId="069872AA" w14:textId="77777777" w:rsidR="001B65BA" w:rsidRPr="00EA60AB" w:rsidRDefault="001B65BA" w:rsidP="00A25889">
            <w:pPr>
              <w:spacing w:before="0" w:after="0"/>
              <w:rPr>
                <w:sz w:val="20"/>
                <w:szCs w:val="20"/>
              </w:rPr>
            </w:pPr>
            <w:r w:rsidRPr="00EA60AB">
              <w:rPr>
                <w:sz w:val="20"/>
                <w:szCs w:val="20"/>
              </w:rPr>
              <w:t>0.43 (0.30, 0.56)</w:t>
            </w:r>
          </w:p>
        </w:tc>
        <w:tc>
          <w:tcPr>
            <w:tcW w:w="0" w:type="auto"/>
          </w:tcPr>
          <w:p w14:paraId="21739404" w14:textId="77777777" w:rsidR="001B65BA" w:rsidRPr="00EA60AB" w:rsidRDefault="001B65BA" w:rsidP="00A25889">
            <w:pPr>
              <w:spacing w:before="0" w:after="0"/>
              <w:rPr>
                <w:sz w:val="20"/>
                <w:szCs w:val="20"/>
              </w:rPr>
            </w:pPr>
            <w:r w:rsidRPr="00EA60AB">
              <w:rPr>
                <w:sz w:val="20"/>
                <w:szCs w:val="20"/>
              </w:rPr>
              <w:t>0.86 (0.73, 1.00)**</w:t>
            </w:r>
          </w:p>
        </w:tc>
        <w:tc>
          <w:tcPr>
            <w:tcW w:w="0" w:type="auto"/>
          </w:tcPr>
          <w:p w14:paraId="6A021007" w14:textId="77777777" w:rsidR="001B65BA" w:rsidRPr="00EA60AB" w:rsidRDefault="001B65BA" w:rsidP="00A25889">
            <w:pPr>
              <w:spacing w:before="0" w:after="0"/>
              <w:rPr>
                <w:sz w:val="20"/>
                <w:szCs w:val="20"/>
              </w:rPr>
            </w:pPr>
            <w:r w:rsidRPr="00EA60AB">
              <w:rPr>
                <w:sz w:val="20"/>
                <w:szCs w:val="20"/>
              </w:rPr>
              <w:t>0.90 (0.76, 1.03)**</w:t>
            </w:r>
          </w:p>
        </w:tc>
        <w:tc>
          <w:tcPr>
            <w:tcW w:w="0" w:type="auto"/>
          </w:tcPr>
          <w:p w14:paraId="6C2DCDAF" w14:textId="77777777" w:rsidR="001B65BA" w:rsidRPr="00EA60AB" w:rsidRDefault="001B65BA" w:rsidP="00A25889">
            <w:pPr>
              <w:spacing w:before="0" w:after="0"/>
              <w:rPr>
                <w:sz w:val="20"/>
                <w:szCs w:val="20"/>
              </w:rPr>
            </w:pPr>
            <w:r w:rsidRPr="00EA60AB">
              <w:rPr>
                <w:sz w:val="20"/>
                <w:szCs w:val="20"/>
              </w:rPr>
              <w:t>0.99 (0.86, 1.13)**</w:t>
            </w:r>
          </w:p>
        </w:tc>
      </w:tr>
      <w:tr w:rsidR="001B65BA" w:rsidRPr="00EA60AB" w14:paraId="306F772E" w14:textId="77777777" w:rsidTr="00EA60AB">
        <w:tc>
          <w:tcPr>
            <w:tcW w:w="0" w:type="auto"/>
          </w:tcPr>
          <w:p w14:paraId="7A07BDE3" w14:textId="77777777" w:rsidR="001B65BA" w:rsidRPr="00EA60AB" w:rsidRDefault="001B65BA" w:rsidP="00A25889">
            <w:pPr>
              <w:spacing w:before="0" w:after="0"/>
              <w:rPr>
                <w:b/>
                <w:sz w:val="20"/>
                <w:szCs w:val="20"/>
              </w:rPr>
            </w:pPr>
            <w:r w:rsidRPr="00EA60AB">
              <w:rPr>
                <w:b/>
                <w:sz w:val="20"/>
                <w:szCs w:val="20"/>
              </w:rPr>
              <w:t>Δ LS mean FDC vs comparator (95% CI)</w:t>
            </w:r>
          </w:p>
        </w:tc>
        <w:tc>
          <w:tcPr>
            <w:tcW w:w="0" w:type="auto"/>
          </w:tcPr>
          <w:p w14:paraId="160CAA73" w14:textId="77777777" w:rsidR="001B65BA" w:rsidRPr="00EA60AB" w:rsidRDefault="001B65BA" w:rsidP="00A25889">
            <w:pPr>
              <w:spacing w:before="0" w:after="0"/>
              <w:rPr>
                <w:sz w:val="20"/>
                <w:szCs w:val="20"/>
              </w:rPr>
            </w:pPr>
          </w:p>
        </w:tc>
        <w:tc>
          <w:tcPr>
            <w:tcW w:w="0" w:type="auto"/>
          </w:tcPr>
          <w:p w14:paraId="7EF3B05A" w14:textId="77777777" w:rsidR="001B65BA" w:rsidRPr="00EA60AB" w:rsidRDefault="001B65BA" w:rsidP="00A25889">
            <w:pPr>
              <w:spacing w:before="0" w:after="0"/>
              <w:rPr>
                <w:sz w:val="20"/>
                <w:szCs w:val="20"/>
              </w:rPr>
            </w:pPr>
            <w:r w:rsidRPr="00EA60AB">
              <w:rPr>
                <w:sz w:val="20"/>
                <w:szCs w:val="20"/>
              </w:rPr>
              <w:t>0.43 (0.25, 0.62)</w:t>
            </w:r>
          </w:p>
        </w:tc>
        <w:tc>
          <w:tcPr>
            <w:tcW w:w="0" w:type="auto"/>
          </w:tcPr>
          <w:p w14:paraId="65C15DD6" w14:textId="77777777" w:rsidR="001B65BA" w:rsidRPr="00EA60AB" w:rsidRDefault="001B65BA" w:rsidP="00A25889">
            <w:pPr>
              <w:spacing w:before="0" w:after="0"/>
              <w:rPr>
                <w:sz w:val="20"/>
                <w:szCs w:val="20"/>
              </w:rPr>
            </w:pPr>
            <w:r w:rsidRPr="00EA60AB">
              <w:rPr>
                <w:sz w:val="20"/>
                <w:szCs w:val="20"/>
              </w:rPr>
              <w:t>0.47 (0.28, 0.66)</w:t>
            </w:r>
          </w:p>
        </w:tc>
        <w:tc>
          <w:tcPr>
            <w:tcW w:w="0" w:type="auto"/>
          </w:tcPr>
          <w:p w14:paraId="4639BF5F" w14:textId="77777777" w:rsidR="001B65BA" w:rsidRPr="00EA60AB" w:rsidRDefault="001B65BA" w:rsidP="00A25889">
            <w:pPr>
              <w:spacing w:before="0" w:after="0"/>
              <w:rPr>
                <w:sz w:val="20"/>
                <w:szCs w:val="20"/>
              </w:rPr>
            </w:pPr>
            <w:r w:rsidRPr="00EA60AB">
              <w:rPr>
                <w:sz w:val="20"/>
                <w:szCs w:val="20"/>
              </w:rPr>
              <w:t>0.56 (0.38, 0.75)</w:t>
            </w:r>
          </w:p>
        </w:tc>
      </w:tr>
      <w:tr w:rsidR="001B65BA" w:rsidRPr="00EA60AB" w14:paraId="39FDA772" w14:textId="77777777" w:rsidTr="00EA60AB">
        <w:tc>
          <w:tcPr>
            <w:tcW w:w="0" w:type="auto"/>
          </w:tcPr>
          <w:p w14:paraId="3F3BE71E" w14:textId="77777777" w:rsidR="001B65BA" w:rsidRPr="00EA60AB" w:rsidRDefault="001B65BA" w:rsidP="00A25889">
            <w:pPr>
              <w:spacing w:before="0" w:after="0"/>
              <w:rPr>
                <w:b/>
                <w:sz w:val="20"/>
                <w:szCs w:val="20"/>
              </w:rPr>
            </w:pPr>
            <w:r w:rsidRPr="00EA60AB">
              <w:rPr>
                <w:b/>
                <w:sz w:val="20"/>
                <w:szCs w:val="20"/>
              </w:rPr>
              <w:t>Cohens difference (95% CI)</w:t>
            </w:r>
          </w:p>
        </w:tc>
        <w:tc>
          <w:tcPr>
            <w:tcW w:w="0" w:type="auto"/>
          </w:tcPr>
          <w:p w14:paraId="781E47B5" w14:textId="77777777" w:rsidR="001B65BA" w:rsidRPr="00EA60AB" w:rsidRDefault="001B65BA" w:rsidP="00A25889">
            <w:pPr>
              <w:spacing w:before="0" w:after="0"/>
              <w:rPr>
                <w:sz w:val="20"/>
                <w:szCs w:val="20"/>
              </w:rPr>
            </w:pPr>
          </w:p>
        </w:tc>
        <w:tc>
          <w:tcPr>
            <w:tcW w:w="0" w:type="auto"/>
          </w:tcPr>
          <w:p w14:paraId="3CB1D47A" w14:textId="77777777" w:rsidR="001B65BA" w:rsidRPr="00EA60AB" w:rsidRDefault="001B65BA" w:rsidP="00A25889">
            <w:pPr>
              <w:spacing w:before="0" w:after="0"/>
              <w:rPr>
                <w:sz w:val="20"/>
                <w:szCs w:val="20"/>
              </w:rPr>
            </w:pPr>
            <w:r w:rsidRPr="00EA60AB">
              <w:rPr>
                <w:sz w:val="20"/>
                <w:szCs w:val="20"/>
              </w:rPr>
              <w:t>0.84 (0.47, 1.21)</w:t>
            </w:r>
          </w:p>
        </w:tc>
        <w:tc>
          <w:tcPr>
            <w:tcW w:w="0" w:type="auto"/>
          </w:tcPr>
          <w:p w14:paraId="0D31318D" w14:textId="77777777" w:rsidR="001B65BA" w:rsidRPr="00EA60AB" w:rsidRDefault="001B65BA" w:rsidP="00A25889">
            <w:pPr>
              <w:spacing w:before="0" w:after="0"/>
              <w:rPr>
                <w:sz w:val="20"/>
                <w:szCs w:val="20"/>
              </w:rPr>
            </w:pPr>
            <w:r w:rsidRPr="00EA60AB">
              <w:rPr>
                <w:sz w:val="20"/>
                <w:szCs w:val="20"/>
              </w:rPr>
              <w:t>0.83 (0.45, 1.20)</w:t>
            </w:r>
          </w:p>
        </w:tc>
        <w:tc>
          <w:tcPr>
            <w:tcW w:w="0" w:type="auto"/>
          </w:tcPr>
          <w:p w14:paraId="3346B0E9" w14:textId="77777777" w:rsidR="001B65BA" w:rsidRPr="00EA60AB" w:rsidRDefault="001B65BA" w:rsidP="00A25889">
            <w:pPr>
              <w:spacing w:before="0" w:after="0"/>
              <w:rPr>
                <w:sz w:val="20"/>
                <w:szCs w:val="20"/>
              </w:rPr>
            </w:pPr>
            <w:r w:rsidRPr="00EA60AB">
              <w:rPr>
                <w:sz w:val="20"/>
                <w:szCs w:val="20"/>
              </w:rPr>
              <w:t>1.06 (0.67, 1.45)</w:t>
            </w:r>
          </w:p>
        </w:tc>
      </w:tr>
      <w:tr w:rsidR="001B65BA" w:rsidRPr="00EA60AB" w14:paraId="648FD904" w14:textId="77777777" w:rsidTr="00EA60AB">
        <w:tc>
          <w:tcPr>
            <w:tcW w:w="0" w:type="auto"/>
          </w:tcPr>
          <w:p w14:paraId="530DA138" w14:textId="77777777" w:rsidR="001B65BA" w:rsidRPr="00EA60AB" w:rsidRDefault="001B65BA" w:rsidP="00A25889">
            <w:pPr>
              <w:spacing w:before="0" w:after="0"/>
              <w:rPr>
                <w:b/>
                <w:sz w:val="20"/>
                <w:szCs w:val="20"/>
              </w:rPr>
            </w:pPr>
            <w:r w:rsidRPr="00EA60AB">
              <w:rPr>
                <w:b/>
                <w:sz w:val="20"/>
                <w:szCs w:val="20"/>
              </w:rPr>
              <w:t>Mann-Whitney estimator (95% CI)</w:t>
            </w:r>
          </w:p>
        </w:tc>
        <w:tc>
          <w:tcPr>
            <w:tcW w:w="0" w:type="auto"/>
          </w:tcPr>
          <w:p w14:paraId="4CEED542" w14:textId="77777777" w:rsidR="001B65BA" w:rsidRPr="00EA60AB" w:rsidRDefault="001B65BA" w:rsidP="00A25889">
            <w:pPr>
              <w:spacing w:before="0" w:after="0"/>
              <w:rPr>
                <w:sz w:val="20"/>
                <w:szCs w:val="20"/>
              </w:rPr>
            </w:pPr>
          </w:p>
        </w:tc>
        <w:tc>
          <w:tcPr>
            <w:tcW w:w="0" w:type="auto"/>
          </w:tcPr>
          <w:p w14:paraId="01781EBF" w14:textId="77777777" w:rsidR="001B65BA" w:rsidRPr="00EA60AB" w:rsidRDefault="001B65BA" w:rsidP="00A25889">
            <w:pPr>
              <w:spacing w:before="0" w:after="0"/>
              <w:rPr>
                <w:sz w:val="20"/>
                <w:szCs w:val="20"/>
              </w:rPr>
            </w:pPr>
            <w:r w:rsidRPr="00EA60AB">
              <w:rPr>
                <w:sz w:val="20"/>
                <w:szCs w:val="20"/>
              </w:rPr>
              <w:t>0.72 (0.63, 0.80)</w:t>
            </w:r>
          </w:p>
        </w:tc>
        <w:tc>
          <w:tcPr>
            <w:tcW w:w="0" w:type="auto"/>
          </w:tcPr>
          <w:p w14:paraId="784029B9" w14:textId="77777777" w:rsidR="001B65BA" w:rsidRPr="00EA60AB" w:rsidRDefault="001B65BA" w:rsidP="00A25889">
            <w:pPr>
              <w:spacing w:before="0" w:after="0"/>
              <w:rPr>
                <w:sz w:val="20"/>
                <w:szCs w:val="20"/>
              </w:rPr>
            </w:pPr>
            <w:r w:rsidRPr="00EA60AB">
              <w:rPr>
                <w:sz w:val="20"/>
                <w:szCs w:val="20"/>
              </w:rPr>
              <w:t>0.72 (0.62, 0.80)</w:t>
            </w:r>
          </w:p>
        </w:tc>
        <w:tc>
          <w:tcPr>
            <w:tcW w:w="0" w:type="auto"/>
          </w:tcPr>
          <w:p w14:paraId="508DA215" w14:textId="77777777" w:rsidR="001B65BA" w:rsidRPr="00EA60AB" w:rsidRDefault="001B65BA" w:rsidP="00A25889">
            <w:pPr>
              <w:spacing w:before="0" w:after="0"/>
              <w:rPr>
                <w:sz w:val="20"/>
                <w:szCs w:val="20"/>
              </w:rPr>
            </w:pPr>
            <w:r w:rsidRPr="00EA60AB">
              <w:rPr>
                <w:sz w:val="20"/>
                <w:szCs w:val="20"/>
              </w:rPr>
              <w:t>0.77 (0.68, 0.84)</w:t>
            </w:r>
          </w:p>
        </w:tc>
      </w:tr>
    </w:tbl>
    <w:p w14:paraId="7D85630A" w14:textId="77777777" w:rsidR="001B65BA" w:rsidRPr="0012531D" w:rsidRDefault="001B65BA" w:rsidP="00A25889">
      <w:pPr>
        <w:spacing w:before="0"/>
        <w:rPr>
          <w:sz w:val="20"/>
        </w:rPr>
      </w:pPr>
      <w:r w:rsidRPr="0012531D">
        <w:rPr>
          <w:sz w:val="20"/>
        </w:rPr>
        <w:t>*p &lt; 0.001    **0.1% probability that LS mean for FDC is equal to LS mean for comparator</w:t>
      </w:r>
    </w:p>
    <w:p w14:paraId="790059CD" w14:textId="77777777" w:rsidR="001B65BA" w:rsidRDefault="001B65BA" w:rsidP="00A25889">
      <w:r>
        <w:t xml:space="preserve">The proportion of participants with no vertigo symptoms (MVS = 0) at week 4 was 21.3% in the FDC group, 6.6% in the cinnarizine group (p = 0.034), 3.4% in the placebo arm (p = 0.005) and 8.5% in the dimenhydrinate group (NS). </w:t>
      </w:r>
    </w:p>
    <w:p w14:paraId="1DAD4D17" w14:textId="77777777" w:rsidR="001B65BA" w:rsidRDefault="001B65BA" w:rsidP="00A25889">
      <w:r>
        <w:t>The most frequently reported vegetative symptoms of vertigo at baseline were nausea and headache.  Nausea improved to a significantly greater degree with FDC compared to other treatments.  For the routine balance tests included in the secondary analysis, only the difference in change in lateral sway between FDC and placebo reached statistical significance.  In general, the various nystagmus tests indicated no specific treatment effect, or difference between groups.</w:t>
      </w:r>
    </w:p>
    <w:p w14:paraId="7645277C" w14:textId="159B4701" w:rsidR="00612F52" w:rsidRPr="001B65BA" w:rsidRDefault="00612F52" w:rsidP="00A25889">
      <w:r w:rsidRPr="001B65BA">
        <w:t xml:space="preserve">The primary efficacy endpoint, and the majority of secondary efficacy variables, used to evaluate comparative benefit of the FDC </w:t>
      </w:r>
      <w:r w:rsidR="00EA60AB">
        <w:rPr>
          <w:lang w:val="en-US"/>
        </w:rPr>
        <w:t xml:space="preserve">in remaining supportive RCT </w:t>
      </w:r>
      <w:r w:rsidRPr="001B65BA">
        <w:t xml:space="preserve">were similar in all but one of the individual </w:t>
      </w:r>
      <w:r w:rsidR="001B65BA" w:rsidRPr="001B65BA">
        <w:t xml:space="preserve">RCT. </w:t>
      </w:r>
      <w:r w:rsidRPr="001B65BA">
        <w:t>The primary efficacy endpoint generally used was mean reduction in vertigo score, which was based on a combination of type and intensity of vertigo symptoms experienced by the participants</w:t>
      </w:r>
      <w:r w:rsidR="001B65BA" w:rsidRPr="001B65BA">
        <w:t xml:space="preserve">. </w:t>
      </w:r>
      <w:r w:rsidRPr="001B65BA">
        <w:t>One study evaluated the intensity of vertigo symptoms, however the classification system used to assess this parameter was less comprehensive compared to the other 8 studies.</w:t>
      </w:r>
      <w:r w:rsidR="00EA60AB">
        <w:t xml:space="preserve"> </w:t>
      </w:r>
      <w:r w:rsidR="00EA60AB">
        <w:rPr>
          <w:lang w:val="en-US"/>
        </w:rPr>
        <w:t>The supportive efficacy studies in all cases showed at least a trend towards greater efficacy with the FDC given three times daily compared to either active when administered as 20 or 50mg cinnarizine or 40 or 100mg dimenhydrinate.</w:t>
      </w:r>
    </w:p>
    <w:p w14:paraId="4863687F" w14:textId="22EB5900" w:rsidR="00612F52" w:rsidRPr="001B65BA" w:rsidRDefault="00612F52" w:rsidP="00A25889">
      <w:r w:rsidRPr="001B65BA">
        <w:t>All but one of the 9 RCT also evaluated the comparative safety of the FDC</w:t>
      </w:r>
      <w:r w:rsidR="001B65BA" w:rsidRPr="001B65BA">
        <w:t xml:space="preserve">. </w:t>
      </w:r>
      <w:r w:rsidRPr="001B65BA">
        <w:t>In general, the studies found no statistically or clinically significant difference in the safety profile of the FDC compared to the equi-dose monotherapy components, based on comparative adverse event analysis</w:t>
      </w:r>
      <w:r w:rsidR="001B65BA" w:rsidRPr="001B65BA">
        <w:t xml:space="preserve">. </w:t>
      </w:r>
      <w:r w:rsidRPr="001B65BA">
        <w:t xml:space="preserve">Participant assessment of overall tolerability generally indicated high levels of satisfaction, with little difference (slightly favoring FDC) between the FDC and equi-dose monocomponent cinnarizine and dimenhydrinate formulations, and better than the individual high dose formulations. </w:t>
      </w:r>
    </w:p>
    <w:p w14:paraId="28ACB13F" w14:textId="77777777" w:rsidR="00FD1F94" w:rsidRPr="001B65BA" w:rsidRDefault="00FD1F94" w:rsidP="00A25889">
      <w:pPr>
        <w:pStyle w:val="Heading2"/>
        <w:rPr>
          <w:lang w:val="en-AU"/>
        </w:rPr>
      </w:pPr>
      <w:r w:rsidRPr="001B65BA">
        <w:rPr>
          <w:lang w:val="en-AU"/>
        </w:rPr>
        <w:lastRenderedPageBreak/>
        <w:t>PHARMACOKINETIC PROPERTIES</w:t>
      </w:r>
    </w:p>
    <w:p w14:paraId="041880F4" w14:textId="77777777" w:rsidR="00FD1F94" w:rsidRPr="001B65BA" w:rsidRDefault="00FD1F94" w:rsidP="00A25889">
      <w:pPr>
        <w:pStyle w:val="Heading3"/>
      </w:pPr>
      <w:r w:rsidRPr="001B65BA">
        <w:t>Absorption</w:t>
      </w:r>
      <w:r w:rsidR="0000699F" w:rsidRPr="001B65BA">
        <w:t xml:space="preserve"> and Distribution</w:t>
      </w:r>
    </w:p>
    <w:p w14:paraId="3B17B38F" w14:textId="36B5F9BB" w:rsidR="0000699F" w:rsidRPr="001B65BA" w:rsidRDefault="0000699F" w:rsidP="00A25889">
      <w:pPr>
        <w:overflowPunct w:val="0"/>
        <w:autoSpaceDE w:val="0"/>
        <w:autoSpaceDN w:val="0"/>
        <w:adjustRightInd w:val="0"/>
      </w:pPr>
      <w:r w:rsidRPr="001B65BA">
        <w:t>Dimenhydrinate rapidly releases its diphenhydramine moiety after oral administration. Diphenhydramine and cinnarizine are rapidly absorbed from the gastro-intestinal tract. Maximum plasma concentrations (C</w:t>
      </w:r>
      <w:r w:rsidRPr="001B65BA">
        <w:rPr>
          <w:vertAlign w:val="subscript"/>
        </w:rPr>
        <w:t>max</w:t>
      </w:r>
      <w:r w:rsidRPr="001B65BA">
        <w:t xml:space="preserve">) of cinnarizine and diphenhydramine are reached in humans within 2-4 hours. </w:t>
      </w:r>
    </w:p>
    <w:p w14:paraId="17504127" w14:textId="77777777" w:rsidR="0039389D" w:rsidRPr="001B65BA" w:rsidRDefault="0039389D" w:rsidP="00A25889">
      <w:r w:rsidRPr="001B65BA">
        <w:t>The plasma elimination half-lives of diphenhydramine, and possibly also cinnarizine, are known to be age-dependent,</w:t>
      </w:r>
      <w:r w:rsidRPr="001B65BA">
        <w:rPr>
          <w:i/>
        </w:rPr>
        <w:t xml:space="preserve"> </w:t>
      </w:r>
      <w:r w:rsidRPr="001B65BA">
        <w:t>but typically range from 4-5 hours for both substances, when given either alone or as the combination product.</w:t>
      </w:r>
    </w:p>
    <w:p w14:paraId="7CE04497" w14:textId="77777777" w:rsidR="0039389D" w:rsidRPr="001B65BA" w:rsidRDefault="0039389D" w:rsidP="00A25889">
      <w:r w:rsidRPr="001B65BA">
        <w:t>Animal and human studies show active uptake and accumulation of diphenhydramine in the brain. This effect was not seen in animal studies using cinnarizine.</w:t>
      </w:r>
    </w:p>
    <w:p w14:paraId="42B44360" w14:textId="77777777" w:rsidR="00FD1F94" w:rsidRPr="001B65BA" w:rsidRDefault="00FD1F94" w:rsidP="00A25889">
      <w:pPr>
        <w:pStyle w:val="Heading3"/>
      </w:pPr>
      <w:bookmarkStart w:id="5" w:name="page6"/>
      <w:bookmarkEnd w:id="5"/>
      <w:r w:rsidRPr="001B65BA">
        <w:t>Metabolism</w:t>
      </w:r>
    </w:p>
    <w:p w14:paraId="188990B8" w14:textId="072BFD48" w:rsidR="0000699F" w:rsidRPr="001B65BA" w:rsidRDefault="0000699F" w:rsidP="00A25889">
      <w:pPr>
        <w:overflowPunct w:val="0"/>
        <w:autoSpaceDE w:val="0"/>
        <w:autoSpaceDN w:val="0"/>
        <w:adjustRightInd w:val="0"/>
        <w:ind w:right="23"/>
      </w:pPr>
      <w:r w:rsidRPr="001B65BA">
        <w:t>Cinnarizine and diphenhydramine are extensively metabolised in the liver. The metabolism of cinnarizine involves ring hydroxylation reactions</w:t>
      </w:r>
      <w:r w:rsidR="0039389D" w:rsidRPr="001B65BA">
        <w:t>, mainly</w:t>
      </w:r>
      <w:r w:rsidRPr="001B65BA">
        <w:t xml:space="preserve"> catalysed by CYP2D6 and </w:t>
      </w:r>
      <w:r w:rsidR="0039389D" w:rsidRPr="001B65BA">
        <w:t>to a lesser extent by CYP2B</w:t>
      </w:r>
      <w:r w:rsidR="00514988" w:rsidRPr="001B65BA">
        <w:t xml:space="preserve">6, and </w:t>
      </w:r>
      <w:r w:rsidRPr="00224E9B">
        <w:rPr>
          <w:i/>
        </w:rPr>
        <w:t>N</w:t>
      </w:r>
      <w:r w:rsidRPr="001B65BA">
        <w:t>-dealkylation reactions</w:t>
      </w:r>
      <w:r w:rsidR="00514988" w:rsidRPr="001B65BA">
        <w:t xml:space="preserve"> cataly</w:t>
      </w:r>
      <w:r w:rsidR="0006005C">
        <w:t>s</w:t>
      </w:r>
      <w:r w:rsidR="00514988" w:rsidRPr="001B65BA">
        <w:t>ed by CYP2CP and CYP1A2</w:t>
      </w:r>
      <w:r w:rsidRPr="001B65BA">
        <w:t xml:space="preserve">. The </w:t>
      </w:r>
      <w:r w:rsidR="00514988" w:rsidRPr="001B65BA">
        <w:t xml:space="preserve">major </w:t>
      </w:r>
      <w:r w:rsidRPr="001B65BA">
        <w:t xml:space="preserve">pathway </w:t>
      </w:r>
      <w:r w:rsidR="00514988" w:rsidRPr="001B65BA">
        <w:t xml:space="preserve">of </w:t>
      </w:r>
      <w:r w:rsidRPr="001B65BA">
        <w:t xml:space="preserve">diphenhydramine metabolism is the sequential </w:t>
      </w:r>
      <w:r w:rsidRPr="00224E9B">
        <w:rPr>
          <w:i/>
        </w:rPr>
        <w:t>N</w:t>
      </w:r>
      <w:r w:rsidRPr="001B65BA">
        <w:t>-demethylation of the tertiary amine</w:t>
      </w:r>
      <w:r w:rsidR="00514988" w:rsidRPr="001B65BA">
        <w:t>, which is mainly cataly</w:t>
      </w:r>
      <w:r w:rsidR="0006005C">
        <w:t>s</w:t>
      </w:r>
      <w:r w:rsidR="00514988" w:rsidRPr="001B65BA">
        <w:t>ed by CYP2D</w:t>
      </w:r>
      <w:r w:rsidR="00155519">
        <w:t>6</w:t>
      </w:r>
      <w:r w:rsidRPr="001B65BA">
        <w:t>.</w:t>
      </w:r>
    </w:p>
    <w:p w14:paraId="7081AA53" w14:textId="77777777" w:rsidR="00FD1F94" w:rsidRPr="001B65BA" w:rsidRDefault="00FD1F94" w:rsidP="00A25889">
      <w:pPr>
        <w:pStyle w:val="Heading3"/>
      </w:pPr>
      <w:r w:rsidRPr="001B65BA">
        <w:t>Excretion</w:t>
      </w:r>
    </w:p>
    <w:p w14:paraId="397016EE" w14:textId="77777777" w:rsidR="0000699F" w:rsidRPr="001B65BA" w:rsidRDefault="0000699F" w:rsidP="00A25889">
      <w:pPr>
        <w:overflowPunct w:val="0"/>
        <w:autoSpaceDE w:val="0"/>
        <w:autoSpaceDN w:val="0"/>
        <w:adjustRightInd w:val="0"/>
      </w:pPr>
      <w:r w:rsidRPr="001B65BA">
        <w:t>Cinnarizine is mainly eliminated via the faeces (40-60%) and to a lower extent also in urine, mainly in the form of metabolites conjugated with glucuronic acid. The major route of elimination of diphenhydramine is in the urine, mainly in the form of metabolites, with the deaminated compound, diphenylmethoxy acetic acid, being the predominant metabolite (40-60%).</w:t>
      </w:r>
    </w:p>
    <w:p w14:paraId="1C2C8E24" w14:textId="77777777" w:rsidR="00FD1F94" w:rsidRPr="001B65BA" w:rsidRDefault="00FD1F94" w:rsidP="00A25889">
      <w:pPr>
        <w:pStyle w:val="Heading2"/>
        <w:rPr>
          <w:lang w:val="en-AU"/>
        </w:rPr>
      </w:pPr>
      <w:r w:rsidRPr="001B65BA">
        <w:rPr>
          <w:lang w:val="en-AU"/>
        </w:rPr>
        <w:t>PRECLINICAL</w:t>
      </w:r>
      <w:r w:rsidR="008438F1" w:rsidRPr="001B65BA">
        <w:rPr>
          <w:lang w:val="en-AU"/>
        </w:rPr>
        <w:t xml:space="preserve"> </w:t>
      </w:r>
      <w:r w:rsidRPr="001B65BA">
        <w:rPr>
          <w:lang w:val="en-AU"/>
        </w:rPr>
        <w:t>SAFETY DATA</w:t>
      </w:r>
    </w:p>
    <w:p w14:paraId="7455C135" w14:textId="77777777" w:rsidR="00FD1F94" w:rsidRPr="001B65BA" w:rsidRDefault="00FD1F94" w:rsidP="00A25889">
      <w:pPr>
        <w:pStyle w:val="Heading3"/>
      </w:pPr>
      <w:r w:rsidRPr="001B65BA">
        <w:t>Genotoxicity</w:t>
      </w:r>
    </w:p>
    <w:p w14:paraId="18E20F0F" w14:textId="77777777" w:rsidR="0000699F" w:rsidRPr="001B65BA" w:rsidRDefault="0000699F" w:rsidP="00A25889">
      <w:r w:rsidRPr="001B65BA">
        <w:t xml:space="preserve">The genotoxic potential of cinnarizine/dimenhydrinate combination tablets has not been fully evaluated. </w:t>
      </w:r>
    </w:p>
    <w:p w14:paraId="33686F38" w14:textId="77777777" w:rsidR="00FD1F94" w:rsidRPr="001B65BA" w:rsidRDefault="00FD1F94" w:rsidP="00A25889">
      <w:pPr>
        <w:pStyle w:val="Heading3"/>
      </w:pPr>
      <w:r w:rsidRPr="001B65BA">
        <w:t>Carcinogenicity</w:t>
      </w:r>
    </w:p>
    <w:p w14:paraId="487F76BC" w14:textId="77777777" w:rsidR="0000699F" w:rsidRPr="001B65BA" w:rsidRDefault="0000699F" w:rsidP="00A25889">
      <w:r w:rsidRPr="001B65BA">
        <w:t xml:space="preserve">The carcinogenic potential of cinnarizine/dimenhydrinate combination tablets has not been fully evaluated. </w:t>
      </w:r>
    </w:p>
    <w:p w14:paraId="5CFAD766" w14:textId="77777777" w:rsidR="00FD1F94" w:rsidRPr="001B65BA" w:rsidRDefault="00FD1F94" w:rsidP="00A25889">
      <w:pPr>
        <w:pStyle w:val="Heading1"/>
        <w:rPr>
          <w:lang w:val="en-AU"/>
        </w:rPr>
      </w:pPr>
      <w:r w:rsidRPr="001B65BA">
        <w:rPr>
          <w:lang w:val="en-AU"/>
        </w:rPr>
        <w:lastRenderedPageBreak/>
        <w:t>PHARMACEUTICAL PARTICULARS</w:t>
      </w:r>
    </w:p>
    <w:p w14:paraId="1E263A60" w14:textId="77777777" w:rsidR="00FD1F94" w:rsidRPr="001B65BA" w:rsidRDefault="00FD1F94" w:rsidP="00A25889">
      <w:pPr>
        <w:pStyle w:val="Heading2"/>
        <w:rPr>
          <w:lang w:val="en-AU"/>
        </w:rPr>
      </w:pPr>
      <w:r w:rsidRPr="001B65BA">
        <w:rPr>
          <w:lang w:val="en-AU"/>
        </w:rPr>
        <w:t>LIST OF EXCIPIENTS</w:t>
      </w:r>
    </w:p>
    <w:p w14:paraId="3B9A31F1" w14:textId="77777777" w:rsidR="00FD1F94" w:rsidRPr="001B65BA" w:rsidRDefault="0000699F" w:rsidP="00A25889">
      <w:r w:rsidRPr="001B65BA">
        <w:t>CIZINATE tablets also contain the following inactive ingredients: microcrystalline cellulose, croscarmellose sodium, maize starch, hypromellose, colloidal anhydrous silica, purified talc and magnesium stearate.</w:t>
      </w:r>
    </w:p>
    <w:p w14:paraId="257AC5D1" w14:textId="77777777" w:rsidR="00FD1F94" w:rsidRPr="001B65BA" w:rsidRDefault="00FD1F94" w:rsidP="00A25889">
      <w:pPr>
        <w:pStyle w:val="Heading2"/>
        <w:rPr>
          <w:lang w:val="en-AU"/>
        </w:rPr>
      </w:pPr>
      <w:r w:rsidRPr="001B65BA">
        <w:rPr>
          <w:lang w:val="en-AU"/>
        </w:rPr>
        <w:t>INCOMPATIBILITIES</w:t>
      </w:r>
    </w:p>
    <w:p w14:paraId="72039F8A" w14:textId="77777777" w:rsidR="00643422" w:rsidRPr="001B65BA" w:rsidRDefault="00643422" w:rsidP="00A25889">
      <w:r w:rsidRPr="001B65BA">
        <w:t xml:space="preserve">Incompatibilities have not been assessed. </w:t>
      </w:r>
    </w:p>
    <w:p w14:paraId="100C6F51" w14:textId="77777777" w:rsidR="00FD1F94" w:rsidRPr="001B65BA" w:rsidRDefault="00FD1F94" w:rsidP="00A25889">
      <w:pPr>
        <w:pStyle w:val="Heading2"/>
        <w:rPr>
          <w:lang w:val="en-AU"/>
        </w:rPr>
      </w:pPr>
      <w:r w:rsidRPr="001B65BA">
        <w:rPr>
          <w:lang w:val="en-AU"/>
        </w:rPr>
        <w:t>SHELF LIFE</w:t>
      </w:r>
    </w:p>
    <w:p w14:paraId="48172568" w14:textId="77777777" w:rsidR="00643422" w:rsidRPr="001B65BA" w:rsidRDefault="00643422" w:rsidP="00A25889">
      <w:bookmarkStart w:id="6" w:name="_Hlk503960565"/>
      <w:r w:rsidRPr="00DD4FBA">
        <w:t>In Australia, information on the shelf life can be found on the public summary of the Australian Register of Therapeutic Goods (ARTG). The expiry date can be found on the packaging</w:t>
      </w:r>
      <w:bookmarkEnd w:id="6"/>
      <w:r w:rsidRPr="00DD4FBA">
        <w:t>.</w:t>
      </w:r>
    </w:p>
    <w:p w14:paraId="3B02DC5A" w14:textId="77777777" w:rsidR="00FD1F94" w:rsidRPr="001B65BA" w:rsidRDefault="00FD1F94" w:rsidP="00A25889">
      <w:pPr>
        <w:pStyle w:val="Heading2"/>
        <w:rPr>
          <w:lang w:val="en-AU"/>
        </w:rPr>
      </w:pPr>
      <w:r w:rsidRPr="001B65BA">
        <w:rPr>
          <w:lang w:val="en-AU"/>
        </w:rPr>
        <w:t>SPECIAL PRECAUTIONS FOR STORAGE</w:t>
      </w:r>
    </w:p>
    <w:p w14:paraId="77CC2CCD" w14:textId="4E182051" w:rsidR="0000699F" w:rsidRPr="001B65BA" w:rsidRDefault="0000699F" w:rsidP="00A25889">
      <w:r w:rsidRPr="001B65BA">
        <w:t xml:space="preserve">Store below </w:t>
      </w:r>
      <w:r w:rsidR="0066437B">
        <w:t>25</w:t>
      </w:r>
      <w:r w:rsidRPr="001B65BA">
        <w:sym w:font="Symbol" w:char="F0B0"/>
      </w:r>
      <w:r w:rsidRPr="001B65BA">
        <w:t>C.</w:t>
      </w:r>
    </w:p>
    <w:p w14:paraId="6EDFB8F1" w14:textId="77777777" w:rsidR="00FD1F94" w:rsidRPr="001B65BA" w:rsidRDefault="00FD1F94" w:rsidP="00A25889">
      <w:pPr>
        <w:pStyle w:val="Heading2"/>
        <w:rPr>
          <w:lang w:val="en-AU"/>
        </w:rPr>
      </w:pPr>
      <w:r w:rsidRPr="001B65BA">
        <w:rPr>
          <w:lang w:val="en-AU"/>
        </w:rPr>
        <w:t>NATURE AND CONTENTS OF CONTAINER</w:t>
      </w:r>
    </w:p>
    <w:p w14:paraId="17C6FB27" w14:textId="0E9C96D3" w:rsidR="0000699F" w:rsidRPr="001B65BA" w:rsidRDefault="0000699F" w:rsidP="00A25889">
      <w:bookmarkStart w:id="7" w:name="page7"/>
      <w:bookmarkEnd w:id="7"/>
      <w:r w:rsidRPr="001B65BA">
        <w:t xml:space="preserve">CIZINATE 20 mg/40 mg tablets are available in </w:t>
      </w:r>
      <w:r w:rsidR="006A5E1A" w:rsidRPr="006A5E1A">
        <w:t>OPA</w:t>
      </w:r>
      <w:r w:rsidR="006A5E1A">
        <w:t>-Al-PVC/Al</w:t>
      </w:r>
      <w:r w:rsidRPr="001B65BA">
        <w:t xml:space="preserve"> blisters packs of 20, 30, 50 and 100 tablets.</w:t>
      </w:r>
    </w:p>
    <w:p w14:paraId="479DB58C" w14:textId="77777777" w:rsidR="0000699F" w:rsidRPr="001B65BA" w:rsidRDefault="0000699F" w:rsidP="00A25889">
      <w:r w:rsidRPr="001B65BA">
        <w:t xml:space="preserve">Not all pack sizes may be marketed in Australia </w:t>
      </w:r>
    </w:p>
    <w:p w14:paraId="084AA669" w14:textId="77777777" w:rsidR="00FD1F94" w:rsidRPr="001B65BA" w:rsidRDefault="00FD1F94" w:rsidP="00A25889">
      <w:pPr>
        <w:pStyle w:val="Heading2"/>
        <w:rPr>
          <w:lang w:val="en-AU"/>
        </w:rPr>
      </w:pPr>
      <w:r w:rsidRPr="001B65BA">
        <w:rPr>
          <w:lang w:val="en-AU"/>
        </w:rPr>
        <w:t>SPECIAL PRECAUTIONS FOR DISPOSAL</w:t>
      </w:r>
    </w:p>
    <w:p w14:paraId="32DEC8DC" w14:textId="77777777" w:rsidR="00DD6696" w:rsidRPr="001B65BA" w:rsidRDefault="00DD6696" w:rsidP="00A25889">
      <w:r w:rsidRPr="001B65BA">
        <w:t>In Australia, any unused medicine or waste material should be disposed of by taking to your local pharmacy.</w:t>
      </w:r>
    </w:p>
    <w:p w14:paraId="27CC7B09" w14:textId="77777777" w:rsidR="00FD1F94" w:rsidRPr="001B65BA" w:rsidRDefault="00FD1F94" w:rsidP="00A25889">
      <w:pPr>
        <w:pStyle w:val="Heading2"/>
        <w:rPr>
          <w:lang w:val="en-AU"/>
        </w:rPr>
      </w:pPr>
      <w:r w:rsidRPr="001B65BA">
        <w:rPr>
          <w:lang w:val="en-AU"/>
        </w:rPr>
        <w:t>PHYSICOCHEMICAL PROPERTIES</w:t>
      </w:r>
    </w:p>
    <w:p w14:paraId="6A98DD50" w14:textId="77777777" w:rsidR="00FD1F94" w:rsidRPr="001B65BA" w:rsidRDefault="00FD1F94" w:rsidP="00A25889">
      <w:pPr>
        <w:pStyle w:val="Heading3"/>
      </w:pPr>
      <w:r w:rsidRPr="001B65BA">
        <w:t>Chemical structure</w:t>
      </w:r>
    </w:p>
    <w:p w14:paraId="58368A8C" w14:textId="77777777" w:rsidR="008A14A4" w:rsidRPr="008A14A4" w:rsidRDefault="008A14A4" w:rsidP="00A25889">
      <w:pPr>
        <w:keepNext/>
        <w:spacing w:before="360" w:after="0"/>
        <w:jc w:val="left"/>
        <w:outlineLvl w:val="3"/>
        <w:rPr>
          <w:rFonts w:eastAsia="MS Gothic"/>
          <w:b/>
          <w:i/>
          <w:color w:val="auto"/>
          <w:kern w:val="32"/>
          <w:szCs w:val="28"/>
          <w:lang w:val="en-US"/>
        </w:rPr>
      </w:pPr>
      <w:bookmarkStart w:id="8" w:name="_Hlk504551231"/>
      <w:r w:rsidRPr="008A14A4">
        <w:rPr>
          <w:rFonts w:eastAsia="MS Gothic"/>
          <w:b/>
          <w:i/>
          <w:color w:val="auto"/>
          <w:kern w:val="32"/>
          <w:szCs w:val="28"/>
          <w:lang w:val="en-US"/>
        </w:rPr>
        <w:t>C</w:t>
      </w:r>
      <w:r w:rsidRPr="008A14A4">
        <w:rPr>
          <w:rStyle w:val="Heading4Char"/>
        </w:rPr>
        <w:t>innarizine</w:t>
      </w:r>
    </w:p>
    <w:bookmarkEnd w:id="8"/>
    <w:p w14:paraId="141647DC" w14:textId="77777777" w:rsidR="0000699F" w:rsidRPr="001B65BA" w:rsidRDefault="0000699F" w:rsidP="00A25889">
      <w:pPr>
        <w:tabs>
          <w:tab w:val="left" w:pos="2410"/>
        </w:tabs>
      </w:pPr>
      <w:r w:rsidRPr="001B65BA">
        <w:t xml:space="preserve">Chemical Name: </w:t>
      </w:r>
      <w:r w:rsidRPr="001B65BA">
        <w:tab/>
        <w:t>(</w:t>
      </w:r>
      <w:r w:rsidRPr="00224E9B">
        <w:rPr>
          <w:i/>
        </w:rPr>
        <w:t>E</w:t>
      </w:r>
      <w:r w:rsidRPr="001B65BA">
        <w:t>)-1-(Diphenylmethyl)-4-(3-phenylprop-2-enyl)piperazine</w:t>
      </w:r>
    </w:p>
    <w:p w14:paraId="35CF792C" w14:textId="77777777" w:rsidR="0000699F" w:rsidRPr="001B65BA" w:rsidRDefault="0000699F" w:rsidP="00BE2ABC">
      <w:pPr>
        <w:keepNext/>
        <w:tabs>
          <w:tab w:val="left" w:pos="2410"/>
        </w:tabs>
      </w:pPr>
      <w:r w:rsidRPr="001B65BA">
        <w:lastRenderedPageBreak/>
        <w:t xml:space="preserve">Structure: </w:t>
      </w:r>
    </w:p>
    <w:p w14:paraId="736853F0" w14:textId="79F0A242" w:rsidR="0000699F" w:rsidRPr="001B65BA" w:rsidRDefault="000D284B" w:rsidP="00A25889">
      <w:pPr>
        <w:tabs>
          <w:tab w:val="left" w:pos="2410"/>
        </w:tabs>
      </w:pPr>
      <w:r w:rsidRPr="001B65BA">
        <w:rPr>
          <w:noProof/>
          <w:lang w:eastAsia="en-AU"/>
        </w:rPr>
        <w:drawing>
          <wp:inline distT="0" distB="0" distL="0" distR="0" wp14:anchorId="0C90DDD7" wp14:editId="382837C7">
            <wp:extent cx="2733675" cy="13525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3675" cy="1352550"/>
                    </a:xfrm>
                    <a:prstGeom prst="rect">
                      <a:avLst/>
                    </a:prstGeom>
                    <a:noFill/>
                    <a:ln>
                      <a:noFill/>
                    </a:ln>
                  </pic:spPr>
                </pic:pic>
              </a:graphicData>
            </a:graphic>
          </wp:inline>
        </w:drawing>
      </w:r>
    </w:p>
    <w:p w14:paraId="04691EEB" w14:textId="77777777" w:rsidR="0000699F" w:rsidRPr="001B65BA" w:rsidRDefault="0000699F" w:rsidP="00A25889">
      <w:pPr>
        <w:tabs>
          <w:tab w:val="left" w:pos="2410"/>
        </w:tabs>
      </w:pPr>
      <w:r w:rsidRPr="001B65BA">
        <w:t xml:space="preserve">Molecular Formula: </w:t>
      </w:r>
      <w:r w:rsidRPr="001B65BA">
        <w:tab/>
        <w:t>C</w:t>
      </w:r>
      <w:r w:rsidRPr="001B65BA">
        <w:rPr>
          <w:vertAlign w:val="subscript"/>
        </w:rPr>
        <w:t>26</w:t>
      </w:r>
      <w:r w:rsidRPr="001B65BA">
        <w:t>H</w:t>
      </w:r>
      <w:r w:rsidRPr="001B65BA">
        <w:rPr>
          <w:vertAlign w:val="subscript"/>
        </w:rPr>
        <w:t>28</w:t>
      </w:r>
      <w:r w:rsidRPr="001B65BA">
        <w:t>N</w:t>
      </w:r>
      <w:r w:rsidRPr="001B65BA">
        <w:rPr>
          <w:vertAlign w:val="subscript"/>
        </w:rPr>
        <w:t>2</w:t>
      </w:r>
    </w:p>
    <w:p w14:paraId="4FD3D33E" w14:textId="77777777" w:rsidR="0000699F" w:rsidRPr="001B65BA" w:rsidRDefault="0000699F" w:rsidP="00A25889">
      <w:pPr>
        <w:tabs>
          <w:tab w:val="left" w:pos="2410"/>
        </w:tabs>
      </w:pPr>
      <w:r w:rsidRPr="001B65BA">
        <w:t xml:space="preserve">Molecular Weight: </w:t>
      </w:r>
      <w:r w:rsidRPr="001B65BA">
        <w:tab/>
        <w:t>368.5</w:t>
      </w:r>
    </w:p>
    <w:p w14:paraId="0C5BE25E" w14:textId="77777777" w:rsidR="0000699F" w:rsidRPr="001B65BA" w:rsidRDefault="0000699F" w:rsidP="00A25889">
      <w:pPr>
        <w:pStyle w:val="Heading4"/>
      </w:pPr>
      <w:r w:rsidRPr="001B65BA">
        <w:t>Dimenhydrinate</w:t>
      </w:r>
    </w:p>
    <w:p w14:paraId="3C07F8C1" w14:textId="77777777" w:rsidR="0000699F" w:rsidRPr="001B65BA" w:rsidRDefault="0000699F" w:rsidP="00A25889">
      <w:pPr>
        <w:tabs>
          <w:tab w:val="left" w:pos="2410"/>
        </w:tabs>
      </w:pPr>
      <w:r w:rsidRPr="001B65BA">
        <w:t xml:space="preserve">Chemical Name: </w:t>
      </w:r>
      <w:r w:rsidRPr="001B65BA">
        <w:tab/>
        <w:t>Diphenhydramine [2-(diphenylmethoxy)-</w:t>
      </w:r>
      <w:r w:rsidRPr="00224E9B">
        <w:rPr>
          <w:i/>
        </w:rPr>
        <w:t>N</w:t>
      </w:r>
      <w:r w:rsidRPr="001B65BA">
        <w:t>,</w:t>
      </w:r>
      <w:r w:rsidRPr="00224E9B">
        <w:rPr>
          <w:i/>
        </w:rPr>
        <w:t>N</w:t>
      </w:r>
      <w:r w:rsidRPr="001B65BA">
        <w:t>-dimethylethanamine] 8-chlorotheophylline (8-chloro-1,3-dimethyl-3,7-dihydro-1</w:t>
      </w:r>
      <w:r w:rsidRPr="00224E9B">
        <w:rPr>
          <w:i/>
        </w:rPr>
        <w:t>H</w:t>
      </w:r>
      <w:r w:rsidRPr="001B65BA">
        <w:t>-purine-2,6-dione)</w:t>
      </w:r>
    </w:p>
    <w:p w14:paraId="18DEDE54" w14:textId="77777777" w:rsidR="0000699F" w:rsidRPr="001B65BA" w:rsidRDefault="0000699F" w:rsidP="00A25889">
      <w:pPr>
        <w:keepNext/>
        <w:tabs>
          <w:tab w:val="left" w:pos="2410"/>
        </w:tabs>
      </w:pPr>
      <w:r w:rsidRPr="001B65BA">
        <w:t xml:space="preserve">Structure: </w:t>
      </w:r>
    </w:p>
    <w:p w14:paraId="39040AAB" w14:textId="19127C0D" w:rsidR="0000699F" w:rsidRPr="001B65BA" w:rsidRDefault="000D284B" w:rsidP="00A25889">
      <w:pPr>
        <w:tabs>
          <w:tab w:val="left" w:pos="2410"/>
        </w:tabs>
      </w:pPr>
      <w:r w:rsidRPr="001B65BA">
        <w:rPr>
          <w:noProof/>
          <w:lang w:eastAsia="en-AU"/>
        </w:rPr>
        <w:drawing>
          <wp:inline distT="0" distB="0" distL="0" distR="0" wp14:anchorId="2C9B3362" wp14:editId="364891EA">
            <wp:extent cx="4010025" cy="13430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0025" cy="1343025"/>
                    </a:xfrm>
                    <a:prstGeom prst="rect">
                      <a:avLst/>
                    </a:prstGeom>
                    <a:noFill/>
                    <a:ln>
                      <a:noFill/>
                    </a:ln>
                  </pic:spPr>
                </pic:pic>
              </a:graphicData>
            </a:graphic>
          </wp:inline>
        </w:drawing>
      </w:r>
    </w:p>
    <w:p w14:paraId="6B1A06E7" w14:textId="77777777" w:rsidR="0000699F" w:rsidRPr="001B65BA" w:rsidRDefault="0000699F" w:rsidP="00A25889">
      <w:pPr>
        <w:tabs>
          <w:tab w:val="left" w:pos="2410"/>
        </w:tabs>
      </w:pPr>
      <w:r w:rsidRPr="001B65BA">
        <w:t xml:space="preserve">Molecular Formula: </w:t>
      </w:r>
      <w:r w:rsidRPr="001B65BA">
        <w:tab/>
        <w:t>C</w:t>
      </w:r>
      <w:r w:rsidRPr="001B65BA">
        <w:rPr>
          <w:vertAlign w:val="subscript"/>
        </w:rPr>
        <w:t>24</w:t>
      </w:r>
      <w:r w:rsidRPr="001B65BA">
        <w:t>H</w:t>
      </w:r>
      <w:r w:rsidRPr="001B65BA">
        <w:rPr>
          <w:vertAlign w:val="subscript"/>
        </w:rPr>
        <w:t>28</w:t>
      </w:r>
      <w:r w:rsidRPr="001B65BA">
        <w:t>ClN</w:t>
      </w:r>
      <w:r w:rsidRPr="001B65BA">
        <w:rPr>
          <w:vertAlign w:val="subscript"/>
        </w:rPr>
        <w:t>5</w:t>
      </w:r>
      <w:r w:rsidRPr="001B65BA">
        <w:t>O</w:t>
      </w:r>
      <w:r w:rsidRPr="001B65BA">
        <w:rPr>
          <w:vertAlign w:val="subscript"/>
        </w:rPr>
        <w:t>3</w:t>
      </w:r>
    </w:p>
    <w:p w14:paraId="6087C261" w14:textId="77777777" w:rsidR="0000699F" w:rsidRPr="001B65BA" w:rsidRDefault="0000699F" w:rsidP="00A25889">
      <w:pPr>
        <w:tabs>
          <w:tab w:val="left" w:pos="2410"/>
        </w:tabs>
      </w:pPr>
      <w:r w:rsidRPr="001B65BA">
        <w:t xml:space="preserve">Molecular Weight: </w:t>
      </w:r>
      <w:r w:rsidRPr="001B65BA">
        <w:tab/>
        <w:t>470.0</w:t>
      </w:r>
    </w:p>
    <w:p w14:paraId="5338E3D2" w14:textId="77777777" w:rsidR="00FD1F94" w:rsidRPr="001B65BA" w:rsidRDefault="00FD1F94" w:rsidP="00A25889">
      <w:pPr>
        <w:pStyle w:val="Heading3"/>
      </w:pPr>
      <w:r w:rsidRPr="001B65BA">
        <w:t>CAS number</w:t>
      </w:r>
    </w:p>
    <w:p w14:paraId="4888CE4C" w14:textId="2852D680" w:rsidR="0000699F" w:rsidRPr="001B65BA" w:rsidRDefault="0000699F" w:rsidP="00A25889">
      <w:r w:rsidRPr="001B65BA">
        <w:t>Cinnarizine</w:t>
      </w:r>
      <w:r w:rsidR="00DD6696" w:rsidRPr="001B65BA">
        <w:t>:</w:t>
      </w:r>
      <w:r w:rsidRPr="001B65BA">
        <w:tab/>
        <w:t>298-57-7</w:t>
      </w:r>
    </w:p>
    <w:p w14:paraId="435F1FBD" w14:textId="0CFBA8AC" w:rsidR="0000699F" w:rsidRPr="001B65BA" w:rsidRDefault="0000699F" w:rsidP="00A25889">
      <w:pPr>
        <w:rPr>
          <w:b/>
        </w:rPr>
      </w:pPr>
      <w:r w:rsidRPr="001B65BA">
        <w:t>Dimenhydrinate</w:t>
      </w:r>
      <w:r w:rsidR="00DD6696" w:rsidRPr="001B65BA">
        <w:t xml:space="preserve">: </w:t>
      </w:r>
      <w:r w:rsidRPr="001B65BA">
        <w:t>523-87-5</w:t>
      </w:r>
    </w:p>
    <w:p w14:paraId="33515F3E" w14:textId="77777777" w:rsidR="00FD1F94" w:rsidRPr="001B65BA" w:rsidRDefault="00FD1F94" w:rsidP="00A25889">
      <w:pPr>
        <w:pStyle w:val="Heading1"/>
      </w:pPr>
      <w:r w:rsidRPr="001B65BA">
        <w:t>MEDICINE SCHEDULE (POISONS STANDARD)</w:t>
      </w:r>
    </w:p>
    <w:p w14:paraId="53BF8F3C" w14:textId="77777777" w:rsidR="005A4B60" w:rsidRPr="001B65BA" w:rsidRDefault="005A4B60" w:rsidP="00A25889">
      <w:r w:rsidRPr="001B65BA">
        <w:t>Schedule 4 – Prescription Only Medicine</w:t>
      </w:r>
    </w:p>
    <w:p w14:paraId="76E6D619" w14:textId="77777777" w:rsidR="00FD1F94" w:rsidRPr="001B65BA" w:rsidRDefault="00FD1F94" w:rsidP="00A25889">
      <w:pPr>
        <w:pStyle w:val="Heading1"/>
        <w:rPr>
          <w:lang w:val="en-AU"/>
        </w:rPr>
      </w:pPr>
      <w:r w:rsidRPr="001B65BA">
        <w:rPr>
          <w:lang w:val="en-AU"/>
        </w:rPr>
        <w:t>SPONSOR</w:t>
      </w:r>
    </w:p>
    <w:p w14:paraId="10B06D1A" w14:textId="77777777" w:rsidR="005A4B60" w:rsidRPr="001B65BA" w:rsidRDefault="005A4B60" w:rsidP="00A25889">
      <w:pPr>
        <w:spacing w:after="0"/>
      </w:pPr>
      <w:r w:rsidRPr="001B65BA">
        <w:t>Southern Cross Pharma Pty Ltd</w:t>
      </w:r>
    </w:p>
    <w:p w14:paraId="2E1C1002" w14:textId="4B657E84" w:rsidR="00822047" w:rsidRDefault="00822047" w:rsidP="00A25889">
      <w:pPr>
        <w:spacing w:before="0" w:after="0"/>
      </w:pPr>
      <w:bookmarkStart w:id="9" w:name="_Hlk508179524"/>
      <w:r>
        <w:t>Suite 5</w:t>
      </w:r>
      <w:r w:rsidR="008D604A">
        <w:t>/118</w:t>
      </w:r>
      <w:r>
        <w:t xml:space="preserve"> Church Street</w:t>
      </w:r>
    </w:p>
    <w:p w14:paraId="7BE87835" w14:textId="6AE85573" w:rsidR="00822047" w:rsidRDefault="00822047" w:rsidP="00A25889">
      <w:pPr>
        <w:spacing w:before="0" w:after="0"/>
      </w:pPr>
      <w:r>
        <w:t>Hawthorn</w:t>
      </w:r>
    </w:p>
    <w:p w14:paraId="6E22FCAF" w14:textId="2D70A58E" w:rsidR="00822047" w:rsidRPr="001B65BA" w:rsidRDefault="00822047" w:rsidP="00A25889">
      <w:pPr>
        <w:spacing w:before="0" w:after="0"/>
      </w:pPr>
      <w:r>
        <w:t>Victoria 3122</w:t>
      </w:r>
    </w:p>
    <w:p w14:paraId="54098ECB" w14:textId="77777777" w:rsidR="00FD1F94" w:rsidRPr="001B65BA" w:rsidRDefault="00FD1F94" w:rsidP="00A25889">
      <w:pPr>
        <w:pStyle w:val="Heading1"/>
        <w:rPr>
          <w:lang w:val="en-AU"/>
        </w:rPr>
      </w:pPr>
      <w:bookmarkStart w:id="10" w:name="page8"/>
      <w:bookmarkEnd w:id="9"/>
      <w:bookmarkEnd w:id="10"/>
      <w:r w:rsidRPr="001B65BA">
        <w:rPr>
          <w:lang w:val="en-AU"/>
        </w:rPr>
        <w:lastRenderedPageBreak/>
        <w:t>DATE OF FIRST APPROVAL</w:t>
      </w:r>
    </w:p>
    <w:p w14:paraId="0DB7F12B" w14:textId="56F1C7B7" w:rsidR="00FD1F94" w:rsidRPr="001B65BA" w:rsidRDefault="00343227" w:rsidP="00A25889">
      <w:r>
        <w:t>08/01/2019</w:t>
      </w:r>
    </w:p>
    <w:p w14:paraId="64ABB5EB" w14:textId="77777777" w:rsidR="00FD1F94" w:rsidRPr="001B65BA" w:rsidRDefault="00FD1F94" w:rsidP="00A25889">
      <w:pPr>
        <w:pStyle w:val="Heading1"/>
        <w:rPr>
          <w:lang w:val="en-AU"/>
        </w:rPr>
      </w:pPr>
      <w:r w:rsidRPr="001B65BA">
        <w:rPr>
          <w:lang w:val="en-AU"/>
        </w:rPr>
        <w:t>DATE OF REVISION</w:t>
      </w:r>
    </w:p>
    <w:p w14:paraId="2A6ED429" w14:textId="77777777" w:rsidR="00C43842" w:rsidRPr="001B65BA" w:rsidRDefault="0000699F" w:rsidP="00A25889">
      <w:r w:rsidRPr="001B65BA">
        <w:t>Not Applicable.</w:t>
      </w:r>
    </w:p>
    <w:p w14:paraId="6DFC8BEC" w14:textId="77777777" w:rsidR="00FD1F94" w:rsidRPr="001B65BA" w:rsidRDefault="00FD1F94" w:rsidP="00A25889"/>
    <w:sectPr w:rsidR="00FD1F94" w:rsidRPr="001B65BA" w:rsidSect="008A14A4">
      <w:headerReference w:type="even" r:id="rId11"/>
      <w:headerReference w:type="default" r:id="rId12"/>
      <w:footerReference w:type="even" r:id="rId13"/>
      <w:footerReference w:type="default" r:id="rId14"/>
      <w:headerReference w:type="first" r:id="rId15"/>
      <w:footerReference w:type="first" r:id="rId16"/>
      <w:pgSz w:w="11900" w:h="16838"/>
      <w:pgMar w:top="1440" w:right="1440" w:bottom="709" w:left="1300" w:header="0" w:footer="567" w:gutter="0"/>
      <w:cols w:space="0" w:equalWidth="0">
        <w:col w:w="9166"/>
      </w:cols>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6E1E3C" w16cid:durableId="1E11B69F"/>
  <w16cid:commentId w16cid:paraId="2A6DF047" w16cid:durableId="1E11B6A8"/>
  <w16cid:commentId w16cid:paraId="77B302A1" w16cid:durableId="1E1C4469"/>
  <w16cid:commentId w16cid:paraId="1FCA1FDC" w16cid:durableId="1E130097"/>
  <w16cid:commentId w16cid:paraId="4C4FBEA9" w16cid:durableId="1E11CC08"/>
  <w16cid:commentId w16cid:paraId="7E439BF5" w16cid:durableId="1E11CC39"/>
  <w16cid:commentId w16cid:paraId="7891FEF8" w16cid:durableId="1E11B824"/>
  <w16cid:commentId w16cid:paraId="6ADB4F07" w16cid:durableId="1E1C4024"/>
  <w16cid:commentId w16cid:paraId="67084327" w16cid:durableId="1E11C4D5"/>
  <w16cid:commentId w16cid:paraId="5C74798E" w16cid:durableId="1E11C58D"/>
  <w16cid:commentId w16cid:paraId="48D24BD1" w16cid:durableId="1E11C5FD"/>
  <w16cid:commentId w16cid:paraId="29075C22" w16cid:durableId="1E12D2A9"/>
  <w16cid:commentId w16cid:paraId="7067B453" w16cid:durableId="1E12D342"/>
  <w16cid:commentId w16cid:paraId="7F4FA38C" w16cid:durableId="1E1C4049"/>
  <w16cid:commentId w16cid:paraId="19F7401F" w16cid:durableId="1E12D39D"/>
  <w16cid:commentId w16cid:paraId="279896D4" w16cid:durableId="1E11CA30"/>
  <w16cid:commentId w16cid:paraId="33846BF1" w16cid:durableId="1E11CADD"/>
  <w16cid:commentId w16cid:paraId="38F7756D" w16cid:durableId="1E11CAFE"/>
  <w16cid:commentId w16cid:paraId="7187A8A2" w16cid:durableId="1E142553"/>
  <w16cid:commentId w16cid:paraId="52DB4148" w16cid:durableId="1E11CBA1"/>
  <w16cid:commentId w16cid:paraId="43ABF903" w16cid:durableId="1E105439"/>
  <w16cid:commentId w16cid:paraId="464EBDFF" w16cid:durableId="1E142448"/>
  <w16cid:commentId w16cid:paraId="124DE05C" w16cid:durableId="1E11C7F6"/>
  <w16cid:commentId w16cid:paraId="3FFC143E" w16cid:durableId="1E11C923"/>
  <w16cid:commentId w16cid:paraId="0C5F5FE7" w16cid:durableId="1E11C9AF"/>
  <w16cid:commentId w16cid:paraId="117E7B93" w16cid:durableId="1E10516A"/>
  <w16cid:commentId w16cid:paraId="649F9AC0" w16cid:durableId="1E11B6E3"/>
  <w16cid:commentId w16cid:paraId="64F1E79A" w16cid:durableId="1E11B6F1"/>
  <w16cid:commentId w16cid:paraId="7F89010F" w16cid:durableId="1E11B707"/>
  <w16cid:commentId w16cid:paraId="3855FB7D" w16cid:durableId="1E11B72E"/>
  <w16cid:commentId w16cid:paraId="0460A706" w16cid:durableId="1E11B5C8"/>
  <w16cid:commentId w16cid:paraId="20FC7F70" w16cid:durableId="1E11BC59"/>
  <w16cid:commentId w16cid:paraId="2D593E4C" w16cid:durableId="1E11C119"/>
  <w16cid:commentId w16cid:paraId="675352FF" w16cid:durableId="1E11B8C5"/>
  <w16cid:commentId w16cid:paraId="502D6089" w16cid:durableId="1E11B923"/>
  <w16cid:commentId w16cid:paraId="4D6901F4" w16cid:durableId="1E11BBAF"/>
  <w16cid:commentId w16cid:paraId="012D0476" w16cid:durableId="1E12D6AE"/>
  <w16cid:commentId w16cid:paraId="5DBB6E46" w16cid:durableId="1E12D6BE"/>
  <w16cid:commentId w16cid:paraId="47E9BD36" w16cid:durableId="1E1C3525"/>
  <w16cid:commentId w16cid:paraId="7EC3FCAA" w16cid:durableId="1E1C3526"/>
  <w16cid:commentId w16cid:paraId="20F6D2E4" w16cid:durableId="1E1C40BB"/>
  <w16cid:commentId w16cid:paraId="4459BC02" w16cid:durableId="1E12D72A"/>
  <w16cid:commentId w16cid:paraId="3CFF2E4F" w16cid:durableId="1E1C3528"/>
  <w16cid:commentId w16cid:paraId="5D9E7291" w16cid:durableId="1E11B799"/>
  <w16cid:commentId w16cid:paraId="1FDFCCE0" w16cid:durableId="1E4A34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28696" w14:textId="77777777" w:rsidR="00C4209C" w:rsidRDefault="00C4209C" w:rsidP="007F328B">
      <w:r>
        <w:separator/>
      </w:r>
    </w:p>
  </w:endnote>
  <w:endnote w:type="continuationSeparator" w:id="0">
    <w:p w14:paraId="7FB115CC" w14:textId="77777777" w:rsidR="00C4209C" w:rsidRDefault="00C4209C" w:rsidP="007F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A6D4" w14:textId="77777777" w:rsidR="003A5EEC" w:rsidRDefault="003A5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0AA79" w14:textId="77777777" w:rsidR="00AA0912" w:rsidRDefault="00AA0912" w:rsidP="0094461F">
    <w:pPr>
      <w:pStyle w:val="Footer"/>
      <w:rPr>
        <w:rFonts w:ascii="Times New Roman" w:hAnsi="Times New Roman"/>
        <w:sz w:val="20"/>
      </w:rPr>
    </w:pPr>
  </w:p>
  <w:p w14:paraId="51AE90DB" w14:textId="7E6A7373" w:rsidR="00AA0912" w:rsidRDefault="00AA0912" w:rsidP="0094461F">
    <w:pPr>
      <w:pStyle w:val="Footer"/>
      <w:rPr>
        <w:rFonts w:ascii="Times New Roman" w:hAnsi="Times New Roman"/>
        <w:b/>
        <w:bCs/>
        <w:sz w:val="20"/>
      </w:rPr>
    </w:pPr>
    <w:r>
      <w:rPr>
        <w:rFonts w:ascii="Times New Roman" w:hAnsi="Times New Roman"/>
        <w:sz w:val="20"/>
      </w:rPr>
      <w:t>CIZINATE</w:t>
    </w:r>
    <w:r w:rsidRPr="00896FE9">
      <w:rPr>
        <w:rFonts w:ascii="Times New Roman" w:hAnsi="Times New Roman"/>
        <w:sz w:val="20"/>
        <w:vertAlign w:val="superscript"/>
      </w:rPr>
      <w:t>®</w:t>
    </w:r>
    <w:r>
      <w:rPr>
        <w:rFonts w:ascii="Times New Roman" w:hAnsi="Times New Roman"/>
        <w:sz w:val="20"/>
      </w:rPr>
      <w:tab/>
      <w:t xml:space="preserve">Page </w:t>
    </w:r>
    <w:r>
      <w:rPr>
        <w:rFonts w:ascii="Times New Roman" w:hAnsi="Times New Roman"/>
        <w:b/>
        <w:bCs/>
        <w:sz w:val="20"/>
      </w:rPr>
      <w:fldChar w:fldCharType="begin"/>
    </w:r>
    <w:r>
      <w:rPr>
        <w:rFonts w:ascii="Times New Roman" w:hAnsi="Times New Roman"/>
        <w:b/>
        <w:bCs/>
        <w:sz w:val="20"/>
      </w:rPr>
      <w:instrText xml:space="preserve"> PAGE  \* Arabic  \* MERGEFORMAT </w:instrText>
    </w:r>
    <w:r>
      <w:rPr>
        <w:rFonts w:ascii="Times New Roman" w:hAnsi="Times New Roman"/>
        <w:b/>
        <w:bCs/>
        <w:sz w:val="20"/>
      </w:rPr>
      <w:fldChar w:fldCharType="separate"/>
    </w:r>
    <w:r w:rsidR="008504BA">
      <w:rPr>
        <w:rFonts w:ascii="Times New Roman" w:hAnsi="Times New Roman"/>
        <w:b/>
        <w:bCs/>
        <w:noProof/>
        <w:sz w:val="20"/>
      </w:rPr>
      <w:t>1</w:t>
    </w:r>
    <w:r>
      <w:rPr>
        <w:rFonts w:ascii="Times New Roman" w:hAnsi="Times New Roman"/>
        <w:b/>
        <w:bCs/>
        <w:sz w:val="20"/>
      </w:rPr>
      <w:fldChar w:fldCharType="end"/>
    </w:r>
    <w:r>
      <w:rPr>
        <w:rFonts w:ascii="Times New Roman" w:hAnsi="Times New Roman"/>
        <w:sz w:val="20"/>
      </w:rPr>
      <w:t xml:space="preserve"> of </w:t>
    </w:r>
    <w:r>
      <w:rPr>
        <w:rFonts w:ascii="Times New Roman" w:hAnsi="Times New Roman"/>
        <w:b/>
        <w:bCs/>
        <w:sz w:val="20"/>
      </w:rPr>
      <w:fldChar w:fldCharType="begin"/>
    </w:r>
    <w:r>
      <w:rPr>
        <w:rFonts w:ascii="Times New Roman" w:hAnsi="Times New Roman"/>
        <w:b/>
        <w:bCs/>
        <w:sz w:val="20"/>
      </w:rPr>
      <w:instrText xml:space="preserve"> NUMPAGES  \* Arabic  \* MERGEFORMAT </w:instrText>
    </w:r>
    <w:r>
      <w:rPr>
        <w:rFonts w:ascii="Times New Roman" w:hAnsi="Times New Roman"/>
        <w:b/>
        <w:bCs/>
        <w:sz w:val="20"/>
      </w:rPr>
      <w:fldChar w:fldCharType="separate"/>
    </w:r>
    <w:r w:rsidR="008504BA">
      <w:rPr>
        <w:rFonts w:ascii="Times New Roman" w:hAnsi="Times New Roman"/>
        <w:b/>
        <w:bCs/>
        <w:noProof/>
        <w:sz w:val="20"/>
      </w:rPr>
      <w:t>14</w:t>
    </w:r>
    <w:r>
      <w:rPr>
        <w:rFonts w:ascii="Times New Roman" w:hAnsi="Times New Roman"/>
        <w:b/>
        <w:bCs/>
        <w:sz w:val="20"/>
      </w:rPr>
      <w:fldChar w:fldCharType="end"/>
    </w:r>
  </w:p>
  <w:p w14:paraId="44B5CE51" w14:textId="3DF0DAA1" w:rsidR="00AA0912" w:rsidRPr="0094461F" w:rsidRDefault="003C36A8" w:rsidP="0094461F">
    <w:pPr>
      <w:tabs>
        <w:tab w:val="right" w:pos="8931"/>
      </w:tabs>
      <w:spacing w:before="0" w:after="0"/>
      <w:jc w:val="left"/>
      <w:rPr>
        <w:rFonts w:eastAsia="Times New Roman"/>
        <w:color w:val="auto"/>
        <w:sz w:val="20"/>
      </w:rPr>
    </w:pPr>
    <w:r>
      <w:rPr>
        <w:rFonts w:eastAsia="Times New Roman"/>
        <w:color w:val="auto"/>
        <w:sz w:val="20"/>
        <w:lang w:val="en-US"/>
      </w:rPr>
      <w:t>21</w:t>
    </w:r>
    <w:r w:rsidR="007D6C24">
      <w:rPr>
        <w:rFonts w:eastAsia="Times New Roman"/>
        <w:color w:val="auto"/>
        <w:sz w:val="20"/>
        <w:lang w:val="en-US"/>
      </w:rPr>
      <w:t xml:space="preserve"> December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8B894" w14:textId="77777777" w:rsidR="003A5EEC" w:rsidRDefault="003A5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7E99C" w14:textId="77777777" w:rsidR="00C4209C" w:rsidRDefault="00C4209C" w:rsidP="007F328B">
      <w:r>
        <w:separator/>
      </w:r>
    </w:p>
  </w:footnote>
  <w:footnote w:type="continuationSeparator" w:id="0">
    <w:p w14:paraId="2D065C50" w14:textId="77777777" w:rsidR="00C4209C" w:rsidRDefault="00C4209C" w:rsidP="007F3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E0EB6" w14:textId="77777777" w:rsidR="003A5EEC" w:rsidRDefault="003A5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3A9E" w14:textId="2A837329" w:rsidR="003A5EEC" w:rsidRDefault="003A5EEC">
    <w:pPr>
      <w:pStyle w:val="Header"/>
    </w:pPr>
  </w:p>
  <w:tbl>
    <w:tblPr>
      <w:tblStyle w:val="TableGrid"/>
      <w:tblW w:w="0" w:type="auto"/>
      <w:shd w:val="clear" w:color="auto" w:fill="E4F2E0"/>
      <w:tblLook w:val="04A0" w:firstRow="1" w:lastRow="0" w:firstColumn="1" w:lastColumn="0" w:noHBand="0" w:noVBand="1"/>
    </w:tblPr>
    <w:tblGrid>
      <w:gridCol w:w="8720"/>
    </w:tblGrid>
    <w:tr w:rsidR="003A5EEC" w:rsidRPr="002E7F61" w14:paraId="6E69F558" w14:textId="77777777" w:rsidTr="001361B8">
      <w:trPr>
        <w:trHeight w:val="590"/>
      </w:trPr>
      <w:tc>
        <w:tcPr>
          <w:tcW w:w="8720" w:type="dxa"/>
          <w:shd w:val="clear" w:color="auto" w:fill="E4F2E0"/>
        </w:tcPr>
        <w:p w14:paraId="539DF918" w14:textId="77777777" w:rsidR="003A5EEC" w:rsidRPr="002E7F61" w:rsidRDefault="003A5EEC" w:rsidP="003A5EEC">
          <w:pPr>
            <w:pStyle w:val="Footer"/>
            <w:rPr>
              <w:b/>
              <w:szCs w:val="18"/>
            </w:rPr>
          </w:pPr>
          <w:r w:rsidRPr="002E7F61">
            <w:rPr>
              <w:b/>
              <w:szCs w:val="18"/>
            </w:rPr>
            <w:t xml:space="preserve">Attachment 1: Product </w:t>
          </w:r>
          <w:r w:rsidRPr="00612750">
            <w:rPr>
              <w:b/>
              <w:szCs w:val="18"/>
            </w:rPr>
            <w:t>AusPAR CIZIGO/CIZINATE/CIZERE Cinnarizine/Dimenhydrinate Southern Cross Pharma Pty Ltd PM 2017-00806-1-1 FINAL 12 November 2019</w:t>
          </w:r>
          <w:r>
            <w:rPr>
              <w:b/>
              <w:szCs w:val="18"/>
            </w:rPr>
            <w:t xml:space="preserve">. </w:t>
          </w:r>
          <w:r w:rsidRPr="00FF2AA4">
            <w:rPr>
              <w:b/>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Cs w:val="18"/>
              </w:rPr>
              <w:t>https://www.tga.gov.au/product-information-pi</w:t>
            </w:r>
          </w:hyperlink>
          <w:r w:rsidRPr="00FF2AA4">
            <w:rPr>
              <w:b/>
              <w:szCs w:val="18"/>
              <w:u w:val="single"/>
            </w:rPr>
            <w:t>&gt;</w:t>
          </w:r>
        </w:p>
      </w:tc>
    </w:tr>
  </w:tbl>
  <w:p w14:paraId="0FE5A78A" w14:textId="77777777" w:rsidR="003A5EEC" w:rsidRDefault="003A5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9815" w14:textId="77777777" w:rsidR="003A5EEC" w:rsidRDefault="003A5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06B9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hybridMultilevel"/>
    <w:tmpl w:val="25E45D32"/>
    <w:lvl w:ilvl="0" w:tplc="B6E28AC0">
      <w:start w:val="15"/>
      <w:numFmt w:val="lowerLetter"/>
      <w:lvlText w:val="%1"/>
      <w:lvlJc w:val="left"/>
    </w:lvl>
    <w:lvl w:ilvl="1" w:tplc="8236D836">
      <w:start w:val="1"/>
      <w:numFmt w:val="bullet"/>
      <w:lvlText w:val=""/>
      <w:lvlJc w:val="left"/>
    </w:lvl>
    <w:lvl w:ilvl="2" w:tplc="0C0229C4">
      <w:start w:val="1"/>
      <w:numFmt w:val="bullet"/>
      <w:lvlText w:val=""/>
      <w:lvlJc w:val="left"/>
    </w:lvl>
    <w:lvl w:ilvl="3" w:tplc="D25480EA">
      <w:start w:val="1"/>
      <w:numFmt w:val="bullet"/>
      <w:lvlText w:val=""/>
      <w:lvlJc w:val="left"/>
    </w:lvl>
    <w:lvl w:ilvl="4" w:tplc="F1DE5522">
      <w:start w:val="1"/>
      <w:numFmt w:val="bullet"/>
      <w:lvlText w:val=""/>
      <w:lvlJc w:val="left"/>
    </w:lvl>
    <w:lvl w:ilvl="5" w:tplc="4C329BAA">
      <w:start w:val="1"/>
      <w:numFmt w:val="bullet"/>
      <w:lvlText w:val=""/>
      <w:lvlJc w:val="left"/>
    </w:lvl>
    <w:lvl w:ilvl="6" w:tplc="706410B2">
      <w:start w:val="1"/>
      <w:numFmt w:val="bullet"/>
      <w:lvlText w:val=""/>
      <w:lvlJc w:val="left"/>
    </w:lvl>
    <w:lvl w:ilvl="7" w:tplc="E5404BAC">
      <w:start w:val="1"/>
      <w:numFmt w:val="bullet"/>
      <w:lvlText w:val=""/>
      <w:lvlJc w:val="left"/>
    </w:lvl>
    <w:lvl w:ilvl="8" w:tplc="614E8096">
      <w:start w:val="1"/>
      <w:numFmt w:val="bullet"/>
      <w:lvlText w:val=""/>
      <w:lvlJc w:val="left"/>
    </w:lvl>
  </w:abstractNum>
  <w:abstractNum w:abstractNumId="2" w15:restartNumberingAfterBreak="0">
    <w:nsid w:val="00000004"/>
    <w:multiLevelType w:val="multilevel"/>
    <w:tmpl w:val="339C34D4"/>
    <w:lvl w:ilvl="0">
      <w:start w:val="1"/>
      <w:numFmt w:val="decimal"/>
      <w:lvlRestart w:val="0"/>
      <w:pStyle w:val="ListBulletLevel1"/>
      <w:lvlText w:val="%1."/>
      <w:lvlJc w:val="left"/>
      <w:pPr>
        <w:tabs>
          <w:tab w:val="num" w:pos="720"/>
        </w:tabs>
        <w:ind w:left="720" w:hanging="357"/>
      </w:pPr>
    </w:lvl>
    <w:lvl w:ilvl="1">
      <w:start w:val="1"/>
      <w:numFmt w:val="decimal"/>
      <w:lvlText w:val="%2."/>
      <w:lvlJc w:val="left"/>
      <w:pPr>
        <w:tabs>
          <w:tab w:val="num" w:pos="1083"/>
        </w:tabs>
        <w:ind w:left="1083" w:hanging="363"/>
      </w:pPr>
    </w:lvl>
    <w:lvl w:ilvl="2">
      <w:start w:val="1"/>
      <w:numFmt w:val="decimal"/>
      <w:lvlText w:val="%3."/>
      <w:lvlJc w:val="left"/>
      <w:pPr>
        <w:tabs>
          <w:tab w:val="num" w:pos="1440"/>
        </w:tabs>
        <w:ind w:left="1440" w:hanging="357"/>
      </w:pPr>
    </w:lvl>
    <w:lvl w:ilvl="3">
      <w:start w:val="1"/>
      <w:numFmt w:val="decimal"/>
      <w:lvlText w:val="%4."/>
      <w:lvlJc w:val="left"/>
      <w:pPr>
        <w:tabs>
          <w:tab w:val="num" w:pos="1803"/>
        </w:tabs>
        <w:ind w:left="1803" w:hanging="363"/>
      </w:pPr>
    </w:lvl>
    <w:lvl w:ilvl="4">
      <w:start w:val="1"/>
      <w:numFmt w:val="decimal"/>
      <w:lvlText w:val="%5."/>
      <w:lvlJc w:val="left"/>
      <w:pPr>
        <w:tabs>
          <w:tab w:val="num" w:pos="2160"/>
        </w:tabs>
        <w:ind w:left="2160" w:hanging="357"/>
      </w:pPr>
    </w:lvl>
    <w:lvl w:ilvl="5">
      <w:start w:val="1"/>
      <w:numFmt w:val="decimal"/>
      <w:lvlText w:val="%6."/>
      <w:lvlJc w:val="left"/>
      <w:pPr>
        <w:tabs>
          <w:tab w:val="num" w:pos="2523"/>
        </w:tabs>
        <w:ind w:left="2523" w:hanging="363"/>
      </w:pPr>
    </w:lvl>
    <w:lvl w:ilvl="6">
      <w:start w:val="1"/>
      <w:numFmt w:val="decimal"/>
      <w:lvlText w:val="%7."/>
      <w:lvlJc w:val="left"/>
      <w:pPr>
        <w:tabs>
          <w:tab w:val="num" w:pos="2880"/>
        </w:tabs>
        <w:ind w:left="2880" w:hanging="357"/>
      </w:pPr>
    </w:lvl>
    <w:lvl w:ilvl="7">
      <w:start w:val="1"/>
      <w:numFmt w:val="decimal"/>
      <w:lvlText w:val="%8."/>
      <w:lvlJc w:val="left"/>
      <w:pPr>
        <w:tabs>
          <w:tab w:val="num" w:pos="3243"/>
        </w:tabs>
        <w:ind w:left="3243" w:hanging="363"/>
      </w:pPr>
    </w:lvl>
    <w:lvl w:ilvl="8">
      <w:start w:val="1"/>
      <w:numFmt w:val="decimal"/>
      <w:lvlText w:val="%9."/>
      <w:lvlJc w:val="left"/>
      <w:pPr>
        <w:tabs>
          <w:tab w:val="num" w:pos="3600"/>
        </w:tabs>
        <w:ind w:left="3600" w:hanging="357"/>
      </w:pPr>
    </w:lvl>
  </w:abstractNum>
  <w:abstractNum w:abstractNumId="3" w15:restartNumberingAfterBreak="0">
    <w:nsid w:val="00000005"/>
    <w:multiLevelType w:val="hybridMultilevel"/>
    <w:tmpl w:val="431BD7B6"/>
    <w:lvl w:ilvl="0" w:tplc="27C4D28A">
      <w:start w:val="1"/>
      <w:numFmt w:val="bullet"/>
      <w:pStyle w:val="ListAlphabeticalLevel1"/>
      <w:lvlText w:val="·"/>
      <w:lvlJc w:val="left"/>
    </w:lvl>
    <w:lvl w:ilvl="1" w:tplc="A0A2E528">
      <w:start w:val="1"/>
      <w:numFmt w:val="bullet"/>
      <w:lvlText w:val=""/>
      <w:lvlJc w:val="left"/>
    </w:lvl>
    <w:lvl w:ilvl="2" w:tplc="EB0CB4EA">
      <w:start w:val="1"/>
      <w:numFmt w:val="bullet"/>
      <w:lvlText w:val=""/>
      <w:lvlJc w:val="left"/>
    </w:lvl>
    <w:lvl w:ilvl="3" w:tplc="0464BB58">
      <w:start w:val="1"/>
      <w:numFmt w:val="bullet"/>
      <w:lvlText w:val=""/>
      <w:lvlJc w:val="left"/>
    </w:lvl>
    <w:lvl w:ilvl="4" w:tplc="D8DAA89C">
      <w:start w:val="1"/>
      <w:numFmt w:val="bullet"/>
      <w:lvlText w:val=""/>
      <w:lvlJc w:val="left"/>
    </w:lvl>
    <w:lvl w:ilvl="5" w:tplc="DE68C85A">
      <w:start w:val="1"/>
      <w:numFmt w:val="bullet"/>
      <w:lvlText w:val=""/>
      <w:lvlJc w:val="left"/>
    </w:lvl>
    <w:lvl w:ilvl="6" w:tplc="B5C28646">
      <w:start w:val="1"/>
      <w:numFmt w:val="bullet"/>
      <w:lvlText w:val=""/>
      <w:lvlJc w:val="left"/>
    </w:lvl>
    <w:lvl w:ilvl="7" w:tplc="8B48DA58">
      <w:start w:val="1"/>
      <w:numFmt w:val="bullet"/>
      <w:lvlText w:val=""/>
      <w:lvlJc w:val="left"/>
    </w:lvl>
    <w:lvl w:ilvl="8" w:tplc="EC0E68B6">
      <w:start w:val="1"/>
      <w:numFmt w:val="bullet"/>
      <w:lvlText w:val=""/>
      <w:lvlJc w:val="left"/>
    </w:lvl>
  </w:abstractNum>
  <w:abstractNum w:abstractNumId="4" w15:restartNumberingAfterBreak="0">
    <w:nsid w:val="00000006"/>
    <w:multiLevelType w:val="hybridMultilevel"/>
    <w:tmpl w:val="3F2DBA30"/>
    <w:lvl w:ilvl="0" w:tplc="7640FF12">
      <w:start w:val="1"/>
      <w:numFmt w:val="bullet"/>
      <w:pStyle w:val="ListNumbered"/>
      <w:lvlText w:val="·"/>
      <w:lvlJc w:val="left"/>
    </w:lvl>
    <w:lvl w:ilvl="1" w:tplc="F0663B92">
      <w:start w:val="1"/>
      <w:numFmt w:val="bullet"/>
      <w:lvlText w:val=""/>
      <w:lvlJc w:val="left"/>
    </w:lvl>
    <w:lvl w:ilvl="2" w:tplc="DFB49508">
      <w:start w:val="1"/>
      <w:numFmt w:val="bullet"/>
      <w:lvlText w:val=""/>
      <w:lvlJc w:val="left"/>
    </w:lvl>
    <w:lvl w:ilvl="3" w:tplc="DD4E7362">
      <w:start w:val="1"/>
      <w:numFmt w:val="bullet"/>
      <w:lvlText w:val=""/>
      <w:lvlJc w:val="left"/>
    </w:lvl>
    <w:lvl w:ilvl="4" w:tplc="D4C40152">
      <w:start w:val="1"/>
      <w:numFmt w:val="bullet"/>
      <w:lvlText w:val=""/>
      <w:lvlJc w:val="left"/>
    </w:lvl>
    <w:lvl w:ilvl="5" w:tplc="1F8EDA80">
      <w:start w:val="1"/>
      <w:numFmt w:val="bullet"/>
      <w:lvlText w:val=""/>
      <w:lvlJc w:val="left"/>
    </w:lvl>
    <w:lvl w:ilvl="6" w:tplc="FF3E95F2">
      <w:start w:val="1"/>
      <w:numFmt w:val="bullet"/>
      <w:lvlText w:val=""/>
      <w:lvlJc w:val="left"/>
    </w:lvl>
    <w:lvl w:ilvl="7" w:tplc="04547A80">
      <w:start w:val="1"/>
      <w:numFmt w:val="bullet"/>
      <w:lvlText w:val=""/>
      <w:lvlJc w:val="left"/>
    </w:lvl>
    <w:lvl w:ilvl="8" w:tplc="2188B5BA">
      <w:start w:val="1"/>
      <w:numFmt w:val="bullet"/>
      <w:lvlText w:val=""/>
      <w:lvlJc w:val="left"/>
    </w:lvl>
  </w:abstractNum>
  <w:abstractNum w:abstractNumId="5" w15:restartNumberingAfterBreak="0">
    <w:nsid w:val="00000008"/>
    <w:multiLevelType w:val="multilevel"/>
    <w:tmpl w:val="9458800E"/>
    <w:lvl w:ilvl="0">
      <w:start w:val="1"/>
      <w:numFmt w:val="bullet"/>
      <w:lvlRestart w:val="0"/>
      <w:pStyle w:val="ListAlphabetical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6" w15:restartNumberingAfterBreak="0">
    <w:nsid w:val="00000009"/>
    <w:multiLevelType w:val="hybridMultilevel"/>
    <w:tmpl w:val="62BBD95A"/>
    <w:lvl w:ilvl="0" w:tplc="4A585EE2">
      <w:start w:val="1"/>
      <w:numFmt w:val="bullet"/>
      <w:pStyle w:val="ListBullet"/>
      <w:lvlText w:val="·"/>
      <w:lvlJc w:val="left"/>
    </w:lvl>
    <w:lvl w:ilvl="1" w:tplc="5ECC0B9E">
      <w:start w:val="1"/>
      <w:numFmt w:val="bullet"/>
      <w:lvlText w:val=""/>
      <w:lvlJc w:val="left"/>
    </w:lvl>
    <w:lvl w:ilvl="2" w:tplc="09F424FA">
      <w:start w:val="1"/>
      <w:numFmt w:val="bullet"/>
      <w:lvlText w:val=""/>
      <w:lvlJc w:val="left"/>
    </w:lvl>
    <w:lvl w:ilvl="3" w:tplc="F24E465A">
      <w:start w:val="1"/>
      <w:numFmt w:val="bullet"/>
      <w:lvlText w:val=""/>
      <w:lvlJc w:val="left"/>
    </w:lvl>
    <w:lvl w:ilvl="4" w:tplc="4C70E270">
      <w:start w:val="1"/>
      <w:numFmt w:val="bullet"/>
      <w:lvlText w:val=""/>
      <w:lvlJc w:val="left"/>
    </w:lvl>
    <w:lvl w:ilvl="5" w:tplc="A60813A4">
      <w:start w:val="1"/>
      <w:numFmt w:val="bullet"/>
      <w:lvlText w:val=""/>
      <w:lvlJc w:val="left"/>
    </w:lvl>
    <w:lvl w:ilvl="6" w:tplc="C49E8D78">
      <w:start w:val="1"/>
      <w:numFmt w:val="bullet"/>
      <w:lvlText w:val=""/>
      <w:lvlJc w:val="left"/>
    </w:lvl>
    <w:lvl w:ilvl="7" w:tplc="D1CC0304">
      <w:start w:val="1"/>
      <w:numFmt w:val="bullet"/>
      <w:lvlText w:val=""/>
      <w:lvlJc w:val="left"/>
    </w:lvl>
    <w:lvl w:ilvl="8" w:tplc="223014B2">
      <w:start w:val="1"/>
      <w:numFmt w:val="bullet"/>
      <w:lvlText w:val=""/>
      <w:lvlJc w:val="left"/>
    </w:lvl>
  </w:abstractNum>
  <w:abstractNum w:abstractNumId="7" w15:restartNumberingAfterBreak="0">
    <w:nsid w:val="0000000E"/>
    <w:multiLevelType w:val="hybridMultilevel"/>
    <w:tmpl w:val="2443A858"/>
    <w:lvl w:ilvl="0" w:tplc="64F21462">
      <w:start w:val="1"/>
      <w:numFmt w:val="bullet"/>
      <w:lvlText w:val="·"/>
      <w:lvlJc w:val="left"/>
    </w:lvl>
    <w:lvl w:ilvl="1" w:tplc="4D785742">
      <w:start w:val="1"/>
      <w:numFmt w:val="bullet"/>
      <w:lvlText w:val=""/>
      <w:lvlJc w:val="left"/>
    </w:lvl>
    <w:lvl w:ilvl="2" w:tplc="10782B4A">
      <w:start w:val="1"/>
      <w:numFmt w:val="bullet"/>
      <w:lvlText w:val=""/>
      <w:lvlJc w:val="left"/>
    </w:lvl>
    <w:lvl w:ilvl="3" w:tplc="0C50DBCC">
      <w:start w:val="1"/>
      <w:numFmt w:val="bullet"/>
      <w:lvlText w:val=""/>
      <w:lvlJc w:val="left"/>
    </w:lvl>
    <w:lvl w:ilvl="4" w:tplc="C33447D6">
      <w:start w:val="1"/>
      <w:numFmt w:val="bullet"/>
      <w:lvlText w:val=""/>
      <w:lvlJc w:val="left"/>
    </w:lvl>
    <w:lvl w:ilvl="5" w:tplc="40F8C4BA">
      <w:start w:val="1"/>
      <w:numFmt w:val="bullet"/>
      <w:lvlText w:val=""/>
      <w:lvlJc w:val="left"/>
    </w:lvl>
    <w:lvl w:ilvl="6" w:tplc="B4468794">
      <w:start w:val="1"/>
      <w:numFmt w:val="bullet"/>
      <w:lvlText w:val=""/>
      <w:lvlJc w:val="left"/>
    </w:lvl>
    <w:lvl w:ilvl="7" w:tplc="E2CA0AE0">
      <w:start w:val="1"/>
      <w:numFmt w:val="bullet"/>
      <w:lvlText w:val=""/>
      <w:lvlJc w:val="left"/>
    </w:lvl>
    <w:lvl w:ilvl="8" w:tplc="B860E68C">
      <w:start w:val="1"/>
      <w:numFmt w:val="bullet"/>
      <w:lvlText w:val=""/>
      <w:lvlJc w:val="left"/>
    </w:lvl>
  </w:abstractNum>
  <w:abstractNum w:abstractNumId="8" w15:restartNumberingAfterBreak="0">
    <w:nsid w:val="00000010"/>
    <w:multiLevelType w:val="multilevel"/>
    <w:tmpl w:val="C658B390"/>
    <w:lvl w:ilvl="0">
      <w:start w:val="1"/>
      <w:numFmt w:val="bullet"/>
      <w:lvlRestart w:val="0"/>
      <w:pStyle w:val="ListBullet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9" w15:restartNumberingAfterBreak="0">
    <w:nsid w:val="00C52498"/>
    <w:multiLevelType w:val="hybridMultilevel"/>
    <w:tmpl w:val="8B689B62"/>
    <w:lvl w:ilvl="0" w:tplc="0B4261B4">
      <w:numFmt w:val="bullet"/>
      <w:lvlText w:val="-"/>
      <w:lvlJc w:val="left"/>
      <w:pPr>
        <w:ind w:left="360" w:hanging="360"/>
      </w:pPr>
      <w:rPr>
        <w:rFonts w:ascii="Calibri" w:eastAsia="Calibri" w:hAnsi="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04166B63"/>
    <w:multiLevelType w:val="multilevel"/>
    <w:tmpl w:val="E1980316"/>
    <w:lvl w:ilvl="0">
      <w:start w:val="1"/>
      <w:numFmt w:val="bullet"/>
      <w:lvlText w:val=""/>
      <w:lvlJc w:val="left"/>
      <w:pPr>
        <w:tabs>
          <w:tab w:val="num" w:pos="680"/>
        </w:tabs>
        <w:ind w:left="680" w:hanging="680"/>
      </w:pPr>
      <w:rPr>
        <w:rFonts w:ascii="Symbol" w:hAnsi="Symbol" w:hint="default"/>
      </w:rPr>
    </w:lvl>
    <w:lvl w:ilvl="1">
      <w:start w:val="1"/>
      <w:numFmt w:val="bullet"/>
      <w:lvlText w:val=""/>
      <w:lvlJc w:val="left"/>
      <w:pPr>
        <w:tabs>
          <w:tab w:val="num" w:pos="680"/>
        </w:tabs>
        <w:ind w:left="680" w:hanging="680"/>
      </w:pPr>
      <w:rPr>
        <w:rFonts w:ascii="Symbol" w:hAnsi="Symbol" w:hint="default"/>
      </w:rPr>
    </w:lvl>
    <w:lvl w:ilvl="2">
      <w:start w:val="1"/>
      <w:numFmt w:val="decimal"/>
      <w:lvlText w:val="%1.%2.%3"/>
      <w:lvlJc w:val="left"/>
      <w:pPr>
        <w:tabs>
          <w:tab w:val="num" w:pos="680"/>
        </w:tabs>
        <w:ind w:left="680" w:hanging="680"/>
      </w:pPr>
    </w:lvl>
    <w:lvl w:ilvl="3">
      <w:start w:val="1"/>
      <w:numFmt w:val="decimal"/>
      <w:lvlText w:val="%1.%2.%3.%4"/>
      <w:lvlJc w:val="left"/>
      <w:pPr>
        <w:tabs>
          <w:tab w:val="num" w:pos="862"/>
        </w:tabs>
        <w:ind w:left="862" w:hanging="862"/>
      </w:pPr>
    </w:lvl>
    <w:lvl w:ilvl="4">
      <w:start w:val="1"/>
      <w:numFmt w:val="decimal"/>
      <w:lvlText w:val="%1.%2.%3.%4.%5"/>
      <w:lvlJc w:val="left"/>
      <w:pPr>
        <w:tabs>
          <w:tab w:val="num" w:pos="1009"/>
        </w:tabs>
        <w:ind w:left="1009" w:hanging="1009"/>
      </w:pPr>
    </w:lvl>
    <w:lvl w:ilvl="5">
      <w:start w:val="1"/>
      <w:numFmt w:val="decimal"/>
      <w:lvlText w:val="%1.%2.%3.%4.%5.%6"/>
      <w:lvlJc w:val="left"/>
      <w:pPr>
        <w:tabs>
          <w:tab w:val="num" w:pos="1151"/>
        </w:tabs>
        <w:ind w:left="1151" w:hanging="1151"/>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11" w15:restartNumberingAfterBreak="0">
    <w:nsid w:val="0C0268D4"/>
    <w:multiLevelType w:val="multilevel"/>
    <w:tmpl w:val="4E60506C"/>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12" w15:restartNumberingAfterBreak="0">
    <w:nsid w:val="0E563DE3"/>
    <w:multiLevelType w:val="multilevel"/>
    <w:tmpl w:val="EA961A4C"/>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13" w15:restartNumberingAfterBreak="0">
    <w:nsid w:val="13CF1C02"/>
    <w:multiLevelType w:val="multilevel"/>
    <w:tmpl w:val="EC448D7A"/>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452356F"/>
    <w:multiLevelType w:val="hybridMultilevel"/>
    <w:tmpl w:val="65D2B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C41614"/>
    <w:multiLevelType w:val="multilevel"/>
    <w:tmpl w:val="56767712"/>
    <w:lvl w:ilvl="0">
      <w:start w:val="1"/>
      <w:numFmt w:val="decimal"/>
      <w:lvlRestart w:val="0"/>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16" w15:restartNumberingAfterBreak="0">
    <w:nsid w:val="2E4D086B"/>
    <w:multiLevelType w:val="multilevel"/>
    <w:tmpl w:val="98FEE14A"/>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7" w15:restartNumberingAfterBreak="0">
    <w:nsid w:val="36A76F60"/>
    <w:multiLevelType w:val="multilevel"/>
    <w:tmpl w:val="C71ABB6C"/>
    <w:lvl w:ilvl="0">
      <w:start w:val="1"/>
      <w:numFmt w:val="bullet"/>
      <w:lvlRestart w:val="0"/>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8" w15:restartNumberingAfterBreak="0">
    <w:nsid w:val="3845742A"/>
    <w:multiLevelType w:val="hybridMultilevel"/>
    <w:tmpl w:val="A3A0C99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8B4D5B"/>
    <w:multiLevelType w:val="hybridMultilevel"/>
    <w:tmpl w:val="AC0E0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050E59"/>
    <w:multiLevelType w:val="hybridMultilevel"/>
    <w:tmpl w:val="3F82B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CF123B"/>
    <w:multiLevelType w:val="hybridMultilevel"/>
    <w:tmpl w:val="8E0E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841004"/>
    <w:multiLevelType w:val="hybridMultilevel"/>
    <w:tmpl w:val="541AB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225032"/>
    <w:multiLevelType w:val="hybridMultilevel"/>
    <w:tmpl w:val="87D8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D12FDF"/>
    <w:multiLevelType w:val="multilevel"/>
    <w:tmpl w:val="53D81518"/>
    <w:name w:val="LT_Heading"/>
    <w:lvl w:ilvl="0">
      <w:start w:val="1"/>
      <w:numFmt w:val="decimal"/>
      <w:lvlRestart w:val="0"/>
      <w:lvlText w:val="%1"/>
      <w:lvlJc w:val="left"/>
      <w:pPr>
        <w:tabs>
          <w:tab w:val="num" w:pos="680"/>
        </w:tabs>
        <w:ind w:left="680" w:hanging="680"/>
      </w:pPr>
    </w:lvl>
    <w:lvl w:ilvl="1">
      <w:start w:val="1"/>
      <w:numFmt w:val="bullet"/>
      <w:lvlText w:val=""/>
      <w:lvlJc w:val="left"/>
      <w:pPr>
        <w:tabs>
          <w:tab w:val="num" w:pos="680"/>
        </w:tabs>
        <w:ind w:left="680" w:hanging="680"/>
      </w:pPr>
      <w:rPr>
        <w:rFonts w:ascii="Symbol" w:hAnsi="Symbol" w:hint="default"/>
      </w:rPr>
    </w:lvl>
    <w:lvl w:ilvl="2">
      <w:start w:val="1"/>
      <w:numFmt w:val="decimal"/>
      <w:lvlText w:val="%1.%2.%3"/>
      <w:lvlJc w:val="left"/>
      <w:pPr>
        <w:tabs>
          <w:tab w:val="num" w:pos="680"/>
        </w:tabs>
        <w:ind w:left="680" w:hanging="680"/>
      </w:pPr>
    </w:lvl>
    <w:lvl w:ilvl="3">
      <w:start w:val="1"/>
      <w:numFmt w:val="decimal"/>
      <w:lvlText w:val="%1.%2.%3.%4"/>
      <w:lvlJc w:val="left"/>
      <w:pPr>
        <w:tabs>
          <w:tab w:val="num" w:pos="862"/>
        </w:tabs>
        <w:ind w:left="862" w:hanging="862"/>
      </w:pPr>
    </w:lvl>
    <w:lvl w:ilvl="4">
      <w:start w:val="1"/>
      <w:numFmt w:val="decimal"/>
      <w:lvlText w:val="%1.%2.%3.%4.%5"/>
      <w:lvlJc w:val="left"/>
      <w:pPr>
        <w:tabs>
          <w:tab w:val="num" w:pos="1009"/>
        </w:tabs>
        <w:ind w:left="1009" w:hanging="1009"/>
      </w:pPr>
    </w:lvl>
    <w:lvl w:ilvl="5">
      <w:start w:val="1"/>
      <w:numFmt w:val="decimal"/>
      <w:lvlText w:val="%1.%2.%3.%4.%5.%6"/>
      <w:lvlJc w:val="left"/>
      <w:pPr>
        <w:tabs>
          <w:tab w:val="num" w:pos="1151"/>
        </w:tabs>
        <w:ind w:left="1151" w:hanging="1151"/>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25" w15:restartNumberingAfterBreak="0">
    <w:nsid w:val="61A42F33"/>
    <w:multiLevelType w:val="multilevel"/>
    <w:tmpl w:val="E1980316"/>
    <w:name w:val="LT_Heading2"/>
    <w:lvl w:ilvl="0">
      <w:start w:val="1"/>
      <w:numFmt w:val="bullet"/>
      <w:lvlText w:val=""/>
      <w:lvlJc w:val="left"/>
      <w:pPr>
        <w:tabs>
          <w:tab w:val="num" w:pos="680"/>
        </w:tabs>
        <w:ind w:left="680" w:hanging="680"/>
      </w:pPr>
      <w:rPr>
        <w:rFonts w:ascii="Symbol" w:hAnsi="Symbol" w:hint="default"/>
      </w:rPr>
    </w:lvl>
    <w:lvl w:ilvl="1">
      <w:start w:val="1"/>
      <w:numFmt w:val="bullet"/>
      <w:lvlText w:val=""/>
      <w:lvlJc w:val="left"/>
      <w:pPr>
        <w:tabs>
          <w:tab w:val="num" w:pos="680"/>
        </w:tabs>
        <w:ind w:left="680" w:hanging="680"/>
      </w:pPr>
      <w:rPr>
        <w:rFonts w:ascii="Symbol" w:hAnsi="Symbol" w:hint="default"/>
      </w:rPr>
    </w:lvl>
    <w:lvl w:ilvl="2">
      <w:start w:val="1"/>
      <w:numFmt w:val="decimal"/>
      <w:lvlText w:val="%1.%2.%3"/>
      <w:lvlJc w:val="left"/>
      <w:pPr>
        <w:tabs>
          <w:tab w:val="num" w:pos="680"/>
        </w:tabs>
        <w:ind w:left="680" w:hanging="680"/>
      </w:pPr>
    </w:lvl>
    <w:lvl w:ilvl="3">
      <w:start w:val="1"/>
      <w:numFmt w:val="decimal"/>
      <w:lvlText w:val="%1.%2.%3.%4"/>
      <w:lvlJc w:val="left"/>
      <w:pPr>
        <w:tabs>
          <w:tab w:val="num" w:pos="862"/>
        </w:tabs>
        <w:ind w:left="862" w:hanging="862"/>
      </w:pPr>
    </w:lvl>
    <w:lvl w:ilvl="4">
      <w:start w:val="1"/>
      <w:numFmt w:val="decimal"/>
      <w:lvlText w:val="%1.%2.%3.%4.%5"/>
      <w:lvlJc w:val="left"/>
      <w:pPr>
        <w:tabs>
          <w:tab w:val="num" w:pos="1009"/>
        </w:tabs>
        <w:ind w:left="1009" w:hanging="1009"/>
      </w:pPr>
    </w:lvl>
    <w:lvl w:ilvl="5">
      <w:start w:val="1"/>
      <w:numFmt w:val="decimal"/>
      <w:lvlText w:val="%1.%2.%3.%4.%5.%6"/>
      <w:lvlJc w:val="left"/>
      <w:pPr>
        <w:tabs>
          <w:tab w:val="num" w:pos="1151"/>
        </w:tabs>
        <w:ind w:left="1151" w:hanging="1151"/>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26" w15:restartNumberingAfterBreak="0">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97533D"/>
    <w:multiLevelType w:val="hybridMultilevel"/>
    <w:tmpl w:val="2F60E19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CE414F"/>
    <w:multiLevelType w:val="hybridMultilevel"/>
    <w:tmpl w:val="99F61858"/>
    <w:lvl w:ilvl="0" w:tplc="ED465E08">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B6361D2"/>
    <w:multiLevelType w:val="hybridMultilevel"/>
    <w:tmpl w:val="1C96E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6C59A9"/>
    <w:multiLevelType w:val="multilevel"/>
    <w:tmpl w:val="5B240ADE"/>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31" w15:restartNumberingAfterBreak="0">
    <w:nsid w:val="7F2C7FD3"/>
    <w:multiLevelType w:val="hybridMultilevel"/>
    <w:tmpl w:val="86FC11B2"/>
    <w:lvl w:ilvl="0" w:tplc="1382ADE4">
      <w:numFmt w:val="bullet"/>
      <w:lvlText w:val="•"/>
      <w:lvlJc w:val="left"/>
      <w:pPr>
        <w:ind w:left="1080" w:hanging="72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6"/>
  </w:num>
  <w:num w:numId="19">
    <w:abstractNumId w:val="16"/>
  </w:num>
  <w:num w:numId="20">
    <w:abstractNumId w:val="15"/>
  </w:num>
  <w:num w:numId="21">
    <w:abstractNumId w:val="12"/>
  </w:num>
  <w:num w:numId="22">
    <w:abstractNumId w:val="0"/>
  </w:num>
  <w:num w:numId="23">
    <w:abstractNumId w:val="30"/>
  </w:num>
  <w:num w:numId="24">
    <w:abstractNumId w:val="17"/>
  </w:num>
  <w:num w:numId="25">
    <w:abstractNumId w:val="28"/>
  </w:num>
  <w:num w:numId="26">
    <w:abstractNumId w:val="19"/>
  </w:num>
  <w:num w:numId="27">
    <w:abstractNumId w:val="23"/>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num>
  <w:num w:numId="31">
    <w:abstractNumId w:val="11"/>
  </w:num>
  <w:num w:numId="32">
    <w:abstractNumId w:val="21"/>
  </w:num>
  <w:num w:numId="33">
    <w:abstractNumId w:val="24"/>
  </w:num>
  <w:num w:numId="34">
    <w:abstractNumId w:val="10"/>
  </w:num>
  <w:num w:numId="35">
    <w:abstractNumId w:val="25"/>
  </w:num>
  <w:num w:numId="36">
    <w:abstractNumId w:val="31"/>
  </w:num>
  <w:num w:numId="37">
    <w:abstractNumId w:val="27"/>
  </w:num>
  <w:num w:numId="38">
    <w:abstractNumId w:val="18"/>
  </w:num>
  <w:num w:numId="39">
    <w:abstractNumId w:val="22"/>
  </w:num>
  <w:num w:numId="40">
    <w:abstractNumId w:val="20"/>
  </w:num>
  <w:num w:numId="41">
    <w:abstractNumId w:val="14"/>
  </w:num>
  <w:num w:numId="42">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0" w:nlCheck="1" w:checkStyle="0"/>
  <w:activeWritingStyle w:appName="MSWord" w:lang="en-AU" w:vendorID="64" w:dllVersion="0" w:nlCheck="1" w:checkStyle="0"/>
  <w:activeWritingStyle w:appName="MSWord" w:lang="en-AU" w:vendorID="64" w:dllVersion="6" w:nlCheck="1" w:checkStyle="1"/>
  <w:activeWritingStyle w:appName="MSWord" w:lang="en-US" w:vendorID="64" w:dllVersion="6" w:nlCheck="1" w:checkStyle="1"/>
  <w:activeWritingStyle w:appName="MSWord" w:lang="en-AU" w:vendorID="64" w:dllVersion="131078" w:nlCheck="1" w:checkStyle="0"/>
  <w:activeWritingStyle w:appName="MSWord" w:lang="en-US" w:vendorID="64" w:dllVersion="131078" w:nlCheck="1" w:checkStyle="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3A"/>
    <w:rsid w:val="0000699F"/>
    <w:rsid w:val="00011959"/>
    <w:rsid w:val="0004689E"/>
    <w:rsid w:val="000545E1"/>
    <w:rsid w:val="0006005C"/>
    <w:rsid w:val="00075240"/>
    <w:rsid w:val="0009111A"/>
    <w:rsid w:val="000D284B"/>
    <w:rsid w:val="000F2667"/>
    <w:rsid w:val="0010765E"/>
    <w:rsid w:val="00116DCB"/>
    <w:rsid w:val="0012531D"/>
    <w:rsid w:val="00155519"/>
    <w:rsid w:val="001B65BA"/>
    <w:rsid w:val="00224E9B"/>
    <w:rsid w:val="00232A77"/>
    <w:rsid w:val="00235B9E"/>
    <w:rsid w:val="0026227E"/>
    <w:rsid w:val="00277F37"/>
    <w:rsid w:val="00300DF8"/>
    <w:rsid w:val="00320C98"/>
    <w:rsid w:val="00343227"/>
    <w:rsid w:val="0039389D"/>
    <w:rsid w:val="003A5EEC"/>
    <w:rsid w:val="003C05D6"/>
    <w:rsid w:val="003C36A8"/>
    <w:rsid w:val="003C72C6"/>
    <w:rsid w:val="003D55F8"/>
    <w:rsid w:val="00411A1F"/>
    <w:rsid w:val="00426E1A"/>
    <w:rsid w:val="00435E57"/>
    <w:rsid w:val="004360D6"/>
    <w:rsid w:val="004445E4"/>
    <w:rsid w:val="00456870"/>
    <w:rsid w:val="00465EA9"/>
    <w:rsid w:val="00472B2A"/>
    <w:rsid w:val="004B425F"/>
    <w:rsid w:val="004B65CC"/>
    <w:rsid w:val="004C0056"/>
    <w:rsid w:val="004F2BC9"/>
    <w:rsid w:val="005122FF"/>
    <w:rsid w:val="00514988"/>
    <w:rsid w:val="00556D95"/>
    <w:rsid w:val="0055703C"/>
    <w:rsid w:val="005A003E"/>
    <w:rsid w:val="005A4B60"/>
    <w:rsid w:val="00612F52"/>
    <w:rsid w:val="00642014"/>
    <w:rsid w:val="00643422"/>
    <w:rsid w:val="00661390"/>
    <w:rsid w:val="0066437B"/>
    <w:rsid w:val="00682CC2"/>
    <w:rsid w:val="00696443"/>
    <w:rsid w:val="006A0624"/>
    <w:rsid w:val="006A1ECA"/>
    <w:rsid w:val="006A5E1A"/>
    <w:rsid w:val="006B4A18"/>
    <w:rsid w:val="006D3C98"/>
    <w:rsid w:val="006D6417"/>
    <w:rsid w:val="006F5566"/>
    <w:rsid w:val="007079AC"/>
    <w:rsid w:val="007120F8"/>
    <w:rsid w:val="00712256"/>
    <w:rsid w:val="007206D3"/>
    <w:rsid w:val="00731DDE"/>
    <w:rsid w:val="00746DFB"/>
    <w:rsid w:val="007470DA"/>
    <w:rsid w:val="007538DA"/>
    <w:rsid w:val="00761728"/>
    <w:rsid w:val="007A5F61"/>
    <w:rsid w:val="007D6C24"/>
    <w:rsid w:val="007F328B"/>
    <w:rsid w:val="007F3C37"/>
    <w:rsid w:val="00822047"/>
    <w:rsid w:val="008438F1"/>
    <w:rsid w:val="008465DE"/>
    <w:rsid w:val="008504BA"/>
    <w:rsid w:val="00876409"/>
    <w:rsid w:val="00880DFB"/>
    <w:rsid w:val="00896FE9"/>
    <w:rsid w:val="008A14A4"/>
    <w:rsid w:val="008C2432"/>
    <w:rsid w:val="008D449E"/>
    <w:rsid w:val="008D604A"/>
    <w:rsid w:val="008E1604"/>
    <w:rsid w:val="00914273"/>
    <w:rsid w:val="009212FC"/>
    <w:rsid w:val="00927776"/>
    <w:rsid w:val="0094461F"/>
    <w:rsid w:val="00944A71"/>
    <w:rsid w:val="0094556B"/>
    <w:rsid w:val="00945E39"/>
    <w:rsid w:val="00972725"/>
    <w:rsid w:val="009A4B23"/>
    <w:rsid w:val="009F0EFF"/>
    <w:rsid w:val="009F2366"/>
    <w:rsid w:val="009F4BF2"/>
    <w:rsid w:val="00A238C0"/>
    <w:rsid w:val="00A25889"/>
    <w:rsid w:val="00A61436"/>
    <w:rsid w:val="00A806EE"/>
    <w:rsid w:val="00AA0912"/>
    <w:rsid w:val="00AB200B"/>
    <w:rsid w:val="00AC1C72"/>
    <w:rsid w:val="00AD772C"/>
    <w:rsid w:val="00B0639E"/>
    <w:rsid w:val="00B47B7E"/>
    <w:rsid w:val="00B93688"/>
    <w:rsid w:val="00B97A3A"/>
    <w:rsid w:val="00BB4952"/>
    <w:rsid w:val="00BE2ABC"/>
    <w:rsid w:val="00C01EC3"/>
    <w:rsid w:val="00C225FC"/>
    <w:rsid w:val="00C341A2"/>
    <w:rsid w:val="00C4209C"/>
    <w:rsid w:val="00C43842"/>
    <w:rsid w:val="00C77721"/>
    <w:rsid w:val="00CC0500"/>
    <w:rsid w:val="00CC14B5"/>
    <w:rsid w:val="00CE1B83"/>
    <w:rsid w:val="00CE50C9"/>
    <w:rsid w:val="00DA0297"/>
    <w:rsid w:val="00DB61F0"/>
    <w:rsid w:val="00DC502B"/>
    <w:rsid w:val="00DC744D"/>
    <w:rsid w:val="00DD4FBA"/>
    <w:rsid w:val="00DD6696"/>
    <w:rsid w:val="00E101FF"/>
    <w:rsid w:val="00E307B7"/>
    <w:rsid w:val="00E3576C"/>
    <w:rsid w:val="00E669E9"/>
    <w:rsid w:val="00EA60AB"/>
    <w:rsid w:val="00EF1E9D"/>
    <w:rsid w:val="00F27FF8"/>
    <w:rsid w:val="00F35962"/>
    <w:rsid w:val="00F92E98"/>
    <w:rsid w:val="00FC2B3E"/>
    <w:rsid w:val="00FC5822"/>
    <w:rsid w:val="00FD17D2"/>
    <w:rsid w:val="00FD1F94"/>
    <w:rsid w:val="00FD7B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194F79"/>
  <w15:chartTrackingRefBased/>
  <w15:docId w15:val="{AFE3AF51-3660-46C0-8AD0-C0F329D1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28B"/>
    <w:pPr>
      <w:spacing w:before="240" w:after="240"/>
      <w:jc w:val="both"/>
    </w:pPr>
    <w:rPr>
      <w:rFonts w:ascii="Times New Roman" w:eastAsia="MS Mincho" w:hAnsi="Times New Roman" w:cs="Times New Roman"/>
      <w:color w:val="000000"/>
      <w:sz w:val="24"/>
      <w:szCs w:val="24"/>
      <w:lang w:eastAsia="en-US"/>
    </w:rPr>
  </w:style>
  <w:style w:type="paragraph" w:styleId="Heading1">
    <w:name w:val="heading 1"/>
    <w:next w:val="Normal"/>
    <w:link w:val="Heading1Char"/>
    <w:qFormat/>
    <w:rsid w:val="000545E1"/>
    <w:pPr>
      <w:keepNext/>
      <w:numPr>
        <w:numId w:val="9"/>
      </w:numPr>
      <w:spacing w:before="480"/>
      <w:outlineLvl w:val="0"/>
    </w:pPr>
    <w:rPr>
      <w:rFonts w:ascii="Times New Roman" w:eastAsia="MS Gothic" w:hAnsi="Times New Roman" w:cs="Times New Roman"/>
      <w:b/>
      <w:bCs/>
      <w:kern w:val="32"/>
      <w:sz w:val="24"/>
      <w:szCs w:val="24"/>
      <w:lang w:val="en-US" w:eastAsia="en-US"/>
    </w:rPr>
  </w:style>
  <w:style w:type="paragraph" w:styleId="Heading2">
    <w:name w:val="heading 2"/>
    <w:basedOn w:val="Heading1"/>
    <w:next w:val="Normal"/>
    <w:link w:val="Heading2Char"/>
    <w:qFormat/>
    <w:rsid w:val="000545E1"/>
    <w:pPr>
      <w:numPr>
        <w:ilvl w:val="1"/>
      </w:numPr>
      <w:outlineLvl w:val="1"/>
    </w:pPr>
    <w:rPr>
      <w:bCs w:val="0"/>
      <w:iCs/>
    </w:rPr>
  </w:style>
  <w:style w:type="paragraph" w:styleId="Heading3">
    <w:name w:val="heading 3"/>
    <w:basedOn w:val="Heading1"/>
    <w:next w:val="Normal"/>
    <w:link w:val="Heading3Char"/>
    <w:qFormat/>
    <w:rsid w:val="000545E1"/>
    <w:pPr>
      <w:numPr>
        <w:numId w:val="0"/>
      </w:numPr>
      <w:spacing w:before="240"/>
      <w:outlineLvl w:val="2"/>
    </w:pPr>
    <w:rPr>
      <w:bCs w:val="0"/>
      <w:szCs w:val="26"/>
      <w:lang w:val="en-AU"/>
    </w:rPr>
  </w:style>
  <w:style w:type="paragraph" w:styleId="Heading4">
    <w:name w:val="heading 4"/>
    <w:basedOn w:val="Normal"/>
    <w:next w:val="Normal"/>
    <w:link w:val="Heading4Char"/>
    <w:qFormat/>
    <w:rsid w:val="008A14A4"/>
    <w:pPr>
      <w:keepNext/>
      <w:spacing w:before="360" w:after="0"/>
      <w:jc w:val="left"/>
      <w:outlineLvl w:val="3"/>
    </w:pPr>
    <w:rPr>
      <w:rFonts w:eastAsia="MS Gothic"/>
      <w:b/>
      <w:i/>
      <w:color w:val="auto"/>
      <w:kern w:val="32"/>
      <w:szCs w:val="28"/>
      <w:lang w:val="en-US"/>
    </w:rPr>
  </w:style>
  <w:style w:type="paragraph" w:styleId="Heading5">
    <w:name w:val="heading 5"/>
    <w:basedOn w:val="Heading1"/>
    <w:next w:val="Normal"/>
    <w:link w:val="Heading5Char"/>
    <w:qFormat/>
    <w:rsid w:val="000545E1"/>
    <w:pPr>
      <w:numPr>
        <w:ilvl w:val="4"/>
      </w:numPr>
      <w:spacing w:before="360"/>
      <w:outlineLvl w:val="4"/>
    </w:pPr>
    <w:rPr>
      <w:b w:val="0"/>
      <w:bCs w:val="0"/>
      <w:i/>
      <w:iCs/>
      <w:caps/>
      <w:sz w:val="22"/>
      <w:szCs w:val="26"/>
    </w:rPr>
  </w:style>
  <w:style w:type="paragraph" w:styleId="Heading6">
    <w:name w:val="heading 6"/>
    <w:basedOn w:val="Heading1"/>
    <w:next w:val="Normal"/>
    <w:link w:val="Heading6Char"/>
    <w:qFormat/>
    <w:rsid w:val="000545E1"/>
    <w:pPr>
      <w:numPr>
        <w:ilvl w:val="5"/>
      </w:numPr>
      <w:spacing w:before="360"/>
      <w:outlineLvl w:val="5"/>
    </w:pPr>
    <w:rPr>
      <w:b w:val="0"/>
      <w:bCs w:val="0"/>
      <w:caps/>
      <w:sz w:val="22"/>
      <w:szCs w:val="22"/>
    </w:rPr>
  </w:style>
  <w:style w:type="paragraph" w:styleId="Heading7">
    <w:name w:val="heading 7"/>
    <w:basedOn w:val="Heading6"/>
    <w:next w:val="Normal"/>
    <w:link w:val="Heading7Char"/>
    <w:qFormat/>
    <w:rsid w:val="000545E1"/>
    <w:pPr>
      <w:numPr>
        <w:ilvl w:val="6"/>
      </w:numPr>
      <w:outlineLvl w:val="6"/>
    </w:pPr>
  </w:style>
  <w:style w:type="paragraph" w:styleId="Heading8">
    <w:name w:val="heading 8"/>
    <w:basedOn w:val="Heading6"/>
    <w:next w:val="Normal"/>
    <w:link w:val="Heading8Char"/>
    <w:qFormat/>
    <w:rsid w:val="000545E1"/>
    <w:pPr>
      <w:numPr>
        <w:ilvl w:val="7"/>
      </w:numPr>
      <w:outlineLvl w:val="7"/>
    </w:pPr>
    <w:rPr>
      <w:iCs/>
    </w:rPr>
  </w:style>
  <w:style w:type="paragraph" w:styleId="Heading9">
    <w:name w:val="heading 9"/>
    <w:basedOn w:val="Heading6"/>
    <w:next w:val="Normal"/>
    <w:link w:val="Heading9Char"/>
    <w:qFormat/>
    <w:rsid w:val="000545E1"/>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328B"/>
    <w:rPr>
      <w:rFonts w:ascii="Times New Roman" w:eastAsia="MS Gothic" w:hAnsi="Times New Roman" w:cs="Times New Roman"/>
      <w:b/>
      <w:bCs/>
      <w:kern w:val="32"/>
      <w:sz w:val="24"/>
      <w:szCs w:val="24"/>
      <w:lang w:val="en-US" w:eastAsia="en-US"/>
    </w:rPr>
  </w:style>
  <w:style w:type="character" w:customStyle="1" w:styleId="Heading2Char">
    <w:name w:val="Heading 2 Char"/>
    <w:link w:val="Heading2"/>
    <w:rsid w:val="007F328B"/>
    <w:rPr>
      <w:rFonts w:ascii="Times New Roman" w:eastAsia="MS Gothic" w:hAnsi="Times New Roman" w:cs="Times New Roman"/>
      <w:b/>
      <w:iCs/>
      <w:kern w:val="32"/>
      <w:sz w:val="24"/>
      <w:szCs w:val="24"/>
      <w:lang w:val="en-US" w:eastAsia="en-US"/>
    </w:rPr>
  </w:style>
  <w:style w:type="character" w:customStyle="1" w:styleId="Heading3Char">
    <w:name w:val="Heading 3 Char"/>
    <w:link w:val="Heading3"/>
    <w:rsid w:val="000545E1"/>
    <w:rPr>
      <w:rFonts w:ascii="Times New Roman" w:eastAsia="MS Gothic" w:hAnsi="Times New Roman" w:cs="Times New Roman"/>
      <w:b/>
      <w:kern w:val="32"/>
      <w:sz w:val="24"/>
      <w:szCs w:val="26"/>
      <w:lang w:eastAsia="en-US"/>
    </w:rPr>
  </w:style>
  <w:style w:type="character" w:customStyle="1" w:styleId="Heading4Char">
    <w:name w:val="Heading 4 Char"/>
    <w:link w:val="Heading4"/>
    <w:rsid w:val="008A14A4"/>
    <w:rPr>
      <w:rFonts w:ascii="Times New Roman" w:eastAsia="MS Gothic" w:hAnsi="Times New Roman" w:cs="Times New Roman"/>
      <w:b/>
      <w:i/>
      <w:kern w:val="32"/>
      <w:sz w:val="24"/>
      <w:szCs w:val="28"/>
      <w:lang w:val="en-US" w:eastAsia="en-US"/>
    </w:rPr>
  </w:style>
  <w:style w:type="character" w:customStyle="1" w:styleId="Heading5Char">
    <w:name w:val="Heading 5 Char"/>
    <w:link w:val="Heading5"/>
    <w:rsid w:val="00B97A3A"/>
    <w:rPr>
      <w:rFonts w:ascii="Arial" w:eastAsia="MS Gothic" w:hAnsi="Arial"/>
      <w:i/>
      <w:iCs/>
      <w:kern w:val="32"/>
      <w:sz w:val="22"/>
      <w:szCs w:val="26"/>
      <w:lang w:val="en-US" w:eastAsia="en-US"/>
    </w:rPr>
  </w:style>
  <w:style w:type="character" w:customStyle="1" w:styleId="Heading6Char">
    <w:name w:val="Heading 6 Char"/>
    <w:link w:val="Heading6"/>
    <w:rsid w:val="00B97A3A"/>
    <w:rPr>
      <w:rFonts w:ascii="Arial" w:eastAsia="MS Gothic" w:hAnsi="Arial"/>
      <w:kern w:val="32"/>
      <w:sz w:val="22"/>
      <w:szCs w:val="22"/>
      <w:lang w:val="en-US" w:eastAsia="en-US"/>
    </w:rPr>
  </w:style>
  <w:style w:type="character" w:customStyle="1" w:styleId="Heading7Char">
    <w:name w:val="Heading 7 Char"/>
    <w:link w:val="Heading7"/>
    <w:rsid w:val="00B97A3A"/>
    <w:rPr>
      <w:rFonts w:ascii="Arial" w:eastAsia="MS Gothic" w:hAnsi="Arial"/>
      <w:kern w:val="32"/>
      <w:sz w:val="22"/>
      <w:szCs w:val="22"/>
      <w:lang w:val="en-US" w:eastAsia="en-US"/>
    </w:rPr>
  </w:style>
  <w:style w:type="character" w:customStyle="1" w:styleId="Heading8Char">
    <w:name w:val="Heading 8 Char"/>
    <w:link w:val="Heading8"/>
    <w:rsid w:val="00B97A3A"/>
    <w:rPr>
      <w:rFonts w:ascii="Arial" w:eastAsia="MS Gothic" w:hAnsi="Arial"/>
      <w:iCs/>
      <w:kern w:val="32"/>
      <w:sz w:val="22"/>
      <w:szCs w:val="22"/>
      <w:lang w:val="en-US" w:eastAsia="en-US"/>
    </w:rPr>
  </w:style>
  <w:style w:type="character" w:customStyle="1" w:styleId="Heading9Char">
    <w:name w:val="Heading 9 Char"/>
    <w:link w:val="Heading9"/>
    <w:rsid w:val="00B97A3A"/>
    <w:rPr>
      <w:rFonts w:ascii="Arial" w:eastAsia="MS Gothic" w:hAnsi="Arial"/>
      <w:kern w:val="32"/>
      <w:sz w:val="22"/>
      <w:szCs w:val="22"/>
      <w:lang w:val="en-US" w:eastAsia="en-US"/>
    </w:rPr>
  </w:style>
  <w:style w:type="paragraph" w:styleId="Header">
    <w:name w:val="header"/>
    <w:link w:val="HeaderChar"/>
    <w:rsid w:val="00761728"/>
    <w:pPr>
      <w:tabs>
        <w:tab w:val="left" w:pos="4536"/>
        <w:tab w:val="right" w:pos="9480"/>
      </w:tabs>
    </w:pPr>
    <w:rPr>
      <w:rFonts w:ascii="Arial" w:eastAsia="MS Gothic" w:hAnsi="Arial" w:cs="Times New Roman"/>
      <w:sz w:val="18"/>
      <w:lang w:val="en-US" w:eastAsia="en-US"/>
    </w:rPr>
  </w:style>
  <w:style w:type="character" w:customStyle="1" w:styleId="HeaderChar">
    <w:name w:val="Header Char"/>
    <w:link w:val="Header"/>
    <w:rsid w:val="00B97A3A"/>
    <w:rPr>
      <w:rFonts w:ascii="Arial" w:eastAsia="MS Gothic" w:hAnsi="Arial" w:cs="Times New Roman"/>
      <w:sz w:val="18"/>
      <w:lang w:val="en-US" w:eastAsia="en-US"/>
    </w:rPr>
  </w:style>
  <w:style w:type="paragraph" w:styleId="Footer">
    <w:name w:val="footer"/>
    <w:link w:val="FooterChar"/>
    <w:rsid w:val="00761728"/>
    <w:pPr>
      <w:tabs>
        <w:tab w:val="right" w:pos="9469"/>
      </w:tabs>
    </w:pPr>
    <w:rPr>
      <w:rFonts w:ascii="Arial" w:eastAsia="MS Gothic" w:hAnsi="Arial" w:cs="Times New Roman"/>
      <w:sz w:val="18"/>
      <w:lang w:val="en-US" w:eastAsia="en-US"/>
    </w:rPr>
  </w:style>
  <w:style w:type="character" w:customStyle="1" w:styleId="FooterChar">
    <w:name w:val="Footer Char"/>
    <w:link w:val="Footer"/>
    <w:rsid w:val="00B97A3A"/>
    <w:rPr>
      <w:rFonts w:ascii="Arial" w:eastAsia="MS Gothic" w:hAnsi="Arial" w:cs="Times New Roman"/>
      <w:sz w:val="18"/>
      <w:lang w:val="en-US" w:eastAsia="en-US"/>
    </w:rPr>
  </w:style>
  <w:style w:type="paragraph" w:customStyle="1" w:styleId="Heading1NoTOC">
    <w:name w:val="Heading 1 NoTOC"/>
    <w:basedOn w:val="Heading1"/>
    <w:rsid w:val="00761728"/>
    <w:pPr>
      <w:numPr>
        <w:numId w:val="0"/>
      </w:numPr>
      <w:outlineLvl w:val="9"/>
    </w:pPr>
  </w:style>
  <w:style w:type="paragraph" w:styleId="Title">
    <w:name w:val="Title"/>
    <w:next w:val="Normal"/>
    <w:link w:val="TitleChar"/>
    <w:qFormat/>
    <w:rsid w:val="00CE1B83"/>
    <w:pPr>
      <w:keepNext/>
      <w:outlineLvl w:val="0"/>
    </w:pPr>
    <w:rPr>
      <w:rFonts w:ascii="Times New Roman" w:eastAsia="MS Gothic" w:hAnsi="Times New Roman" w:cs="Times New Roman"/>
      <w:b/>
      <w:bCs/>
      <w:sz w:val="24"/>
      <w:szCs w:val="24"/>
      <w:lang w:val="en-US" w:eastAsia="en-US"/>
    </w:rPr>
  </w:style>
  <w:style w:type="character" w:customStyle="1" w:styleId="TitleChar">
    <w:name w:val="Title Char"/>
    <w:link w:val="Title"/>
    <w:rsid w:val="00CE1B83"/>
    <w:rPr>
      <w:rFonts w:ascii="Times New Roman" w:eastAsia="MS Gothic" w:hAnsi="Times New Roman" w:cs="Times New Roman"/>
      <w:b/>
      <w:bCs/>
      <w:sz w:val="24"/>
      <w:szCs w:val="24"/>
      <w:lang w:val="en-US" w:eastAsia="en-US"/>
    </w:rPr>
  </w:style>
  <w:style w:type="paragraph" w:customStyle="1" w:styleId="TitleNoToc">
    <w:name w:val="Title NoToc"/>
    <w:basedOn w:val="Title"/>
    <w:next w:val="Normal"/>
    <w:rsid w:val="00761728"/>
    <w:pPr>
      <w:outlineLvl w:val="9"/>
    </w:pPr>
  </w:style>
  <w:style w:type="character" w:customStyle="1" w:styleId="InstructionsTextChar">
    <w:name w:val="Instructions Text Char"/>
    <w:link w:val="InstructionsText"/>
    <w:rsid w:val="00761728"/>
    <w:rPr>
      <w:rFonts w:eastAsia="MS Mincho"/>
      <w:color w:val="000000"/>
      <w:sz w:val="24"/>
      <w:szCs w:val="24"/>
      <w:shd w:val="clear" w:color="auto" w:fill="FFCC66"/>
      <w:lang w:eastAsia="en-US"/>
    </w:rPr>
  </w:style>
  <w:style w:type="paragraph" w:customStyle="1" w:styleId="ListNumbered">
    <w:name w:val="List Numbered"/>
    <w:basedOn w:val="Normal"/>
    <w:rsid w:val="00761728"/>
    <w:pPr>
      <w:numPr>
        <w:numId w:val="4"/>
      </w:numPr>
      <w:spacing w:before="120"/>
    </w:pPr>
  </w:style>
  <w:style w:type="paragraph" w:customStyle="1" w:styleId="ListBulletLevel1">
    <w:name w:val="List Bullet Level 1"/>
    <w:basedOn w:val="Normal"/>
    <w:rsid w:val="00761728"/>
    <w:pPr>
      <w:numPr>
        <w:numId w:val="16"/>
      </w:numPr>
      <w:spacing w:before="120"/>
    </w:pPr>
  </w:style>
  <w:style w:type="paragraph" w:customStyle="1" w:styleId="ListAlphabeticalLevel1">
    <w:name w:val="List Alphabetical Level 1"/>
    <w:basedOn w:val="Normal"/>
    <w:rsid w:val="00761728"/>
    <w:pPr>
      <w:numPr>
        <w:numId w:val="3"/>
      </w:numPr>
      <w:spacing w:before="120"/>
    </w:pPr>
  </w:style>
  <w:style w:type="paragraph" w:customStyle="1" w:styleId="ListBulletLevel2">
    <w:name w:val="List Bullet Level 2"/>
    <w:basedOn w:val="Normal"/>
    <w:rsid w:val="00761728"/>
    <w:pPr>
      <w:numPr>
        <w:numId w:val="8"/>
      </w:numPr>
      <w:spacing w:before="120"/>
    </w:pPr>
    <w:rPr>
      <w:szCs w:val="20"/>
    </w:rPr>
  </w:style>
  <w:style w:type="paragraph" w:styleId="Caption">
    <w:name w:val="caption"/>
    <w:next w:val="Normal"/>
    <w:qFormat/>
    <w:rsid w:val="00761728"/>
    <w:pPr>
      <w:keepNext/>
      <w:spacing w:before="360" w:after="120"/>
      <w:jc w:val="center"/>
    </w:pPr>
    <w:rPr>
      <w:rFonts w:ascii="Arial" w:eastAsia="MS Gothic" w:hAnsi="Arial"/>
      <w:b/>
      <w:bCs/>
      <w:lang w:val="en-US" w:eastAsia="en-US"/>
    </w:rPr>
  </w:style>
  <w:style w:type="paragraph" w:customStyle="1" w:styleId="InstructionsText">
    <w:name w:val="Instructions Text"/>
    <w:basedOn w:val="Normal"/>
    <w:next w:val="Normal"/>
    <w:link w:val="InstructionsTextChar"/>
    <w:rsid w:val="00761728"/>
    <w:pPr>
      <w:shd w:val="clear" w:color="auto" w:fill="FFCC66"/>
      <w:spacing w:before="40" w:after="40"/>
    </w:pPr>
    <w:rPr>
      <w:rFonts w:ascii="Calibri" w:hAnsi="Calibri" w:cs="Arial"/>
    </w:rPr>
  </w:style>
  <w:style w:type="character" w:styleId="FootnoteReference">
    <w:name w:val="footnote reference"/>
    <w:rsid w:val="00761728"/>
    <w:rPr>
      <w:rFonts w:ascii="Times New Roman" w:eastAsia="MS Mincho" w:hAnsi="Times New Roman"/>
      <w:color w:val="0000FF"/>
      <w:sz w:val="18"/>
      <w:vertAlign w:val="superscript"/>
    </w:rPr>
  </w:style>
  <w:style w:type="paragraph" w:styleId="FootnoteText">
    <w:name w:val="footnote text"/>
    <w:basedOn w:val="Normal"/>
    <w:link w:val="FootnoteTextChar"/>
    <w:rsid w:val="00761728"/>
    <w:pPr>
      <w:spacing w:before="20"/>
      <w:ind w:left="113" w:hanging="113"/>
    </w:pPr>
    <w:rPr>
      <w:sz w:val="22"/>
      <w:szCs w:val="20"/>
    </w:rPr>
  </w:style>
  <w:style w:type="character" w:customStyle="1" w:styleId="FootnoteTextChar">
    <w:name w:val="Footnote Text Char"/>
    <w:link w:val="FootnoteText"/>
    <w:rsid w:val="00B97A3A"/>
    <w:rPr>
      <w:rFonts w:ascii="Times New Roman" w:eastAsia="MS Mincho" w:hAnsi="Times New Roman" w:cs="Times New Roman"/>
      <w:color w:val="000000"/>
      <w:sz w:val="22"/>
      <w:lang w:val="en-US" w:eastAsia="en-US"/>
    </w:rPr>
  </w:style>
  <w:style w:type="paragraph" w:customStyle="1" w:styleId="Heading1NoNumbering">
    <w:name w:val="Heading 1 NoNumbering"/>
    <w:basedOn w:val="Heading1"/>
    <w:next w:val="Normal"/>
    <w:rsid w:val="00761728"/>
    <w:pPr>
      <w:numPr>
        <w:numId w:val="0"/>
      </w:numPr>
      <w:tabs>
        <w:tab w:val="num" w:pos="1083"/>
      </w:tabs>
      <w:ind w:left="1083" w:hanging="363"/>
    </w:pPr>
  </w:style>
  <w:style w:type="paragraph" w:customStyle="1" w:styleId="TblTextCenter">
    <w:name w:val="Tbl Text Center"/>
    <w:basedOn w:val="TblTextLeft"/>
    <w:rsid w:val="00761728"/>
    <w:pPr>
      <w:jc w:val="center"/>
    </w:pPr>
  </w:style>
  <w:style w:type="paragraph" w:customStyle="1" w:styleId="TblTextLeft">
    <w:name w:val="Tbl Text Left"/>
    <w:rsid w:val="00761728"/>
    <w:pPr>
      <w:spacing w:before="60" w:after="60"/>
    </w:pPr>
    <w:rPr>
      <w:rFonts w:ascii="Arial Narrow" w:eastAsia="MS Gothic" w:hAnsi="Arial Narrow" w:cs="Times New Roman"/>
      <w:lang w:val="en-US" w:eastAsia="en-US"/>
    </w:rPr>
  </w:style>
  <w:style w:type="paragraph" w:customStyle="1" w:styleId="TblHeadingLeft">
    <w:name w:val="Tbl Heading Left"/>
    <w:rsid w:val="00761728"/>
    <w:pPr>
      <w:spacing w:before="60" w:after="60"/>
    </w:pPr>
    <w:rPr>
      <w:rFonts w:ascii="Arial" w:eastAsia="MS Gothic" w:hAnsi="Arial"/>
      <w:b/>
      <w:noProof/>
      <w:lang w:val="de-DE" w:eastAsia="en-US"/>
    </w:rPr>
  </w:style>
  <w:style w:type="paragraph" w:customStyle="1" w:styleId="TblFigFootnote">
    <w:name w:val="Tbl Fig Footnote"/>
    <w:rsid w:val="00761728"/>
    <w:pPr>
      <w:keepLines/>
      <w:adjustRightInd w:val="0"/>
      <w:snapToGrid w:val="0"/>
      <w:spacing w:before="20" w:after="20"/>
    </w:pPr>
    <w:rPr>
      <w:rFonts w:ascii="Arial Narrow" w:eastAsia="MS Gothic" w:hAnsi="Arial Narrow" w:cs="Times New Roman"/>
      <w:sz w:val="18"/>
      <w:lang w:val="en-US" w:eastAsia="en-US"/>
    </w:rPr>
  </w:style>
  <w:style w:type="paragraph" w:customStyle="1" w:styleId="TblHeadingCenter">
    <w:name w:val="Tbl Heading Center"/>
    <w:basedOn w:val="TblHeadingLeft"/>
    <w:rsid w:val="00761728"/>
    <w:pPr>
      <w:jc w:val="center"/>
    </w:pPr>
  </w:style>
  <w:style w:type="paragraph" w:customStyle="1" w:styleId="HeaderLandscape">
    <w:name w:val="Header Landscape"/>
    <w:basedOn w:val="Header"/>
    <w:rsid w:val="00761728"/>
    <w:pPr>
      <w:tabs>
        <w:tab w:val="clear" w:pos="4536"/>
        <w:tab w:val="clear" w:pos="9480"/>
        <w:tab w:val="left" w:pos="6804"/>
        <w:tab w:val="right" w:pos="14118"/>
      </w:tabs>
    </w:pPr>
  </w:style>
  <w:style w:type="paragraph" w:customStyle="1" w:styleId="FooterLandscape">
    <w:name w:val="Footer Landscape"/>
    <w:basedOn w:val="Footer"/>
    <w:rsid w:val="00761728"/>
    <w:pPr>
      <w:tabs>
        <w:tab w:val="clear" w:pos="9469"/>
        <w:tab w:val="right" w:pos="14118"/>
      </w:tabs>
    </w:pPr>
  </w:style>
  <w:style w:type="character" w:customStyle="1" w:styleId="TblFigFootnoteReference">
    <w:name w:val="Tbl Fig Footnote Reference"/>
    <w:rsid w:val="00761728"/>
    <w:rPr>
      <w:rFonts w:ascii="Arial Narrow" w:eastAsia="MS Gothic" w:hAnsi="Arial Narrow"/>
      <w:i/>
      <w:dstrike w:val="0"/>
      <w:noProof w:val="0"/>
      <w:position w:val="6"/>
      <w:sz w:val="18"/>
      <w:vertAlign w:val="baseline"/>
      <w:lang w:val="en-US"/>
    </w:rPr>
  </w:style>
  <w:style w:type="paragraph" w:customStyle="1" w:styleId="xCover">
    <w:name w:val="xCover"/>
    <w:rsid w:val="00761728"/>
    <w:pPr>
      <w:spacing w:before="120"/>
    </w:pPr>
    <w:rPr>
      <w:rFonts w:ascii="Arial" w:eastAsia="MS Gothic" w:hAnsi="Arial" w:cs="Times New Roman"/>
      <w:lang w:val="en-US" w:eastAsia="en-US"/>
    </w:rPr>
  </w:style>
  <w:style w:type="paragraph" w:customStyle="1" w:styleId="xCoverAddress">
    <w:name w:val="xCoverAddress"/>
    <w:basedOn w:val="xCover"/>
    <w:rsid w:val="00761728"/>
    <w:pPr>
      <w:spacing w:before="0"/>
    </w:pPr>
  </w:style>
  <w:style w:type="paragraph" w:customStyle="1" w:styleId="xCoverDocType">
    <w:name w:val="xCoverDocType"/>
    <w:basedOn w:val="xCover"/>
    <w:rsid w:val="00761728"/>
    <w:pPr>
      <w:spacing w:before="360"/>
      <w:jc w:val="center"/>
    </w:pPr>
    <w:rPr>
      <w:b/>
      <w:caps/>
      <w:sz w:val="28"/>
    </w:rPr>
  </w:style>
  <w:style w:type="paragraph" w:customStyle="1" w:styleId="xCoverDocTitle">
    <w:name w:val="xCoverDocTitle"/>
    <w:basedOn w:val="xCover"/>
    <w:rsid w:val="00761728"/>
    <w:pPr>
      <w:spacing w:before="240"/>
      <w:jc w:val="center"/>
    </w:pPr>
    <w:rPr>
      <w:b/>
      <w:sz w:val="24"/>
    </w:rPr>
  </w:style>
  <w:style w:type="paragraph" w:styleId="EndnoteText">
    <w:name w:val="endnote text"/>
    <w:basedOn w:val="Normal"/>
    <w:link w:val="EndnoteTextChar"/>
    <w:semiHidden/>
    <w:rsid w:val="00761728"/>
    <w:rPr>
      <w:sz w:val="22"/>
      <w:szCs w:val="20"/>
    </w:rPr>
  </w:style>
  <w:style w:type="character" w:customStyle="1" w:styleId="EndnoteTextChar">
    <w:name w:val="Endnote Text Char"/>
    <w:link w:val="EndnoteText"/>
    <w:semiHidden/>
    <w:rsid w:val="00B97A3A"/>
    <w:rPr>
      <w:rFonts w:ascii="Times New Roman" w:eastAsia="MS Mincho" w:hAnsi="Times New Roman" w:cs="Times New Roman"/>
      <w:color w:val="000000"/>
      <w:sz w:val="22"/>
      <w:lang w:val="en-US" w:eastAsia="en-US"/>
    </w:rPr>
  </w:style>
  <w:style w:type="character" w:styleId="EndnoteReference">
    <w:name w:val="endnote reference"/>
    <w:semiHidden/>
    <w:rsid w:val="00761728"/>
    <w:rPr>
      <w:vertAlign w:val="superscript"/>
    </w:rPr>
  </w:style>
  <w:style w:type="paragraph" w:styleId="MacroText">
    <w:name w:val="macro"/>
    <w:link w:val="MacroTextChar"/>
    <w:semiHidden/>
    <w:rsid w:val="007617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lang w:val="en-US" w:eastAsia="en-US"/>
    </w:rPr>
  </w:style>
  <w:style w:type="character" w:customStyle="1" w:styleId="MacroTextChar">
    <w:name w:val="Macro Text Char"/>
    <w:link w:val="MacroText"/>
    <w:semiHidden/>
    <w:rsid w:val="00B97A3A"/>
    <w:rPr>
      <w:rFonts w:ascii="Courier New" w:eastAsia="Times New Roman" w:hAnsi="Courier New" w:cs="Times New Roman"/>
      <w:lang w:val="en-US" w:eastAsia="en-US"/>
    </w:rPr>
  </w:style>
  <w:style w:type="paragraph" w:styleId="TableofFigures">
    <w:name w:val="table of figures"/>
    <w:next w:val="Normal"/>
    <w:semiHidden/>
    <w:rsid w:val="00761728"/>
    <w:pPr>
      <w:tabs>
        <w:tab w:val="right" w:leader="dot" w:pos="9468"/>
      </w:tabs>
      <w:spacing w:before="120"/>
    </w:pPr>
    <w:rPr>
      <w:rFonts w:ascii="Arial" w:eastAsia="Times New Roman" w:hAnsi="Arial" w:cs="Times New Roman"/>
      <w:lang w:val="en-US" w:eastAsia="en-US"/>
    </w:rPr>
  </w:style>
  <w:style w:type="paragraph" w:styleId="TableofAuthorities">
    <w:name w:val="table of authorities"/>
    <w:basedOn w:val="Normal"/>
    <w:next w:val="Normal"/>
    <w:semiHidden/>
    <w:rsid w:val="00761728"/>
    <w:pPr>
      <w:ind w:left="240" w:hanging="240"/>
    </w:pPr>
  </w:style>
  <w:style w:type="character" w:styleId="Hyperlink">
    <w:name w:val="Hyperlink"/>
    <w:uiPriority w:val="99"/>
    <w:rsid w:val="00761728"/>
    <w:rPr>
      <w:color w:val="0000FF"/>
      <w:u w:val="single"/>
    </w:rPr>
  </w:style>
  <w:style w:type="paragraph" w:styleId="Bibliography">
    <w:name w:val="Bibliography"/>
    <w:basedOn w:val="Normal"/>
    <w:next w:val="Normal"/>
    <w:rsid w:val="00761728"/>
    <w:pPr>
      <w:ind w:left="357" w:hanging="357"/>
    </w:pPr>
  </w:style>
  <w:style w:type="character" w:customStyle="1" w:styleId="ReplaceText">
    <w:name w:val="Replace Text"/>
    <w:rsid w:val="00761728"/>
    <w:rPr>
      <w:color w:val="FF00FF"/>
    </w:rPr>
  </w:style>
  <w:style w:type="paragraph" w:styleId="TOC1">
    <w:name w:val="toc 1"/>
    <w:next w:val="Normal"/>
    <w:semiHidden/>
    <w:rsid w:val="00761728"/>
    <w:pPr>
      <w:tabs>
        <w:tab w:val="right" w:leader="dot" w:pos="9468"/>
      </w:tabs>
      <w:spacing w:before="240"/>
      <w:ind w:left="851" w:right="567" w:hanging="851"/>
    </w:pPr>
    <w:rPr>
      <w:rFonts w:ascii="Arial" w:eastAsia="Times New Roman" w:hAnsi="Arial" w:cs="Times New Roman"/>
      <w:b/>
      <w:caps/>
      <w:lang w:val="en-US" w:eastAsia="en-US"/>
    </w:rPr>
  </w:style>
  <w:style w:type="paragraph" w:customStyle="1" w:styleId="ListAlphabeticalLevel2">
    <w:name w:val="List Alphabetical Level 2"/>
    <w:basedOn w:val="ListNumbered"/>
    <w:rsid w:val="00761728"/>
    <w:pPr>
      <w:numPr>
        <w:numId w:val="5"/>
      </w:numPr>
    </w:pPr>
  </w:style>
  <w:style w:type="paragraph" w:styleId="Index1">
    <w:name w:val="index 1"/>
    <w:basedOn w:val="Normal"/>
    <w:next w:val="Normal"/>
    <w:semiHidden/>
    <w:rsid w:val="00761728"/>
    <w:pPr>
      <w:tabs>
        <w:tab w:val="left" w:pos="1701"/>
        <w:tab w:val="left" w:pos="3402"/>
        <w:tab w:val="left" w:pos="5103"/>
      </w:tabs>
      <w:spacing w:before="0"/>
      <w:ind w:left="1701" w:hanging="1701"/>
    </w:pPr>
  </w:style>
  <w:style w:type="paragraph" w:styleId="TOAHeading">
    <w:name w:val="toa heading"/>
    <w:basedOn w:val="Normal"/>
    <w:next w:val="Normal"/>
    <w:semiHidden/>
    <w:rsid w:val="00761728"/>
    <w:pPr>
      <w:spacing w:before="120"/>
    </w:pPr>
    <w:rPr>
      <w:rFonts w:ascii="Arial" w:hAnsi="Arial" w:cs="Arial"/>
      <w:b/>
      <w:bCs/>
    </w:rPr>
  </w:style>
  <w:style w:type="character" w:customStyle="1" w:styleId="Reference">
    <w:name w:val="Reference"/>
    <w:rsid w:val="00761728"/>
    <w:rPr>
      <w:color w:val="0000FF"/>
    </w:rPr>
  </w:style>
  <w:style w:type="paragraph" w:customStyle="1" w:styleId="TblTextbulletedlist">
    <w:name w:val="Tbl Text bulleted list"/>
    <w:basedOn w:val="TblTextLeft"/>
    <w:rsid w:val="00761728"/>
    <w:pPr>
      <w:tabs>
        <w:tab w:val="left" w:pos="216"/>
        <w:tab w:val="num" w:pos="680"/>
      </w:tabs>
      <w:spacing w:before="0" w:after="0"/>
      <w:ind w:left="216" w:hanging="216"/>
    </w:pPr>
  </w:style>
  <w:style w:type="paragraph" w:styleId="TOC2">
    <w:name w:val="toc 2"/>
    <w:basedOn w:val="TOC1"/>
    <w:next w:val="Normal"/>
    <w:semiHidden/>
    <w:rsid w:val="00761728"/>
    <w:rPr>
      <w:b w:val="0"/>
    </w:rPr>
  </w:style>
  <w:style w:type="character" w:styleId="PageNumber">
    <w:name w:val="page number"/>
    <w:rsid w:val="00761728"/>
  </w:style>
  <w:style w:type="paragraph" w:styleId="ListBullet">
    <w:name w:val="List Bullet"/>
    <w:basedOn w:val="Normal"/>
    <w:rsid w:val="00761728"/>
    <w:pPr>
      <w:numPr>
        <w:numId w:val="6"/>
      </w:numPr>
    </w:pPr>
  </w:style>
  <w:style w:type="paragraph" w:styleId="TOC3">
    <w:name w:val="toc 3"/>
    <w:basedOn w:val="TOC1"/>
    <w:next w:val="Normal"/>
    <w:semiHidden/>
    <w:rsid w:val="00761728"/>
    <w:pPr>
      <w:spacing w:before="120"/>
    </w:pPr>
    <w:rPr>
      <w:b w:val="0"/>
      <w:caps w:val="0"/>
    </w:rPr>
  </w:style>
  <w:style w:type="paragraph" w:styleId="TOC4">
    <w:name w:val="toc 4"/>
    <w:basedOn w:val="TOC1"/>
    <w:next w:val="Normal"/>
    <w:semiHidden/>
    <w:rsid w:val="00761728"/>
    <w:pPr>
      <w:spacing w:before="40"/>
    </w:pPr>
    <w:rPr>
      <w:b w:val="0"/>
      <w:caps w:val="0"/>
      <w:szCs w:val="22"/>
    </w:rPr>
  </w:style>
  <w:style w:type="paragraph" w:styleId="TOC5">
    <w:name w:val="toc 5"/>
    <w:basedOn w:val="TOC1"/>
    <w:next w:val="Normal"/>
    <w:semiHidden/>
    <w:rsid w:val="00761728"/>
    <w:pPr>
      <w:spacing w:before="0"/>
    </w:pPr>
    <w:rPr>
      <w:b w:val="0"/>
      <w:caps w:val="0"/>
    </w:rPr>
  </w:style>
  <w:style w:type="paragraph" w:styleId="TOC6">
    <w:name w:val="toc 6"/>
    <w:basedOn w:val="TOC1"/>
    <w:next w:val="Normal"/>
    <w:semiHidden/>
    <w:rsid w:val="00761728"/>
    <w:pPr>
      <w:spacing w:before="0"/>
    </w:pPr>
    <w:rPr>
      <w:b w:val="0"/>
      <w:caps w:val="0"/>
    </w:rPr>
  </w:style>
  <w:style w:type="paragraph" w:styleId="TOC7">
    <w:name w:val="toc 7"/>
    <w:basedOn w:val="TOC6"/>
    <w:next w:val="Normal"/>
    <w:semiHidden/>
    <w:rsid w:val="00761728"/>
  </w:style>
  <w:style w:type="paragraph" w:styleId="TOC8">
    <w:name w:val="toc 8"/>
    <w:basedOn w:val="TOC6"/>
    <w:next w:val="Normal"/>
    <w:semiHidden/>
    <w:rsid w:val="00761728"/>
  </w:style>
  <w:style w:type="paragraph" w:styleId="TOC9">
    <w:name w:val="toc 9"/>
    <w:basedOn w:val="TOC6"/>
    <w:next w:val="Normal"/>
    <w:semiHidden/>
    <w:rsid w:val="00761728"/>
  </w:style>
  <w:style w:type="character" w:customStyle="1" w:styleId="TblFigFootnoteChar">
    <w:name w:val="Tbl Fig Footnote Char"/>
    <w:rsid w:val="00761728"/>
    <w:rPr>
      <w:rFonts w:ascii="Arial Narrow" w:eastAsia="MS Gothic" w:hAnsi="Arial Narrow"/>
      <w:sz w:val="18"/>
      <w:lang w:val="en-US" w:eastAsia="en-US" w:bidi="ar-SA"/>
    </w:rPr>
  </w:style>
  <w:style w:type="character" w:styleId="FollowedHyperlink">
    <w:name w:val="FollowedHyperlink"/>
    <w:rsid w:val="00761728"/>
    <w:rPr>
      <w:color w:val="800080"/>
      <w:u w:val="single"/>
    </w:rPr>
  </w:style>
  <w:style w:type="character" w:customStyle="1" w:styleId="UnresolvedMention1">
    <w:name w:val="Unresolved Mention1"/>
    <w:uiPriority w:val="99"/>
    <w:semiHidden/>
    <w:unhideWhenUsed/>
    <w:rsid w:val="0055703C"/>
    <w:rPr>
      <w:color w:val="808080"/>
      <w:shd w:val="clear" w:color="auto" w:fill="E6E6E6"/>
    </w:rPr>
  </w:style>
  <w:style w:type="character" w:styleId="CommentReference">
    <w:name w:val="annotation reference"/>
    <w:uiPriority w:val="99"/>
    <w:semiHidden/>
    <w:unhideWhenUsed/>
    <w:rsid w:val="00CE1B83"/>
    <w:rPr>
      <w:sz w:val="16"/>
      <w:szCs w:val="16"/>
    </w:rPr>
  </w:style>
  <w:style w:type="paragraph" w:styleId="CommentText">
    <w:name w:val="annotation text"/>
    <w:basedOn w:val="Normal"/>
    <w:link w:val="CommentTextChar"/>
    <w:uiPriority w:val="99"/>
    <w:unhideWhenUsed/>
    <w:rsid w:val="00CE1B83"/>
    <w:pPr>
      <w:spacing w:before="0"/>
    </w:pPr>
    <w:rPr>
      <w:rFonts w:eastAsia="Times New Roman"/>
      <w:color w:val="auto"/>
      <w:sz w:val="20"/>
      <w:szCs w:val="20"/>
    </w:rPr>
  </w:style>
  <w:style w:type="character" w:customStyle="1" w:styleId="CommentTextChar">
    <w:name w:val="Comment Text Char"/>
    <w:basedOn w:val="DefaultParagraphFont"/>
    <w:link w:val="CommentText"/>
    <w:uiPriority w:val="99"/>
    <w:rsid w:val="00CE1B83"/>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CE1B8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B83"/>
    <w:rPr>
      <w:rFonts w:ascii="Segoe UI" w:eastAsia="MS Mincho" w:hAnsi="Segoe UI" w:cs="Segoe UI"/>
      <w:color w:val="000000"/>
      <w:sz w:val="18"/>
      <w:szCs w:val="18"/>
      <w:lang w:val="en-US" w:eastAsia="en-US"/>
    </w:rPr>
  </w:style>
  <w:style w:type="paragraph" w:styleId="ListParagraph">
    <w:name w:val="List Paragraph"/>
    <w:basedOn w:val="Normal"/>
    <w:uiPriority w:val="34"/>
    <w:qFormat/>
    <w:rsid w:val="007F328B"/>
    <w:pPr>
      <w:spacing w:before="0"/>
      <w:ind w:left="720"/>
      <w:contextualSpacing/>
      <w:jc w:val="left"/>
    </w:pPr>
    <w:rPr>
      <w:rFonts w:eastAsia="Times New Roman"/>
      <w:color w:val="auto"/>
    </w:rPr>
  </w:style>
  <w:style w:type="paragraph" w:styleId="CommentSubject">
    <w:name w:val="annotation subject"/>
    <w:basedOn w:val="CommentText"/>
    <w:next w:val="CommentText"/>
    <w:link w:val="CommentSubjectChar"/>
    <w:uiPriority w:val="99"/>
    <w:semiHidden/>
    <w:unhideWhenUsed/>
    <w:rsid w:val="00712256"/>
    <w:pPr>
      <w:spacing w:before="240"/>
    </w:pPr>
    <w:rPr>
      <w:rFonts w:eastAsia="MS Mincho"/>
      <w:b/>
      <w:bCs/>
      <w:color w:val="000000"/>
      <w:lang w:val="en-US"/>
    </w:rPr>
  </w:style>
  <w:style w:type="character" w:customStyle="1" w:styleId="CommentSubjectChar">
    <w:name w:val="Comment Subject Char"/>
    <w:basedOn w:val="CommentTextChar"/>
    <w:link w:val="CommentSubject"/>
    <w:uiPriority w:val="99"/>
    <w:semiHidden/>
    <w:rsid w:val="00712256"/>
    <w:rPr>
      <w:rFonts w:ascii="Times New Roman" w:eastAsia="MS Mincho" w:hAnsi="Times New Roman" w:cs="Times New Roman"/>
      <w:b/>
      <w:bCs/>
      <w:color w:val="000000"/>
      <w:lang w:val="en-US" w:eastAsia="en-US"/>
    </w:rPr>
  </w:style>
  <w:style w:type="table" w:styleId="TableGrid">
    <w:name w:val="Table Grid"/>
    <w:basedOn w:val="TableNormal"/>
    <w:uiPriority w:val="59"/>
    <w:rsid w:val="001B65BA"/>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624"/>
    <w:pPr>
      <w:autoSpaceDE w:val="0"/>
      <w:autoSpaceDN w:val="0"/>
      <w:adjustRightInd w:val="0"/>
    </w:pPr>
    <w:rPr>
      <w:rFonts w:ascii="Cambria" w:eastAsiaTheme="minorHAnsi" w:hAnsi="Cambria" w:cs="Cambria"/>
      <w:color w:val="000000"/>
      <w:sz w:val="24"/>
      <w:szCs w:val="24"/>
      <w:lang w:eastAsia="en-US"/>
    </w:rPr>
  </w:style>
  <w:style w:type="paragraph" w:styleId="Revision">
    <w:name w:val="Revision"/>
    <w:hidden/>
    <w:uiPriority w:val="99"/>
    <w:semiHidden/>
    <w:rsid w:val="009A4B23"/>
    <w:rPr>
      <w:rFonts w:ascii="Times New Roman" w:eastAsia="MS Mincho"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0444">
      <w:bodyDiv w:val="1"/>
      <w:marLeft w:val="0"/>
      <w:marRight w:val="0"/>
      <w:marTop w:val="0"/>
      <w:marBottom w:val="0"/>
      <w:divBdr>
        <w:top w:val="none" w:sz="0" w:space="0" w:color="auto"/>
        <w:left w:val="none" w:sz="0" w:space="0" w:color="auto"/>
        <w:bottom w:val="none" w:sz="0" w:space="0" w:color="auto"/>
        <w:right w:val="none" w:sz="0" w:space="0" w:color="auto"/>
      </w:divBdr>
    </w:div>
    <w:div w:id="626786738">
      <w:bodyDiv w:val="1"/>
      <w:marLeft w:val="0"/>
      <w:marRight w:val="0"/>
      <w:marTop w:val="0"/>
      <w:marBottom w:val="0"/>
      <w:divBdr>
        <w:top w:val="none" w:sz="0" w:space="0" w:color="auto"/>
        <w:left w:val="none" w:sz="0" w:space="0" w:color="auto"/>
        <w:bottom w:val="none" w:sz="0" w:space="0" w:color="auto"/>
        <w:right w:val="none" w:sz="0" w:space="0" w:color="auto"/>
      </w:divBdr>
    </w:div>
    <w:div w:id="666590633">
      <w:bodyDiv w:val="1"/>
      <w:marLeft w:val="0"/>
      <w:marRight w:val="0"/>
      <w:marTop w:val="0"/>
      <w:marBottom w:val="0"/>
      <w:divBdr>
        <w:top w:val="none" w:sz="0" w:space="0" w:color="auto"/>
        <w:left w:val="none" w:sz="0" w:space="0" w:color="auto"/>
        <w:bottom w:val="none" w:sz="0" w:space="0" w:color="auto"/>
        <w:right w:val="none" w:sz="0" w:space="0" w:color="auto"/>
      </w:divBdr>
    </w:div>
    <w:div w:id="950091761">
      <w:bodyDiv w:val="1"/>
      <w:marLeft w:val="0"/>
      <w:marRight w:val="0"/>
      <w:marTop w:val="0"/>
      <w:marBottom w:val="0"/>
      <w:divBdr>
        <w:top w:val="none" w:sz="0" w:space="0" w:color="auto"/>
        <w:left w:val="none" w:sz="0" w:space="0" w:color="auto"/>
        <w:bottom w:val="none" w:sz="0" w:space="0" w:color="auto"/>
        <w:right w:val="none" w:sz="0" w:space="0" w:color="auto"/>
      </w:divBdr>
    </w:div>
    <w:div w:id="992871357">
      <w:bodyDiv w:val="1"/>
      <w:marLeft w:val="0"/>
      <w:marRight w:val="0"/>
      <w:marTop w:val="0"/>
      <w:marBottom w:val="0"/>
      <w:divBdr>
        <w:top w:val="none" w:sz="0" w:space="0" w:color="auto"/>
        <w:left w:val="none" w:sz="0" w:space="0" w:color="auto"/>
        <w:bottom w:val="none" w:sz="0" w:space="0" w:color="auto"/>
        <w:right w:val="none" w:sz="0" w:space="0" w:color="auto"/>
      </w:divBdr>
    </w:div>
    <w:div w:id="1285817823">
      <w:bodyDiv w:val="1"/>
      <w:marLeft w:val="0"/>
      <w:marRight w:val="0"/>
      <w:marTop w:val="0"/>
      <w:marBottom w:val="0"/>
      <w:divBdr>
        <w:top w:val="none" w:sz="0" w:space="0" w:color="auto"/>
        <w:left w:val="none" w:sz="0" w:space="0" w:color="auto"/>
        <w:bottom w:val="none" w:sz="0" w:space="0" w:color="auto"/>
        <w:right w:val="none" w:sz="0" w:space="0" w:color="auto"/>
      </w:divBdr>
    </w:div>
    <w:div w:id="1326277324">
      <w:bodyDiv w:val="1"/>
      <w:marLeft w:val="0"/>
      <w:marRight w:val="0"/>
      <w:marTop w:val="0"/>
      <w:marBottom w:val="0"/>
      <w:divBdr>
        <w:top w:val="none" w:sz="0" w:space="0" w:color="auto"/>
        <w:left w:val="none" w:sz="0" w:space="0" w:color="auto"/>
        <w:bottom w:val="none" w:sz="0" w:space="0" w:color="auto"/>
        <w:right w:val="none" w:sz="0" w:space="0" w:color="auto"/>
      </w:divBdr>
    </w:div>
    <w:div w:id="1427144010">
      <w:bodyDiv w:val="1"/>
      <w:marLeft w:val="0"/>
      <w:marRight w:val="0"/>
      <w:marTop w:val="0"/>
      <w:marBottom w:val="0"/>
      <w:divBdr>
        <w:top w:val="none" w:sz="0" w:space="0" w:color="auto"/>
        <w:left w:val="none" w:sz="0" w:space="0" w:color="auto"/>
        <w:bottom w:val="none" w:sz="0" w:space="0" w:color="auto"/>
        <w:right w:val="none" w:sz="0" w:space="0" w:color="auto"/>
      </w:divBdr>
    </w:div>
    <w:div w:id="202489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86BD-9D50-4DF0-82BE-ED1DE035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3893</Words>
  <Characters>23377</Characters>
  <Application>Microsoft Office Word</Application>
  <DocSecurity>0</DocSecurity>
  <Lines>599</Lines>
  <Paragraphs>345</Paragraphs>
  <ScaleCrop>false</ScaleCrop>
  <HeadingPairs>
    <vt:vector size="2" baseType="variant">
      <vt:variant>
        <vt:lpstr>Title</vt:lpstr>
      </vt:variant>
      <vt:variant>
        <vt:i4>1</vt:i4>
      </vt:variant>
    </vt:vector>
  </HeadingPairs>
  <TitlesOfParts>
    <vt:vector size="1" baseType="lpstr">
      <vt:lpstr>Attachment: Product Information Cinnarizine / Dimenhydrinate</vt:lpstr>
    </vt:vector>
  </TitlesOfParts>
  <Company/>
  <LinksUpToDate>false</LinksUpToDate>
  <CharactersWithSpaces>26925</CharactersWithSpaces>
  <SharedDoc>false</SharedDoc>
  <HLinks>
    <vt:vector size="24" baseType="variant">
      <vt:variant>
        <vt:i4>6684796</vt:i4>
      </vt:variant>
      <vt:variant>
        <vt:i4>12</vt:i4>
      </vt:variant>
      <vt:variant>
        <vt:i4>0</vt:i4>
      </vt:variant>
      <vt:variant>
        <vt:i4>5</vt:i4>
      </vt:variant>
      <vt:variant>
        <vt:lpwstr>https://www.tga.gov.au/sites/default/files/reformatting-product-information-frequently-asked-questions.pdf</vt:lpwstr>
      </vt:variant>
      <vt:variant>
        <vt:lpwstr/>
      </vt:variant>
      <vt:variant>
        <vt:i4>5898317</vt:i4>
      </vt:variant>
      <vt:variant>
        <vt:i4>9</vt:i4>
      </vt:variant>
      <vt:variant>
        <vt:i4>0</vt:i4>
      </vt:variant>
      <vt:variant>
        <vt:i4>5</vt:i4>
      </vt:variant>
      <vt:variant>
        <vt:lpwstr>http://www.tga.gov.au/reporting-problems</vt:lpwstr>
      </vt:variant>
      <vt:variant>
        <vt:lpwstr/>
      </vt:variant>
      <vt:variant>
        <vt:i4>6357099</vt:i4>
      </vt:variant>
      <vt:variant>
        <vt:i4>6</vt:i4>
      </vt:variant>
      <vt:variant>
        <vt:i4>0</vt:i4>
      </vt:variant>
      <vt:variant>
        <vt:i4>5</vt:i4>
      </vt:variant>
      <vt:variant>
        <vt:lpwstr>https://www.tga.gov.au/where-find-approved-terminology</vt:lpwstr>
      </vt:variant>
      <vt:variant>
        <vt:lpwstr/>
      </vt:variant>
      <vt:variant>
        <vt:i4>5570626</vt:i4>
      </vt:variant>
      <vt:variant>
        <vt:i4>3</vt:i4>
      </vt:variant>
      <vt:variant>
        <vt:i4>0</vt:i4>
      </vt:variant>
      <vt:variant>
        <vt:i4>5</vt:i4>
      </vt:variant>
      <vt:variant>
        <vt:lpwstr>https://www.tga.gov.au/reporting-problems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Cinnarizine / Dimenhydrinate</dc:title>
  <dc:subject>prescription medicines</dc:subject>
  <dc:creator>Deborah Cooper</dc:creator>
  <cp:keywords/>
  <cp:lastModifiedBy>LACK, Janet</cp:lastModifiedBy>
  <cp:revision>2</cp:revision>
  <cp:lastPrinted>2018-01-31T02:43:00Z</cp:lastPrinted>
  <dcterms:created xsi:type="dcterms:W3CDTF">2019-12-18T04:04:00Z</dcterms:created>
  <dcterms:modified xsi:type="dcterms:W3CDTF">2019-12-18T04:04:00Z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ies>
</file>